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33" w:rsidRPr="00BD7486" w:rsidRDefault="00AA1E33">
      <w:pPr>
        <w:pStyle w:val="Heading1"/>
        <w:keepNext w:val="0"/>
        <w:widowControl/>
        <w:rPr>
          <w:b w:val="0"/>
          <w:bCs w:val="0"/>
          <w:szCs w:val="24"/>
        </w:rPr>
      </w:pPr>
      <w:r w:rsidRPr="00BD7486">
        <w:rPr>
          <w:b w:val="0"/>
          <w:bCs w:val="0"/>
          <w:szCs w:val="24"/>
        </w:rPr>
        <w:t>SUPPORTING STATEMENT FOR PAPERWORK REDUCTION ACT 1995 SUBMISSIONS</w:t>
      </w:r>
    </w:p>
    <w:p w:rsidR="00AA1E33" w:rsidRPr="00BD7486" w:rsidRDefault="00AA1E33">
      <w:pPr>
        <w:widowControl/>
        <w:rPr>
          <w:b w:val="0"/>
          <w:bCs w:val="0"/>
          <w:sz w:val="24"/>
          <w:szCs w:val="24"/>
        </w:rPr>
      </w:pPr>
    </w:p>
    <w:p w:rsidR="00AA1E33" w:rsidRPr="00BD7486" w:rsidRDefault="00AA1E33" w:rsidP="0027611A">
      <w:pPr>
        <w:pStyle w:val="Heading3"/>
        <w:numPr>
          <w:ilvl w:val="0"/>
          <w:numId w:val="47"/>
        </w:numPr>
        <w:ind w:hanging="720"/>
        <w:rPr>
          <w:szCs w:val="24"/>
        </w:rPr>
      </w:pPr>
      <w:r w:rsidRPr="00BD7486">
        <w:rPr>
          <w:szCs w:val="24"/>
        </w:rPr>
        <w:t>Justification</w:t>
      </w:r>
    </w:p>
    <w:p w:rsidR="00AA1E33" w:rsidRPr="00BD7486" w:rsidRDefault="00AA1E33">
      <w:pPr>
        <w:widowControl/>
        <w:outlineLvl w:val="0"/>
        <w:rPr>
          <w:b w:val="0"/>
          <w:bCs w:val="0"/>
          <w:sz w:val="24"/>
          <w:szCs w:val="24"/>
        </w:rPr>
      </w:pPr>
    </w:p>
    <w:p w:rsidR="00AA1E33" w:rsidRPr="00BD7486" w:rsidRDefault="00AA1E33" w:rsidP="0027611A">
      <w:pPr>
        <w:pStyle w:val="Quick1"/>
        <w:widowControl/>
        <w:numPr>
          <w:ilvl w:val="0"/>
          <w:numId w:val="27"/>
        </w:numPr>
        <w:tabs>
          <w:tab w:val="left" w:pos="-1440"/>
        </w:tabs>
        <w:ind w:hanging="720"/>
        <w:rPr>
          <w:b w:val="0"/>
          <w:bCs w:val="0"/>
          <w:i/>
          <w:iCs/>
          <w:sz w:val="24"/>
          <w:szCs w:val="24"/>
        </w:rPr>
      </w:pPr>
      <w:r w:rsidRPr="00BD7486">
        <w:rPr>
          <w:b w:val="0"/>
          <w:bCs w:val="0"/>
          <w:i/>
          <w:i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F3328" w:rsidRPr="00BD7486" w:rsidRDefault="000F3328" w:rsidP="0027611A">
      <w:pPr>
        <w:pStyle w:val="Quick1"/>
        <w:widowControl/>
        <w:numPr>
          <w:ilvl w:val="0"/>
          <w:numId w:val="0"/>
        </w:numPr>
        <w:tabs>
          <w:tab w:val="left" w:pos="-1440"/>
        </w:tabs>
        <w:ind w:left="720"/>
        <w:rPr>
          <w:rStyle w:val="footnoteref"/>
          <w:b w:val="0"/>
          <w:sz w:val="24"/>
          <w:szCs w:val="24"/>
        </w:rPr>
      </w:pPr>
    </w:p>
    <w:p w:rsidR="001768DA" w:rsidRPr="00BD7486" w:rsidRDefault="00114EB5" w:rsidP="0027611A">
      <w:pPr>
        <w:ind w:left="720"/>
        <w:rPr>
          <w:rFonts w:eastAsia="DeVinne-Italic"/>
          <w:b w:val="0"/>
          <w:iCs/>
          <w:sz w:val="24"/>
          <w:szCs w:val="24"/>
        </w:rPr>
      </w:pPr>
      <w:r w:rsidRPr="00BD7486">
        <w:rPr>
          <w:rStyle w:val="footnoteref"/>
          <w:b w:val="0"/>
          <w:sz w:val="24"/>
          <w:szCs w:val="24"/>
        </w:rPr>
        <w:t xml:space="preserve">The Patient Protection and Affordable Care Act (the Affordable Care Act) was </w:t>
      </w:r>
      <w:r w:rsidR="00371FDA" w:rsidRPr="00BD7486">
        <w:rPr>
          <w:rStyle w:val="footnoteref"/>
          <w:b w:val="0"/>
          <w:sz w:val="24"/>
          <w:szCs w:val="24"/>
        </w:rPr>
        <w:t>signed</w:t>
      </w:r>
      <w:r w:rsidRPr="00BD7486">
        <w:rPr>
          <w:rStyle w:val="footnoteref"/>
          <w:b w:val="0"/>
          <w:sz w:val="24"/>
          <w:szCs w:val="24"/>
        </w:rPr>
        <w:t xml:space="preserve"> by President Obama on March 23, 2010. Section 2712 of the P</w:t>
      </w:r>
      <w:r w:rsidR="00323367" w:rsidRPr="00BD7486">
        <w:rPr>
          <w:rStyle w:val="footnoteref"/>
          <w:b w:val="0"/>
          <w:sz w:val="24"/>
          <w:szCs w:val="24"/>
        </w:rPr>
        <w:t xml:space="preserve">ublic </w:t>
      </w:r>
      <w:r w:rsidRPr="00BD7486">
        <w:rPr>
          <w:rStyle w:val="footnoteref"/>
          <w:b w:val="0"/>
          <w:sz w:val="24"/>
          <w:szCs w:val="24"/>
        </w:rPr>
        <w:t>H</w:t>
      </w:r>
      <w:r w:rsidR="00323367" w:rsidRPr="00BD7486">
        <w:rPr>
          <w:rStyle w:val="footnoteref"/>
          <w:b w:val="0"/>
          <w:sz w:val="24"/>
          <w:szCs w:val="24"/>
        </w:rPr>
        <w:t xml:space="preserve">ealth </w:t>
      </w:r>
      <w:r w:rsidRPr="00BD7486">
        <w:rPr>
          <w:rStyle w:val="footnoteref"/>
          <w:b w:val="0"/>
          <w:sz w:val="24"/>
          <w:szCs w:val="24"/>
        </w:rPr>
        <w:t>S</w:t>
      </w:r>
      <w:r w:rsidR="00323367" w:rsidRPr="00BD7486">
        <w:rPr>
          <w:rStyle w:val="footnoteref"/>
          <w:b w:val="0"/>
          <w:sz w:val="24"/>
          <w:szCs w:val="24"/>
        </w:rPr>
        <w:t>ervice</w:t>
      </w:r>
      <w:r w:rsidRPr="00BD7486">
        <w:rPr>
          <w:rStyle w:val="footnoteref"/>
          <w:b w:val="0"/>
          <w:sz w:val="24"/>
          <w:szCs w:val="24"/>
        </w:rPr>
        <w:t xml:space="preserve"> Act</w:t>
      </w:r>
      <w:r w:rsidR="00323367" w:rsidRPr="00BD7486">
        <w:rPr>
          <w:rStyle w:val="footnoteref"/>
          <w:b w:val="0"/>
          <w:sz w:val="24"/>
          <w:szCs w:val="24"/>
        </w:rPr>
        <w:t xml:space="preserve"> (PHS Act)</w:t>
      </w:r>
      <w:r w:rsidRPr="00BD7486">
        <w:rPr>
          <w:rStyle w:val="footnoteref"/>
          <w:b w:val="0"/>
          <w:sz w:val="24"/>
          <w:szCs w:val="24"/>
        </w:rPr>
        <w:t xml:space="preserve">, as </w:t>
      </w:r>
      <w:r w:rsidR="00E030F0" w:rsidRPr="00BD7486">
        <w:rPr>
          <w:rStyle w:val="footnoteref"/>
          <w:b w:val="0"/>
          <w:sz w:val="24"/>
          <w:szCs w:val="24"/>
        </w:rPr>
        <w:t>added</w:t>
      </w:r>
      <w:r w:rsidRPr="00BD7486">
        <w:rPr>
          <w:rStyle w:val="footnoteref"/>
          <w:b w:val="0"/>
          <w:sz w:val="24"/>
          <w:szCs w:val="24"/>
        </w:rPr>
        <w:t xml:space="preserve"> by the Affordable Care Act, and the Department’s</w:t>
      </w:r>
      <w:r w:rsidR="00C94911" w:rsidRPr="00BD7486">
        <w:rPr>
          <w:rStyle w:val="footnoteref"/>
          <w:b w:val="0"/>
          <w:sz w:val="24"/>
          <w:szCs w:val="24"/>
        </w:rPr>
        <w:t xml:space="preserve"> final regulation</w:t>
      </w:r>
      <w:r w:rsidR="00C94911" w:rsidRPr="00BD7486">
        <w:rPr>
          <w:b w:val="0"/>
          <w:bCs w:val="0"/>
          <w:iCs/>
          <w:sz w:val="24"/>
          <w:szCs w:val="24"/>
        </w:rPr>
        <w:t xml:space="preserve"> (26 CFR 54.9815-2712, 29 CFR 2590.715-2712, 45 CFR 147.2712)</w:t>
      </w:r>
      <w:r w:rsidR="00933B9A" w:rsidRPr="001E4013">
        <w:rPr>
          <w:rStyle w:val="FootnoteReference"/>
          <w:b w:val="0"/>
          <w:bCs w:val="0"/>
          <w:iCs/>
          <w:sz w:val="24"/>
          <w:szCs w:val="24"/>
          <w:vertAlign w:val="superscript"/>
        </w:rPr>
        <w:footnoteReference w:id="1"/>
      </w:r>
      <w:r w:rsidR="00C94911" w:rsidRPr="00BD7486">
        <w:rPr>
          <w:b w:val="0"/>
          <w:bCs w:val="0"/>
          <w:iCs/>
          <w:sz w:val="24"/>
          <w:szCs w:val="24"/>
        </w:rPr>
        <w:t xml:space="preserve"> </w:t>
      </w:r>
      <w:r w:rsidR="001768DA" w:rsidRPr="00BD7486">
        <w:rPr>
          <w:rFonts w:eastAsia="DeVinne-Italic"/>
          <w:b w:val="0"/>
          <w:sz w:val="24"/>
          <w:szCs w:val="24"/>
        </w:rPr>
        <w:t>provides rules regarding rescissions of health coverage for group health plans and health insurance issuers offering group or individual health insurance coverage.  Under the statute and these interim final regulations, a</w:t>
      </w:r>
      <w:r w:rsidR="001768DA" w:rsidRPr="00BD7486">
        <w:rPr>
          <w:rFonts w:eastAsia="DeVinne-Italic"/>
          <w:b w:val="0"/>
          <w:iCs/>
          <w:sz w:val="24"/>
          <w:szCs w:val="24"/>
        </w:rPr>
        <w:t xml:space="preserve"> group health plan, or a health insurance issuer offering group or individual health insurance coverage, generally must not rescind coverage except in the case of fraud or an intentional misrepresentation of a material fact.  This standard applies to all rescissions, whether in the group</w:t>
      </w:r>
      <w:r w:rsidR="00F51397" w:rsidRPr="00BD7486">
        <w:rPr>
          <w:rFonts w:eastAsia="DeVinne-Italic"/>
          <w:b w:val="0"/>
          <w:iCs/>
          <w:sz w:val="24"/>
          <w:szCs w:val="24"/>
        </w:rPr>
        <w:t>,</w:t>
      </w:r>
      <w:r w:rsidR="001768DA" w:rsidRPr="00BD7486">
        <w:rPr>
          <w:rFonts w:eastAsia="DeVinne-Italic"/>
          <w:b w:val="0"/>
          <w:iCs/>
          <w:sz w:val="24"/>
          <w:szCs w:val="24"/>
        </w:rPr>
        <w:t xml:space="preserve"> or individual insurance market, or </w:t>
      </w:r>
      <w:r w:rsidR="00323367" w:rsidRPr="00BD7486">
        <w:rPr>
          <w:rFonts w:eastAsia="DeVinne-Italic"/>
          <w:b w:val="0"/>
          <w:iCs/>
          <w:sz w:val="24"/>
          <w:szCs w:val="24"/>
        </w:rPr>
        <w:t xml:space="preserve">for </w:t>
      </w:r>
      <w:r w:rsidR="001768DA" w:rsidRPr="00BD7486">
        <w:rPr>
          <w:rFonts w:eastAsia="DeVinne-Italic"/>
          <w:b w:val="0"/>
          <w:iCs/>
          <w:sz w:val="24"/>
          <w:szCs w:val="24"/>
        </w:rPr>
        <w:t>self-insured coverage.  These rules also apply regardless of any contestability period of the plan or issuer.</w:t>
      </w:r>
    </w:p>
    <w:p w:rsidR="00753003" w:rsidRPr="00BD7486" w:rsidRDefault="00753003" w:rsidP="0027611A">
      <w:pPr>
        <w:ind w:left="720"/>
        <w:rPr>
          <w:rFonts w:eastAsia="DeVinne-Italic"/>
          <w:b w:val="0"/>
          <w:iCs/>
          <w:sz w:val="24"/>
          <w:szCs w:val="24"/>
        </w:rPr>
      </w:pPr>
    </w:p>
    <w:p w:rsidR="001768DA" w:rsidRPr="00BD7486" w:rsidRDefault="00323367" w:rsidP="0027611A">
      <w:pPr>
        <w:ind w:left="720"/>
        <w:rPr>
          <w:b w:val="0"/>
          <w:sz w:val="24"/>
          <w:szCs w:val="24"/>
        </w:rPr>
      </w:pPr>
      <w:r w:rsidRPr="00BD7486">
        <w:rPr>
          <w:b w:val="0"/>
          <w:sz w:val="24"/>
          <w:szCs w:val="24"/>
        </w:rPr>
        <w:t xml:space="preserve">The </w:t>
      </w:r>
      <w:r w:rsidR="001768DA" w:rsidRPr="00BD7486">
        <w:rPr>
          <w:b w:val="0"/>
          <w:sz w:val="24"/>
          <w:szCs w:val="24"/>
        </w:rPr>
        <w:t xml:space="preserve">PHS Act section 2712 </w:t>
      </w:r>
      <w:r w:rsidR="00F51397" w:rsidRPr="00BD7486">
        <w:rPr>
          <w:b w:val="0"/>
          <w:sz w:val="24"/>
          <w:szCs w:val="24"/>
        </w:rPr>
        <w:t>mandated</w:t>
      </w:r>
      <w:r w:rsidR="001768DA" w:rsidRPr="00BD7486">
        <w:rPr>
          <w:b w:val="0"/>
          <w:sz w:val="24"/>
          <w:szCs w:val="24"/>
        </w:rPr>
        <w:t xml:space="preserve"> a new advance notice requirement when coverage is rescinded where still permissible.   Specifically, the second sentence in section 2712 provides that coverage may not be cancelled unless prior notice is provided, and then only as permitted under PHS Act </w:t>
      </w:r>
      <w:r w:rsidR="001768DA" w:rsidRPr="00BD7486">
        <w:rPr>
          <w:rFonts w:eastAsia="DeVinne-Italic"/>
          <w:b w:val="0"/>
          <w:iCs/>
          <w:sz w:val="24"/>
          <w:szCs w:val="24"/>
        </w:rPr>
        <w:t>sections 2702(c) and 2742(b)</w:t>
      </w:r>
      <w:r w:rsidR="001768DA" w:rsidRPr="00BD7486">
        <w:rPr>
          <w:b w:val="0"/>
          <w:sz w:val="24"/>
          <w:szCs w:val="24"/>
        </w:rPr>
        <w:t xml:space="preserve">.  Under these interim final regulations, even if prior notice is provided, rescission is only permitted in cases of fraud or an intentional misrepresentation of a material fact as permitted under the cited provisions.  </w:t>
      </w:r>
    </w:p>
    <w:p w:rsidR="00753003" w:rsidRPr="00BD7486" w:rsidRDefault="00753003" w:rsidP="0027611A">
      <w:pPr>
        <w:ind w:left="720"/>
        <w:rPr>
          <w:rFonts w:eastAsia="DeVinne-Italic"/>
          <w:b w:val="0"/>
          <w:iCs/>
          <w:sz w:val="24"/>
          <w:szCs w:val="24"/>
        </w:rPr>
      </w:pPr>
    </w:p>
    <w:p w:rsidR="001768DA" w:rsidRDefault="001768DA" w:rsidP="0027611A">
      <w:pPr>
        <w:ind w:left="720"/>
        <w:rPr>
          <w:rFonts w:eastAsia="DeVinne-Italic"/>
          <w:b w:val="0"/>
          <w:iCs/>
          <w:sz w:val="24"/>
          <w:szCs w:val="24"/>
        </w:rPr>
      </w:pPr>
      <w:r w:rsidRPr="00BD7486">
        <w:rPr>
          <w:rFonts w:eastAsia="DeVinne-Italic"/>
          <w:b w:val="0"/>
          <w:iCs/>
          <w:sz w:val="24"/>
          <w:szCs w:val="24"/>
        </w:rPr>
        <w:t>These final regulations provide that a group health plan, or health insurance issuer offering group health insurance coverage, must provide at least 30 days advance notice to an individual before coverage may be rescinded.  The notice must be provided regardless of whether the rescission is o</w:t>
      </w:r>
      <w:r w:rsidRPr="008127A7">
        <w:rPr>
          <w:rFonts w:eastAsia="DeVinne-Italic"/>
          <w:b w:val="0"/>
          <w:iCs/>
          <w:sz w:val="24"/>
          <w:szCs w:val="24"/>
        </w:rPr>
        <w:t xml:space="preserve">f group or individual coverage; or whether, in the case of </w:t>
      </w:r>
      <w:proofErr w:type="gramStart"/>
      <w:r w:rsidRPr="008127A7">
        <w:rPr>
          <w:rFonts w:eastAsia="DeVinne-Italic"/>
          <w:b w:val="0"/>
          <w:iCs/>
          <w:sz w:val="24"/>
          <w:szCs w:val="24"/>
        </w:rPr>
        <w:t>group</w:t>
      </w:r>
      <w:proofErr w:type="gramEnd"/>
      <w:r w:rsidRPr="008127A7">
        <w:rPr>
          <w:rFonts w:eastAsia="DeVinne-Italic"/>
          <w:b w:val="0"/>
          <w:iCs/>
          <w:sz w:val="24"/>
          <w:szCs w:val="24"/>
        </w:rPr>
        <w:t xml:space="preserve"> coverage, the coverage is insured or self-insured, or the rescission applies to an entire group or only to an individual within the group.  </w:t>
      </w:r>
    </w:p>
    <w:p w:rsidR="00251B49" w:rsidRDefault="00251B49" w:rsidP="0027611A">
      <w:pPr>
        <w:ind w:left="720"/>
        <w:rPr>
          <w:rFonts w:eastAsia="DeVinne-Italic"/>
          <w:b w:val="0"/>
          <w:iCs/>
          <w:sz w:val="24"/>
          <w:szCs w:val="24"/>
        </w:rPr>
      </w:pPr>
    </w:p>
    <w:p w:rsidR="00251B49" w:rsidRPr="00251B49" w:rsidRDefault="00933B9A" w:rsidP="0027611A">
      <w:pPr>
        <w:ind w:left="720"/>
        <w:rPr>
          <w:rFonts w:eastAsia="DeVinne-Italic"/>
          <w:b w:val="0"/>
          <w:iCs/>
          <w:sz w:val="24"/>
          <w:szCs w:val="24"/>
        </w:rPr>
      </w:pPr>
      <w:r>
        <w:rPr>
          <w:b w:val="0"/>
          <w:sz w:val="24"/>
          <w:szCs w:val="24"/>
        </w:rPr>
        <w:t>The Department is now finalizing the 2010 interim final regulations without change to the information collections contained therein.</w:t>
      </w:r>
    </w:p>
    <w:p w:rsidR="00282B87" w:rsidRPr="00B66981" w:rsidRDefault="00282B87" w:rsidP="0027611A">
      <w:pPr>
        <w:pStyle w:val="Quick1"/>
        <w:widowControl/>
        <w:numPr>
          <w:ilvl w:val="0"/>
          <w:numId w:val="0"/>
        </w:numPr>
        <w:tabs>
          <w:tab w:val="left" w:pos="-1440"/>
        </w:tabs>
        <w:ind w:left="720"/>
        <w:rPr>
          <w:b w:val="0"/>
          <w:bCs w:val="0"/>
          <w:iCs/>
          <w:sz w:val="24"/>
          <w:szCs w:val="24"/>
        </w:rPr>
      </w:pPr>
    </w:p>
    <w:p w:rsidR="00AA1E33" w:rsidRPr="00BD7486" w:rsidRDefault="00AA1E33" w:rsidP="0027611A">
      <w:pPr>
        <w:pStyle w:val="Quick1"/>
        <w:widowControl/>
        <w:numPr>
          <w:ilvl w:val="0"/>
          <w:numId w:val="27"/>
        </w:numPr>
        <w:tabs>
          <w:tab w:val="left" w:pos="-1440"/>
        </w:tabs>
        <w:ind w:hanging="720"/>
        <w:rPr>
          <w:b w:val="0"/>
          <w:bCs w:val="0"/>
          <w:sz w:val="24"/>
          <w:szCs w:val="24"/>
        </w:rPr>
      </w:pPr>
      <w:r w:rsidRPr="00BD7486">
        <w:rPr>
          <w:b w:val="0"/>
          <w:bCs w:val="0"/>
          <w:i/>
          <w:iCs/>
          <w:sz w:val="24"/>
          <w:szCs w:val="24"/>
        </w:rPr>
        <w:lastRenderedPageBreak/>
        <w:t>Indicate how, by whom, and for what purpose the information is to be used.  Except for a new collection, indicate the actual use the agency has made of the information received from the current collection.</w:t>
      </w:r>
    </w:p>
    <w:p w:rsidR="00AA1E33" w:rsidRPr="00B66981" w:rsidRDefault="00AA1E33" w:rsidP="0027611A">
      <w:pPr>
        <w:pStyle w:val="Quick1"/>
        <w:widowControl/>
        <w:numPr>
          <w:ilvl w:val="0"/>
          <w:numId w:val="0"/>
        </w:numPr>
        <w:ind w:left="720"/>
        <w:rPr>
          <w:b w:val="0"/>
          <w:bCs w:val="0"/>
          <w:sz w:val="24"/>
          <w:szCs w:val="24"/>
        </w:rPr>
      </w:pPr>
    </w:p>
    <w:p w:rsidR="006B0C39" w:rsidRPr="00BD7486" w:rsidRDefault="00CA4615" w:rsidP="0027611A">
      <w:pPr>
        <w:widowControl/>
        <w:ind w:left="720"/>
        <w:rPr>
          <w:rStyle w:val="footnoteref"/>
          <w:b w:val="0"/>
          <w:sz w:val="24"/>
          <w:szCs w:val="24"/>
        </w:rPr>
      </w:pPr>
      <w:r w:rsidRPr="00BD7486">
        <w:rPr>
          <w:rStyle w:val="footnoteref"/>
          <w:b w:val="0"/>
          <w:sz w:val="24"/>
          <w:szCs w:val="24"/>
        </w:rPr>
        <w:t xml:space="preserve">The </w:t>
      </w:r>
      <w:r w:rsidR="007E0D5C" w:rsidRPr="00BD7486">
        <w:rPr>
          <w:rStyle w:val="footnoteref"/>
          <w:b w:val="0"/>
          <w:sz w:val="24"/>
          <w:szCs w:val="24"/>
        </w:rPr>
        <w:t>rescission</w:t>
      </w:r>
      <w:r w:rsidRPr="00BD7486">
        <w:rPr>
          <w:rStyle w:val="footnoteref"/>
          <w:b w:val="0"/>
          <w:sz w:val="24"/>
          <w:szCs w:val="24"/>
        </w:rPr>
        <w:t xml:space="preserve"> notice will be used by health plans to</w:t>
      </w:r>
      <w:r w:rsidR="007E0D5C" w:rsidRPr="00BD7486">
        <w:rPr>
          <w:rStyle w:val="footnoteref"/>
          <w:b w:val="0"/>
          <w:sz w:val="24"/>
          <w:szCs w:val="24"/>
        </w:rPr>
        <w:t xml:space="preserve"> provide advance</w:t>
      </w:r>
      <w:r w:rsidRPr="00BD7486">
        <w:rPr>
          <w:rStyle w:val="footnoteref"/>
          <w:b w:val="0"/>
          <w:sz w:val="24"/>
          <w:szCs w:val="24"/>
        </w:rPr>
        <w:t xml:space="preserve"> </w:t>
      </w:r>
      <w:r w:rsidR="007E0D5C" w:rsidRPr="00BD7486">
        <w:rPr>
          <w:rStyle w:val="footnoteref"/>
          <w:b w:val="0"/>
          <w:sz w:val="24"/>
          <w:szCs w:val="24"/>
        </w:rPr>
        <w:t xml:space="preserve">notice to certain individuals that their coverage may be rescinded. The affected individuals are those who are at risk </w:t>
      </w:r>
      <w:r w:rsidR="00204EDF" w:rsidRPr="00BD7486">
        <w:rPr>
          <w:rStyle w:val="footnoteref"/>
          <w:b w:val="0"/>
          <w:sz w:val="24"/>
          <w:szCs w:val="24"/>
        </w:rPr>
        <w:t>of rescission on their health insurance coverage.</w:t>
      </w:r>
    </w:p>
    <w:p w:rsidR="007E0D5C" w:rsidRPr="00B66981" w:rsidRDefault="007E0D5C" w:rsidP="0027611A">
      <w:pPr>
        <w:widowControl/>
        <w:ind w:left="720"/>
        <w:rPr>
          <w:b w:val="0"/>
          <w:bCs w:val="0"/>
          <w:sz w:val="24"/>
          <w:szCs w:val="24"/>
        </w:rPr>
      </w:pPr>
    </w:p>
    <w:p w:rsidR="00AA1E33" w:rsidRPr="00BD7486" w:rsidRDefault="00AA1E33" w:rsidP="0027611A">
      <w:pPr>
        <w:pStyle w:val="Quick1"/>
        <w:widowControl/>
        <w:numPr>
          <w:ilvl w:val="0"/>
          <w:numId w:val="27"/>
        </w:numPr>
        <w:ind w:hanging="720"/>
        <w:rPr>
          <w:b w:val="0"/>
          <w:bCs w:val="0"/>
          <w:i/>
          <w:iCs/>
          <w:sz w:val="24"/>
          <w:szCs w:val="24"/>
        </w:rPr>
      </w:pPr>
      <w:r w:rsidRPr="00BD7486">
        <w:rPr>
          <w:b w:val="0"/>
          <w:bCs w:val="0"/>
          <w:i/>
          <w:i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AA1E33" w:rsidRPr="00B66981" w:rsidRDefault="00AA1E33" w:rsidP="0027611A">
      <w:pPr>
        <w:pStyle w:val="Quick1"/>
        <w:widowControl/>
        <w:numPr>
          <w:ilvl w:val="0"/>
          <w:numId w:val="0"/>
        </w:numPr>
        <w:ind w:left="720"/>
        <w:rPr>
          <w:b w:val="0"/>
          <w:bCs w:val="0"/>
          <w:sz w:val="24"/>
          <w:szCs w:val="24"/>
        </w:rPr>
      </w:pPr>
    </w:p>
    <w:p w:rsidR="00C01DBB" w:rsidRPr="005B6463" w:rsidRDefault="00380D0F" w:rsidP="0027611A">
      <w:pPr>
        <w:pStyle w:val="BodyText"/>
        <w:ind w:left="720"/>
        <w:rPr>
          <w:iCs/>
          <w:szCs w:val="24"/>
        </w:rPr>
      </w:pPr>
      <w:r w:rsidRPr="001961BE">
        <w:rPr>
          <w:iCs/>
          <w:szCs w:val="24"/>
        </w:rPr>
        <w:t xml:space="preserve">The regulation does not </w:t>
      </w:r>
      <w:r w:rsidR="003F67C0" w:rsidRPr="001961BE">
        <w:rPr>
          <w:iCs/>
          <w:szCs w:val="24"/>
        </w:rPr>
        <w:t xml:space="preserve">require or </w:t>
      </w:r>
      <w:r w:rsidRPr="001961BE">
        <w:rPr>
          <w:iCs/>
          <w:szCs w:val="24"/>
        </w:rPr>
        <w:t xml:space="preserve">restrict plans or issuers from using electronic technology to provide either disclosure. </w:t>
      </w:r>
      <w:r w:rsidR="00C01DBB" w:rsidRPr="00622136">
        <w:rPr>
          <w:iCs/>
          <w:szCs w:val="24"/>
        </w:rPr>
        <w:t>The Department of Labor’s regulations under 29 C.F.R. § 2520.104b-1(b) provide that, “where certain material, including reports, statements, and documents, is required under Part I of the Act and this part to be furnished either by direct operation of law or an individual request, the plan admi</w:t>
      </w:r>
      <w:r w:rsidR="00C01DBB" w:rsidRPr="00566247">
        <w:rPr>
          <w:iCs/>
          <w:szCs w:val="24"/>
        </w:rPr>
        <w:t>nistrator shall use measures reasonably calculated to ensure actual receipt of the material by plan participants and beneficiaries.”  Section 29 CFR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w:t>
      </w:r>
      <w:r w:rsidR="00C01DBB" w:rsidRPr="00F079A2">
        <w:rPr>
          <w:iCs/>
          <w:szCs w:val="24"/>
        </w:rPr>
        <w:t xml:space="preserve">itle I of ERISA may use electronic media to satisfy disclosure and recordkeeping obligations, subject to specific safeguards.  </w:t>
      </w:r>
    </w:p>
    <w:p w:rsidR="00C01DBB" w:rsidRPr="00E03F66" w:rsidRDefault="00C01DBB" w:rsidP="0027611A">
      <w:pPr>
        <w:pStyle w:val="BodyText"/>
        <w:ind w:left="720"/>
        <w:rPr>
          <w:iCs/>
          <w:szCs w:val="24"/>
        </w:rPr>
      </w:pPr>
    </w:p>
    <w:p w:rsidR="00C01DBB" w:rsidRPr="00251B49" w:rsidRDefault="00C01DBB" w:rsidP="0027611A">
      <w:pPr>
        <w:pStyle w:val="BodyText"/>
        <w:ind w:left="720"/>
        <w:rPr>
          <w:iCs/>
          <w:szCs w:val="24"/>
        </w:rPr>
      </w:pPr>
      <w:r w:rsidRPr="00E03F66">
        <w:rPr>
          <w:iCs/>
          <w:szCs w:val="24"/>
        </w:rPr>
        <w:t>The Government Paperwork Elimination Act (GPEA) requires agencies to allow customers the option to submit information or transa</w:t>
      </w:r>
      <w:r w:rsidRPr="00251B49">
        <w:rPr>
          <w:iCs/>
          <w:szCs w:val="24"/>
        </w:rPr>
        <w:t>ct with the government electronically, when practicable.  Where feasible, and subject to resource availability and resolution of legal issues, EBSA has implemented the electronic acceptance of information submitted by customers to the federal government.</w:t>
      </w:r>
    </w:p>
    <w:p w:rsidR="00380D0F" w:rsidRPr="00933B9A" w:rsidRDefault="00380D0F" w:rsidP="0027611A">
      <w:pPr>
        <w:pStyle w:val="BodyText"/>
        <w:ind w:left="720"/>
        <w:rPr>
          <w:i/>
          <w:iCs/>
          <w:szCs w:val="24"/>
        </w:rPr>
      </w:pPr>
    </w:p>
    <w:p w:rsidR="00AA1E33" w:rsidRPr="00BD7486" w:rsidRDefault="00AA1E33" w:rsidP="0027611A">
      <w:pPr>
        <w:widowControl/>
        <w:numPr>
          <w:ilvl w:val="0"/>
          <w:numId w:val="24"/>
        </w:numPr>
        <w:tabs>
          <w:tab w:val="left" w:pos="-1440"/>
        </w:tabs>
        <w:ind w:hanging="720"/>
        <w:rPr>
          <w:b w:val="0"/>
          <w:bCs w:val="0"/>
          <w:i/>
          <w:iCs/>
          <w:sz w:val="24"/>
          <w:szCs w:val="24"/>
        </w:rPr>
      </w:pPr>
      <w:r w:rsidRPr="00BD7486">
        <w:rPr>
          <w:b w:val="0"/>
          <w:bCs w:val="0"/>
          <w:i/>
          <w:iCs/>
          <w:sz w:val="24"/>
          <w:szCs w:val="24"/>
        </w:rPr>
        <w:t>Describe efforts to identify duplication.  Show specifically why any similar information already available cannot be used or modified for use for the purposes described in Item 2 above.</w:t>
      </w:r>
    </w:p>
    <w:p w:rsidR="00380D0F" w:rsidRPr="00BD7486" w:rsidRDefault="00380D0F" w:rsidP="00265CBD">
      <w:pPr>
        <w:widowControl/>
        <w:tabs>
          <w:tab w:val="left" w:pos="-1440"/>
        </w:tabs>
        <w:ind w:left="720"/>
        <w:rPr>
          <w:b w:val="0"/>
          <w:bCs w:val="0"/>
          <w:i/>
          <w:iCs/>
          <w:sz w:val="24"/>
          <w:szCs w:val="24"/>
        </w:rPr>
      </w:pPr>
    </w:p>
    <w:p w:rsidR="00AA1E33" w:rsidRPr="00BD7486" w:rsidRDefault="00232D57" w:rsidP="00265CBD">
      <w:pPr>
        <w:widowControl/>
        <w:tabs>
          <w:tab w:val="left" w:pos="-1440"/>
        </w:tabs>
        <w:ind w:left="720"/>
        <w:rPr>
          <w:b w:val="0"/>
          <w:bCs w:val="0"/>
          <w:sz w:val="24"/>
          <w:szCs w:val="24"/>
        </w:rPr>
      </w:pPr>
      <w:r w:rsidRPr="00BD7486">
        <w:rPr>
          <w:b w:val="0"/>
          <w:bCs w:val="0"/>
          <w:sz w:val="24"/>
          <w:szCs w:val="24"/>
        </w:rPr>
        <w:t xml:space="preserve">The Affordable Care Act </w:t>
      </w:r>
      <w:r w:rsidR="00380D0F" w:rsidRPr="00BD7486">
        <w:rPr>
          <w:b w:val="0"/>
          <w:bCs w:val="0"/>
          <w:sz w:val="24"/>
          <w:szCs w:val="24"/>
        </w:rPr>
        <w:t xml:space="preserve">amended </w:t>
      </w:r>
      <w:r w:rsidRPr="00BD7486">
        <w:rPr>
          <w:b w:val="0"/>
          <w:bCs w:val="0"/>
          <w:sz w:val="24"/>
          <w:szCs w:val="24"/>
        </w:rPr>
        <w:t>the Employee Retirement Income Security Act,</w:t>
      </w:r>
      <w:r w:rsidR="00380D0F" w:rsidRPr="00BD7486">
        <w:rPr>
          <w:b w:val="0"/>
          <w:bCs w:val="0"/>
          <w:sz w:val="24"/>
          <w:szCs w:val="24"/>
        </w:rPr>
        <w:t xml:space="preserve"> the Internal Revenue Code</w:t>
      </w:r>
      <w:r w:rsidRPr="00BD7486">
        <w:rPr>
          <w:b w:val="0"/>
          <w:bCs w:val="0"/>
          <w:sz w:val="24"/>
          <w:szCs w:val="24"/>
        </w:rPr>
        <w:t>,</w:t>
      </w:r>
      <w:r w:rsidR="001064D0" w:rsidRPr="00BD7486">
        <w:rPr>
          <w:b w:val="0"/>
          <w:bCs w:val="0"/>
          <w:sz w:val="24"/>
          <w:szCs w:val="24"/>
        </w:rPr>
        <w:t xml:space="preserve"> and</w:t>
      </w:r>
      <w:r w:rsidR="00380D0F" w:rsidRPr="00BD7486">
        <w:rPr>
          <w:b w:val="0"/>
          <w:bCs w:val="0"/>
          <w:sz w:val="24"/>
          <w:szCs w:val="24"/>
        </w:rPr>
        <w:t xml:space="preserve"> the PHS Act. </w:t>
      </w:r>
      <w:r w:rsidR="00C532E7" w:rsidRPr="00BD7486">
        <w:rPr>
          <w:b w:val="0"/>
          <w:bCs w:val="0"/>
          <w:sz w:val="24"/>
          <w:szCs w:val="24"/>
        </w:rPr>
        <w:t>The main impact of the rescission provision will be on the individual</w:t>
      </w:r>
      <w:r w:rsidR="00160094" w:rsidRPr="00BD7486">
        <w:rPr>
          <w:b w:val="0"/>
          <w:bCs w:val="0"/>
          <w:sz w:val="24"/>
          <w:szCs w:val="24"/>
        </w:rPr>
        <w:t xml:space="preserve"> insurance market</w:t>
      </w:r>
      <w:r w:rsidR="00C532E7" w:rsidRPr="00BD7486">
        <w:rPr>
          <w:b w:val="0"/>
          <w:bCs w:val="0"/>
          <w:sz w:val="24"/>
          <w:szCs w:val="24"/>
        </w:rPr>
        <w:t xml:space="preserve">, which is under the jurisdiction of the </w:t>
      </w:r>
      <w:r w:rsidR="00160094" w:rsidRPr="00BD7486">
        <w:rPr>
          <w:b w:val="0"/>
          <w:bCs w:val="0"/>
          <w:sz w:val="24"/>
          <w:szCs w:val="24"/>
        </w:rPr>
        <w:t>Department of Health and Human Services</w:t>
      </w:r>
      <w:r w:rsidR="00C532E7" w:rsidRPr="00BD7486">
        <w:rPr>
          <w:b w:val="0"/>
          <w:bCs w:val="0"/>
          <w:sz w:val="24"/>
          <w:szCs w:val="24"/>
        </w:rPr>
        <w:t xml:space="preserve">. The provision is expected to have a small </w:t>
      </w:r>
      <w:r w:rsidR="00C532E7" w:rsidRPr="00BD7486">
        <w:rPr>
          <w:b w:val="0"/>
          <w:bCs w:val="0"/>
          <w:sz w:val="24"/>
          <w:szCs w:val="24"/>
        </w:rPr>
        <w:lastRenderedPageBreak/>
        <w:t xml:space="preserve">impact in the group health insurance market, which is under the </w:t>
      </w:r>
      <w:r w:rsidR="00160094" w:rsidRPr="00BD7486">
        <w:rPr>
          <w:b w:val="0"/>
          <w:bCs w:val="0"/>
          <w:sz w:val="24"/>
          <w:szCs w:val="24"/>
        </w:rPr>
        <w:t xml:space="preserve">jurisdiction </w:t>
      </w:r>
      <w:r w:rsidR="00C532E7" w:rsidRPr="00BD7486">
        <w:rPr>
          <w:b w:val="0"/>
          <w:bCs w:val="0"/>
          <w:sz w:val="24"/>
          <w:szCs w:val="24"/>
        </w:rPr>
        <w:t xml:space="preserve">of the Department of Labor. </w:t>
      </w:r>
      <w:r w:rsidR="001A69F9" w:rsidRPr="00BD7486">
        <w:rPr>
          <w:b w:val="0"/>
          <w:bCs w:val="0"/>
          <w:sz w:val="24"/>
          <w:szCs w:val="24"/>
        </w:rPr>
        <w:t xml:space="preserve"> Therefore, there will be no duplication of effort.</w:t>
      </w:r>
      <w:r w:rsidR="00160094" w:rsidRPr="00BD7486">
        <w:rPr>
          <w:b w:val="0"/>
          <w:bCs w:val="0"/>
          <w:sz w:val="24"/>
          <w:szCs w:val="24"/>
        </w:rPr>
        <w:t xml:space="preserve"> </w:t>
      </w:r>
    </w:p>
    <w:p w:rsidR="00B62EB4" w:rsidRPr="00BD7486" w:rsidRDefault="00B62EB4" w:rsidP="00265CBD">
      <w:pPr>
        <w:widowControl/>
        <w:tabs>
          <w:tab w:val="left" w:pos="-1440"/>
        </w:tabs>
        <w:ind w:left="720"/>
        <w:rPr>
          <w:b w:val="0"/>
          <w:bCs w:val="0"/>
          <w:sz w:val="24"/>
          <w:szCs w:val="24"/>
        </w:rPr>
      </w:pPr>
    </w:p>
    <w:p w:rsidR="00AA1E33" w:rsidRPr="00BD7486" w:rsidRDefault="00AA1E33" w:rsidP="00265CBD">
      <w:pPr>
        <w:pStyle w:val="BodyText2"/>
        <w:numPr>
          <w:ilvl w:val="0"/>
          <w:numId w:val="24"/>
        </w:numPr>
        <w:ind w:hanging="720"/>
        <w:rPr>
          <w:sz w:val="24"/>
          <w:szCs w:val="24"/>
        </w:rPr>
      </w:pPr>
      <w:r w:rsidRPr="00BD7486">
        <w:rPr>
          <w:sz w:val="24"/>
          <w:szCs w:val="24"/>
        </w:rPr>
        <w:t>If the collection of information impacts small businesses or other small entities</w:t>
      </w:r>
      <w:r w:rsidR="00FA1087" w:rsidRPr="00BD7486">
        <w:rPr>
          <w:sz w:val="24"/>
          <w:szCs w:val="24"/>
        </w:rPr>
        <w:t xml:space="preserve"> </w:t>
      </w:r>
      <w:r w:rsidRPr="00BD7486">
        <w:rPr>
          <w:sz w:val="24"/>
          <w:szCs w:val="24"/>
        </w:rPr>
        <w:t>describe any methods used to minimize burden.</w:t>
      </w:r>
    </w:p>
    <w:p w:rsidR="00AA1E33" w:rsidRPr="00B66981" w:rsidRDefault="00AA1E33" w:rsidP="00265CBD">
      <w:pPr>
        <w:widowControl/>
        <w:tabs>
          <w:tab w:val="left" w:pos="-1440"/>
        </w:tabs>
        <w:ind w:left="720"/>
        <w:rPr>
          <w:b w:val="0"/>
          <w:bCs w:val="0"/>
          <w:i/>
          <w:iCs/>
          <w:sz w:val="24"/>
          <w:szCs w:val="24"/>
        </w:rPr>
      </w:pPr>
    </w:p>
    <w:p w:rsidR="00AA1E33" w:rsidRPr="00622136" w:rsidRDefault="00675A91" w:rsidP="00570E19">
      <w:pPr>
        <w:pStyle w:val="Quick1"/>
        <w:widowControl/>
        <w:numPr>
          <w:ilvl w:val="0"/>
          <w:numId w:val="0"/>
        </w:numPr>
        <w:ind w:left="720"/>
        <w:rPr>
          <w:b w:val="0"/>
          <w:bCs w:val="0"/>
          <w:sz w:val="24"/>
          <w:szCs w:val="24"/>
        </w:rPr>
      </w:pPr>
      <w:r w:rsidRPr="001961BE">
        <w:rPr>
          <w:b w:val="0"/>
          <w:bCs w:val="0"/>
          <w:sz w:val="24"/>
          <w:szCs w:val="24"/>
        </w:rPr>
        <w:t xml:space="preserve">Although this </w:t>
      </w:r>
      <w:r w:rsidR="00AA1E33" w:rsidRPr="001961BE">
        <w:rPr>
          <w:b w:val="0"/>
          <w:bCs w:val="0"/>
          <w:sz w:val="24"/>
          <w:szCs w:val="24"/>
        </w:rPr>
        <w:t xml:space="preserve">information collection does impact small </w:t>
      </w:r>
      <w:r w:rsidRPr="001961BE">
        <w:rPr>
          <w:b w:val="0"/>
          <w:bCs w:val="0"/>
          <w:sz w:val="24"/>
          <w:szCs w:val="24"/>
        </w:rPr>
        <w:t xml:space="preserve">plans, the impact is estimated to be negligible, because rescissions are rare in the group health insurance market. </w:t>
      </w:r>
    </w:p>
    <w:p w:rsidR="0056371A" w:rsidRPr="00622136" w:rsidRDefault="0056371A" w:rsidP="00CA52CB">
      <w:pPr>
        <w:pStyle w:val="Quick1"/>
        <w:widowControl/>
        <w:numPr>
          <w:ilvl w:val="0"/>
          <w:numId w:val="0"/>
        </w:numPr>
        <w:ind w:left="720"/>
        <w:rPr>
          <w:b w:val="0"/>
          <w:bCs w:val="0"/>
          <w:sz w:val="24"/>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BD7486">
        <w:rPr>
          <w:b w:val="0"/>
          <w:bCs w:val="0"/>
          <w:i/>
          <w:iCs/>
          <w:sz w:val="24"/>
          <w:szCs w:val="24"/>
        </w:rPr>
        <w:t>Describe the consequence to Federal program or policy activities if the collection is not conducted or is conducted less frequently, as well as any technical or legal obstacles to reducing burden.</w:t>
      </w:r>
    </w:p>
    <w:p w:rsidR="00AA1E33" w:rsidRPr="00BD7486" w:rsidRDefault="00AA1E33" w:rsidP="00265CBD">
      <w:pPr>
        <w:widowControl/>
        <w:tabs>
          <w:tab w:val="left" w:pos="-1440"/>
        </w:tabs>
        <w:ind w:left="720"/>
        <w:rPr>
          <w:b w:val="0"/>
          <w:bCs w:val="0"/>
          <w:i/>
          <w:iCs/>
          <w:sz w:val="24"/>
          <w:szCs w:val="24"/>
        </w:rPr>
      </w:pPr>
    </w:p>
    <w:p w:rsidR="0056371A" w:rsidRPr="00BD7486" w:rsidRDefault="006B0C39" w:rsidP="00265CBD">
      <w:pPr>
        <w:widowControl/>
        <w:tabs>
          <w:tab w:val="left" w:pos="-1440"/>
        </w:tabs>
        <w:ind w:left="720"/>
        <w:rPr>
          <w:b w:val="0"/>
          <w:bCs w:val="0"/>
          <w:sz w:val="24"/>
          <w:szCs w:val="24"/>
        </w:rPr>
      </w:pPr>
      <w:r w:rsidRPr="00BD7486">
        <w:rPr>
          <w:b w:val="0"/>
          <w:bCs w:val="0"/>
          <w:sz w:val="24"/>
          <w:szCs w:val="24"/>
        </w:rPr>
        <w:t xml:space="preserve">If this information were conducted less frequently, </w:t>
      </w:r>
      <w:r w:rsidR="00232D57" w:rsidRPr="00BD7486">
        <w:rPr>
          <w:b w:val="0"/>
          <w:bCs w:val="0"/>
          <w:sz w:val="24"/>
          <w:szCs w:val="24"/>
        </w:rPr>
        <w:t xml:space="preserve">affected individuals </w:t>
      </w:r>
      <w:r w:rsidRPr="00BD7486">
        <w:rPr>
          <w:b w:val="0"/>
          <w:bCs w:val="0"/>
          <w:sz w:val="24"/>
          <w:szCs w:val="24"/>
        </w:rPr>
        <w:t xml:space="preserve">would not be </w:t>
      </w:r>
      <w:r w:rsidR="001A69F9" w:rsidRPr="00BD7486">
        <w:rPr>
          <w:b w:val="0"/>
          <w:bCs w:val="0"/>
          <w:sz w:val="24"/>
          <w:szCs w:val="24"/>
        </w:rPr>
        <w:t>notified of potential rescission of their health insurance policy</w:t>
      </w:r>
      <w:r w:rsidRPr="00BD7486">
        <w:rPr>
          <w:b w:val="0"/>
          <w:bCs w:val="0"/>
          <w:sz w:val="24"/>
          <w:szCs w:val="24"/>
        </w:rPr>
        <w:t xml:space="preserve">. </w:t>
      </w:r>
    </w:p>
    <w:p w:rsidR="00B62EB4" w:rsidRPr="00BD7486" w:rsidRDefault="00B62EB4" w:rsidP="00CA52CB">
      <w:pPr>
        <w:widowControl/>
        <w:tabs>
          <w:tab w:val="left" w:pos="-1440"/>
        </w:tabs>
        <w:ind w:left="720"/>
        <w:rPr>
          <w:b w:val="0"/>
          <w:bCs w:val="0"/>
          <w:sz w:val="24"/>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BD7486">
        <w:rPr>
          <w:b w:val="0"/>
          <w:bCs w:val="0"/>
          <w:i/>
          <w:iCs/>
          <w:sz w:val="24"/>
          <w:szCs w:val="24"/>
        </w:rPr>
        <w:t>Explain any special circumstances that would cause an information collection to be conducted in a manner:</w:t>
      </w:r>
    </w:p>
    <w:p w:rsidR="00AA1E33" w:rsidRPr="00BD7486" w:rsidRDefault="00AA1E33" w:rsidP="00265CBD">
      <w:pPr>
        <w:widowControl/>
        <w:ind w:left="720"/>
        <w:rPr>
          <w:b w:val="0"/>
          <w:bCs w:val="0"/>
          <w:i/>
          <w:iCs/>
          <w:sz w:val="24"/>
          <w:szCs w:val="24"/>
        </w:rPr>
      </w:pP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requiring respondents to report information to the agency more often than quarterly;</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requiring respondents to prepare a written response to a collection of information in fewer than 30 days after receipt of it;</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requiring respondents to submit more than an original and two copies of any document;</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requiring respondents to retain records, other than health, medical, government contract, grant-in-aid, or tax records for more than three years;</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in connection with a statistical survey, that is not designed to produce valid and reliable results that can be generalized to the universe of study;</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requiring the use of a statistical data classification that has not been reviewed and approved by OMB;</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A1E33" w:rsidRPr="00BD7486" w:rsidRDefault="00AA1E33" w:rsidP="00265CBD">
      <w:pPr>
        <w:widowControl/>
        <w:numPr>
          <w:ilvl w:val="0"/>
          <w:numId w:val="34"/>
        </w:numPr>
        <w:tabs>
          <w:tab w:val="left" w:pos="-1440"/>
        </w:tabs>
        <w:ind w:hanging="720"/>
        <w:rPr>
          <w:b w:val="0"/>
          <w:bCs w:val="0"/>
          <w:i/>
          <w:iCs/>
          <w:sz w:val="24"/>
          <w:szCs w:val="24"/>
        </w:rPr>
      </w:pPr>
      <w:r w:rsidRPr="00BD7486">
        <w:rPr>
          <w:b w:val="0"/>
          <w:bCs w:val="0"/>
          <w:i/>
          <w:i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A1E33" w:rsidRPr="00BD7486" w:rsidRDefault="00AA1E33" w:rsidP="00265CBD">
      <w:pPr>
        <w:widowControl/>
        <w:tabs>
          <w:tab w:val="left" w:pos="-1440"/>
        </w:tabs>
        <w:ind w:left="720"/>
        <w:rPr>
          <w:b w:val="0"/>
          <w:bCs w:val="0"/>
          <w:i/>
          <w:iCs/>
          <w:sz w:val="24"/>
          <w:szCs w:val="24"/>
        </w:rPr>
      </w:pPr>
    </w:p>
    <w:p w:rsidR="00AA1E33" w:rsidRPr="00B66981" w:rsidRDefault="00AA1E33" w:rsidP="00265CBD">
      <w:pPr>
        <w:pStyle w:val="BodyTextIndent2"/>
        <w:widowControl/>
        <w:ind w:left="720" w:firstLine="0"/>
        <w:rPr>
          <w:b w:val="0"/>
          <w:bCs w:val="0"/>
          <w:szCs w:val="24"/>
        </w:rPr>
      </w:pPr>
      <w:proofErr w:type="gramStart"/>
      <w:r w:rsidRPr="00B66981">
        <w:rPr>
          <w:b w:val="0"/>
          <w:bCs w:val="0"/>
          <w:szCs w:val="24"/>
        </w:rPr>
        <w:t>None.</w:t>
      </w:r>
      <w:proofErr w:type="gramEnd"/>
    </w:p>
    <w:p w:rsidR="00AA1E33" w:rsidRPr="001961BE" w:rsidRDefault="00AA1E33" w:rsidP="00265CBD">
      <w:pPr>
        <w:widowControl/>
        <w:tabs>
          <w:tab w:val="left" w:pos="-1440"/>
        </w:tabs>
        <w:ind w:left="720"/>
        <w:rPr>
          <w:b w:val="0"/>
          <w:bCs w:val="0"/>
          <w:sz w:val="24"/>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BD7486">
        <w:rPr>
          <w:b w:val="0"/>
          <w:bCs w:val="0"/>
          <w:i/>
          <w:iCs/>
          <w:sz w:val="24"/>
          <w:szCs w:val="24"/>
        </w:rPr>
        <w:lastRenderedPageBreak/>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A1E33" w:rsidRPr="00BD7486" w:rsidRDefault="00AA1E33" w:rsidP="00265CBD">
      <w:pPr>
        <w:widowControl/>
        <w:ind w:left="720"/>
        <w:rPr>
          <w:b w:val="0"/>
          <w:bCs w:val="0"/>
          <w:i/>
          <w:iCs/>
          <w:sz w:val="24"/>
          <w:szCs w:val="24"/>
        </w:rPr>
      </w:pPr>
    </w:p>
    <w:p w:rsidR="00AA1E33" w:rsidRPr="00BD7486" w:rsidRDefault="00AA1E33" w:rsidP="00265CBD">
      <w:pPr>
        <w:pStyle w:val="BodyText3"/>
        <w:ind w:left="720"/>
        <w:rPr>
          <w:b w:val="0"/>
          <w:bCs w:val="0"/>
          <w:sz w:val="24"/>
          <w:szCs w:val="24"/>
        </w:rPr>
      </w:pPr>
      <w:r w:rsidRPr="00BD7486">
        <w:rPr>
          <w:b w:val="0"/>
          <w:bCs w:val="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A1E33" w:rsidRPr="00BD7486" w:rsidRDefault="00AA1E33" w:rsidP="00265CBD">
      <w:pPr>
        <w:widowControl/>
        <w:ind w:left="720"/>
        <w:rPr>
          <w:b w:val="0"/>
          <w:bCs w:val="0"/>
          <w:i/>
          <w:iCs/>
          <w:sz w:val="24"/>
          <w:szCs w:val="24"/>
        </w:rPr>
      </w:pPr>
    </w:p>
    <w:p w:rsidR="00AA1E33" w:rsidRPr="00BD7486" w:rsidRDefault="00AA1E33" w:rsidP="00265CBD">
      <w:pPr>
        <w:pStyle w:val="BodyText3"/>
        <w:ind w:left="720"/>
        <w:rPr>
          <w:sz w:val="24"/>
          <w:szCs w:val="24"/>
        </w:rPr>
      </w:pPr>
      <w:r w:rsidRPr="00BD7486">
        <w:rPr>
          <w:b w:val="0"/>
          <w:bCs w:val="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A1E33" w:rsidRPr="00B66981" w:rsidRDefault="00AA1E33" w:rsidP="00F33332">
      <w:pPr>
        <w:widowControl/>
        <w:ind w:left="720"/>
        <w:rPr>
          <w:b w:val="0"/>
          <w:bCs w:val="0"/>
          <w:i/>
          <w:iCs/>
          <w:sz w:val="24"/>
          <w:szCs w:val="24"/>
        </w:rPr>
      </w:pPr>
    </w:p>
    <w:p w:rsidR="00CB6AFD" w:rsidRPr="00BD7486" w:rsidRDefault="00933B9A" w:rsidP="00265CBD">
      <w:pPr>
        <w:pStyle w:val="BodyText"/>
        <w:ind w:left="720"/>
        <w:rPr>
          <w:bCs/>
          <w:szCs w:val="24"/>
        </w:rPr>
      </w:pPr>
      <w:r>
        <w:rPr>
          <w:bCs/>
          <w:szCs w:val="24"/>
        </w:rPr>
        <w:t xml:space="preserve">The 2010 interim final rules provided </w:t>
      </w:r>
      <w:r w:rsidR="00CB6AFD" w:rsidRPr="001961BE">
        <w:rPr>
          <w:bCs/>
          <w:szCs w:val="24"/>
        </w:rPr>
        <w:t>the public 60 days to comment on the information collection</w:t>
      </w:r>
      <w:r>
        <w:rPr>
          <w:bCs/>
          <w:szCs w:val="24"/>
        </w:rPr>
        <w:t>s contained therein.</w:t>
      </w:r>
      <w:r w:rsidR="001E4013">
        <w:rPr>
          <w:bCs/>
          <w:szCs w:val="24"/>
        </w:rPr>
        <w:t xml:space="preserve"> </w:t>
      </w:r>
      <w:r w:rsidR="00CB6AFD" w:rsidRPr="00792AC5">
        <w:rPr>
          <w:bCs/>
          <w:szCs w:val="24"/>
        </w:rPr>
        <w:t>No comments were received.</w:t>
      </w:r>
    </w:p>
    <w:p w:rsidR="00A90073" w:rsidRPr="008127A7" w:rsidRDefault="00A90073" w:rsidP="00F33332">
      <w:pPr>
        <w:pStyle w:val="BodyText"/>
        <w:ind w:left="720"/>
        <w:rPr>
          <w:bCs/>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062BBA">
        <w:rPr>
          <w:b w:val="0"/>
          <w:bCs w:val="0"/>
          <w:i/>
          <w:iCs/>
          <w:sz w:val="24"/>
          <w:szCs w:val="24"/>
        </w:rPr>
        <w:t xml:space="preserve">Explain any decision to provide any payment or gift to </w:t>
      </w:r>
      <w:r w:rsidRPr="00BD7486">
        <w:rPr>
          <w:b w:val="0"/>
          <w:bCs w:val="0"/>
          <w:i/>
          <w:iCs/>
          <w:sz w:val="24"/>
          <w:szCs w:val="24"/>
        </w:rPr>
        <w:t>respondents, other than remuneration of contractors or grantees.</w:t>
      </w:r>
    </w:p>
    <w:p w:rsidR="00AA1E33" w:rsidRPr="00B66981" w:rsidRDefault="00AA1E33" w:rsidP="00265CBD">
      <w:pPr>
        <w:widowControl/>
        <w:ind w:left="720"/>
        <w:rPr>
          <w:b w:val="0"/>
          <w:bCs w:val="0"/>
          <w:sz w:val="24"/>
          <w:szCs w:val="24"/>
        </w:rPr>
      </w:pPr>
    </w:p>
    <w:p w:rsidR="00AA1E33" w:rsidRPr="001961BE" w:rsidRDefault="00AA1E33" w:rsidP="00265CBD">
      <w:pPr>
        <w:pStyle w:val="BodyText"/>
        <w:ind w:left="720"/>
        <w:rPr>
          <w:szCs w:val="24"/>
        </w:rPr>
      </w:pPr>
      <w:proofErr w:type="gramStart"/>
      <w:r w:rsidRPr="001961BE">
        <w:rPr>
          <w:szCs w:val="24"/>
        </w:rPr>
        <w:t>None.</w:t>
      </w:r>
      <w:proofErr w:type="gramEnd"/>
    </w:p>
    <w:p w:rsidR="00AA1E33" w:rsidRPr="00622136" w:rsidRDefault="00AA1E33" w:rsidP="00265CBD">
      <w:pPr>
        <w:widowControl/>
        <w:ind w:left="720"/>
        <w:rPr>
          <w:b w:val="0"/>
          <w:bCs w:val="0"/>
          <w:sz w:val="24"/>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BD7486">
        <w:rPr>
          <w:b w:val="0"/>
          <w:bCs w:val="0"/>
          <w:i/>
          <w:iCs/>
          <w:sz w:val="24"/>
          <w:szCs w:val="24"/>
        </w:rPr>
        <w:t>Describe any assurance of confidentiality provided to respondents and the basis for the assurance in statute, regulation, or agency policy.</w:t>
      </w:r>
    </w:p>
    <w:p w:rsidR="00AA1E33" w:rsidRPr="00B66981" w:rsidRDefault="00AA1E33" w:rsidP="00265CBD">
      <w:pPr>
        <w:widowControl/>
        <w:ind w:left="720"/>
        <w:rPr>
          <w:b w:val="0"/>
          <w:bCs w:val="0"/>
          <w:sz w:val="24"/>
          <w:szCs w:val="24"/>
        </w:rPr>
      </w:pPr>
    </w:p>
    <w:p w:rsidR="003E1E53" w:rsidRPr="001961BE" w:rsidRDefault="00A73525" w:rsidP="00265CBD">
      <w:pPr>
        <w:widowControl/>
        <w:ind w:left="720"/>
        <w:rPr>
          <w:b w:val="0"/>
          <w:bCs w:val="0"/>
          <w:sz w:val="24"/>
          <w:szCs w:val="24"/>
        </w:rPr>
      </w:pPr>
      <w:r w:rsidRPr="001961BE">
        <w:rPr>
          <w:b w:val="0"/>
          <w:bCs w:val="0"/>
          <w:sz w:val="24"/>
          <w:szCs w:val="24"/>
        </w:rPr>
        <w:t>Not applicable</w:t>
      </w:r>
    </w:p>
    <w:p w:rsidR="00A73525" w:rsidRPr="00622136" w:rsidRDefault="00A73525" w:rsidP="00265CBD">
      <w:pPr>
        <w:widowControl/>
        <w:ind w:left="720"/>
        <w:rPr>
          <w:b w:val="0"/>
          <w:bCs w:val="0"/>
          <w:sz w:val="24"/>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BD7486">
        <w:rPr>
          <w:b w:val="0"/>
          <w:bCs w:val="0"/>
          <w:i/>
          <w:i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A1E33" w:rsidRPr="00B66981" w:rsidRDefault="00AA1E33" w:rsidP="00265CBD">
      <w:pPr>
        <w:widowControl/>
        <w:ind w:left="720"/>
        <w:rPr>
          <w:b w:val="0"/>
          <w:bCs w:val="0"/>
          <w:i/>
          <w:iCs/>
          <w:sz w:val="24"/>
          <w:szCs w:val="24"/>
        </w:rPr>
      </w:pPr>
    </w:p>
    <w:p w:rsidR="003E1E53" w:rsidRPr="001961BE" w:rsidRDefault="00A73525" w:rsidP="00265CBD">
      <w:pPr>
        <w:pStyle w:val="BodyText"/>
        <w:ind w:left="720"/>
        <w:rPr>
          <w:szCs w:val="24"/>
        </w:rPr>
      </w:pPr>
      <w:r w:rsidRPr="001961BE">
        <w:rPr>
          <w:szCs w:val="24"/>
        </w:rPr>
        <w:t>Not applicable.</w:t>
      </w:r>
    </w:p>
    <w:p w:rsidR="00A73525" w:rsidRPr="00622136" w:rsidRDefault="00A73525" w:rsidP="00265CBD">
      <w:pPr>
        <w:pStyle w:val="BodyText"/>
        <w:ind w:left="720"/>
        <w:rPr>
          <w:szCs w:val="24"/>
        </w:rPr>
      </w:pPr>
    </w:p>
    <w:p w:rsidR="00AA1E33" w:rsidRPr="00BD7486" w:rsidRDefault="00AA1E33" w:rsidP="00265CBD">
      <w:pPr>
        <w:widowControl/>
        <w:numPr>
          <w:ilvl w:val="0"/>
          <w:numId w:val="24"/>
        </w:numPr>
        <w:tabs>
          <w:tab w:val="left" w:pos="-1440"/>
        </w:tabs>
        <w:ind w:hanging="720"/>
        <w:rPr>
          <w:b w:val="0"/>
          <w:bCs w:val="0"/>
          <w:i/>
          <w:iCs/>
          <w:sz w:val="24"/>
          <w:szCs w:val="24"/>
        </w:rPr>
      </w:pPr>
      <w:r w:rsidRPr="00BD7486">
        <w:rPr>
          <w:b w:val="0"/>
          <w:bCs w:val="0"/>
          <w:i/>
          <w:iCs/>
          <w:sz w:val="24"/>
          <w:szCs w:val="24"/>
        </w:rPr>
        <w:t xml:space="preserve">Provide estimates of the hour burden of the collection of information.  The statement should indicate the number of respondents, frequency of response, annual hour burden, and an explanation of how the burden was estimated.  Unless directed to do so, agencies </w:t>
      </w:r>
      <w:r w:rsidRPr="00BD7486">
        <w:rPr>
          <w:b w:val="0"/>
          <w:bCs w:val="0"/>
          <w:i/>
          <w:iCs/>
          <w:sz w:val="24"/>
          <w:szCs w:val="24"/>
        </w:rPr>
        <w:lastRenderedPageBreak/>
        <w:t>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A1E33" w:rsidRPr="00B66981" w:rsidRDefault="00AA1E33" w:rsidP="00265CBD">
      <w:pPr>
        <w:widowControl/>
        <w:ind w:left="720"/>
        <w:rPr>
          <w:b w:val="0"/>
          <w:bCs w:val="0"/>
          <w:i/>
          <w:iCs/>
          <w:sz w:val="24"/>
          <w:szCs w:val="24"/>
        </w:rPr>
      </w:pPr>
    </w:p>
    <w:p w:rsidR="00AA1E33" w:rsidRPr="001E4013" w:rsidRDefault="00AA1E33" w:rsidP="00265CBD">
      <w:pPr>
        <w:widowControl/>
        <w:numPr>
          <w:ilvl w:val="0"/>
          <w:numId w:val="10"/>
        </w:numPr>
        <w:tabs>
          <w:tab w:val="left" w:pos="-1440"/>
        </w:tabs>
        <w:ind w:left="1440" w:hanging="720"/>
        <w:rPr>
          <w:b w:val="0"/>
          <w:bCs w:val="0"/>
          <w:i/>
          <w:iCs/>
          <w:sz w:val="24"/>
          <w:szCs w:val="24"/>
        </w:rPr>
      </w:pPr>
      <w:r w:rsidRPr="001E4013">
        <w:rPr>
          <w:b w:val="0"/>
          <w:bCs w:val="0"/>
          <w:i/>
          <w:iCs/>
          <w:sz w:val="24"/>
          <w:szCs w:val="24"/>
        </w:rPr>
        <w:t>If this request for approval covers more than one form, provide separate hour burden estimates for each form and aggregate the hour burdens</w:t>
      </w:r>
      <w:r w:rsidR="00BA6A71" w:rsidRPr="001E4013">
        <w:rPr>
          <w:b w:val="0"/>
          <w:bCs w:val="0"/>
          <w:i/>
          <w:iCs/>
          <w:sz w:val="24"/>
          <w:szCs w:val="24"/>
        </w:rPr>
        <w:t xml:space="preserve">. </w:t>
      </w:r>
    </w:p>
    <w:p w:rsidR="00AA1E33" w:rsidRPr="00BD7486" w:rsidRDefault="00AA1E33" w:rsidP="00265CBD">
      <w:pPr>
        <w:widowControl/>
        <w:numPr>
          <w:ilvl w:val="0"/>
          <w:numId w:val="10"/>
        </w:numPr>
        <w:tabs>
          <w:tab w:val="clear" w:pos="720"/>
          <w:tab w:val="left" w:pos="-1440"/>
        </w:tabs>
        <w:ind w:left="1440" w:hanging="720"/>
        <w:rPr>
          <w:b w:val="0"/>
          <w:bCs w:val="0"/>
          <w:i/>
          <w:iCs/>
          <w:sz w:val="24"/>
          <w:szCs w:val="24"/>
        </w:rPr>
      </w:pPr>
      <w:r w:rsidRPr="001E4013">
        <w:rPr>
          <w:b w:val="0"/>
          <w:bCs w:val="0"/>
          <w:i/>
          <w:i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A1E33" w:rsidRPr="00BD7486" w:rsidRDefault="00AA1E33" w:rsidP="00265CBD">
      <w:pPr>
        <w:widowControl/>
        <w:numPr>
          <w:ilvl w:val="0"/>
          <w:numId w:val="10"/>
        </w:numPr>
        <w:tabs>
          <w:tab w:val="left" w:pos="-1440"/>
        </w:tabs>
        <w:ind w:left="1440" w:hanging="720"/>
        <w:rPr>
          <w:b w:val="0"/>
          <w:bCs w:val="0"/>
          <w:i/>
          <w:iCs/>
          <w:sz w:val="24"/>
          <w:szCs w:val="24"/>
        </w:rPr>
      </w:pPr>
      <w:r w:rsidRPr="001E4013">
        <w:rPr>
          <w:b w:val="0"/>
          <w:bCs w:val="0"/>
          <w:i/>
          <w:iCs/>
          <w:sz w:val="24"/>
          <w:szCs w:val="24"/>
        </w:rPr>
        <w:t>The cost of contracting out or paying outside parties for information collection activities should not be included here.  Instead, this cost should be included in Item 14.</w:t>
      </w:r>
    </w:p>
    <w:p w:rsidR="00EB5A4E" w:rsidRPr="008127A7" w:rsidRDefault="00EB5A4E" w:rsidP="00265CBD">
      <w:pPr>
        <w:widowControl/>
        <w:tabs>
          <w:tab w:val="left" w:pos="-1440"/>
        </w:tabs>
        <w:ind w:left="720"/>
        <w:rPr>
          <w:b w:val="0"/>
          <w:bCs w:val="0"/>
          <w:iCs/>
          <w:color w:val="000000"/>
          <w:sz w:val="24"/>
          <w:szCs w:val="24"/>
        </w:rPr>
      </w:pPr>
    </w:p>
    <w:p w:rsidR="00C532E7" w:rsidRPr="00622136" w:rsidRDefault="00C532E7" w:rsidP="00265CBD">
      <w:pPr>
        <w:widowControl/>
        <w:tabs>
          <w:tab w:val="left" w:pos="-1440"/>
        </w:tabs>
        <w:ind w:left="720"/>
        <w:rPr>
          <w:b w:val="0"/>
          <w:bCs w:val="0"/>
          <w:iCs/>
          <w:color w:val="000000"/>
          <w:sz w:val="24"/>
          <w:szCs w:val="24"/>
        </w:rPr>
      </w:pPr>
      <w:r w:rsidRPr="00062BBA">
        <w:rPr>
          <w:b w:val="0"/>
          <w:bCs w:val="0"/>
          <w:iCs/>
          <w:color w:val="000000"/>
          <w:sz w:val="24"/>
          <w:szCs w:val="24"/>
        </w:rPr>
        <w:t xml:space="preserve">As discussed earlier, PHS Act Section 2712 and the </w:t>
      </w:r>
      <w:r w:rsidRPr="00B66981">
        <w:rPr>
          <w:b w:val="0"/>
          <w:bCs w:val="0"/>
          <w:iCs/>
          <w:color w:val="000000"/>
          <w:sz w:val="24"/>
          <w:szCs w:val="24"/>
        </w:rPr>
        <w:t>final regulations prohibit group health plans and health insurance issuers that offer group or individual health insurance coverage generally from rescinding coverage under the plan, policy, certificate, or contract of insurance from the individual covered</w:t>
      </w:r>
      <w:r w:rsidRPr="001961BE">
        <w:rPr>
          <w:b w:val="0"/>
          <w:bCs w:val="0"/>
          <w:iCs/>
          <w:color w:val="000000"/>
          <w:sz w:val="24"/>
          <w:szCs w:val="24"/>
        </w:rPr>
        <w:t xml:space="preserve"> under the plan or coverage unless the individual (or a person seeking coverage on behalf of the individual) performs an act, practice, or omission that constitutes fraud, or unless the individual makes an intentional misrepresentation of material fact, as prohibited by the terms of the plan or coverage.  The final regulations provide that a group health plan or a health insurance issuer offering group health insurance coverage must provide at least 30 days advance notice to an individual before cov</w:t>
      </w:r>
      <w:r w:rsidRPr="00622136">
        <w:rPr>
          <w:b w:val="0"/>
          <w:bCs w:val="0"/>
          <w:iCs/>
          <w:color w:val="000000"/>
          <w:sz w:val="24"/>
          <w:szCs w:val="24"/>
        </w:rPr>
        <w:t>erage may be rescinded.</w:t>
      </w:r>
    </w:p>
    <w:p w:rsidR="00C532E7" w:rsidRPr="00566247" w:rsidRDefault="00C532E7" w:rsidP="00265CBD">
      <w:pPr>
        <w:widowControl/>
        <w:tabs>
          <w:tab w:val="left" w:pos="-1440"/>
        </w:tabs>
        <w:ind w:left="720"/>
        <w:rPr>
          <w:b w:val="0"/>
          <w:bCs w:val="0"/>
          <w:iCs/>
          <w:color w:val="000000"/>
          <w:sz w:val="24"/>
          <w:szCs w:val="24"/>
        </w:rPr>
      </w:pPr>
    </w:p>
    <w:p w:rsidR="00C532E7" w:rsidRPr="00B66981" w:rsidRDefault="00C532E7" w:rsidP="00265CBD">
      <w:pPr>
        <w:widowControl/>
        <w:tabs>
          <w:tab w:val="left" w:pos="-1440"/>
        </w:tabs>
        <w:ind w:left="720"/>
        <w:rPr>
          <w:b w:val="0"/>
          <w:bCs w:val="0"/>
          <w:iCs/>
          <w:color w:val="000000"/>
          <w:sz w:val="24"/>
          <w:szCs w:val="24"/>
        </w:rPr>
      </w:pPr>
      <w:r w:rsidRPr="00566247">
        <w:rPr>
          <w:b w:val="0"/>
          <w:bCs w:val="0"/>
          <w:iCs/>
          <w:color w:val="000000"/>
          <w:sz w:val="24"/>
          <w:szCs w:val="24"/>
        </w:rPr>
        <w:t>The Department assumes that rescissions are rare in the group market and that small group health plans primarily are affected by rescissions. The Department is not aware of a data source on the number of group plans whose policy is rescinded; therefore, the Departments assume that 100 group health plan policies are rescinded in a year</w:t>
      </w:r>
      <w:r w:rsidR="00C303DF" w:rsidRPr="00792AC5">
        <w:rPr>
          <w:b w:val="0"/>
          <w:bCs w:val="0"/>
          <w:iCs/>
          <w:color w:val="000000"/>
          <w:sz w:val="24"/>
          <w:szCs w:val="24"/>
        </w:rPr>
        <w:t>, and these plans are the respondents for the ICR</w:t>
      </w:r>
      <w:r w:rsidRPr="00F079A2">
        <w:rPr>
          <w:b w:val="0"/>
          <w:bCs w:val="0"/>
          <w:iCs/>
          <w:color w:val="000000"/>
          <w:sz w:val="24"/>
          <w:szCs w:val="24"/>
        </w:rPr>
        <w:t xml:space="preserve">.  The Department estimates that there is an average of </w:t>
      </w:r>
      <w:r w:rsidR="00AE19EE" w:rsidRPr="00F079A2">
        <w:rPr>
          <w:b w:val="0"/>
          <w:bCs w:val="0"/>
          <w:iCs/>
          <w:color w:val="000000"/>
          <w:sz w:val="24"/>
          <w:szCs w:val="24"/>
        </w:rPr>
        <w:t>15</w:t>
      </w:r>
      <w:r w:rsidR="00916750" w:rsidRPr="00F079A2">
        <w:rPr>
          <w:b w:val="0"/>
          <w:bCs w:val="0"/>
          <w:iCs/>
          <w:color w:val="000000"/>
          <w:sz w:val="24"/>
          <w:szCs w:val="24"/>
        </w:rPr>
        <w:t>.33</w:t>
      </w:r>
      <w:r w:rsidRPr="00F079A2">
        <w:rPr>
          <w:b w:val="0"/>
          <w:bCs w:val="0"/>
          <w:iCs/>
          <w:color w:val="000000"/>
          <w:sz w:val="24"/>
          <w:szCs w:val="24"/>
        </w:rPr>
        <w:t xml:space="preserve"> participants in small, insured </w:t>
      </w:r>
      <w:r w:rsidR="00675A91" w:rsidRPr="00F079A2">
        <w:rPr>
          <w:b w:val="0"/>
          <w:bCs w:val="0"/>
          <w:iCs/>
          <w:color w:val="000000"/>
          <w:sz w:val="24"/>
          <w:szCs w:val="24"/>
        </w:rPr>
        <w:t xml:space="preserve">group health </w:t>
      </w:r>
      <w:r w:rsidRPr="00F079A2">
        <w:rPr>
          <w:b w:val="0"/>
          <w:bCs w:val="0"/>
          <w:iCs/>
          <w:color w:val="000000"/>
          <w:sz w:val="24"/>
          <w:szCs w:val="24"/>
        </w:rPr>
        <w:t>plans.  Based on the</w:t>
      </w:r>
      <w:r w:rsidR="00675A91" w:rsidRPr="00F079A2">
        <w:rPr>
          <w:b w:val="0"/>
          <w:bCs w:val="0"/>
          <w:iCs/>
          <w:color w:val="000000"/>
          <w:sz w:val="24"/>
          <w:szCs w:val="24"/>
        </w:rPr>
        <w:t xml:space="preserve"> foregoing,</w:t>
      </w:r>
      <w:r w:rsidRPr="00F079A2">
        <w:rPr>
          <w:b w:val="0"/>
          <w:bCs w:val="0"/>
          <w:iCs/>
          <w:color w:val="000000"/>
          <w:sz w:val="24"/>
          <w:szCs w:val="24"/>
        </w:rPr>
        <w:t xml:space="preserve"> the Department estimates that approximately 1,</w:t>
      </w:r>
      <w:r w:rsidR="00916750" w:rsidRPr="00F079A2">
        <w:rPr>
          <w:b w:val="0"/>
          <w:bCs w:val="0"/>
          <w:iCs/>
          <w:color w:val="000000"/>
          <w:sz w:val="24"/>
          <w:szCs w:val="24"/>
        </w:rPr>
        <w:t>5</w:t>
      </w:r>
      <w:r w:rsidRPr="00F079A2">
        <w:rPr>
          <w:b w:val="0"/>
          <w:bCs w:val="0"/>
          <w:iCs/>
          <w:color w:val="000000"/>
          <w:sz w:val="24"/>
          <w:szCs w:val="24"/>
        </w:rPr>
        <w:t>00 policies are rescinded during a year, which would result in 1,</w:t>
      </w:r>
      <w:r w:rsidR="00916750" w:rsidRPr="00F079A2">
        <w:rPr>
          <w:b w:val="0"/>
          <w:bCs w:val="0"/>
          <w:iCs/>
          <w:color w:val="000000"/>
          <w:sz w:val="24"/>
          <w:szCs w:val="24"/>
        </w:rPr>
        <w:t>5</w:t>
      </w:r>
      <w:r w:rsidRPr="00F079A2">
        <w:rPr>
          <w:b w:val="0"/>
          <w:bCs w:val="0"/>
          <w:iCs/>
          <w:color w:val="000000"/>
          <w:sz w:val="24"/>
          <w:szCs w:val="24"/>
        </w:rPr>
        <w:t xml:space="preserve">00 </w:t>
      </w:r>
      <w:r w:rsidR="00675A91" w:rsidRPr="00F079A2">
        <w:rPr>
          <w:b w:val="0"/>
          <w:bCs w:val="0"/>
          <w:iCs/>
          <w:color w:val="000000"/>
          <w:sz w:val="24"/>
          <w:szCs w:val="24"/>
        </w:rPr>
        <w:t xml:space="preserve">advance rescission </w:t>
      </w:r>
      <w:r w:rsidRPr="00F079A2">
        <w:rPr>
          <w:b w:val="0"/>
          <w:bCs w:val="0"/>
          <w:iCs/>
          <w:color w:val="000000"/>
          <w:sz w:val="24"/>
          <w:szCs w:val="24"/>
        </w:rPr>
        <w:t xml:space="preserve">notices </w:t>
      </w:r>
      <w:r w:rsidR="00C303DF" w:rsidRPr="00F079A2">
        <w:rPr>
          <w:b w:val="0"/>
          <w:bCs w:val="0"/>
          <w:iCs/>
          <w:color w:val="000000"/>
          <w:sz w:val="24"/>
          <w:szCs w:val="24"/>
        </w:rPr>
        <w:t xml:space="preserve">(responses) </w:t>
      </w:r>
      <w:r w:rsidRPr="00F079A2">
        <w:rPr>
          <w:b w:val="0"/>
          <w:bCs w:val="0"/>
          <w:iCs/>
          <w:color w:val="000000"/>
          <w:sz w:val="24"/>
          <w:szCs w:val="24"/>
        </w:rPr>
        <w:t>being sent to affected participants</w:t>
      </w:r>
      <w:r w:rsidR="00F079A2">
        <w:rPr>
          <w:b w:val="0"/>
          <w:bCs w:val="0"/>
          <w:iCs/>
          <w:color w:val="000000"/>
          <w:sz w:val="24"/>
          <w:szCs w:val="24"/>
        </w:rPr>
        <w:t xml:space="preserve"> with 38 percent transmitted electronically and 62 percent mailed</w:t>
      </w:r>
      <w:r w:rsidRPr="00F079A2">
        <w:rPr>
          <w:b w:val="0"/>
          <w:bCs w:val="0"/>
          <w:iCs/>
          <w:color w:val="000000"/>
          <w:sz w:val="24"/>
          <w:szCs w:val="24"/>
        </w:rPr>
        <w:t>. The Department estimates</w:t>
      </w:r>
      <w:r w:rsidR="00E22DBF" w:rsidRPr="00BD7486">
        <w:rPr>
          <w:rStyle w:val="FootnoteReference"/>
          <w:b w:val="0"/>
          <w:bCs w:val="0"/>
          <w:iCs/>
          <w:color w:val="000000"/>
          <w:sz w:val="24"/>
          <w:szCs w:val="24"/>
          <w:vertAlign w:val="superscript"/>
        </w:rPr>
        <w:footnoteReference w:id="2"/>
      </w:r>
      <w:r w:rsidRPr="00BD7486">
        <w:rPr>
          <w:b w:val="0"/>
          <w:bCs w:val="0"/>
          <w:iCs/>
          <w:color w:val="000000"/>
          <w:sz w:val="24"/>
          <w:szCs w:val="24"/>
        </w:rPr>
        <w:t xml:space="preserve"> that 15 minutes of legal profession</w:t>
      </w:r>
      <w:r w:rsidR="00675A91" w:rsidRPr="00BD7486">
        <w:rPr>
          <w:b w:val="0"/>
          <w:bCs w:val="0"/>
          <w:iCs/>
          <w:color w:val="000000"/>
          <w:sz w:val="24"/>
          <w:szCs w:val="24"/>
        </w:rPr>
        <w:t>al</w:t>
      </w:r>
      <w:r w:rsidRPr="00BD7486">
        <w:rPr>
          <w:b w:val="0"/>
          <w:bCs w:val="0"/>
          <w:iCs/>
          <w:color w:val="000000"/>
          <w:sz w:val="24"/>
          <w:szCs w:val="24"/>
        </w:rPr>
        <w:t xml:space="preserve"> time at $1</w:t>
      </w:r>
      <w:r w:rsidR="0014489D" w:rsidRPr="00BD7486">
        <w:rPr>
          <w:b w:val="0"/>
          <w:bCs w:val="0"/>
          <w:iCs/>
          <w:color w:val="000000"/>
          <w:sz w:val="24"/>
          <w:szCs w:val="24"/>
        </w:rPr>
        <w:t>2</w:t>
      </w:r>
      <w:r w:rsidR="00916750" w:rsidRPr="00BD7486">
        <w:rPr>
          <w:b w:val="0"/>
          <w:bCs w:val="0"/>
          <w:iCs/>
          <w:color w:val="000000"/>
          <w:sz w:val="24"/>
          <w:szCs w:val="24"/>
        </w:rPr>
        <w:t>9.94</w:t>
      </w:r>
      <w:r w:rsidRPr="008274B3">
        <w:rPr>
          <w:b w:val="0"/>
          <w:bCs w:val="0"/>
          <w:iCs/>
          <w:color w:val="000000"/>
          <w:sz w:val="24"/>
          <w:szCs w:val="24"/>
        </w:rPr>
        <w:t xml:space="preserve"> per hour</w:t>
      </w:r>
      <w:r w:rsidR="00E22DBF" w:rsidRPr="00BD7486">
        <w:rPr>
          <w:rStyle w:val="FootnoteReference"/>
          <w:b w:val="0"/>
          <w:bCs w:val="0"/>
          <w:iCs/>
          <w:color w:val="000000"/>
          <w:sz w:val="24"/>
          <w:szCs w:val="24"/>
          <w:vertAlign w:val="superscript"/>
        </w:rPr>
        <w:footnoteReference w:id="3"/>
      </w:r>
      <w:r w:rsidRPr="00BD7486">
        <w:rPr>
          <w:b w:val="0"/>
          <w:bCs w:val="0"/>
          <w:iCs/>
          <w:color w:val="000000"/>
          <w:sz w:val="24"/>
          <w:szCs w:val="24"/>
        </w:rPr>
        <w:t xml:space="preserve"> </w:t>
      </w:r>
      <w:r w:rsidRPr="00BD7486">
        <w:rPr>
          <w:b w:val="0"/>
          <w:bCs w:val="0"/>
          <w:iCs/>
          <w:color w:val="000000"/>
          <w:sz w:val="24"/>
          <w:szCs w:val="24"/>
        </w:rPr>
        <w:lastRenderedPageBreak/>
        <w:t>would be required by the insurers of the 100 plans to prepare the notice</w:t>
      </w:r>
      <w:r w:rsidR="00675A91" w:rsidRPr="00BD7486">
        <w:rPr>
          <w:b w:val="0"/>
          <w:bCs w:val="0"/>
          <w:iCs/>
          <w:color w:val="000000"/>
          <w:sz w:val="24"/>
          <w:szCs w:val="24"/>
        </w:rPr>
        <w:t>,</w:t>
      </w:r>
      <w:r w:rsidRPr="00BD7486">
        <w:rPr>
          <w:b w:val="0"/>
          <w:bCs w:val="0"/>
          <w:iCs/>
          <w:color w:val="000000"/>
          <w:sz w:val="24"/>
          <w:szCs w:val="24"/>
        </w:rPr>
        <w:t xml:space="preserve"> and one minute per notice of clerical professional time at $</w:t>
      </w:r>
      <w:r w:rsidR="00916750" w:rsidRPr="00BD7486">
        <w:rPr>
          <w:b w:val="0"/>
          <w:bCs w:val="0"/>
          <w:iCs/>
          <w:color w:val="000000"/>
          <w:sz w:val="24"/>
          <w:szCs w:val="24"/>
        </w:rPr>
        <w:t>30.42</w:t>
      </w:r>
      <w:r w:rsidRPr="008274B3">
        <w:rPr>
          <w:b w:val="0"/>
          <w:bCs w:val="0"/>
          <w:iCs/>
          <w:color w:val="000000"/>
          <w:sz w:val="24"/>
          <w:szCs w:val="24"/>
        </w:rPr>
        <w:t xml:space="preserve"> per hour</w:t>
      </w:r>
      <w:r w:rsidR="00E22DBF" w:rsidRPr="00BD7486">
        <w:rPr>
          <w:rStyle w:val="FootnoteReference"/>
          <w:b w:val="0"/>
          <w:bCs w:val="0"/>
          <w:iCs/>
          <w:color w:val="000000"/>
          <w:sz w:val="24"/>
          <w:szCs w:val="24"/>
          <w:vertAlign w:val="superscript"/>
        </w:rPr>
        <w:footnoteReference w:id="4"/>
      </w:r>
      <w:r w:rsidRPr="00BD7486">
        <w:rPr>
          <w:b w:val="0"/>
          <w:bCs w:val="0"/>
          <w:iCs/>
          <w:color w:val="000000"/>
          <w:sz w:val="24"/>
          <w:szCs w:val="24"/>
        </w:rPr>
        <w:t xml:space="preserve"> would be required to distribute the </w:t>
      </w:r>
      <w:r w:rsidR="000F525A">
        <w:rPr>
          <w:b w:val="0"/>
          <w:bCs w:val="0"/>
          <w:iCs/>
          <w:color w:val="000000"/>
          <w:sz w:val="24"/>
          <w:szCs w:val="24"/>
        </w:rPr>
        <w:t xml:space="preserve">paper </w:t>
      </w:r>
      <w:r w:rsidRPr="00BD7486">
        <w:rPr>
          <w:b w:val="0"/>
          <w:bCs w:val="0"/>
          <w:iCs/>
          <w:color w:val="000000"/>
          <w:sz w:val="24"/>
          <w:szCs w:val="24"/>
        </w:rPr>
        <w:t>notice</w:t>
      </w:r>
      <w:r w:rsidR="000F525A">
        <w:rPr>
          <w:b w:val="0"/>
          <w:bCs w:val="0"/>
          <w:iCs/>
          <w:color w:val="000000"/>
          <w:sz w:val="24"/>
          <w:szCs w:val="24"/>
        </w:rPr>
        <w:t>s</w:t>
      </w:r>
      <w:r w:rsidRPr="00BD7486">
        <w:rPr>
          <w:b w:val="0"/>
          <w:bCs w:val="0"/>
          <w:iCs/>
          <w:color w:val="000000"/>
          <w:sz w:val="24"/>
          <w:szCs w:val="24"/>
        </w:rPr>
        <w:t xml:space="preserve">. </w:t>
      </w:r>
      <w:r w:rsidR="005F6BB3">
        <w:rPr>
          <w:b w:val="0"/>
          <w:bCs w:val="0"/>
          <w:iCs/>
          <w:color w:val="000000"/>
          <w:sz w:val="24"/>
          <w:szCs w:val="24"/>
        </w:rPr>
        <w:t xml:space="preserve">The Departments believe the costs of electronic transmission would be de </w:t>
      </w:r>
      <w:proofErr w:type="spellStart"/>
      <w:r w:rsidR="005F6BB3">
        <w:rPr>
          <w:b w:val="0"/>
          <w:bCs w:val="0"/>
          <w:iCs/>
          <w:color w:val="000000"/>
          <w:sz w:val="24"/>
          <w:szCs w:val="24"/>
        </w:rPr>
        <w:t>minimis</w:t>
      </w:r>
      <w:proofErr w:type="spellEnd"/>
      <w:r w:rsidR="005F6BB3">
        <w:rPr>
          <w:b w:val="0"/>
          <w:bCs w:val="0"/>
          <w:iCs/>
          <w:color w:val="000000"/>
          <w:sz w:val="24"/>
          <w:szCs w:val="24"/>
        </w:rPr>
        <w:t xml:space="preserve">.  </w:t>
      </w:r>
      <w:r w:rsidRPr="00BD7486">
        <w:rPr>
          <w:b w:val="0"/>
          <w:bCs w:val="0"/>
          <w:iCs/>
          <w:color w:val="000000"/>
          <w:sz w:val="24"/>
          <w:szCs w:val="24"/>
        </w:rPr>
        <w:t xml:space="preserve">This results in an hour burden of approximately </w:t>
      </w:r>
      <w:r w:rsidR="005F6BB3">
        <w:rPr>
          <w:b w:val="0"/>
          <w:bCs w:val="0"/>
          <w:iCs/>
          <w:color w:val="000000"/>
          <w:sz w:val="24"/>
          <w:szCs w:val="24"/>
        </w:rPr>
        <w:t>4</w:t>
      </w:r>
      <w:r w:rsidR="00916750" w:rsidRPr="00BD7486">
        <w:rPr>
          <w:b w:val="0"/>
          <w:bCs w:val="0"/>
          <w:iCs/>
          <w:color w:val="000000"/>
          <w:sz w:val="24"/>
          <w:szCs w:val="24"/>
        </w:rPr>
        <w:t>1</w:t>
      </w:r>
      <w:r w:rsidRPr="008274B3">
        <w:rPr>
          <w:b w:val="0"/>
          <w:bCs w:val="0"/>
          <w:iCs/>
          <w:color w:val="000000"/>
          <w:sz w:val="24"/>
          <w:szCs w:val="24"/>
        </w:rPr>
        <w:t xml:space="preserve"> hours with an equivalent cost of approximately $</w:t>
      </w:r>
      <w:r w:rsidR="005F6BB3">
        <w:rPr>
          <w:b w:val="0"/>
          <w:bCs w:val="0"/>
          <w:iCs/>
          <w:color w:val="000000"/>
          <w:sz w:val="24"/>
          <w:szCs w:val="24"/>
        </w:rPr>
        <w:t>3,7</w:t>
      </w:r>
      <w:r w:rsidRPr="00B66981">
        <w:rPr>
          <w:b w:val="0"/>
          <w:bCs w:val="0"/>
          <w:iCs/>
          <w:color w:val="000000"/>
          <w:sz w:val="24"/>
          <w:szCs w:val="24"/>
        </w:rPr>
        <w:t>00.</w:t>
      </w:r>
    </w:p>
    <w:p w:rsidR="00B725A8" w:rsidRPr="001961BE" w:rsidRDefault="00B725A8" w:rsidP="00265CBD">
      <w:pPr>
        <w:widowControl/>
        <w:tabs>
          <w:tab w:val="left" w:pos="-1440"/>
        </w:tabs>
        <w:ind w:left="720"/>
        <w:rPr>
          <w:b w:val="0"/>
          <w:bCs w:val="0"/>
          <w:iCs/>
          <w:color w:val="000000"/>
          <w:sz w:val="24"/>
          <w:szCs w:val="24"/>
        </w:rPr>
      </w:pPr>
    </w:p>
    <w:p w:rsidR="00B725A8" w:rsidRPr="00566247" w:rsidRDefault="00B725A8" w:rsidP="00265CBD">
      <w:pPr>
        <w:widowControl/>
        <w:tabs>
          <w:tab w:val="left" w:pos="-1440"/>
        </w:tabs>
        <w:ind w:left="720"/>
        <w:rPr>
          <w:b w:val="0"/>
          <w:bCs w:val="0"/>
          <w:iCs/>
          <w:color w:val="000000"/>
          <w:sz w:val="24"/>
          <w:szCs w:val="24"/>
        </w:rPr>
      </w:pPr>
      <w:r w:rsidRPr="00622136">
        <w:rPr>
          <w:b w:val="0"/>
          <w:bCs w:val="0"/>
          <w:iCs/>
          <w:color w:val="000000"/>
          <w:sz w:val="24"/>
          <w:szCs w:val="24"/>
        </w:rPr>
        <w:t xml:space="preserve">The Department of Labor shares the hour burden of this information collection equally with the Department of Treasury; therefore, the hour burden allocated to the Department of Labor is approximately </w:t>
      </w:r>
      <w:r w:rsidR="00401E11">
        <w:rPr>
          <w:b w:val="0"/>
          <w:bCs w:val="0"/>
          <w:iCs/>
          <w:color w:val="000000"/>
          <w:sz w:val="24"/>
          <w:szCs w:val="24"/>
        </w:rPr>
        <w:t xml:space="preserve">20.5 </w:t>
      </w:r>
      <w:r w:rsidRPr="00622136">
        <w:rPr>
          <w:b w:val="0"/>
          <w:bCs w:val="0"/>
          <w:iCs/>
          <w:color w:val="000000"/>
          <w:sz w:val="24"/>
          <w:szCs w:val="24"/>
        </w:rPr>
        <w:t>hours with an equivalent cost of approximately $</w:t>
      </w:r>
      <w:r w:rsidR="00401E11">
        <w:rPr>
          <w:b w:val="0"/>
          <w:bCs w:val="0"/>
          <w:iCs/>
          <w:color w:val="000000"/>
          <w:sz w:val="24"/>
          <w:szCs w:val="24"/>
        </w:rPr>
        <w:t>1,850</w:t>
      </w:r>
      <w:r w:rsidRPr="00566247">
        <w:rPr>
          <w:b w:val="0"/>
          <w:bCs w:val="0"/>
          <w:iCs/>
          <w:color w:val="000000"/>
          <w:sz w:val="24"/>
          <w:szCs w:val="24"/>
        </w:rPr>
        <w:t>.</w:t>
      </w:r>
    </w:p>
    <w:p w:rsidR="00C532E7" w:rsidRPr="00F079A2" w:rsidRDefault="00C532E7" w:rsidP="00265CBD">
      <w:pPr>
        <w:widowControl/>
        <w:tabs>
          <w:tab w:val="left" w:pos="-1440"/>
        </w:tabs>
        <w:ind w:left="720"/>
        <w:rPr>
          <w:b w:val="0"/>
          <w:bCs w:val="0"/>
          <w:iCs/>
          <w:color w:val="000000"/>
          <w:sz w:val="24"/>
          <w:szCs w:val="24"/>
        </w:rPr>
      </w:pPr>
    </w:p>
    <w:p w:rsidR="00EB5A4E" w:rsidRPr="00BD7486" w:rsidRDefault="00EB5A4E" w:rsidP="000956B8">
      <w:pPr>
        <w:numPr>
          <w:ilvl w:val="0"/>
          <w:numId w:val="26"/>
        </w:numPr>
        <w:ind w:hanging="720"/>
        <w:rPr>
          <w:b w:val="0"/>
          <w:i/>
          <w:iCs/>
          <w:color w:val="000000"/>
          <w:sz w:val="24"/>
          <w:szCs w:val="24"/>
        </w:rPr>
      </w:pPr>
      <w:r w:rsidRPr="00BD7486">
        <w:rPr>
          <w:b w:val="0"/>
          <w:i/>
          <w:iCs/>
          <w:color w:val="000000"/>
          <w:sz w:val="24"/>
          <w:szCs w:val="24"/>
        </w:rPr>
        <w:t>Provide an estimate of the total annual cost burden to respondents or record-keepers resulting from the collection of information.  (Do not include the cost of any hour burden shown in Items 12.)</w:t>
      </w:r>
    </w:p>
    <w:p w:rsidR="00C532E7" w:rsidRPr="00BD7486" w:rsidRDefault="00C532E7" w:rsidP="000956B8">
      <w:pPr>
        <w:ind w:left="720"/>
        <w:rPr>
          <w:b w:val="0"/>
          <w:i/>
          <w:iCs/>
          <w:color w:val="000000"/>
          <w:sz w:val="24"/>
          <w:szCs w:val="24"/>
        </w:rPr>
      </w:pPr>
    </w:p>
    <w:p w:rsidR="00EB5A4E" w:rsidRPr="00BD7486" w:rsidRDefault="00C532E7" w:rsidP="000956B8">
      <w:pPr>
        <w:ind w:left="720"/>
        <w:rPr>
          <w:b w:val="0"/>
          <w:bCs w:val="0"/>
          <w:iCs/>
          <w:sz w:val="24"/>
          <w:szCs w:val="24"/>
        </w:rPr>
      </w:pPr>
      <w:r w:rsidRPr="00BD7486">
        <w:rPr>
          <w:b w:val="0"/>
          <w:color w:val="000000"/>
          <w:sz w:val="24"/>
          <w:szCs w:val="24"/>
        </w:rPr>
        <w:t xml:space="preserve">The Department estimates that the cost burden associated with distributing the </w:t>
      </w:r>
      <w:r w:rsidR="00401E11">
        <w:rPr>
          <w:b w:val="0"/>
          <w:color w:val="000000"/>
          <w:sz w:val="24"/>
          <w:szCs w:val="24"/>
        </w:rPr>
        <w:t>950 paper</w:t>
      </w:r>
      <w:r w:rsidRPr="00BD7486">
        <w:rPr>
          <w:b w:val="0"/>
          <w:color w:val="000000"/>
          <w:sz w:val="24"/>
          <w:szCs w:val="24"/>
        </w:rPr>
        <w:t xml:space="preserve"> notices will be approximately $</w:t>
      </w:r>
      <w:r w:rsidR="00401E11">
        <w:rPr>
          <w:b w:val="0"/>
          <w:color w:val="000000"/>
          <w:sz w:val="24"/>
          <w:szCs w:val="24"/>
        </w:rPr>
        <w:t>5</w:t>
      </w:r>
      <w:r w:rsidRPr="00BD7486">
        <w:rPr>
          <w:b w:val="0"/>
          <w:color w:val="000000"/>
          <w:sz w:val="24"/>
          <w:szCs w:val="24"/>
        </w:rPr>
        <w:t>00 (1,</w:t>
      </w:r>
      <w:r w:rsidR="004C1525" w:rsidRPr="00BD7486">
        <w:rPr>
          <w:b w:val="0"/>
          <w:color w:val="000000"/>
          <w:sz w:val="24"/>
          <w:szCs w:val="24"/>
        </w:rPr>
        <w:t>5</w:t>
      </w:r>
      <w:r w:rsidRPr="00BD7486">
        <w:rPr>
          <w:b w:val="0"/>
          <w:color w:val="000000"/>
          <w:sz w:val="24"/>
          <w:szCs w:val="24"/>
        </w:rPr>
        <w:t>00*</w:t>
      </w:r>
      <w:proofErr w:type="gramStart"/>
      <w:r w:rsidR="00401E11">
        <w:rPr>
          <w:b w:val="0"/>
          <w:color w:val="000000"/>
          <w:sz w:val="24"/>
          <w:szCs w:val="24"/>
        </w:rPr>
        <w:t>62%</w:t>
      </w:r>
      <w:proofErr w:type="gramEnd"/>
      <w:r w:rsidR="00401E11">
        <w:rPr>
          <w:b w:val="0"/>
          <w:color w:val="000000"/>
          <w:sz w:val="24"/>
          <w:szCs w:val="24"/>
        </w:rPr>
        <w:t>*</w:t>
      </w:r>
      <w:r w:rsidRPr="00BD7486">
        <w:rPr>
          <w:b w:val="0"/>
          <w:color w:val="000000"/>
          <w:sz w:val="24"/>
          <w:szCs w:val="24"/>
        </w:rPr>
        <w:t>($0.4</w:t>
      </w:r>
      <w:r w:rsidR="004C1525" w:rsidRPr="00BD7486">
        <w:rPr>
          <w:b w:val="0"/>
          <w:color w:val="000000"/>
          <w:sz w:val="24"/>
          <w:szCs w:val="24"/>
        </w:rPr>
        <w:t>9</w:t>
      </w:r>
      <w:r w:rsidRPr="00BD7486">
        <w:rPr>
          <w:b w:val="0"/>
          <w:color w:val="000000"/>
          <w:sz w:val="24"/>
          <w:szCs w:val="24"/>
        </w:rPr>
        <w:t>+ $0.05)).</w:t>
      </w:r>
      <w:r w:rsidR="00675A91" w:rsidRPr="00BD7486">
        <w:rPr>
          <w:rStyle w:val="FootnoteReference"/>
          <w:b w:val="0"/>
          <w:sz w:val="24"/>
          <w:szCs w:val="24"/>
          <w:vertAlign w:val="superscript"/>
        </w:rPr>
        <w:footnoteReference w:id="5"/>
      </w:r>
      <w:r w:rsidR="00675A91" w:rsidRPr="00BD7486">
        <w:rPr>
          <w:b w:val="0"/>
          <w:sz w:val="24"/>
          <w:szCs w:val="24"/>
          <w:vertAlign w:val="superscript"/>
        </w:rPr>
        <w:t xml:space="preserve"> </w:t>
      </w:r>
      <w:r w:rsidR="00675A91" w:rsidRPr="00BD7486">
        <w:rPr>
          <w:sz w:val="24"/>
          <w:szCs w:val="24"/>
        </w:rPr>
        <w:t xml:space="preserve"> </w:t>
      </w:r>
      <w:r w:rsidRPr="00BD7486">
        <w:rPr>
          <w:b w:val="0"/>
          <w:color w:val="000000"/>
          <w:sz w:val="24"/>
          <w:szCs w:val="24"/>
        </w:rPr>
        <w:t xml:space="preserve">  </w:t>
      </w:r>
      <w:r w:rsidR="00B725A8" w:rsidRPr="00BD7486">
        <w:rPr>
          <w:b w:val="0"/>
          <w:color w:val="000000"/>
          <w:sz w:val="24"/>
          <w:szCs w:val="24"/>
        </w:rPr>
        <w:t>The Department of Labor shares the cost burden of this information collection equally with th</w:t>
      </w:r>
      <w:r w:rsidR="00B725A8" w:rsidRPr="008127A7">
        <w:rPr>
          <w:b w:val="0"/>
          <w:color w:val="000000"/>
          <w:sz w:val="24"/>
          <w:szCs w:val="24"/>
        </w:rPr>
        <w:t xml:space="preserve">e Department of Treasury; therefore, the cost burden allocated to the Department of Labor is </w:t>
      </w:r>
      <w:r w:rsidR="00B725A8" w:rsidRPr="00062BBA">
        <w:rPr>
          <w:b w:val="0"/>
          <w:color w:val="000000"/>
          <w:sz w:val="24"/>
          <w:szCs w:val="24"/>
        </w:rPr>
        <w:t>$</w:t>
      </w:r>
      <w:r w:rsidR="009B3CA9">
        <w:rPr>
          <w:b w:val="0"/>
          <w:color w:val="000000"/>
          <w:sz w:val="24"/>
          <w:szCs w:val="24"/>
        </w:rPr>
        <w:t>25</w:t>
      </w:r>
      <w:r w:rsidR="00B725A8" w:rsidRPr="00062BBA">
        <w:rPr>
          <w:b w:val="0"/>
          <w:color w:val="000000"/>
          <w:sz w:val="24"/>
          <w:szCs w:val="24"/>
        </w:rPr>
        <w:t>0.</w:t>
      </w:r>
    </w:p>
    <w:p w:rsidR="00C532E7" w:rsidRPr="00BD7486" w:rsidRDefault="00C532E7" w:rsidP="000956B8">
      <w:pPr>
        <w:widowControl/>
        <w:tabs>
          <w:tab w:val="left" w:pos="-1440"/>
        </w:tabs>
        <w:ind w:left="720"/>
        <w:rPr>
          <w:b w:val="0"/>
          <w:bCs w:val="0"/>
          <w:sz w:val="24"/>
          <w:szCs w:val="24"/>
        </w:rPr>
      </w:pPr>
    </w:p>
    <w:p w:rsidR="00AA1E33" w:rsidRPr="00BD7486" w:rsidRDefault="00AA1E33" w:rsidP="000956B8">
      <w:pPr>
        <w:widowControl/>
        <w:numPr>
          <w:ilvl w:val="0"/>
          <w:numId w:val="26"/>
        </w:numPr>
        <w:tabs>
          <w:tab w:val="left" w:pos="-1440"/>
        </w:tabs>
        <w:ind w:hanging="720"/>
        <w:rPr>
          <w:b w:val="0"/>
          <w:bCs w:val="0"/>
          <w:i/>
          <w:iCs/>
          <w:sz w:val="24"/>
          <w:szCs w:val="24"/>
        </w:rPr>
      </w:pPr>
      <w:r w:rsidRPr="00BD7486">
        <w:rPr>
          <w:b w:val="0"/>
          <w:bCs w:val="0"/>
          <w:i/>
          <w:i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A1E33" w:rsidRPr="00B66981" w:rsidRDefault="00AA1E33" w:rsidP="000956B8">
      <w:pPr>
        <w:widowControl/>
        <w:ind w:left="720"/>
        <w:rPr>
          <w:b w:val="0"/>
          <w:bCs w:val="0"/>
          <w:sz w:val="24"/>
          <w:szCs w:val="24"/>
        </w:rPr>
      </w:pPr>
    </w:p>
    <w:p w:rsidR="00AA1E33" w:rsidRPr="001961BE" w:rsidRDefault="00A73525" w:rsidP="000956B8">
      <w:pPr>
        <w:widowControl/>
        <w:ind w:left="720"/>
        <w:rPr>
          <w:b w:val="0"/>
          <w:bCs w:val="0"/>
          <w:sz w:val="24"/>
          <w:szCs w:val="24"/>
        </w:rPr>
      </w:pPr>
      <w:bookmarkStart w:id="0" w:name="OLE_LINK1"/>
      <w:bookmarkStart w:id="1" w:name="OLE_LINK2"/>
      <w:r w:rsidRPr="001961BE">
        <w:rPr>
          <w:b w:val="0"/>
          <w:bCs w:val="0"/>
          <w:sz w:val="24"/>
          <w:szCs w:val="24"/>
        </w:rPr>
        <w:t>Not applicable.</w:t>
      </w:r>
      <w:bookmarkEnd w:id="0"/>
      <w:bookmarkEnd w:id="1"/>
    </w:p>
    <w:p w:rsidR="00FF59F5" w:rsidRPr="00622136" w:rsidRDefault="00FF59F5" w:rsidP="000956B8">
      <w:pPr>
        <w:widowControl/>
        <w:ind w:left="720"/>
        <w:rPr>
          <w:b w:val="0"/>
          <w:bCs w:val="0"/>
          <w:sz w:val="24"/>
          <w:szCs w:val="24"/>
        </w:rPr>
      </w:pPr>
    </w:p>
    <w:p w:rsidR="00AA1E33" w:rsidRPr="00BD7486" w:rsidRDefault="00AA1E33" w:rsidP="00273126">
      <w:pPr>
        <w:widowControl/>
        <w:numPr>
          <w:ilvl w:val="0"/>
          <w:numId w:val="26"/>
        </w:numPr>
        <w:tabs>
          <w:tab w:val="left" w:pos="-1440"/>
        </w:tabs>
        <w:ind w:hanging="720"/>
        <w:rPr>
          <w:b w:val="0"/>
          <w:bCs w:val="0"/>
          <w:i/>
          <w:iCs/>
          <w:sz w:val="24"/>
          <w:szCs w:val="24"/>
        </w:rPr>
      </w:pPr>
      <w:r w:rsidRPr="00BD7486">
        <w:rPr>
          <w:b w:val="0"/>
          <w:bCs w:val="0"/>
          <w:i/>
          <w:iCs/>
          <w:sz w:val="24"/>
          <w:szCs w:val="24"/>
        </w:rPr>
        <w:t>Explain the reasons for any program changes or adjustments reporting in Items 13 or 14.</w:t>
      </w:r>
    </w:p>
    <w:p w:rsidR="005228CC" w:rsidRPr="001E4013" w:rsidRDefault="005228CC" w:rsidP="00273126">
      <w:pPr>
        <w:widowControl/>
        <w:tabs>
          <w:tab w:val="left" w:pos="-1440"/>
        </w:tabs>
        <w:ind w:left="720"/>
        <w:rPr>
          <w:b w:val="0"/>
          <w:bCs w:val="0"/>
          <w:i/>
          <w:iCs/>
          <w:sz w:val="24"/>
          <w:szCs w:val="24"/>
        </w:rPr>
      </w:pPr>
    </w:p>
    <w:p w:rsidR="00392521" w:rsidRPr="00BD7486" w:rsidRDefault="00933B9A" w:rsidP="00273126">
      <w:pPr>
        <w:widowControl/>
        <w:tabs>
          <w:tab w:val="left" w:pos="-1440"/>
        </w:tabs>
        <w:ind w:left="720"/>
        <w:rPr>
          <w:b w:val="0"/>
          <w:bCs w:val="0"/>
          <w:iCs/>
          <w:sz w:val="24"/>
          <w:szCs w:val="24"/>
        </w:rPr>
      </w:pPr>
      <w:r>
        <w:rPr>
          <w:b w:val="0"/>
          <w:bCs w:val="0"/>
          <w:iCs/>
          <w:sz w:val="24"/>
          <w:szCs w:val="24"/>
        </w:rPr>
        <w:lastRenderedPageBreak/>
        <w:t>T</w:t>
      </w:r>
      <w:r w:rsidR="00FC1EEC" w:rsidRPr="00BD7486">
        <w:rPr>
          <w:b w:val="0"/>
          <w:bCs w:val="0"/>
          <w:iCs/>
          <w:sz w:val="24"/>
          <w:szCs w:val="24"/>
        </w:rPr>
        <w:t xml:space="preserve">he final regulations </w:t>
      </w:r>
      <w:r w:rsidR="005A310B">
        <w:rPr>
          <w:b w:val="0"/>
          <w:bCs w:val="0"/>
          <w:iCs/>
          <w:sz w:val="24"/>
          <w:szCs w:val="24"/>
        </w:rPr>
        <w:t xml:space="preserve">do not change </w:t>
      </w:r>
      <w:r w:rsidR="00FC1EEC" w:rsidRPr="00BD7486">
        <w:rPr>
          <w:b w:val="0"/>
          <w:bCs w:val="0"/>
          <w:iCs/>
          <w:sz w:val="24"/>
          <w:szCs w:val="24"/>
        </w:rPr>
        <w:t xml:space="preserve">the </w:t>
      </w:r>
      <w:r w:rsidR="00B30E1D" w:rsidRPr="00BD7486">
        <w:rPr>
          <w:b w:val="0"/>
          <w:bCs w:val="0"/>
          <w:iCs/>
          <w:sz w:val="24"/>
          <w:szCs w:val="24"/>
        </w:rPr>
        <w:t xml:space="preserve">information collections </w:t>
      </w:r>
      <w:r>
        <w:rPr>
          <w:b w:val="0"/>
          <w:bCs w:val="0"/>
          <w:iCs/>
          <w:sz w:val="24"/>
          <w:szCs w:val="24"/>
        </w:rPr>
        <w:t>contained in the 2010 interim final regulations</w:t>
      </w:r>
      <w:r w:rsidR="005A310B">
        <w:rPr>
          <w:b w:val="0"/>
          <w:bCs w:val="0"/>
          <w:iCs/>
          <w:sz w:val="24"/>
          <w:szCs w:val="24"/>
        </w:rPr>
        <w:t>.</w:t>
      </w:r>
      <w:r>
        <w:rPr>
          <w:b w:val="0"/>
          <w:bCs w:val="0"/>
          <w:iCs/>
          <w:sz w:val="24"/>
          <w:szCs w:val="24"/>
        </w:rPr>
        <w:t xml:space="preserve"> </w:t>
      </w:r>
      <w:r w:rsidR="005A310B">
        <w:rPr>
          <w:b w:val="0"/>
          <w:bCs w:val="0"/>
          <w:iCs/>
          <w:sz w:val="24"/>
          <w:szCs w:val="24"/>
        </w:rPr>
        <w:t xml:space="preserve"> T</w:t>
      </w:r>
      <w:r w:rsidR="00B30E1D" w:rsidRPr="00BD7486">
        <w:rPr>
          <w:b w:val="0"/>
          <w:bCs w:val="0"/>
          <w:iCs/>
          <w:sz w:val="24"/>
          <w:szCs w:val="24"/>
        </w:rPr>
        <w:t>h</w:t>
      </w:r>
      <w:bookmarkStart w:id="2" w:name="_GoBack"/>
      <w:bookmarkEnd w:id="2"/>
      <w:r w:rsidR="00B30E1D" w:rsidRPr="00BD7486">
        <w:rPr>
          <w:b w:val="0"/>
          <w:bCs w:val="0"/>
          <w:iCs/>
          <w:sz w:val="24"/>
          <w:szCs w:val="24"/>
        </w:rPr>
        <w:t xml:space="preserve">e estimates have been updated to reflect more current per-plan participant counts </w:t>
      </w:r>
      <w:proofErr w:type="gramStart"/>
      <w:r w:rsidR="00B30E1D" w:rsidRPr="00BD7486">
        <w:rPr>
          <w:b w:val="0"/>
          <w:bCs w:val="0"/>
          <w:iCs/>
          <w:sz w:val="24"/>
          <w:szCs w:val="24"/>
        </w:rPr>
        <w:t>and  current</w:t>
      </w:r>
      <w:proofErr w:type="gramEnd"/>
      <w:r w:rsidR="00B30E1D" w:rsidRPr="00BD7486">
        <w:rPr>
          <w:b w:val="0"/>
          <w:bCs w:val="0"/>
          <w:iCs/>
          <w:sz w:val="24"/>
          <w:szCs w:val="24"/>
        </w:rPr>
        <w:t xml:space="preserve"> wage and postage rates.</w:t>
      </w:r>
      <w:r w:rsidR="00371FDA" w:rsidRPr="00BD7486">
        <w:rPr>
          <w:b w:val="0"/>
          <w:bCs w:val="0"/>
          <w:iCs/>
          <w:sz w:val="24"/>
          <w:szCs w:val="24"/>
        </w:rPr>
        <w:t>.</w:t>
      </w:r>
      <w:r w:rsidR="0014489D" w:rsidRPr="00BD7486">
        <w:rPr>
          <w:b w:val="0"/>
          <w:bCs w:val="0"/>
          <w:iCs/>
          <w:sz w:val="24"/>
          <w:szCs w:val="24"/>
        </w:rPr>
        <w:t xml:space="preserve"> </w:t>
      </w:r>
    </w:p>
    <w:p w:rsidR="00AA1E33" w:rsidRPr="00B66981" w:rsidRDefault="00AA1E33" w:rsidP="00273126">
      <w:pPr>
        <w:widowControl/>
        <w:tabs>
          <w:tab w:val="left" w:pos="-1440"/>
        </w:tabs>
        <w:ind w:left="720"/>
        <w:rPr>
          <w:b w:val="0"/>
          <w:bCs w:val="0"/>
          <w:sz w:val="24"/>
          <w:szCs w:val="24"/>
        </w:rPr>
      </w:pPr>
    </w:p>
    <w:p w:rsidR="00AA1E33" w:rsidRPr="00BD7486" w:rsidRDefault="00AA1E33" w:rsidP="00273126">
      <w:pPr>
        <w:widowControl/>
        <w:numPr>
          <w:ilvl w:val="0"/>
          <w:numId w:val="26"/>
        </w:numPr>
        <w:tabs>
          <w:tab w:val="left" w:pos="-1440"/>
        </w:tabs>
        <w:ind w:hanging="720"/>
        <w:rPr>
          <w:b w:val="0"/>
          <w:bCs w:val="0"/>
          <w:i/>
          <w:iCs/>
          <w:sz w:val="24"/>
          <w:szCs w:val="24"/>
        </w:rPr>
      </w:pPr>
      <w:r w:rsidRPr="00BD7486">
        <w:rPr>
          <w:b w:val="0"/>
          <w:bCs w:val="0"/>
          <w:i/>
          <w:i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A1E33" w:rsidRPr="00B66981" w:rsidRDefault="00AA1E33" w:rsidP="001E4013">
      <w:pPr>
        <w:widowControl/>
        <w:ind w:left="720"/>
        <w:rPr>
          <w:b w:val="0"/>
          <w:bCs w:val="0"/>
          <w:sz w:val="24"/>
          <w:szCs w:val="24"/>
        </w:rPr>
      </w:pPr>
    </w:p>
    <w:p w:rsidR="00AA1E33" w:rsidRPr="00B66981" w:rsidRDefault="00AA1E33" w:rsidP="001E4013">
      <w:pPr>
        <w:pStyle w:val="BodyText"/>
        <w:ind w:left="720"/>
        <w:outlineLvl w:val="0"/>
        <w:rPr>
          <w:szCs w:val="24"/>
        </w:rPr>
      </w:pPr>
      <w:r w:rsidRPr="00B66981">
        <w:rPr>
          <w:szCs w:val="24"/>
        </w:rPr>
        <w:t>There are no plans to publish the results of this collection of information.</w:t>
      </w:r>
    </w:p>
    <w:p w:rsidR="00AA1E33" w:rsidRPr="00B66981" w:rsidRDefault="00AA1E33" w:rsidP="001E4013">
      <w:pPr>
        <w:widowControl/>
        <w:ind w:left="720"/>
        <w:rPr>
          <w:b w:val="0"/>
          <w:bCs w:val="0"/>
          <w:sz w:val="24"/>
          <w:szCs w:val="24"/>
        </w:rPr>
      </w:pPr>
    </w:p>
    <w:p w:rsidR="00AA1E33" w:rsidRPr="00BD7486" w:rsidRDefault="00AA1E33" w:rsidP="001E4013">
      <w:pPr>
        <w:widowControl/>
        <w:numPr>
          <w:ilvl w:val="0"/>
          <w:numId w:val="26"/>
        </w:numPr>
        <w:tabs>
          <w:tab w:val="left" w:pos="-1440"/>
        </w:tabs>
        <w:ind w:hanging="720"/>
        <w:rPr>
          <w:b w:val="0"/>
          <w:bCs w:val="0"/>
          <w:i/>
          <w:iCs/>
          <w:sz w:val="24"/>
          <w:szCs w:val="24"/>
        </w:rPr>
      </w:pPr>
      <w:r w:rsidRPr="001E4013">
        <w:rPr>
          <w:b w:val="0"/>
          <w:bCs w:val="0"/>
          <w:i/>
          <w:iCs/>
          <w:sz w:val="24"/>
          <w:szCs w:val="24"/>
        </w:rPr>
        <w:t>If seeking approval to not display the expiration date for OMB approval of the information collection, explain the reasons that display would be inappropriate.</w:t>
      </w:r>
    </w:p>
    <w:p w:rsidR="00A7230A" w:rsidRPr="001E4013" w:rsidRDefault="00A7230A" w:rsidP="001E4013">
      <w:pPr>
        <w:widowControl/>
        <w:tabs>
          <w:tab w:val="left" w:pos="-1440"/>
        </w:tabs>
        <w:ind w:left="720"/>
        <w:rPr>
          <w:b w:val="0"/>
          <w:bCs w:val="0"/>
          <w:sz w:val="24"/>
          <w:szCs w:val="24"/>
        </w:rPr>
      </w:pPr>
    </w:p>
    <w:p w:rsidR="00A7230A" w:rsidRPr="008127A7" w:rsidRDefault="00A7230A" w:rsidP="001E4013">
      <w:pPr>
        <w:pStyle w:val="BodyText"/>
        <w:ind w:left="720"/>
        <w:rPr>
          <w:szCs w:val="24"/>
        </w:rPr>
      </w:pPr>
      <w:r w:rsidRPr="00BD7486">
        <w:rPr>
          <w:szCs w:val="24"/>
        </w:rPr>
        <w:t xml:space="preserve">The OMB </w:t>
      </w:r>
      <w:r w:rsidR="00C532E7" w:rsidRPr="00BD7486">
        <w:rPr>
          <w:szCs w:val="24"/>
        </w:rPr>
        <w:t xml:space="preserve">approval </w:t>
      </w:r>
      <w:r w:rsidRPr="00BD7486">
        <w:rPr>
          <w:szCs w:val="24"/>
        </w:rPr>
        <w:t>expiration date will be published in the Federal Register following OMB approval.</w:t>
      </w:r>
    </w:p>
    <w:p w:rsidR="00A7230A" w:rsidRPr="001E4013" w:rsidRDefault="00A7230A" w:rsidP="001E4013">
      <w:pPr>
        <w:widowControl/>
        <w:tabs>
          <w:tab w:val="left" w:pos="-1440"/>
        </w:tabs>
        <w:ind w:left="720"/>
        <w:rPr>
          <w:b w:val="0"/>
          <w:bCs w:val="0"/>
          <w:sz w:val="24"/>
          <w:szCs w:val="24"/>
        </w:rPr>
      </w:pPr>
    </w:p>
    <w:p w:rsidR="00AA1E33" w:rsidRPr="001E4013" w:rsidRDefault="00AA1E33" w:rsidP="001E4013">
      <w:pPr>
        <w:widowControl/>
        <w:numPr>
          <w:ilvl w:val="0"/>
          <w:numId w:val="26"/>
        </w:numPr>
        <w:tabs>
          <w:tab w:val="left" w:pos="-1440"/>
        </w:tabs>
        <w:ind w:hanging="720"/>
        <w:rPr>
          <w:b w:val="0"/>
          <w:i/>
          <w:iCs/>
          <w:sz w:val="24"/>
          <w:szCs w:val="24"/>
        </w:rPr>
      </w:pPr>
      <w:r w:rsidRPr="001E4013">
        <w:rPr>
          <w:b w:val="0"/>
          <w:bCs w:val="0"/>
          <w:i/>
          <w:iCs/>
          <w:sz w:val="24"/>
          <w:szCs w:val="24"/>
        </w:rPr>
        <w:t>Explain each exception to the certification statement identified in Item 19, "Certification for Paperwork Reduction Act Submission</w:t>
      </w:r>
      <w:r w:rsidR="0078384D" w:rsidRPr="00BD7486">
        <w:rPr>
          <w:b w:val="0"/>
          <w:bCs w:val="0"/>
          <w:i/>
          <w:iCs/>
          <w:sz w:val="24"/>
          <w:szCs w:val="24"/>
        </w:rPr>
        <w:t>.</w:t>
      </w:r>
      <w:r w:rsidRPr="001E4013">
        <w:rPr>
          <w:b w:val="0"/>
          <w:bCs w:val="0"/>
          <w:i/>
          <w:iCs/>
          <w:sz w:val="24"/>
          <w:szCs w:val="24"/>
        </w:rPr>
        <w:t>"</w:t>
      </w:r>
    </w:p>
    <w:p w:rsidR="00AA1E33" w:rsidRPr="00BD7486" w:rsidRDefault="00AA1E33" w:rsidP="00EA66E2">
      <w:pPr>
        <w:widowControl/>
        <w:ind w:left="720"/>
        <w:rPr>
          <w:sz w:val="24"/>
          <w:szCs w:val="24"/>
        </w:rPr>
      </w:pPr>
    </w:p>
    <w:p w:rsidR="00AA1E33" w:rsidRPr="00062BBA" w:rsidRDefault="00AA1E33" w:rsidP="00EA66E2">
      <w:pPr>
        <w:widowControl/>
        <w:ind w:left="720"/>
        <w:outlineLvl w:val="0"/>
        <w:rPr>
          <w:b w:val="0"/>
          <w:bCs w:val="0"/>
          <w:sz w:val="24"/>
          <w:szCs w:val="24"/>
        </w:rPr>
      </w:pPr>
      <w:proofErr w:type="gramStart"/>
      <w:r w:rsidRPr="008127A7">
        <w:rPr>
          <w:b w:val="0"/>
          <w:bCs w:val="0"/>
          <w:sz w:val="24"/>
          <w:szCs w:val="24"/>
        </w:rPr>
        <w:t>None.</w:t>
      </w:r>
      <w:proofErr w:type="gramEnd"/>
    </w:p>
    <w:p w:rsidR="00AA1E33" w:rsidRPr="00B66981" w:rsidRDefault="00AA1E33" w:rsidP="00EA66E2">
      <w:pPr>
        <w:widowControl/>
        <w:ind w:left="720"/>
        <w:rPr>
          <w:b w:val="0"/>
          <w:bCs w:val="0"/>
          <w:sz w:val="24"/>
          <w:szCs w:val="24"/>
        </w:rPr>
      </w:pPr>
    </w:p>
    <w:p w:rsidR="00AA1E33" w:rsidRPr="001961BE" w:rsidRDefault="00AA1E33">
      <w:pPr>
        <w:pStyle w:val="Heading3"/>
        <w:rPr>
          <w:szCs w:val="24"/>
        </w:rPr>
      </w:pPr>
      <w:r w:rsidRPr="001961BE">
        <w:rPr>
          <w:szCs w:val="24"/>
        </w:rPr>
        <w:t>B.</w:t>
      </w:r>
      <w:r w:rsidRPr="001961BE">
        <w:rPr>
          <w:szCs w:val="24"/>
        </w:rPr>
        <w:tab/>
        <w:t>Collections of Information Employing Statistical Methods</w:t>
      </w:r>
    </w:p>
    <w:p w:rsidR="00AA1E33" w:rsidRPr="00622136" w:rsidRDefault="00AA1E33" w:rsidP="00EA66E2">
      <w:pPr>
        <w:widowControl/>
        <w:ind w:left="720"/>
        <w:rPr>
          <w:b w:val="0"/>
          <w:bCs w:val="0"/>
          <w:sz w:val="24"/>
          <w:szCs w:val="24"/>
        </w:rPr>
      </w:pPr>
    </w:p>
    <w:p w:rsidR="00AA1E33" w:rsidRPr="00566247" w:rsidRDefault="00AA1E33" w:rsidP="00925211">
      <w:pPr>
        <w:widowControl/>
        <w:ind w:left="720"/>
        <w:rPr>
          <w:b w:val="0"/>
          <w:bCs w:val="0"/>
          <w:sz w:val="24"/>
          <w:szCs w:val="24"/>
        </w:rPr>
      </w:pPr>
      <w:r w:rsidRPr="00622136">
        <w:rPr>
          <w:b w:val="0"/>
          <w:bCs w:val="0"/>
          <w:sz w:val="24"/>
          <w:szCs w:val="24"/>
        </w:rPr>
        <w:t>Not applicable.</w:t>
      </w:r>
    </w:p>
    <w:sectPr w:rsidR="00AA1E33" w:rsidRPr="00566247">
      <w:headerReference w:type="default" r:id="rId9"/>
      <w:footerReference w:type="even" r:id="rId10"/>
      <w:footerReference w:type="default" r:id="rId11"/>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70" w:rsidRDefault="00567470">
      <w:r>
        <w:separator/>
      </w:r>
    </w:p>
  </w:endnote>
  <w:endnote w:type="continuationSeparator" w:id="0">
    <w:p w:rsidR="00567470" w:rsidRDefault="0056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08" w:rsidRDefault="00DB5A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A08" w:rsidRDefault="00DB5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08" w:rsidRDefault="00DB5A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310B">
      <w:rPr>
        <w:rStyle w:val="PageNumber"/>
        <w:noProof/>
      </w:rPr>
      <w:t>7</w:t>
    </w:r>
    <w:r>
      <w:rPr>
        <w:rStyle w:val="PageNumber"/>
      </w:rPr>
      <w:fldChar w:fldCharType="end"/>
    </w:r>
  </w:p>
  <w:p w:rsidR="00DB5A08" w:rsidRDefault="00DB5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70" w:rsidRDefault="00567470">
      <w:r>
        <w:separator/>
      </w:r>
    </w:p>
  </w:footnote>
  <w:footnote w:type="continuationSeparator" w:id="0">
    <w:p w:rsidR="00567470" w:rsidRDefault="00567470">
      <w:r>
        <w:continuationSeparator/>
      </w:r>
    </w:p>
  </w:footnote>
  <w:footnote w:id="1">
    <w:p w:rsidR="00933B9A" w:rsidRPr="001E4013" w:rsidRDefault="00933B9A" w:rsidP="00933B9A">
      <w:pPr>
        <w:pStyle w:val="FootnoteText"/>
        <w:rPr>
          <w:b w:val="0"/>
          <w:sz w:val="20"/>
        </w:rPr>
      </w:pPr>
      <w:r w:rsidRPr="001E4013">
        <w:rPr>
          <w:rStyle w:val="FootnoteReference"/>
          <w:b w:val="0"/>
          <w:sz w:val="20"/>
          <w:vertAlign w:val="superscript"/>
        </w:rPr>
        <w:footnoteRef/>
      </w:r>
      <w:r w:rsidRPr="001E4013">
        <w:rPr>
          <w:b w:val="0"/>
          <w:sz w:val="20"/>
          <w:vertAlign w:val="superscript"/>
        </w:rPr>
        <w:t xml:space="preserve"> </w:t>
      </w:r>
      <w:r w:rsidRPr="001E4013">
        <w:rPr>
          <w:b w:val="0"/>
          <w:sz w:val="20"/>
        </w:rPr>
        <w:t>75 FR 37187 (June 28, 2010).</w:t>
      </w:r>
    </w:p>
    <w:p w:rsidR="00933B9A" w:rsidRPr="00933B9A" w:rsidRDefault="00933B9A">
      <w:pPr>
        <w:pStyle w:val="FootnoteText"/>
      </w:pPr>
    </w:p>
  </w:footnote>
  <w:footnote w:id="2">
    <w:p w:rsidR="00E22DBF" w:rsidRPr="00265CBD" w:rsidRDefault="00E22DBF">
      <w:pPr>
        <w:pStyle w:val="FootnoteText"/>
        <w:rPr>
          <w:b w:val="0"/>
          <w:sz w:val="20"/>
        </w:rPr>
      </w:pPr>
      <w:r w:rsidRPr="00265CBD">
        <w:rPr>
          <w:rStyle w:val="FootnoteReference"/>
          <w:b w:val="0"/>
          <w:sz w:val="20"/>
          <w:vertAlign w:val="superscript"/>
        </w:rPr>
        <w:footnoteRef/>
      </w:r>
      <w:r w:rsidRPr="00265CBD">
        <w:rPr>
          <w:b w:val="0"/>
          <w:sz w:val="20"/>
        </w:rPr>
        <w:t xml:space="preserve"> 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3">
    <w:p w:rsidR="00E22DBF" w:rsidRPr="00265CBD" w:rsidRDefault="00E22DBF">
      <w:pPr>
        <w:pStyle w:val="FootnoteText"/>
        <w:rPr>
          <w:b w:val="0"/>
          <w:sz w:val="20"/>
        </w:rPr>
      </w:pPr>
      <w:r w:rsidRPr="00265CBD">
        <w:rPr>
          <w:rStyle w:val="FootnoteReference"/>
          <w:b w:val="0"/>
          <w:sz w:val="20"/>
          <w:vertAlign w:val="superscript"/>
        </w:rPr>
        <w:footnoteRef/>
      </w:r>
      <w:r w:rsidRPr="00265CBD">
        <w:rPr>
          <w:b w:val="0"/>
          <w:sz w:val="20"/>
        </w:rPr>
        <w:t xml:space="preserve"> Legal Professional (23-1011): $63.46(2013 BLS Wage rate) /0.69(ECEC ratio) *1.35(Overhead Load Factor) *1.023(Inflation rate) ^2(Inflated 2 years from base year) = $129.94</w:t>
      </w:r>
    </w:p>
  </w:footnote>
  <w:footnote w:id="4">
    <w:p w:rsidR="00E22DBF" w:rsidRPr="00273126" w:rsidRDefault="00E22DBF">
      <w:pPr>
        <w:pStyle w:val="FootnoteText"/>
        <w:rPr>
          <w:b w:val="0"/>
          <w:sz w:val="20"/>
        </w:rPr>
      </w:pPr>
      <w:r w:rsidRPr="00273126">
        <w:rPr>
          <w:rStyle w:val="FootnoteReference"/>
          <w:b w:val="0"/>
          <w:sz w:val="20"/>
          <w:vertAlign w:val="superscript"/>
        </w:rPr>
        <w:footnoteRef/>
      </w:r>
      <w:r w:rsidRPr="00273126">
        <w:rPr>
          <w:b w:val="0"/>
          <w:sz w:val="20"/>
        </w:rPr>
        <w:t xml:space="preserve"> Secretaries, Except Legal, Medical, and Executive (43-6014): $16.35(2013 BLS Wage rate)/0.675(ECEC ratio) *1.2(Overhead Load Factor) *1.023(Inflation rate) ^2(Inflated 2 years from base year) = $30.42</w:t>
      </w:r>
    </w:p>
  </w:footnote>
  <w:footnote w:id="5">
    <w:p w:rsidR="00DB5A08" w:rsidRPr="00273126" w:rsidRDefault="00DB5A08" w:rsidP="00675A91">
      <w:pPr>
        <w:pStyle w:val="FootnoteText"/>
        <w:rPr>
          <w:b w:val="0"/>
          <w:sz w:val="20"/>
        </w:rPr>
      </w:pPr>
      <w:r w:rsidRPr="00273126">
        <w:rPr>
          <w:rStyle w:val="FootnoteReference"/>
          <w:b w:val="0"/>
          <w:sz w:val="20"/>
          <w:vertAlign w:val="superscript"/>
        </w:rPr>
        <w:footnoteRef/>
      </w:r>
      <w:r w:rsidRPr="00273126">
        <w:rPr>
          <w:b w:val="0"/>
          <w:sz w:val="20"/>
          <w:vertAlign w:val="superscript"/>
        </w:rPr>
        <w:t xml:space="preserve"> </w:t>
      </w:r>
      <w:r w:rsidRPr="00273126">
        <w:rPr>
          <w:b w:val="0"/>
          <w:sz w:val="20"/>
        </w:rPr>
        <w:t>This estimate is based on an average document size of one page, $.05 cents per page material and printing costs, and $</w:t>
      </w:r>
      <w:r w:rsidR="008274B3">
        <w:rPr>
          <w:b w:val="0"/>
          <w:sz w:val="20"/>
        </w:rPr>
        <w:t>0</w:t>
      </w:r>
      <w:r w:rsidRPr="00273126">
        <w:rPr>
          <w:b w:val="0"/>
          <w:sz w:val="20"/>
        </w:rPr>
        <w:t>.4</w:t>
      </w:r>
      <w:r w:rsidR="004C1525">
        <w:rPr>
          <w:b w:val="0"/>
          <w:sz w:val="20"/>
        </w:rPr>
        <w:t>9</w:t>
      </w:r>
      <w:r w:rsidRPr="00273126">
        <w:rPr>
          <w:b w:val="0"/>
          <w:sz w:val="20"/>
        </w:rPr>
        <w:t xml:space="preserve"> postage costs.</w:t>
      </w:r>
    </w:p>
    <w:p w:rsidR="00DB5A08" w:rsidRPr="00273126" w:rsidRDefault="00DB5A08" w:rsidP="00675A91">
      <w:pPr>
        <w:pStyle w:val="FootnoteText"/>
        <w:rPr>
          <w:b w:val="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C5" w:rsidRPr="00BD7486" w:rsidRDefault="00DB5A08" w:rsidP="00310FF2">
    <w:pPr>
      <w:pStyle w:val="Header"/>
      <w:jc w:val="right"/>
      <w:rPr>
        <w:b w:val="0"/>
        <w:bCs w:val="0"/>
      </w:rPr>
    </w:pPr>
    <w:r w:rsidRPr="00BD7486">
      <w:rPr>
        <w:b w:val="0"/>
        <w:bCs w:val="0"/>
      </w:rPr>
      <w:t>Affordable Care Act Advance Notice Of Rescissions</w:t>
    </w:r>
  </w:p>
  <w:p w:rsidR="00DB5A08" w:rsidRPr="00BD7486" w:rsidRDefault="00734FC5" w:rsidP="00310FF2">
    <w:pPr>
      <w:pStyle w:val="Header"/>
      <w:jc w:val="right"/>
      <w:rPr>
        <w:b w:val="0"/>
        <w:bCs w:val="0"/>
      </w:rPr>
    </w:pPr>
    <w:r w:rsidRPr="00BD7486">
      <w:rPr>
        <w:b w:val="0"/>
        <w:bCs w:val="0"/>
      </w:rPr>
      <w:t>OMB Control Number 1210-0141</w:t>
    </w:r>
  </w:p>
  <w:p w:rsidR="00EB6842" w:rsidRPr="008127A7" w:rsidRDefault="00E03F66">
    <w:pPr>
      <w:pStyle w:val="Header"/>
      <w:jc w:val="right"/>
      <w:rPr>
        <w:b w:val="0"/>
        <w:bCs w:val="0"/>
      </w:rPr>
    </w:pPr>
    <w:r>
      <w:rPr>
        <w:b w:val="0"/>
        <w:bCs w:val="0"/>
      </w:rPr>
      <w:t>October</w:t>
    </w:r>
    <w:r w:rsidR="005367E9" w:rsidRPr="00BD7486">
      <w:rPr>
        <w:b w:val="0"/>
        <w:bCs w:val="0"/>
      </w:rPr>
      <w:t xml:space="preserve"> 2015</w:t>
    </w:r>
  </w:p>
  <w:p w:rsidR="00DB5A08" w:rsidRPr="008127A7" w:rsidRDefault="00DB5A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CF350A"/>
    <w:multiLevelType w:val="hybridMultilevel"/>
    <w:tmpl w:val="07489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E3F56"/>
    <w:multiLevelType w:val="hybridMultilevel"/>
    <w:tmpl w:val="4C8AA262"/>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236435"/>
    <w:multiLevelType w:val="hybridMultilevel"/>
    <w:tmpl w:val="7FCA0D88"/>
    <w:lvl w:ilvl="0" w:tplc="6EE48C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1102C8"/>
    <w:multiLevelType w:val="hybridMultilevel"/>
    <w:tmpl w:val="356CD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C5F66"/>
    <w:multiLevelType w:val="hybridMultilevel"/>
    <w:tmpl w:val="5222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52C5C"/>
    <w:multiLevelType w:val="hybridMultilevel"/>
    <w:tmpl w:val="FD9E3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C976E0"/>
    <w:multiLevelType w:val="hybridMultilevel"/>
    <w:tmpl w:val="7FCA0D88"/>
    <w:lvl w:ilvl="0" w:tplc="6EE48C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8D6C4A"/>
    <w:multiLevelType w:val="hybridMultilevel"/>
    <w:tmpl w:val="46300E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454F0"/>
    <w:multiLevelType w:val="hybridMultilevel"/>
    <w:tmpl w:val="5FC4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B20D1"/>
    <w:multiLevelType w:val="hybridMultilevel"/>
    <w:tmpl w:val="65EC7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46665"/>
    <w:multiLevelType w:val="hybridMultilevel"/>
    <w:tmpl w:val="DAB4BFAA"/>
    <w:lvl w:ilvl="0" w:tplc="6EE48C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FEC5C85"/>
    <w:multiLevelType w:val="hybridMultilevel"/>
    <w:tmpl w:val="4E128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B7955"/>
    <w:multiLevelType w:val="hybridMultilevel"/>
    <w:tmpl w:val="EE445E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97A7808"/>
    <w:multiLevelType w:val="hybridMultilevel"/>
    <w:tmpl w:val="4B5E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025B3"/>
    <w:multiLevelType w:val="hybridMultilevel"/>
    <w:tmpl w:val="114A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B5490"/>
    <w:multiLevelType w:val="hybridMultilevel"/>
    <w:tmpl w:val="13C6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F4E66"/>
    <w:multiLevelType w:val="hybridMultilevel"/>
    <w:tmpl w:val="DAB4BF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45D1452"/>
    <w:multiLevelType w:val="hybridMultilevel"/>
    <w:tmpl w:val="7F6856F4"/>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F9564E"/>
    <w:multiLevelType w:val="hybridMultilevel"/>
    <w:tmpl w:val="825A32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2C24671"/>
    <w:multiLevelType w:val="hybridMultilevel"/>
    <w:tmpl w:val="F5D6D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C40C23"/>
    <w:multiLevelType w:val="hybridMultilevel"/>
    <w:tmpl w:val="F1CA5354"/>
    <w:lvl w:ilvl="0" w:tplc="0409000F">
      <w:start w:val="12"/>
      <w:numFmt w:val="decimal"/>
      <w:lvlText w:val="%1."/>
      <w:lvlJc w:val="left"/>
      <w:pPr>
        <w:tabs>
          <w:tab w:val="num" w:pos="720"/>
        </w:tabs>
        <w:ind w:left="720" w:hanging="360"/>
      </w:pPr>
      <w:rPr>
        <w:rFonts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4D2F16"/>
    <w:multiLevelType w:val="hybridMultilevel"/>
    <w:tmpl w:val="51D01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45D5E05"/>
    <w:multiLevelType w:val="hybridMultilevel"/>
    <w:tmpl w:val="6074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E25DC3"/>
    <w:multiLevelType w:val="hybridMultilevel"/>
    <w:tmpl w:val="8EA26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5A3AA1"/>
    <w:multiLevelType w:val="hybridMultilevel"/>
    <w:tmpl w:val="D2907C5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C81725"/>
    <w:multiLevelType w:val="hybridMultilevel"/>
    <w:tmpl w:val="14F0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9288B"/>
    <w:multiLevelType w:val="hybridMultilevel"/>
    <w:tmpl w:val="301A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506CC"/>
    <w:multiLevelType w:val="hybridMultilevel"/>
    <w:tmpl w:val="C54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613C92"/>
    <w:multiLevelType w:val="hybridMultilevel"/>
    <w:tmpl w:val="D2CE9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E7A5A13"/>
    <w:multiLevelType w:val="hybridMultilevel"/>
    <w:tmpl w:val="8D8EE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6B7021"/>
    <w:multiLevelType w:val="hybridMultilevel"/>
    <w:tmpl w:val="E7EAAE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6443CF3"/>
    <w:multiLevelType w:val="hybridMultilevel"/>
    <w:tmpl w:val="E522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16EE5"/>
    <w:multiLevelType w:val="hybridMultilevel"/>
    <w:tmpl w:val="563481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E912CF6"/>
    <w:multiLevelType w:val="hybridMultilevel"/>
    <w:tmpl w:val="3048A8EA"/>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48152A"/>
    <w:multiLevelType w:val="hybridMultilevel"/>
    <w:tmpl w:val="3AE8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A025A"/>
    <w:multiLevelType w:val="hybridMultilevel"/>
    <w:tmpl w:val="D0B0AE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34E6F25"/>
    <w:multiLevelType w:val="hybridMultilevel"/>
    <w:tmpl w:val="4678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F6E23"/>
    <w:multiLevelType w:val="hybridMultilevel"/>
    <w:tmpl w:val="469AF0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F4625FF"/>
    <w:multiLevelType w:val="hybridMultilevel"/>
    <w:tmpl w:val="D882A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555839"/>
    <w:multiLevelType w:val="hybridMultilevel"/>
    <w:tmpl w:val="98101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1552FF"/>
    <w:multiLevelType w:val="hybridMultilevel"/>
    <w:tmpl w:val="448E853E"/>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494F7C"/>
    <w:multiLevelType w:val="hybridMultilevel"/>
    <w:tmpl w:val="242642C2"/>
    <w:lvl w:ilvl="0" w:tplc="0409000F">
      <w:start w:val="1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06103E"/>
    <w:multiLevelType w:val="hybridMultilevel"/>
    <w:tmpl w:val="237480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FE4577"/>
    <w:multiLevelType w:val="hybridMultilevel"/>
    <w:tmpl w:val="6240B9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0"/>
    <w:lvlOverride w:ilvl="0">
      <w:startOverride w:val="3"/>
      <w:lvl w:ilvl="0">
        <w:start w:val="3"/>
        <w:numFmt w:val="decimal"/>
        <w:pStyle w:val="Quick1"/>
        <w:lvlText w:val="%1."/>
        <w:lvlJc w:val="left"/>
      </w:lvl>
    </w:lvlOverride>
  </w:num>
  <w:num w:numId="4">
    <w:abstractNumId w:val="34"/>
  </w:num>
  <w:num w:numId="5">
    <w:abstractNumId w:val="17"/>
  </w:num>
  <w:num w:numId="6">
    <w:abstractNumId w:val="36"/>
  </w:num>
  <w:num w:numId="7">
    <w:abstractNumId w:val="18"/>
  </w:num>
  <w:num w:numId="8">
    <w:abstractNumId w:val="7"/>
  </w:num>
  <w:num w:numId="9">
    <w:abstractNumId w:val="21"/>
  </w:num>
  <w:num w:numId="10">
    <w:abstractNumId w:val="3"/>
  </w:num>
  <w:num w:numId="11">
    <w:abstractNumId w:val="11"/>
  </w:num>
  <w:num w:numId="12">
    <w:abstractNumId w:val="41"/>
  </w:num>
  <w:num w:numId="13">
    <w:abstractNumId w:val="2"/>
  </w:num>
  <w:num w:numId="14">
    <w:abstractNumId w:val="23"/>
  </w:num>
  <w:num w:numId="15">
    <w:abstractNumId w:val="29"/>
  </w:num>
  <w:num w:numId="16">
    <w:abstractNumId w:val="6"/>
  </w:num>
  <w:num w:numId="17">
    <w:abstractNumId w:val="44"/>
  </w:num>
  <w:num w:numId="18">
    <w:abstractNumId w:val="13"/>
  </w:num>
  <w:num w:numId="19">
    <w:abstractNumId w:val="22"/>
  </w:num>
  <w:num w:numId="20">
    <w:abstractNumId w:val="33"/>
  </w:num>
  <w:num w:numId="21">
    <w:abstractNumId w:val="38"/>
  </w:num>
  <w:num w:numId="22">
    <w:abstractNumId w:val="4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0"/>
  </w:num>
  <w:num w:numId="26">
    <w:abstractNumId w:val="42"/>
  </w:num>
  <w:num w:numId="27">
    <w:abstractNumId w:val="16"/>
  </w:num>
  <w:num w:numId="28">
    <w:abstractNumId w:val="43"/>
  </w:num>
  <w:num w:numId="29">
    <w:abstractNumId w:val="9"/>
  </w:num>
  <w:num w:numId="30">
    <w:abstractNumId w:val="35"/>
  </w:num>
  <w:num w:numId="31">
    <w:abstractNumId w:val="32"/>
  </w:num>
  <w:num w:numId="32">
    <w:abstractNumId w:val="15"/>
  </w:num>
  <w:num w:numId="33">
    <w:abstractNumId w:val="10"/>
  </w:num>
  <w:num w:numId="34">
    <w:abstractNumId w:val="31"/>
  </w:num>
  <w:num w:numId="35">
    <w:abstractNumId w:val="37"/>
  </w:num>
  <w:num w:numId="36">
    <w:abstractNumId w:val="39"/>
  </w:num>
  <w:num w:numId="37">
    <w:abstractNumId w:val="26"/>
  </w:num>
  <w:num w:numId="38">
    <w:abstractNumId w:val="30"/>
  </w:num>
  <w:num w:numId="39">
    <w:abstractNumId w:val="14"/>
  </w:num>
  <w:num w:numId="40">
    <w:abstractNumId w:val="27"/>
  </w:num>
  <w:num w:numId="41">
    <w:abstractNumId w:val="28"/>
  </w:num>
  <w:num w:numId="42">
    <w:abstractNumId w:val="24"/>
  </w:num>
  <w:num w:numId="43">
    <w:abstractNumId w:val="1"/>
  </w:num>
  <w:num w:numId="44">
    <w:abstractNumId w:val="5"/>
  </w:num>
  <w:num w:numId="45">
    <w:abstractNumId w:val="8"/>
  </w:num>
  <w:num w:numId="46">
    <w:abstractNumId w:val="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8C"/>
    <w:rsid w:val="0000293D"/>
    <w:rsid w:val="00031451"/>
    <w:rsid w:val="00062BBA"/>
    <w:rsid w:val="00065DB6"/>
    <w:rsid w:val="00082771"/>
    <w:rsid w:val="000956B8"/>
    <w:rsid w:val="000B41C2"/>
    <w:rsid w:val="000D006B"/>
    <w:rsid w:val="000D3063"/>
    <w:rsid w:val="000F0248"/>
    <w:rsid w:val="000F24C3"/>
    <w:rsid w:val="000F3328"/>
    <w:rsid w:val="000F525A"/>
    <w:rsid w:val="000F778A"/>
    <w:rsid w:val="00102FCF"/>
    <w:rsid w:val="001064D0"/>
    <w:rsid w:val="001118B1"/>
    <w:rsid w:val="00114EB5"/>
    <w:rsid w:val="00115277"/>
    <w:rsid w:val="001213F7"/>
    <w:rsid w:val="00123383"/>
    <w:rsid w:val="0014489D"/>
    <w:rsid w:val="00160094"/>
    <w:rsid w:val="00170248"/>
    <w:rsid w:val="001768DA"/>
    <w:rsid w:val="001818F3"/>
    <w:rsid w:val="001912CD"/>
    <w:rsid w:val="001961BE"/>
    <w:rsid w:val="001A69F9"/>
    <w:rsid w:val="001B37C2"/>
    <w:rsid w:val="001C18D0"/>
    <w:rsid w:val="001C293D"/>
    <w:rsid w:val="001C72CF"/>
    <w:rsid w:val="001D5B76"/>
    <w:rsid w:val="001E4013"/>
    <w:rsid w:val="001F0672"/>
    <w:rsid w:val="00204EDF"/>
    <w:rsid w:val="00206DED"/>
    <w:rsid w:val="00232D57"/>
    <w:rsid w:val="00251B49"/>
    <w:rsid w:val="00265CBD"/>
    <w:rsid w:val="00273126"/>
    <w:rsid w:val="0027611A"/>
    <w:rsid w:val="00282B87"/>
    <w:rsid w:val="0028332F"/>
    <w:rsid w:val="002A749A"/>
    <w:rsid w:val="002B48E2"/>
    <w:rsid w:val="002C7CB0"/>
    <w:rsid w:val="002D03F9"/>
    <w:rsid w:val="002D1792"/>
    <w:rsid w:val="002D2AC8"/>
    <w:rsid w:val="002D3AE7"/>
    <w:rsid w:val="00303F1B"/>
    <w:rsid w:val="0031046A"/>
    <w:rsid w:val="00310FF2"/>
    <w:rsid w:val="00321123"/>
    <w:rsid w:val="00323367"/>
    <w:rsid w:val="00325B73"/>
    <w:rsid w:val="003312F1"/>
    <w:rsid w:val="00345486"/>
    <w:rsid w:val="0036756A"/>
    <w:rsid w:val="00371FDA"/>
    <w:rsid w:val="00374946"/>
    <w:rsid w:val="00380D0F"/>
    <w:rsid w:val="00390D02"/>
    <w:rsid w:val="003915B8"/>
    <w:rsid w:val="00392521"/>
    <w:rsid w:val="003C33DC"/>
    <w:rsid w:val="003C53F2"/>
    <w:rsid w:val="003C566B"/>
    <w:rsid w:val="003D1644"/>
    <w:rsid w:val="003E0A27"/>
    <w:rsid w:val="003E1E53"/>
    <w:rsid w:val="003E2784"/>
    <w:rsid w:val="003F67C0"/>
    <w:rsid w:val="00401E11"/>
    <w:rsid w:val="004111E2"/>
    <w:rsid w:val="0042020C"/>
    <w:rsid w:val="00424E2C"/>
    <w:rsid w:val="00425B89"/>
    <w:rsid w:val="00446041"/>
    <w:rsid w:val="00457FA3"/>
    <w:rsid w:val="0047252F"/>
    <w:rsid w:val="004914C3"/>
    <w:rsid w:val="0049601B"/>
    <w:rsid w:val="00497BDE"/>
    <w:rsid w:val="004C1525"/>
    <w:rsid w:val="004D690B"/>
    <w:rsid w:val="005120D3"/>
    <w:rsid w:val="00517ECB"/>
    <w:rsid w:val="005228CC"/>
    <w:rsid w:val="00535772"/>
    <w:rsid w:val="005367E9"/>
    <w:rsid w:val="0056371A"/>
    <w:rsid w:val="00566247"/>
    <w:rsid w:val="00567470"/>
    <w:rsid w:val="00570E19"/>
    <w:rsid w:val="00577D16"/>
    <w:rsid w:val="0058117B"/>
    <w:rsid w:val="005A310B"/>
    <w:rsid w:val="005B3B5A"/>
    <w:rsid w:val="005B6463"/>
    <w:rsid w:val="005C45FC"/>
    <w:rsid w:val="005E2EB9"/>
    <w:rsid w:val="005F6BB3"/>
    <w:rsid w:val="00600B4C"/>
    <w:rsid w:val="006213C9"/>
    <w:rsid w:val="00622136"/>
    <w:rsid w:val="00623436"/>
    <w:rsid w:val="006304BD"/>
    <w:rsid w:val="00640AE0"/>
    <w:rsid w:val="00652C4A"/>
    <w:rsid w:val="00675A91"/>
    <w:rsid w:val="00684E70"/>
    <w:rsid w:val="00696BFE"/>
    <w:rsid w:val="006A0BD2"/>
    <w:rsid w:val="006B0C39"/>
    <w:rsid w:val="006C4012"/>
    <w:rsid w:val="006F0E4C"/>
    <w:rsid w:val="007055E6"/>
    <w:rsid w:val="00705B6A"/>
    <w:rsid w:val="00710D1B"/>
    <w:rsid w:val="00720996"/>
    <w:rsid w:val="00722CF4"/>
    <w:rsid w:val="00734FC5"/>
    <w:rsid w:val="00742A93"/>
    <w:rsid w:val="00753003"/>
    <w:rsid w:val="0077147A"/>
    <w:rsid w:val="00782EAB"/>
    <w:rsid w:val="0078384D"/>
    <w:rsid w:val="00786877"/>
    <w:rsid w:val="00792AC5"/>
    <w:rsid w:val="00794C86"/>
    <w:rsid w:val="007B05BB"/>
    <w:rsid w:val="007B11F3"/>
    <w:rsid w:val="007E0D5C"/>
    <w:rsid w:val="00800AF8"/>
    <w:rsid w:val="008127A7"/>
    <w:rsid w:val="00812DB6"/>
    <w:rsid w:val="00816ABF"/>
    <w:rsid w:val="008274B3"/>
    <w:rsid w:val="00827EB7"/>
    <w:rsid w:val="00846BFD"/>
    <w:rsid w:val="0084773A"/>
    <w:rsid w:val="00852FD3"/>
    <w:rsid w:val="0087097D"/>
    <w:rsid w:val="008737DB"/>
    <w:rsid w:val="00877168"/>
    <w:rsid w:val="00884D13"/>
    <w:rsid w:val="00891FE1"/>
    <w:rsid w:val="008A645C"/>
    <w:rsid w:val="008B1062"/>
    <w:rsid w:val="008B32B2"/>
    <w:rsid w:val="008C4D5C"/>
    <w:rsid w:val="008E22FB"/>
    <w:rsid w:val="00900934"/>
    <w:rsid w:val="00902D27"/>
    <w:rsid w:val="00912617"/>
    <w:rsid w:val="00916750"/>
    <w:rsid w:val="00924373"/>
    <w:rsid w:val="00925211"/>
    <w:rsid w:val="00933B9A"/>
    <w:rsid w:val="00936B6E"/>
    <w:rsid w:val="00943844"/>
    <w:rsid w:val="00971F14"/>
    <w:rsid w:val="009B3CA9"/>
    <w:rsid w:val="00A06C48"/>
    <w:rsid w:val="00A1069D"/>
    <w:rsid w:val="00A24DEA"/>
    <w:rsid w:val="00A43F18"/>
    <w:rsid w:val="00A44FF5"/>
    <w:rsid w:val="00A6466E"/>
    <w:rsid w:val="00A7230A"/>
    <w:rsid w:val="00A73525"/>
    <w:rsid w:val="00A857A7"/>
    <w:rsid w:val="00A85E29"/>
    <w:rsid w:val="00A90073"/>
    <w:rsid w:val="00AA1E33"/>
    <w:rsid w:val="00AB73A1"/>
    <w:rsid w:val="00AE19EE"/>
    <w:rsid w:val="00AF4EFB"/>
    <w:rsid w:val="00B0011B"/>
    <w:rsid w:val="00B031EF"/>
    <w:rsid w:val="00B062B9"/>
    <w:rsid w:val="00B073DA"/>
    <w:rsid w:val="00B125C2"/>
    <w:rsid w:val="00B12AE1"/>
    <w:rsid w:val="00B30E1D"/>
    <w:rsid w:val="00B448A0"/>
    <w:rsid w:val="00B62EB4"/>
    <w:rsid w:val="00B66981"/>
    <w:rsid w:val="00B70CDA"/>
    <w:rsid w:val="00B725A8"/>
    <w:rsid w:val="00B93D10"/>
    <w:rsid w:val="00B97315"/>
    <w:rsid w:val="00BA6A71"/>
    <w:rsid w:val="00BC56D4"/>
    <w:rsid w:val="00BD7486"/>
    <w:rsid w:val="00BF09EA"/>
    <w:rsid w:val="00C01DBB"/>
    <w:rsid w:val="00C11E41"/>
    <w:rsid w:val="00C303DF"/>
    <w:rsid w:val="00C50681"/>
    <w:rsid w:val="00C532E7"/>
    <w:rsid w:val="00C63DF8"/>
    <w:rsid w:val="00C70173"/>
    <w:rsid w:val="00C94911"/>
    <w:rsid w:val="00CA18CA"/>
    <w:rsid w:val="00CA4615"/>
    <w:rsid w:val="00CA52CB"/>
    <w:rsid w:val="00CB3B3F"/>
    <w:rsid w:val="00CB6AFD"/>
    <w:rsid w:val="00CC35EA"/>
    <w:rsid w:val="00CE20E7"/>
    <w:rsid w:val="00CF2D6C"/>
    <w:rsid w:val="00CF5F16"/>
    <w:rsid w:val="00D073D7"/>
    <w:rsid w:val="00D172CA"/>
    <w:rsid w:val="00D273C6"/>
    <w:rsid w:val="00D40DF0"/>
    <w:rsid w:val="00D45E35"/>
    <w:rsid w:val="00D45EF9"/>
    <w:rsid w:val="00D96240"/>
    <w:rsid w:val="00DB582F"/>
    <w:rsid w:val="00DB5A08"/>
    <w:rsid w:val="00E01C03"/>
    <w:rsid w:val="00E030F0"/>
    <w:rsid w:val="00E03F66"/>
    <w:rsid w:val="00E22DBF"/>
    <w:rsid w:val="00E84F49"/>
    <w:rsid w:val="00EA66E2"/>
    <w:rsid w:val="00EB5A4E"/>
    <w:rsid w:val="00EB6842"/>
    <w:rsid w:val="00EE278E"/>
    <w:rsid w:val="00EE6077"/>
    <w:rsid w:val="00EF5A8C"/>
    <w:rsid w:val="00F04752"/>
    <w:rsid w:val="00F07013"/>
    <w:rsid w:val="00F079A2"/>
    <w:rsid w:val="00F17C0D"/>
    <w:rsid w:val="00F2079B"/>
    <w:rsid w:val="00F32121"/>
    <w:rsid w:val="00F32D85"/>
    <w:rsid w:val="00F33332"/>
    <w:rsid w:val="00F51397"/>
    <w:rsid w:val="00F74126"/>
    <w:rsid w:val="00FA1087"/>
    <w:rsid w:val="00FA42C1"/>
    <w:rsid w:val="00FC1EEC"/>
    <w:rsid w:val="00FD3800"/>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b/>
      <w:bC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widowControl/>
      <w:ind w:left="720"/>
      <w:outlineLvl w:val="1"/>
    </w:pPr>
    <w:rPr>
      <w:b w:val="0"/>
      <w:bCs w:val="0"/>
      <w:sz w:val="24"/>
    </w:rPr>
  </w:style>
  <w:style w:type="paragraph" w:styleId="Heading3">
    <w:name w:val="heading 3"/>
    <w:basedOn w:val="Normal"/>
    <w:next w:val="Normal"/>
    <w:qFormat/>
    <w:pPr>
      <w:keepNext/>
      <w:widowControl/>
      <w:tabs>
        <w:tab w:val="left" w:pos="-1440"/>
      </w:tabs>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440"/>
      </w:tabs>
      <w:ind w:left="720"/>
    </w:pPr>
    <w:rPr>
      <w:sz w:val="24"/>
    </w:rPr>
  </w:style>
  <w:style w:type="paragraph" w:styleId="BodyTextIndent2">
    <w:name w:val="Body Text Indent 2"/>
    <w:basedOn w:val="Normal"/>
    <w:pPr>
      <w:tabs>
        <w:tab w:val="left" w:pos="-1440"/>
      </w:tabs>
      <w:ind w:left="1440" w:hanging="720"/>
    </w:pPr>
    <w:rPr>
      <w:sz w:val="24"/>
    </w:rPr>
  </w:style>
  <w:style w:type="paragraph" w:styleId="BodyTextIndent3">
    <w:name w:val="Body Text Indent 3"/>
    <w:basedOn w:val="Normal"/>
    <w:pPr>
      <w:ind w:left="720" w:hanging="720"/>
    </w:pPr>
    <w:rPr>
      <w:i/>
      <w:iCs/>
      <w:sz w:val="24"/>
    </w:rPr>
  </w:style>
  <w:style w:type="paragraph" w:styleId="FootnoteText">
    <w:name w:val="footnote text"/>
    <w:basedOn w:val="Normal"/>
    <w:link w:val="FootnoteTextChar1"/>
    <w:uiPriority w:val="99"/>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b w:val="0"/>
      <w:bCs w:val="0"/>
      <w:sz w:val="24"/>
    </w:rPr>
  </w:style>
  <w:style w:type="paragraph" w:styleId="BodyText2">
    <w:name w:val="Body Text 2"/>
    <w:basedOn w:val="Normal"/>
    <w:pPr>
      <w:widowControl/>
      <w:tabs>
        <w:tab w:val="left" w:pos="-1440"/>
      </w:tabs>
    </w:pPr>
    <w:rPr>
      <w:b w:val="0"/>
      <w:bCs w:val="0"/>
      <w:i/>
      <w:iCs/>
    </w:rPr>
  </w:style>
  <w:style w:type="paragraph" w:styleId="BodyText3">
    <w:name w:val="Body Text 3"/>
    <w:basedOn w:val="Normal"/>
    <w:pPr>
      <w:widowControl/>
    </w:pPr>
    <w:rPr>
      <w:i/>
      <w:iCs/>
    </w:rPr>
  </w:style>
  <w:style w:type="character" w:styleId="PageNumber">
    <w:name w:val="page number"/>
    <w:basedOn w:val="DefaultParagraphFont"/>
  </w:style>
  <w:style w:type="paragraph" w:styleId="BalloonText">
    <w:name w:val="Balloon Text"/>
    <w:basedOn w:val="Normal"/>
    <w:semiHidden/>
    <w:rsid w:val="00722CF4"/>
    <w:rPr>
      <w:rFonts w:ascii="Tahoma" w:hAnsi="Tahoma" w:cs="Tahoma"/>
      <w:sz w:val="16"/>
      <w:szCs w:val="16"/>
    </w:rPr>
  </w:style>
  <w:style w:type="character" w:styleId="Hyperlink">
    <w:name w:val="Hyperlink"/>
    <w:basedOn w:val="DefaultParagraphFont"/>
    <w:rsid w:val="008A645C"/>
    <w:rPr>
      <w:color w:val="0000FF"/>
      <w:u w:val="single"/>
    </w:rPr>
  </w:style>
  <w:style w:type="character" w:styleId="FollowedHyperlink">
    <w:name w:val="FollowedHyperlink"/>
    <w:basedOn w:val="DefaultParagraphFont"/>
    <w:rsid w:val="008A645C"/>
    <w:rPr>
      <w:color w:val="800080"/>
      <w:u w:val="single"/>
    </w:rPr>
  </w:style>
  <w:style w:type="character" w:customStyle="1" w:styleId="footnoteref">
    <w:name w:val="footnote ref"/>
    <w:rsid w:val="00A73525"/>
  </w:style>
  <w:style w:type="paragraph" w:styleId="Caption">
    <w:name w:val="caption"/>
    <w:basedOn w:val="Normal"/>
    <w:next w:val="Normal"/>
    <w:qFormat/>
    <w:rsid w:val="00A6466E"/>
  </w:style>
  <w:style w:type="character" w:customStyle="1" w:styleId="FootnoteTextChar1">
    <w:name w:val="Footnote Text Char1"/>
    <w:basedOn w:val="DefaultParagraphFont"/>
    <w:link w:val="FootnoteText"/>
    <w:semiHidden/>
    <w:rsid w:val="00742A93"/>
    <w:rPr>
      <w:b/>
      <w:bCs/>
      <w:sz w:val="16"/>
      <w:lang w:val="en-US" w:eastAsia="en-US" w:bidi="ar-SA"/>
    </w:rPr>
  </w:style>
  <w:style w:type="character" w:customStyle="1" w:styleId="FootnoteTextChar">
    <w:name w:val="Footnote Text Char"/>
    <w:basedOn w:val="DefaultParagraphFont"/>
    <w:semiHidden/>
    <w:locked/>
    <w:rsid w:val="001768DA"/>
    <w:rPr>
      <w:lang w:val="en-US" w:eastAsia="en-US" w:bidi="ar-SA"/>
    </w:rPr>
  </w:style>
  <w:style w:type="paragraph" w:styleId="ListParagraph">
    <w:name w:val="List Paragraph"/>
    <w:basedOn w:val="Normal"/>
    <w:qFormat/>
    <w:rsid w:val="001768DA"/>
    <w:pPr>
      <w:widowControl/>
      <w:autoSpaceDE/>
      <w:autoSpaceDN/>
      <w:adjustRightInd/>
      <w:ind w:left="720"/>
    </w:pPr>
    <w:rPr>
      <w:rFonts w:eastAsia="Calibri"/>
      <w:b w:val="0"/>
      <w:bCs w:val="0"/>
      <w:sz w:val="24"/>
      <w:szCs w:val="24"/>
    </w:rPr>
  </w:style>
  <w:style w:type="character" w:styleId="CommentReference">
    <w:name w:val="annotation reference"/>
    <w:basedOn w:val="DefaultParagraphFont"/>
    <w:rsid w:val="00392521"/>
    <w:rPr>
      <w:sz w:val="16"/>
      <w:szCs w:val="16"/>
    </w:rPr>
  </w:style>
  <w:style w:type="paragraph" w:styleId="CommentText">
    <w:name w:val="annotation text"/>
    <w:basedOn w:val="Normal"/>
    <w:link w:val="CommentTextChar"/>
    <w:rsid w:val="00392521"/>
  </w:style>
  <w:style w:type="character" w:customStyle="1" w:styleId="CommentTextChar">
    <w:name w:val="Comment Text Char"/>
    <w:basedOn w:val="DefaultParagraphFont"/>
    <w:link w:val="CommentText"/>
    <w:rsid w:val="00392521"/>
    <w:rPr>
      <w:b/>
      <w:bCs/>
    </w:rPr>
  </w:style>
  <w:style w:type="paragraph" w:styleId="CommentSubject">
    <w:name w:val="annotation subject"/>
    <w:basedOn w:val="CommentText"/>
    <w:next w:val="CommentText"/>
    <w:link w:val="CommentSubjectChar"/>
    <w:rsid w:val="00392521"/>
  </w:style>
  <w:style w:type="character" w:customStyle="1" w:styleId="CommentSubjectChar">
    <w:name w:val="Comment Subject Char"/>
    <w:basedOn w:val="CommentTextChar"/>
    <w:link w:val="CommentSubject"/>
    <w:rsid w:val="00392521"/>
    <w:rPr>
      <w:b/>
      <w:bCs/>
    </w:rPr>
  </w:style>
  <w:style w:type="character" w:customStyle="1" w:styleId="FootnoteTextChar2">
    <w:name w:val="Footnote Text Char2"/>
    <w:semiHidden/>
    <w:locked/>
    <w:rsid w:val="00933B9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b/>
      <w:bC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widowControl/>
      <w:ind w:left="720"/>
      <w:outlineLvl w:val="1"/>
    </w:pPr>
    <w:rPr>
      <w:b w:val="0"/>
      <w:bCs w:val="0"/>
      <w:sz w:val="24"/>
    </w:rPr>
  </w:style>
  <w:style w:type="paragraph" w:styleId="Heading3">
    <w:name w:val="heading 3"/>
    <w:basedOn w:val="Normal"/>
    <w:next w:val="Normal"/>
    <w:qFormat/>
    <w:pPr>
      <w:keepNext/>
      <w:widowControl/>
      <w:tabs>
        <w:tab w:val="left" w:pos="-1440"/>
      </w:tabs>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440"/>
      </w:tabs>
      <w:ind w:left="720"/>
    </w:pPr>
    <w:rPr>
      <w:sz w:val="24"/>
    </w:rPr>
  </w:style>
  <w:style w:type="paragraph" w:styleId="BodyTextIndent2">
    <w:name w:val="Body Text Indent 2"/>
    <w:basedOn w:val="Normal"/>
    <w:pPr>
      <w:tabs>
        <w:tab w:val="left" w:pos="-1440"/>
      </w:tabs>
      <w:ind w:left="1440" w:hanging="720"/>
    </w:pPr>
    <w:rPr>
      <w:sz w:val="24"/>
    </w:rPr>
  </w:style>
  <w:style w:type="paragraph" w:styleId="BodyTextIndent3">
    <w:name w:val="Body Text Indent 3"/>
    <w:basedOn w:val="Normal"/>
    <w:pPr>
      <w:ind w:left="720" w:hanging="720"/>
    </w:pPr>
    <w:rPr>
      <w:i/>
      <w:iCs/>
      <w:sz w:val="24"/>
    </w:rPr>
  </w:style>
  <w:style w:type="paragraph" w:styleId="FootnoteText">
    <w:name w:val="footnote text"/>
    <w:basedOn w:val="Normal"/>
    <w:link w:val="FootnoteTextChar1"/>
    <w:uiPriority w:val="99"/>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b w:val="0"/>
      <w:bCs w:val="0"/>
      <w:sz w:val="24"/>
    </w:rPr>
  </w:style>
  <w:style w:type="paragraph" w:styleId="BodyText2">
    <w:name w:val="Body Text 2"/>
    <w:basedOn w:val="Normal"/>
    <w:pPr>
      <w:widowControl/>
      <w:tabs>
        <w:tab w:val="left" w:pos="-1440"/>
      </w:tabs>
    </w:pPr>
    <w:rPr>
      <w:b w:val="0"/>
      <w:bCs w:val="0"/>
      <w:i/>
      <w:iCs/>
    </w:rPr>
  </w:style>
  <w:style w:type="paragraph" w:styleId="BodyText3">
    <w:name w:val="Body Text 3"/>
    <w:basedOn w:val="Normal"/>
    <w:pPr>
      <w:widowControl/>
    </w:pPr>
    <w:rPr>
      <w:i/>
      <w:iCs/>
    </w:rPr>
  </w:style>
  <w:style w:type="character" w:styleId="PageNumber">
    <w:name w:val="page number"/>
    <w:basedOn w:val="DefaultParagraphFont"/>
  </w:style>
  <w:style w:type="paragraph" w:styleId="BalloonText">
    <w:name w:val="Balloon Text"/>
    <w:basedOn w:val="Normal"/>
    <w:semiHidden/>
    <w:rsid w:val="00722CF4"/>
    <w:rPr>
      <w:rFonts w:ascii="Tahoma" w:hAnsi="Tahoma" w:cs="Tahoma"/>
      <w:sz w:val="16"/>
      <w:szCs w:val="16"/>
    </w:rPr>
  </w:style>
  <w:style w:type="character" w:styleId="Hyperlink">
    <w:name w:val="Hyperlink"/>
    <w:basedOn w:val="DefaultParagraphFont"/>
    <w:rsid w:val="008A645C"/>
    <w:rPr>
      <w:color w:val="0000FF"/>
      <w:u w:val="single"/>
    </w:rPr>
  </w:style>
  <w:style w:type="character" w:styleId="FollowedHyperlink">
    <w:name w:val="FollowedHyperlink"/>
    <w:basedOn w:val="DefaultParagraphFont"/>
    <w:rsid w:val="008A645C"/>
    <w:rPr>
      <w:color w:val="800080"/>
      <w:u w:val="single"/>
    </w:rPr>
  </w:style>
  <w:style w:type="character" w:customStyle="1" w:styleId="footnoteref">
    <w:name w:val="footnote ref"/>
    <w:rsid w:val="00A73525"/>
  </w:style>
  <w:style w:type="paragraph" w:styleId="Caption">
    <w:name w:val="caption"/>
    <w:basedOn w:val="Normal"/>
    <w:next w:val="Normal"/>
    <w:qFormat/>
    <w:rsid w:val="00A6466E"/>
  </w:style>
  <w:style w:type="character" w:customStyle="1" w:styleId="FootnoteTextChar1">
    <w:name w:val="Footnote Text Char1"/>
    <w:basedOn w:val="DefaultParagraphFont"/>
    <w:link w:val="FootnoteText"/>
    <w:semiHidden/>
    <w:rsid w:val="00742A93"/>
    <w:rPr>
      <w:b/>
      <w:bCs/>
      <w:sz w:val="16"/>
      <w:lang w:val="en-US" w:eastAsia="en-US" w:bidi="ar-SA"/>
    </w:rPr>
  </w:style>
  <w:style w:type="character" w:customStyle="1" w:styleId="FootnoteTextChar">
    <w:name w:val="Footnote Text Char"/>
    <w:basedOn w:val="DefaultParagraphFont"/>
    <w:semiHidden/>
    <w:locked/>
    <w:rsid w:val="001768DA"/>
    <w:rPr>
      <w:lang w:val="en-US" w:eastAsia="en-US" w:bidi="ar-SA"/>
    </w:rPr>
  </w:style>
  <w:style w:type="paragraph" w:styleId="ListParagraph">
    <w:name w:val="List Paragraph"/>
    <w:basedOn w:val="Normal"/>
    <w:qFormat/>
    <w:rsid w:val="001768DA"/>
    <w:pPr>
      <w:widowControl/>
      <w:autoSpaceDE/>
      <w:autoSpaceDN/>
      <w:adjustRightInd/>
      <w:ind w:left="720"/>
    </w:pPr>
    <w:rPr>
      <w:rFonts w:eastAsia="Calibri"/>
      <w:b w:val="0"/>
      <w:bCs w:val="0"/>
      <w:sz w:val="24"/>
      <w:szCs w:val="24"/>
    </w:rPr>
  </w:style>
  <w:style w:type="character" w:styleId="CommentReference">
    <w:name w:val="annotation reference"/>
    <w:basedOn w:val="DefaultParagraphFont"/>
    <w:rsid w:val="00392521"/>
    <w:rPr>
      <w:sz w:val="16"/>
      <w:szCs w:val="16"/>
    </w:rPr>
  </w:style>
  <w:style w:type="paragraph" w:styleId="CommentText">
    <w:name w:val="annotation text"/>
    <w:basedOn w:val="Normal"/>
    <w:link w:val="CommentTextChar"/>
    <w:rsid w:val="00392521"/>
  </w:style>
  <w:style w:type="character" w:customStyle="1" w:styleId="CommentTextChar">
    <w:name w:val="Comment Text Char"/>
    <w:basedOn w:val="DefaultParagraphFont"/>
    <w:link w:val="CommentText"/>
    <w:rsid w:val="00392521"/>
    <w:rPr>
      <w:b/>
      <w:bCs/>
    </w:rPr>
  </w:style>
  <w:style w:type="paragraph" w:styleId="CommentSubject">
    <w:name w:val="annotation subject"/>
    <w:basedOn w:val="CommentText"/>
    <w:next w:val="CommentText"/>
    <w:link w:val="CommentSubjectChar"/>
    <w:rsid w:val="00392521"/>
  </w:style>
  <w:style w:type="character" w:customStyle="1" w:styleId="CommentSubjectChar">
    <w:name w:val="Comment Subject Char"/>
    <w:basedOn w:val="CommentTextChar"/>
    <w:link w:val="CommentSubject"/>
    <w:rsid w:val="00392521"/>
    <w:rPr>
      <w:b/>
      <w:bCs/>
    </w:rPr>
  </w:style>
  <w:style w:type="character" w:customStyle="1" w:styleId="FootnoteTextChar2">
    <w:name w:val="Footnote Text Char2"/>
    <w:semiHidden/>
    <w:locked/>
    <w:rsid w:val="00933B9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9B49-0A2D-4428-B7C8-5A91B3EE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Butikofer, James - EBSA</cp:lastModifiedBy>
  <cp:revision>6</cp:revision>
  <cp:lastPrinted>2013-12-11T15:52:00Z</cp:lastPrinted>
  <dcterms:created xsi:type="dcterms:W3CDTF">2015-10-05T18:59:00Z</dcterms:created>
  <dcterms:modified xsi:type="dcterms:W3CDTF">2015-10-07T19:34:00Z</dcterms:modified>
</cp:coreProperties>
</file>