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919" w:rsidRPr="009D7FA2" w:rsidRDefault="000A5919" w:rsidP="001E7F17">
      <w:pPr>
        <w:autoSpaceDE w:val="0"/>
        <w:autoSpaceDN w:val="0"/>
        <w:rPr>
          <w:b/>
          <w:bCs/>
        </w:rPr>
      </w:pPr>
      <w:r w:rsidRPr="009D7FA2">
        <w:rPr>
          <w:b/>
          <w:bCs/>
        </w:rPr>
        <w:t>SUPPORTING STATEMENT FOR PAPERWORK REDUCTION ACT SUBMISSIONS</w:t>
      </w:r>
    </w:p>
    <w:p w:rsidR="000A5919" w:rsidRPr="009D7FA2" w:rsidRDefault="000A5919" w:rsidP="001E7F17">
      <w:pPr>
        <w:autoSpaceDE w:val="0"/>
        <w:autoSpaceDN w:val="0"/>
        <w:ind w:left="720" w:hanging="720"/>
      </w:pPr>
    </w:p>
    <w:p w:rsidR="000A5919" w:rsidRPr="009D7FA2" w:rsidRDefault="000A5919" w:rsidP="005775A0">
      <w:pPr>
        <w:pStyle w:val="ListParagraph"/>
        <w:numPr>
          <w:ilvl w:val="0"/>
          <w:numId w:val="10"/>
        </w:numPr>
        <w:autoSpaceDE w:val="0"/>
        <w:autoSpaceDN w:val="0"/>
        <w:ind w:hanging="720"/>
        <w:rPr>
          <w:i/>
          <w:iCs/>
        </w:rPr>
      </w:pPr>
      <w:r w:rsidRPr="009D7FA2">
        <w:rPr>
          <w:i/>
          <w:iCs/>
        </w:rPr>
        <w:t>Explain the circumstances that make the collection of information necessary.</w:t>
      </w:r>
      <w:r w:rsidR="005775A0">
        <w:rPr>
          <w:i/>
          <w:iCs/>
        </w:rPr>
        <w:t xml:space="preserve"> </w:t>
      </w:r>
      <w:r w:rsidRPr="009D7FA2">
        <w:rPr>
          <w:i/>
          <w:iCs/>
        </w:rPr>
        <w:t xml:space="preserve"> Identify any legal or administrative requirements that necessitate the collection.</w:t>
      </w:r>
      <w:r w:rsidR="005775A0">
        <w:rPr>
          <w:i/>
          <w:iCs/>
        </w:rPr>
        <w:t xml:space="preserve"> </w:t>
      </w:r>
      <w:r w:rsidRPr="009D7FA2">
        <w:rPr>
          <w:i/>
          <w:iCs/>
        </w:rPr>
        <w:t xml:space="preserve"> Attach a copy of the appropriate section of each statute and regulation mandating or authorizing the collection of information.</w:t>
      </w:r>
    </w:p>
    <w:p w:rsidR="000A5919" w:rsidRPr="009D7FA2" w:rsidRDefault="000A5919" w:rsidP="005775A0">
      <w:pPr>
        <w:autoSpaceDE w:val="0"/>
        <w:autoSpaceDN w:val="0"/>
        <w:ind w:left="720"/>
      </w:pPr>
    </w:p>
    <w:p w:rsidR="00596B5B" w:rsidRDefault="000A5919" w:rsidP="005775A0">
      <w:pPr>
        <w:ind w:left="720"/>
      </w:pPr>
      <w:r w:rsidRPr="009D7FA2">
        <w:t xml:space="preserve"> </w:t>
      </w:r>
      <w:r w:rsidR="002631F8">
        <w:t>Currently, a large percentage or American’s workers are covered by participant-directed 401(k)</w:t>
      </w:r>
      <w:r w:rsidR="00596B5B">
        <w:t>-type</w:t>
      </w:r>
      <w:r w:rsidR="002631F8">
        <w:t xml:space="preserve"> plans. W</w:t>
      </w:r>
      <w:r w:rsidR="002631F8" w:rsidRPr="002631F8">
        <w:t>orkers in these plans are responsible for making</w:t>
      </w:r>
      <w:r w:rsidR="002631F8">
        <w:t xml:space="preserve"> their own investment decisions; therefore, they</w:t>
      </w:r>
      <w:r w:rsidRPr="009D7FA2">
        <w:t xml:space="preserve"> need information about the individual and comparable performance of the designated investment alternatives available to them under their employers’ plans</w:t>
      </w:r>
      <w:r w:rsidR="002631F8">
        <w:t xml:space="preserve"> </w:t>
      </w:r>
      <w:r w:rsidR="002631F8" w:rsidRPr="002631F8">
        <w:t>furnished in a format useful to workers, particularly information on investment choices including associated fees and expenses.</w:t>
      </w:r>
    </w:p>
    <w:p w:rsidR="00596B5B" w:rsidRDefault="00596B5B" w:rsidP="005775A0">
      <w:pPr>
        <w:ind w:left="720"/>
      </w:pPr>
    </w:p>
    <w:p w:rsidR="000A5919" w:rsidRPr="009D7FA2" w:rsidRDefault="000A0710" w:rsidP="005775A0">
      <w:pPr>
        <w:ind w:left="720"/>
      </w:pPr>
      <w:r>
        <w:t xml:space="preserve">The Department became </w:t>
      </w:r>
      <w:r w:rsidRPr="000A0710">
        <w:t xml:space="preserve">concerned that participants and beneficiaries </w:t>
      </w:r>
      <w:r>
        <w:t xml:space="preserve">might </w:t>
      </w:r>
      <w:r w:rsidRPr="000A0710">
        <w:t>not have adequate access to or m</w:t>
      </w:r>
      <w:r>
        <w:t xml:space="preserve">ight </w:t>
      </w:r>
      <w:r w:rsidRPr="000A0710">
        <w:t>not be considering information critical to making informed decisions about the management of their retirement accounts.</w:t>
      </w:r>
      <w:r>
        <w:t xml:space="preserve">  </w:t>
      </w:r>
      <w:r w:rsidR="000A5919" w:rsidRPr="009D7FA2">
        <w:rPr>
          <w:bCs/>
        </w:rPr>
        <w:t xml:space="preserve">To address this issue, the Department </w:t>
      </w:r>
      <w:r w:rsidR="004D3BD8" w:rsidRPr="009D7FA2">
        <w:rPr>
          <w:bCs/>
        </w:rPr>
        <w:t>published</w:t>
      </w:r>
      <w:r w:rsidR="000A5919" w:rsidRPr="009D7FA2">
        <w:rPr>
          <w:bCs/>
        </w:rPr>
        <w:t xml:space="preserve"> a final </w:t>
      </w:r>
      <w:r w:rsidR="000A5919" w:rsidRPr="009D7FA2">
        <w:t>regulation under ERISA section 404(a), with conforming amendments to the regulations under ERISA section 404(c)</w:t>
      </w:r>
      <w:r w:rsidR="000A5919" w:rsidRPr="009D7FA2">
        <w:rPr>
          <w:rStyle w:val="FootnoteReference"/>
        </w:rPr>
        <w:footnoteReference w:id="1"/>
      </w:r>
      <w:r w:rsidR="009B0111" w:rsidRPr="009D7FA2">
        <w:t>,</w:t>
      </w:r>
      <w:r w:rsidR="000A5919" w:rsidRPr="009D7FA2">
        <w:t xml:space="preserve"> that require</w:t>
      </w:r>
      <w:r w:rsidR="004D3BD8" w:rsidRPr="009D7FA2">
        <w:t>s</w:t>
      </w:r>
      <w:r w:rsidR="000A5919" w:rsidRPr="009D7FA2">
        <w:t xml:space="preserve"> plan fiduciaries to disclose plan- and investment-related fee and expense information to participants and beneficiaries in all participant directed individual account plans (e.g., 401(k)</w:t>
      </w:r>
      <w:r w:rsidR="00596B5B">
        <w:t>-</w:t>
      </w:r>
      <w:r w:rsidR="009B0111" w:rsidRPr="009D7FA2">
        <w:t xml:space="preserve">type </w:t>
      </w:r>
      <w:r w:rsidR="000A5919" w:rsidRPr="009D7FA2">
        <w:t xml:space="preserve">plans) for plan years </w:t>
      </w:r>
      <w:r w:rsidR="002631F8">
        <w:t xml:space="preserve">that </w:t>
      </w:r>
      <w:r w:rsidR="000A5919" w:rsidRPr="009D7FA2">
        <w:t>beg</w:t>
      </w:r>
      <w:r>
        <w:t>an</w:t>
      </w:r>
      <w:r w:rsidR="000A5919" w:rsidRPr="009D7FA2">
        <w:t xml:space="preserve"> on or after January 1, 2010</w:t>
      </w:r>
      <w:r w:rsidR="00C073EF">
        <w:t>.</w:t>
      </w:r>
      <w:r w:rsidR="007E48CC">
        <w:rPr>
          <w:rStyle w:val="FootnoteReference"/>
        </w:rPr>
        <w:footnoteReference w:id="2"/>
      </w:r>
      <w:r w:rsidR="000A5919" w:rsidRPr="009D7FA2">
        <w:t xml:space="preserve"> </w:t>
      </w:r>
    </w:p>
    <w:p w:rsidR="000A5919" w:rsidRPr="009D7FA2" w:rsidRDefault="000A5919" w:rsidP="005775A0">
      <w:pPr>
        <w:ind w:left="720"/>
      </w:pPr>
    </w:p>
    <w:p w:rsidR="000A5919" w:rsidRPr="009D7FA2" w:rsidRDefault="000A5919" w:rsidP="005775A0">
      <w:pPr>
        <w:ind w:left="720"/>
      </w:pPr>
      <w:r w:rsidRPr="009D7FA2">
        <w:t xml:space="preserve">The </w:t>
      </w:r>
      <w:r w:rsidR="00A545C9">
        <w:t xml:space="preserve">final </w:t>
      </w:r>
      <w:r w:rsidRPr="009D7FA2">
        <w:t>rule contains the following information collections, which are third party disclosures from plan fiduciaries to participants and beneficiaries in participant-directed individual account plans:</w:t>
      </w:r>
    </w:p>
    <w:p w:rsidR="000A5919" w:rsidRPr="009D7FA2" w:rsidRDefault="000A5919" w:rsidP="005775A0">
      <w:pPr>
        <w:ind w:left="720"/>
      </w:pPr>
    </w:p>
    <w:p w:rsidR="000A5919" w:rsidRPr="009D7FA2" w:rsidRDefault="000A5919" w:rsidP="005775A0">
      <w:pPr>
        <w:ind w:left="720"/>
      </w:pPr>
      <w:proofErr w:type="gramStart"/>
      <w:r w:rsidRPr="009D7FA2">
        <w:rPr>
          <w:b/>
          <w:i/>
        </w:rPr>
        <w:t>Plan-related Information—29 CFR 2550.404a-5(c).</w:t>
      </w:r>
      <w:proofErr w:type="gramEnd"/>
      <w:r w:rsidRPr="009D7FA2">
        <w:rPr>
          <w:i/>
        </w:rPr>
        <w:t xml:space="preserve">  </w:t>
      </w:r>
      <w:r w:rsidRPr="009D7FA2">
        <w:t xml:space="preserve">The </w:t>
      </w:r>
      <w:r w:rsidR="00596B5B">
        <w:t xml:space="preserve">final </w:t>
      </w:r>
      <w:r w:rsidR="00596B5B" w:rsidRPr="009D7FA2">
        <w:t>rule</w:t>
      </w:r>
      <w:r w:rsidRPr="009D7FA2">
        <w:t xml:space="preserve"> requires three sub-categories of Plan-related information to be provided to participants and beneficiaries. The first sub-category is General Plan Information, which includes how participants may give investment instructions or exercise proxy voting or tendering rights, restrictions on transferring account assets among investment alternatives, and identification of the plan's designated investment alternatives and designated investment managers.  (29 CFR 2550.404a-5(c</w:t>
      </w:r>
      <w:proofErr w:type="gramStart"/>
      <w:r w:rsidRPr="009D7FA2">
        <w:t>)(</w:t>
      </w:r>
      <w:proofErr w:type="gramEnd"/>
      <w:r w:rsidRPr="009D7FA2">
        <w:t xml:space="preserve">1)). This information must be provided by the time a participant becomes eligible to participate in the </w:t>
      </w:r>
      <w:proofErr w:type="gramStart"/>
      <w:r w:rsidRPr="009D7FA2">
        <w:lastRenderedPageBreak/>
        <w:t>plan</w:t>
      </w:r>
      <w:proofErr w:type="gramEnd"/>
      <w:r w:rsidRPr="009D7FA2">
        <w:t xml:space="preserve">, and afterwards at least annually.  Material changes to this information must be disclosed at least 30 days but no more than 90 days before the effective date of the change except for unforeseen events or circumstances beyond the plan administrator’s control.  Plans may make these disclosures in the summary plan description (SPD).  </w:t>
      </w:r>
    </w:p>
    <w:p w:rsidR="000A5919" w:rsidRPr="009D7FA2" w:rsidRDefault="000A5919" w:rsidP="005775A0">
      <w:pPr>
        <w:ind w:left="720"/>
      </w:pPr>
    </w:p>
    <w:p w:rsidR="000A5919" w:rsidRPr="009D7FA2" w:rsidRDefault="000A5919" w:rsidP="005775A0">
      <w:pPr>
        <w:ind w:left="720"/>
      </w:pPr>
      <w:r w:rsidRPr="009D7FA2">
        <w:t xml:space="preserve">The second sub-category of Plan-related </w:t>
      </w:r>
      <w:r w:rsidR="0009491F" w:rsidRPr="009D7FA2">
        <w:t>i</w:t>
      </w:r>
      <w:r w:rsidRPr="009D7FA2">
        <w:t>nformation is Administrative Expense Information, which refers to explanations of any fees and expenses for general plan administrative services (e.g., legal, accounting, recordkeeping) charged to individual accounts and the basis for allocating such charges among the accounts (e.g., pro-rata, per capita).  (29 CFR 2550.404a-5(c</w:t>
      </w:r>
      <w:proofErr w:type="gramStart"/>
      <w:r w:rsidRPr="009D7FA2">
        <w:t>)(</w:t>
      </w:r>
      <w:proofErr w:type="gramEnd"/>
      <w:r w:rsidRPr="009D7FA2">
        <w:t>2)). This information must be provided by the time a participant becomes eligible to participate in the plan, and afterwards at least annually.  At last quarterly, plans must furnish statements of the aggregate dollar amount charged to each participant's account for these expenses during the previous quarter. Plans may make the initial and annual disclosures in the summary plan description (SPD) and the quarterly information may be included in the plan's quarterly benefit statements.</w:t>
      </w:r>
    </w:p>
    <w:p w:rsidR="000A5919" w:rsidRPr="009D7FA2" w:rsidRDefault="000A5919" w:rsidP="005775A0">
      <w:pPr>
        <w:ind w:left="720"/>
      </w:pPr>
    </w:p>
    <w:p w:rsidR="000A5919" w:rsidRPr="009D7FA2" w:rsidRDefault="000A5919" w:rsidP="005775A0">
      <w:pPr>
        <w:ind w:left="720"/>
      </w:pPr>
      <w:r w:rsidRPr="009D7FA2">
        <w:t xml:space="preserve">The third sub-category of Plan-related </w:t>
      </w:r>
      <w:r w:rsidR="0009491F" w:rsidRPr="009D7FA2">
        <w:t>i</w:t>
      </w:r>
      <w:r w:rsidRPr="009D7FA2">
        <w:t>nformation is Individual Expense Information, which describes expenses assessed against accounts based on the actions taken by individual participants or beneficiaries.  This would include charges for processing participant loans and qualified domestic relations orders.  (29 CFR 2550.404a-5(c</w:t>
      </w:r>
      <w:proofErr w:type="gramStart"/>
      <w:r w:rsidRPr="009D7FA2">
        <w:t>)(</w:t>
      </w:r>
      <w:proofErr w:type="gramEnd"/>
      <w:r w:rsidRPr="009D7FA2">
        <w:t>3))</w:t>
      </w:r>
      <w:r w:rsidR="009B0111" w:rsidRPr="009D7FA2">
        <w:t>.</w:t>
      </w:r>
      <w:r w:rsidRPr="009D7FA2">
        <w:t xml:space="preserve">  Information describing these charges must be furnished before or upon a participant's eligibility and annually thereafter.  Plans must provide quarterly statements identifying and showing the dollar amounts of each expense actually charged to an account. Plans may make the initial and annual disclosures in the summary plan description (SPD) and the quarterly information may be included in the plan's quarterly benefit statements.  </w:t>
      </w:r>
    </w:p>
    <w:p w:rsidR="000A5919" w:rsidRPr="009D7FA2" w:rsidRDefault="000A5919" w:rsidP="005775A0">
      <w:pPr>
        <w:ind w:left="720"/>
      </w:pPr>
    </w:p>
    <w:p w:rsidR="000A5919" w:rsidRPr="009D7FA2" w:rsidRDefault="000A5919" w:rsidP="005775A0">
      <w:pPr>
        <w:ind w:left="720"/>
      </w:pPr>
      <w:proofErr w:type="gramStart"/>
      <w:r w:rsidRPr="009D7FA2">
        <w:rPr>
          <w:b/>
          <w:i/>
        </w:rPr>
        <w:t>Investment-related Information—29 CFR 2550.404a-5(d).</w:t>
      </w:r>
      <w:proofErr w:type="gramEnd"/>
      <w:r w:rsidRPr="009D7FA2">
        <w:rPr>
          <w:i/>
        </w:rPr>
        <w:t xml:space="preserve"> </w:t>
      </w:r>
      <w:r w:rsidRPr="009D7FA2">
        <w:t>The rule also requires plan administrators to disclose three sub-categories of investment-related information to participants and beneficiaries on or before their date of eligibility, which relates to the plans designated investment alternatives.</w:t>
      </w:r>
      <w:r w:rsidRPr="009D7FA2">
        <w:rPr>
          <w:rStyle w:val="FootnoteReference"/>
        </w:rPr>
        <w:footnoteReference w:id="3"/>
      </w:r>
      <w:r w:rsidRPr="009D7FA2">
        <w:t xml:space="preserve">  The first sub-category of information is information required to be provided automatically. (29 CFR 2550.404a-5(d</w:t>
      </w:r>
      <w:proofErr w:type="gramStart"/>
      <w:r w:rsidRPr="009D7FA2">
        <w:t>)(</w:t>
      </w:r>
      <w:proofErr w:type="gramEnd"/>
      <w:r w:rsidRPr="009D7FA2">
        <w:t>1))</w:t>
      </w:r>
      <w:r w:rsidR="009B0111" w:rsidRPr="009D7FA2">
        <w:t xml:space="preserve">. </w:t>
      </w:r>
      <w:r w:rsidRPr="009D7FA2">
        <w:t xml:space="preserve"> For each designated investment alternative, the plan must disclose specified identifying information, past performance data, comparable benchmark returns, fee and expense information, and an Internet website address that is sufficiently specific to lead participants and beneficiaries to specified supplemental information for each investment alternative.</w:t>
      </w:r>
    </w:p>
    <w:p w:rsidR="000A5919" w:rsidRPr="009D7FA2" w:rsidRDefault="000A5919" w:rsidP="005775A0">
      <w:pPr>
        <w:ind w:left="720"/>
      </w:pPr>
    </w:p>
    <w:p w:rsidR="000A5919" w:rsidRPr="009D7FA2" w:rsidRDefault="000A5919" w:rsidP="005775A0">
      <w:pPr>
        <w:ind w:left="720"/>
      </w:pPr>
      <w:r w:rsidRPr="009D7FA2">
        <w:t xml:space="preserve">The latest information available to the plan must be furnished annually. Material changes to this information must be disclosed at least 30 days but no more than 90 </w:t>
      </w:r>
      <w:r w:rsidRPr="009D7FA2">
        <w:lastRenderedPageBreak/>
        <w:t xml:space="preserve">days before the effective date of the change except for unforeseen events or circumstances beyond the plan administrator’s control. </w:t>
      </w:r>
    </w:p>
    <w:p w:rsidR="000A5919" w:rsidRPr="009D7FA2" w:rsidRDefault="000A5919" w:rsidP="005775A0">
      <w:pPr>
        <w:ind w:left="720"/>
      </w:pPr>
    </w:p>
    <w:p w:rsidR="000A5919" w:rsidRPr="009D7FA2" w:rsidRDefault="000A5919" w:rsidP="005775A0">
      <w:pPr>
        <w:ind w:left="720"/>
      </w:pPr>
      <w:r w:rsidRPr="009D7FA2">
        <w:t>Investment-related information must be furnished in a chart or similar format designed to help participants compare the plan's investment alternatives across each category of information.  (29 CFR 2550.404a-5(d</w:t>
      </w:r>
      <w:proofErr w:type="gramStart"/>
      <w:r w:rsidRPr="009D7FA2">
        <w:t>)(</w:t>
      </w:r>
      <w:proofErr w:type="gramEnd"/>
      <w:r w:rsidRPr="009D7FA2">
        <w:t>2))</w:t>
      </w:r>
      <w:r w:rsidR="009B0111" w:rsidRPr="009D7FA2">
        <w:t>.</w:t>
      </w:r>
      <w:r w:rsidRPr="009D7FA2">
        <w:t xml:space="preserve"> To facilitate compliance, the rule includes a model chart that may be used by plan fiduciaries to satisfy this requirement. </w:t>
      </w:r>
    </w:p>
    <w:p w:rsidR="000A5919" w:rsidRPr="009D7FA2" w:rsidRDefault="000A5919" w:rsidP="005775A0">
      <w:pPr>
        <w:ind w:left="720"/>
      </w:pPr>
    </w:p>
    <w:p w:rsidR="000A5919" w:rsidRPr="009D7FA2" w:rsidRDefault="000A5919" w:rsidP="005775A0">
      <w:pPr>
        <w:ind w:left="720"/>
      </w:pPr>
      <w:r w:rsidRPr="009D7FA2">
        <w:t xml:space="preserve">The second sub-category of investment-related </w:t>
      </w:r>
      <w:r w:rsidR="009B0111" w:rsidRPr="009D7FA2">
        <w:t>i</w:t>
      </w:r>
      <w:r w:rsidRPr="009D7FA2">
        <w:t>nformation is Post-</w:t>
      </w:r>
      <w:r w:rsidR="009B0111" w:rsidRPr="009D7FA2">
        <w:t>I</w:t>
      </w:r>
      <w:r w:rsidRPr="009D7FA2">
        <w:t>nvestment Information. Following a participant's investment in an alternative, the plan administrator must provide any materials it receives regarding voting, tender or similar rights in the alternative (“pass-through materials”) to the extent such rights are passed through to the participant or beneficiary. (29 CFR 2550.404a-5(d</w:t>
      </w:r>
      <w:proofErr w:type="gramStart"/>
      <w:r w:rsidRPr="009D7FA2">
        <w:t>)(</w:t>
      </w:r>
      <w:proofErr w:type="gramEnd"/>
      <w:r w:rsidRPr="009D7FA2">
        <w:t>3))</w:t>
      </w:r>
      <w:r w:rsidR="009B0111" w:rsidRPr="009D7FA2">
        <w:t xml:space="preserve">.  </w:t>
      </w:r>
      <w:r w:rsidRPr="009D7FA2">
        <w:t xml:space="preserve"> </w:t>
      </w:r>
    </w:p>
    <w:p w:rsidR="000A5919" w:rsidRPr="009D7FA2" w:rsidRDefault="000A5919" w:rsidP="005775A0">
      <w:pPr>
        <w:ind w:left="720"/>
      </w:pPr>
    </w:p>
    <w:p w:rsidR="000A5919" w:rsidRPr="009D7FA2" w:rsidRDefault="000A5919" w:rsidP="005775A0">
      <w:pPr>
        <w:ind w:left="720"/>
      </w:pPr>
      <w:r w:rsidRPr="009D7FA2">
        <w:t xml:space="preserve">The third sub-category of investment-related </w:t>
      </w:r>
      <w:r w:rsidR="00892337" w:rsidRPr="009D7FA2">
        <w:t>i</w:t>
      </w:r>
      <w:r w:rsidRPr="009D7FA2">
        <w:t xml:space="preserve">nformation is </w:t>
      </w:r>
      <w:r w:rsidR="00892337" w:rsidRPr="009D7FA2">
        <w:t>I</w:t>
      </w:r>
      <w:r w:rsidRPr="009D7FA2">
        <w:t>nformation to be provided upon Request. (29 CFR 2550.404a-5(d</w:t>
      </w:r>
      <w:proofErr w:type="gramStart"/>
      <w:r w:rsidRPr="009D7FA2">
        <w:t>)(</w:t>
      </w:r>
      <w:proofErr w:type="gramEnd"/>
      <w:r w:rsidRPr="009D7FA2">
        <w:t>4))</w:t>
      </w:r>
      <w:r w:rsidR="00892337" w:rsidRPr="009D7FA2">
        <w:t>.</w:t>
      </w:r>
      <w:r w:rsidRPr="009D7FA2">
        <w:t xml:space="preserve">  Participants may request the plan to provide prospectuses, financial reports, as well as statements of valuation and a list of assets held by an investment alternative.</w:t>
      </w:r>
    </w:p>
    <w:p w:rsidR="000A5919" w:rsidRPr="009D7FA2" w:rsidRDefault="000A5919" w:rsidP="005775A0">
      <w:pPr>
        <w:ind w:left="720"/>
      </w:pPr>
      <w:bookmarkStart w:id="0" w:name="OLE_LINK1"/>
      <w:bookmarkStart w:id="1" w:name="OLE_LINK2"/>
    </w:p>
    <w:p w:rsidR="000A5919" w:rsidRPr="009D7FA2" w:rsidRDefault="000A5919" w:rsidP="005775A0">
      <w:pPr>
        <w:ind w:left="720"/>
      </w:pPr>
      <w:r w:rsidRPr="009D7FA2">
        <w:t xml:space="preserve">The rule describes the timeframes and acceptable format for providing the disclosures. </w:t>
      </w:r>
    </w:p>
    <w:p w:rsidR="005509E8" w:rsidRPr="009D7FA2" w:rsidRDefault="005509E8" w:rsidP="005775A0">
      <w:pPr>
        <w:ind w:left="720"/>
      </w:pPr>
    </w:p>
    <w:p w:rsidR="005509E8" w:rsidRPr="009D7FA2" w:rsidRDefault="00FC1FB9" w:rsidP="005775A0">
      <w:pPr>
        <w:ind w:left="720"/>
        <w:rPr>
          <w:b/>
        </w:rPr>
      </w:pPr>
      <w:r w:rsidRPr="009D7FA2">
        <w:rPr>
          <w:b/>
        </w:rPr>
        <w:t>2014 Direct Final Rule</w:t>
      </w:r>
    </w:p>
    <w:bookmarkEnd w:id="0"/>
    <w:bookmarkEnd w:id="1"/>
    <w:p w:rsidR="00801BCB" w:rsidRPr="009D7FA2" w:rsidRDefault="00801BCB" w:rsidP="005775A0">
      <w:pPr>
        <w:ind w:left="720"/>
        <w:rPr>
          <w:rFonts w:eastAsiaTheme="minorHAnsi"/>
        </w:rPr>
      </w:pPr>
    </w:p>
    <w:p w:rsidR="006B106C" w:rsidRPr="009D7FA2" w:rsidRDefault="006B106C" w:rsidP="005775A0">
      <w:pPr>
        <w:ind w:left="720"/>
        <w:rPr>
          <w:rFonts w:eastAsiaTheme="minorHAnsi"/>
        </w:rPr>
      </w:pPr>
      <w:r w:rsidRPr="009D7FA2">
        <w:rPr>
          <w:rFonts w:eastAsiaTheme="minorHAnsi"/>
        </w:rPr>
        <w:t>On July 30, 2012, the Department’s Employee Benefits Security Administration (EBSA) issued Field Assistance Bulletin 2012-02R (FAB 2012-02R) providing guidance on thirty-eight frequently asked questions.  Q&amp;A 35 clarified that, for most plans, including calendar year plans, the first initial disclosures under the new regulation were required no later than August 30, 2012.  FAB 2012-02R did not, however, specifically address the deadline for subsequent annual disclosures.</w:t>
      </w:r>
      <w:r w:rsidRPr="009D7FA2">
        <w:rPr>
          <w:rFonts w:eastAsiaTheme="minorHAnsi"/>
          <w:vertAlign w:val="superscript"/>
        </w:rPr>
        <w:footnoteReference w:id="4"/>
      </w:r>
    </w:p>
    <w:p w:rsidR="00FC1FB9" w:rsidRPr="009D7FA2" w:rsidRDefault="00FC1FB9" w:rsidP="005775A0">
      <w:pPr>
        <w:ind w:left="720"/>
      </w:pPr>
    </w:p>
    <w:p w:rsidR="006B106C" w:rsidRPr="009D7FA2" w:rsidRDefault="006B106C" w:rsidP="005775A0">
      <w:pPr>
        <w:ind w:left="720"/>
        <w:rPr>
          <w:rFonts w:eastAsiaTheme="minorHAnsi"/>
        </w:rPr>
      </w:pPr>
      <w:r w:rsidRPr="009D7FA2">
        <w:rPr>
          <w:rFonts w:eastAsiaTheme="minorHAnsi"/>
        </w:rPr>
        <w:t>In Field Assistance Bulletin 2013-02, issued July 22, 2013, the Department made clear that that the regulation requires annual disclosures to be made no more than one year exactly (</w:t>
      </w:r>
      <w:r w:rsidRPr="009D7FA2">
        <w:rPr>
          <w:rFonts w:eastAsiaTheme="minorHAnsi"/>
          <w:i/>
        </w:rPr>
        <w:t>e.g.</w:t>
      </w:r>
      <w:r w:rsidRPr="009D7FA2">
        <w:rPr>
          <w:rFonts w:eastAsiaTheme="minorHAnsi"/>
        </w:rPr>
        <w:t>, 365 days) after the prior annual disclosures.  Specifically, FAB 2013-02, in relevant part, states “[f]or example, a plan administrator that furnished the first required chart on August 25, 2012, must furnish the next comparative chart no later than August 25, 2013.”</w:t>
      </w:r>
      <w:r w:rsidRPr="009D7FA2" w:rsidDel="00A15072">
        <w:t xml:space="preserve"> </w:t>
      </w:r>
      <w:r w:rsidRPr="009D7FA2">
        <w:t xml:space="preserve"> </w:t>
      </w:r>
      <w:r w:rsidRPr="009D7FA2">
        <w:rPr>
          <w:rFonts w:eastAsiaTheme="minorHAnsi"/>
        </w:rPr>
        <w:t xml:space="preserve">This interpretation was intended to prevent inconsistencies, delays, and possible manipulation of the timing of annual disclosures.  It also was responsive to the views expressed by some plan administrators, which contrary to EBSA's intent, interpreted “at least once in any 12-month period” to allow the furnishing  of the annual disclosures, for example, on January 1 of one year and December 31 of the following year, </w:t>
      </w:r>
      <w:r w:rsidRPr="009D7FA2">
        <w:rPr>
          <w:rFonts w:eastAsiaTheme="minorHAnsi"/>
        </w:rPr>
        <w:lastRenderedPageBreak/>
        <w:t>thus allowing for approximately 24 months in between disclosures.  At the same time, however, EBSA was concerned that the requirement that disclosures be made no more than one year exactly from the prior annual disclosures (as interpreted in FAB 2013-02) might impose undue administrative burdens on plans.  Consequently, FAB 2013-02 solicited public comments on whether EBSA should amend the regulation to provide plan administrators with more flexibility as to when they must furnish the annual disclosures.</w:t>
      </w:r>
      <w:r w:rsidRPr="009D7FA2">
        <w:rPr>
          <w:rStyle w:val="FootnoteReference"/>
          <w:rFonts w:eastAsiaTheme="minorHAnsi"/>
        </w:rPr>
        <w:footnoteReference w:id="5"/>
      </w:r>
      <w:r w:rsidRPr="009D7FA2">
        <w:rPr>
          <w:rFonts w:eastAsiaTheme="minorHAnsi"/>
        </w:rPr>
        <w:t xml:space="preserve">  For example, instead of a permanently fixed annual deadline set at one year exactly from the last annual disclosure, EBSA requested comments on whether the deadline should have some degree of elasticity, such as a 30-day or 45-day window from the one-year anniversary of the last annual disclosure.</w:t>
      </w:r>
    </w:p>
    <w:p w:rsidR="000642B5" w:rsidRDefault="00C242E9" w:rsidP="00211D07">
      <w:pPr>
        <w:spacing w:before="240"/>
        <w:ind w:left="720"/>
      </w:pPr>
      <w:r w:rsidRPr="009D7FA2">
        <w:t xml:space="preserve">Based on comments received in response to the FABs, </w:t>
      </w:r>
      <w:r w:rsidR="000642B5">
        <w:t xml:space="preserve">on March 19, 2015 , </w:t>
      </w:r>
      <w:r w:rsidRPr="009D7FA2">
        <w:t xml:space="preserve">the Department </w:t>
      </w:r>
      <w:r w:rsidR="000642B5">
        <w:t xml:space="preserve">published </w:t>
      </w:r>
      <w:r w:rsidR="00801BCB" w:rsidRPr="009D7FA2">
        <w:t xml:space="preserve"> a direct final </w:t>
      </w:r>
      <w:r w:rsidR="000642B5">
        <w:t>in the Federal Register (</w:t>
      </w:r>
      <w:r w:rsidR="000642B5" w:rsidRPr="009D7FA2">
        <w:t xml:space="preserve">(80 FR </w:t>
      </w:r>
      <w:r w:rsidR="000642B5">
        <w:t>14301</w:t>
      </w:r>
      <w:r w:rsidR="000642B5" w:rsidRPr="009D7FA2">
        <w:t>)</w:t>
      </w:r>
      <w:r w:rsidR="000642B5">
        <w:t xml:space="preserve"> </w:t>
      </w:r>
      <w:r w:rsidR="00801BCB" w:rsidRPr="009D7FA2">
        <w:t xml:space="preserve"> that </w:t>
      </w:r>
      <w:r w:rsidRPr="009D7FA2">
        <w:t>replace</w:t>
      </w:r>
      <w:r w:rsidR="00801BCB" w:rsidRPr="009D7FA2">
        <w:t>s</w:t>
      </w:r>
      <w:r w:rsidRPr="009D7FA2">
        <w:t xml:space="preserve"> the definition contained in paragraph (h)(1) of the current regulation with a new definition that provides a buffer requested by the commenters.  The current regulatory language states that the term </w:t>
      </w:r>
      <w:r w:rsidRPr="009D7FA2">
        <w:rPr>
          <w:i/>
        </w:rPr>
        <w:t>at least annually thereafter</w:t>
      </w:r>
      <w:r w:rsidRPr="009D7FA2">
        <w:t xml:space="preserve"> “means at least once in any 12-month period, without regard to whether the plan operates on a calendar or fiscal year basis.”  The </w:t>
      </w:r>
      <w:r w:rsidR="00FC1FB9" w:rsidRPr="009D7FA2">
        <w:t>direct final</w:t>
      </w:r>
      <w:r w:rsidRPr="009D7FA2">
        <w:t xml:space="preserve"> rule replaces “12-month period” with “14-month period.”  Thus, the definition, as amended by this rulemaking, states that the term </w:t>
      </w:r>
      <w:r w:rsidRPr="009D7FA2">
        <w:rPr>
          <w:i/>
        </w:rPr>
        <w:t>at least annually thereafter</w:t>
      </w:r>
      <w:r w:rsidRPr="009D7FA2">
        <w:t xml:space="preserve"> “means at least once in any 14-month period, without regard to whether the plan operates on a calendar year or fiscal year basis.”  It is the Department’s view that this definition achieves the correct balance by ensuring that participants and beneficiaries will receive annual disclosures on a consistent and regular basis, and without unwarranted delays in-between disclosures, while at the same time offering plan administrators some flexibility.</w:t>
      </w:r>
      <w:bookmarkStart w:id="2" w:name="keyword"/>
      <w:bookmarkStart w:id="3" w:name="NTRULNG:726.36-1"/>
      <w:bookmarkStart w:id="4" w:name="lastkeyword"/>
      <w:bookmarkEnd w:id="2"/>
      <w:bookmarkEnd w:id="3"/>
      <w:bookmarkEnd w:id="4"/>
      <w:r w:rsidR="004D3BD8" w:rsidRPr="009D7FA2">
        <w:t xml:space="preserve"> </w:t>
      </w:r>
    </w:p>
    <w:p w:rsidR="00C242E9" w:rsidRPr="009D7FA2" w:rsidRDefault="000642B5" w:rsidP="00211D07">
      <w:pPr>
        <w:spacing w:before="240"/>
        <w:ind w:left="720"/>
      </w:pPr>
      <w:r>
        <w:t xml:space="preserve">As part of the Direct Final rule, the Department submitted an ICR revision under the emergency PRA clearance procedures contained in 5 CFR 1320.13. OMB approved the ICR revision </w:t>
      </w:r>
      <w:r w:rsidR="001511C1">
        <w:t>on May 5, 2015 through November 30, 2015. The Department is now requesting a three</w:t>
      </w:r>
      <w:r w:rsidR="00211D07">
        <w:t>-year extension of OMB’s approval of the</w:t>
      </w:r>
      <w:r w:rsidR="001511C1">
        <w:t xml:space="preserve"> ICR.</w:t>
      </w:r>
    </w:p>
    <w:p w:rsidR="000A5919" w:rsidRPr="009D7FA2" w:rsidRDefault="000A5919" w:rsidP="005775A0">
      <w:pPr>
        <w:ind w:left="720"/>
      </w:pPr>
    </w:p>
    <w:p w:rsidR="000A5919" w:rsidRPr="009D7FA2" w:rsidRDefault="000A5919" w:rsidP="007A2ED4">
      <w:pPr>
        <w:pStyle w:val="ListParagraph"/>
        <w:numPr>
          <w:ilvl w:val="0"/>
          <w:numId w:val="10"/>
        </w:numPr>
        <w:autoSpaceDE w:val="0"/>
        <w:autoSpaceDN w:val="0"/>
        <w:ind w:hanging="720"/>
      </w:pPr>
      <w:r w:rsidRPr="007A2ED4">
        <w:rPr>
          <w:i/>
          <w:iCs/>
        </w:rPr>
        <w:t>Indicate how, by whom, and for what purpose the information is to be used.</w:t>
      </w:r>
      <w:r w:rsidR="007A2ED4">
        <w:rPr>
          <w:i/>
          <w:iCs/>
        </w:rPr>
        <w:t xml:space="preserve"> </w:t>
      </w:r>
      <w:r w:rsidRPr="007A2ED4">
        <w:rPr>
          <w:i/>
          <w:iCs/>
        </w:rPr>
        <w:t xml:space="preserve"> Except for a new collection, indicate the actual use the agency has made of the information received from the current collection.</w:t>
      </w:r>
    </w:p>
    <w:p w:rsidR="000A5919" w:rsidRPr="009D7FA2" w:rsidRDefault="000A5919" w:rsidP="00A0695F">
      <w:pPr>
        <w:autoSpaceDE w:val="0"/>
        <w:autoSpaceDN w:val="0"/>
        <w:ind w:left="720"/>
      </w:pPr>
    </w:p>
    <w:p w:rsidR="000A5919" w:rsidRPr="009D7FA2" w:rsidRDefault="000A5919" w:rsidP="00A0695F">
      <w:pPr>
        <w:ind w:left="720"/>
        <w:rPr>
          <w:bCs/>
        </w:rPr>
      </w:pPr>
      <w:r w:rsidRPr="009D7FA2">
        <w:rPr>
          <w:bCs/>
        </w:rPr>
        <w:t>The information collections under this ICR are not for the use of the Department or any other federal agency; they are mandated third-party disclosures. The information will be used by participant and beneficiaries in ERISA-covered participant directed individual account plans to make informed decisions regarding the investment of assets held in their individual accounts. The Department will not collect the information required to be disclosed by the proposal.</w:t>
      </w:r>
    </w:p>
    <w:p w:rsidR="000A5919" w:rsidRPr="009D7FA2" w:rsidRDefault="000A5919" w:rsidP="00A0695F">
      <w:pPr>
        <w:autoSpaceDE w:val="0"/>
        <w:autoSpaceDN w:val="0"/>
        <w:ind w:left="720"/>
      </w:pPr>
    </w:p>
    <w:p w:rsidR="000A5919" w:rsidRPr="00A0695F" w:rsidRDefault="000A5919" w:rsidP="00211CA3">
      <w:pPr>
        <w:pStyle w:val="ListParagraph"/>
        <w:numPr>
          <w:ilvl w:val="0"/>
          <w:numId w:val="10"/>
        </w:numPr>
        <w:autoSpaceDE w:val="0"/>
        <w:autoSpaceDN w:val="0"/>
        <w:ind w:hanging="720"/>
        <w:rPr>
          <w:i/>
          <w:iCs/>
        </w:rPr>
      </w:pPr>
      <w:r w:rsidRPr="00A0695F">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0695F" w:rsidRPr="00A0695F">
        <w:rPr>
          <w:i/>
          <w:iCs/>
        </w:rPr>
        <w:t xml:space="preserve"> </w:t>
      </w:r>
      <w:r w:rsidRPr="00A0695F">
        <w:rPr>
          <w:i/>
          <w:iCs/>
        </w:rPr>
        <w:t xml:space="preserve"> Also describe any consideration for using information technology to reduce burden.</w:t>
      </w:r>
    </w:p>
    <w:p w:rsidR="000A5919" w:rsidRPr="009D7FA2" w:rsidRDefault="000A5919" w:rsidP="00696580">
      <w:pPr>
        <w:autoSpaceDE w:val="0"/>
        <w:autoSpaceDN w:val="0"/>
        <w:ind w:left="720"/>
      </w:pPr>
    </w:p>
    <w:p w:rsidR="000A5919" w:rsidRPr="009D7FA2" w:rsidRDefault="000A5919" w:rsidP="00696580">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9D7FA2">
        <w:t xml:space="preserve">The Department’s separate regulation at 29 CFR 2520.104b-1(c) permits plan administrators to use electronic media to make disclosures required under Title I of ERISA, provided certain conditions are met.  Plan administrators may rely on that rule to use electronic communications methods for any required disclosures, including the information collection requirements of this ICR.  Moreover, in response to comments regarding the proposed regulation, the Department amended the final rule to provide a more flexible electronic disclosure standard by allowing plan administrators to satisfy the notice requirement by relying on the Departments electronic media disclosure rule or the guidance issued by the Department of the Treasury and Internal Revenue Service at 26 CFR § 1.401(a)-21 relating to the use of electronic media. </w:t>
      </w:r>
    </w:p>
    <w:p w:rsidR="000A5919" w:rsidRPr="009D7FA2" w:rsidRDefault="000A5919" w:rsidP="00696580">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0A5919" w:rsidRPr="009D7FA2" w:rsidRDefault="000A5919" w:rsidP="00696580">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9D7FA2">
        <w:t>In estimating the burden of this ICR, the Department has assumed, as further described below, that 38 percent of plans will make the required information disclosures through electronic means.  Where any of the requisite disclosures cannot be prepared in electronic form, they will have to be distributed as hard copies.  Moreover, plan fiduciaries may have to supply paper copies of the information to participants whom they cannot reach electronically or to those who do not affirmatively consent to receiving documents electronically.</w:t>
      </w:r>
    </w:p>
    <w:p w:rsidR="000A5919" w:rsidRPr="009D7FA2" w:rsidRDefault="000A5919" w:rsidP="00696580">
      <w:pPr>
        <w:autoSpaceDE w:val="0"/>
        <w:autoSpaceDN w:val="0"/>
        <w:ind w:left="720"/>
      </w:pPr>
    </w:p>
    <w:p w:rsidR="000A5919" w:rsidRPr="009D7FA2" w:rsidRDefault="000A5919" w:rsidP="00696580">
      <w:pPr>
        <w:pStyle w:val="ListParagraph"/>
        <w:numPr>
          <w:ilvl w:val="0"/>
          <w:numId w:val="10"/>
        </w:numPr>
        <w:autoSpaceDE w:val="0"/>
        <w:autoSpaceDN w:val="0"/>
        <w:ind w:hanging="720"/>
      </w:pPr>
      <w:r w:rsidRPr="00696580">
        <w:rPr>
          <w:i/>
          <w:iCs/>
        </w:rPr>
        <w:t>Describe efforts to identify duplication.  Show specifically why any similar information already available cannot be used or modified for use for the purposes described in Item 2 above</w:t>
      </w:r>
      <w:r w:rsidRPr="009D7FA2">
        <w:t>.</w:t>
      </w:r>
    </w:p>
    <w:p w:rsidR="000A5919" w:rsidRPr="009D7FA2" w:rsidRDefault="000A5919" w:rsidP="001C39BF">
      <w:pPr>
        <w:autoSpaceDE w:val="0"/>
        <w:autoSpaceDN w:val="0"/>
        <w:ind w:left="720"/>
      </w:pPr>
    </w:p>
    <w:p w:rsidR="000A5919" w:rsidRPr="009D7FA2" w:rsidRDefault="000A5919" w:rsidP="001C39BF">
      <w:pPr>
        <w:ind w:left="720"/>
      </w:pPr>
      <w:r w:rsidRPr="009D7FA2">
        <w:t xml:space="preserve">The information collections associated with the rule do not duplicate information available from any other source. In principal part, this information collection merely insures that existing relevant information is furnished appropriately to plan participants and beneficiaries.  In fashioning the regulation, the Department took account of other similar federal and state requirements in order to reduce or eliminate duplication of effort.  </w:t>
      </w:r>
    </w:p>
    <w:p w:rsidR="000A5919" w:rsidRPr="009D7FA2" w:rsidRDefault="000A5919" w:rsidP="001C39BF">
      <w:pPr>
        <w:ind w:left="720"/>
      </w:pPr>
    </w:p>
    <w:p w:rsidR="000A5919" w:rsidRPr="009D7FA2" w:rsidRDefault="000A5919" w:rsidP="001C39BF">
      <w:pPr>
        <w:ind w:left="720"/>
      </w:pPr>
      <w:r w:rsidRPr="009D7FA2">
        <w:t xml:space="preserve">The Department consulted with the Securities and Exchange Commission </w:t>
      </w:r>
      <w:r w:rsidR="00892337" w:rsidRPr="009D7FA2">
        <w:t xml:space="preserve">(the SEC) </w:t>
      </w:r>
      <w:r w:rsidRPr="009D7FA2">
        <w:t>to avoid including duplicative, overlapping, or conflicting requirements in the proposal. In general, the rule follows the SEC’s disclosure regime for most investments. The Department knows of no other relevant federal rules that duplicate, overlap, or conflict with the proposed regulations.</w:t>
      </w:r>
    </w:p>
    <w:p w:rsidR="000A5919" w:rsidRPr="009D7FA2" w:rsidRDefault="000A5919" w:rsidP="001C39BF">
      <w:pPr>
        <w:autoSpaceDE w:val="0"/>
        <w:autoSpaceDN w:val="0"/>
        <w:ind w:left="720"/>
      </w:pPr>
    </w:p>
    <w:p w:rsidR="000A5919" w:rsidRPr="009D7FA2" w:rsidRDefault="000A5919" w:rsidP="00DF28C2">
      <w:pPr>
        <w:pStyle w:val="ListParagraph"/>
        <w:numPr>
          <w:ilvl w:val="0"/>
          <w:numId w:val="10"/>
        </w:numPr>
        <w:autoSpaceDE w:val="0"/>
        <w:autoSpaceDN w:val="0"/>
        <w:ind w:hanging="720"/>
      </w:pPr>
      <w:r w:rsidRPr="001C39BF">
        <w:rPr>
          <w:i/>
          <w:iCs/>
        </w:rPr>
        <w:t>If the collection of information impacts small businesses or other small entities describe any methods used to minimize burden.</w:t>
      </w:r>
    </w:p>
    <w:p w:rsidR="000A5919" w:rsidRPr="009D7FA2" w:rsidRDefault="000A5919" w:rsidP="00DF28C2">
      <w:pPr>
        <w:autoSpaceDE w:val="0"/>
        <w:autoSpaceDN w:val="0"/>
        <w:ind w:left="720"/>
      </w:pPr>
    </w:p>
    <w:p w:rsidR="000A5919" w:rsidRPr="009D7FA2" w:rsidRDefault="000A5919" w:rsidP="00DF28C2">
      <w:pPr>
        <w:ind w:left="720"/>
      </w:pPr>
      <w:r w:rsidRPr="009D7FA2">
        <w:t xml:space="preserve">The regulation does not provide special reduced requirements for small plans or small employers, because the information collections are designed specifically to protect the rights of participants and beneficiaries covered by participant-directed individual account plans.  The Department believes that the information collections contained in the rule are as important to participants and beneficiaries in small plans (or associated with small employers) as they are to participants and beneficiaries in large plans (or associated with large employers), because participants and beneficiaries in small plans need the same amount and quality of information regarding their investments and investment alternatives as participants and beneficiaries in large plans in order to make informed decisions about the management of the retirement assets in their accounts.   </w:t>
      </w:r>
    </w:p>
    <w:p w:rsidR="000A5919" w:rsidRPr="009D7FA2" w:rsidRDefault="000A5919" w:rsidP="00DF28C2">
      <w:pPr>
        <w:ind w:left="720"/>
      </w:pPr>
    </w:p>
    <w:p w:rsidR="000A5919" w:rsidRPr="009D7FA2" w:rsidRDefault="000A5919" w:rsidP="00DF28C2">
      <w:pPr>
        <w:ind w:left="720"/>
      </w:pPr>
      <w:r w:rsidRPr="009D7FA2">
        <w:t xml:space="preserve">Small business owners who offer their </w:t>
      </w:r>
      <w:proofErr w:type="spellStart"/>
      <w:r w:rsidRPr="009D7FA2">
        <w:t>employees</w:t>
      </w:r>
      <w:proofErr w:type="spellEnd"/>
      <w:r w:rsidRPr="009D7FA2">
        <w:t xml:space="preserve"> pension plans with participant-directed individual accounts may not have the resources to analyze plan fees themselves or to hire an analyst for that purpose.  However, in the likely case that small business owners use service providers for plan administration purposes, some of the costs of complying with the new requirements will be borne by the service provider who might be able to distribute them to a large number of clients.  While the rule could conceivably discourage some employers from offering plans, the Department notes that the rule builds on existent disclosure requirements for section 404(c) plans.</w:t>
      </w:r>
    </w:p>
    <w:p w:rsidR="000A5919" w:rsidRPr="009D7FA2" w:rsidRDefault="000A5919" w:rsidP="00DF28C2">
      <w:pPr>
        <w:ind w:left="720"/>
      </w:pPr>
    </w:p>
    <w:p w:rsidR="000A5919" w:rsidRPr="009D7FA2" w:rsidRDefault="000A5919" w:rsidP="00DF28C2">
      <w:pPr>
        <w:ind w:left="720"/>
      </w:pPr>
      <w:r w:rsidRPr="009D7FA2">
        <w:t xml:space="preserve">While the Department did not adopt a delayed effective date for small plans as requested by a commenter on the proposal, it did adopt a delayed applicability date for the rule (plan years beginning on or after January 1, 2010), which should provide small and large plans with sufficient time to develop systems necessary for compliance.   </w:t>
      </w:r>
    </w:p>
    <w:p w:rsidR="000A5919" w:rsidRPr="009D7FA2" w:rsidRDefault="000A5919" w:rsidP="00DF28C2">
      <w:pPr>
        <w:autoSpaceDE w:val="0"/>
        <w:autoSpaceDN w:val="0"/>
        <w:ind w:left="720"/>
      </w:pPr>
    </w:p>
    <w:p w:rsidR="000A5919" w:rsidRPr="009D7FA2" w:rsidRDefault="000A5919" w:rsidP="00DF28C2">
      <w:pPr>
        <w:pStyle w:val="ListParagraph"/>
        <w:numPr>
          <w:ilvl w:val="0"/>
          <w:numId w:val="10"/>
        </w:numPr>
        <w:autoSpaceDE w:val="0"/>
        <w:autoSpaceDN w:val="0"/>
        <w:ind w:hanging="720"/>
      </w:pPr>
      <w:r w:rsidRPr="00DF28C2">
        <w:rPr>
          <w:i/>
          <w:iCs/>
        </w:rPr>
        <w:t>Describe the consequence to Federal program or policy activities if the collection is not conducted or is conducted less frequently, as well as any technical or legal obstacles to reducing burden</w:t>
      </w:r>
      <w:r w:rsidRPr="009D7FA2">
        <w:t>.</w:t>
      </w:r>
    </w:p>
    <w:p w:rsidR="000A5919" w:rsidRPr="009D7FA2" w:rsidRDefault="000A5919" w:rsidP="00DF28C2">
      <w:pPr>
        <w:autoSpaceDE w:val="0"/>
        <w:autoSpaceDN w:val="0"/>
        <w:ind w:left="720"/>
      </w:pPr>
    </w:p>
    <w:p w:rsidR="000A5919" w:rsidRPr="009D7FA2" w:rsidRDefault="00F402B3" w:rsidP="00DF28C2">
      <w:pPr>
        <w:ind w:left="720"/>
      </w:pPr>
      <w:r>
        <w:t>Conducting</w:t>
      </w:r>
      <w:r w:rsidRPr="009D7FA2">
        <w:t xml:space="preserve"> </w:t>
      </w:r>
      <w:r w:rsidR="000A5919" w:rsidRPr="009D7FA2">
        <w:t>the</w:t>
      </w:r>
      <w:r>
        <w:t>se</w:t>
      </w:r>
      <w:r w:rsidR="000A5919" w:rsidRPr="009D7FA2">
        <w:t xml:space="preserve"> information collections  less frequently</w:t>
      </w:r>
      <w:r>
        <w:t xml:space="preserve"> or not at all would deprive</w:t>
      </w:r>
      <w:r w:rsidR="000A5919" w:rsidRPr="009D7FA2">
        <w:t xml:space="preserve"> participants and beneficiaries in participant-directed individual account plans </w:t>
      </w:r>
      <w:r>
        <w:t xml:space="preserve">of </w:t>
      </w:r>
      <w:r w:rsidR="00833BB5">
        <w:t xml:space="preserve">easy access to </w:t>
      </w:r>
      <w:r>
        <w:t xml:space="preserve">information needed to make investment decisions that </w:t>
      </w:r>
      <w:r w:rsidR="00833BB5">
        <w:t xml:space="preserve">the </w:t>
      </w:r>
      <w:r>
        <w:t xml:space="preserve">participant </w:t>
      </w:r>
      <w:r w:rsidR="00833BB5">
        <w:t xml:space="preserve">or beneficiary </w:t>
      </w:r>
      <w:r>
        <w:t xml:space="preserve">believes will </w:t>
      </w:r>
      <w:r w:rsidR="00833BB5">
        <w:t>maximize</w:t>
      </w:r>
      <w:r>
        <w:t xml:space="preserve"> the value of </w:t>
      </w:r>
      <w:r w:rsidR="000A5919" w:rsidRPr="009D7FA2">
        <w:t xml:space="preserve">retirement savings. </w:t>
      </w:r>
      <w:r w:rsidR="000A5919" w:rsidRPr="009D7FA2">
        <w:lastRenderedPageBreak/>
        <w:t>Moreover, in the aggregate, participants and beneficiaries would spend a considerable amount of time searching for this information.</w:t>
      </w:r>
    </w:p>
    <w:p w:rsidR="000A5919" w:rsidRPr="009D7FA2" w:rsidRDefault="000A5919" w:rsidP="00DF28C2">
      <w:pPr>
        <w:ind w:left="720"/>
      </w:pPr>
    </w:p>
    <w:p w:rsidR="000A5919" w:rsidRPr="009D7FA2" w:rsidRDefault="000A5919" w:rsidP="00DF28C2">
      <w:pPr>
        <w:ind w:left="720"/>
      </w:pPr>
      <w:r w:rsidRPr="009D7FA2">
        <w:t xml:space="preserve">The </w:t>
      </w:r>
      <w:r w:rsidR="00833BB5">
        <w:t>disclosures</w:t>
      </w:r>
      <w:r w:rsidRPr="009D7FA2">
        <w:t xml:space="preserve"> help a large number of plan participants by displaying investment-related information in a format that facilitates comparison of investment alternatives. This simplified format </w:t>
      </w:r>
      <w:r w:rsidR="00833BB5">
        <w:t xml:space="preserve">the </w:t>
      </w:r>
      <w:r w:rsidR="00180B90">
        <w:t>regulations and FABs</w:t>
      </w:r>
      <w:r w:rsidR="00833BB5">
        <w:t xml:space="preserve"> provide for</w:t>
      </w:r>
      <w:r w:rsidRPr="009D7FA2">
        <w:t xml:space="preserve"> make it easier and less time consuming for participants to find and compare information they need to effectively manage their retirement accounts.  The Department believes that these disclosures benefit plan participants and beneficiaries directly by helping them to pick the lowest cost comparable investment alternatives offered under their plans.  </w:t>
      </w:r>
      <w:r w:rsidR="00833BB5">
        <w:t>W</w:t>
      </w:r>
      <w:r w:rsidRPr="009D7FA2">
        <w:t>iser selections, in turn, increase accounts’ investment returns</w:t>
      </w:r>
      <w:r w:rsidR="00833BB5">
        <w:t xml:space="preserve"> and</w:t>
      </w:r>
      <w:r w:rsidRPr="009D7FA2">
        <w:t xml:space="preserve"> strengthening retirement savings.  As participants and beneficiaries become </w:t>
      </w:r>
      <w:r w:rsidR="009913AA" w:rsidRPr="009D7FA2">
        <w:t>more sophisticated</w:t>
      </w:r>
      <w:r w:rsidRPr="009D7FA2">
        <w:t xml:space="preserve"> investors, their behavior will create more competition among the providers of the investment alternatives, which could drive down fund fees.  In addition, plan fiduciaries may use the increased disclosures to scrutinize fees in order to select less expensive comparable investment alternatives under the plans. All these benefits depend on the timeliness and frequency of the information collection; the less frequent the disclosures, the less ability participants will have to determine how best to allocate their investments.</w:t>
      </w:r>
    </w:p>
    <w:p w:rsidR="000A5919" w:rsidRPr="009D7FA2" w:rsidRDefault="000A5919" w:rsidP="00DF28C2">
      <w:pPr>
        <w:autoSpaceDE w:val="0"/>
        <w:autoSpaceDN w:val="0"/>
        <w:ind w:left="720"/>
      </w:pPr>
    </w:p>
    <w:p w:rsidR="000A5919" w:rsidRPr="009D7FA2" w:rsidRDefault="000A5919" w:rsidP="00DF28C2">
      <w:pPr>
        <w:pStyle w:val="ListParagraph"/>
        <w:numPr>
          <w:ilvl w:val="0"/>
          <w:numId w:val="10"/>
        </w:numPr>
        <w:autoSpaceDE w:val="0"/>
        <w:autoSpaceDN w:val="0"/>
        <w:ind w:hanging="720"/>
      </w:pPr>
      <w:r w:rsidRPr="00DF28C2">
        <w:rPr>
          <w:i/>
          <w:iCs/>
        </w:rPr>
        <w:t>Explain any special circumstances that would cause an information collection to be conducted in a manner:</w:t>
      </w:r>
    </w:p>
    <w:p w:rsidR="000A5919" w:rsidRPr="009D7FA2" w:rsidRDefault="000A5919" w:rsidP="001E7F17">
      <w:pPr>
        <w:autoSpaceDE w:val="0"/>
        <w:autoSpaceDN w:val="0"/>
      </w:pPr>
    </w:p>
    <w:p w:rsidR="000A5919" w:rsidRPr="00DF28C2" w:rsidRDefault="000A5919" w:rsidP="00D05A53">
      <w:pPr>
        <w:pStyle w:val="ListParagraph"/>
        <w:numPr>
          <w:ilvl w:val="0"/>
          <w:numId w:val="11"/>
        </w:numPr>
        <w:autoSpaceDE w:val="0"/>
        <w:autoSpaceDN w:val="0"/>
        <w:ind w:left="1440" w:hanging="720"/>
        <w:rPr>
          <w:i/>
          <w:iCs/>
        </w:rPr>
      </w:pPr>
      <w:r w:rsidRPr="00DF28C2">
        <w:rPr>
          <w:i/>
          <w:iCs/>
        </w:rPr>
        <w:t>requiring respondents to report information to the agency more often than quarterly;</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requiring respondents to prepare a written response to a collection of information in fewer than 30 days after receipt of it;</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requiring respondents to submit more than an original and two copies of any document;</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requiring respondents to retain records, other than health, medical, government contract, grant-in-aid, or tax records for more than three years;</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in connection with a statistical survey, that is not designed to produce valid and reliable results that can be generalized to the universe of study;</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requiring the use of a statistical data classification that has not been reviewed and approved by OMB;</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5919" w:rsidRPr="00D05A53" w:rsidRDefault="000A5919" w:rsidP="00D05A53">
      <w:pPr>
        <w:pStyle w:val="ListParagraph"/>
        <w:numPr>
          <w:ilvl w:val="0"/>
          <w:numId w:val="11"/>
        </w:numPr>
        <w:autoSpaceDE w:val="0"/>
        <w:autoSpaceDN w:val="0"/>
        <w:ind w:left="1440" w:hanging="720"/>
        <w:rPr>
          <w:i/>
          <w:iCs/>
        </w:rPr>
      </w:pPr>
      <w:r w:rsidRPr="00D05A53">
        <w:rPr>
          <w:i/>
          <w:iCs/>
        </w:rPr>
        <w:t>requiring respondents to submit proprietary trade secret, or other confidential information unless the agency can demonstrate that it has instituted procedures to protect the information's</w:t>
      </w:r>
      <w:r w:rsidRPr="009D7FA2">
        <w:t xml:space="preserve"> </w:t>
      </w:r>
      <w:r w:rsidRPr="00D05A53">
        <w:rPr>
          <w:i/>
          <w:iCs/>
        </w:rPr>
        <w:t>confidentiality to the extent permitted by law.</w:t>
      </w:r>
    </w:p>
    <w:p w:rsidR="000A5919" w:rsidRPr="009D7FA2" w:rsidRDefault="000A5919" w:rsidP="00D05A53">
      <w:pPr>
        <w:autoSpaceDE w:val="0"/>
        <w:autoSpaceDN w:val="0"/>
        <w:ind w:left="720"/>
      </w:pPr>
    </w:p>
    <w:p w:rsidR="000A5919" w:rsidRPr="009D7FA2" w:rsidRDefault="000A5919" w:rsidP="00D05A53">
      <w:pPr>
        <w:autoSpaceDE w:val="0"/>
        <w:autoSpaceDN w:val="0"/>
        <w:ind w:left="720"/>
      </w:pPr>
      <w:proofErr w:type="gramStart"/>
      <w:r w:rsidRPr="009D7FA2">
        <w:t>None.</w:t>
      </w:r>
      <w:proofErr w:type="gramEnd"/>
    </w:p>
    <w:p w:rsidR="000A5919" w:rsidRPr="009D7FA2" w:rsidRDefault="000A5919" w:rsidP="00D05A53">
      <w:pPr>
        <w:autoSpaceDE w:val="0"/>
        <w:autoSpaceDN w:val="0"/>
        <w:ind w:left="720"/>
      </w:pPr>
    </w:p>
    <w:p w:rsidR="000A5919" w:rsidRPr="00D05A53" w:rsidRDefault="000A5919" w:rsidP="00D05A53">
      <w:pPr>
        <w:pStyle w:val="ListParagraph"/>
        <w:numPr>
          <w:ilvl w:val="0"/>
          <w:numId w:val="10"/>
        </w:numPr>
        <w:autoSpaceDE w:val="0"/>
        <w:autoSpaceDN w:val="0"/>
        <w:ind w:hanging="720"/>
        <w:rPr>
          <w:i/>
          <w:iCs/>
        </w:rPr>
      </w:pPr>
      <w:r w:rsidRPr="00D05A53">
        <w:rPr>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A5919" w:rsidRPr="009D7FA2" w:rsidRDefault="000A5919" w:rsidP="00D05A53">
      <w:pPr>
        <w:autoSpaceDE w:val="0"/>
        <w:autoSpaceDN w:val="0"/>
        <w:ind w:left="720"/>
        <w:rPr>
          <w:i/>
          <w:iCs/>
        </w:rPr>
      </w:pPr>
    </w:p>
    <w:p w:rsidR="000A5919" w:rsidRPr="009D7FA2" w:rsidRDefault="000A5919" w:rsidP="00D05A53">
      <w:pPr>
        <w:autoSpaceDE w:val="0"/>
        <w:autoSpaceDN w:val="0"/>
        <w:ind w:left="720"/>
        <w:rPr>
          <w:i/>
          <w:iCs/>
        </w:rPr>
      </w:pPr>
      <w:r w:rsidRPr="009D7FA2">
        <w:rPr>
          <w:i/>
          <w:i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A5919" w:rsidRPr="009D7FA2" w:rsidRDefault="000A5919" w:rsidP="00D05A53">
      <w:pPr>
        <w:autoSpaceDE w:val="0"/>
        <w:autoSpaceDN w:val="0"/>
        <w:ind w:left="720"/>
        <w:rPr>
          <w:i/>
          <w:iCs/>
        </w:rPr>
      </w:pPr>
    </w:p>
    <w:p w:rsidR="000A5919" w:rsidRPr="009D7FA2" w:rsidRDefault="000A5919" w:rsidP="00D05A53">
      <w:pPr>
        <w:autoSpaceDE w:val="0"/>
        <w:autoSpaceDN w:val="0"/>
        <w:ind w:left="720"/>
      </w:pPr>
      <w:r w:rsidRPr="009D7FA2">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A5919" w:rsidRPr="009D7FA2" w:rsidRDefault="000A5919" w:rsidP="007427A1">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F53E78" w:rsidRDefault="002E5EA0" w:rsidP="007427A1">
      <w:pPr>
        <w:autoSpaceDE w:val="0"/>
        <w:autoSpaceDN w:val="0"/>
        <w:ind w:left="720"/>
      </w:pPr>
      <w:r w:rsidRPr="009D7FA2">
        <w:t>The Department</w:t>
      </w:r>
      <w:r w:rsidR="00F53E78">
        <w:t xml:space="preserve"> </w:t>
      </w:r>
      <w:r w:rsidRPr="009D7FA2">
        <w:t>solicit</w:t>
      </w:r>
      <w:r w:rsidR="00F53E78">
        <w:t>ed</w:t>
      </w:r>
      <w:r w:rsidRPr="009D7FA2">
        <w:t xml:space="preserve"> comments on the </w:t>
      </w:r>
      <w:r w:rsidR="00F53E78">
        <w:t xml:space="preserve">revised </w:t>
      </w:r>
      <w:r w:rsidRPr="009D7FA2">
        <w:t xml:space="preserve">information collection, as required by 5 CFR 1320.8 (d) </w:t>
      </w:r>
      <w:r w:rsidR="00F53E78">
        <w:t xml:space="preserve">in the direct final rule </w:t>
      </w:r>
      <w:r w:rsidRPr="009D7FA2">
        <w:t>published in the Federal Register on</w:t>
      </w:r>
      <w:r w:rsidR="00F53E78">
        <w:t xml:space="preserve"> March 19</w:t>
      </w:r>
      <w:r w:rsidR="0009491F" w:rsidRPr="009D7FA2">
        <w:t>, 2015</w:t>
      </w:r>
      <w:r w:rsidRPr="009D7FA2">
        <w:t xml:space="preserve"> (</w:t>
      </w:r>
      <w:r w:rsidR="0009491F" w:rsidRPr="009D7FA2">
        <w:t>80</w:t>
      </w:r>
      <w:r w:rsidRPr="009D7FA2">
        <w:t xml:space="preserve"> FR </w:t>
      </w:r>
      <w:r w:rsidR="00F53E78">
        <w:t>14301</w:t>
      </w:r>
      <w:r w:rsidRPr="009D7FA2">
        <w:t xml:space="preserve">).  </w:t>
      </w:r>
      <w:r w:rsidR="00F53E78">
        <w:t xml:space="preserve">Two positive comments were received that did not suggest changes to the </w:t>
      </w:r>
      <w:r w:rsidR="00211D07">
        <w:t>rule or ICR</w:t>
      </w:r>
      <w:r w:rsidR="00F53E78">
        <w:t xml:space="preserve"> </w:t>
      </w:r>
      <w:r w:rsidR="00211D07">
        <w:t>submitted to OMB. Therefore</w:t>
      </w:r>
      <w:r w:rsidR="00F53E78">
        <w:t xml:space="preserve">, the rule was finalized on May 5, 2015.  </w:t>
      </w:r>
    </w:p>
    <w:p w:rsidR="000A5919" w:rsidRPr="009D7FA2" w:rsidRDefault="000A5919" w:rsidP="007427A1">
      <w:pPr>
        <w:autoSpaceDE w:val="0"/>
        <w:autoSpaceDN w:val="0"/>
        <w:ind w:left="720"/>
      </w:pPr>
    </w:p>
    <w:p w:rsidR="000A5919" w:rsidRPr="009D7FA2" w:rsidRDefault="000A5919" w:rsidP="007427A1">
      <w:pPr>
        <w:pStyle w:val="ListParagraph"/>
        <w:numPr>
          <w:ilvl w:val="0"/>
          <w:numId w:val="10"/>
        </w:numPr>
        <w:autoSpaceDE w:val="0"/>
        <w:autoSpaceDN w:val="0"/>
        <w:ind w:hanging="720"/>
      </w:pPr>
      <w:r w:rsidRPr="007427A1">
        <w:rPr>
          <w:i/>
          <w:iCs/>
        </w:rPr>
        <w:t>Explain any decision to provide any payment or gift to respondents, other than remuneration of contractors or grantees.</w:t>
      </w:r>
    </w:p>
    <w:p w:rsidR="000A5919" w:rsidRPr="009D7FA2" w:rsidRDefault="000A5919" w:rsidP="007427A1">
      <w:pPr>
        <w:autoSpaceDE w:val="0"/>
        <w:autoSpaceDN w:val="0"/>
        <w:ind w:left="720"/>
      </w:pPr>
    </w:p>
    <w:p w:rsidR="000A5919" w:rsidRPr="009D7FA2" w:rsidRDefault="000A5919" w:rsidP="007427A1">
      <w:pPr>
        <w:autoSpaceDE w:val="0"/>
        <w:autoSpaceDN w:val="0"/>
        <w:ind w:left="720"/>
      </w:pPr>
      <w:r w:rsidRPr="009D7FA2">
        <w:t>Not applicable.</w:t>
      </w:r>
    </w:p>
    <w:p w:rsidR="000A5919" w:rsidRPr="009D7FA2" w:rsidRDefault="000A5919" w:rsidP="007427A1">
      <w:pPr>
        <w:autoSpaceDE w:val="0"/>
        <w:autoSpaceDN w:val="0"/>
        <w:ind w:left="720"/>
      </w:pPr>
    </w:p>
    <w:p w:rsidR="000A5919" w:rsidRPr="007427A1" w:rsidRDefault="000A5919" w:rsidP="007427A1">
      <w:pPr>
        <w:pStyle w:val="ListParagraph"/>
        <w:numPr>
          <w:ilvl w:val="0"/>
          <w:numId w:val="10"/>
        </w:numPr>
        <w:autoSpaceDE w:val="0"/>
        <w:autoSpaceDN w:val="0"/>
        <w:ind w:hanging="720"/>
        <w:rPr>
          <w:i/>
          <w:iCs/>
        </w:rPr>
      </w:pPr>
      <w:r w:rsidRPr="007427A1">
        <w:rPr>
          <w:i/>
          <w:iCs/>
        </w:rPr>
        <w:t>Describe any assurance of confidentiality provided to respondents and the basis for the assurance in statute, regulation, or agency policy.</w:t>
      </w:r>
    </w:p>
    <w:p w:rsidR="000A5919" w:rsidRPr="009D7FA2" w:rsidRDefault="000A5919" w:rsidP="007427A1">
      <w:pPr>
        <w:autoSpaceDE w:val="0"/>
        <w:autoSpaceDN w:val="0"/>
        <w:ind w:left="720"/>
      </w:pPr>
    </w:p>
    <w:p w:rsidR="000A5919" w:rsidRPr="009D7FA2" w:rsidRDefault="000A5919" w:rsidP="007427A1">
      <w:pPr>
        <w:autoSpaceDE w:val="0"/>
        <w:autoSpaceDN w:val="0"/>
        <w:ind w:left="720"/>
      </w:pPr>
      <w:r w:rsidRPr="009D7FA2">
        <w:t>Not applicable.</w:t>
      </w:r>
    </w:p>
    <w:p w:rsidR="000A5919" w:rsidRPr="009D7FA2" w:rsidRDefault="000A5919" w:rsidP="007427A1">
      <w:pPr>
        <w:autoSpaceDE w:val="0"/>
        <w:autoSpaceDN w:val="0"/>
        <w:ind w:left="720"/>
      </w:pPr>
    </w:p>
    <w:p w:rsidR="000A5919" w:rsidRPr="007427A1" w:rsidRDefault="000A5919" w:rsidP="007427A1">
      <w:pPr>
        <w:pStyle w:val="ListParagraph"/>
        <w:numPr>
          <w:ilvl w:val="0"/>
          <w:numId w:val="10"/>
        </w:numPr>
        <w:autoSpaceDE w:val="0"/>
        <w:autoSpaceDN w:val="0"/>
        <w:ind w:hanging="720"/>
        <w:rPr>
          <w:i/>
          <w:iCs/>
        </w:rPr>
      </w:pPr>
      <w:r w:rsidRPr="007427A1">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5919" w:rsidRPr="009D7FA2" w:rsidRDefault="000A5919" w:rsidP="007427A1">
      <w:pPr>
        <w:autoSpaceDE w:val="0"/>
        <w:autoSpaceDN w:val="0"/>
        <w:ind w:left="720"/>
      </w:pPr>
    </w:p>
    <w:p w:rsidR="000A5919" w:rsidRPr="009D7FA2" w:rsidRDefault="000A5919" w:rsidP="007427A1">
      <w:pPr>
        <w:autoSpaceDE w:val="0"/>
        <w:autoSpaceDN w:val="0"/>
        <w:ind w:left="720"/>
      </w:pPr>
      <w:proofErr w:type="gramStart"/>
      <w:r w:rsidRPr="009D7FA2">
        <w:t>None.</w:t>
      </w:r>
      <w:proofErr w:type="gramEnd"/>
    </w:p>
    <w:p w:rsidR="000A5919" w:rsidRPr="009D7FA2" w:rsidRDefault="000A5919" w:rsidP="007427A1">
      <w:pPr>
        <w:autoSpaceDE w:val="0"/>
        <w:autoSpaceDN w:val="0"/>
        <w:ind w:left="720"/>
      </w:pPr>
    </w:p>
    <w:p w:rsidR="000A5919" w:rsidRPr="009D7FA2" w:rsidRDefault="000A5919" w:rsidP="007427A1">
      <w:pPr>
        <w:numPr>
          <w:ilvl w:val="0"/>
          <w:numId w:val="3"/>
        </w:numPr>
        <w:autoSpaceDE w:val="0"/>
        <w:autoSpaceDN w:val="0"/>
        <w:ind w:left="720"/>
        <w:rPr>
          <w:i/>
          <w:iCs/>
        </w:rPr>
      </w:pPr>
      <w:r w:rsidRPr="009D7FA2">
        <w:rPr>
          <w:i/>
          <w:iCs/>
        </w:rPr>
        <w:lastRenderedPageBreak/>
        <w:t>Provide estimates of the hour burden of the collection of information.  The statement should:</w:t>
      </w:r>
    </w:p>
    <w:p w:rsidR="000A5919" w:rsidRPr="009D7FA2" w:rsidRDefault="000A5919" w:rsidP="00E44B39">
      <w:pPr>
        <w:numPr>
          <w:ilvl w:val="1"/>
          <w:numId w:val="3"/>
        </w:numPr>
        <w:autoSpaceDE w:val="0"/>
        <w:autoSpaceDN w:val="0"/>
        <w:ind w:hanging="720"/>
        <w:rPr>
          <w:i/>
          <w:iCs/>
        </w:rPr>
      </w:pPr>
      <w:r w:rsidRPr="009D7FA2">
        <w:rPr>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A5919" w:rsidRPr="009D7FA2" w:rsidRDefault="000A5919" w:rsidP="00E44B39">
      <w:pPr>
        <w:numPr>
          <w:ilvl w:val="1"/>
          <w:numId w:val="3"/>
        </w:numPr>
        <w:autoSpaceDE w:val="0"/>
        <w:autoSpaceDN w:val="0"/>
        <w:ind w:hanging="720"/>
        <w:rPr>
          <w:i/>
          <w:iCs/>
        </w:rPr>
      </w:pPr>
      <w:r w:rsidRPr="009D7FA2">
        <w:rPr>
          <w:i/>
          <w:iCs/>
        </w:rPr>
        <w:t>If this request for approval covers more than one form, provide separate hour burden estimates for each form and aggregate the hour burdens in Item 13.</w:t>
      </w:r>
    </w:p>
    <w:p w:rsidR="000A5919" w:rsidRPr="009D7FA2" w:rsidRDefault="000A5919" w:rsidP="00E44B39">
      <w:pPr>
        <w:numPr>
          <w:ilvl w:val="1"/>
          <w:numId w:val="3"/>
        </w:numPr>
        <w:autoSpaceDE w:val="0"/>
        <w:autoSpaceDN w:val="0"/>
        <w:ind w:hanging="720"/>
        <w:rPr>
          <w:i/>
          <w:iCs/>
        </w:rPr>
      </w:pPr>
      <w:r w:rsidRPr="009D7FA2">
        <w:rPr>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A5919" w:rsidRPr="009D7FA2" w:rsidRDefault="000A5919" w:rsidP="00E44B39">
      <w:pPr>
        <w:autoSpaceDE w:val="0"/>
        <w:autoSpaceDN w:val="0"/>
        <w:ind w:left="720"/>
      </w:pPr>
    </w:p>
    <w:p w:rsidR="00BF0759" w:rsidRPr="009D7FA2" w:rsidRDefault="00BF0759" w:rsidP="00E44B39">
      <w:pPr>
        <w:ind w:left="720"/>
      </w:pPr>
      <w:r w:rsidRPr="009D7FA2">
        <w:t>The Department has made the following assumptions in order to establish a reasonable estimate of the paperwork burden associated with this ICR:</w:t>
      </w:r>
    </w:p>
    <w:p w:rsidR="00BF0759" w:rsidRPr="009D7FA2" w:rsidRDefault="00E622E3" w:rsidP="00E44B39">
      <w:pPr>
        <w:pStyle w:val="ListParagraph"/>
        <w:numPr>
          <w:ilvl w:val="0"/>
          <w:numId w:val="9"/>
        </w:numPr>
        <w:ind w:hanging="720"/>
      </w:pPr>
      <w:r w:rsidRPr="009D7FA2">
        <w:t>Based upon Form 5500 data from the 201</w:t>
      </w:r>
      <w:r w:rsidR="00475185" w:rsidRPr="009D7FA2">
        <w:t>3</w:t>
      </w:r>
      <w:r w:rsidRPr="009D7FA2">
        <w:t xml:space="preserve"> Plan Year,</w:t>
      </w:r>
      <w:r w:rsidRPr="009D7FA2">
        <w:rPr>
          <w:rStyle w:val="FootnoteReference"/>
        </w:rPr>
        <w:footnoteReference w:id="6"/>
      </w:r>
      <w:r w:rsidRPr="009D7FA2">
        <w:t xml:space="preserve"> </w:t>
      </w:r>
      <w:r w:rsidR="00475185" w:rsidRPr="009D7FA2">
        <w:t>518,282</w:t>
      </w:r>
      <w:r w:rsidR="00BF0759" w:rsidRPr="009D7FA2">
        <w:t xml:space="preserve"> participant-directed individual account plans with 6</w:t>
      </w:r>
      <w:r w:rsidR="00475185" w:rsidRPr="009D7FA2">
        <w:t>9,895</w:t>
      </w:r>
      <w:r w:rsidR="00BF0759" w:rsidRPr="009D7FA2">
        <w:t>,000 participants will produce and dist</w:t>
      </w:r>
      <w:r w:rsidR="00DF7C2A" w:rsidRPr="009D7FA2">
        <w:t>ribute the required disclosures;</w:t>
      </w:r>
    </w:p>
    <w:p w:rsidR="000F235D" w:rsidRPr="009D7FA2" w:rsidRDefault="000F235D" w:rsidP="00E44B39">
      <w:pPr>
        <w:pStyle w:val="ListParagraph"/>
        <w:numPr>
          <w:ilvl w:val="0"/>
          <w:numId w:val="9"/>
        </w:numPr>
        <w:ind w:hanging="720"/>
      </w:pPr>
      <w:r w:rsidRPr="009D7FA2">
        <w:t xml:space="preserve">On an annual basis, 14 percent of plans will be new and the remaining 86 percent of plans will be existing plans; </w:t>
      </w:r>
    </w:p>
    <w:p w:rsidR="00DF7C2A" w:rsidRPr="009D7FA2" w:rsidRDefault="00DF7C2A" w:rsidP="00E44B39">
      <w:pPr>
        <w:pStyle w:val="ListParagraph"/>
        <w:numPr>
          <w:ilvl w:val="0"/>
          <w:numId w:val="9"/>
        </w:numPr>
        <w:ind w:hanging="720"/>
      </w:pPr>
      <w:r w:rsidRPr="009D7FA2">
        <w:t xml:space="preserve">Plans will distribute 38 percent of disclosures electronically using existing systems in accordance with the Department’s standards for electronic communication of required information </w:t>
      </w:r>
      <w:proofErr w:type="gramStart"/>
      <w:r w:rsidRPr="009D7FA2">
        <w:t>under 29 CFR 2520.104b-1(c)</w:t>
      </w:r>
      <w:proofErr w:type="gramEnd"/>
      <w:r w:rsidRPr="009D7FA2">
        <w:t>.  Therefore, no cost has been attributed to the electronic distribution of information;</w:t>
      </w:r>
    </w:p>
    <w:p w:rsidR="00DF7C2A" w:rsidRPr="009D7FA2" w:rsidRDefault="00DF7C2A" w:rsidP="00E44B39">
      <w:pPr>
        <w:pStyle w:val="ListParagraph"/>
        <w:numPr>
          <w:ilvl w:val="0"/>
          <w:numId w:val="9"/>
        </w:numPr>
        <w:ind w:hanging="720"/>
      </w:pPr>
      <w:r w:rsidRPr="009D7FA2">
        <w:t xml:space="preserve">Plans will use existing in-house resources to conduct compliance review, create and distribute disclosures, create </w:t>
      </w:r>
      <w:r w:rsidR="0079073D" w:rsidRPr="009D7FA2">
        <w:t xml:space="preserve">the </w:t>
      </w:r>
      <w:r w:rsidRPr="009D7FA2">
        <w:t>website</w:t>
      </w:r>
      <w:r w:rsidR="0079073D" w:rsidRPr="009D7FA2">
        <w:t>, and adjust the IT systems necessary to fulfill the requirements of this rule;</w:t>
      </w:r>
    </w:p>
    <w:p w:rsidR="0079073D" w:rsidRPr="009D7FA2" w:rsidRDefault="0079073D" w:rsidP="00E44B39">
      <w:pPr>
        <w:pStyle w:val="ListParagraph"/>
        <w:numPr>
          <w:ilvl w:val="0"/>
          <w:numId w:val="9"/>
        </w:numPr>
        <w:ind w:hanging="720"/>
      </w:pPr>
      <w:r w:rsidRPr="009D7FA2">
        <w:t>The tasks associated with the ICR</w:t>
      </w:r>
      <w:r w:rsidR="00D42B2B" w:rsidRPr="009D7FA2">
        <w:rPr>
          <w:rStyle w:val="FootnoteReference"/>
        </w:rPr>
        <w:footnoteReference w:id="7"/>
      </w:r>
      <w:r w:rsidRPr="009D7FA2">
        <w:t xml:space="preserve"> will be performed by clerical personnel at an hourly rate of $</w:t>
      </w:r>
      <w:r w:rsidR="00D42B2B" w:rsidRPr="009D7FA2">
        <w:t>30.42</w:t>
      </w:r>
      <w:r w:rsidRPr="009D7FA2">
        <w:t>,</w:t>
      </w:r>
      <w:r w:rsidR="004356B5" w:rsidRPr="009D7FA2">
        <w:rPr>
          <w:rStyle w:val="FootnoteReference"/>
        </w:rPr>
        <w:footnoteReference w:id="8"/>
      </w:r>
      <w:r w:rsidRPr="009D7FA2">
        <w:t xml:space="preserve"> legal professionals at an hourly rate of </w:t>
      </w:r>
      <w:r w:rsidRPr="009D7FA2">
        <w:lastRenderedPageBreak/>
        <w:t>$12</w:t>
      </w:r>
      <w:r w:rsidR="00D42B2B" w:rsidRPr="009D7FA2">
        <w:t>9.94</w:t>
      </w:r>
      <w:r w:rsidRPr="009D7FA2">
        <w:t>,</w:t>
      </w:r>
      <w:r w:rsidR="004356B5" w:rsidRPr="009D7FA2">
        <w:rPr>
          <w:rStyle w:val="FootnoteReference"/>
        </w:rPr>
        <w:footnoteReference w:id="9"/>
      </w:r>
      <w:r w:rsidRPr="009D7FA2">
        <w:t xml:space="preserve"> accountants at an hourly rate of $</w:t>
      </w:r>
      <w:r w:rsidR="00D42B2B" w:rsidRPr="009D7FA2">
        <w:t>71.38</w:t>
      </w:r>
      <w:r w:rsidRPr="009D7FA2">
        <w:t>,</w:t>
      </w:r>
      <w:r w:rsidR="007B626C" w:rsidRPr="009D7FA2">
        <w:rPr>
          <w:rStyle w:val="FootnoteReference"/>
        </w:rPr>
        <w:footnoteReference w:id="10"/>
      </w:r>
      <w:r w:rsidRPr="009D7FA2">
        <w:t xml:space="preserve"> and IT professionals at an hourly rate of $7</w:t>
      </w:r>
      <w:r w:rsidR="00D42B2B" w:rsidRPr="009D7FA2">
        <w:t>9.67</w:t>
      </w:r>
      <w:r w:rsidR="000F235D" w:rsidRPr="009D7FA2">
        <w:t>.</w:t>
      </w:r>
      <w:r w:rsidR="007B626C" w:rsidRPr="009D7FA2">
        <w:rPr>
          <w:rStyle w:val="FootnoteReference"/>
        </w:rPr>
        <w:footnoteReference w:id="11"/>
      </w:r>
    </w:p>
    <w:p w:rsidR="00E622E3" w:rsidRPr="009D7FA2" w:rsidRDefault="00E622E3" w:rsidP="00E44B39">
      <w:pPr>
        <w:ind w:left="720"/>
      </w:pPr>
    </w:p>
    <w:p w:rsidR="005F69CC" w:rsidRPr="009D7FA2" w:rsidRDefault="005F69CC" w:rsidP="00E44B39">
      <w:pPr>
        <w:ind w:left="720"/>
      </w:pPr>
      <w:r w:rsidRPr="009D7FA2">
        <w:rPr>
          <w:u w:val="single"/>
        </w:rPr>
        <w:t>Plan-Related Information</w:t>
      </w:r>
    </w:p>
    <w:p w:rsidR="000F235D" w:rsidRPr="009D7FA2" w:rsidRDefault="005F69CC" w:rsidP="00E44B39">
      <w:pPr>
        <w:ind w:left="720"/>
      </w:pPr>
      <w:r w:rsidRPr="009D7FA2">
        <w:t>The rule requires all plans to provide General Plan Information annually and Administrative and Individual Expense Information quarterly.</w:t>
      </w:r>
    </w:p>
    <w:p w:rsidR="000F235D" w:rsidRPr="009D7FA2" w:rsidRDefault="000F235D" w:rsidP="00E44B39">
      <w:pPr>
        <w:ind w:left="720"/>
      </w:pPr>
    </w:p>
    <w:p w:rsidR="009B22FD" w:rsidRPr="009D7FA2" w:rsidRDefault="000F235D" w:rsidP="00E44B39">
      <w:pPr>
        <w:ind w:left="720"/>
      </w:pPr>
      <w:r w:rsidRPr="009D7FA2">
        <w:t>The Department assumes that every year, new plans will have in-house legal staff spend 30 minutes conducting compliance review and developing the General Plan Information disclosure for a total of 3</w:t>
      </w:r>
      <w:r w:rsidR="0046639E" w:rsidRPr="009D7FA2">
        <w:t>6</w:t>
      </w:r>
      <w:r w:rsidRPr="009D7FA2">
        <w:t>,000 hours at an equivalent cost of $4.</w:t>
      </w:r>
      <w:r w:rsidR="0046639E" w:rsidRPr="009D7FA2">
        <w:t>7</w:t>
      </w:r>
      <w:r w:rsidRPr="009D7FA2">
        <w:t xml:space="preserve"> million, while clerical staff will spend 30 minutes gathering documents and providing administrative support for the legal staff for a total of 3</w:t>
      </w:r>
      <w:r w:rsidR="00A36D87" w:rsidRPr="009D7FA2">
        <w:t>6</w:t>
      </w:r>
      <w:r w:rsidRPr="009D7FA2">
        <w:t>,000 hours at an equivalent cost of $1</w:t>
      </w:r>
      <w:r w:rsidR="00A36D87" w:rsidRPr="009D7FA2">
        <w:t>.1</w:t>
      </w:r>
      <w:r w:rsidRPr="009D7FA2">
        <w:t xml:space="preserve"> million.  Existing plans will have in-house legal staff spend 15 minutes conducting compliance review and updating the General Plan Information disclosure for a total of 1</w:t>
      </w:r>
      <w:r w:rsidR="00A36D87" w:rsidRPr="009D7FA2">
        <w:t>11</w:t>
      </w:r>
      <w:r w:rsidRPr="009D7FA2">
        <w:t>,000 hours at an equivalent cost of $1</w:t>
      </w:r>
      <w:r w:rsidR="00A36D87" w:rsidRPr="009D7FA2">
        <w:t>4.5</w:t>
      </w:r>
      <w:r w:rsidRPr="009D7FA2">
        <w:t xml:space="preserve"> million, while clerical staff will spend 15 minutes gathering documents and providing administrative support for the legal staff for a total of 1</w:t>
      </w:r>
      <w:r w:rsidR="00A36D87" w:rsidRPr="009D7FA2">
        <w:t>11</w:t>
      </w:r>
      <w:r w:rsidRPr="009D7FA2">
        <w:t>,000 hours at an equivalent cost of $3.</w:t>
      </w:r>
      <w:r w:rsidR="00EE79A7" w:rsidRPr="009D7FA2">
        <w:t>4</w:t>
      </w:r>
      <w:r w:rsidRPr="009D7FA2">
        <w:t xml:space="preserve"> million.  The General Plan Information disclosure will be sent to all participants (6</w:t>
      </w:r>
      <w:r w:rsidR="00EE79A7" w:rsidRPr="009D7FA2">
        <w:t>9</w:t>
      </w:r>
      <w:r w:rsidRPr="009D7FA2">
        <w:t>.9 million participants)</w:t>
      </w:r>
      <w:r w:rsidR="007C32D9" w:rsidRPr="009D7FA2">
        <w:t xml:space="preserve"> </w:t>
      </w:r>
      <w:r w:rsidRPr="009D7FA2">
        <w:t>and 62 percent of the disclosures (4</w:t>
      </w:r>
      <w:r w:rsidR="00EE79A7" w:rsidRPr="009D7FA2">
        <w:t>3.3</w:t>
      </w:r>
      <w:r w:rsidRPr="009D7FA2">
        <w:t xml:space="preserve"> million disclosures) will be sent by mail.  Clerical staff </w:t>
      </w:r>
      <w:r w:rsidR="007253BC" w:rsidRPr="009D7FA2">
        <w:t>is</w:t>
      </w:r>
      <w:r w:rsidRPr="009D7FA2">
        <w:t xml:space="preserve"> assumed to spend, on average, two minutes per disclosure</w:t>
      </w:r>
      <w:r w:rsidR="009B22FD" w:rsidRPr="009D7FA2">
        <w:t xml:space="preserve"> to copy and mail this information for a total of 1.4 million hours at an equivalent cost of $</w:t>
      </w:r>
      <w:r w:rsidR="00A17902" w:rsidRPr="009D7FA2">
        <w:t>43.9</w:t>
      </w:r>
      <w:r w:rsidR="009B22FD" w:rsidRPr="009D7FA2">
        <w:t xml:space="preserve"> million.</w:t>
      </w:r>
    </w:p>
    <w:p w:rsidR="009B22FD" w:rsidRPr="009D7FA2" w:rsidRDefault="009B22FD" w:rsidP="00E44B39">
      <w:pPr>
        <w:ind w:left="720"/>
      </w:pPr>
    </w:p>
    <w:p w:rsidR="005F69CC" w:rsidRPr="009D7FA2" w:rsidRDefault="009B22FD" w:rsidP="00E44B39">
      <w:pPr>
        <w:ind w:left="720"/>
      </w:pPr>
      <w:r w:rsidRPr="009D7FA2">
        <w:t>The Department assumes that Administrative and Individual Expense Information will be included as part of required quarterly statements.  Calculating the Expense Information will be performed by outside service providers, and as such, has been included in the cost section in question 13.  All other costs associated with this required disclosure are included in the hour and cost burden calculations for producing and distributing quarterly statements, which fall under another ICR.</w:t>
      </w:r>
    </w:p>
    <w:p w:rsidR="009B22FD" w:rsidRPr="009D7FA2" w:rsidRDefault="009B22FD" w:rsidP="00E44B39">
      <w:pPr>
        <w:ind w:left="720"/>
      </w:pPr>
    </w:p>
    <w:p w:rsidR="009B22FD" w:rsidRPr="009D7FA2" w:rsidRDefault="009B22FD" w:rsidP="00E44B39">
      <w:pPr>
        <w:ind w:left="720"/>
      </w:pPr>
      <w:r w:rsidRPr="009D7FA2">
        <w:rPr>
          <w:u w:val="single"/>
        </w:rPr>
        <w:t>Investment-Related Information</w:t>
      </w:r>
    </w:p>
    <w:p w:rsidR="009B22FD" w:rsidRPr="009D7FA2" w:rsidRDefault="002A6213" w:rsidP="00E44B39">
      <w:pPr>
        <w:ind w:left="720"/>
      </w:pPr>
      <w:r w:rsidRPr="009D7FA2">
        <w:t xml:space="preserve">The rule requires all plans to provide, annually, a comparative chart containing specified identifying information, past performance data, comparable benchmark returns, fee and expense information, and a link to a website regarding investment options.  The rule also requires all plans to create and maintain a website with investment disclosures.  Further, the rule requires plans to provide </w:t>
      </w:r>
      <w:r w:rsidR="00283EE1" w:rsidRPr="009D7FA2">
        <w:t>post-</w:t>
      </w:r>
      <w:r w:rsidR="00283EE1" w:rsidRPr="009D7FA2">
        <w:lastRenderedPageBreak/>
        <w:t xml:space="preserve">investment </w:t>
      </w:r>
      <w:r w:rsidRPr="009D7FA2">
        <w:t>“pass through” disclosure materials to participants’ investment</w:t>
      </w:r>
      <w:r w:rsidR="00283EE1" w:rsidRPr="009D7FA2">
        <w:t>s</w:t>
      </w:r>
      <w:r w:rsidRPr="009D7FA2">
        <w:t xml:space="preserve"> in an alternative investment.  Finally, the rule requires plans to provide a variety of disclosure materials upon request.</w:t>
      </w:r>
    </w:p>
    <w:p w:rsidR="002A6213" w:rsidRPr="009D7FA2" w:rsidRDefault="002A6213" w:rsidP="00E44B39">
      <w:pPr>
        <w:ind w:left="720"/>
      </w:pPr>
    </w:p>
    <w:p w:rsidR="002A6213" w:rsidRPr="009D7FA2" w:rsidRDefault="002A6213" w:rsidP="00E44B39">
      <w:pPr>
        <w:ind w:left="720"/>
      </w:pPr>
      <w:r w:rsidRPr="009D7FA2">
        <w:t>The Department assumes that i</w:t>
      </w:r>
      <w:r w:rsidR="00283EE1" w:rsidRPr="009D7FA2">
        <w:t>n-house a</w:t>
      </w:r>
      <w:r w:rsidRPr="009D7FA2">
        <w:t xml:space="preserve">ccountants will spend 5 hours per new plan creating comparative charts and 4 hours per existing plan updating comparative charts for a total of 2.1 million hours at an equivalent cost of </w:t>
      </w:r>
      <w:r w:rsidR="0082427F" w:rsidRPr="009D7FA2">
        <w:t>$1</w:t>
      </w:r>
      <w:r w:rsidR="007A5681" w:rsidRPr="009D7FA2">
        <w:t>53.2</w:t>
      </w:r>
      <w:r w:rsidR="0082427F" w:rsidRPr="009D7FA2">
        <w:t xml:space="preserve"> million.  </w:t>
      </w:r>
      <w:r w:rsidR="007109AF" w:rsidRPr="009D7FA2">
        <w:t>The comparative chart will be sent to all participants (6</w:t>
      </w:r>
      <w:r w:rsidR="007A5681" w:rsidRPr="009D7FA2">
        <w:t>9</w:t>
      </w:r>
      <w:r w:rsidR="007109AF" w:rsidRPr="009D7FA2">
        <w:t>.9 million participants) and 62 percent of the disclosures (4</w:t>
      </w:r>
      <w:r w:rsidR="007A5681" w:rsidRPr="009D7FA2">
        <w:t>3.3</w:t>
      </w:r>
      <w:r w:rsidR="007109AF" w:rsidRPr="009D7FA2">
        <w:t xml:space="preserve"> million disclosures) will be sent by mail.  </w:t>
      </w:r>
      <w:r w:rsidR="0082427F" w:rsidRPr="009D7FA2">
        <w:t>Clerical workers are assumed to spend, on average, two minutes per disclosure to copy and mail this information for a total of 1.4 million hours at an equivalent cost of $</w:t>
      </w:r>
      <w:r w:rsidR="007A5681" w:rsidRPr="009D7FA2">
        <w:t>43.9</w:t>
      </w:r>
      <w:r w:rsidR="0082427F" w:rsidRPr="009D7FA2">
        <w:t xml:space="preserve"> million.</w:t>
      </w:r>
    </w:p>
    <w:p w:rsidR="006635E2" w:rsidRPr="009D7FA2" w:rsidRDefault="006635E2" w:rsidP="00E44B39">
      <w:pPr>
        <w:ind w:left="720"/>
      </w:pPr>
    </w:p>
    <w:p w:rsidR="006635E2" w:rsidRPr="009D7FA2" w:rsidRDefault="006635E2" w:rsidP="00E44B39">
      <w:pPr>
        <w:ind w:left="720"/>
      </w:pPr>
      <w:r w:rsidRPr="009D7FA2">
        <w:t>The Department assumes that in-house IT staff will spend 3.5 hours per new plan creating, and updating quarterly, a website that meets the requirements of this rule, while in-house IT staff will spend 2 hours per existing plan making quarterly updates of the website.  The total hourly burden for IT staff will be approximately 1.1 million hours at an equivalent cost of $</w:t>
      </w:r>
      <w:r w:rsidR="00160B71" w:rsidRPr="009D7FA2">
        <w:t>91.3</w:t>
      </w:r>
      <w:r w:rsidRPr="009D7FA2">
        <w:t xml:space="preserve"> million.</w:t>
      </w:r>
    </w:p>
    <w:p w:rsidR="007109AF" w:rsidRPr="009D7FA2" w:rsidRDefault="007109AF" w:rsidP="00E44B39">
      <w:pPr>
        <w:ind w:left="720"/>
      </w:pPr>
    </w:p>
    <w:p w:rsidR="007109AF" w:rsidRPr="009D7FA2" w:rsidRDefault="007109AF" w:rsidP="00E44B39">
      <w:pPr>
        <w:ind w:left="720"/>
      </w:pPr>
      <w:r w:rsidRPr="009D7FA2">
        <w:t>Because the “pass through” disclosures are only required to be given post-investment to investors choosing alternative investments, the Department assumes that only plan participants in plans with employer securities will receive these disclosures.  These disclosures will be sent to all participants in plans with employer securities (1</w:t>
      </w:r>
      <w:r w:rsidR="005C0295" w:rsidRPr="009D7FA2">
        <w:t>4.4</w:t>
      </w:r>
      <w:r w:rsidRPr="009D7FA2">
        <w:t xml:space="preserve"> million participants) and 62 percent of the disclosures (</w:t>
      </w:r>
      <w:r w:rsidR="005C0295" w:rsidRPr="009D7FA2">
        <w:t>8.</w:t>
      </w:r>
      <w:r w:rsidRPr="009D7FA2">
        <w:t xml:space="preserve">9 million disclosures) will be sent by mail.  Clerical workers are assumed to spend, on average, two minutes per disclosure to copy and mail this information for a total of </w:t>
      </w:r>
      <w:r w:rsidR="00AB16F0" w:rsidRPr="009D7FA2">
        <w:t>298</w:t>
      </w:r>
      <w:r w:rsidRPr="009D7FA2">
        <w:t>,000 hours at an equivalent cost of $9</w:t>
      </w:r>
      <w:r w:rsidR="00AB16F0" w:rsidRPr="009D7FA2">
        <w:t>.1</w:t>
      </w:r>
      <w:r w:rsidRPr="009D7FA2">
        <w:t xml:space="preserve"> million.</w:t>
      </w:r>
    </w:p>
    <w:p w:rsidR="007109AF" w:rsidRPr="009D7FA2" w:rsidRDefault="007109AF" w:rsidP="00E44B39">
      <w:pPr>
        <w:ind w:left="720"/>
      </w:pPr>
    </w:p>
    <w:p w:rsidR="007109AF" w:rsidRPr="009D7FA2" w:rsidRDefault="007109AF" w:rsidP="00E44B39">
      <w:pPr>
        <w:ind w:left="720"/>
      </w:pPr>
      <w:r w:rsidRPr="009D7FA2">
        <w:t xml:space="preserve">Finally, the Department estimates that each plan will receive one request for information per year.  Each information request will require 1 hour of clerical time to prepare the request and 2 minutes of clerical time to copy and mail the information.  Assuming that 62 percent of requests will be mailed, </w:t>
      </w:r>
      <w:r w:rsidR="007253BC" w:rsidRPr="009D7FA2">
        <w:t>a</w:t>
      </w:r>
      <w:r w:rsidRPr="009D7FA2">
        <w:t>pproximately 5</w:t>
      </w:r>
      <w:r w:rsidR="004D1412" w:rsidRPr="009D7FA2">
        <w:t>29</w:t>
      </w:r>
      <w:r w:rsidRPr="009D7FA2">
        <w:t>,000 hours of clerical burden at an equivalent cost of $1</w:t>
      </w:r>
      <w:r w:rsidR="004D1412" w:rsidRPr="009D7FA2">
        <w:t>6.1</w:t>
      </w:r>
      <w:r w:rsidRPr="009D7FA2">
        <w:t xml:space="preserve"> million</w:t>
      </w:r>
      <w:r w:rsidR="007253BC" w:rsidRPr="009D7FA2">
        <w:t xml:space="preserve"> will result</w:t>
      </w:r>
      <w:r w:rsidRPr="009D7FA2">
        <w:t>.</w:t>
      </w:r>
    </w:p>
    <w:p w:rsidR="007109AF" w:rsidRPr="009D7FA2" w:rsidRDefault="007109AF" w:rsidP="00E44B39">
      <w:pPr>
        <w:ind w:left="720"/>
      </w:pPr>
    </w:p>
    <w:p w:rsidR="007109AF" w:rsidRPr="009D7FA2" w:rsidRDefault="007109AF" w:rsidP="00E44B39">
      <w:pPr>
        <w:ind w:left="720"/>
        <w:rPr>
          <w:u w:val="single"/>
        </w:rPr>
      </w:pPr>
      <w:r w:rsidRPr="009D7FA2">
        <w:rPr>
          <w:u w:val="single"/>
        </w:rPr>
        <w:t>Summary</w:t>
      </w:r>
    </w:p>
    <w:p w:rsidR="000A5919" w:rsidRPr="009D7FA2" w:rsidRDefault="007109AF" w:rsidP="00E44B39">
      <w:pPr>
        <w:ind w:left="720"/>
      </w:pPr>
      <w:r w:rsidRPr="009D7FA2">
        <w:t>In summary, creating, preparing, and distributing these require disclosures will result in 7.</w:t>
      </w:r>
      <w:r w:rsidR="00E773EC" w:rsidRPr="009D7FA2">
        <w:t>3</w:t>
      </w:r>
      <w:r w:rsidRPr="009D7FA2">
        <w:t xml:space="preserve"> million hours of burden annually at an equivalent cost of $3</w:t>
      </w:r>
      <w:r w:rsidR="00E773EC" w:rsidRPr="009D7FA2">
        <w:t>81.1</w:t>
      </w:r>
      <w:r w:rsidRPr="009D7FA2">
        <w:t xml:space="preserve"> million.</w:t>
      </w:r>
    </w:p>
    <w:p w:rsidR="00FC1FB9" w:rsidRPr="009D7FA2" w:rsidRDefault="00FC1FB9" w:rsidP="00E44B39">
      <w:pPr>
        <w:ind w:left="720"/>
      </w:pPr>
    </w:p>
    <w:p w:rsidR="00FC1FB9" w:rsidRPr="009D7FA2" w:rsidRDefault="00FC1FB9" w:rsidP="00E44B39">
      <w:pPr>
        <w:ind w:left="720"/>
        <w:rPr>
          <w:b/>
        </w:rPr>
      </w:pPr>
      <w:r w:rsidRPr="009D7FA2">
        <w:rPr>
          <w:b/>
        </w:rPr>
        <w:t xml:space="preserve">2014 </w:t>
      </w:r>
      <w:r w:rsidR="008D595D" w:rsidRPr="009D7FA2">
        <w:rPr>
          <w:b/>
        </w:rPr>
        <w:t>Direct Final Rule</w:t>
      </w:r>
    </w:p>
    <w:p w:rsidR="00FC1FB9" w:rsidRPr="009D7FA2" w:rsidRDefault="00FC1FB9" w:rsidP="00E44B39">
      <w:pPr>
        <w:ind w:left="720"/>
      </w:pPr>
    </w:p>
    <w:p w:rsidR="00FC1FB9" w:rsidRDefault="00FC1FB9" w:rsidP="00E44B39">
      <w:pPr>
        <w:ind w:left="720"/>
      </w:pPr>
      <w:r w:rsidRPr="009D7FA2">
        <w:t xml:space="preserve">As discussed under item 1 above, the current regulatory language states that the term </w:t>
      </w:r>
      <w:r w:rsidRPr="009D7FA2">
        <w:rPr>
          <w:i/>
        </w:rPr>
        <w:t>at least annually thereafter</w:t>
      </w:r>
      <w:r w:rsidRPr="009D7FA2">
        <w:t xml:space="preserve"> “means at least once in any 12-month period, without regard to whether the plan operates on a calendar or fiscal year basis.”  The direct final rule replaces “12-month period” with “14-month period.”  Thus, the definition, as amended by this rulemaking, states that the term </w:t>
      </w:r>
      <w:r w:rsidRPr="009D7FA2">
        <w:rPr>
          <w:i/>
        </w:rPr>
        <w:t xml:space="preserve">at least </w:t>
      </w:r>
      <w:r w:rsidRPr="009D7FA2">
        <w:rPr>
          <w:i/>
        </w:rPr>
        <w:lastRenderedPageBreak/>
        <w:t>annually thereafter</w:t>
      </w:r>
      <w:r w:rsidRPr="009D7FA2">
        <w:t xml:space="preserve"> “means at least once in any 14-month period, without regard to whether the plan operates on a calendar year or fiscal year basis.”  The Department does not expect this amendment to have an impact on the hour burden associated with the ICR, because it solely determines when the disclosures are distributed but does not affect the content of the disclosures.</w:t>
      </w:r>
    </w:p>
    <w:p w:rsidR="00180B90" w:rsidRDefault="00180B90" w:rsidP="00E44B39">
      <w:pPr>
        <w:ind w:left="720"/>
      </w:pPr>
    </w:p>
    <w:p w:rsidR="00180B90" w:rsidRPr="00180B90" w:rsidRDefault="00180B90" w:rsidP="00E44B39">
      <w:pPr>
        <w:ind w:left="720"/>
        <w:rPr>
          <w:b/>
        </w:rPr>
      </w:pPr>
      <w:r>
        <w:rPr>
          <w:b/>
        </w:rPr>
        <w:t xml:space="preserve">Time </w:t>
      </w:r>
      <w:r w:rsidRPr="00180B90">
        <w:rPr>
          <w:b/>
        </w:rPr>
        <w:t>Burden Summary Table</w:t>
      </w:r>
    </w:p>
    <w:tbl>
      <w:tblPr>
        <w:tblStyle w:val="TableGrid"/>
        <w:tblW w:w="0" w:type="auto"/>
        <w:tblInd w:w="720" w:type="dxa"/>
        <w:tblLook w:val="04A0" w:firstRow="1" w:lastRow="0" w:firstColumn="1" w:lastColumn="0" w:noHBand="0" w:noVBand="1"/>
      </w:tblPr>
      <w:tblGrid>
        <w:gridCol w:w="1296"/>
        <w:gridCol w:w="1136"/>
        <w:gridCol w:w="980"/>
        <w:gridCol w:w="1116"/>
        <w:gridCol w:w="914"/>
        <w:gridCol w:w="813"/>
        <w:gridCol w:w="813"/>
        <w:gridCol w:w="1068"/>
      </w:tblGrid>
      <w:tr w:rsidR="003A71CD" w:rsidRPr="00C70921" w:rsidTr="003A71CD">
        <w:tc>
          <w:tcPr>
            <w:tcW w:w="1296" w:type="dxa"/>
          </w:tcPr>
          <w:p w:rsidR="00180B90" w:rsidRPr="00180B90" w:rsidRDefault="00180B90" w:rsidP="00C70921">
            <w:pPr>
              <w:rPr>
                <w:sz w:val="18"/>
                <w:szCs w:val="18"/>
              </w:rPr>
            </w:pPr>
            <w:r w:rsidRPr="00180B90">
              <w:rPr>
                <w:sz w:val="18"/>
                <w:szCs w:val="18"/>
              </w:rPr>
              <w:t>Activity</w:t>
            </w:r>
          </w:p>
        </w:tc>
        <w:tc>
          <w:tcPr>
            <w:tcW w:w="1136" w:type="dxa"/>
          </w:tcPr>
          <w:p w:rsidR="00180B90" w:rsidRPr="00180B90" w:rsidRDefault="00180B90" w:rsidP="00C70921">
            <w:pPr>
              <w:rPr>
                <w:sz w:val="18"/>
                <w:szCs w:val="18"/>
              </w:rPr>
            </w:pPr>
            <w:r w:rsidRPr="00180B90">
              <w:rPr>
                <w:sz w:val="18"/>
                <w:szCs w:val="18"/>
              </w:rPr>
              <w:t>Number of Respondents</w:t>
            </w:r>
          </w:p>
        </w:tc>
        <w:tc>
          <w:tcPr>
            <w:tcW w:w="980" w:type="dxa"/>
          </w:tcPr>
          <w:p w:rsidR="00180B90" w:rsidRPr="00180B90" w:rsidRDefault="00180B90" w:rsidP="00C70921">
            <w:pPr>
              <w:rPr>
                <w:sz w:val="18"/>
                <w:szCs w:val="18"/>
              </w:rPr>
            </w:pPr>
            <w:r w:rsidRPr="00180B90">
              <w:rPr>
                <w:sz w:val="18"/>
                <w:szCs w:val="18"/>
              </w:rPr>
              <w:t>Frequency</w:t>
            </w:r>
          </w:p>
        </w:tc>
        <w:tc>
          <w:tcPr>
            <w:tcW w:w="1116" w:type="dxa"/>
          </w:tcPr>
          <w:p w:rsidR="00180B90" w:rsidRPr="00180B90" w:rsidRDefault="00180B90" w:rsidP="00C70921">
            <w:pPr>
              <w:rPr>
                <w:sz w:val="18"/>
                <w:szCs w:val="18"/>
              </w:rPr>
            </w:pPr>
            <w:r w:rsidRPr="00180B90">
              <w:rPr>
                <w:sz w:val="18"/>
                <w:szCs w:val="18"/>
              </w:rPr>
              <w:t>Total Annual Responses</w:t>
            </w:r>
          </w:p>
        </w:tc>
        <w:tc>
          <w:tcPr>
            <w:tcW w:w="914" w:type="dxa"/>
          </w:tcPr>
          <w:p w:rsidR="00180B90" w:rsidRPr="00180B90" w:rsidRDefault="00180B90" w:rsidP="00C70921">
            <w:pPr>
              <w:rPr>
                <w:sz w:val="18"/>
                <w:szCs w:val="18"/>
              </w:rPr>
            </w:pPr>
            <w:r w:rsidRPr="00180B90">
              <w:rPr>
                <w:sz w:val="18"/>
                <w:szCs w:val="18"/>
              </w:rPr>
              <w:t>Time Per Response</w:t>
            </w:r>
            <w:r w:rsidR="009B78F2">
              <w:rPr>
                <w:sz w:val="18"/>
                <w:szCs w:val="18"/>
              </w:rPr>
              <w:t xml:space="preserve"> (Hours)</w:t>
            </w:r>
          </w:p>
        </w:tc>
        <w:tc>
          <w:tcPr>
            <w:tcW w:w="813" w:type="dxa"/>
          </w:tcPr>
          <w:p w:rsidR="00180B90" w:rsidRPr="00180B90" w:rsidRDefault="00180B90" w:rsidP="00C70921">
            <w:pPr>
              <w:rPr>
                <w:sz w:val="18"/>
                <w:szCs w:val="18"/>
              </w:rPr>
            </w:pPr>
            <w:r w:rsidRPr="00180B90">
              <w:rPr>
                <w:sz w:val="18"/>
                <w:szCs w:val="18"/>
              </w:rPr>
              <w:t>Total Annual Burden (Hours)</w:t>
            </w:r>
          </w:p>
        </w:tc>
        <w:tc>
          <w:tcPr>
            <w:tcW w:w="813" w:type="dxa"/>
          </w:tcPr>
          <w:p w:rsidR="00180B90" w:rsidRPr="00180B90" w:rsidRDefault="00180B90" w:rsidP="00C70921">
            <w:pPr>
              <w:rPr>
                <w:sz w:val="18"/>
                <w:szCs w:val="18"/>
              </w:rPr>
            </w:pPr>
            <w:r w:rsidRPr="00180B90">
              <w:rPr>
                <w:sz w:val="18"/>
                <w:szCs w:val="18"/>
              </w:rPr>
              <w:t>Hourly Rate*</w:t>
            </w:r>
          </w:p>
        </w:tc>
        <w:tc>
          <w:tcPr>
            <w:tcW w:w="1068" w:type="dxa"/>
          </w:tcPr>
          <w:p w:rsidR="00180B90" w:rsidRPr="00180B90" w:rsidRDefault="00180B90" w:rsidP="00C70921">
            <w:pPr>
              <w:rPr>
                <w:sz w:val="18"/>
                <w:szCs w:val="18"/>
              </w:rPr>
            </w:pPr>
            <w:r w:rsidRPr="00180B90">
              <w:rPr>
                <w:sz w:val="18"/>
                <w:szCs w:val="18"/>
              </w:rPr>
              <w:t>Monetized Value of Respondent Time</w:t>
            </w:r>
          </w:p>
        </w:tc>
      </w:tr>
      <w:tr w:rsidR="003A71CD" w:rsidRPr="00C70921" w:rsidTr="003A71CD">
        <w:tc>
          <w:tcPr>
            <w:tcW w:w="1296" w:type="dxa"/>
          </w:tcPr>
          <w:p w:rsidR="00180B90" w:rsidRPr="00180B90" w:rsidRDefault="003F315D" w:rsidP="00C70921">
            <w:pPr>
              <w:rPr>
                <w:sz w:val="18"/>
                <w:szCs w:val="18"/>
              </w:rPr>
            </w:pPr>
            <w:r>
              <w:rPr>
                <w:sz w:val="18"/>
                <w:szCs w:val="18"/>
              </w:rPr>
              <w:t>New Plan Compliance Review (Legal)</w:t>
            </w:r>
          </w:p>
        </w:tc>
        <w:tc>
          <w:tcPr>
            <w:tcW w:w="1136" w:type="dxa"/>
            <w:vAlign w:val="bottom"/>
          </w:tcPr>
          <w:p w:rsidR="00180B90" w:rsidRPr="00180B90" w:rsidRDefault="00F13BB1" w:rsidP="00032C9C">
            <w:pPr>
              <w:jc w:val="right"/>
              <w:rPr>
                <w:sz w:val="18"/>
                <w:szCs w:val="18"/>
              </w:rPr>
            </w:pPr>
            <w:r>
              <w:rPr>
                <w:sz w:val="18"/>
                <w:szCs w:val="18"/>
              </w:rPr>
              <w:t>7</w:t>
            </w:r>
            <w:r w:rsidR="00032C9C">
              <w:rPr>
                <w:sz w:val="18"/>
                <w:szCs w:val="18"/>
              </w:rPr>
              <w:t>2,559</w:t>
            </w:r>
          </w:p>
        </w:tc>
        <w:tc>
          <w:tcPr>
            <w:tcW w:w="980" w:type="dxa"/>
            <w:vAlign w:val="bottom"/>
          </w:tcPr>
          <w:p w:rsidR="00180B90" w:rsidRPr="00180B90" w:rsidRDefault="009B78F2" w:rsidP="00180B90">
            <w:pPr>
              <w:jc w:val="right"/>
              <w:rPr>
                <w:sz w:val="18"/>
                <w:szCs w:val="18"/>
              </w:rPr>
            </w:pPr>
            <w:r>
              <w:rPr>
                <w:sz w:val="18"/>
                <w:szCs w:val="18"/>
              </w:rPr>
              <w:t>1</w:t>
            </w:r>
          </w:p>
        </w:tc>
        <w:tc>
          <w:tcPr>
            <w:tcW w:w="1116" w:type="dxa"/>
            <w:vAlign w:val="bottom"/>
          </w:tcPr>
          <w:p w:rsidR="00180B90" w:rsidRPr="00180B90" w:rsidRDefault="00032C9C" w:rsidP="00032C9C">
            <w:pPr>
              <w:jc w:val="right"/>
              <w:rPr>
                <w:sz w:val="18"/>
                <w:szCs w:val="18"/>
              </w:rPr>
            </w:pPr>
            <w:r>
              <w:rPr>
                <w:sz w:val="18"/>
                <w:szCs w:val="18"/>
              </w:rPr>
              <w:t>72,559</w:t>
            </w:r>
          </w:p>
        </w:tc>
        <w:tc>
          <w:tcPr>
            <w:tcW w:w="914" w:type="dxa"/>
            <w:vAlign w:val="bottom"/>
          </w:tcPr>
          <w:p w:rsidR="00180B90" w:rsidRPr="00180B90" w:rsidRDefault="009B78F2" w:rsidP="00180B90">
            <w:pPr>
              <w:jc w:val="right"/>
              <w:rPr>
                <w:sz w:val="18"/>
                <w:szCs w:val="18"/>
              </w:rPr>
            </w:pPr>
            <w:r>
              <w:rPr>
                <w:sz w:val="18"/>
                <w:szCs w:val="18"/>
              </w:rPr>
              <w:t>0.5</w:t>
            </w:r>
          </w:p>
        </w:tc>
        <w:tc>
          <w:tcPr>
            <w:tcW w:w="813" w:type="dxa"/>
            <w:vAlign w:val="bottom"/>
          </w:tcPr>
          <w:p w:rsidR="00180B90" w:rsidRPr="00180B90" w:rsidRDefault="00F13BB1" w:rsidP="00180B90">
            <w:pPr>
              <w:jc w:val="right"/>
              <w:rPr>
                <w:sz w:val="18"/>
                <w:szCs w:val="18"/>
              </w:rPr>
            </w:pPr>
            <w:r>
              <w:rPr>
                <w:sz w:val="18"/>
                <w:szCs w:val="18"/>
              </w:rPr>
              <w:t>36,000</w:t>
            </w:r>
          </w:p>
        </w:tc>
        <w:tc>
          <w:tcPr>
            <w:tcW w:w="813" w:type="dxa"/>
            <w:vAlign w:val="bottom"/>
          </w:tcPr>
          <w:p w:rsidR="00180B90" w:rsidRPr="00180B90" w:rsidRDefault="00F13BB1" w:rsidP="00180B90">
            <w:pPr>
              <w:jc w:val="right"/>
              <w:rPr>
                <w:sz w:val="18"/>
                <w:szCs w:val="18"/>
              </w:rPr>
            </w:pPr>
            <w:r>
              <w:rPr>
                <w:sz w:val="18"/>
                <w:szCs w:val="18"/>
              </w:rPr>
              <w:t>$129.94</w:t>
            </w:r>
          </w:p>
        </w:tc>
        <w:tc>
          <w:tcPr>
            <w:tcW w:w="1068" w:type="dxa"/>
            <w:vAlign w:val="bottom"/>
          </w:tcPr>
          <w:p w:rsidR="00180B90" w:rsidRPr="00180B90" w:rsidRDefault="00F13BB1" w:rsidP="00180B90">
            <w:pPr>
              <w:jc w:val="right"/>
              <w:rPr>
                <w:sz w:val="18"/>
                <w:szCs w:val="18"/>
              </w:rPr>
            </w:pPr>
            <w:r>
              <w:rPr>
                <w:sz w:val="18"/>
                <w:szCs w:val="18"/>
              </w:rPr>
              <w:t>$4.7 million</w:t>
            </w:r>
          </w:p>
        </w:tc>
      </w:tr>
      <w:tr w:rsidR="003A71CD" w:rsidRPr="00C70921" w:rsidTr="003A71CD">
        <w:tc>
          <w:tcPr>
            <w:tcW w:w="1296" w:type="dxa"/>
          </w:tcPr>
          <w:p w:rsidR="00180B90" w:rsidRPr="00180B90" w:rsidRDefault="00F13BB1" w:rsidP="004204E3">
            <w:pPr>
              <w:rPr>
                <w:sz w:val="18"/>
                <w:szCs w:val="18"/>
              </w:rPr>
            </w:pPr>
            <w:r>
              <w:rPr>
                <w:sz w:val="18"/>
                <w:szCs w:val="18"/>
              </w:rPr>
              <w:t xml:space="preserve">New Plan </w:t>
            </w:r>
            <w:r w:rsidR="004204E3">
              <w:rPr>
                <w:sz w:val="18"/>
                <w:szCs w:val="18"/>
              </w:rPr>
              <w:t>Document Gathering</w:t>
            </w:r>
            <w:r>
              <w:rPr>
                <w:sz w:val="18"/>
                <w:szCs w:val="18"/>
              </w:rPr>
              <w:t xml:space="preserve"> (Clerical)</w:t>
            </w:r>
          </w:p>
        </w:tc>
        <w:tc>
          <w:tcPr>
            <w:tcW w:w="1136" w:type="dxa"/>
            <w:vAlign w:val="bottom"/>
          </w:tcPr>
          <w:p w:rsidR="00180B90" w:rsidRPr="00180B90" w:rsidRDefault="00F13BB1" w:rsidP="00032C9C">
            <w:pPr>
              <w:jc w:val="right"/>
              <w:rPr>
                <w:sz w:val="18"/>
                <w:szCs w:val="18"/>
              </w:rPr>
            </w:pPr>
            <w:r>
              <w:rPr>
                <w:sz w:val="18"/>
                <w:szCs w:val="18"/>
              </w:rPr>
              <w:t>7</w:t>
            </w:r>
            <w:r w:rsidR="00032C9C">
              <w:rPr>
                <w:sz w:val="18"/>
                <w:szCs w:val="18"/>
              </w:rPr>
              <w:t>2,559</w:t>
            </w:r>
          </w:p>
        </w:tc>
        <w:tc>
          <w:tcPr>
            <w:tcW w:w="980" w:type="dxa"/>
            <w:vAlign w:val="bottom"/>
          </w:tcPr>
          <w:p w:rsidR="00180B90" w:rsidRPr="00180B90" w:rsidRDefault="00F13BB1" w:rsidP="00180B90">
            <w:pPr>
              <w:jc w:val="right"/>
              <w:rPr>
                <w:sz w:val="18"/>
                <w:szCs w:val="18"/>
              </w:rPr>
            </w:pPr>
            <w:r>
              <w:rPr>
                <w:sz w:val="18"/>
                <w:szCs w:val="18"/>
              </w:rPr>
              <w:t>1</w:t>
            </w:r>
          </w:p>
        </w:tc>
        <w:tc>
          <w:tcPr>
            <w:tcW w:w="1116" w:type="dxa"/>
            <w:vAlign w:val="bottom"/>
          </w:tcPr>
          <w:p w:rsidR="00180B90" w:rsidRPr="00180B90" w:rsidRDefault="00F13BB1" w:rsidP="00032C9C">
            <w:pPr>
              <w:jc w:val="right"/>
              <w:rPr>
                <w:sz w:val="18"/>
                <w:szCs w:val="18"/>
              </w:rPr>
            </w:pPr>
            <w:r>
              <w:rPr>
                <w:sz w:val="18"/>
                <w:szCs w:val="18"/>
              </w:rPr>
              <w:t>7</w:t>
            </w:r>
            <w:r w:rsidR="00032C9C">
              <w:rPr>
                <w:sz w:val="18"/>
                <w:szCs w:val="18"/>
              </w:rPr>
              <w:t>2,559</w:t>
            </w:r>
          </w:p>
        </w:tc>
        <w:tc>
          <w:tcPr>
            <w:tcW w:w="914" w:type="dxa"/>
            <w:vAlign w:val="bottom"/>
          </w:tcPr>
          <w:p w:rsidR="00180B90" w:rsidRPr="00180B90" w:rsidRDefault="00F13BB1" w:rsidP="00180B90">
            <w:pPr>
              <w:jc w:val="right"/>
              <w:rPr>
                <w:sz w:val="18"/>
                <w:szCs w:val="18"/>
              </w:rPr>
            </w:pPr>
            <w:r>
              <w:rPr>
                <w:sz w:val="18"/>
                <w:szCs w:val="18"/>
              </w:rPr>
              <w:t>0.5</w:t>
            </w:r>
          </w:p>
        </w:tc>
        <w:tc>
          <w:tcPr>
            <w:tcW w:w="813" w:type="dxa"/>
            <w:vAlign w:val="bottom"/>
          </w:tcPr>
          <w:p w:rsidR="00180B90" w:rsidRPr="00180B90" w:rsidRDefault="00F13BB1" w:rsidP="00180B90">
            <w:pPr>
              <w:jc w:val="right"/>
              <w:rPr>
                <w:sz w:val="18"/>
                <w:szCs w:val="18"/>
              </w:rPr>
            </w:pPr>
            <w:r>
              <w:rPr>
                <w:sz w:val="18"/>
                <w:szCs w:val="18"/>
              </w:rPr>
              <w:t>36,000</w:t>
            </w:r>
          </w:p>
        </w:tc>
        <w:tc>
          <w:tcPr>
            <w:tcW w:w="813" w:type="dxa"/>
            <w:vAlign w:val="bottom"/>
          </w:tcPr>
          <w:p w:rsidR="00180B90" w:rsidRPr="00180B90" w:rsidRDefault="00F13BB1" w:rsidP="00180B90">
            <w:pPr>
              <w:jc w:val="right"/>
              <w:rPr>
                <w:sz w:val="18"/>
                <w:szCs w:val="18"/>
              </w:rPr>
            </w:pPr>
            <w:r>
              <w:rPr>
                <w:sz w:val="18"/>
                <w:szCs w:val="18"/>
              </w:rPr>
              <w:t>$</w:t>
            </w:r>
            <w:r w:rsidR="00771344">
              <w:rPr>
                <w:sz w:val="18"/>
                <w:szCs w:val="18"/>
              </w:rPr>
              <w:t>30.42</w:t>
            </w:r>
          </w:p>
        </w:tc>
        <w:tc>
          <w:tcPr>
            <w:tcW w:w="1068" w:type="dxa"/>
            <w:vAlign w:val="bottom"/>
          </w:tcPr>
          <w:p w:rsidR="00180B90" w:rsidRPr="00180B90" w:rsidRDefault="00F13BB1" w:rsidP="00180B90">
            <w:pPr>
              <w:jc w:val="right"/>
              <w:rPr>
                <w:sz w:val="18"/>
                <w:szCs w:val="18"/>
              </w:rPr>
            </w:pPr>
            <w:r>
              <w:rPr>
                <w:sz w:val="18"/>
                <w:szCs w:val="18"/>
              </w:rPr>
              <w:t>$1.1 million</w:t>
            </w:r>
          </w:p>
        </w:tc>
      </w:tr>
      <w:tr w:rsidR="003A71CD" w:rsidRPr="00C70921" w:rsidTr="003A71CD">
        <w:tc>
          <w:tcPr>
            <w:tcW w:w="1296" w:type="dxa"/>
          </w:tcPr>
          <w:p w:rsidR="00180B90" w:rsidRPr="00180B90" w:rsidRDefault="00F13BB1" w:rsidP="00C70921">
            <w:pPr>
              <w:rPr>
                <w:sz w:val="18"/>
                <w:szCs w:val="18"/>
              </w:rPr>
            </w:pPr>
            <w:r>
              <w:rPr>
                <w:sz w:val="18"/>
                <w:szCs w:val="18"/>
              </w:rPr>
              <w:t>Existing Plan Compliance Review (Legal)</w:t>
            </w:r>
          </w:p>
        </w:tc>
        <w:tc>
          <w:tcPr>
            <w:tcW w:w="1136" w:type="dxa"/>
            <w:vAlign w:val="bottom"/>
          </w:tcPr>
          <w:p w:rsidR="00180B90" w:rsidRPr="00180B90" w:rsidRDefault="00044359" w:rsidP="008A7CC8">
            <w:pPr>
              <w:jc w:val="right"/>
              <w:rPr>
                <w:sz w:val="18"/>
                <w:szCs w:val="18"/>
              </w:rPr>
            </w:pPr>
            <w:r>
              <w:rPr>
                <w:sz w:val="18"/>
                <w:szCs w:val="18"/>
              </w:rPr>
              <w:t>44</w:t>
            </w:r>
            <w:r w:rsidR="008A7CC8">
              <w:rPr>
                <w:sz w:val="18"/>
                <w:szCs w:val="18"/>
              </w:rPr>
              <w:t>5,723</w:t>
            </w:r>
          </w:p>
        </w:tc>
        <w:tc>
          <w:tcPr>
            <w:tcW w:w="980" w:type="dxa"/>
            <w:vAlign w:val="bottom"/>
          </w:tcPr>
          <w:p w:rsidR="00180B90" w:rsidRPr="00180B90" w:rsidRDefault="00044359" w:rsidP="00180B90">
            <w:pPr>
              <w:jc w:val="right"/>
              <w:rPr>
                <w:sz w:val="18"/>
                <w:szCs w:val="18"/>
              </w:rPr>
            </w:pPr>
            <w:r>
              <w:rPr>
                <w:sz w:val="18"/>
                <w:szCs w:val="18"/>
              </w:rPr>
              <w:t>1</w:t>
            </w:r>
          </w:p>
        </w:tc>
        <w:tc>
          <w:tcPr>
            <w:tcW w:w="1116" w:type="dxa"/>
            <w:vAlign w:val="bottom"/>
          </w:tcPr>
          <w:p w:rsidR="00180B90" w:rsidRPr="00180B90" w:rsidRDefault="00044359" w:rsidP="008A7CC8">
            <w:pPr>
              <w:jc w:val="right"/>
              <w:rPr>
                <w:sz w:val="18"/>
                <w:szCs w:val="18"/>
              </w:rPr>
            </w:pPr>
            <w:r>
              <w:rPr>
                <w:sz w:val="18"/>
                <w:szCs w:val="18"/>
              </w:rPr>
              <w:t>44</w:t>
            </w:r>
            <w:r w:rsidR="008A7CC8">
              <w:rPr>
                <w:sz w:val="18"/>
                <w:szCs w:val="18"/>
              </w:rPr>
              <w:t>5,723</w:t>
            </w:r>
          </w:p>
        </w:tc>
        <w:tc>
          <w:tcPr>
            <w:tcW w:w="914" w:type="dxa"/>
            <w:vAlign w:val="bottom"/>
          </w:tcPr>
          <w:p w:rsidR="00180B90" w:rsidRPr="00180B90" w:rsidRDefault="00044359" w:rsidP="00180B90">
            <w:pPr>
              <w:jc w:val="right"/>
              <w:rPr>
                <w:sz w:val="18"/>
                <w:szCs w:val="18"/>
              </w:rPr>
            </w:pPr>
            <w:r>
              <w:rPr>
                <w:sz w:val="18"/>
                <w:szCs w:val="18"/>
              </w:rPr>
              <w:t>0.25</w:t>
            </w:r>
          </w:p>
        </w:tc>
        <w:tc>
          <w:tcPr>
            <w:tcW w:w="813" w:type="dxa"/>
            <w:vAlign w:val="bottom"/>
          </w:tcPr>
          <w:p w:rsidR="00180B90" w:rsidRPr="00180B90" w:rsidRDefault="00771344" w:rsidP="00180B90">
            <w:pPr>
              <w:jc w:val="right"/>
              <w:rPr>
                <w:sz w:val="18"/>
                <w:szCs w:val="18"/>
              </w:rPr>
            </w:pPr>
            <w:r>
              <w:rPr>
                <w:sz w:val="18"/>
                <w:szCs w:val="18"/>
              </w:rPr>
              <w:t>111,000</w:t>
            </w:r>
          </w:p>
        </w:tc>
        <w:tc>
          <w:tcPr>
            <w:tcW w:w="813" w:type="dxa"/>
            <w:vAlign w:val="bottom"/>
          </w:tcPr>
          <w:p w:rsidR="00180B90" w:rsidRPr="00180B90" w:rsidRDefault="00771344" w:rsidP="00180B90">
            <w:pPr>
              <w:jc w:val="right"/>
              <w:rPr>
                <w:sz w:val="18"/>
                <w:szCs w:val="18"/>
              </w:rPr>
            </w:pPr>
            <w:r>
              <w:rPr>
                <w:sz w:val="18"/>
                <w:szCs w:val="18"/>
              </w:rPr>
              <w:t>$129.94</w:t>
            </w:r>
          </w:p>
        </w:tc>
        <w:tc>
          <w:tcPr>
            <w:tcW w:w="1068" w:type="dxa"/>
            <w:vAlign w:val="bottom"/>
          </w:tcPr>
          <w:p w:rsidR="00180B90" w:rsidRPr="00180B90" w:rsidRDefault="004204E3" w:rsidP="00180B90">
            <w:pPr>
              <w:jc w:val="right"/>
              <w:rPr>
                <w:sz w:val="18"/>
                <w:szCs w:val="18"/>
              </w:rPr>
            </w:pPr>
            <w:r>
              <w:rPr>
                <w:sz w:val="18"/>
                <w:szCs w:val="18"/>
              </w:rPr>
              <w:t>$14.5 million</w:t>
            </w:r>
          </w:p>
        </w:tc>
      </w:tr>
      <w:tr w:rsidR="003A71CD" w:rsidRPr="00C70921" w:rsidTr="003A71CD">
        <w:tc>
          <w:tcPr>
            <w:tcW w:w="1296" w:type="dxa"/>
          </w:tcPr>
          <w:p w:rsidR="003F315D" w:rsidRPr="00180B90" w:rsidRDefault="004204E3" w:rsidP="00C70921">
            <w:pPr>
              <w:rPr>
                <w:sz w:val="18"/>
                <w:szCs w:val="18"/>
              </w:rPr>
            </w:pPr>
            <w:r>
              <w:rPr>
                <w:sz w:val="18"/>
                <w:szCs w:val="18"/>
              </w:rPr>
              <w:t>Existing Plan Document Gathering (Clerical)</w:t>
            </w:r>
          </w:p>
        </w:tc>
        <w:tc>
          <w:tcPr>
            <w:tcW w:w="1136" w:type="dxa"/>
            <w:vAlign w:val="bottom"/>
          </w:tcPr>
          <w:p w:rsidR="003F315D" w:rsidRPr="00180B90" w:rsidRDefault="004204E3" w:rsidP="008A7CC8">
            <w:pPr>
              <w:jc w:val="right"/>
              <w:rPr>
                <w:sz w:val="18"/>
                <w:szCs w:val="18"/>
              </w:rPr>
            </w:pPr>
            <w:r>
              <w:rPr>
                <w:sz w:val="18"/>
                <w:szCs w:val="18"/>
              </w:rPr>
              <w:t>44</w:t>
            </w:r>
            <w:r w:rsidR="008A7CC8">
              <w:rPr>
                <w:sz w:val="18"/>
                <w:szCs w:val="18"/>
              </w:rPr>
              <w:t>5,723</w:t>
            </w:r>
          </w:p>
        </w:tc>
        <w:tc>
          <w:tcPr>
            <w:tcW w:w="980" w:type="dxa"/>
            <w:vAlign w:val="bottom"/>
          </w:tcPr>
          <w:p w:rsidR="003F315D" w:rsidRPr="00180B90" w:rsidRDefault="004204E3" w:rsidP="00180B90">
            <w:pPr>
              <w:jc w:val="right"/>
              <w:rPr>
                <w:sz w:val="18"/>
                <w:szCs w:val="18"/>
              </w:rPr>
            </w:pPr>
            <w:r>
              <w:rPr>
                <w:sz w:val="18"/>
                <w:szCs w:val="18"/>
              </w:rPr>
              <w:t>1</w:t>
            </w:r>
          </w:p>
        </w:tc>
        <w:tc>
          <w:tcPr>
            <w:tcW w:w="1116" w:type="dxa"/>
            <w:vAlign w:val="bottom"/>
          </w:tcPr>
          <w:p w:rsidR="003F315D" w:rsidRPr="00180B90" w:rsidRDefault="004204E3" w:rsidP="008A7CC8">
            <w:pPr>
              <w:jc w:val="right"/>
              <w:rPr>
                <w:sz w:val="18"/>
                <w:szCs w:val="18"/>
              </w:rPr>
            </w:pPr>
            <w:r>
              <w:rPr>
                <w:sz w:val="18"/>
                <w:szCs w:val="18"/>
              </w:rPr>
              <w:t>44</w:t>
            </w:r>
            <w:r w:rsidR="008A7CC8">
              <w:rPr>
                <w:sz w:val="18"/>
                <w:szCs w:val="18"/>
              </w:rPr>
              <w:t>5,723</w:t>
            </w:r>
          </w:p>
        </w:tc>
        <w:tc>
          <w:tcPr>
            <w:tcW w:w="914" w:type="dxa"/>
            <w:vAlign w:val="bottom"/>
          </w:tcPr>
          <w:p w:rsidR="003F315D" w:rsidRPr="00180B90" w:rsidRDefault="004204E3" w:rsidP="00180B90">
            <w:pPr>
              <w:jc w:val="right"/>
              <w:rPr>
                <w:sz w:val="18"/>
                <w:szCs w:val="18"/>
              </w:rPr>
            </w:pPr>
            <w:r>
              <w:rPr>
                <w:sz w:val="18"/>
                <w:szCs w:val="18"/>
              </w:rPr>
              <w:t>0.25</w:t>
            </w:r>
          </w:p>
        </w:tc>
        <w:tc>
          <w:tcPr>
            <w:tcW w:w="813" w:type="dxa"/>
            <w:vAlign w:val="bottom"/>
          </w:tcPr>
          <w:p w:rsidR="003F315D" w:rsidRPr="00180B90" w:rsidRDefault="004204E3" w:rsidP="00180B90">
            <w:pPr>
              <w:jc w:val="right"/>
              <w:rPr>
                <w:sz w:val="18"/>
                <w:szCs w:val="18"/>
              </w:rPr>
            </w:pPr>
            <w:r>
              <w:rPr>
                <w:sz w:val="18"/>
                <w:szCs w:val="18"/>
              </w:rPr>
              <w:t>111,000</w:t>
            </w:r>
          </w:p>
        </w:tc>
        <w:tc>
          <w:tcPr>
            <w:tcW w:w="813" w:type="dxa"/>
            <w:vAlign w:val="bottom"/>
          </w:tcPr>
          <w:p w:rsidR="003F315D" w:rsidRPr="00180B90" w:rsidRDefault="004204E3" w:rsidP="00180B90">
            <w:pPr>
              <w:jc w:val="right"/>
              <w:rPr>
                <w:sz w:val="18"/>
                <w:szCs w:val="18"/>
              </w:rPr>
            </w:pPr>
            <w:r>
              <w:rPr>
                <w:sz w:val="18"/>
                <w:szCs w:val="18"/>
              </w:rPr>
              <w:t>$30.42</w:t>
            </w:r>
          </w:p>
        </w:tc>
        <w:tc>
          <w:tcPr>
            <w:tcW w:w="1068" w:type="dxa"/>
            <w:vAlign w:val="bottom"/>
          </w:tcPr>
          <w:p w:rsidR="003F315D" w:rsidRPr="00180B90" w:rsidRDefault="00173B42" w:rsidP="00180B90">
            <w:pPr>
              <w:jc w:val="right"/>
              <w:rPr>
                <w:sz w:val="18"/>
                <w:szCs w:val="18"/>
              </w:rPr>
            </w:pPr>
            <w:r>
              <w:rPr>
                <w:sz w:val="18"/>
                <w:szCs w:val="18"/>
              </w:rPr>
              <w:t>$3.4 million</w:t>
            </w:r>
          </w:p>
        </w:tc>
      </w:tr>
      <w:tr w:rsidR="003A71CD" w:rsidRPr="00C70921" w:rsidTr="003A71CD">
        <w:tc>
          <w:tcPr>
            <w:tcW w:w="1296" w:type="dxa"/>
          </w:tcPr>
          <w:p w:rsidR="003F315D" w:rsidRPr="00180B90" w:rsidRDefault="00173B42" w:rsidP="00C70921">
            <w:pPr>
              <w:rPr>
                <w:sz w:val="18"/>
                <w:szCs w:val="18"/>
              </w:rPr>
            </w:pPr>
            <w:r>
              <w:rPr>
                <w:sz w:val="18"/>
                <w:szCs w:val="18"/>
              </w:rPr>
              <w:t>Production and Distribution of General Plan Information</w:t>
            </w:r>
            <w:r w:rsidR="00485EAE">
              <w:rPr>
                <w:sz w:val="18"/>
                <w:szCs w:val="18"/>
              </w:rPr>
              <w:t xml:space="preserve"> (Paper Copies)</w:t>
            </w:r>
          </w:p>
        </w:tc>
        <w:tc>
          <w:tcPr>
            <w:tcW w:w="1136" w:type="dxa"/>
            <w:vAlign w:val="bottom"/>
          </w:tcPr>
          <w:p w:rsidR="003F315D" w:rsidRPr="00180B90" w:rsidRDefault="00032C9C" w:rsidP="00180B90">
            <w:pPr>
              <w:jc w:val="right"/>
              <w:rPr>
                <w:sz w:val="18"/>
                <w:szCs w:val="18"/>
              </w:rPr>
            </w:pPr>
            <w:r>
              <w:rPr>
                <w:sz w:val="18"/>
                <w:szCs w:val="18"/>
              </w:rPr>
              <w:t>518,212</w:t>
            </w:r>
          </w:p>
        </w:tc>
        <w:tc>
          <w:tcPr>
            <w:tcW w:w="980" w:type="dxa"/>
            <w:vAlign w:val="bottom"/>
          </w:tcPr>
          <w:p w:rsidR="003F315D" w:rsidRPr="00180B90" w:rsidRDefault="00485EAE" w:rsidP="00485EAE">
            <w:pPr>
              <w:jc w:val="right"/>
              <w:rPr>
                <w:sz w:val="18"/>
                <w:szCs w:val="18"/>
              </w:rPr>
            </w:pPr>
            <w:r>
              <w:rPr>
                <w:sz w:val="18"/>
                <w:szCs w:val="18"/>
              </w:rPr>
              <w:t>83.55</w:t>
            </w:r>
          </w:p>
        </w:tc>
        <w:tc>
          <w:tcPr>
            <w:tcW w:w="1116" w:type="dxa"/>
            <w:vAlign w:val="bottom"/>
          </w:tcPr>
          <w:p w:rsidR="003F315D" w:rsidRPr="00180B90" w:rsidRDefault="001F5146" w:rsidP="001F5146">
            <w:pPr>
              <w:jc w:val="right"/>
              <w:rPr>
                <w:sz w:val="18"/>
                <w:szCs w:val="18"/>
              </w:rPr>
            </w:pPr>
            <w:r>
              <w:rPr>
                <w:sz w:val="18"/>
                <w:szCs w:val="18"/>
              </w:rPr>
              <w:t>43,300,000</w:t>
            </w:r>
          </w:p>
        </w:tc>
        <w:tc>
          <w:tcPr>
            <w:tcW w:w="914" w:type="dxa"/>
            <w:vAlign w:val="bottom"/>
          </w:tcPr>
          <w:p w:rsidR="003F315D" w:rsidRPr="00180B90" w:rsidRDefault="009C7D5A" w:rsidP="001F5146">
            <w:pPr>
              <w:jc w:val="right"/>
              <w:rPr>
                <w:sz w:val="18"/>
                <w:szCs w:val="18"/>
              </w:rPr>
            </w:pPr>
            <w:r>
              <w:rPr>
                <w:sz w:val="18"/>
                <w:szCs w:val="18"/>
              </w:rPr>
              <w:t>0.0</w:t>
            </w:r>
            <w:r w:rsidR="001F5146">
              <w:rPr>
                <w:sz w:val="18"/>
                <w:szCs w:val="18"/>
              </w:rPr>
              <w:t>3</w:t>
            </w:r>
          </w:p>
        </w:tc>
        <w:tc>
          <w:tcPr>
            <w:tcW w:w="813" w:type="dxa"/>
            <w:vAlign w:val="bottom"/>
          </w:tcPr>
          <w:p w:rsidR="003F315D" w:rsidRPr="00180B90" w:rsidRDefault="009C7D5A" w:rsidP="00180B90">
            <w:pPr>
              <w:jc w:val="right"/>
              <w:rPr>
                <w:sz w:val="18"/>
                <w:szCs w:val="18"/>
              </w:rPr>
            </w:pPr>
            <w:r>
              <w:rPr>
                <w:sz w:val="18"/>
                <w:szCs w:val="18"/>
              </w:rPr>
              <w:t>1.4 million</w:t>
            </w:r>
          </w:p>
        </w:tc>
        <w:tc>
          <w:tcPr>
            <w:tcW w:w="813" w:type="dxa"/>
            <w:vAlign w:val="bottom"/>
          </w:tcPr>
          <w:p w:rsidR="003F315D" w:rsidRPr="00180B90" w:rsidRDefault="009C7D5A" w:rsidP="00180B90">
            <w:pPr>
              <w:jc w:val="right"/>
              <w:rPr>
                <w:sz w:val="18"/>
                <w:szCs w:val="18"/>
              </w:rPr>
            </w:pPr>
            <w:r>
              <w:rPr>
                <w:sz w:val="18"/>
                <w:szCs w:val="18"/>
              </w:rPr>
              <w:t>$30.42</w:t>
            </w:r>
          </w:p>
        </w:tc>
        <w:tc>
          <w:tcPr>
            <w:tcW w:w="1068" w:type="dxa"/>
            <w:vAlign w:val="bottom"/>
          </w:tcPr>
          <w:p w:rsidR="003F315D" w:rsidRPr="00180B90" w:rsidRDefault="00485EAE" w:rsidP="00180B90">
            <w:pPr>
              <w:jc w:val="right"/>
              <w:rPr>
                <w:sz w:val="18"/>
                <w:szCs w:val="18"/>
              </w:rPr>
            </w:pPr>
            <w:r>
              <w:rPr>
                <w:sz w:val="18"/>
                <w:szCs w:val="18"/>
              </w:rPr>
              <w:t>$43.9 million</w:t>
            </w:r>
          </w:p>
        </w:tc>
      </w:tr>
      <w:tr w:rsidR="00254BE8" w:rsidRPr="00C70921" w:rsidTr="003A71CD">
        <w:tc>
          <w:tcPr>
            <w:tcW w:w="1296" w:type="dxa"/>
          </w:tcPr>
          <w:p w:rsidR="00254BE8" w:rsidRDefault="00254BE8" w:rsidP="00C70921">
            <w:pPr>
              <w:rPr>
                <w:sz w:val="18"/>
                <w:szCs w:val="18"/>
              </w:rPr>
            </w:pPr>
            <w:r w:rsidRPr="00254BE8">
              <w:rPr>
                <w:sz w:val="18"/>
                <w:szCs w:val="18"/>
              </w:rPr>
              <w:t>Production and Distribution of General Plan Information (Electronic Copies)</w:t>
            </w:r>
          </w:p>
        </w:tc>
        <w:tc>
          <w:tcPr>
            <w:tcW w:w="1136" w:type="dxa"/>
            <w:vAlign w:val="bottom"/>
          </w:tcPr>
          <w:p w:rsidR="00254BE8" w:rsidRDefault="00254BE8" w:rsidP="00180B90">
            <w:pPr>
              <w:jc w:val="right"/>
              <w:rPr>
                <w:sz w:val="18"/>
                <w:szCs w:val="18"/>
              </w:rPr>
            </w:pPr>
            <w:r>
              <w:rPr>
                <w:sz w:val="18"/>
                <w:szCs w:val="18"/>
              </w:rPr>
              <w:t>518,212</w:t>
            </w:r>
          </w:p>
        </w:tc>
        <w:tc>
          <w:tcPr>
            <w:tcW w:w="980" w:type="dxa"/>
            <w:vAlign w:val="bottom"/>
          </w:tcPr>
          <w:p w:rsidR="00254BE8" w:rsidRDefault="00254BE8" w:rsidP="00485EAE">
            <w:pPr>
              <w:jc w:val="right"/>
              <w:rPr>
                <w:sz w:val="18"/>
                <w:szCs w:val="18"/>
              </w:rPr>
            </w:pPr>
            <w:r>
              <w:rPr>
                <w:sz w:val="18"/>
                <w:szCs w:val="18"/>
              </w:rPr>
              <w:t>51.25</w:t>
            </w:r>
          </w:p>
        </w:tc>
        <w:tc>
          <w:tcPr>
            <w:tcW w:w="1116" w:type="dxa"/>
            <w:vAlign w:val="bottom"/>
          </w:tcPr>
          <w:p w:rsidR="00254BE8" w:rsidRDefault="00254BE8" w:rsidP="001F5146">
            <w:pPr>
              <w:jc w:val="right"/>
              <w:rPr>
                <w:sz w:val="18"/>
                <w:szCs w:val="18"/>
              </w:rPr>
            </w:pPr>
            <w:r>
              <w:rPr>
                <w:sz w:val="18"/>
                <w:szCs w:val="18"/>
              </w:rPr>
              <w:t>26,600,000</w:t>
            </w:r>
          </w:p>
        </w:tc>
        <w:tc>
          <w:tcPr>
            <w:tcW w:w="914" w:type="dxa"/>
            <w:vAlign w:val="bottom"/>
          </w:tcPr>
          <w:p w:rsidR="00254BE8" w:rsidRDefault="00254BE8" w:rsidP="001F5146">
            <w:pPr>
              <w:jc w:val="right"/>
              <w:rPr>
                <w:sz w:val="18"/>
                <w:szCs w:val="18"/>
              </w:rPr>
            </w:pPr>
            <w:r>
              <w:rPr>
                <w:sz w:val="18"/>
                <w:szCs w:val="18"/>
              </w:rPr>
              <w:t>0</w:t>
            </w:r>
          </w:p>
        </w:tc>
        <w:tc>
          <w:tcPr>
            <w:tcW w:w="813" w:type="dxa"/>
            <w:vAlign w:val="bottom"/>
          </w:tcPr>
          <w:p w:rsidR="00254BE8" w:rsidRDefault="00254BE8" w:rsidP="00180B90">
            <w:pPr>
              <w:jc w:val="right"/>
              <w:rPr>
                <w:sz w:val="18"/>
                <w:szCs w:val="18"/>
              </w:rPr>
            </w:pPr>
            <w:r>
              <w:rPr>
                <w:sz w:val="18"/>
                <w:szCs w:val="18"/>
              </w:rPr>
              <w:t>0</w:t>
            </w:r>
          </w:p>
        </w:tc>
        <w:tc>
          <w:tcPr>
            <w:tcW w:w="813" w:type="dxa"/>
            <w:vAlign w:val="bottom"/>
          </w:tcPr>
          <w:p w:rsidR="00254BE8" w:rsidRDefault="003F0BEB" w:rsidP="00180B90">
            <w:pPr>
              <w:jc w:val="right"/>
              <w:rPr>
                <w:sz w:val="18"/>
                <w:szCs w:val="18"/>
              </w:rPr>
            </w:pPr>
            <w:r>
              <w:rPr>
                <w:sz w:val="18"/>
                <w:szCs w:val="18"/>
              </w:rPr>
              <w:t>$30.42</w:t>
            </w:r>
          </w:p>
        </w:tc>
        <w:tc>
          <w:tcPr>
            <w:tcW w:w="1068" w:type="dxa"/>
            <w:vAlign w:val="bottom"/>
          </w:tcPr>
          <w:p w:rsidR="00254BE8" w:rsidRDefault="003F0BEB" w:rsidP="00180B90">
            <w:pPr>
              <w:jc w:val="right"/>
              <w:rPr>
                <w:sz w:val="18"/>
                <w:szCs w:val="18"/>
              </w:rPr>
            </w:pPr>
            <w:r>
              <w:rPr>
                <w:sz w:val="18"/>
                <w:szCs w:val="18"/>
              </w:rPr>
              <w:t>$0</w:t>
            </w:r>
          </w:p>
        </w:tc>
      </w:tr>
      <w:tr w:rsidR="003A71CD" w:rsidRPr="00C70921" w:rsidTr="003A71CD">
        <w:tc>
          <w:tcPr>
            <w:tcW w:w="1296" w:type="dxa"/>
          </w:tcPr>
          <w:p w:rsidR="003A71CD" w:rsidRDefault="003A71CD" w:rsidP="00C70921">
            <w:pPr>
              <w:rPr>
                <w:sz w:val="18"/>
                <w:szCs w:val="18"/>
              </w:rPr>
            </w:pPr>
            <w:r>
              <w:rPr>
                <w:sz w:val="18"/>
                <w:szCs w:val="18"/>
              </w:rPr>
              <w:t>Administrative and Individual Expense Information</w:t>
            </w:r>
          </w:p>
        </w:tc>
        <w:tc>
          <w:tcPr>
            <w:tcW w:w="1136" w:type="dxa"/>
            <w:vAlign w:val="bottom"/>
          </w:tcPr>
          <w:p w:rsidR="003A71CD" w:rsidRDefault="003A71CD" w:rsidP="00180B90">
            <w:pPr>
              <w:jc w:val="right"/>
              <w:rPr>
                <w:sz w:val="18"/>
                <w:szCs w:val="18"/>
              </w:rPr>
            </w:pPr>
            <w:r>
              <w:rPr>
                <w:sz w:val="18"/>
                <w:szCs w:val="18"/>
              </w:rPr>
              <w:t>518,212</w:t>
            </w:r>
          </w:p>
        </w:tc>
        <w:tc>
          <w:tcPr>
            <w:tcW w:w="980" w:type="dxa"/>
            <w:vAlign w:val="bottom"/>
          </w:tcPr>
          <w:p w:rsidR="003A71CD" w:rsidRDefault="003A71CD" w:rsidP="00180B90">
            <w:pPr>
              <w:jc w:val="right"/>
              <w:rPr>
                <w:sz w:val="18"/>
                <w:szCs w:val="18"/>
              </w:rPr>
            </w:pPr>
            <w:r>
              <w:rPr>
                <w:sz w:val="18"/>
                <w:szCs w:val="18"/>
              </w:rPr>
              <w:t>539.5</w:t>
            </w:r>
          </w:p>
        </w:tc>
        <w:tc>
          <w:tcPr>
            <w:tcW w:w="1116" w:type="dxa"/>
            <w:vAlign w:val="bottom"/>
          </w:tcPr>
          <w:p w:rsidR="003A71CD" w:rsidRDefault="003A71CD" w:rsidP="00180B90">
            <w:pPr>
              <w:jc w:val="right"/>
              <w:rPr>
                <w:sz w:val="18"/>
                <w:szCs w:val="18"/>
              </w:rPr>
            </w:pPr>
            <w:r>
              <w:rPr>
                <w:sz w:val="18"/>
                <w:szCs w:val="18"/>
              </w:rPr>
              <w:t>279,580,000</w:t>
            </w:r>
          </w:p>
        </w:tc>
        <w:tc>
          <w:tcPr>
            <w:tcW w:w="3608" w:type="dxa"/>
            <w:gridSpan w:val="4"/>
            <w:vAlign w:val="bottom"/>
          </w:tcPr>
          <w:p w:rsidR="003A71CD" w:rsidRDefault="00A72D43" w:rsidP="00A72D43">
            <w:pPr>
              <w:jc w:val="right"/>
              <w:rPr>
                <w:sz w:val="18"/>
                <w:szCs w:val="18"/>
              </w:rPr>
            </w:pPr>
            <w:r>
              <w:rPr>
                <w:sz w:val="18"/>
                <w:szCs w:val="18"/>
              </w:rPr>
              <w:t>Burden a</w:t>
            </w:r>
            <w:r w:rsidR="003A71CD">
              <w:rPr>
                <w:sz w:val="18"/>
                <w:szCs w:val="18"/>
              </w:rPr>
              <w:t>ccounted for in Question 13 and in Other ICRs</w:t>
            </w:r>
          </w:p>
        </w:tc>
      </w:tr>
      <w:tr w:rsidR="0041758E" w:rsidRPr="00C70921" w:rsidTr="003A71CD">
        <w:tc>
          <w:tcPr>
            <w:tcW w:w="1296" w:type="dxa"/>
          </w:tcPr>
          <w:p w:rsidR="00173B42" w:rsidRPr="00180B90" w:rsidRDefault="007F67CD" w:rsidP="00C70921">
            <w:pPr>
              <w:rPr>
                <w:sz w:val="18"/>
                <w:szCs w:val="18"/>
              </w:rPr>
            </w:pPr>
            <w:r>
              <w:rPr>
                <w:sz w:val="18"/>
                <w:szCs w:val="18"/>
              </w:rPr>
              <w:t>New Plan Comparative Chart (Accountant)</w:t>
            </w:r>
          </w:p>
        </w:tc>
        <w:tc>
          <w:tcPr>
            <w:tcW w:w="1136" w:type="dxa"/>
            <w:vAlign w:val="bottom"/>
          </w:tcPr>
          <w:p w:rsidR="00173B42" w:rsidRPr="00180B90" w:rsidRDefault="007F67CD" w:rsidP="00180B90">
            <w:pPr>
              <w:jc w:val="right"/>
              <w:rPr>
                <w:sz w:val="18"/>
                <w:szCs w:val="18"/>
              </w:rPr>
            </w:pPr>
            <w:r>
              <w:rPr>
                <w:sz w:val="18"/>
                <w:szCs w:val="18"/>
              </w:rPr>
              <w:t>72,559</w:t>
            </w:r>
          </w:p>
        </w:tc>
        <w:tc>
          <w:tcPr>
            <w:tcW w:w="980" w:type="dxa"/>
            <w:vAlign w:val="bottom"/>
          </w:tcPr>
          <w:p w:rsidR="00173B42" w:rsidRPr="00180B90" w:rsidRDefault="007F67CD" w:rsidP="00180B90">
            <w:pPr>
              <w:jc w:val="right"/>
              <w:rPr>
                <w:sz w:val="18"/>
                <w:szCs w:val="18"/>
              </w:rPr>
            </w:pPr>
            <w:r>
              <w:rPr>
                <w:sz w:val="18"/>
                <w:szCs w:val="18"/>
              </w:rPr>
              <w:t>1</w:t>
            </w:r>
          </w:p>
        </w:tc>
        <w:tc>
          <w:tcPr>
            <w:tcW w:w="1116" w:type="dxa"/>
            <w:vAlign w:val="bottom"/>
          </w:tcPr>
          <w:p w:rsidR="00173B42" w:rsidRPr="00180B90" w:rsidRDefault="007F67CD" w:rsidP="00180B90">
            <w:pPr>
              <w:jc w:val="right"/>
              <w:rPr>
                <w:sz w:val="18"/>
                <w:szCs w:val="18"/>
              </w:rPr>
            </w:pPr>
            <w:r>
              <w:rPr>
                <w:sz w:val="18"/>
                <w:szCs w:val="18"/>
              </w:rPr>
              <w:t>72,559</w:t>
            </w:r>
          </w:p>
        </w:tc>
        <w:tc>
          <w:tcPr>
            <w:tcW w:w="914" w:type="dxa"/>
            <w:vAlign w:val="bottom"/>
          </w:tcPr>
          <w:p w:rsidR="00173B42" w:rsidRPr="00180B90" w:rsidRDefault="007F67CD" w:rsidP="00180B90">
            <w:pPr>
              <w:jc w:val="right"/>
              <w:rPr>
                <w:sz w:val="18"/>
                <w:szCs w:val="18"/>
              </w:rPr>
            </w:pPr>
            <w:r>
              <w:rPr>
                <w:sz w:val="18"/>
                <w:szCs w:val="18"/>
              </w:rPr>
              <w:t>5</w:t>
            </w:r>
          </w:p>
        </w:tc>
        <w:tc>
          <w:tcPr>
            <w:tcW w:w="813" w:type="dxa"/>
            <w:vAlign w:val="bottom"/>
          </w:tcPr>
          <w:p w:rsidR="00173B42" w:rsidRPr="00180B90" w:rsidRDefault="007F67CD" w:rsidP="00180B90">
            <w:pPr>
              <w:jc w:val="right"/>
              <w:rPr>
                <w:sz w:val="18"/>
                <w:szCs w:val="18"/>
              </w:rPr>
            </w:pPr>
            <w:r>
              <w:rPr>
                <w:sz w:val="18"/>
                <w:szCs w:val="18"/>
              </w:rPr>
              <w:t>363,000</w:t>
            </w:r>
          </w:p>
        </w:tc>
        <w:tc>
          <w:tcPr>
            <w:tcW w:w="813" w:type="dxa"/>
            <w:vAlign w:val="bottom"/>
          </w:tcPr>
          <w:p w:rsidR="00173B42" w:rsidRPr="00180B90" w:rsidRDefault="004739A1" w:rsidP="00180B90">
            <w:pPr>
              <w:jc w:val="right"/>
              <w:rPr>
                <w:sz w:val="18"/>
                <w:szCs w:val="18"/>
              </w:rPr>
            </w:pPr>
            <w:r>
              <w:rPr>
                <w:sz w:val="18"/>
                <w:szCs w:val="18"/>
              </w:rPr>
              <w:t>$71.38</w:t>
            </w:r>
          </w:p>
        </w:tc>
        <w:tc>
          <w:tcPr>
            <w:tcW w:w="1068" w:type="dxa"/>
            <w:vAlign w:val="bottom"/>
          </w:tcPr>
          <w:p w:rsidR="00173B42" w:rsidRPr="00180B90" w:rsidRDefault="004739A1" w:rsidP="004739A1">
            <w:pPr>
              <w:jc w:val="right"/>
              <w:rPr>
                <w:sz w:val="18"/>
                <w:szCs w:val="18"/>
              </w:rPr>
            </w:pPr>
            <w:r>
              <w:rPr>
                <w:sz w:val="18"/>
                <w:szCs w:val="18"/>
              </w:rPr>
              <w:t>$25.9 million</w:t>
            </w:r>
          </w:p>
        </w:tc>
      </w:tr>
      <w:tr w:rsidR="0041758E" w:rsidRPr="00C70921" w:rsidTr="003A71CD">
        <w:tc>
          <w:tcPr>
            <w:tcW w:w="1296" w:type="dxa"/>
          </w:tcPr>
          <w:p w:rsidR="00173B42" w:rsidRPr="00180B90" w:rsidRDefault="004739A1" w:rsidP="00C70921">
            <w:pPr>
              <w:rPr>
                <w:sz w:val="18"/>
                <w:szCs w:val="18"/>
              </w:rPr>
            </w:pPr>
            <w:r>
              <w:rPr>
                <w:sz w:val="18"/>
                <w:szCs w:val="18"/>
              </w:rPr>
              <w:t>Existing Plan Comparative Chart (Accountant)</w:t>
            </w:r>
          </w:p>
        </w:tc>
        <w:tc>
          <w:tcPr>
            <w:tcW w:w="1136" w:type="dxa"/>
            <w:vAlign w:val="bottom"/>
          </w:tcPr>
          <w:p w:rsidR="00173B42" w:rsidRPr="00180B90" w:rsidRDefault="004739A1" w:rsidP="00180B90">
            <w:pPr>
              <w:jc w:val="right"/>
              <w:rPr>
                <w:sz w:val="18"/>
                <w:szCs w:val="18"/>
              </w:rPr>
            </w:pPr>
            <w:r>
              <w:rPr>
                <w:sz w:val="18"/>
                <w:szCs w:val="18"/>
              </w:rPr>
              <w:t>445,723</w:t>
            </w:r>
          </w:p>
        </w:tc>
        <w:tc>
          <w:tcPr>
            <w:tcW w:w="980" w:type="dxa"/>
            <w:vAlign w:val="bottom"/>
          </w:tcPr>
          <w:p w:rsidR="00173B42" w:rsidRPr="00180B90" w:rsidRDefault="004739A1" w:rsidP="00180B90">
            <w:pPr>
              <w:jc w:val="right"/>
              <w:rPr>
                <w:sz w:val="18"/>
                <w:szCs w:val="18"/>
              </w:rPr>
            </w:pPr>
            <w:r>
              <w:rPr>
                <w:sz w:val="18"/>
                <w:szCs w:val="18"/>
              </w:rPr>
              <w:t>1</w:t>
            </w:r>
          </w:p>
        </w:tc>
        <w:tc>
          <w:tcPr>
            <w:tcW w:w="1116" w:type="dxa"/>
            <w:vAlign w:val="bottom"/>
          </w:tcPr>
          <w:p w:rsidR="00173B42" w:rsidRPr="00180B90" w:rsidRDefault="004739A1" w:rsidP="00180B90">
            <w:pPr>
              <w:jc w:val="right"/>
              <w:rPr>
                <w:sz w:val="18"/>
                <w:szCs w:val="18"/>
              </w:rPr>
            </w:pPr>
            <w:r>
              <w:rPr>
                <w:sz w:val="18"/>
                <w:szCs w:val="18"/>
              </w:rPr>
              <w:t>445,723</w:t>
            </w:r>
          </w:p>
        </w:tc>
        <w:tc>
          <w:tcPr>
            <w:tcW w:w="914" w:type="dxa"/>
            <w:vAlign w:val="bottom"/>
          </w:tcPr>
          <w:p w:rsidR="00173B42" w:rsidRPr="00180B90" w:rsidRDefault="004739A1" w:rsidP="00180B90">
            <w:pPr>
              <w:jc w:val="right"/>
              <w:rPr>
                <w:sz w:val="18"/>
                <w:szCs w:val="18"/>
              </w:rPr>
            </w:pPr>
            <w:r>
              <w:rPr>
                <w:sz w:val="18"/>
                <w:szCs w:val="18"/>
              </w:rPr>
              <w:t>4</w:t>
            </w:r>
          </w:p>
        </w:tc>
        <w:tc>
          <w:tcPr>
            <w:tcW w:w="813" w:type="dxa"/>
            <w:vAlign w:val="bottom"/>
          </w:tcPr>
          <w:p w:rsidR="00173B42" w:rsidRPr="00180B90" w:rsidRDefault="00D12556" w:rsidP="00180B90">
            <w:pPr>
              <w:jc w:val="right"/>
              <w:rPr>
                <w:sz w:val="18"/>
                <w:szCs w:val="18"/>
              </w:rPr>
            </w:pPr>
            <w:r>
              <w:rPr>
                <w:sz w:val="18"/>
                <w:szCs w:val="18"/>
              </w:rPr>
              <w:t>1.8 million</w:t>
            </w:r>
          </w:p>
        </w:tc>
        <w:tc>
          <w:tcPr>
            <w:tcW w:w="813" w:type="dxa"/>
            <w:vAlign w:val="bottom"/>
          </w:tcPr>
          <w:p w:rsidR="00173B42" w:rsidRPr="00180B90" w:rsidRDefault="00D12556" w:rsidP="00180B90">
            <w:pPr>
              <w:jc w:val="right"/>
              <w:rPr>
                <w:sz w:val="18"/>
                <w:szCs w:val="18"/>
              </w:rPr>
            </w:pPr>
            <w:r>
              <w:rPr>
                <w:sz w:val="18"/>
                <w:szCs w:val="18"/>
              </w:rPr>
              <w:t>$71.38</w:t>
            </w:r>
          </w:p>
        </w:tc>
        <w:tc>
          <w:tcPr>
            <w:tcW w:w="1068" w:type="dxa"/>
            <w:vAlign w:val="bottom"/>
          </w:tcPr>
          <w:p w:rsidR="00173B42" w:rsidRPr="00180B90" w:rsidRDefault="00D12556" w:rsidP="00180B90">
            <w:pPr>
              <w:jc w:val="right"/>
              <w:rPr>
                <w:sz w:val="18"/>
                <w:szCs w:val="18"/>
              </w:rPr>
            </w:pPr>
            <w:r>
              <w:rPr>
                <w:sz w:val="18"/>
                <w:szCs w:val="18"/>
              </w:rPr>
              <w:t>$127.3 million</w:t>
            </w:r>
          </w:p>
        </w:tc>
      </w:tr>
      <w:tr w:rsidR="0041758E" w:rsidRPr="00C70921" w:rsidTr="003A71CD">
        <w:tc>
          <w:tcPr>
            <w:tcW w:w="1296" w:type="dxa"/>
          </w:tcPr>
          <w:p w:rsidR="00173B42" w:rsidRPr="00180B90" w:rsidRDefault="007203FB" w:rsidP="00C70921">
            <w:pPr>
              <w:rPr>
                <w:sz w:val="18"/>
                <w:szCs w:val="18"/>
              </w:rPr>
            </w:pPr>
            <w:r>
              <w:rPr>
                <w:sz w:val="18"/>
                <w:szCs w:val="18"/>
              </w:rPr>
              <w:t>Production and Distribution of Comparative Chart (Paper Copies)</w:t>
            </w:r>
          </w:p>
        </w:tc>
        <w:tc>
          <w:tcPr>
            <w:tcW w:w="1136" w:type="dxa"/>
            <w:vAlign w:val="bottom"/>
          </w:tcPr>
          <w:p w:rsidR="00173B42" w:rsidRPr="00180B90" w:rsidRDefault="007203FB" w:rsidP="00180B90">
            <w:pPr>
              <w:jc w:val="right"/>
              <w:rPr>
                <w:sz w:val="18"/>
                <w:szCs w:val="18"/>
              </w:rPr>
            </w:pPr>
            <w:r>
              <w:rPr>
                <w:sz w:val="18"/>
                <w:szCs w:val="18"/>
              </w:rPr>
              <w:t>518,212</w:t>
            </w:r>
          </w:p>
        </w:tc>
        <w:tc>
          <w:tcPr>
            <w:tcW w:w="980" w:type="dxa"/>
            <w:vAlign w:val="bottom"/>
          </w:tcPr>
          <w:p w:rsidR="00173B42" w:rsidRPr="00180B90" w:rsidRDefault="007203FB" w:rsidP="00180B90">
            <w:pPr>
              <w:jc w:val="right"/>
              <w:rPr>
                <w:sz w:val="18"/>
                <w:szCs w:val="18"/>
              </w:rPr>
            </w:pPr>
            <w:r>
              <w:rPr>
                <w:sz w:val="18"/>
                <w:szCs w:val="18"/>
              </w:rPr>
              <w:t>83.55</w:t>
            </w:r>
          </w:p>
        </w:tc>
        <w:tc>
          <w:tcPr>
            <w:tcW w:w="1116" w:type="dxa"/>
            <w:vAlign w:val="bottom"/>
          </w:tcPr>
          <w:p w:rsidR="00173B42" w:rsidRPr="00180B90" w:rsidRDefault="007203FB" w:rsidP="00180B90">
            <w:pPr>
              <w:jc w:val="right"/>
              <w:rPr>
                <w:sz w:val="18"/>
                <w:szCs w:val="18"/>
              </w:rPr>
            </w:pPr>
            <w:r>
              <w:rPr>
                <w:sz w:val="18"/>
                <w:szCs w:val="18"/>
              </w:rPr>
              <w:t>43,300,000</w:t>
            </w:r>
          </w:p>
        </w:tc>
        <w:tc>
          <w:tcPr>
            <w:tcW w:w="914" w:type="dxa"/>
            <w:vAlign w:val="bottom"/>
          </w:tcPr>
          <w:p w:rsidR="00173B42" w:rsidRPr="00180B90" w:rsidRDefault="007203FB" w:rsidP="00180B90">
            <w:pPr>
              <w:jc w:val="right"/>
              <w:rPr>
                <w:sz w:val="18"/>
                <w:szCs w:val="18"/>
              </w:rPr>
            </w:pPr>
            <w:r>
              <w:rPr>
                <w:sz w:val="18"/>
                <w:szCs w:val="18"/>
              </w:rPr>
              <w:t>0.03</w:t>
            </w:r>
          </w:p>
        </w:tc>
        <w:tc>
          <w:tcPr>
            <w:tcW w:w="813" w:type="dxa"/>
            <w:vAlign w:val="bottom"/>
          </w:tcPr>
          <w:p w:rsidR="00173B42" w:rsidRPr="00180B90" w:rsidRDefault="007203FB" w:rsidP="00180B90">
            <w:pPr>
              <w:jc w:val="right"/>
              <w:rPr>
                <w:sz w:val="18"/>
                <w:szCs w:val="18"/>
              </w:rPr>
            </w:pPr>
            <w:r>
              <w:rPr>
                <w:sz w:val="18"/>
                <w:szCs w:val="18"/>
              </w:rPr>
              <w:t>1.4 million</w:t>
            </w:r>
          </w:p>
        </w:tc>
        <w:tc>
          <w:tcPr>
            <w:tcW w:w="813" w:type="dxa"/>
            <w:vAlign w:val="bottom"/>
          </w:tcPr>
          <w:p w:rsidR="00173B42" w:rsidRPr="00180B90" w:rsidRDefault="007203FB" w:rsidP="00180B90">
            <w:pPr>
              <w:jc w:val="right"/>
              <w:rPr>
                <w:sz w:val="18"/>
                <w:szCs w:val="18"/>
              </w:rPr>
            </w:pPr>
            <w:r>
              <w:rPr>
                <w:sz w:val="18"/>
                <w:szCs w:val="18"/>
              </w:rPr>
              <w:t>$30.42</w:t>
            </w:r>
          </w:p>
        </w:tc>
        <w:tc>
          <w:tcPr>
            <w:tcW w:w="1068" w:type="dxa"/>
            <w:vAlign w:val="bottom"/>
          </w:tcPr>
          <w:p w:rsidR="00173B42" w:rsidRPr="00180B90" w:rsidRDefault="007203FB" w:rsidP="00180B90">
            <w:pPr>
              <w:jc w:val="right"/>
              <w:rPr>
                <w:sz w:val="18"/>
                <w:szCs w:val="18"/>
              </w:rPr>
            </w:pPr>
            <w:r>
              <w:rPr>
                <w:sz w:val="18"/>
                <w:szCs w:val="18"/>
              </w:rPr>
              <w:t>$43.9 million</w:t>
            </w:r>
          </w:p>
        </w:tc>
      </w:tr>
      <w:tr w:rsidR="003F0BEB" w:rsidRPr="00C70921" w:rsidTr="003A71CD">
        <w:tc>
          <w:tcPr>
            <w:tcW w:w="1296" w:type="dxa"/>
          </w:tcPr>
          <w:p w:rsidR="003F0BEB" w:rsidRDefault="003F0BEB" w:rsidP="00C70921">
            <w:pPr>
              <w:rPr>
                <w:sz w:val="18"/>
                <w:szCs w:val="18"/>
              </w:rPr>
            </w:pPr>
            <w:r>
              <w:rPr>
                <w:sz w:val="18"/>
                <w:szCs w:val="18"/>
              </w:rPr>
              <w:t>Production and Distribution of Comparative Chart (Electronic Copies)</w:t>
            </w:r>
          </w:p>
        </w:tc>
        <w:tc>
          <w:tcPr>
            <w:tcW w:w="1136" w:type="dxa"/>
            <w:vAlign w:val="bottom"/>
          </w:tcPr>
          <w:p w:rsidR="003F0BEB" w:rsidRDefault="003F0BEB" w:rsidP="00180B90">
            <w:pPr>
              <w:jc w:val="right"/>
              <w:rPr>
                <w:sz w:val="18"/>
                <w:szCs w:val="18"/>
              </w:rPr>
            </w:pPr>
            <w:r>
              <w:rPr>
                <w:sz w:val="18"/>
                <w:szCs w:val="18"/>
              </w:rPr>
              <w:t>518,212</w:t>
            </w:r>
          </w:p>
        </w:tc>
        <w:tc>
          <w:tcPr>
            <w:tcW w:w="980" w:type="dxa"/>
            <w:vAlign w:val="bottom"/>
          </w:tcPr>
          <w:p w:rsidR="003F0BEB" w:rsidRDefault="003F0BEB" w:rsidP="00180B90">
            <w:pPr>
              <w:jc w:val="right"/>
              <w:rPr>
                <w:sz w:val="18"/>
                <w:szCs w:val="18"/>
              </w:rPr>
            </w:pPr>
            <w:r>
              <w:rPr>
                <w:sz w:val="18"/>
                <w:szCs w:val="18"/>
              </w:rPr>
              <w:t>51.25</w:t>
            </w:r>
          </w:p>
        </w:tc>
        <w:tc>
          <w:tcPr>
            <w:tcW w:w="1116" w:type="dxa"/>
            <w:vAlign w:val="bottom"/>
          </w:tcPr>
          <w:p w:rsidR="003F0BEB" w:rsidRDefault="003F0BEB" w:rsidP="00180B90">
            <w:pPr>
              <w:jc w:val="right"/>
              <w:rPr>
                <w:sz w:val="18"/>
                <w:szCs w:val="18"/>
              </w:rPr>
            </w:pPr>
            <w:r>
              <w:rPr>
                <w:sz w:val="18"/>
                <w:szCs w:val="18"/>
              </w:rPr>
              <w:t>26,600,000</w:t>
            </w:r>
          </w:p>
        </w:tc>
        <w:tc>
          <w:tcPr>
            <w:tcW w:w="914" w:type="dxa"/>
            <w:vAlign w:val="bottom"/>
          </w:tcPr>
          <w:p w:rsidR="003F0BEB" w:rsidRDefault="003F0BEB" w:rsidP="00180B90">
            <w:pPr>
              <w:jc w:val="right"/>
              <w:rPr>
                <w:sz w:val="18"/>
                <w:szCs w:val="18"/>
              </w:rPr>
            </w:pPr>
            <w:r>
              <w:rPr>
                <w:sz w:val="18"/>
                <w:szCs w:val="18"/>
              </w:rPr>
              <w:t>0</w:t>
            </w:r>
          </w:p>
        </w:tc>
        <w:tc>
          <w:tcPr>
            <w:tcW w:w="813" w:type="dxa"/>
            <w:vAlign w:val="bottom"/>
          </w:tcPr>
          <w:p w:rsidR="003F0BEB" w:rsidRDefault="003F0BEB" w:rsidP="00180B90">
            <w:pPr>
              <w:jc w:val="right"/>
              <w:rPr>
                <w:sz w:val="18"/>
                <w:szCs w:val="18"/>
              </w:rPr>
            </w:pPr>
            <w:r>
              <w:rPr>
                <w:sz w:val="18"/>
                <w:szCs w:val="18"/>
              </w:rPr>
              <w:t>0</w:t>
            </w:r>
          </w:p>
        </w:tc>
        <w:tc>
          <w:tcPr>
            <w:tcW w:w="813" w:type="dxa"/>
            <w:vAlign w:val="bottom"/>
          </w:tcPr>
          <w:p w:rsidR="003F0BEB" w:rsidRDefault="003F0BEB" w:rsidP="00180B90">
            <w:pPr>
              <w:jc w:val="right"/>
              <w:rPr>
                <w:sz w:val="18"/>
                <w:szCs w:val="18"/>
              </w:rPr>
            </w:pPr>
            <w:r>
              <w:rPr>
                <w:sz w:val="18"/>
                <w:szCs w:val="18"/>
              </w:rPr>
              <w:t>$30.42</w:t>
            </w:r>
          </w:p>
        </w:tc>
        <w:tc>
          <w:tcPr>
            <w:tcW w:w="1068" w:type="dxa"/>
            <w:vAlign w:val="bottom"/>
          </w:tcPr>
          <w:p w:rsidR="003F0BEB" w:rsidRDefault="003F0BEB" w:rsidP="00180B90">
            <w:pPr>
              <w:jc w:val="right"/>
              <w:rPr>
                <w:sz w:val="18"/>
                <w:szCs w:val="18"/>
              </w:rPr>
            </w:pPr>
            <w:r>
              <w:rPr>
                <w:sz w:val="18"/>
                <w:szCs w:val="18"/>
              </w:rPr>
              <w:t>$0</w:t>
            </w:r>
          </w:p>
        </w:tc>
      </w:tr>
      <w:tr w:rsidR="00EE1117" w:rsidRPr="00C70921" w:rsidTr="003A71CD">
        <w:tc>
          <w:tcPr>
            <w:tcW w:w="1296" w:type="dxa"/>
          </w:tcPr>
          <w:p w:rsidR="00D12556" w:rsidRPr="00180B90" w:rsidRDefault="009065B3" w:rsidP="00C70921">
            <w:pPr>
              <w:rPr>
                <w:sz w:val="18"/>
                <w:szCs w:val="18"/>
              </w:rPr>
            </w:pPr>
            <w:r>
              <w:rPr>
                <w:sz w:val="18"/>
                <w:szCs w:val="18"/>
              </w:rPr>
              <w:t>New Plan Website (IT Staff)</w:t>
            </w:r>
          </w:p>
        </w:tc>
        <w:tc>
          <w:tcPr>
            <w:tcW w:w="1136" w:type="dxa"/>
            <w:vAlign w:val="bottom"/>
          </w:tcPr>
          <w:p w:rsidR="00D12556" w:rsidRPr="00180B90" w:rsidRDefault="009065B3" w:rsidP="00180B90">
            <w:pPr>
              <w:jc w:val="right"/>
              <w:rPr>
                <w:sz w:val="18"/>
                <w:szCs w:val="18"/>
              </w:rPr>
            </w:pPr>
            <w:r>
              <w:rPr>
                <w:sz w:val="18"/>
                <w:szCs w:val="18"/>
              </w:rPr>
              <w:t>72,559</w:t>
            </w:r>
          </w:p>
        </w:tc>
        <w:tc>
          <w:tcPr>
            <w:tcW w:w="980" w:type="dxa"/>
            <w:vAlign w:val="bottom"/>
          </w:tcPr>
          <w:p w:rsidR="00D12556" w:rsidRPr="00180B90" w:rsidRDefault="0032350A" w:rsidP="00180B90">
            <w:pPr>
              <w:jc w:val="right"/>
              <w:rPr>
                <w:sz w:val="18"/>
                <w:szCs w:val="18"/>
              </w:rPr>
            </w:pPr>
            <w:r>
              <w:rPr>
                <w:sz w:val="18"/>
                <w:szCs w:val="18"/>
              </w:rPr>
              <w:t>4</w:t>
            </w:r>
          </w:p>
        </w:tc>
        <w:tc>
          <w:tcPr>
            <w:tcW w:w="1116" w:type="dxa"/>
            <w:vAlign w:val="bottom"/>
          </w:tcPr>
          <w:p w:rsidR="00D12556" w:rsidRPr="00180B90" w:rsidRDefault="0032350A" w:rsidP="00180B90">
            <w:pPr>
              <w:jc w:val="right"/>
              <w:rPr>
                <w:sz w:val="18"/>
                <w:szCs w:val="18"/>
              </w:rPr>
            </w:pPr>
            <w:r>
              <w:rPr>
                <w:sz w:val="18"/>
                <w:szCs w:val="18"/>
              </w:rPr>
              <w:t>290,236</w:t>
            </w:r>
          </w:p>
        </w:tc>
        <w:tc>
          <w:tcPr>
            <w:tcW w:w="914" w:type="dxa"/>
            <w:vAlign w:val="bottom"/>
          </w:tcPr>
          <w:p w:rsidR="00D12556" w:rsidRPr="00180B90" w:rsidRDefault="0032350A" w:rsidP="00180B90">
            <w:pPr>
              <w:jc w:val="right"/>
              <w:rPr>
                <w:sz w:val="18"/>
                <w:szCs w:val="18"/>
              </w:rPr>
            </w:pPr>
            <w:r>
              <w:rPr>
                <w:sz w:val="18"/>
                <w:szCs w:val="18"/>
              </w:rPr>
              <w:t>0.88</w:t>
            </w:r>
          </w:p>
        </w:tc>
        <w:tc>
          <w:tcPr>
            <w:tcW w:w="813" w:type="dxa"/>
            <w:vAlign w:val="bottom"/>
          </w:tcPr>
          <w:p w:rsidR="00D12556" w:rsidRPr="00180B90" w:rsidRDefault="0032350A" w:rsidP="00180B90">
            <w:pPr>
              <w:jc w:val="right"/>
              <w:rPr>
                <w:sz w:val="18"/>
                <w:szCs w:val="18"/>
              </w:rPr>
            </w:pPr>
            <w:r>
              <w:rPr>
                <w:sz w:val="18"/>
                <w:szCs w:val="18"/>
              </w:rPr>
              <w:t>254,000</w:t>
            </w:r>
          </w:p>
        </w:tc>
        <w:tc>
          <w:tcPr>
            <w:tcW w:w="813" w:type="dxa"/>
            <w:vAlign w:val="bottom"/>
          </w:tcPr>
          <w:p w:rsidR="00D12556" w:rsidRPr="00180B90" w:rsidRDefault="0032350A" w:rsidP="00180B90">
            <w:pPr>
              <w:jc w:val="right"/>
              <w:rPr>
                <w:sz w:val="18"/>
                <w:szCs w:val="18"/>
              </w:rPr>
            </w:pPr>
            <w:r>
              <w:rPr>
                <w:sz w:val="18"/>
                <w:szCs w:val="18"/>
              </w:rPr>
              <w:t>$79.67</w:t>
            </w:r>
          </w:p>
        </w:tc>
        <w:tc>
          <w:tcPr>
            <w:tcW w:w="1068" w:type="dxa"/>
            <w:vAlign w:val="bottom"/>
          </w:tcPr>
          <w:p w:rsidR="00D12556" w:rsidRPr="00180B90" w:rsidRDefault="00BC4452" w:rsidP="00180B90">
            <w:pPr>
              <w:jc w:val="right"/>
              <w:rPr>
                <w:sz w:val="18"/>
                <w:szCs w:val="18"/>
              </w:rPr>
            </w:pPr>
            <w:r>
              <w:rPr>
                <w:sz w:val="18"/>
                <w:szCs w:val="18"/>
              </w:rPr>
              <w:t>$20.2 million</w:t>
            </w:r>
          </w:p>
        </w:tc>
      </w:tr>
      <w:tr w:rsidR="00EE1117" w:rsidRPr="00C70921" w:rsidTr="003A71CD">
        <w:tc>
          <w:tcPr>
            <w:tcW w:w="1296" w:type="dxa"/>
          </w:tcPr>
          <w:p w:rsidR="00D12556" w:rsidRPr="00180B90" w:rsidRDefault="00BC4452" w:rsidP="00C70921">
            <w:pPr>
              <w:rPr>
                <w:sz w:val="18"/>
                <w:szCs w:val="18"/>
              </w:rPr>
            </w:pPr>
            <w:r>
              <w:rPr>
                <w:sz w:val="18"/>
                <w:szCs w:val="18"/>
              </w:rPr>
              <w:t>Existing Plan Website (IT Staff)</w:t>
            </w:r>
          </w:p>
        </w:tc>
        <w:tc>
          <w:tcPr>
            <w:tcW w:w="1136" w:type="dxa"/>
            <w:vAlign w:val="bottom"/>
          </w:tcPr>
          <w:p w:rsidR="00D12556" w:rsidRPr="00180B90" w:rsidRDefault="00BC4452" w:rsidP="00180B90">
            <w:pPr>
              <w:jc w:val="right"/>
              <w:rPr>
                <w:sz w:val="18"/>
                <w:szCs w:val="18"/>
              </w:rPr>
            </w:pPr>
            <w:r>
              <w:rPr>
                <w:sz w:val="18"/>
                <w:szCs w:val="18"/>
              </w:rPr>
              <w:t>445,723</w:t>
            </w:r>
          </w:p>
        </w:tc>
        <w:tc>
          <w:tcPr>
            <w:tcW w:w="980" w:type="dxa"/>
            <w:vAlign w:val="bottom"/>
          </w:tcPr>
          <w:p w:rsidR="00D12556" w:rsidRPr="00180B90" w:rsidRDefault="00BC4452" w:rsidP="00180B90">
            <w:pPr>
              <w:jc w:val="right"/>
              <w:rPr>
                <w:sz w:val="18"/>
                <w:szCs w:val="18"/>
              </w:rPr>
            </w:pPr>
            <w:r>
              <w:rPr>
                <w:sz w:val="18"/>
                <w:szCs w:val="18"/>
              </w:rPr>
              <w:t>4</w:t>
            </w:r>
          </w:p>
        </w:tc>
        <w:tc>
          <w:tcPr>
            <w:tcW w:w="1116" w:type="dxa"/>
            <w:vAlign w:val="bottom"/>
          </w:tcPr>
          <w:p w:rsidR="00D12556" w:rsidRPr="00180B90" w:rsidRDefault="00BC4452" w:rsidP="00180B90">
            <w:pPr>
              <w:jc w:val="right"/>
              <w:rPr>
                <w:sz w:val="18"/>
                <w:szCs w:val="18"/>
              </w:rPr>
            </w:pPr>
            <w:r>
              <w:rPr>
                <w:sz w:val="18"/>
                <w:szCs w:val="18"/>
              </w:rPr>
              <w:t>1,782,892</w:t>
            </w:r>
          </w:p>
        </w:tc>
        <w:tc>
          <w:tcPr>
            <w:tcW w:w="914" w:type="dxa"/>
            <w:vAlign w:val="bottom"/>
          </w:tcPr>
          <w:p w:rsidR="00D12556" w:rsidRPr="00180B90" w:rsidRDefault="00CA22E7" w:rsidP="00180B90">
            <w:pPr>
              <w:jc w:val="right"/>
              <w:rPr>
                <w:sz w:val="18"/>
                <w:szCs w:val="18"/>
              </w:rPr>
            </w:pPr>
            <w:r>
              <w:rPr>
                <w:sz w:val="18"/>
                <w:szCs w:val="18"/>
              </w:rPr>
              <w:t>0.5</w:t>
            </w:r>
          </w:p>
        </w:tc>
        <w:tc>
          <w:tcPr>
            <w:tcW w:w="813" w:type="dxa"/>
            <w:vAlign w:val="bottom"/>
          </w:tcPr>
          <w:p w:rsidR="00D12556" w:rsidRPr="00180B90" w:rsidRDefault="00CA22E7" w:rsidP="00180B90">
            <w:pPr>
              <w:jc w:val="right"/>
              <w:rPr>
                <w:sz w:val="18"/>
                <w:szCs w:val="18"/>
              </w:rPr>
            </w:pPr>
            <w:r>
              <w:rPr>
                <w:sz w:val="18"/>
                <w:szCs w:val="18"/>
              </w:rPr>
              <w:t>891,000</w:t>
            </w:r>
          </w:p>
        </w:tc>
        <w:tc>
          <w:tcPr>
            <w:tcW w:w="813" w:type="dxa"/>
            <w:vAlign w:val="bottom"/>
          </w:tcPr>
          <w:p w:rsidR="00D12556" w:rsidRPr="00180B90" w:rsidRDefault="00CA22E7" w:rsidP="00180B90">
            <w:pPr>
              <w:jc w:val="right"/>
              <w:rPr>
                <w:sz w:val="18"/>
                <w:szCs w:val="18"/>
              </w:rPr>
            </w:pPr>
            <w:r>
              <w:rPr>
                <w:sz w:val="18"/>
                <w:szCs w:val="18"/>
              </w:rPr>
              <w:t>$79.67</w:t>
            </w:r>
          </w:p>
        </w:tc>
        <w:tc>
          <w:tcPr>
            <w:tcW w:w="1068" w:type="dxa"/>
            <w:vAlign w:val="bottom"/>
          </w:tcPr>
          <w:p w:rsidR="00D12556" w:rsidRPr="00180B90" w:rsidRDefault="00CA22E7" w:rsidP="00180B90">
            <w:pPr>
              <w:jc w:val="right"/>
              <w:rPr>
                <w:sz w:val="18"/>
                <w:szCs w:val="18"/>
              </w:rPr>
            </w:pPr>
            <w:r>
              <w:rPr>
                <w:sz w:val="18"/>
                <w:szCs w:val="18"/>
              </w:rPr>
              <w:t>$71.0 million</w:t>
            </w:r>
          </w:p>
        </w:tc>
      </w:tr>
      <w:tr w:rsidR="00EE1117" w:rsidRPr="00C70921" w:rsidTr="003A71CD">
        <w:tc>
          <w:tcPr>
            <w:tcW w:w="1296" w:type="dxa"/>
          </w:tcPr>
          <w:p w:rsidR="00BC4452" w:rsidRPr="00180B90" w:rsidRDefault="00D118C0" w:rsidP="00C70921">
            <w:pPr>
              <w:rPr>
                <w:sz w:val="18"/>
                <w:szCs w:val="18"/>
              </w:rPr>
            </w:pPr>
            <w:r>
              <w:rPr>
                <w:sz w:val="18"/>
                <w:szCs w:val="18"/>
              </w:rPr>
              <w:t>Production and Distribution of “Pass Through” Disclosures (Paper Copies)</w:t>
            </w:r>
          </w:p>
        </w:tc>
        <w:tc>
          <w:tcPr>
            <w:tcW w:w="1136" w:type="dxa"/>
            <w:vAlign w:val="bottom"/>
          </w:tcPr>
          <w:p w:rsidR="00BC4452" w:rsidRPr="00180B90" w:rsidRDefault="00D118C0" w:rsidP="00180B90">
            <w:pPr>
              <w:jc w:val="right"/>
              <w:rPr>
                <w:sz w:val="18"/>
                <w:szCs w:val="18"/>
              </w:rPr>
            </w:pPr>
            <w:r>
              <w:rPr>
                <w:sz w:val="18"/>
                <w:szCs w:val="18"/>
              </w:rPr>
              <w:t>518,212</w:t>
            </w:r>
          </w:p>
        </w:tc>
        <w:tc>
          <w:tcPr>
            <w:tcW w:w="980" w:type="dxa"/>
            <w:vAlign w:val="bottom"/>
          </w:tcPr>
          <w:p w:rsidR="00BC4452" w:rsidRPr="00180B90" w:rsidRDefault="00D118C0" w:rsidP="00D118C0">
            <w:pPr>
              <w:jc w:val="right"/>
              <w:rPr>
                <w:sz w:val="18"/>
                <w:szCs w:val="18"/>
              </w:rPr>
            </w:pPr>
            <w:r>
              <w:rPr>
                <w:sz w:val="18"/>
                <w:szCs w:val="18"/>
              </w:rPr>
              <w:t>17.17</w:t>
            </w:r>
          </w:p>
        </w:tc>
        <w:tc>
          <w:tcPr>
            <w:tcW w:w="1116" w:type="dxa"/>
            <w:vAlign w:val="bottom"/>
          </w:tcPr>
          <w:p w:rsidR="00BC4452" w:rsidRPr="00180B90" w:rsidRDefault="00D118C0" w:rsidP="00D118C0">
            <w:pPr>
              <w:jc w:val="right"/>
              <w:rPr>
                <w:sz w:val="18"/>
                <w:szCs w:val="18"/>
              </w:rPr>
            </w:pPr>
            <w:r>
              <w:rPr>
                <w:sz w:val="18"/>
                <w:szCs w:val="18"/>
              </w:rPr>
              <w:t>8,900,000</w:t>
            </w:r>
          </w:p>
        </w:tc>
        <w:tc>
          <w:tcPr>
            <w:tcW w:w="914" w:type="dxa"/>
            <w:vAlign w:val="bottom"/>
          </w:tcPr>
          <w:p w:rsidR="00BC4452" w:rsidRPr="00180B90" w:rsidRDefault="00D118C0" w:rsidP="00180B90">
            <w:pPr>
              <w:jc w:val="right"/>
              <w:rPr>
                <w:sz w:val="18"/>
                <w:szCs w:val="18"/>
              </w:rPr>
            </w:pPr>
            <w:r>
              <w:rPr>
                <w:sz w:val="18"/>
                <w:szCs w:val="18"/>
              </w:rPr>
              <w:t>0.03</w:t>
            </w:r>
          </w:p>
        </w:tc>
        <w:tc>
          <w:tcPr>
            <w:tcW w:w="813" w:type="dxa"/>
            <w:vAlign w:val="bottom"/>
          </w:tcPr>
          <w:p w:rsidR="00BC4452" w:rsidRPr="00180B90" w:rsidRDefault="00F40868" w:rsidP="00180B90">
            <w:pPr>
              <w:jc w:val="right"/>
              <w:rPr>
                <w:sz w:val="18"/>
                <w:szCs w:val="18"/>
              </w:rPr>
            </w:pPr>
            <w:r>
              <w:rPr>
                <w:sz w:val="18"/>
                <w:szCs w:val="18"/>
              </w:rPr>
              <w:t>298,000</w:t>
            </w:r>
          </w:p>
        </w:tc>
        <w:tc>
          <w:tcPr>
            <w:tcW w:w="813" w:type="dxa"/>
            <w:vAlign w:val="bottom"/>
          </w:tcPr>
          <w:p w:rsidR="00BC4452" w:rsidRPr="00180B90" w:rsidRDefault="00F40868" w:rsidP="00180B90">
            <w:pPr>
              <w:jc w:val="right"/>
              <w:rPr>
                <w:sz w:val="18"/>
                <w:szCs w:val="18"/>
              </w:rPr>
            </w:pPr>
            <w:r>
              <w:rPr>
                <w:sz w:val="18"/>
                <w:szCs w:val="18"/>
              </w:rPr>
              <w:t>$30.42</w:t>
            </w:r>
          </w:p>
        </w:tc>
        <w:tc>
          <w:tcPr>
            <w:tcW w:w="1068" w:type="dxa"/>
            <w:vAlign w:val="bottom"/>
          </w:tcPr>
          <w:p w:rsidR="00BC4452" w:rsidRPr="00180B90" w:rsidRDefault="00F40868" w:rsidP="00180B90">
            <w:pPr>
              <w:jc w:val="right"/>
              <w:rPr>
                <w:sz w:val="18"/>
                <w:szCs w:val="18"/>
              </w:rPr>
            </w:pPr>
            <w:r>
              <w:rPr>
                <w:sz w:val="18"/>
                <w:szCs w:val="18"/>
              </w:rPr>
              <w:t>$9.1 million</w:t>
            </w:r>
          </w:p>
        </w:tc>
      </w:tr>
      <w:tr w:rsidR="00622B00" w:rsidRPr="00C70921" w:rsidTr="003A71CD">
        <w:tc>
          <w:tcPr>
            <w:tcW w:w="1296" w:type="dxa"/>
          </w:tcPr>
          <w:p w:rsidR="00622B00" w:rsidRDefault="00622B00" w:rsidP="00C70921">
            <w:pPr>
              <w:rPr>
                <w:sz w:val="18"/>
                <w:szCs w:val="18"/>
              </w:rPr>
            </w:pPr>
            <w:r>
              <w:rPr>
                <w:sz w:val="18"/>
                <w:szCs w:val="18"/>
              </w:rPr>
              <w:t>Production and Distribution of “Pass Through” Disclosures (Electronic Copies)</w:t>
            </w:r>
          </w:p>
        </w:tc>
        <w:tc>
          <w:tcPr>
            <w:tcW w:w="1136" w:type="dxa"/>
            <w:vAlign w:val="bottom"/>
          </w:tcPr>
          <w:p w:rsidR="00622B00" w:rsidRDefault="00622B00" w:rsidP="00180B90">
            <w:pPr>
              <w:jc w:val="right"/>
              <w:rPr>
                <w:sz w:val="18"/>
                <w:szCs w:val="18"/>
              </w:rPr>
            </w:pPr>
            <w:r>
              <w:rPr>
                <w:sz w:val="18"/>
                <w:szCs w:val="18"/>
              </w:rPr>
              <w:t>518,212</w:t>
            </w:r>
          </w:p>
        </w:tc>
        <w:tc>
          <w:tcPr>
            <w:tcW w:w="980" w:type="dxa"/>
            <w:vAlign w:val="bottom"/>
          </w:tcPr>
          <w:p w:rsidR="00622B00" w:rsidRDefault="00622B00" w:rsidP="00D118C0">
            <w:pPr>
              <w:jc w:val="right"/>
              <w:rPr>
                <w:sz w:val="18"/>
                <w:szCs w:val="18"/>
              </w:rPr>
            </w:pPr>
            <w:r>
              <w:rPr>
                <w:sz w:val="18"/>
                <w:szCs w:val="18"/>
              </w:rPr>
              <w:t>10.56</w:t>
            </w:r>
          </w:p>
        </w:tc>
        <w:tc>
          <w:tcPr>
            <w:tcW w:w="1116" w:type="dxa"/>
            <w:vAlign w:val="bottom"/>
          </w:tcPr>
          <w:p w:rsidR="00622B00" w:rsidRDefault="00622B00" w:rsidP="00D118C0">
            <w:pPr>
              <w:jc w:val="right"/>
              <w:rPr>
                <w:sz w:val="18"/>
                <w:szCs w:val="18"/>
              </w:rPr>
            </w:pPr>
            <w:r>
              <w:rPr>
                <w:sz w:val="18"/>
                <w:szCs w:val="18"/>
              </w:rPr>
              <w:t>5,500,000</w:t>
            </w:r>
          </w:p>
        </w:tc>
        <w:tc>
          <w:tcPr>
            <w:tcW w:w="914" w:type="dxa"/>
            <w:vAlign w:val="bottom"/>
          </w:tcPr>
          <w:p w:rsidR="00622B00" w:rsidRDefault="00622B00" w:rsidP="00180B90">
            <w:pPr>
              <w:jc w:val="right"/>
              <w:rPr>
                <w:sz w:val="18"/>
                <w:szCs w:val="18"/>
              </w:rPr>
            </w:pPr>
            <w:r>
              <w:rPr>
                <w:sz w:val="18"/>
                <w:szCs w:val="18"/>
              </w:rPr>
              <w:t>0</w:t>
            </w:r>
          </w:p>
        </w:tc>
        <w:tc>
          <w:tcPr>
            <w:tcW w:w="813" w:type="dxa"/>
            <w:vAlign w:val="bottom"/>
          </w:tcPr>
          <w:p w:rsidR="00622B00" w:rsidRDefault="00622B00" w:rsidP="00180B90">
            <w:pPr>
              <w:jc w:val="right"/>
              <w:rPr>
                <w:sz w:val="18"/>
                <w:szCs w:val="18"/>
              </w:rPr>
            </w:pPr>
            <w:r>
              <w:rPr>
                <w:sz w:val="18"/>
                <w:szCs w:val="18"/>
              </w:rPr>
              <w:t>0</w:t>
            </w:r>
          </w:p>
        </w:tc>
        <w:tc>
          <w:tcPr>
            <w:tcW w:w="813" w:type="dxa"/>
            <w:vAlign w:val="bottom"/>
          </w:tcPr>
          <w:p w:rsidR="00622B00" w:rsidRDefault="00622B00" w:rsidP="00180B90">
            <w:pPr>
              <w:jc w:val="right"/>
              <w:rPr>
                <w:sz w:val="18"/>
                <w:szCs w:val="18"/>
              </w:rPr>
            </w:pPr>
            <w:r>
              <w:rPr>
                <w:sz w:val="18"/>
                <w:szCs w:val="18"/>
              </w:rPr>
              <w:t>$30.42</w:t>
            </w:r>
          </w:p>
        </w:tc>
        <w:tc>
          <w:tcPr>
            <w:tcW w:w="1068" w:type="dxa"/>
            <w:vAlign w:val="bottom"/>
          </w:tcPr>
          <w:p w:rsidR="00622B00" w:rsidRDefault="00622B00" w:rsidP="00180B90">
            <w:pPr>
              <w:jc w:val="right"/>
              <w:rPr>
                <w:sz w:val="18"/>
                <w:szCs w:val="18"/>
              </w:rPr>
            </w:pPr>
            <w:r>
              <w:rPr>
                <w:sz w:val="18"/>
                <w:szCs w:val="18"/>
              </w:rPr>
              <w:t>$0</w:t>
            </w:r>
          </w:p>
        </w:tc>
      </w:tr>
      <w:tr w:rsidR="00EE1117" w:rsidRPr="00C70921" w:rsidTr="003A71CD">
        <w:tc>
          <w:tcPr>
            <w:tcW w:w="1296" w:type="dxa"/>
          </w:tcPr>
          <w:p w:rsidR="00EE1117" w:rsidRDefault="00EE1117" w:rsidP="00C70921">
            <w:pPr>
              <w:rPr>
                <w:sz w:val="18"/>
                <w:szCs w:val="18"/>
              </w:rPr>
            </w:pPr>
            <w:r>
              <w:rPr>
                <w:sz w:val="18"/>
                <w:szCs w:val="18"/>
              </w:rPr>
              <w:t>Information on Request (Clerical)</w:t>
            </w:r>
          </w:p>
        </w:tc>
        <w:tc>
          <w:tcPr>
            <w:tcW w:w="1136" w:type="dxa"/>
            <w:vAlign w:val="bottom"/>
          </w:tcPr>
          <w:p w:rsidR="00EE1117" w:rsidRDefault="00EE1117" w:rsidP="00180B90">
            <w:pPr>
              <w:jc w:val="right"/>
              <w:rPr>
                <w:sz w:val="18"/>
                <w:szCs w:val="18"/>
              </w:rPr>
            </w:pPr>
            <w:r>
              <w:rPr>
                <w:sz w:val="18"/>
                <w:szCs w:val="18"/>
              </w:rPr>
              <w:t>518,212</w:t>
            </w:r>
          </w:p>
        </w:tc>
        <w:tc>
          <w:tcPr>
            <w:tcW w:w="980" w:type="dxa"/>
            <w:vAlign w:val="bottom"/>
          </w:tcPr>
          <w:p w:rsidR="00EE1117" w:rsidRDefault="00EE1117" w:rsidP="00180B90">
            <w:pPr>
              <w:jc w:val="right"/>
              <w:rPr>
                <w:sz w:val="18"/>
                <w:szCs w:val="18"/>
              </w:rPr>
            </w:pPr>
            <w:r>
              <w:rPr>
                <w:sz w:val="18"/>
                <w:szCs w:val="18"/>
              </w:rPr>
              <w:t>1</w:t>
            </w:r>
          </w:p>
        </w:tc>
        <w:tc>
          <w:tcPr>
            <w:tcW w:w="1116" w:type="dxa"/>
            <w:vAlign w:val="bottom"/>
          </w:tcPr>
          <w:p w:rsidR="00EE1117" w:rsidRDefault="00EE1117" w:rsidP="00180B90">
            <w:pPr>
              <w:jc w:val="right"/>
              <w:rPr>
                <w:sz w:val="18"/>
                <w:szCs w:val="18"/>
              </w:rPr>
            </w:pPr>
            <w:r>
              <w:rPr>
                <w:sz w:val="18"/>
                <w:szCs w:val="18"/>
              </w:rPr>
              <w:t>518,212</w:t>
            </w:r>
          </w:p>
        </w:tc>
        <w:tc>
          <w:tcPr>
            <w:tcW w:w="914" w:type="dxa"/>
            <w:vAlign w:val="bottom"/>
          </w:tcPr>
          <w:p w:rsidR="00EE1117" w:rsidRDefault="00EE1117" w:rsidP="00180B90">
            <w:pPr>
              <w:jc w:val="right"/>
              <w:rPr>
                <w:sz w:val="18"/>
                <w:szCs w:val="18"/>
              </w:rPr>
            </w:pPr>
            <w:r>
              <w:rPr>
                <w:sz w:val="18"/>
                <w:szCs w:val="18"/>
              </w:rPr>
              <w:t>1</w:t>
            </w:r>
          </w:p>
        </w:tc>
        <w:tc>
          <w:tcPr>
            <w:tcW w:w="813" w:type="dxa"/>
            <w:vAlign w:val="bottom"/>
          </w:tcPr>
          <w:p w:rsidR="00EE1117" w:rsidRDefault="00EE1117" w:rsidP="00180B90">
            <w:pPr>
              <w:jc w:val="right"/>
              <w:rPr>
                <w:sz w:val="18"/>
                <w:szCs w:val="18"/>
              </w:rPr>
            </w:pPr>
            <w:r>
              <w:rPr>
                <w:sz w:val="18"/>
                <w:szCs w:val="18"/>
              </w:rPr>
              <w:t>518,000</w:t>
            </w:r>
          </w:p>
        </w:tc>
        <w:tc>
          <w:tcPr>
            <w:tcW w:w="813" w:type="dxa"/>
            <w:vAlign w:val="bottom"/>
          </w:tcPr>
          <w:p w:rsidR="00EE1117" w:rsidRDefault="00EE1117" w:rsidP="00180B90">
            <w:pPr>
              <w:jc w:val="right"/>
              <w:rPr>
                <w:sz w:val="18"/>
                <w:szCs w:val="18"/>
              </w:rPr>
            </w:pPr>
            <w:r>
              <w:rPr>
                <w:sz w:val="18"/>
                <w:szCs w:val="18"/>
              </w:rPr>
              <w:t>$30.42</w:t>
            </w:r>
          </w:p>
        </w:tc>
        <w:tc>
          <w:tcPr>
            <w:tcW w:w="1068" w:type="dxa"/>
            <w:vAlign w:val="bottom"/>
          </w:tcPr>
          <w:p w:rsidR="00EE1117" w:rsidRDefault="00EE1117" w:rsidP="00180B90">
            <w:pPr>
              <w:jc w:val="right"/>
              <w:rPr>
                <w:sz w:val="18"/>
                <w:szCs w:val="18"/>
              </w:rPr>
            </w:pPr>
            <w:r>
              <w:rPr>
                <w:sz w:val="18"/>
                <w:szCs w:val="18"/>
              </w:rPr>
              <w:t>$15.8 million</w:t>
            </w:r>
          </w:p>
        </w:tc>
      </w:tr>
      <w:tr w:rsidR="00EE1117" w:rsidRPr="00C70921" w:rsidTr="003A71CD">
        <w:tc>
          <w:tcPr>
            <w:tcW w:w="1296" w:type="dxa"/>
          </w:tcPr>
          <w:p w:rsidR="00BC4452" w:rsidRPr="00180B90" w:rsidRDefault="00EE1117" w:rsidP="00C70921">
            <w:pPr>
              <w:rPr>
                <w:sz w:val="18"/>
                <w:szCs w:val="18"/>
              </w:rPr>
            </w:pPr>
            <w:r>
              <w:rPr>
                <w:sz w:val="18"/>
                <w:szCs w:val="18"/>
              </w:rPr>
              <w:t xml:space="preserve">Production and Distribution of </w:t>
            </w:r>
            <w:r w:rsidR="00F40868">
              <w:rPr>
                <w:sz w:val="18"/>
                <w:szCs w:val="18"/>
              </w:rPr>
              <w:t>Information on Request (Paper Copies)</w:t>
            </w:r>
          </w:p>
        </w:tc>
        <w:tc>
          <w:tcPr>
            <w:tcW w:w="1136" w:type="dxa"/>
            <w:vAlign w:val="bottom"/>
          </w:tcPr>
          <w:p w:rsidR="00BC4452" w:rsidRPr="00180B90" w:rsidRDefault="00F40868" w:rsidP="00180B90">
            <w:pPr>
              <w:jc w:val="right"/>
              <w:rPr>
                <w:sz w:val="18"/>
                <w:szCs w:val="18"/>
              </w:rPr>
            </w:pPr>
            <w:r>
              <w:rPr>
                <w:sz w:val="18"/>
                <w:szCs w:val="18"/>
              </w:rPr>
              <w:t>518,212</w:t>
            </w:r>
          </w:p>
        </w:tc>
        <w:tc>
          <w:tcPr>
            <w:tcW w:w="980" w:type="dxa"/>
            <w:vAlign w:val="bottom"/>
          </w:tcPr>
          <w:p w:rsidR="00BC4452" w:rsidRPr="00180B90" w:rsidRDefault="00F40868" w:rsidP="00180B90">
            <w:pPr>
              <w:jc w:val="right"/>
              <w:rPr>
                <w:sz w:val="18"/>
                <w:szCs w:val="18"/>
              </w:rPr>
            </w:pPr>
            <w:r>
              <w:rPr>
                <w:sz w:val="18"/>
                <w:szCs w:val="18"/>
              </w:rPr>
              <w:t>0.62</w:t>
            </w:r>
          </w:p>
        </w:tc>
        <w:tc>
          <w:tcPr>
            <w:tcW w:w="1116" w:type="dxa"/>
            <w:vAlign w:val="bottom"/>
          </w:tcPr>
          <w:p w:rsidR="00BC4452" w:rsidRPr="00180B90" w:rsidRDefault="001B7494" w:rsidP="00180B90">
            <w:pPr>
              <w:jc w:val="right"/>
              <w:rPr>
                <w:sz w:val="18"/>
                <w:szCs w:val="18"/>
              </w:rPr>
            </w:pPr>
            <w:r>
              <w:rPr>
                <w:sz w:val="18"/>
                <w:szCs w:val="18"/>
              </w:rPr>
              <w:t>321,335</w:t>
            </w:r>
          </w:p>
        </w:tc>
        <w:tc>
          <w:tcPr>
            <w:tcW w:w="914" w:type="dxa"/>
            <w:vAlign w:val="bottom"/>
          </w:tcPr>
          <w:p w:rsidR="00BC4452" w:rsidRPr="00180B90" w:rsidRDefault="009872AA" w:rsidP="00180B90">
            <w:pPr>
              <w:jc w:val="right"/>
              <w:rPr>
                <w:sz w:val="18"/>
                <w:szCs w:val="18"/>
              </w:rPr>
            </w:pPr>
            <w:r>
              <w:rPr>
                <w:sz w:val="18"/>
                <w:szCs w:val="18"/>
              </w:rPr>
              <w:t>0.03</w:t>
            </w:r>
          </w:p>
        </w:tc>
        <w:tc>
          <w:tcPr>
            <w:tcW w:w="813" w:type="dxa"/>
            <w:vAlign w:val="bottom"/>
          </w:tcPr>
          <w:p w:rsidR="00BC4452" w:rsidRPr="00180B90" w:rsidRDefault="009872AA" w:rsidP="00180B90">
            <w:pPr>
              <w:jc w:val="right"/>
              <w:rPr>
                <w:sz w:val="18"/>
                <w:szCs w:val="18"/>
              </w:rPr>
            </w:pPr>
            <w:r>
              <w:rPr>
                <w:sz w:val="18"/>
                <w:szCs w:val="18"/>
              </w:rPr>
              <w:t>11,000</w:t>
            </w:r>
          </w:p>
        </w:tc>
        <w:tc>
          <w:tcPr>
            <w:tcW w:w="813" w:type="dxa"/>
            <w:vAlign w:val="bottom"/>
          </w:tcPr>
          <w:p w:rsidR="00BC4452" w:rsidRPr="00180B90" w:rsidRDefault="009872AA" w:rsidP="00180B90">
            <w:pPr>
              <w:jc w:val="right"/>
              <w:rPr>
                <w:sz w:val="18"/>
                <w:szCs w:val="18"/>
              </w:rPr>
            </w:pPr>
            <w:r>
              <w:rPr>
                <w:sz w:val="18"/>
                <w:szCs w:val="18"/>
              </w:rPr>
              <w:t>$30.42</w:t>
            </w:r>
          </w:p>
        </w:tc>
        <w:tc>
          <w:tcPr>
            <w:tcW w:w="1068" w:type="dxa"/>
            <w:vAlign w:val="bottom"/>
          </w:tcPr>
          <w:p w:rsidR="00BC4452" w:rsidRPr="00180B90" w:rsidRDefault="00EE1117" w:rsidP="00180B90">
            <w:pPr>
              <w:jc w:val="right"/>
              <w:rPr>
                <w:sz w:val="18"/>
                <w:szCs w:val="18"/>
              </w:rPr>
            </w:pPr>
            <w:r>
              <w:rPr>
                <w:sz w:val="18"/>
                <w:szCs w:val="18"/>
              </w:rPr>
              <w:t>$326,000</w:t>
            </w:r>
          </w:p>
        </w:tc>
      </w:tr>
      <w:tr w:rsidR="00AA3778" w:rsidRPr="00C70921" w:rsidTr="003A71CD">
        <w:tc>
          <w:tcPr>
            <w:tcW w:w="1296" w:type="dxa"/>
          </w:tcPr>
          <w:p w:rsidR="00AA3778" w:rsidRDefault="00AA3778" w:rsidP="00C70921">
            <w:pPr>
              <w:rPr>
                <w:sz w:val="18"/>
                <w:szCs w:val="18"/>
              </w:rPr>
            </w:pPr>
            <w:r>
              <w:rPr>
                <w:sz w:val="18"/>
                <w:szCs w:val="18"/>
              </w:rPr>
              <w:t>Production and Distribution of Information on Request (Electronic Copies)</w:t>
            </w:r>
          </w:p>
        </w:tc>
        <w:tc>
          <w:tcPr>
            <w:tcW w:w="1136" w:type="dxa"/>
            <w:vAlign w:val="bottom"/>
          </w:tcPr>
          <w:p w:rsidR="00AA3778" w:rsidRDefault="00AA3778" w:rsidP="00180B90">
            <w:pPr>
              <w:jc w:val="right"/>
              <w:rPr>
                <w:sz w:val="18"/>
                <w:szCs w:val="18"/>
              </w:rPr>
            </w:pPr>
            <w:r>
              <w:rPr>
                <w:sz w:val="18"/>
                <w:szCs w:val="18"/>
              </w:rPr>
              <w:t>518,212</w:t>
            </w:r>
          </w:p>
        </w:tc>
        <w:tc>
          <w:tcPr>
            <w:tcW w:w="980" w:type="dxa"/>
            <w:vAlign w:val="bottom"/>
          </w:tcPr>
          <w:p w:rsidR="00AA3778" w:rsidRDefault="00AA3778" w:rsidP="00180B90">
            <w:pPr>
              <w:jc w:val="right"/>
              <w:rPr>
                <w:sz w:val="18"/>
                <w:szCs w:val="18"/>
              </w:rPr>
            </w:pPr>
            <w:r>
              <w:rPr>
                <w:sz w:val="18"/>
                <w:szCs w:val="18"/>
              </w:rPr>
              <w:t>0.38</w:t>
            </w:r>
          </w:p>
        </w:tc>
        <w:tc>
          <w:tcPr>
            <w:tcW w:w="1116" w:type="dxa"/>
            <w:vAlign w:val="bottom"/>
          </w:tcPr>
          <w:p w:rsidR="00AA3778" w:rsidRDefault="004163A1" w:rsidP="00180B90">
            <w:pPr>
              <w:jc w:val="right"/>
              <w:rPr>
                <w:sz w:val="18"/>
                <w:szCs w:val="18"/>
              </w:rPr>
            </w:pPr>
            <w:r>
              <w:rPr>
                <w:sz w:val="18"/>
                <w:szCs w:val="18"/>
              </w:rPr>
              <w:t>196,920</w:t>
            </w:r>
          </w:p>
        </w:tc>
        <w:tc>
          <w:tcPr>
            <w:tcW w:w="914" w:type="dxa"/>
            <w:vAlign w:val="bottom"/>
          </w:tcPr>
          <w:p w:rsidR="00AA3778" w:rsidRDefault="004163A1" w:rsidP="00180B90">
            <w:pPr>
              <w:jc w:val="right"/>
              <w:rPr>
                <w:sz w:val="18"/>
                <w:szCs w:val="18"/>
              </w:rPr>
            </w:pPr>
            <w:r>
              <w:rPr>
                <w:sz w:val="18"/>
                <w:szCs w:val="18"/>
              </w:rPr>
              <w:t>0</w:t>
            </w:r>
          </w:p>
        </w:tc>
        <w:tc>
          <w:tcPr>
            <w:tcW w:w="813" w:type="dxa"/>
            <w:vAlign w:val="bottom"/>
          </w:tcPr>
          <w:p w:rsidR="00AA3778" w:rsidRDefault="004163A1" w:rsidP="00180B90">
            <w:pPr>
              <w:jc w:val="right"/>
              <w:rPr>
                <w:sz w:val="18"/>
                <w:szCs w:val="18"/>
              </w:rPr>
            </w:pPr>
            <w:r>
              <w:rPr>
                <w:sz w:val="18"/>
                <w:szCs w:val="18"/>
              </w:rPr>
              <w:t>0</w:t>
            </w:r>
          </w:p>
        </w:tc>
        <w:tc>
          <w:tcPr>
            <w:tcW w:w="813" w:type="dxa"/>
            <w:vAlign w:val="bottom"/>
          </w:tcPr>
          <w:p w:rsidR="00AA3778" w:rsidRDefault="004163A1" w:rsidP="00180B90">
            <w:pPr>
              <w:jc w:val="right"/>
              <w:rPr>
                <w:sz w:val="18"/>
                <w:szCs w:val="18"/>
              </w:rPr>
            </w:pPr>
            <w:r>
              <w:rPr>
                <w:sz w:val="18"/>
                <w:szCs w:val="18"/>
              </w:rPr>
              <w:t>$30.42</w:t>
            </w:r>
          </w:p>
        </w:tc>
        <w:tc>
          <w:tcPr>
            <w:tcW w:w="1068" w:type="dxa"/>
            <w:vAlign w:val="bottom"/>
          </w:tcPr>
          <w:p w:rsidR="00AA3778" w:rsidRDefault="004163A1" w:rsidP="00180B90">
            <w:pPr>
              <w:jc w:val="right"/>
              <w:rPr>
                <w:sz w:val="18"/>
                <w:szCs w:val="18"/>
              </w:rPr>
            </w:pPr>
            <w:r>
              <w:rPr>
                <w:sz w:val="18"/>
                <w:szCs w:val="18"/>
              </w:rPr>
              <w:t>$0</w:t>
            </w:r>
          </w:p>
        </w:tc>
      </w:tr>
      <w:tr w:rsidR="003A71CD" w:rsidRPr="00C70921" w:rsidTr="003A71CD">
        <w:tc>
          <w:tcPr>
            <w:tcW w:w="1296" w:type="dxa"/>
          </w:tcPr>
          <w:p w:rsidR="00180B90" w:rsidRPr="008D2DB2" w:rsidRDefault="00180B90" w:rsidP="00C70921">
            <w:pPr>
              <w:rPr>
                <w:b/>
                <w:i/>
                <w:sz w:val="18"/>
                <w:szCs w:val="18"/>
              </w:rPr>
            </w:pPr>
            <w:r w:rsidRPr="008D2DB2">
              <w:rPr>
                <w:b/>
                <w:i/>
                <w:sz w:val="18"/>
                <w:szCs w:val="18"/>
              </w:rPr>
              <w:t>Unduplicated Totals</w:t>
            </w:r>
          </w:p>
        </w:tc>
        <w:tc>
          <w:tcPr>
            <w:tcW w:w="1136" w:type="dxa"/>
            <w:vAlign w:val="bottom"/>
          </w:tcPr>
          <w:p w:rsidR="00180B90" w:rsidRPr="008D2DB2" w:rsidRDefault="004163A1" w:rsidP="00180B90">
            <w:pPr>
              <w:jc w:val="right"/>
              <w:rPr>
                <w:b/>
                <w:i/>
                <w:sz w:val="18"/>
                <w:szCs w:val="18"/>
              </w:rPr>
            </w:pPr>
            <w:r w:rsidRPr="008D2DB2">
              <w:rPr>
                <w:b/>
                <w:i/>
                <w:sz w:val="18"/>
                <w:szCs w:val="18"/>
              </w:rPr>
              <w:t>518,212</w:t>
            </w:r>
          </w:p>
        </w:tc>
        <w:tc>
          <w:tcPr>
            <w:tcW w:w="980" w:type="dxa"/>
            <w:vAlign w:val="bottom"/>
          </w:tcPr>
          <w:p w:rsidR="00180B90" w:rsidRPr="008D2DB2" w:rsidRDefault="00180B90" w:rsidP="00180B90">
            <w:pPr>
              <w:jc w:val="right"/>
              <w:rPr>
                <w:b/>
                <w:i/>
                <w:sz w:val="18"/>
                <w:szCs w:val="18"/>
              </w:rPr>
            </w:pPr>
          </w:p>
        </w:tc>
        <w:tc>
          <w:tcPr>
            <w:tcW w:w="1116" w:type="dxa"/>
            <w:vAlign w:val="bottom"/>
          </w:tcPr>
          <w:p w:rsidR="00180B90" w:rsidRPr="008D2DB2" w:rsidRDefault="0041758E" w:rsidP="00180B90">
            <w:pPr>
              <w:jc w:val="right"/>
              <w:rPr>
                <w:b/>
                <w:i/>
                <w:sz w:val="18"/>
                <w:szCs w:val="18"/>
              </w:rPr>
            </w:pPr>
            <w:r w:rsidRPr="008D2DB2">
              <w:rPr>
                <w:b/>
                <w:i/>
                <w:sz w:val="18"/>
                <w:szCs w:val="18"/>
              </w:rPr>
              <w:t>713,900,000</w:t>
            </w:r>
          </w:p>
        </w:tc>
        <w:tc>
          <w:tcPr>
            <w:tcW w:w="914" w:type="dxa"/>
            <w:vAlign w:val="bottom"/>
          </w:tcPr>
          <w:p w:rsidR="00180B90" w:rsidRPr="008D2DB2" w:rsidRDefault="00180B90" w:rsidP="00180B90">
            <w:pPr>
              <w:jc w:val="right"/>
              <w:rPr>
                <w:b/>
                <w:i/>
                <w:sz w:val="18"/>
                <w:szCs w:val="18"/>
              </w:rPr>
            </w:pPr>
          </w:p>
        </w:tc>
        <w:tc>
          <w:tcPr>
            <w:tcW w:w="813" w:type="dxa"/>
            <w:vAlign w:val="bottom"/>
          </w:tcPr>
          <w:p w:rsidR="00180B90" w:rsidRPr="008D2DB2" w:rsidRDefault="00E146CD" w:rsidP="00180B90">
            <w:pPr>
              <w:jc w:val="right"/>
              <w:rPr>
                <w:b/>
                <w:i/>
                <w:sz w:val="18"/>
                <w:szCs w:val="18"/>
              </w:rPr>
            </w:pPr>
            <w:r w:rsidRPr="008D2DB2">
              <w:rPr>
                <w:b/>
                <w:i/>
                <w:sz w:val="18"/>
                <w:szCs w:val="18"/>
              </w:rPr>
              <w:t>7.3 million</w:t>
            </w:r>
          </w:p>
        </w:tc>
        <w:tc>
          <w:tcPr>
            <w:tcW w:w="813" w:type="dxa"/>
            <w:vAlign w:val="bottom"/>
          </w:tcPr>
          <w:p w:rsidR="00180B90" w:rsidRPr="008D2DB2" w:rsidRDefault="00180B90" w:rsidP="00180B90">
            <w:pPr>
              <w:jc w:val="right"/>
              <w:rPr>
                <w:b/>
                <w:i/>
                <w:sz w:val="18"/>
                <w:szCs w:val="18"/>
              </w:rPr>
            </w:pPr>
          </w:p>
        </w:tc>
        <w:tc>
          <w:tcPr>
            <w:tcW w:w="1068" w:type="dxa"/>
            <w:vAlign w:val="bottom"/>
          </w:tcPr>
          <w:p w:rsidR="00180B90" w:rsidRPr="008D2DB2" w:rsidRDefault="00E146CD" w:rsidP="00180B90">
            <w:pPr>
              <w:jc w:val="right"/>
              <w:rPr>
                <w:b/>
                <w:i/>
                <w:sz w:val="18"/>
                <w:szCs w:val="18"/>
              </w:rPr>
            </w:pPr>
            <w:r w:rsidRPr="008D2DB2">
              <w:rPr>
                <w:b/>
                <w:i/>
                <w:sz w:val="18"/>
                <w:szCs w:val="18"/>
              </w:rPr>
              <w:t>$381.1 million</w:t>
            </w:r>
          </w:p>
        </w:tc>
      </w:tr>
    </w:tbl>
    <w:p w:rsidR="000A5919" w:rsidRPr="009D7FA2" w:rsidRDefault="000A5919" w:rsidP="00E44B39">
      <w:pPr>
        <w:autoSpaceDE w:val="0"/>
        <w:autoSpaceDN w:val="0"/>
        <w:ind w:left="720"/>
      </w:pPr>
    </w:p>
    <w:p w:rsidR="000A5919" w:rsidRPr="009D7FA2" w:rsidRDefault="000A5919" w:rsidP="00E44B39">
      <w:pPr>
        <w:pStyle w:val="ListParagraph"/>
        <w:numPr>
          <w:ilvl w:val="0"/>
          <w:numId w:val="3"/>
        </w:numPr>
        <w:autoSpaceDE w:val="0"/>
        <w:autoSpaceDN w:val="0"/>
        <w:ind w:left="720"/>
      </w:pPr>
      <w:r w:rsidRPr="00E44B39">
        <w:rPr>
          <w:i/>
          <w:iCs/>
        </w:rPr>
        <w:t>Provide an estimate of the total annual cost burden to respondents or record-keepers resulting from the collection of information.</w:t>
      </w:r>
      <w:r w:rsidR="006F6334">
        <w:rPr>
          <w:i/>
          <w:iCs/>
        </w:rPr>
        <w:t xml:space="preserve"> </w:t>
      </w:r>
      <w:r w:rsidRPr="00E44B39">
        <w:rPr>
          <w:i/>
          <w:iCs/>
        </w:rPr>
        <w:t xml:space="preserve"> (Do not include the cost of any hour burden shown in Items 12.)</w:t>
      </w:r>
    </w:p>
    <w:p w:rsidR="000A5919" w:rsidRPr="009D7FA2" w:rsidRDefault="000A5919" w:rsidP="00E44B39">
      <w:pPr>
        <w:autoSpaceDE w:val="0"/>
        <w:autoSpaceDN w:val="0"/>
        <w:ind w:left="720"/>
      </w:pPr>
    </w:p>
    <w:p w:rsidR="000A5919" w:rsidRPr="009D7FA2" w:rsidRDefault="000A5919" w:rsidP="00E44B39">
      <w:pPr>
        <w:ind w:left="720"/>
      </w:pPr>
      <w:r w:rsidRPr="009D7FA2">
        <w:t>As explained in question 12 above, the rule requires plan-related and investment-related information to be disclosed to participants and beneficiaries covered by participant directed individual account plans.  The Department developed estimates for the universe of plans, participants and beneficiaries affected by these information collections. Additional costs in this Question 13 relate solely to the additional costs that arise from determining administrative and individual fees charge against participants’ accounts, printing and distributing the required disclosures, and establishing and maintaining the plan</w:t>
      </w:r>
      <w:r w:rsidR="005E38CC" w:rsidRPr="009D7FA2">
        <w:t>s</w:t>
      </w:r>
      <w:r w:rsidRPr="009D7FA2">
        <w:t>’ website</w:t>
      </w:r>
      <w:r w:rsidR="005E38CC" w:rsidRPr="009D7FA2">
        <w:t>s</w:t>
      </w:r>
      <w:r w:rsidRPr="009D7FA2">
        <w:t>.  The annual cost burden is calculated as follows:</w:t>
      </w:r>
    </w:p>
    <w:p w:rsidR="000A5919" w:rsidRPr="009D7FA2" w:rsidRDefault="000A5919" w:rsidP="00E44B39">
      <w:pPr>
        <w:ind w:left="720"/>
      </w:pPr>
    </w:p>
    <w:p w:rsidR="000A5919" w:rsidRPr="009D7FA2" w:rsidRDefault="000A5919" w:rsidP="00E44B39">
      <w:pPr>
        <w:ind w:left="720"/>
      </w:pPr>
      <w:r w:rsidRPr="009D7FA2">
        <w:rPr>
          <w:u w:val="single"/>
        </w:rPr>
        <w:t>Plan-</w:t>
      </w:r>
      <w:r w:rsidR="005E38CC" w:rsidRPr="009D7FA2">
        <w:rPr>
          <w:u w:val="single"/>
        </w:rPr>
        <w:t>R</w:t>
      </w:r>
      <w:r w:rsidRPr="009D7FA2">
        <w:rPr>
          <w:u w:val="single"/>
        </w:rPr>
        <w:t>elated Information</w:t>
      </w:r>
    </w:p>
    <w:p w:rsidR="000A5919" w:rsidRPr="009D7FA2" w:rsidRDefault="000A5919" w:rsidP="00E44B39">
      <w:pPr>
        <w:ind w:left="720"/>
      </w:pPr>
      <w:r w:rsidRPr="009D7FA2">
        <w:t xml:space="preserve">The Department assumes that plans will send </w:t>
      </w:r>
      <w:r w:rsidR="005E38CC" w:rsidRPr="009D7FA2">
        <w:t>6</w:t>
      </w:r>
      <w:r w:rsidR="00607BE8" w:rsidRPr="009D7FA2">
        <w:t>9</w:t>
      </w:r>
      <w:r w:rsidR="00283EE1" w:rsidRPr="009D7FA2">
        <w:t>.9 million</w:t>
      </w:r>
      <w:r w:rsidRPr="009D7FA2">
        <w:t xml:space="preserve"> copies of the </w:t>
      </w:r>
      <w:r w:rsidR="005E38CC" w:rsidRPr="009D7FA2">
        <w:t>General Plan Information</w:t>
      </w:r>
      <w:r w:rsidRPr="009D7FA2">
        <w:t xml:space="preserve"> to plan participants and beneficiaries, which will contain an average of 10 pages.  Paper and printing costs are expected to be 5 cents per page and mailing costs are expected to be </w:t>
      </w:r>
      <w:r w:rsidR="00A54179" w:rsidRPr="009D7FA2">
        <w:t>$0.</w:t>
      </w:r>
      <w:r w:rsidR="00607BE8" w:rsidRPr="009D7FA2">
        <w:t>93</w:t>
      </w:r>
      <w:r w:rsidRPr="009D7FA2">
        <w:t xml:space="preserve"> per mailed disclosure.  It is assumed that 38 percent of the required plan information will be delivered electronically</w:t>
      </w:r>
      <w:r w:rsidR="005E38CC" w:rsidRPr="009D7FA2">
        <w:t xml:space="preserve"> for a de </w:t>
      </w:r>
      <w:proofErr w:type="spellStart"/>
      <w:r w:rsidR="005E38CC" w:rsidRPr="009D7FA2">
        <w:t>minimis</w:t>
      </w:r>
      <w:proofErr w:type="spellEnd"/>
      <w:r w:rsidR="005E38CC" w:rsidRPr="009D7FA2">
        <w:t xml:space="preserve"> cost</w:t>
      </w:r>
      <w:r w:rsidRPr="009D7FA2">
        <w:t xml:space="preserve">. </w:t>
      </w:r>
      <w:r w:rsidR="0013110D" w:rsidRPr="009D7FA2">
        <w:t xml:space="preserve"> </w:t>
      </w:r>
      <w:r w:rsidR="005E38CC" w:rsidRPr="009D7FA2">
        <w:t xml:space="preserve">The mailed copies result </w:t>
      </w:r>
      <w:r w:rsidRPr="009D7FA2">
        <w:t>in a cost burden of $</w:t>
      </w:r>
      <w:r w:rsidR="0013110D" w:rsidRPr="009D7FA2">
        <w:t>62.0</w:t>
      </w:r>
      <w:r w:rsidR="005E38CC" w:rsidRPr="009D7FA2">
        <w:t xml:space="preserve"> million</w:t>
      </w:r>
      <w:r w:rsidRPr="009D7FA2">
        <w:t>.</w:t>
      </w:r>
    </w:p>
    <w:p w:rsidR="000A5919" w:rsidRPr="009D7FA2" w:rsidRDefault="000A5919" w:rsidP="00E44B39">
      <w:pPr>
        <w:ind w:left="720"/>
      </w:pPr>
    </w:p>
    <w:p w:rsidR="000A5919" w:rsidRPr="009D7FA2" w:rsidRDefault="000A5919" w:rsidP="00E44B39">
      <w:pPr>
        <w:ind w:left="720"/>
      </w:pPr>
      <w:r w:rsidRPr="009D7FA2">
        <w:t>Plans will also have to determine the administrative and individual fees that will be charged directly against participants’ accounts,</w:t>
      </w:r>
      <w:r w:rsidR="003E0362" w:rsidRPr="009D7FA2">
        <w:t xml:space="preserve"> </w:t>
      </w:r>
      <w:r w:rsidRPr="009D7FA2">
        <w:t xml:space="preserve">which will be included in the plans’ </w:t>
      </w:r>
      <w:proofErr w:type="gramStart"/>
      <w:r w:rsidRPr="009D7FA2">
        <w:t>quarterly</w:t>
      </w:r>
      <w:proofErr w:type="gramEnd"/>
      <w:r w:rsidRPr="009D7FA2">
        <w:t xml:space="preserve"> benefit statements.</w:t>
      </w:r>
      <w:r w:rsidR="003E0362" w:rsidRPr="009D7FA2">
        <w:rPr>
          <w:rStyle w:val="FootnoteReference"/>
        </w:rPr>
        <w:footnoteReference w:id="12"/>
      </w:r>
      <w:r w:rsidRPr="009D7FA2">
        <w:t xml:space="preserve"> The Department estimates a cost burden of approximately $</w:t>
      </w:r>
      <w:r w:rsidR="005E38CC" w:rsidRPr="009D7FA2">
        <w:t>1</w:t>
      </w:r>
      <w:r w:rsidR="004314B0" w:rsidRPr="009D7FA2">
        <w:t>8.0</w:t>
      </w:r>
      <w:r w:rsidR="005E38CC" w:rsidRPr="009D7FA2">
        <w:t xml:space="preserve"> million for new plans </w:t>
      </w:r>
      <w:r w:rsidRPr="009D7FA2">
        <w:t xml:space="preserve">to establish </w:t>
      </w:r>
      <w:r w:rsidR="005E38CC" w:rsidRPr="009D7FA2">
        <w:t>i</w:t>
      </w:r>
      <w:r w:rsidRPr="009D7FA2">
        <w:t xml:space="preserve">nformation systems or accounting practices that will collect, track and report the actual dollar amounts </w:t>
      </w:r>
      <w:r w:rsidRPr="009D7FA2">
        <w:lastRenderedPageBreak/>
        <w:t>charged to the individual accounts</w:t>
      </w:r>
      <w:r w:rsidR="005E38CC" w:rsidRPr="009D7FA2">
        <w:t xml:space="preserve"> and $3</w:t>
      </w:r>
      <w:r w:rsidR="004314B0" w:rsidRPr="009D7FA2">
        <w:t>8.7</w:t>
      </w:r>
      <w:r w:rsidR="005E38CC" w:rsidRPr="009D7FA2">
        <w:t xml:space="preserve"> million for existing plans to update systems.</w:t>
      </w:r>
      <w:r w:rsidR="009D432E" w:rsidRPr="009D7FA2">
        <w:rPr>
          <w:rStyle w:val="FootnoteReference"/>
        </w:rPr>
        <w:footnoteReference w:id="13"/>
      </w:r>
    </w:p>
    <w:p w:rsidR="000A5919" w:rsidRPr="009D7FA2" w:rsidRDefault="000A5919" w:rsidP="00E44B39">
      <w:pPr>
        <w:ind w:left="720"/>
      </w:pPr>
    </w:p>
    <w:p w:rsidR="000A5919" w:rsidRPr="009D7FA2" w:rsidRDefault="000A5919" w:rsidP="00E44B39">
      <w:pPr>
        <w:ind w:left="720"/>
        <w:rPr>
          <w:u w:val="single"/>
        </w:rPr>
      </w:pPr>
      <w:r w:rsidRPr="009D7FA2">
        <w:rPr>
          <w:u w:val="single"/>
        </w:rPr>
        <w:t>Investment-</w:t>
      </w:r>
      <w:r w:rsidR="003E0362" w:rsidRPr="009D7FA2">
        <w:rPr>
          <w:u w:val="single"/>
        </w:rPr>
        <w:t>R</w:t>
      </w:r>
      <w:r w:rsidRPr="009D7FA2">
        <w:rPr>
          <w:u w:val="single"/>
        </w:rPr>
        <w:t xml:space="preserve">elated Information </w:t>
      </w:r>
    </w:p>
    <w:p w:rsidR="000A5919" w:rsidRPr="009D7FA2" w:rsidRDefault="000A5919" w:rsidP="00E44B39">
      <w:pPr>
        <w:ind w:left="720"/>
      </w:pPr>
      <w:r w:rsidRPr="009D7FA2">
        <w:t xml:space="preserve">Disclosing investment related information leads to material costs, if the materials are given out by hand or mailed.  As with the disclosure of the </w:t>
      </w:r>
      <w:r w:rsidR="003E0362" w:rsidRPr="009D7FA2">
        <w:t>General Plan Information,</w:t>
      </w:r>
      <w:r w:rsidRPr="009D7FA2">
        <w:t xml:space="preserve"> it is assumed that 38 percent of the disclosures will be sent electronically with no associated cost burden.</w:t>
      </w:r>
      <w:r w:rsidR="003E0362" w:rsidRPr="009D7FA2">
        <w:t xml:space="preserve"> </w:t>
      </w:r>
      <w:r w:rsidRPr="009D7FA2">
        <w:t xml:space="preserve"> Paper and printing costs are assumed to be 5 cents per page.</w:t>
      </w:r>
    </w:p>
    <w:p w:rsidR="000A5919" w:rsidRPr="009D7FA2" w:rsidRDefault="000A5919" w:rsidP="00E44B39">
      <w:pPr>
        <w:ind w:left="720"/>
      </w:pPr>
    </w:p>
    <w:p w:rsidR="000A5919" w:rsidRPr="009D7FA2" w:rsidRDefault="007F2282" w:rsidP="00E44B39">
      <w:pPr>
        <w:ind w:left="720"/>
      </w:pPr>
      <w:r w:rsidRPr="009D7FA2">
        <w:t>The Department assumes that plans will send 6</w:t>
      </w:r>
      <w:r w:rsidR="004314B0" w:rsidRPr="009D7FA2">
        <w:t>9</w:t>
      </w:r>
      <w:r w:rsidR="00283EE1" w:rsidRPr="009D7FA2">
        <w:t>.9 million</w:t>
      </w:r>
      <w:r w:rsidRPr="009D7FA2">
        <w:t xml:space="preserve"> copies of the Comparative Chart to plan participants and beneficiaries, which will contain an average of three pages.  </w:t>
      </w:r>
      <w:r w:rsidR="000A5919" w:rsidRPr="009D7FA2">
        <w:t xml:space="preserve">As this information is required to be sent on an annual basis the Department assumes it will be sent with the </w:t>
      </w:r>
      <w:r w:rsidRPr="009D7FA2">
        <w:t>General Plan Information</w:t>
      </w:r>
      <w:r w:rsidR="000A5919" w:rsidRPr="009D7FA2">
        <w:t xml:space="preserve">.  Mailing costs are already accounted for in the calculation of the cost burden for </w:t>
      </w:r>
      <w:r w:rsidRPr="009D7FA2">
        <w:t>the General Plan I</w:t>
      </w:r>
      <w:r w:rsidR="000A5919" w:rsidRPr="009D7FA2">
        <w:t>nformation.  The resulting annual cost burden</w:t>
      </w:r>
      <w:r w:rsidRPr="009D7FA2">
        <w:t xml:space="preserve"> for materials is $6.</w:t>
      </w:r>
      <w:r w:rsidR="0015126F" w:rsidRPr="009D7FA2">
        <w:t>5</w:t>
      </w:r>
      <w:r w:rsidRPr="009D7FA2">
        <w:t xml:space="preserve"> million.</w:t>
      </w:r>
    </w:p>
    <w:p w:rsidR="007253BC" w:rsidRPr="009D7FA2" w:rsidRDefault="007253BC" w:rsidP="00E44B39">
      <w:pPr>
        <w:ind w:left="720"/>
      </w:pPr>
    </w:p>
    <w:p w:rsidR="000A5919" w:rsidRPr="009D7FA2" w:rsidRDefault="000A5919" w:rsidP="00E44B39">
      <w:pPr>
        <w:ind w:left="720"/>
      </w:pPr>
      <w:r w:rsidRPr="009D7FA2">
        <w:t xml:space="preserve">Plans also are required to create and maintain a website. </w:t>
      </w:r>
      <w:r w:rsidR="007F2282" w:rsidRPr="009D7FA2">
        <w:t xml:space="preserve"> </w:t>
      </w:r>
      <w:r w:rsidRPr="009D7FA2">
        <w:t>Having a plan website might require plans to rent server space at an estimated cost of $2</w:t>
      </w:r>
      <w:r w:rsidR="007F2282" w:rsidRPr="009D7FA2">
        <w:t>6</w:t>
      </w:r>
      <w:r w:rsidR="0015126F" w:rsidRPr="009D7FA2">
        <w:t>5</w:t>
      </w:r>
      <w:r w:rsidRPr="009D7FA2">
        <w:t xml:space="preserve"> annually</w:t>
      </w:r>
      <w:r w:rsidR="007F2282" w:rsidRPr="009D7FA2">
        <w:t xml:space="preserve"> per plan.  </w:t>
      </w:r>
      <w:r w:rsidRPr="009D7FA2">
        <w:t>The estimated annual cost of renting the server space is approximately $1</w:t>
      </w:r>
      <w:r w:rsidR="007F2282" w:rsidRPr="009D7FA2">
        <w:t>3</w:t>
      </w:r>
      <w:r w:rsidR="0015126F" w:rsidRPr="009D7FA2">
        <w:t>7.3</w:t>
      </w:r>
      <w:r w:rsidRPr="009D7FA2">
        <w:t xml:space="preserve"> million.</w:t>
      </w:r>
    </w:p>
    <w:p w:rsidR="000A5919" w:rsidRPr="009D7FA2" w:rsidRDefault="000A5919" w:rsidP="00E44B39">
      <w:pPr>
        <w:ind w:left="720"/>
      </w:pPr>
    </w:p>
    <w:p w:rsidR="000A5919" w:rsidRPr="009D7FA2" w:rsidRDefault="00F72B8E" w:rsidP="00E44B39">
      <w:pPr>
        <w:ind w:left="720"/>
      </w:pPr>
      <w:r w:rsidRPr="009D7FA2">
        <w:t xml:space="preserve">With regard to post-investment pass-through disclosures, it is </w:t>
      </w:r>
      <w:r w:rsidR="000A5919" w:rsidRPr="009D7FA2">
        <w:t>assumed that this information would primarily be sent to those participants holding company securities.  This results in approximately</w:t>
      </w:r>
      <w:r w:rsidRPr="009D7FA2">
        <w:t xml:space="preserve"> 1</w:t>
      </w:r>
      <w:r w:rsidR="0015126F" w:rsidRPr="009D7FA2">
        <w:t>4.4</w:t>
      </w:r>
      <w:r w:rsidRPr="009D7FA2">
        <w:t xml:space="preserve"> million</w:t>
      </w:r>
      <w:r w:rsidR="000A5919" w:rsidRPr="009D7FA2">
        <w:t xml:space="preserve"> participants receiving disclosures each year.  One disclosure is assumed to be, on average, ten pages long, with mailing costs of $0.</w:t>
      </w:r>
      <w:r w:rsidR="0015126F" w:rsidRPr="009D7FA2">
        <w:t>71</w:t>
      </w:r>
      <w:r w:rsidR="000A5919" w:rsidRPr="009D7FA2">
        <w:t xml:space="preserve"> per disclosure.  </w:t>
      </w:r>
      <w:r w:rsidRPr="009D7FA2">
        <w:t>T</w:t>
      </w:r>
      <w:r w:rsidR="000A5919" w:rsidRPr="009D7FA2">
        <w:t>his results in an annual cost burden of $1</w:t>
      </w:r>
      <w:r w:rsidRPr="009D7FA2">
        <w:t>0.8 million</w:t>
      </w:r>
      <w:r w:rsidR="000A5919" w:rsidRPr="009D7FA2">
        <w:t>.</w:t>
      </w:r>
      <w:bookmarkStart w:id="5" w:name="OLE_LINK3"/>
    </w:p>
    <w:bookmarkEnd w:id="5"/>
    <w:p w:rsidR="000A5919" w:rsidRPr="009D7FA2" w:rsidRDefault="000A5919" w:rsidP="00E44B39">
      <w:pPr>
        <w:ind w:left="720"/>
      </w:pPr>
    </w:p>
    <w:p w:rsidR="000A5919" w:rsidRPr="009D7FA2" w:rsidRDefault="00F72B8E" w:rsidP="00E44B39">
      <w:pPr>
        <w:ind w:left="720"/>
      </w:pPr>
      <w:r w:rsidRPr="009D7FA2">
        <w:t>Finally, each plan is expected to receive one information request per year.  Information requests are assumed to be 20 pages in length and come with mailing costs of $0.</w:t>
      </w:r>
      <w:r w:rsidR="00A54179" w:rsidRPr="009D7FA2">
        <w:t>93</w:t>
      </w:r>
      <w:r w:rsidRPr="009D7FA2">
        <w:t xml:space="preserve"> per disclosure.  Of these information requests, 38 percent are assumed to be distributed electronically at de </w:t>
      </w:r>
      <w:proofErr w:type="spellStart"/>
      <w:r w:rsidRPr="009D7FA2">
        <w:t>minimis</w:t>
      </w:r>
      <w:proofErr w:type="spellEnd"/>
      <w:r w:rsidRPr="009D7FA2">
        <w:t xml:space="preserve"> cost, while the remaining 3</w:t>
      </w:r>
      <w:r w:rsidR="00A54179" w:rsidRPr="009D7FA2">
        <w:t>21</w:t>
      </w:r>
      <w:r w:rsidRPr="009D7FA2">
        <w:t>,000 requests will result in a printing and mailing cost of $</w:t>
      </w:r>
      <w:r w:rsidR="00A54179" w:rsidRPr="009D7FA2">
        <w:t>620</w:t>
      </w:r>
      <w:r w:rsidRPr="009D7FA2">
        <w:t>,000.</w:t>
      </w:r>
      <w:r w:rsidRPr="009D7FA2" w:rsidDel="00F72B8E">
        <w:t xml:space="preserve"> </w:t>
      </w:r>
    </w:p>
    <w:p w:rsidR="007253BC" w:rsidRPr="009D7FA2" w:rsidRDefault="007253BC" w:rsidP="00E44B39">
      <w:pPr>
        <w:ind w:left="720"/>
        <w:rPr>
          <w:b/>
        </w:rPr>
      </w:pPr>
    </w:p>
    <w:p w:rsidR="000A5919" w:rsidRPr="00211D07" w:rsidRDefault="000A5919" w:rsidP="00E44B39">
      <w:pPr>
        <w:ind w:left="720"/>
        <w:rPr>
          <w:u w:val="single"/>
        </w:rPr>
      </w:pPr>
      <w:r w:rsidRPr="00211D07">
        <w:rPr>
          <w:u w:val="single"/>
        </w:rPr>
        <w:t>Summary</w:t>
      </w:r>
    </w:p>
    <w:p w:rsidR="000A5919" w:rsidRPr="009D7FA2" w:rsidRDefault="000A5919" w:rsidP="00E44B39">
      <w:pPr>
        <w:tabs>
          <w:tab w:val="left" w:pos="720"/>
        </w:tabs>
        <w:ind w:left="720"/>
      </w:pPr>
      <w:r w:rsidRPr="009D7FA2">
        <w:t>It is estimated that the total cost burden of th</w:t>
      </w:r>
      <w:r w:rsidR="00F72B8E" w:rsidRPr="009D7FA2">
        <w:t>ese information collections are $2</w:t>
      </w:r>
      <w:r w:rsidR="00903796" w:rsidRPr="009D7FA2">
        <w:t>74.0</w:t>
      </w:r>
      <w:r w:rsidR="00F72B8E" w:rsidRPr="009D7FA2">
        <w:t xml:space="preserve"> million.  </w:t>
      </w:r>
    </w:p>
    <w:p w:rsidR="00FC1FB9" w:rsidRPr="009D7FA2" w:rsidRDefault="00FC1FB9" w:rsidP="00E44B39">
      <w:pPr>
        <w:tabs>
          <w:tab w:val="left" w:pos="720"/>
        </w:tabs>
        <w:ind w:left="720"/>
      </w:pPr>
    </w:p>
    <w:p w:rsidR="00FC1FB9" w:rsidRPr="009D7FA2" w:rsidRDefault="00FC1FB9" w:rsidP="00E44B39">
      <w:pPr>
        <w:ind w:left="720"/>
        <w:rPr>
          <w:b/>
        </w:rPr>
      </w:pPr>
      <w:r w:rsidRPr="009D7FA2">
        <w:rPr>
          <w:b/>
        </w:rPr>
        <w:lastRenderedPageBreak/>
        <w:t xml:space="preserve">2014 </w:t>
      </w:r>
      <w:r w:rsidR="008D595D" w:rsidRPr="009D7FA2">
        <w:rPr>
          <w:b/>
        </w:rPr>
        <w:t>Direct Final Rule</w:t>
      </w:r>
    </w:p>
    <w:p w:rsidR="00FC1FB9" w:rsidRPr="009D7FA2" w:rsidRDefault="00FC1FB9" w:rsidP="00E44B39">
      <w:pPr>
        <w:ind w:left="720"/>
      </w:pPr>
    </w:p>
    <w:p w:rsidR="00FC1FB9" w:rsidRPr="009D7FA2" w:rsidRDefault="00FC1FB9" w:rsidP="00E44B39">
      <w:pPr>
        <w:ind w:left="720"/>
      </w:pPr>
      <w:r w:rsidRPr="009D7FA2">
        <w:t xml:space="preserve">As discussed under item 1 above, the current regulatory language states that the term </w:t>
      </w:r>
      <w:r w:rsidRPr="009D7FA2">
        <w:rPr>
          <w:i/>
        </w:rPr>
        <w:t>at least annually thereafter</w:t>
      </w:r>
      <w:r w:rsidRPr="009D7FA2">
        <w:t xml:space="preserve"> “means at least once in any 12-month period, without regard to whether the plan operates on a calendar or fiscal year basis.”  The direct </w:t>
      </w:r>
      <w:r w:rsidR="00596B5B" w:rsidRPr="009D7FA2">
        <w:t>final rule</w:t>
      </w:r>
      <w:r w:rsidRPr="009D7FA2">
        <w:t xml:space="preserve"> replaces “12-month period” with “14-month period.”  Thus, the definition, as amended by this rulemaking, states that the term </w:t>
      </w:r>
      <w:r w:rsidRPr="009D7FA2">
        <w:rPr>
          <w:i/>
        </w:rPr>
        <w:t>at least annually thereafter</w:t>
      </w:r>
      <w:r w:rsidRPr="009D7FA2">
        <w:t xml:space="preserve"> “means at least once in any 14-month period, without regard to whether the plan operates on a calendar year or fiscal year basis.”  The Department does not expect this amendment to have an impact on the cost burden associated with the ICR, because it solely determines when the disclosures are distributed but does not affect the content of the disclosures.</w:t>
      </w:r>
    </w:p>
    <w:p w:rsidR="000A5919" w:rsidRDefault="000A5919" w:rsidP="00E44B39">
      <w:pPr>
        <w:autoSpaceDE w:val="0"/>
        <w:autoSpaceDN w:val="0"/>
        <w:ind w:left="720"/>
      </w:pPr>
    </w:p>
    <w:p w:rsidR="00E71F9D" w:rsidRPr="00E71F9D" w:rsidRDefault="00E71F9D" w:rsidP="00E71F9D">
      <w:pPr>
        <w:autoSpaceDE w:val="0"/>
        <w:autoSpaceDN w:val="0"/>
        <w:ind w:left="720"/>
        <w:rPr>
          <w:b/>
        </w:rPr>
      </w:pPr>
      <w:r w:rsidRPr="00E71F9D">
        <w:rPr>
          <w:b/>
        </w:rPr>
        <w:t>Cost Burden Summary Table</w:t>
      </w:r>
    </w:p>
    <w:tbl>
      <w:tblPr>
        <w:tblStyle w:val="TableGrid"/>
        <w:tblW w:w="0" w:type="auto"/>
        <w:tblInd w:w="720" w:type="dxa"/>
        <w:tblLook w:val="04A0" w:firstRow="1" w:lastRow="0" w:firstColumn="1" w:lastColumn="0" w:noHBand="0" w:noVBand="1"/>
      </w:tblPr>
      <w:tblGrid>
        <w:gridCol w:w="3888"/>
        <w:gridCol w:w="1170"/>
        <w:gridCol w:w="1440"/>
        <w:gridCol w:w="1530"/>
      </w:tblGrid>
      <w:tr w:rsidR="00E71F9D" w:rsidRPr="00E71F9D" w:rsidTr="00E71F9D">
        <w:tc>
          <w:tcPr>
            <w:tcW w:w="3888" w:type="dxa"/>
          </w:tcPr>
          <w:p w:rsidR="00E71F9D" w:rsidRPr="00E71F9D" w:rsidRDefault="00E71F9D" w:rsidP="00C30A40">
            <w:pPr>
              <w:autoSpaceDE w:val="0"/>
              <w:autoSpaceDN w:val="0"/>
              <w:rPr>
                <w:sz w:val="18"/>
                <w:szCs w:val="18"/>
              </w:rPr>
            </w:pPr>
            <w:r w:rsidRPr="00E71F9D">
              <w:rPr>
                <w:sz w:val="18"/>
                <w:szCs w:val="18"/>
              </w:rPr>
              <w:t>Activity</w:t>
            </w:r>
          </w:p>
        </w:tc>
        <w:tc>
          <w:tcPr>
            <w:tcW w:w="1170" w:type="dxa"/>
          </w:tcPr>
          <w:p w:rsidR="00E71F9D" w:rsidRPr="00E71F9D" w:rsidRDefault="00E71F9D" w:rsidP="00E71F9D">
            <w:pPr>
              <w:autoSpaceDE w:val="0"/>
              <w:autoSpaceDN w:val="0"/>
              <w:rPr>
                <w:sz w:val="18"/>
                <w:szCs w:val="18"/>
              </w:rPr>
            </w:pPr>
            <w:r>
              <w:rPr>
                <w:sz w:val="18"/>
                <w:szCs w:val="18"/>
              </w:rPr>
              <w:t>Number of Responses</w:t>
            </w:r>
          </w:p>
        </w:tc>
        <w:tc>
          <w:tcPr>
            <w:tcW w:w="1440" w:type="dxa"/>
          </w:tcPr>
          <w:p w:rsidR="00E71F9D" w:rsidRPr="00E71F9D" w:rsidRDefault="00E71F9D" w:rsidP="00C30A40">
            <w:pPr>
              <w:autoSpaceDE w:val="0"/>
              <w:autoSpaceDN w:val="0"/>
              <w:rPr>
                <w:sz w:val="18"/>
                <w:szCs w:val="18"/>
              </w:rPr>
            </w:pPr>
            <w:r>
              <w:rPr>
                <w:sz w:val="18"/>
                <w:szCs w:val="18"/>
              </w:rPr>
              <w:t>Average Cost per Response</w:t>
            </w:r>
          </w:p>
        </w:tc>
        <w:tc>
          <w:tcPr>
            <w:tcW w:w="1530" w:type="dxa"/>
          </w:tcPr>
          <w:p w:rsidR="00E71F9D" w:rsidRPr="00E71F9D" w:rsidRDefault="00E71F9D" w:rsidP="00C30A40">
            <w:pPr>
              <w:autoSpaceDE w:val="0"/>
              <w:autoSpaceDN w:val="0"/>
              <w:rPr>
                <w:sz w:val="18"/>
                <w:szCs w:val="18"/>
              </w:rPr>
            </w:pPr>
            <w:r>
              <w:rPr>
                <w:sz w:val="18"/>
                <w:szCs w:val="18"/>
              </w:rPr>
              <w:t>Total Cost</w:t>
            </w:r>
          </w:p>
        </w:tc>
      </w:tr>
      <w:tr w:rsidR="00E71F9D" w:rsidRPr="00E71F9D" w:rsidTr="00E71F9D">
        <w:tc>
          <w:tcPr>
            <w:tcW w:w="3888" w:type="dxa"/>
          </w:tcPr>
          <w:p w:rsidR="00E71F9D" w:rsidRPr="00E71F9D" w:rsidRDefault="00017F0E" w:rsidP="00C30A40">
            <w:pPr>
              <w:autoSpaceDE w:val="0"/>
              <w:autoSpaceDN w:val="0"/>
              <w:rPr>
                <w:sz w:val="18"/>
                <w:szCs w:val="18"/>
              </w:rPr>
            </w:pPr>
            <w:r>
              <w:rPr>
                <w:sz w:val="18"/>
                <w:szCs w:val="18"/>
              </w:rPr>
              <w:t>General Plan Information (Paper)</w:t>
            </w:r>
          </w:p>
        </w:tc>
        <w:tc>
          <w:tcPr>
            <w:tcW w:w="1170" w:type="dxa"/>
          </w:tcPr>
          <w:p w:rsidR="00E71F9D" w:rsidRPr="00E71F9D" w:rsidRDefault="003E264C" w:rsidP="00C30A40">
            <w:pPr>
              <w:autoSpaceDE w:val="0"/>
              <w:autoSpaceDN w:val="0"/>
              <w:rPr>
                <w:sz w:val="18"/>
                <w:szCs w:val="18"/>
              </w:rPr>
            </w:pPr>
            <w:r>
              <w:rPr>
                <w:sz w:val="18"/>
                <w:szCs w:val="18"/>
              </w:rPr>
              <w:t>43,300,000</w:t>
            </w:r>
          </w:p>
        </w:tc>
        <w:tc>
          <w:tcPr>
            <w:tcW w:w="1440" w:type="dxa"/>
          </w:tcPr>
          <w:p w:rsidR="00E71F9D" w:rsidRPr="00E71F9D" w:rsidRDefault="003E264C" w:rsidP="00C30A40">
            <w:pPr>
              <w:autoSpaceDE w:val="0"/>
              <w:autoSpaceDN w:val="0"/>
              <w:rPr>
                <w:sz w:val="18"/>
                <w:szCs w:val="18"/>
              </w:rPr>
            </w:pPr>
            <w:r>
              <w:rPr>
                <w:sz w:val="18"/>
                <w:szCs w:val="18"/>
              </w:rPr>
              <w:t>$1.43</w:t>
            </w:r>
          </w:p>
        </w:tc>
        <w:tc>
          <w:tcPr>
            <w:tcW w:w="1530" w:type="dxa"/>
          </w:tcPr>
          <w:p w:rsidR="00E71F9D" w:rsidRPr="00E71F9D" w:rsidRDefault="003E264C" w:rsidP="00C30A40">
            <w:pPr>
              <w:autoSpaceDE w:val="0"/>
              <w:autoSpaceDN w:val="0"/>
              <w:rPr>
                <w:sz w:val="18"/>
                <w:szCs w:val="18"/>
              </w:rPr>
            </w:pPr>
            <w:r>
              <w:rPr>
                <w:sz w:val="18"/>
                <w:szCs w:val="18"/>
              </w:rPr>
              <w:t>$62.0 million</w:t>
            </w:r>
          </w:p>
        </w:tc>
      </w:tr>
      <w:tr w:rsidR="001E28D1" w:rsidRPr="00E71F9D" w:rsidTr="00E71F9D">
        <w:tc>
          <w:tcPr>
            <w:tcW w:w="3888" w:type="dxa"/>
          </w:tcPr>
          <w:p w:rsidR="001E28D1" w:rsidRPr="00E71F9D" w:rsidRDefault="00017F0E" w:rsidP="00C30A40">
            <w:pPr>
              <w:autoSpaceDE w:val="0"/>
              <w:autoSpaceDN w:val="0"/>
              <w:rPr>
                <w:sz w:val="18"/>
                <w:szCs w:val="18"/>
              </w:rPr>
            </w:pPr>
            <w:r>
              <w:rPr>
                <w:sz w:val="18"/>
                <w:szCs w:val="18"/>
              </w:rPr>
              <w:t>General Plan Information (Electronic)</w:t>
            </w:r>
          </w:p>
        </w:tc>
        <w:tc>
          <w:tcPr>
            <w:tcW w:w="1170" w:type="dxa"/>
          </w:tcPr>
          <w:p w:rsidR="001E28D1" w:rsidRPr="00E71F9D" w:rsidRDefault="003E264C" w:rsidP="00C30A40">
            <w:pPr>
              <w:autoSpaceDE w:val="0"/>
              <w:autoSpaceDN w:val="0"/>
              <w:rPr>
                <w:sz w:val="18"/>
                <w:szCs w:val="18"/>
              </w:rPr>
            </w:pPr>
            <w:r>
              <w:rPr>
                <w:sz w:val="18"/>
                <w:szCs w:val="18"/>
              </w:rPr>
              <w:t>26,600,000</w:t>
            </w:r>
          </w:p>
        </w:tc>
        <w:tc>
          <w:tcPr>
            <w:tcW w:w="1440" w:type="dxa"/>
          </w:tcPr>
          <w:p w:rsidR="001E28D1" w:rsidRPr="00E71F9D" w:rsidRDefault="003E264C" w:rsidP="00C30A40">
            <w:pPr>
              <w:autoSpaceDE w:val="0"/>
              <w:autoSpaceDN w:val="0"/>
              <w:rPr>
                <w:sz w:val="18"/>
                <w:szCs w:val="18"/>
              </w:rPr>
            </w:pPr>
            <w:r>
              <w:rPr>
                <w:sz w:val="18"/>
                <w:szCs w:val="18"/>
              </w:rPr>
              <w:t>$0.00</w:t>
            </w:r>
          </w:p>
        </w:tc>
        <w:tc>
          <w:tcPr>
            <w:tcW w:w="1530" w:type="dxa"/>
          </w:tcPr>
          <w:p w:rsidR="001E28D1" w:rsidRPr="00E71F9D" w:rsidRDefault="003E264C" w:rsidP="00C30A40">
            <w:pPr>
              <w:autoSpaceDE w:val="0"/>
              <w:autoSpaceDN w:val="0"/>
              <w:rPr>
                <w:sz w:val="18"/>
                <w:szCs w:val="18"/>
              </w:rPr>
            </w:pPr>
            <w:r>
              <w:rPr>
                <w:sz w:val="18"/>
                <w:szCs w:val="18"/>
              </w:rPr>
              <w:t>$0</w:t>
            </w:r>
          </w:p>
        </w:tc>
      </w:tr>
      <w:tr w:rsidR="00A23D46" w:rsidRPr="00E71F9D" w:rsidTr="00E71F9D">
        <w:tc>
          <w:tcPr>
            <w:tcW w:w="3888" w:type="dxa"/>
          </w:tcPr>
          <w:p w:rsidR="00A23D46" w:rsidRDefault="00A23D46" w:rsidP="00C30A40">
            <w:pPr>
              <w:autoSpaceDE w:val="0"/>
              <w:autoSpaceDN w:val="0"/>
              <w:rPr>
                <w:sz w:val="18"/>
                <w:szCs w:val="18"/>
              </w:rPr>
            </w:pPr>
            <w:r>
              <w:rPr>
                <w:sz w:val="18"/>
                <w:szCs w:val="18"/>
              </w:rPr>
              <w:t>Administrative and Individual Fees (New Plans)</w:t>
            </w:r>
          </w:p>
        </w:tc>
        <w:tc>
          <w:tcPr>
            <w:tcW w:w="1170" w:type="dxa"/>
          </w:tcPr>
          <w:p w:rsidR="00A23D46" w:rsidRPr="00E71F9D" w:rsidRDefault="00060B59" w:rsidP="00C30A40">
            <w:pPr>
              <w:autoSpaceDE w:val="0"/>
              <w:autoSpaceDN w:val="0"/>
              <w:rPr>
                <w:sz w:val="18"/>
                <w:szCs w:val="18"/>
              </w:rPr>
            </w:pPr>
            <w:r>
              <w:rPr>
                <w:sz w:val="18"/>
                <w:szCs w:val="18"/>
              </w:rPr>
              <w:t>39,100,000</w:t>
            </w:r>
          </w:p>
        </w:tc>
        <w:tc>
          <w:tcPr>
            <w:tcW w:w="1440" w:type="dxa"/>
          </w:tcPr>
          <w:p w:rsidR="00A23D46" w:rsidRPr="00E71F9D" w:rsidRDefault="00060B59" w:rsidP="00C30A40">
            <w:pPr>
              <w:autoSpaceDE w:val="0"/>
              <w:autoSpaceDN w:val="0"/>
              <w:rPr>
                <w:sz w:val="18"/>
                <w:szCs w:val="18"/>
              </w:rPr>
            </w:pPr>
            <w:r>
              <w:rPr>
                <w:sz w:val="18"/>
                <w:szCs w:val="18"/>
              </w:rPr>
              <w:t>$0.46</w:t>
            </w:r>
          </w:p>
        </w:tc>
        <w:tc>
          <w:tcPr>
            <w:tcW w:w="1530" w:type="dxa"/>
          </w:tcPr>
          <w:p w:rsidR="00A23D46" w:rsidRPr="00E71F9D" w:rsidRDefault="0005146C" w:rsidP="00C30A40">
            <w:pPr>
              <w:autoSpaceDE w:val="0"/>
              <w:autoSpaceDN w:val="0"/>
              <w:rPr>
                <w:sz w:val="18"/>
                <w:szCs w:val="18"/>
              </w:rPr>
            </w:pPr>
            <w:r>
              <w:rPr>
                <w:sz w:val="18"/>
                <w:szCs w:val="18"/>
              </w:rPr>
              <w:t>$18.0 million</w:t>
            </w:r>
          </w:p>
        </w:tc>
      </w:tr>
      <w:tr w:rsidR="00A23D46" w:rsidRPr="00E71F9D" w:rsidTr="00E71F9D">
        <w:tc>
          <w:tcPr>
            <w:tcW w:w="3888" w:type="dxa"/>
          </w:tcPr>
          <w:p w:rsidR="00A23D46" w:rsidRDefault="00A23D46" w:rsidP="00C30A40">
            <w:pPr>
              <w:autoSpaceDE w:val="0"/>
              <w:autoSpaceDN w:val="0"/>
              <w:rPr>
                <w:sz w:val="18"/>
                <w:szCs w:val="18"/>
              </w:rPr>
            </w:pPr>
            <w:r>
              <w:rPr>
                <w:sz w:val="18"/>
                <w:szCs w:val="18"/>
              </w:rPr>
              <w:t>Administrative and Individual Fees (Existing Plans)</w:t>
            </w:r>
          </w:p>
        </w:tc>
        <w:tc>
          <w:tcPr>
            <w:tcW w:w="1170" w:type="dxa"/>
          </w:tcPr>
          <w:p w:rsidR="00A23D46" w:rsidRPr="00E71F9D" w:rsidRDefault="0005146C" w:rsidP="00C30A40">
            <w:pPr>
              <w:autoSpaceDE w:val="0"/>
              <w:autoSpaceDN w:val="0"/>
              <w:rPr>
                <w:sz w:val="18"/>
                <w:szCs w:val="18"/>
              </w:rPr>
            </w:pPr>
            <w:r>
              <w:rPr>
                <w:sz w:val="18"/>
                <w:szCs w:val="18"/>
              </w:rPr>
              <w:t>240,400,000</w:t>
            </w:r>
          </w:p>
        </w:tc>
        <w:tc>
          <w:tcPr>
            <w:tcW w:w="1440" w:type="dxa"/>
          </w:tcPr>
          <w:p w:rsidR="00A23D46" w:rsidRPr="00E71F9D" w:rsidRDefault="0005146C" w:rsidP="00C30A40">
            <w:pPr>
              <w:autoSpaceDE w:val="0"/>
              <w:autoSpaceDN w:val="0"/>
              <w:rPr>
                <w:sz w:val="18"/>
                <w:szCs w:val="18"/>
              </w:rPr>
            </w:pPr>
            <w:r>
              <w:rPr>
                <w:sz w:val="18"/>
                <w:szCs w:val="18"/>
              </w:rPr>
              <w:t>$0.16</w:t>
            </w:r>
          </w:p>
        </w:tc>
        <w:tc>
          <w:tcPr>
            <w:tcW w:w="1530" w:type="dxa"/>
          </w:tcPr>
          <w:p w:rsidR="00A23D46" w:rsidRPr="00E71F9D" w:rsidRDefault="0005146C" w:rsidP="00C30A40">
            <w:pPr>
              <w:autoSpaceDE w:val="0"/>
              <w:autoSpaceDN w:val="0"/>
              <w:rPr>
                <w:sz w:val="18"/>
                <w:szCs w:val="18"/>
              </w:rPr>
            </w:pPr>
            <w:r>
              <w:rPr>
                <w:sz w:val="18"/>
                <w:szCs w:val="18"/>
              </w:rPr>
              <w:t>$38.7 million</w:t>
            </w:r>
          </w:p>
        </w:tc>
      </w:tr>
      <w:tr w:rsidR="00E71F9D" w:rsidRPr="00E71F9D" w:rsidTr="00E71F9D">
        <w:tc>
          <w:tcPr>
            <w:tcW w:w="3888" w:type="dxa"/>
          </w:tcPr>
          <w:p w:rsidR="00E71F9D" w:rsidRPr="00E71F9D" w:rsidRDefault="00017F0E" w:rsidP="00C30A40">
            <w:pPr>
              <w:autoSpaceDE w:val="0"/>
              <w:autoSpaceDN w:val="0"/>
              <w:rPr>
                <w:sz w:val="18"/>
                <w:szCs w:val="18"/>
              </w:rPr>
            </w:pPr>
            <w:r>
              <w:rPr>
                <w:sz w:val="18"/>
                <w:szCs w:val="18"/>
              </w:rPr>
              <w:t>Comparative Chart (Paper)</w:t>
            </w:r>
          </w:p>
        </w:tc>
        <w:tc>
          <w:tcPr>
            <w:tcW w:w="1170" w:type="dxa"/>
          </w:tcPr>
          <w:p w:rsidR="00E71F9D" w:rsidRPr="00E71F9D" w:rsidRDefault="0005146C" w:rsidP="00C30A40">
            <w:pPr>
              <w:autoSpaceDE w:val="0"/>
              <w:autoSpaceDN w:val="0"/>
              <w:rPr>
                <w:sz w:val="18"/>
                <w:szCs w:val="18"/>
              </w:rPr>
            </w:pPr>
            <w:r>
              <w:rPr>
                <w:sz w:val="18"/>
                <w:szCs w:val="18"/>
              </w:rPr>
              <w:t>43,300,000</w:t>
            </w:r>
          </w:p>
        </w:tc>
        <w:tc>
          <w:tcPr>
            <w:tcW w:w="1440" w:type="dxa"/>
          </w:tcPr>
          <w:p w:rsidR="00E71F9D" w:rsidRPr="00E71F9D" w:rsidRDefault="0005146C" w:rsidP="00C30A40">
            <w:pPr>
              <w:autoSpaceDE w:val="0"/>
              <w:autoSpaceDN w:val="0"/>
              <w:rPr>
                <w:sz w:val="18"/>
                <w:szCs w:val="18"/>
              </w:rPr>
            </w:pPr>
            <w:r>
              <w:rPr>
                <w:sz w:val="18"/>
                <w:szCs w:val="18"/>
              </w:rPr>
              <w:t>$0.15</w:t>
            </w:r>
          </w:p>
        </w:tc>
        <w:tc>
          <w:tcPr>
            <w:tcW w:w="1530" w:type="dxa"/>
          </w:tcPr>
          <w:p w:rsidR="00E71F9D" w:rsidRPr="00E71F9D" w:rsidRDefault="0005146C" w:rsidP="00C30A40">
            <w:pPr>
              <w:autoSpaceDE w:val="0"/>
              <w:autoSpaceDN w:val="0"/>
              <w:rPr>
                <w:sz w:val="18"/>
                <w:szCs w:val="18"/>
              </w:rPr>
            </w:pPr>
            <w:r>
              <w:rPr>
                <w:sz w:val="18"/>
                <w:szCs w:val="18"/>
              </w:rPr>
              <w:t>$6.5 million</w:t>
            </w:r>
          </w:p>
        </w:tc>
      </w:tr>
      <w:tr w:rsidR="00E71F9D" w:rsidRPr="00E71F9D" w:rsidTr="00E71F9D">
        <w:tc>
          <w:tcPr>
            <w:tcW w:w="3888" w:type="dxa"/>
          </w:tcPr>
          <w:p w:rsidR="00E71F9D" w:rsidRPr="00E71F9D" w:rsidRDefault="00017F0E" w:rsidP="00C30A40">
            <w:pPr>
              <w:autoSpaceDE w:val="0"/>
              <w:autoSpaceDN w:val="0"/>
              <w:rPr>
                <w:sz w:val="18"/>
                <w:szCs w:val="18"/>
              </w:rPr>
            </w:pPr>
            <w:r>
              <w:rPr>
                <w:sz w:val="18"/>
                <w:szCs w:val="18"/>
              </w:rPr>
              <w:t>Comparative Chart (Electronic)</w:t>
            </w:r>
          </w:p>
        </w:tc>
        <w:tc>
          <w:tcPr>
            <w:tcW w:w="1170" w:type="dxa"/>
          </w:tcPr>
          <w:p w:rsidR="00E71F9D" w:rsidRPr="00E71F9D" w:rsidRDefault="0005146C" w:rsidP="00C30A40">
            <w:pPr>
              <w:autoSpaceDE w:val="0"/>
              <w:autoSpaceDN w:val="0"/>
              <w:rPr>
                <w:sz w:val="18"/>
                <w:szCs w:val="18"/>
              </w:rPr>
            </w:pPr>
            <w:r>
              <w:rPr>
                <w:sz w:val="18"/>
                <w:szCs w:val="18"/>
              </w:rPr>
              <w:t>26,600,000</w:t>
            </w:r>
          </w:p>
        </w:tc>
        <w:tc>
          <w:tcPr>
            <w:tcW w:w="1440" w:type="dxa"/>
          </w:tcPr>
          <w:p w:rsidR="00E71F9D" w:rsidRPr="00E71F9D" w:rsidRDefault="0005146C" w:rsidP="00C30A40">
            <w:pPr>
              <w:autoSpaceDE w:val="0"/>
              <w:autoSpaceDN w:val="0"/>
              <w:rPr>
                <w:sz w:val="18"/>
                <w:szCs w:val="18"/>
              </w:rPr>
            </w:pPr>
            <w:r>
              <w:rPr>
                <w:sz w:val="18"/>
                <w:szCs w:val="18"/>
              </w:rPr>
              <w:t>$0.00</w:t>
            </w:r>
          </w:p>
        </w:tc>
        <w:tc>
          <w:tcPr>
            <w:tcW w:w="1530" w:type="dxa"/>
          </w:tcPr>
          <w:p w:rsidR="00E71F9D" w:rsidRPr="00E71F9D" w:rsidRDefault="0005146C" w:rsidP="00C30A40">
            <w:pPr>
              <w:autoSpaceDE w:val="0"/>
              <w:autoSpaceDN w:val="0"/>
              <w:rPr>
                <w:sz w:val="18"/>
                <w:szCs w:val="18"/>
              </w:rPr>
            </w:pPr>
            <w:r>
              <w:rPr>
                <w:sz w:val="18"/>
                <w:szCs w:val="18"/>
              </w:rPr>
              <w:t>$0</w:t>
            </w:r>
          </w:p>
        </w:tc>
      </w:tr>
      <w:tr w:rsidR="003E264C" w:rsidRPr="00E71F9D" w:rsidTr="00E71F9D">
        <w:tc>
          <w:tcPr>
            <w:tcW w:w="3888" w:type="dxa"/>
          </w:tcPr>
          <w:p w:rsidR="003E264C" w:rsidRDefault="003E264C" w:rsidP="00C30A40">
            <w:pPr>
              <w:autoSpaceDE w:val="0"/>
              <w:autoSpaceDN w:val="0"/>
              <w:rPr>
                <w:sz w:val="18"/>
                <w:szCs w:val="18"/>
              </w:rPr>
            </w:pPr>
            <w:r>
              <w:rPr>
                <w:sz w:val="18"/>
                <w:szCs w:val="18"/>
              </w:rPr>
              <w:t>Website</w:t>
            </w:r>
          </w:p>
        </w:tc>
        <w:tc>
          <w:tcPr>
            <w:tcW w:w="1170" w:type="dxa"/>
          </w:tcPr>
          <w:p w:rsidR="003E264C" w:rsidRPr="00E71F9D" w:rsidRDefault="0005146C" w:rsidP="00C30A40">
            <w:pPr>
              <w:autoSpaceDE w:val="0"/>
              <w:autoSpaceDN w:val="0"/>
              <w:rPr>
                <w:sz w:val="18"/>
                <w:szCs w:val="18"/>
              </w:rPr>
            </w:pPr>
            <w:r>
              <w:rPr>
                <w:sz w:val="18"/>
                <w:szCs w:val="18"/>
              </w:rPr>
              <w:t>518,212</w:t>
            </w:r>
          </w:p>
        </w:tc>
        <w:tc>
          <w:tcPr>
            <w:tcW w:w="1440" w:type="dxa"/>
          </w:tcPr>
          <w:p w:rsidR="003E264C" w:rsidRPr="00E71F9D" w:rsidRDefault="0005146C" w:rsidP="00C30A40">
            <w:pPr>
              <w:autoSpaceDE w:val="0"/>
              <w:autoSpaceDN w:val="0"/>
              <w:rPr>
                <w:sz w:val="18"/>
                <w:szCs w:val="18"/>
              </w:rPr>
            </w:pPr>
            <w:r>
              <w:rPr>
                <w:sz w:val="18"/>
                <w:szCs w:val="18"/>
              </w:rPr>
              <w:t>$265</w:t>
            </w:r>
          </w:p>
        </w:tc>
        <w:tc>
          <w:tcPr>
            <w:tcW w:w="1530" w:type="dxa"/>
          </w:tcPr>
          <w:p w:rsidR="003E264C" w:rsidRPr="00E71F9D" w:rsidRDefault="0005146C" w:rsidP="00C30A40">
            <w:pPr>
              <w:autoSpaceDE w:val="0"/>
              <w:autoSpaceDN w:val="0"/>
              <w:rPr>
                <w:sz w:val="18"/>
                <w:szCs w:val="18"/>
              </w:rPr>
            </w:pPr>
            <w:r>
              <w:rPr>
                <w:sz w:val="18"/>
                <w:szCs w:val="18"/>
              </w:rPr>
              <w:t>$137.3 million</w:t>
            </w:r>
          </w:p>
        </w:tc>
      </w:tr>
      <w:tr w:rsidR="001E28D1" w:rsidRPr="00E71F9D" w:rsidTr="00E71F9D">
        <w:tc>
          <w:tcPr>
            <w:tcW w:w="3888" w:type="dxa"/>
          </w:tcPr>
          <w:p w:rsidR="001E28D1" w:rsidRPr="00E71F9D" w:rsidRDefault="00017F0E" w:rsidP="00C30A40">
            <w:pPr>
              <w:autoSpaceDE w:val="0"/>
              <w:autoSpaceDN w:val="0"/>
              <w:rPr>
                <w:sz w:val="18"/>
                <w:szCs w:val="18"/>
              </w:rPr>
            </w:pPr>
            <w:r>
              <w:rPr>
                <w:sz w:val="18"/>
                <w:szCs w:val="18"/>
              </w:rPr>
              <w:t>Post-Investment Pass-Through Disclosure (Paper)</w:t>
            </w:r>
          </w:p>
        </w:tc>
        <w:tc>
          <w:tcPr>
            <w:tcW w:w="1170" w:type="dxa"/>
          </w:tcPr>
          <w:p w:rsidR="001E28D1" w:rsidRPr="00E71F9D" w:rsidRDefault="0005146C" w:rsidP="00C30A40">
            <w:pPr>
              <w:autoSpaceDE w:val="0"/>
              <w:autoSpaceDN w:val="0"/>
              <w:rPr>
                <w:sz w:val="18"/>
                <w:szCs w:val="18"/>
              </w:rPr>
            </w:pPr>
            <w:r>
              <w:rPr>
                <w:sz w:val="18"/>
                <w:szCs w:val="18"/>
              </w:rPr>
              <w:t>8,900,000</w:t>
            </w:r>
          </w:p>
        </w:tc>
        <w:tc>
          <w:tcPr>
            <w:tcW w:w="1440" w:type="dxa"/>
          </w:tcPr>
          <w:p w:rsidR="001E28D1" w:rsidRPr="00E71F9D" w:rsidRDefault="007147F9" w:rsidP="00C30A40">
            <w:pPr>
              <w:autoSpaceDE w:val="0"/>
              <w:autoSpaceDN w:val="0"/>
              <w:rPr>
                <w:sz w:val="18"/>
                <w:szCs w:val="18"/>
              </w:rPr>
            </w:pPr>
            <w:r>
              <w:rPr>
                <w:sz w:val="18"/>
                <w:szCs w:val="18"/>
              </w:rPr>
              <w:t>$1.21</w:t>
            </w:r>
          </w:p>
        </w:tc>
        <w:tc>
          <w:tcPr>
            <w:tcW w:w="1530" w:type="dxa"/>
          </w:tcPr>
          <w:p w:rsidR="001E28D1" w:rsidRPr="00E71F9D" w:rsidRDefault="007147F9" w:rsidP="00C30A40">
            <w:pPr>
              <w:autoSpaceDE w:val="0"/>
              <w:autoSpaceDN w:val="0"/>
              <w:rPr>
                <w:sz w:val="18"/>
                <w:szCs w:val="18"/>
              </w:rPr>
            </w:pPr>
            <w:r>
              <w:rPr>
                <w:sz w:val="18"/>
                <w:szCs w:val="18"/>
              </w:rPr>
              <w:t>$10.8 million</w:t>
            </w:r>
          </w:p>
        </w:tc>
      </w:tr>
      <w:tr w:rsidR="001E28D1" w:rsidRPr="00E71F9D" w:rsidTr="00E71F9D">
        <w:tc>
          <w:tcPr>
            <w:tcW w:w="3888" w:type="dxa"/>
          </w:tcPr>
          <w:p w:rsidR="001E28D1" w:rsidRPr="00E71F9D" w:rsidRDefault="00017F0E" w:rsidP="00C30A40">
            <w:pPr>
              <w:autoSpaceDE w:val="0"/>
              <w:autoSpaceDN w:val="0"/>
              <w:rPr>
                <w:sz w:val="18"/>
                <w:szCs w:val="18"/>
              </w:rPr>
            </w:pPr>
            <w:r>
              <w:rPr>
                <w:sz w:val="18"/>
                <w:szCs w:val="18"/>
              </w:rPr>
              <w:t>Post-Investment Pass-Through Disclosure (Electronic)</w:t>
            </w:r>
          </w:p>
        </w:tc>
        <w:tc>
          <w:tcPr>
            <w:tcW w:w="1170" w:type="dxa"/>
          </w:tcPr>
          <w:p w:rsidR="001E28D1" w:rsidRPr="00E71F9D" w:rsidRDefault="007147F9" w:rsidP="00C30A40">
            <w:pPr>
              <w:autoSpaceDE w:val="0"/>
              <w:autoSpaceDN w:val="0"/>
              <w:rPr>
                <w:sz w:val="18"/>
                <w:szCs w:val="18"/>
              </w:rPr>
            </w:pPr>
            <w:r>
              <w:rPr>
                <w:sz w:val="18"/>
                <w:szCs w:val="18"/>
              </w:rPr>
              <w:t>5,500,000</w:t>
            </w:r>
          </w:p>
        </w:tc>
        <w:tc>
          <w:tcPr>
            <w:tcW w:w="1440" w:type="dxa"/>
          </w:tcPr>
          <w:p w:rsidR="001E28D1" w:rsidRPr="00E71F9D" w:rsidRDefault="007147F9" w:rsidP="00C30A40">
            <w:pPr>
              <w:autoSpaceDE w:val="0"/>
              <w:autoSpaceDN w:val="0"/>
              <w:rPr>
                <w:sz w:val="18"/>
                <w:szCs w:val="18"/>
              </w:rPr>
            </w:pPr>
            <w:r>
              <w:rPr>
                <w:sz w:val="18"/>
                <w:szCs w:val="18"/>
              </w:rPr>
              <w:t>$0.00</w:t>
            </w:r>
          </w:p>
        </w:tc>
        <w:tc>
          <w:tcPr>
            <w:tcW w:w="1530" w:type="dxa"/>
          </w:tcPr>
          <w:p w:rsidR="001E28D1" w:rsidRPr="00E71F9D" w:rsidRDefault="007147F9" w:rsidP="00C30A40">
            <w:pPr>
              <w:autoSpaceDE w:val="0"/>
              <w:autoSpaceDN w:val="0"/>
              <w:rPr>
                <w:sz w:val="18"/>
                <w:szCs w:val="18"/>
              </w:rPr>
            </w:pPr>
            <w:r>
              <w:rPr>
                <w:sz w:val="18"/>
                <w:szCs w:val="18"/>
              </w:rPr>
              <w:t>$0</w:t>
            </w:r>
          </w:p>
        </w:tc>
      </w:tr>
      <w:tr w:rsidR="001E28D1" w:rsidRPr="00E71F9D" w:rsidTr="00E71F9D">
        <w:tc>
          <w:tcPr>
            <w:tcW w:w="3888" w:type="dxa"/>
          </w:tcPr>
          <w:p w:rsidR="001E28D1" w:rsidRPr="00E71F9D" w:rsidRDefault="003E264C" w:rsidP="00C30A40">
            <w:pPr>
              <w:autoSpaceDE w:val="0"/>
              <w:autoSpaceDN w:val="0"/>
              <w:rPr>
                <w:sz w:val="18"/>
                <w:szCs w:val="18"/>
              </w:rPr>
            </w:pPr>
            <w:r>
              <w:rPr>
                <w:sz w:val="18"/>
                <w:szCs w:val="18"/>
              </w:rPr>
              <w:t>Information on Request (Paper)</w:t>
            </w:r>
          </w:p>
        </w:tc>
        <w:tc>
          <w:tcPr>
            <w:tcW w:w="1170" w:type="dxa"/>
          </w:tcPr>
          <w:p w:rsidR="001E28D1" w:rsidRPr="00E71F9D" w:rsidRDefault="007147F9" w:rsidP="00C30A40">
            <w:pPr>
              <w:autoSpaceDE w:val="0"/>
              <w:autoSpaceDN w:val="0"/>
              <w:rPr>
                <w:sz w:val="18"/>
                <w:szCs w:val="18"/>
              </w:rPr>
            </w:pPr>
            <w:r>
              <w:rPr>
                <w:sz w:val="18"/>
                <w:szCs w:val="18"/>
              </w:rPr>
              <w:t>321,000</w:t>
            </w:r>
          </w:p>
        </w:tc>
        <w:tc>
          <w:tcPr>
            <w:tcW w:w="1440" w:type="dxa"/>
          </w:tcPr>
          <w:p w:rsidR="001E28D1" w:rsidRPr="00E71F9D" w:rsidRDefault="00A42609" w:rsidP="00C30A40">
            <w:pPr>
              <w:autoSpaceDE w:val="0"/>
              <w:autoSpaceDN w:val="0"/>
              <w:rPr>
                <w:sz w:val="18"/>
                <w:szCs w:val="18"/>
              </w:rPr>
            </w:pPr>
            <w:r>
              <w:rPr>
                <w:sz w:val="18"/>
                <w:szCs w:val="18"/>
              </w:rPr>
              <w:t>$1.93</w:t>
            </w:r>
          </w:p>
        </w:tc>
        <w:tc>
          <w:tcPr>
            <w:tcW w:w="1530" w:type="dxa"/>
          </w:tcPr>
          <w:p w:rsidR="001E28D1" w:rsidRPr="00E71F9D" w:rsidRDefault="00A42609" w:rsidP="00C30A40">
            <w:pPr>
              <w:autoSpaceDE w:val="0"/>
              <w:autoSpaceDN w:val="0"/>
              <w:rPr>
                <w:sz w:val="18"/>
                <w:szCs w:val="18"/>
              </w:rPr>
            </w:pPr>
            <w:r>
              <w:rPr>
                <w:sz w:val="18"/>
                <w:szCs w:val="18"/>
              </w:rPr>
              <w:t>$620,000</w:t>
            </w:r>
          </w:p>
        </w:tc>
      </w:tr>
      <w:tr w:rsidR="001E28D1" w:rsidRPr="00E71F9D" w:rsidTr="00E71F9D">
        <w:tc>
          <w:tcPr>
            <w:tcW w:w="3888" w:type="dxa"/>
          </w:tcPr>
          <w:p w:rsidR="001E28D1" w:rsidRPr="00E71F9D" w:rsidRDefault="003E264C" w:rsidP="00C30A40">
            <w:pPr>
              <w:autoSpaceDE w:val="0"/>
              <w:autoSpaceDN w:val="0"/>
              <w:rPr>
                <w:sz w:val="18"/>
                <w:szCs w:val="18"/>
              </w:rPr>
            </w:pPr>
            <w:r>
              <w:rPr>
                <w:sz w:val="18"/>
                <w:szCs w:val="18"/>
              </w:rPr>
              <w:t>Information on Request (Electronic)</w:t>
            </w:r>
          </w:p>
        </w:tc>
        <w:tc>
          <w:tcPr>
            <w:tcW w:w="1170" w:type="dxa"/>
          </w:tcPr>
          <w:p w:rsidR="001E28D1" w:rsidRPr="00E71F9D" w:rsidRDefault="00A42609" w:rsidP="00C30A40">
            <w:pPr>
              <w:autoSpaceDE w:val="0"/>
              <w:autoSpaceDN w:val="0"/>
              <w:rPr>
                <w:sz w:val="18"/>
                <w:szCs w:val="18"/>
              </w:rPr>
            </w:pPr>
            <w:r>
              <w:rPr>
                <w:sz w:val="18"/>
                <w:szCs w:val="18"/>
              </w:rPr>
              <w:t>197,000</w:t>
            </w:r>
          </w:p>
        </w:tc>
        <w:tc>
          <w:tcPr>
            <w:tcW w:w="1440" w:type="dxa"/>
          </w:tcPr>
          <w:p w:rsidR="001E28D1" w:rsidRPr="00E71F9D" w:rsidRDefault="00A42609" w:rsidP="00C30A40">
            <w:pPr>
              <w:autoSpaceDE w:val="0"/>
              <w:autoSpaceDN w:val="0"/>
              <w:rPr>
                <w:sz w:val="18"/>
                <w:szCs w:val="18"/>
              </w:rPr>
            </w:pPr>
            <w:r>
              <w:rPr>
                <w:sz w:val="18"/>
                <w:szCs w:val="18"/>
              </w:rPr>
              <w:t>$0.00</w:t>
            </w:r>
          </w:p>
        </w:tc>
        <w:tc>
          <w:tcPr>
            <w:tcW w:w="1530" w:type="dxa"/>
          </w:tcPr>
          <w:p w:rsidR="001E28D1" w:rsidRPr="00E71F9D" w:rsidRDefault="00A42609" w:rsidP="00C30A40">
            <w:pPr>
              <w:autoSpaceDE w:val="0"/>
              <w:autoSpaceDN w:val="0"/>
              <w:rPr>
                <w:sz w:val="18"/>
                <w:szCs w:val="18"/>
              </w:rPr>
            </w:pPr>
            <w:r>
              <w:rPr>
                <w:sz w:val="18"/>
                <w:szCs w:val="18"/>
              </w:rPr>
              <w:t>$0</w:t>
            </w:r>
          </w:p>
        </w:tc>
      </w:tr>
      <w:tr w:rsidR="00E71F9D" w:rsidRPr="00E71F9D" w:rsidTr="00E71F9D">
        <w:tc>
          <w:tcPr>
            <w:tcW w:w="3888" w:type="dxa"/>
          </w:tcPr>
          <w:p w:rsidR="00E71F9D" w:rsidRPr="00E71F9D" w:rsidRDefault="00E71F9D" w:rsidP="00C30A40">
            <w:pPr>
              <w:autoSpaceDE w:val="0"/>
              <w:autoSpaceDN w:val="0"/>
              <w:rPr>
                <w:b/>
                <w:i/>
                <w:sz w:val="18"/>
                <w:szCs w:val="18"/>
              </w:rPr>
            </w:pPr>
            <w:r w:rsidRPr="00E71F9D">
              <w:rPr>
                <w:b/>
                <w:i/>
                <w:sz w:val="18"/>
                <w:szCs w:val="18"/>
              </w:rPr>
              <w:t>Unduplicated Totals</w:t>
            </w:r>
          </w:p>
        </w:tc>
        <w:tc>
          <w:tcPr>
            <w:tcW w:w="1170" w:type="dxa"/>
          </w:tcPr>
          <w:p w:rsidR="00E71F9D" w:rsidRPr="00E71F9D" w:rsidRDefault="00E71F9D" w:rsidP="00C30A40">
            <w:pPr>
              <w:autoSpaceDE w:val="0"/>
              <w:autoSpaceDN w:val="0"/>
              <w:rPr>
                <w:b/>
                <w:i/>
                <w:sz w:val="18"/>
                <w:szCs w:val="18"/>
              </w:rPr>
            </w:pPr>
          </w:p>
        </w:tc>
        <w:tc>
          <w:tcPr>
            <w:tcW w:w="1440" w:type="dxa"/>
          </w:tcPr>
          <w:p w:rsidR="00E71F9D" w:rsidRPr="00E71F9D" w:rsidRDefault="00E71F9D" w:rsidP="00C30A40">
            <w:pPr>
              <w:autoSpaceDE w:val="0"/>
              <w:autoSpaceDN w:val="0"/>
              <w:rPr>
                <w:b/>
                <w:i/>
                <w:sz w:val="18"/>
                <w:szCs w:val="18"/>
              </w:rPr>
            </w:pPr>
          </w:p>
        </w:tc>
        <w:tc>
          <w:tcPr>
            <w:tcW w:w="1530" w:type="dxa"/>
          </w:tcPr>
          <w:p w:rsidR="00E71F9D" w:rsidRPr="00E71F9D" w:rsidRDefault="00A42609" w:rsidP="00C30A40">
            <w:pPr>
              <w:autoSpaceDE w:val="0"/>
              <w:autoSpaceDN w:val="0"/>
              <w:rPr>
                <w:b/>
                <w:i/>
                <w:sz w:val="18"/>
                <w:szCs w:val="18"/>
              </w:rPr>
            </w:pPr>
            <w:r>
              <w:rPr>
                <w:b/>
                <w:i/>
                <w:sz w:val="18"/>
                <w:szCs w:val="18"/>
              </w:rPr>
              <w:t>$274 million</w:t>
            </w:r>
          </w:p>
        </w:tc>
      </w:tr>
    </w:tbl>
    <w:p w:rsidR="00E71F9D" w:rsidRPr="009D7FA2" w:rsidRDefault="00E71F9D" w:rsidP="00E44B39">
      <w:pPr>
        <w:autoSpaceDE w:val="0"/>
        <w:autoSpaceDN w:val="0"/>
        <w:ind w:left="720"/>
      </w:pPr>
    </w:p>
    <w:p w:rsidR="000A5919" w:rsidRPr="009D7FA2" w:rsidRDefault="000A5919" w:rsidP="00E44B39">
      <w:pPr>
        <w:pStyle w:val="ListParagraph"/>
        <w:numPr>
          <w:ilvl w:val="0"/>
          <w:numId w:val="3"/>
        </w:numPr>
        <w:autoSpaceDE w:val="0"/>
        <w:autoSpaceDN w:val="0"/>
        <w:ind w:left="720"/>
      </w:pPr>
      <w:r w:rsidRPr="00E44B39">
        <w:rPr>
          <w:i/>
          <w:iCs/>
        </w:rPr>
        <w:t>Provide estimates of annualized cost to the Federal government.</w:t>
      </w:r>
      <w:r w:rsidR="006F6334">
        <w:rPr>
          <w:i/>
          <w:iCs/>
        </w:rPr>
        <w:t xml:space="preserve"> </w:t>
      </w:r>
      <w:r w:rsidRPr="00E44B39">
        <w:rPr>
          <w:i/>
          <w:iCs/>
        </w:rPr>
        <w:t xml:space="preserve"> Also, provide a description of the method used to estimate cost, which should include quantification of </w:t>
      </w:r>
      <w:bookmarkStart w:id="6" w:name="_GoBack"/>
      <w:bookmarkEnd w:id="6"/>
      <w:r w:rsidRPr="00E44B39">
        <w:rPr>
          <w:i/>
          <w:iCs/>
        </w:rPr>
        <w:t>hours, operational expenses (such as equipment, overhead, printing, and support staff), and any other expense that would not have been incurred without this collection of information.</w:t>
      </w:r>
      <w:r w:rsidR="006F6334">
        <w:rPr>
          <w:i/>
          <w:iCs/>
        </w:rPr>
        <w:t xml:space="preserve"> </w:t>
      </w:r>
      <w:r w:rsidRPr="00E44B39">
        <w:rPr>
          <w:i/>
          <w:iCs/>
        </w:rPr>
        <w:t xml:space="preserve"> Agencies also may aggregate cost estimates from Items 12, 13, and 14 in a single table.</w:t>
      </w:r>
    </w:p>
    <w:p w:rsidR="000A5919" w:rsidRPr="009D7FA2" w:rsidRDefault="000A5919" w:rsidP="00E44B39">
      <w:pPr>
        <w:autoSpaceDE w:val="0"/>
        <w:autoSpaceDN w:val="0"/>
        <w:ind w:left="720"/>
      </w:pPr>
    </w:p>
    <w:p w:rsidR="000A5919" w:rsidRPr="009D7FA2" w:rsidRDefault="000A5919" w:rsidP="00E44B39">
      <w:pPr>
        <w:autoSpaceDE w:val="0"/>
        <w:autoSpaceDN w:val="0"/>
        <w:ind w:left="720"/>
      </w:pPr>
      <w:r w:rsidRPr="009D7FA2">
        <w:t>There is no cost to the Federal Government associated with this information collection.</w:t>
      </w:r>
    </w:p>
    <w:p w:rsidR="000A5919" w:rsidRPr="009D7FA2" w:rsidRDefault="000A5919" w:rsidP="00E44B39">
      <w:pPr>
        <w:autoSpaceDE w:val="0"/>
        <w:autoSpaceDN w:val="0"/>
        <w:ind w:left="720"/>
      </w:pPr>
    </w:p>
    <w:p w:rsidR="000A5919" w:rsidRPr="00E44B39" w:rsidRDefault="000A5919" w:rsidP="00E44B39">
      <w:pPr>
        <w:pStyle w:val="ListParagraph"/>
        <w:numPr>
          <w:ilvl w:val="0"/>
          <w:numId w:val="3"/>
        </w:numPr>
        <w:autoSpaceDE w:val="0"/>
        <w:autoSpaceDN w:val="0"/>
        <w:ind w:left="720"/>
        <w:rPr>
          <w:i/>
          <w:iCs/>
        </w:rPr>
      </w:pPr>
      <w:r w:rsidRPr="00E44B39">
        <w:rPr>
          <w:i/>
          <w:iCs/>
        </w:rPr>
        <w:t>Explain the reasons for any program changes or adjustments reported in Items 13 or 14.</w:t>
      </w:r>
    </w:p>
    <w:p w:rsidR="000A5919" w:rsidRPr="009D7FA2" w:rsidRDefault="000A5919" w:rsidP="00E44B39">
      <w:pPr>
        <w:autoSpaceDE w:val="0"/>
        <w:autoSpaceDN w:val="0"/>
        <w:ind w:left="720"/>
      </w:pPr>
    </w:p>
    <w:p w:rsidR="000A5919" w:rsidRPr="009D7FA2" w:rsidRDefault="00903796" w:rsidP="00211D07">
      <w:pPr>
        <w:ind w:left="720"/>
      </w:pPr>
      <w:r w:rsidRPr="009D7FA2">
        <w:t>This submission reflects updates in the number of plans affected, wage rates, and postage rates</w:t>
      </w:r>
      <w:r w:rsidR="00951B3C">
        <w:t>.  All of these inputs increased, which created</w:t>
      </w:r>
      <w:r w:rsidR="000E52B0">
        <w:t xml:space="preserve"> </w:t>
      </w:r>
      <w:r w:rsidR="00951B3C">
        <w:t>increased burden estimates</w:t>
      </w:r>
      <w:r w:rsidRPr="009D7FA2">
        <w:t>.</w:t>
      </w:r>
    </w:p>
    <w:p w:rsidR="000A5919" w:rsidRPr="009D7FA2" w:rsidRDefault="000A5919" w:rsidP="00E44B39">
      <w:pPr>
        <w:autoSpaceDE w:val="0"/>
        <w:autoSpaceDN w:val="0"/>
        <w:ind w:left="720"/>
      </w:pPr>
    </w:p>
    <w:p w:rsidR="000A5919" w:rsidRPr="00E44B39" w:rsidRDefault="000A5919" w:rsidP="00E44B39">
      <w:pPr>
        <w:pStyle w:val="ListParagraph"/>
        <w:numPr>
          <w:ilvl w:val="0"/>
          <w:numId w:val="3"/>
        </w:numPr>
        <w:autoSpaceDE w:val="0"/>
        <w:autoSpaceDN w:val="0"/>
        <w:ind w:left="720"/>
        <w:rPr>
          <w:i/>
          <w:iCs/>
        </w:rPr>
      </w:pPr>
      <w:r w:rsidRPr="00E44B39">
        <w:rPr>
          <w:i/>
          <w:iCs/>
        </w:rPr>
        <w:t>For collections of information whose results will be published, outline plans for tabulation, and publication.</w:t>
      </w:r>
      <w:r w:rsidR="006F6334">
        <w:rPr>
          <w:i/>
          <w:iCs/>
        </w:rPr>
        <w:t xml:space="preserve"> </w:t>
      </w:r>
      <w:r w:rsidRPr="00E44B39">
        <w:rPr>
          <w:i/>
          <w:iCs/>
        </w:rPr>
        <w:t xml:space="preserve"> Address any complex analytical techniques that will be used.</w:t>
      </w:r>
      <w:r w:rsidR="006F6334">
        <w:rPr>
          <w:i/>
          <w:iCs/>
        </w:rPr>
        <w:t xml:space="preserve"> </w:t>
      </w:r>
      <w:r w:rsidRPr="00E44B39">
        <w:rPr>
          <w:i/>
          <w:iCs/>
        </w:rPr>
        <w:t xml:space="preserve"> Provide the time schedule for the entire project, including beginning and ending dates of the collection of information, completion of report, publication dates, and other actions.</w:t>
      </w:r>
    </w:p>
    <w:p w:rsidR="000A5919" w:rsidRPr="009D7FA2" w:rsidRDefault="000A5919" w:rsidP="00E44B39">
      <w:pPr>
        <w:autoSpaceDE w:val="0"/>
        <w:autoSpaceDN w:val="0"/>
        <w:ind w:left="720"/>
      </w:pPr>
    </w:p>
    <w:p w:rsidR="000A5919" w:rsidRPr="009D7FA2" w:rsidRDefault="000A5919" w:rsidP="00E44B39">
      <w:pPr>
        <w:autoSpaceDE w:val="0"/>
        <w:autoSpaceDN w:val="0"/>
        <w:ind w:left="720"/>
      </w:pPr>
      <w:r w:rsidRPr="009D7FA2">
        <w:t xml:space="preserve">Not applicable. </w:t>
      </w:r>
    </w:p>
    <w:p w:rsidR="000A5919" w:rsidRPr="009D7FA2" w:rsidRDefault="000A5919" w:rsidP="00E44B39">
      <w:pPr>
        <w:autoSpaceDE w:val="0"/>
        <w:autoSpaceDN w:val="0"/>
        <w:ind w:left="720"/>
      </w:pPr>
    </w:p>
    <w:p w:rsidR="000A5919" w:rsidRPr="009D7FA2" w:rsidRDefault="000A5919" w:rsidP="002A0374">
      <w:pPr>
        <w:pStyle w:val="ListParagraph"/>
        <w:numPr>
          <w:ilvl w:val="0"/>
          <w:numId w:val="3"/>
        </w:numPr>
        <w:autoSpaceDE w:val="0"/>
        <w:autoSpaceDN w:val="0"/>
        <w:ind w:left="720"/>
      </w:pPr>
      <w:r w:rsidRPr="002A0374">
        <w:rPr>
          <w:i/>
          <w:iCs/>
        </w:rPr>
        <w:lastRenderedPageBreak/>
        <w:t>If seeking approval to not display the expiration date for OMB approval of the information collection, explain the reasons that display would be inappropriate.</w:t>
      </w:r>
    </w:p>
    <w:p w:rsidR="000A5919" w:rsidRPr="009D7FA2" w:rsidRDefault="000A5919" w:rsidP="002A0374">
      <w:pPr>
        <w:autoSpaceDE w:val="0"/>
        <w:autoSpaceDN w:val="0"/>
        <w:ind w:left="720"/>
      </w:pPr>
    </w:p>
    <w:p w:rsidR="000A5919" w:rsidRPr="009D7FA2" w:rsidRDefault="000A5919" w:rsidP="002A0374">
      <w:pPr>
        <w:autoSpaceDE w:val="0"/>
        <w:autoSpaceDN w:val="0"/>
        <w:ind w:left="720"/>
      </w:pPr>
      <w:r w:rsidRPr="009D7FA2">
        <w:t>Not applicable.</w:t>
      </w:r>
    </w:p>
    <w:p w:rsidR="000A5919" w:rsidRPr="009D7FA2" w:rsidRDefault="000A5919" w:rsidP="002A0374">
      <w:pPr>
        <w:autoSpaceDE w:val="0"/>
        <w:autoSpaceDN w:val="0"/>
        <w:ind w:left="720"/>
      </w:pPr>
    </w:p>
    <w:p w:rsidR="000A5919" w:rsidRPr="002A0374" w:rsidRDefault="000A5919" w:rsidP="002A0374">
      <w:pPr>
        <w:pStyle w:val="ListParagraph"/>
        <w:numPr>
          <w:ilvl w:val="0"/>
          <w:numId w:val="3"/>
        </w:numPr>
        <w:autoSpaceDE w:val="0"/>
        <w:autoSpaceDN w:val="0"/>
        <w:ind w:left="720"/>
        <w:rPr>
          <w:i/>
          <w:iCs/>
        </w:rPr>
      </w:pPr>
      <w:r w:rsidRPr="002A0374">
        <w:rPr>
          <w:i/>
          <w:iCs/>
        </w:rPr>
        <w:t>Explain each exception to the certification statement identified in "Certification for Paperwork Reduction Act Submission</w:t>
      </w:r>
      <w:r w:rsidR="00BD3531" w:rsidRPr="002A0374">
        <w:rPr>
          <w:i/>
          <w:iCs/>
        </w:rPr>
        <w:t>.”</w:t>
      </w:r>
      <w:r w:rsidRPr="002A0374">
        <w:rPr>
          <w:i/>
          <w:iCs/>
        </w:rPr>
        <w:t>.</w:t>
      </w:r>
    </w:p>
    <w:p w:rsidR="000A5919" w:rsidRPr="009D7FA2" w:rsidRDefault="000A5919" w:rsidP="002A0374">
      <w:pPr>
        <w:autoSpaceDE w:val="0"/>
        <w:autoSpaceDN w:val="0"/>
        <w:ind w:left="720"/>
      </w:pPr>
    </w:p>
    <w:p w:rsidR="000A5919" w:rsidRPr="009D7FA2" w:rsidRDefault="000A5919" w:rsidP="002A0374">
      <w:pPr>
        <w:autoSpaceDE w:val="0"/>
        <w:autoSpaceDN w:val="0"/>
        <w:ind w:left="720"/>
      </w:pPr>
      <w:r w:rsidRPr="009D7FA2">
        <w:t>Not applicable; no exceptions to the certification statement.</w:t>
      </w:r>
    </w:p>
    <w:sectPr w:rsidR="000A5919" w:rsidRPr="009D7FA2" w:rsidSect="00695EC5">
      <w:headerReference w:type="default" r:id="rId9"/>
      <w:footerReference w:type="even" r:id="rId10"/>
      <w:footerReference w:type="default" r:id="rId11"/>
      <w:headerReference w:type="first" r:id="rId12"/>
      <w:pgSz w:w="12240" w:h="15840"/>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2D3" w:rsidRDefault="004F62D3">
      <w:r>
        <w:separator/>
      </w:r>
    </w:p>
  </w:endnote>
  <w:endnote w:type="continuationSeparator" w:id="0">
    <w:p w:rsidR="004F62D3" w:rsidRDefault="004F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5F" w:rsidRDefault="00A0695F" w:rsidP="003D6F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695F" w:rsidRDefault="00A069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5F" w:rsidRDefault="00A0695F" w:rsidP="00BC0E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2DB2">
      <w:rPr>
        <w:rStyle w:val="PageNumber"/>
        <w:noProof/>
      </w:rPr>
      <w:t>16</w:t>
    </w:r>
    <w:r>
      <w:rPr>
        <w:rStyle w:val="PageNumber"/>
      </w:rPr>
      <w:fldChar w:fldCharType="end"/>
    </w:r>
  </w:p>
  <w:p w:rsidR="00A0695F" w:rsidRDefault="00A0695F" w:rsidP="00696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2D3" w:rsidRDefault="004F62D3">
      <w:r>
        <w:separator/>
      </w:r>
    </w:p>
  </w:footnote>
  <w:footnote w:type="continuationSeparator" w:id="0">
    <w:p w:rsidR="004F62D3" w:rsidRDefault="004F62D3">
      <w:r>
        <w:continuationSeparator/>
      </w:r>
    </w:p>
  </w:footnote>
  <w:footnote w:id="1">
    <w:p w:rsidR="00A0695F" w:rsidRDefault="00A0695F">
      <w:pPr>
        <w:pStyle w:val="FootnoteText"/>
      </w:pPr>
      <w:r>
        <w:rPr>
          <w:rStyle w:val="FootnoteReference"/>
        </w:rPr>
        <w:footnoteRef/>
      </w:r>
      <w:r>
        <w:t xml:space="preserve"> </w:t>
      </w:r>
      <w:r w:rsidRPr="002C46DF">
        <w:t xml:space="preserve">Under ERISA §404(c) fiduciaries of pension plans that allow participants to exercise control of their individual accounts are not responsible for losses resulting from a participant's exercise of such control.  In 1992, DOL issued a regulation describing requirements that plans must meet in order for this section to apply.  Among other things, this regulation details the disclosures that §404(c) plans must make to participants in order to afford them a reasonable opportunity to control their accounts.  However, the fiduciary relief provided by §404(c) is elective and </w:t>
      </w:r>
      <w:r>
        <w:t xml:space="preserve">about 40% of </w:t>
      </w:r>
      <w:r w:rsidRPr="002C46DF">
        <w:t>participant directed plans chose not to comply with §404(c).</w:t>
      </w:r>
    </w:p>
  </w:footnote>
  <w:footnote w:id="2">
    <w:p w:rsidR="007E48CC" w:rsidRDefault="007E48CC">
      <w:pPr>
        <w:pStyle w:val="FootnoteText"/>
      </w:pPr>
      <w:r>
        <w:rPr>
          <w:rStyle w:val="FootnoteReference"/>
        </w:rPr>
        <w:footnoteRef/>
      </w:r>
      <w:r>
        <w:t xml:space="preserve"> </w:t>
      </w:r>
      <w:proofErr w:type="gramStart"/>
      <w:r>
        <w:t>29 CFR 2550.404a-5.</w:t>
      </w:r>
      <w:proofErr w:type="gramEnd"/>
    </w:p>
  </w:footnote>
  <w:footnote w:id="3">
    <w:p w:rsidR="00A0695F" w:rsidRDefault="00A0695F">
      <w:pPr>
        <w:pStyle w:val="FootnoteText"/>
      </w:pPr>
      <w:r>
        <w:rPr>
          <w:rStyle w:val="FootnoteReference"/>
        </w:rPr>
        <w:footnoteRef/>
      </w:r>
      <w:r>
        <w:t xml:space="preserve"> The requirement to disclose the information on or before the date of plan eligibility may be satisfied by furnishing the most recent annual disclosure (and any material modifications) furnished to participants and beneficiaries.</w:t>
      </w:r>
    </w:p>
  </w:footnote>
  <w:footnote w:id="4">
    <w:p w:rsidR="00A0695F" w:rsidRDefault="00A0695F" w:rsidP="006B106C">
      <w:pPr>
        <w:pStyle w:val="FootnoteText"/>
      </w:pPr>
      <w:r>
        <w:rPr>
          <w:rStyle w:val="FootnoteReference"/>
        </w:rPr>
        <w:footnoteRef/>
      </w:r>
      <w:r>
        <w:t xml:space="preserve"> FAB 2012-02R supersedes FAB 2012-02 issued on May 7, 2012.  Changes in the </w:t>
      </w:r>
      <w:r w:rsidRPr="00E40254">
        <w:t>superseding bulletin did not affect Question 35.</w:t>
      </w:r>
    </w:p>
  </w:footnote>
  <w:footnote w:id="5">
    <w:p w:rsidR="00A0695F" w:rsidRDefault="00A0695F" w:rsidP="007A2ED4">
      <w:r>
        <w:rPr>
          <w:rStyle w:val="FootnoteReference"/>
        </w:rPr>
        <w:footnoteRef/>
      </w:r>
      <w:r>
        <w:t xml:space="preserve"> </w:t>
      </w:r>
      <w:r w:rsidRPr="000F18C0">
        <w:rPr>
          <w:sz w:val="20"/>
          <w:szCs w:val="20"/>
        </w:rPr>
        <w:t xml:space="preserve">FAB 2013-02 </w:t>
      </w:r>
      <w:r>
        <w:rPr>
          <w:sz w:val="20"/>
          <w:szCs w:val="20"/>
        </w:rPr>
        <w:t xml:space="preserve">also </w:t>
      </w:r>
      <w:r w:rsidRPr="000F18C0">
        <w:rPr>
          <w:sz w:val="20"/>
          <w:szCs w:val="20"/>
        </w:rPr>
        <w:t>provided a one-time “re-set” opportunity under which</w:t>
      </w:r>
      <w:r>
        <w:rPr>
          <w:sz w:val="20"/>
          <w:szCs w:val="20"/>
        </w:rPr>
        <w:t xml:space="preserve"> </w:t>
      </w:r>
      <w:r w:rsidRPr="000F18C0">
        <w:rPr>
          <w:sz w:val="20"/>
          <w:szCs w:val="20"/>
        </w:rPr>
        <w:t xml:space="preserve">EBSA, as </w:t>
      </w:r>
      <w:r>
        <w:rPr>
          <w:sz w:val="20"/>
          <w:szCs w:val="20"/>
        </w:rPr>
        <w:t xml:space="preserve">an </w:t>
      </w:r>
      <w:r w:rsidRPr="000F18C0">
        <w:rPr>
          <w:sz w:val="20"/>
          <w:szCs w:val="20"/>
        </w:rPr>
        <w:t xml:space="preserve">enforcement matter, would treat a plan administrator as satisfying the “at least annually thereafter” requirement of the regulation if the administrator furnished certain annual disclosures no later than 18 months from the prior annual disclosures.  This </w:t>
      </w:r>
      <w:r>
        <w:rPr>
          <w:sz w:val="20"/>
          <w:szCs w:val="20"/>
        </w:rPr>
        <w:t xml:space="preserve">temporary </w:t>
      </w:r>
      <w:r w:rsidRPr="000F18C0">
        <w:rPr>
          <w:sz w:val="20"/>
          <w:szCs w:val="20"/>
        </w:rPr>
        <w:t>relief was granted to plan ad</w:t>
      </w:r>
      <w:r w:rsidRPr="00530885">
        <w:rPr>
          <w:rFonts w:eastAsiaTheme="minorHAnsi"/>
          <w:sz w:val="20"/>
          <w:szCs w:val="20"/>
        </w:rPr>
        <w:t xml:space="preserve">ministrators so that the annual deadline for furnishing comparative charts and other annual disclosures under the regulation could be aligned with the furnishing of other participant notices and disclosures.  </w:t>
      </w:r>
      <w:r>
        <w:rPr>
          <w:rFonts w:eastAsiaTheme="minorHAnsi"/>
          <w:color w:val="000000"/>
          <w:sz w:val="20"/>
          <w:szCs w:val="20"/>
        </w:rPr>
        <w:t xml:space="preserve">FAB 2013-02 is not affected by the direct final regulation.  Thus, to the extent it is otherwise </w:t>
      </w:r>
      <w:proofErr w:type="gramStart"/>
      <w:r>
        <w:rPr>
          <w:rFonts w:eastAsiaTheme="minorHAnsi"/>
          <w:color w:val="000000"/>
          <w:sz w:val="20"/>
          <w:szCs w:val="20"/>
        </w:rPr>
        <w:t>available,</w:t>
      </w:r>
      <w:proofErr w:type="gramEnd"/>
      <w:r>
        <w:rPr>
          <w:rFonts w:eastAsiaTheme="minorHAnsi"/>
          <w:color w:val="000000"/>
          <w:sz w:val="20"/>
          <w:szCs w:val="20"/>
        </w:rPr>
        <w:t xml:space="preserve"> an administrator does not lose the re-set relief in FAB 2013-02 for the second annual disclosure (described as the “2014 comparative chart” in FAB 2013-02) as a result of the direct final regulation.</w:t>
      </w:r>
    </w:p>
  </w:footnote>
  <w:footnote w:id="6">
    <w:p w:rsidR="00A0695F" w:rsidRDefault="00A0695F">
      <w:pPr>
        <w:pStyle w:val="FootnoteText"/>
      </w:pPr>
      <w:r>
        <w:rPr>
          <w:rStyle w:val="FootnoteReference"/>
        </w:rPr>
        <w:footnoteRef/>
      </w:r>
      <w:r>
        <w:t xml:space="preserve"> </w:t>
      </w:r>
      <w:proofErr w:type="gramStart"/>
      <w:r>
        <w:t>The most recent year available.</w:t>
      </w:r>
      <w:proofErr w:type="gramEnd"/>
    </w:p>
  </w:footnote>
  <w:footnote w:id="7">
    <w:p w:rsidR="00A0695F" w:rsidRDefault="00A0695F">
      <w:pPr>
        <w:pStyle w:val="FootnoteText"/>
      </w:pPr>
      <w:r>
        <w:rPr>
          <w:rStyle w:val="FootnoteReference"/>
        </w:rPr>
        <w:footnoteRef/>
      </w:r>
      <w:r>
        <w:t xml:space="preserve"> </w:t>
      </w:r>
      <w:r w:rsidRPr="00D42B2B">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8">
    <w:p w:rsidR="00A0695F" w:rsidRDefault="00A0695F">
      <w:pPr>
        <w:pStyle w:val="FootnoteText"/>
      </w:pPr>
      <w:r>
        <w:rPr>
          <w:rStyle w:val="FootnoteReference"/>
        </w:rPr>
        <w:footnoteRef/>
      </w:r>
      <w:r>
        <w:t xml:space="preserve"> </w:t>
      </w:r>
      <w:r w:rsidRPr="004356B5">
        <w:t>Secretaries, Except Legal, Medical, and Executive (43-6014): $16.35(2013 BLS Wage rate)/0.675(ECEC ratio) *1.2(Overhead Load Factor) *1.023(Inflation rate) ^2(Inflated 2 years from base year) = $30.42</w:t>
      </w:r>
    </w:p>
  </w:footnote>
  <w:footnote w:id="9">
    <w:p w:rsidR="00A0695F" w:rsidRDefault="00A0695F">
      <w:pPr>
        <w:pStyle w:val="FootnoteText"/>
      </w:pPr>
      <w:r>
        <w:rPr>
          <w:rStyle w:val="FootnoteReference"/>
        </w:rPr>
        <w:footnoteRef/>
      </w:r>
      <w:r>
        <w:t xml:space="preserve"> </w:t>
      </w:r>
      <w:r w:rsidRPr="007B626C">
        <w:t>Legal Professional (23-1011): $63.46(2013 BLS Wage rate) /0.69(ECEC ratio) *1.35(Overhead Load Factor) *1.023(Inflation rate) ^2(Inflated 2 years from base year) = $129.94</w:t>
      </w:r>
    </w:p>
  </w:footnote>
  <w:footnote w:id="10">
    <w:p w:rsidR="00A0695F" w:rsidRDefault="00A0695F">
      <w:pPr>
        <w:pStyle w:val="FootnoteText"/>
      </w:pPr>
      <w:r>
        <w:rPr>
          <w:rStyle w:val="FootnoteReference"/>
        </w:rPr>
        <w:footnoteRef/>
      </w:r>
      <w:r>
        <w:t xml:space="preserve"> </w:t>
      </w:r>
      <w:r w:rsidRPr="007B626C">
        <w:t>Accountants and Auditors (13-2011): $34.86(2013 BLS Wage rate) /0.69(ECEC ratio) *1.35(Overhead Load Factor) *1.023(Inflation rate) ^2(Inflated 2 years from base year) = $71.38</w:t>
      </w:r>
    </w:p>
  </w:footnote>
  <w:footnote w:id="11">
    <w:p w:rsidR="00A0695F" w:rsidRDefault="00A0695F">
      <w:pPr>
        <w:pStyle w:val="FootnoteText"/>
      </w:pPr>
      <w:r>
        <w:rPr>
          <w:rStyle w:val="FootnoteReference"/>
        </w:rPr>
        <w:footnoteRef/>
      </w:r>
      <w:r>
        <w:t xml:space="preserve"> </w:t>
      </w:r>
      <w:r w:rsidRPr="007B626C">
        <w:t>Computer Programmer (15-1131): $38.91(2013 BLS Wage rate) /0.69(ECEC ratio) *1.35(Overhead Load Factor) *1.023(Inflation rate) ^2(Inflated 2 years from base year) = $79.67</w:t>
      </w:r>
    </w:p>
  </w:footnote>
  <w:footnote w:id="12">
    <w:p w:rsidR="00A0695F" w:rsidRDefault="00A0695F">
      <w:pPr>
        <w:pStyle w:val="FootnoteText"/>
      </w:pPr>
      <w:r>
        <w:rPr>
          <w:rStyle w:val="FootnoteReference"/>
        </w:rPr>
        <w:footnoteRef/>
      </w:r>
      <w:r>
        <w:t xml:space="preserve"> Because these data will be included in quarterly benefit statements, no materials cost has been assessed for this requirement.</w:t>
      </w:r>
    </w:p>
  </w:footnote>
  <w:footnote w:id="13">
    <w:p w:rsidR="00A0695F" w:rsidRDefault="00A0695F">
      <w:pPr>
        <w:pStyle w:val="FootnoteText"/>
      </w:pPr>
      <w:r>
        <w:rPr>
          <w:rStyle w:val="FootnoteReference"/>
        </w:rPr>
        <w:footnoteRef/>
      </w:r>
      <w:r>
        <w:t xml:space="preserve"> According to a GAO report (GAO-03-661T, “Mutual Funds:  Information on Trends in Fees and Their Related Disclosure,: March 12, 2003, p. 14), which measures the cost of the disclosures of the actual dollar amount of mutual fund investment expenses on a participant level, it cost $1 per account to generate these disclosures in 2001 and $0.35 per account to maintain compliance.  Using the Consumer Price Index to inflate these values, the costs would be $1.38 and $0.48 respectively in 2015.  The Department estimates that approximately 1/3 of these costs would be comparable to the costs of complying with this rule.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EC5" w:rsidRPr="00695EC5" w:rsidRDefault="00695EC5" w:rsidP="00695EC5">
    <w:pPr>
      <w:pStyle w:val="Header"/>
      <w:jc w:val="right"/>
      <w:rPr>
        <w:sz w:val="20"/>
        <w:szCs w:val="20"/>
      </w:rPr>
    </w:pPr>
    <w:r w:rsidRPr="00695EC5">
      <w:rPr>
        <w:sz w:val="20"/>
        <w:szCs w:val="20"/>
      </w:rPr>
      <w:t>Participant Level Fee Disclosure</w:t>
    </w:r>
  </w:p>
  <w:p w:rsidR="00695EC5" w:rsidRPr="00695EC5" w:rsidRDefault="00695EC5" w:rsidP="00695EC5">
    <w:pPr>
      <w:pStyle w:val="Header"/>
      <w:jc w:val="right"/>
      <w:rPr>
        <w:sz w:val="20"/>
        <w:szCs w:val="20"/>
      </w:rPr>
    </w:pPr>
    <w:r w:rsidRPr="00695EC5">
      <w:rPr>
        <w:sz w:val="20"/>
        <w:szCs w:val="20"/>
      </w:rPr>
      <w:t>OMB Number 1210-0090</w:t>
    </w:r>
  </w:p>
  <w:p w:rsidR="00695EC5" w:rsidRDefault="007672F0" w:rsidP="00695EC5">
    <w:pPr>
      <w:pStyle w:val="Header"/>
      <w:jc w:val="right"/>
      <w:rPr>
        <w:sz w:val="20"/>
        <w:szCs w:val="20"/>
      </w:rPr>
    </w:pPr>
    <w:r>
      <w:rPr>
        <w:sz w:val="20"/>
        <w:szCs w:val="20"/>
      </w:rPr>
      <w:t>Novem</w:t>
    </w:r>
    <w:r w:rsidR="00695EC5" w:rsidRPr="00695EC5">
      <w:rPr>
        <w:sz w:val="20"/>
        <w:szCs w:val="20"/>
      </w:rPr>
      <w:t>ber 2015</w:t>
    </w:r>
  </w:p>
  <w:p w:rsidR="00F402B3" w:rsidRPr="00695EC5" w:rsidRDefault="00F402B3" w:rsidP="00695EC5">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5F" w:rsidRPr="00A3255E" w:rsidRDefault="00A0695F" w:rsidP="00A3255E">
    <w:pPr>
      <w:pStyle w:val="Header"/>
      <w:tabs>
        <w:tab w:val="left" w:pos="7092"/>
      </w:tabs>
      <w:rPr>
        <w:b/>
        <w:sz w:val="20"/>
        <w:szCs w:val="20"/>
      </w:rPr>
    </w:pPr>
  </w:p>
  <w:p w:rsidR="00A0695F" w:rsidRPr="00A3255E" w:rsidRDefault="00A0695F" w:rsidP="00211D07">
    <w:pPr>
      <w:pStyle w:val="Header"/>
      <w:tabs>
        <w:tab w:val="left" w:pos="7092"/>
      </w:tabs>
      <w:jc w:val="right"/>
      <w:rPr>
        <w:b/>
        <w:sz w:val="20"/>
        <w:szCs w:val="20"/>
      </w:rPr>
    </w:pPr>
    <w:r>
      <w:rPr>
        <w:b/>
        <w:sz w:val="20"/>
        <w:szCs w:val="20"/>
      </w:rPr>
      <w:t>Participant Level Fee Disclosure</w:t>
    </w:r>
  </w:p>
  <w:p w:rsidR="00A0695F" w:rsidRPr="00A3255E" w:rsidRDefault="00A0695F" w:rsidP="00211D07">
    <w:pPr>
      <w:pStyle w:val="Header"/>
      <w:tabs>
        <w:tab w:val="left" w:pos="7092"/>
      </w:tabs>
      <w:jc w:val="right"/>
      <w:rPr>
        <w:b/>
        <w:sz w:val="20"/>
        <w:szCs w:val="20"/>
      </w:rPr>
    </w:pPr>
    <w:r w:rsidRPr="00A3255E">
      <w:rPr>
        <w:b/>
        <w:sz w:val="20"/>
        <w:szCs w:val="20"/>
      </w:rPr>
      <w:t>OMB Number 1210-00</w:t>
    </w:r>
    <w:r>
      <w:rPr>
        <w:b/>
        <w:sz w:val="20"/>
        <w:szCs w:val="20"/>
      </w:rPr>
      <w:t>90</w:t>
    </w:r>
  </w:p>
  <w:p w:rsidR="00A0695F" w:rsidRPr="007253BC" w:rsidRDefault="00A0695F" w:rsidP="00211D07">
    <w:pPr>
      <w:pStyle w:val="Header"/>
      <w:tabs>
        <w:tab w:val="left" w:pos="7092"/>
      </w:tabs>
      <w:jc w:val="right"/>
      <w:rPr>
        <w:b/>
        <w:sz w:val="20"/>
        <w:szCs w:val="20"/>
      </w:rPr>
    </w:pPr>
    <w:r>
      <w:rPr>
        <w:b/>
        <w:sz w:val="20"/>
        <w:szCs w:val="20"/>
      </w:rPr>
      <w:t>October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C62CA"/>
    <w:multiLevelType w:val="hybridMultilevel"/>
    <w:tmpl w:val="6AD4A882"/>
    <w:lvl w:ilvl="0" w:tplc="31BA212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870E78"/>
    <w:multiLevelType w:val="hybridMultilevel"/>
    <w:tmpl w:val="9C04E8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13F628B"/>
    <w:multiLevelType w:val="hybridMultilevel"/>
    <w:tmpl w:val="8CC4B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6C161F"/>
    <w:multiLevelType w:val="hybridMultilevel"/>
    <w:tmpl w:val="DB8C06BC"/>
    <w:lvl w:ilvl="0" w:tplc="8924BE02">
      <w:start w:val="12"/>
      <w:numFmt w:val="decimal"/>
      <w:lvlText w:val="%1."/>
      <w:lvlJc w:val="left"/>
      <w:pPr>
        <w:tabs>
          <w:tab w:val="num" w:pos="1080"/>
        </w:tabs>
        <w:ind w:left="1080" w:hanging="720"/>
      </w:pPr>
      <w:rPr>
        <w:rFonts w:cs="Times New Roman"/>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B234E3F"/>
    <w:multiLevelType w:val="hybridMultilevel"/>
    <w:tmpl w:val="1C845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B2D4621"/>
    <w:multiLevelType w:val="hybridMultilevel"/>
    <w:tmpl w:val="5F780C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2E6197B"/>
    <w:multiLevelType w:val="hybridMultilevel"/>
    <w:tmpl w:val="663EF7D0"/>
    <w:lvl w:ilvl="0" w:tplc="35068450">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A1409"/>
    <w:multiLevelType w:val="hybridMultilevel"/>
    <w:tmpl w:val="825A2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811D91"/>
    <w:multiLevelType w:val="hybridMultilevel"/>
    <w:tmpl w:val="1588722E"/>
    <w:lvl w:ilvl="0" w:tplc="360275B4">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79C436A3"/>
    <w:multiLevelType w:val="hybridMultilevel"/>
    <w:tmpl w:val="4B84862A"/>
    <w:lvl w:ilvl="0" w:tplc="ED00B7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2"/>
  </w:num>
  <w:num w:numId="3">
    <w:abstractNumId w:val="3"/>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9"/>
  </w:num>
  <w:num w:numId="8">
    <w:abstractNumId w:val="4"/>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ED"/>
    <w:rsid w:val="000113E7"/>
    <w:rsid w:val="00011EF9"/>
    <w:rsid w:val="00013034"/>
    <w:rsid w:val="00013461"/>
    <w:rsid w:val="00014B80"/>
    <w:rsid w:val="00017F0E"/>
    <w:rsid w:val="000220A8"/>
    <w:rsid w:val="00024FEC"/>
    <w:rsid w:val="00025C27"/>
    <w:rsid w:val="00026801"/>
    <w:rsid w:val="00027FAF"/>
    <w:rsid w:val="000304EC"/>
    <w:rsid w:val="000325EC"/>
    <w:rsid w:val="0003280D"/>
    <w:rsid w:val="00032C9C"/>
    <w:rsid w:val="0003761C"/>
    <w:rsid w:val="00040C4D"/>
    <w:rsid w:val="00044359"/>
    <w:rsid w:val="00044CDA"/>
    <w:rsid w:val="0005146C"/>
    <w:rsid w:val="00052E48"/>
    <w:rsid w:val="00056848"/>
    <w:rsid w:val="000608AC"/>
    <w:rsid w:val="00060B59"/>
    <w:rsid w:val="0006407D"/>
    <w:rsid w:val="000642B5"/>
    <w:rsid w:val="000658BF"/>
    <w:rsid w:val="00076A9C"/>
    <w:rsid w:val="000770B7"/>
    <w:rsid w:val="000825ED"/>
    <w:rsid w:val="000836E2"/>
    <w:rsid w:val="00085D03"/>
    <w:rsid w:val="0009491F"/>
    <w:rsid w:val="000A0710"/>
    <w:rsid w:val="000A32E6"/>
    <w:rsid w:val="000A5919"/>
    <w:rsid w:val="000A6482"/>
    <w:rsid w:val="000B070A"/>
    <w:rsid w:val="000B2541"/>
    <w:rsid w:val="000B45E6"/>
    <w:rsid w:val="000B5127"/>
    <w:rsid w:val="000B69E9"/>
    <w:rsid w:val="000C33E2"/>
    <w:rsid w:val="000D13F4"/>
    <w:rsid w:val="000D28B8"/>
    <w:rsid w:val="000D6026"/>
    <w:rsid w:val="000D7578"/>
    <w:rsid w:val="000E1596"/>
    <w:rsid w:val="000E52B0"/>
    <w:rsid w:val="000E5E3E"/>
    <w:rsid w:val="000E634C"/>
    <w:rsid w:val="000F0319"/>
    <w:rsid w:val="000F1224"/>
    <w:rsid w:val="000F235D"/>
    <w:rsid w:val="000F46FF"/>
    <w:rsid w:val="001007D1"/>
    <w:rsid w:val="00102E36"/>
    <w:rsid w:val="00106BA1"/>
    <w:rsid w:val="00110936"/>
    <w:rsid w:val="00116F98"/>
    <w:rsid w:val="00121C69"/>
    <w:rsid w:val="00121F8A"/>
    <w:rsid w:val="00122E70"/>
    <w:rsid w:val="00125B1A"/>
    <w:rsid w:val="001309F8"/>
    <w:rsid w:val="0013110D"/>
    <w:rsid w:val="00136848"/>
    <w:rsid w:val="00142C48"/>
    <w:rsid w:val="00147B3A"/>
    <w:rsid w:val="001511C1"/>
    <w:rsid w:val="0015126F"/>
    <w:rsid w:val="00160B71"/>
    <w:rsid w:val="001617C3"/>
    <w:rsid w:val="00163683"/>
    <w:rsid w:val="00165658"/>
    <w:rsid w:val="0017171B"/>
    <w:rsid w:val="00171A01"/>
    <w:rsid w:val="00173B42"/>
    <w:rsid w:val="00180B90"/>
    <w:rsid w:val="00180C22"/>
    <w:rsid w:val="00183798"/>
    <w:rsid w:val="00183E40"/>
    <w:rsid w:val="001853E2"/>
    <w:rsid w:val="001910CB"/>
    <w:rsid w:val="00191382"/>
    <w:rsid w:val="001917A8"/>
    <w:rsid w:val="00193756"/>
    <w:rsid w:val="00194E86"/>
    <w:rsid w:val="00196CBD"/>
    <w:rsid w:val="001A53D1"/>
    <w:rsid w:val="001B161C"/>
    <w:rsid w:val="001B2EC5"/>
    <w:rsid w:val="001B4CF1"/>
    <w:rsid w:val="001B7494"/>
    <w:rsid w:val="001C329E"/>
    <w:rsid w:val="001C39BF"/>
    <w:rsid w:val="001D13FD"/>
    <w:rsid w:val="001D3EE3"/>
    <w:rsid w:val="001E0DAA"/>
    <w:rsid w:val="001E28D1"/>
    <w:rsid w:val="001E6B26"/>
    <w:rsid w:val="001E76BA"/>
    <w:rsid w:val="001E7F17"/>
    <w:rsid w:val="001F5146"/>
    <w:rsid w:val="001F5C91"/>
    <w:rsid w:val="001F7F30"/>
    <w:rsid w:val="00205951"/>
    <w:rsid w:val="002071DB"/>
    <w:rsid w:val="00207CF6"/>
    <w:rsid w:val="00207F9B"/>
    <w:rsid w:val="00210A7C"/>
    <w:rsid w:val="00211CA3"/>
    <w:rsid w:val="00211D07"/>
    <w:rsid w:val="00212A1A"/>
    <w:rsid w:val="00212F2D"/>
    <w:rsid w:val="00213518"/>
    <w:rsid w:val="00221845"/>
    <w:rsid w:val="00223B4B"/>
    <w:rsid w:val="002347FC"/>
    <w:rsid w:val="00236A8D"/>
    <w:rsid w:val="00245649"/>
    <w:rsid w:val="00247F64"/>
    <w:rsid w:val="00254BE8"/>
    <w:rsid w:val="002569D0"/>
    <w:rsid w:val="002631F8"/>
    <w:rsid w:val="00270F8E"/>
    <w:rsid w:val="00274127"/>
    <w:rsid w:val="00275154"/>
    <w:rsid w:val="002802A2"/>
    <w:rsid w:val="0028102C"/>
    <w:rsid w:val="00283EE1"/>
    <w:rsid w:val="00285232"/>
    <w:rsid w:val="00287B32"/>
    <w:rsid w:val="00293BB5"/>
    <w:rsid w:val="00295AC2"/>
    <w:rsid w:val="002A0374"/>
    <w:rsid w:val="002A3914"/>
    <w:rsid w:val="002A3FCD"/>
    <w:rsid w:val="002A6213"/>
    <w:rsid w:val="002B310A"/>
    <w:rsid w:val="002B525C"/>
    <w:rsid w:val="002C44DD"/>
    <w:rsid w:val="002C46DF"/>
    <w:rsid w:val="002D1AC3"/>
    <w:rsid w:val="002D22C8"/>
    <w:rsid w:val="002D5D11"/>
    <w:rsid w:val="002D6FFB"/>
    <w:rsid w:val="002E08D8"/>
    <w:rsid w:val="002E54DC"/>
    <w:rsid w:val="002E5EA0"/>
    <w:rsid w:val="002F1830"/>
    <w:rsid w:val="002F2CA2"/>
    <w:rsid w:val="00305EC6"/>
    <w:rsid w:val="003068DF"/>
    <w:rsid w:val="00314D12"/>
    <w:rsid w:val="00316BAC"/>
    <w:rsid w:val="003210F7"/>
    <w:rsid w:val="00321BAA"/>
    <w:rsid w:val="0032350A"/>
    <w:rsid w:val="00324133"/>
    <w:rsid w:val="00325F1A"/>
    <w:rsid w:val="00334248"/>
    <w:rsid w:val="0033469F"/>
    <w:rsid w:val="00336CD8"/>
    <w:rsid w:val="003408FC"/>
    <w:rsid w:val="00342389"/>
    <w:rsid w:val="003431C3"/>
    <w:rsid w:val="003435DD"/>
    <w:rsid w:val="00343C75"/>
    <w:rsid w:val="003444E9"/>
    <w:rsid w:val="00345295"/>
    <w:rsid w:val="0034604C"/>
    <w:rsid w:val="00355B2E"/>
    <w:rsid w:val="003642B6"/>
    <w:rsid w:val="00366580"/>
    <w:rsid w:val="003676BF"/>
    <w:rsid w:val="00370782"/>
    <w:rsid w:val="00373BBA"/>
    <w:rsid w:val="003746B1"/>
    <w:rsid w:val="00383977"/>
    <w:rsid w:val="00385566"/>
    <w:rsid w:val="00385853"/>
    <w:rsid w:val="00385ED6"/>
    <w:rsid w:val="003907C3"/>
    <w:rsid w:val="003928A7"/>
    <w:rsid w:val="00395C91"/>
    <w:rsid w:val="00395D05"/>
    <w:rsid w:val="003A26C4"/>
    <w:rsid w:val="003A38FE"/>
    <w:rsid w:val="003A71CD"/>
    <w:rsid w:val="003A7238"/>
    <w:rsid w:val="003A7A21"/>
    <w:rsid w:val="003B0855"/>
    <w:rsid w:val="003B1146"/>
    <w:rsid w:val="003B3B65"/>
    <w:rsid w:val="003B4DAB"/>
    <w:rsid w:val="003B690F"/>
    <w:rsid w:val="003C07A8"/>
    <w:rsid w:val="003C07B7"/>
    <w:rsid w:val="003C505B"/>
    <w:rsid w:val="003C61D7"/>
    <w:rsid w:val="003C7ACE"/>
    <w:rsid w:val="003D6F5D"/>
    <w:rsid w:val="003E0362"/>
    <w:rsid w:val="003E0ECD"/>
    <w:rsid w:val="003E113F"/>
    <w:rsid w:val="003E264C"/>
    <w:rsid w:val="003F0BEB"/>
    <w:rsid w:val="003F214F"/>
    <w:rsid w:val="003F237A"/>
    <w:rsid w:val="003F315D"/>
    <w:rsid w:val="003F395B"/>
    <w:rsid w:val="003F6F0C"/>
    <w:rsid w:val="004109B0"/>
    <w:rsid w:val="004163A1"/>
    <w:rsid w:val="0041758E"/>
    <w:rsid w:val="004204E3"/>
    <w:rsid w:val="0042173F"/>
    <w:rsid w:val="00426D7C"/>
    <w:rsid w:val="00426F0D"/>
    <w:rsid w:val="00427879"/>
    <w:rsid w:val="004314B0"/>
    <w:rsid w:val="004356B5"/>
    <w:rsid w:val="00437937"/>
    <w:rsid w:val="00443ED5"/>
    <w:rsid w:val="00445D79"/>
    <w:rsid w:val="00450625"/>
    <w:rsid w:val="00451142"/>
    <w:rsid w:val="00457347"/>
    <w:rsid w:val="00460952"/>
    <w:rsid w:val="0046639E"/>
    <w:rsid w:val="004732C2"/>
    <w:rsid w:val="004739A1"/>
    <w:rsid w:val="004748DB"/>
    <w:rsid w:val="00475185"/>
    <w:rsid w:val="00476C1B"/>
    <w:rsid w:val="00476F53"/>
    <w:rsid w:val="00480B3B"/>
    <w:rsid w:val="00481870"/>
    <w:rsid w:val="00481BC6"/>
    <w:rsid w:val="00485EAE"/>
    <w:rsid w:val="00487367"/>
    <w:rsid w:val="004939E7"/>
    <w:rsid w:val="00494469"/>
    <w:rsid w:val="00494E4C"/>
    <w:rsid w:val="0049758E"/>
    <w:rsid w:val="004A12B4"/>
    <w:rsid w:val="004A2E74"/>
    <w:rsid w:val="004B2D52"/>
    <w:rsid w:val="004B33AB"/>
    <w:rsid w:val="004B366A"/>
    <w:rsid w:val="004B3BA8"/>
    <w:rsid w:val="004C024D"/>
    <w:rsid w:val="004C1186"/>
    <w:rsid w:val="004C2669"/>
    <w:rsid w:val="004C51AA"/>
    <w:rsid w:val="004D1412"/>
    <w:rsid w:val="004D3676"/>
    <w:rsid w:val="004D3787"/>
    <w:rsid w:val="004D3BD8"/>
    <w:rsid w:val="004D73B2"/>
    <w:rsid w:val="004E38C7"/>
    <w:rsid w:val="004E3BC0"/>
    <w:rsid w:val="004E4875"/>
    <w:rsid w:val="004F2FD7"/>
    <w:rsid w:val="004F5AD5"/>
    <w:rsid w:val="004F62D3"/>
    <w:rsid w:val="0050722B"/>
    <w:rsid w:val="00507688"/>
    <w:rsid w:val="00515DDC"/>
    <w:rsid w:val="00521CFD"/>
    <w:rsid w:val="00522D3E"/>
    <w:rsid w:val="0052558C"/>
    <w:rsid w:val="00526360"/>
    <w:rsid w:val="00535BEB"/>
    <w:rsid w:val="00537F9A"/>
    <w:rsid w:val="0054183F"/>
    <w:rsid w:val="00541D64"/>
    <w:rsid w:val="00542183"/>
    <w:rsid w:val="0054343A"/>
    <w:rsid w:val="005440BF"/>
    <w:rsid w:val="005509E8"/>
    <w:rsid w:val="00550C31"/>
    <w:rsid w:val="00553076"/>
    <w:rsid w:val="00554E08"/>
    <w:rsid w:val="00571C52"/>
    <w:rsid w:val="005775A0"/>
    <w:rsid w:val="0059284A"/>
    <w:rsid w:val="005938C6"/>
    <w:rsid w:val="00594B6C"/>
    <w:rsid w:val="00596B5B"/>
    <w:rsid w:val="005A19E0"/>
    <w:rsid w:val="005A2E68"/>
    <w:rsid w:val="005A54D0"/>
    <w:rsid w:val="005A59A3"/>
    <w:rsid w:val="005A6A5F"/>
    <w:rsid w:val="005B0164"/>
    <w:rsid w:val="005B04DD"/>
    <w:rsid w:val="005B13C7"/>
    <w:rsid w:val="005C0295"/>
    <w:rsid w:val="005D1BAD"/>
    <w:rsid w:val="005D58B0"/>
    <w:rsid w:val="005E3830"/>
    <w:rsid w:val="005E38CC"/>
    <w:rsid w:val="005E4355"/>
    <w:rsid w:val="005E5AB0"/>
    <w:rsid w:val="005F383F"/>
    <w:rsid w:val="005F69CC"/>
    <w:rsid w:val="006004E6"/>
    <w:rsid w:val="00603262"/>
    <w:rsid w:val="0060459F"/>
    <w:rsid w:val="00607BE8"/>
    <w:rsid w:val="00610F7E"/>
    <w:rsid w:val="00611249"/>
    <w:rsid w:val="0061241E"/>
    <w:rsid w:val="00615683"/>
    <w:rsid w:val="00621B1A"/>
    <w:rsid w:val="00622B00"/>
    <w:rsid w:val="00627F3D"/>
    <w:rsid w:val="006402B1"/>
    <w:rsid w:val="006416D1"/>
    <w:rsid w:val="00642901"/>
    <w:rsid w:val="006520D0"/>
    <w:rsid w:val="0066056E"/>
    <w:rsid w:val="00663352"/>
    <w:rsid w:val="006635E2"/>
    <w:rsid w:val="00666FD9"/>
    <w:rsid w:val="00670F4B"/>
    <w:rsid w:val="0067548A"/>
    <w:rsid w:val="00684AFC"/>
    <w:rsid w:val="0069490E"/>
    <w:rsid w:val="00695EC5"/>
    <w:rsid w:val="00696580"/>
    <w:rsid w:val="00697F3E"/>
    <w:rsid w:val="006A1052"/>
    <w:rsid w:val="006B106C"/>
    <w:rsid w:val="006B56B4"/>
    <w:rsid w:val="006C1DF5"/>
    <w:rsid w:val="006C3E83"/>
    <w:rsid w:val="006C7DB5"/>
    <w:rsid w:val="006D4007"/>
    <w:rsid w:val="006E54BD"/>
    <w:rsid w:val="006E6B86"/>
    <w:rsid w:val="006E75CC"/>
    <w:rsid w:val="006F6334"/>
    <w:rsid w:val="007064BA"/>
    <w:rsid w:val="0071007D"/>
    <w:rsid w:val="007109AF"/>
    <w:rsid w:val="00711451"/>
    <w:rsid w:val="00713AED"/>
    <w:rsid w:val="007147F9"/>
    <w:rsid w:val="007203FB"/>
    <w:rsid w:val="0072348A"/>
    <w:rsid w:val="007253BC"/>
    <w:rsid w:val="00725BBF"/>
    <w:rsid w:val="00726912"/>
    <w:rsid w:val="0073128A"/>
    <w:rsid w:val="00732686"/>
    <w:rsid w:val="00732CCF"/>
    <w:rsid w:val="007357FA"/>
    <w:rsid w:val="00736EBB"/>
    <w:rsid w:val="00741A18"/>
    <w:rsid w:val="007427A1"/>
    <w:rsid w:val="0075237B"/>
    <w:rsid w:val="00752639"/>
    <w:rsid w:val="00757AE7"/>
    <w:rsid w:val="00757B89"/>
    <w:rsid w:val="007612D2"/>
    <w:rsid w:val="007627D0"/>
    <w:rsid w:val="00763C5C"/>
    <w:rsid w:val="007672F0"/>
    <w:rsid w:val="00767884"/>
    <w:rsid w:val="00771344"/>
    <w:rsid w:val="00774DC6"/>
    <w:rsid w:val="0077646D"/>
    <w:rsid w:val="007811F2"/>
    <w:rsid w:val="00781CB3"/>
    <w:rsid w:val="0078447F"/>
    <w:rsid w:val="00785A48"/>
    <w:rsid w:val="0079073D"/>
    <w:rsid w:val="00792EB3"/>
    <w:rsid w:val="007947AA"/>
    <w:rsid w:val="007A0020"/>
    <w:rsid w:val="007A0507"/>
    <w:rsid w:val="007A0A3D"/>
    <w:rsid w:val="007A2ED4"/>
    <w:rsid w:val="007A3573"/>
    <w:rsid w:val="007A4000"/>
    <w:rsid w:val="007A5681"/>
    <w:rsid w:val="007B0F83"/>
    <w:rsid w:val="007B384B"/>
    <w:rsid w:val="007B626C"/>
    <w:rsid w:val="007B6B73"/>
    <w:rsid w:val="007B6C0A"/>
    <w:rsid w:val="007B744A"/>
    <w:rsid w:val="007B75B0"/>
    <w:rsid w:val="007C0083"/>
    <w:rsid w:val="007C0106"/>
    <w:rsid w:val="007C32D9"/>
    <w:rsid w:val="007C33CB"/>
    <w:rsid w:val="007C3B7C"/>
    <w:rsid w:val="007C6594"/>
    <w:rsid w:val="007C6E23"/>
    <w:rsid w:val="007D483E"/>
    <w:rsid w:val="007D48DA"/>
    <w:rsid w:val="007D609D"/>
    <w:rsid w:val="007E35E5"/>
    <w:rsid w:val="007E48C7"/>
    <w:rsid w:val="007E48CC"/>
    <w:rsid w:val="007F1580"/>
    <w:rsid w:val="007F2282"/>
    <w:rsid w:val="007F47E8"/>
    <w:rsid w:val="007F67CD"/>
    <w:rsid w:val="007F7997"/>
    <w:rsid w:val="0080068D"/>
    <w:rsid w:val="00801BCB"/>
    <w:rsid w:val="008040C9"/>
    <w:rsid w:val="0081005C"/>
    <w:rsid w:val="00810086"/>
    <w:rsid w:val="008106C1"/>
    <w:rsid w:val="00811D20"/>
    <w:rsid w:val="00813EA7"/>
    <w:rsid w:val="008170B5"/>
    <w:rsid w:val="00820876"/>
    <w:rsid w:val="0082427F"/>
    <w:rsid w:val="008267DE"/>
    <w:rsid w:val="008278AC"/>
    <w:rsid w:val="00833771"/>
    <w:rsid w:val="00833A8A"/>
    <w:rsid w:val="00833BB5"/>
    <w:rsid w:val="00834C4C"/>
    <w:rsid w:val="008377EC"/>
    <w:rsid w:val="00841A25"/>
    <w:rsid w:val="008450AD"/>
    <w:rsid w:val="00855239"/>
    <w:rsid w:val="00866484"/>
    <w:rsid w:val="00871B3F"/>
    <w:rsid w:val="00872678"/>
    <w:rsid w:val="00872D9D"/>
    <w:rsid w:val="00873372"/>
    <w:rsid w:val="00873B31"/>
    <w:rsid w:val="00874499"/>
    <w:rsid w:val="00875BCE"/>
    <w:rsid w:val="0087679D"/>
    <w:rsid w:val="0087757B"/>
    <w:rsid w:val="00877C29"/>
    <w:rsid w:val="00883841"/>
    <w:rsid w:val="008871CD"/>
    <w:rsid w:val="00892337"/>
    <w:rsid w:val="00893413"/>
    <w:rsid w:val="008A2B88"/>
    <w:rsid w:val="008A6135"/>
    <w:rsid w:val="008A672B"/>
    <w:rsid w:val="008A73CB"/>
    <w:rsid w:val="008A7CC8"/>
    <w:rsid w:val="008B055A"/>
    <w:rsid w:val="008B2682"/>
    <w:rsid w:val="008B3EAE"/>
    <w:rsid w:val="008B643B"/>
    <w:rsid w:val="008C13AC"/>
    <w:rsid w:val="008C167E"/>
    <w:rsid w:val="008C35BA"/>
    <w:rsid w:val="008C3A27"/>
    <w:rsid w:val="008C3FAD"/>
    <w:rsid w:val="008D2DB2"/>
    <w:rsid w:val="008D4B3C"/>
    <w:rsid w:val="008D595D"/>
    <w:rsid w:val="008D7292"/>
    <w:rsid w:val="008E440F"/>
    <w:rsid w:val="008E69A6"/>
    <w:rsid w:val="008F06B6"/>
    <w:rsid w:val="008F23A7"/>
    <w:rsid w:val="008F3A6A"/>
    <w:rsid w:val="008F409B"/>
    <w:rsid w:val="008F5065"/>
    <w:rsid w:val="0090046D"/>
    <w:rsid w:val="00903521"/>
    <w:rsid w:val="00903796"/>
    <w:rsid w:val="009065B3"/>
    <w:rsid w:val="00906979"/>
    <w:rsid w:val="00912A6C"/>
    <w:rsid w:val="00916490"/>
    <w:rsid w:val="00920AA0"/>
    <w:rsid w:val="00927B69"/>
    <w:rsid w:val="00931C63"/>
    <w:rsid w:val="0093510F"/>
    <w:rsid w:val="00935AE6"/>
    <w:rsid w:val="00935CE4"/>
    <w:rsid w:val="00936E6B"/>
    <w:rsid w:val="00941012"/>
    <w:rsid w:val="00941470"/>
    <w:rsid w:val="00941C34"/>
    <w:rsid w:val="00946435"/>
    <w:rsid w:val="00951B3C"/>
    <w:rsid w:val="0095588D"/>
    <w:rsid w:val="00956707"/>
    <w:rsid w:val="00956EC3"/>
    <w:rsid w:val="009613E1"/>
    <w:rsid w:val="009872AA"/>
    <w:rsid w:val="00987697"/>
    <w:rsid w:val="009910CE"/>
    <w:rsid w:val="009913AA"/>
    <w:rsid w:val="00993D8A"/>
    <w:rsid w:val="00995938"/>
    <w:rsid w:val="009A3798"/>
    <w:rsid w:val="009A65D8"/>
    <w:rsid w:val="009B0111"/>
    <w:rsid w:val="009B09FB"/>
    <w:rsid w:val="009B22FD"/>
    <w:rsid w:val="009B2629"/>
    <w:rsid w:val="009B2B83"/>
    <w:rsid w:val="009B78F2"/>
    <w:rsid w:val="009C31CD"/>
    <w:rsid w:val="009C4647"/>
    <w:rsid w:val="009C51D8"/>
    <w:rsid w:val="009C6015"/>
    <w:rsid w:val="009C7D5A"/>
    <w:rsid w:val="009D24F3"/>
    <w:rsid w:val="009D3070"/>
    <w:rsid w:val="009D39ED"/>
    <w:rsid w:val="009D432E"/>
    <w:rsid w:val="009D45FB"/>
    <w:rsid w:val="009D5F2B"/>
    <w:rsid w:val="009D7FA2"/>
    <w:rsid w:val="009F0405"/>
    <w:rsid w:val="009F0673"/>
    <w:rsid w:val="009F0AB8"/>
    <w:rsid w:val="00A01D0D"/>
    <w:rsid w:val="00A0370C"/>
    <w:rsid w:val="00A0695F"/>
    <w:rsid w:val="00A141A5"/>
    <w:rsid w:val="00A16150"/>
    <w:rsid w:val="00A166FD"/>
    <w:rsid w:val="00A16A02"/>
    <w:rsid w:val="00A172C3"/>
    <w:rsid w:val="00A17902"/>
    <w:rsid w:val="00A23D46"/>
    <w:rsid w:val="00A25E7A"/>
    <w:rsid w:val="00A26409"/>
    <w:rsid w:val="00A27E21"/>
    <w:rsid w:val="00A320D4"/>
    <w:rsid w:val="00A3255E"/>
    <w:rsid w:val="00A32BDF"/>
    <w:rsid w:val="00A33C45"/>
    <w:rsid w:val="00A36D87"/>
    <w:rsid w:val="00A40F4E"/>
    <w:rsid w:val="00A42609"/>
    <w:rsid w:val="00A45238"/>
    <w:rsid w:val="00A46E8F"/>
    <w:rsid w:val="00A51D72"/>
    <w:rsid w:val="00A525C3"/>
    <w:rsid w:val="00A54179"/>
    <w:rsid w:val="00A545C9"/>
    <w:rsid w:val="00A63ED9"/>
    <w:rsid w:val="00A656B4"/>
    <w:rsid w:val="00A67DD4"/>
    <w:rsid w:val="00A7045E"/>
    <w:rsid w:val="00A72D43"/>
    <w:rsid w:val="00A74DAE"/>
    <w:rsid w:val="00A77B5B"/>
    <w:rsid w:val="00A8047C"/>
    <w:rsid w:val="00A80EEF"/>
    <w:rsid w:val="00A82082"/>
    <w:rsid w:val="00A82122"/>
    <w:rsid w:val="00A8337E"/>
    <w:rsid w:val="00A85492"/>
    <w:rsid w:val="00A90E06"/>
    <w:rsid w:val="00A94B7B"/>
    <w:rsid w:val="00AA04BF"/>
    <w:rsid w:val="00AA2A5A"/>
    <w:rsid w:val="00AA3778"/>
    <w:rsid w:val="00AA6B7B"/>
    <w:rsid w:val="00AB16F0"/>
    <w:rsid w:val="00AB3B1E"/>
    <w:rsid w:val="00AE689A"/>
    <w:rsid w:val="00AF26DF"/>
    <w:rsid w:val="00AF3A51"/>
    <w:rsid w:val="00AF3D1F"/>
    <w:rsid w:val="00B02837"/>
    <w:rsid w:val="00B07A9B"/>
    <w:rsid w:val="00B10E5F"/>
    <w:rsid w:val="00B111B4"/>
    <w:rsid w:val="00B11243"/>
    <w:rsid w:val="00B1281B"/>
    <w:rsid w:val="00B13927"/>
    <w:rsid w:val="00B2218C"/>
    <w:rsid w:val="00B405C3"/>
    <w:rsid w:val="00B418D8"/>
    <w:rsid w:val="00B4328A"/>
    <w:rsid w:val="00B470FA"/>
    <w:rsid w:val="00B555C7"/>
    <w:rsid w:val="00B55FCF"/>
    <w:rsid w:val="00B623B2"/>
    <w:rsid w:val="00B75A5A"/>
    <w:rsid w:val="00B810CE"/>
    <w:rsid w:val="00B82022"/>
    <w:rsid w:val="00B833F8"/>
    <w:rsid w:val="00B84027"/>
    <w:rsid w:val="00B87B98"/>
    <w:rsid w:val="00B91714"/>
    <w:rsid w:val="00B92379"/>
    <w:rsid w:val="00B93199"/>
    <w:rsid w:val="00BA3D01"/>
    <w:rsid w:val="00BA7075"/>
    <w:rsid w:val="00BB5CBA"/>
    <w:rsid w:val="00BC02AE"/>
    <w:rsid w:val="00BC0841"/>
    <w:rsid w:val="00BC0DAF"/>
    <w:rsid w:val="00BC0E81"/>
    <w:rsid w:val="00BC1AE7"/>
    <w:rsid w:val="00BC2862"/>
    <w:rsid w:val="00BC2F37"/>
    <w:rsid w:val="00BC343C"/>
    <w:rsid w:val="00BC3CF8"/>
    <w:rsid w:val="00BC4452"/>
    <w:rsid w:val="00BC6BFE"/>
    <w:rsid w:val="00BD10D1"/>
    <w:rsid w:val="00BD3531"/>
    <w:rsid w:val="00BD5FA6"/>
    <w:rsid w:val="00BE18CD"/>
    <w:rsid w:val="00BE6EBD"/>
    <w:rsid w:val="00BF06C7"/>
    <w:rsid w:val="00BF0759"/>
    <w:rsid w:val="00BF126F"/>
    <w:rsid w:val="00BF4041"/>
    <w:rsid w:val="00BF487B"/>
    <w:rsid w:val="00BF4A73"/>
    <w:rsid w:val="00BF5763"/>
    <w:rsid w:val="00C05682"/>
    <w:rsid w:val="00C073EF"/>
    <w:rsid w:val="00C1388B"/>
    <w:rsid w:val="00C17E78"/>
    <w:rsid w:val="00C20FCA"/>
    <w:rsid w:val="00C22BB8"/>
    <w:rsid w:val="00C242E9"/>
    <w:rsid w:val="00C41773"/>
    <w:rsid w:val="00C423F4"/>
    <w:rsid w:val="00C44B92"/>
    <w:rsid w:val="00C46771"/>
    <w:rsid w:val="00C50F9B"/>
    <w:rsid w:val="00C54111"/>
    <w:rsid w:val="00C556C3"/>
    <w:rsid w:val="00C643C2"/>
    <w:rsid w:val="00C64A58"/>
    <w:rsid w:val="00C735E8"/>
    <w:rsid w:val="00C740F8"/>
    <w:rsid w:val="00C75CB6"/>
    <w:rsid w:val="00C772C0"/>
    <w:rsid w:val="00C852FD"/>
    <w:rsid w:val="00C8738E"/>
    <w:rsid w:val="00C930FA"/>
    <w:rsid w:val="00C94AAC"/>
    <w:rsid w:val="00C95C76"/>
    <w:rsid w:val="00CA0FBA"/>
    <w:rsid w:val="00CA22E7"/>
    <w:rsid w:val="00CA7267"/>
    <w:rsid w:val="00CD15DF"/>
    <w:rsid w:val="00CD1F67"/>
    <w:rsid w:val="00CD2185"/>
    <w:rsid w:val="00CD23F0"/>
    <w:rsid w:val="00CE40C4"/>
    <w:rsid w:val="00CE4528"/>
    <w:rsid w:val="00CE552E"/>
    <w:rsid w:val="00CE5A00"/>
    <w:rsid w:val="00CE5A71"/>
    <w:rsid w:val="00CF0FF5"/>
    <w:rsid w:val="00D05A53"/>
    <w:rsid w:val="00D06B21"/>
    <w:rsid w:val="00D118C0"/>
    <w:rsid w:val="00D12556"/>
    <w:rsid w:val="00D12B36"/>
    <w:rsid w:val="00D149F5"/>
    <w:rsid w:val="00D23BEC"/>
    <w:rsid w:val="00D2562F"/>
    <w:rsid w:val="00D2568B"/>
    <w:rsid w:val="00D26239"/>
    <w:rsid w:val="00D30F55"/>
    <w:rsid w:val="00D3258E"/>
    <w:rsid w:val="00D333F0"/>
    <w:rsid w:val="00D37804"/>
    <w:rsid w:val="00D40228"/>
    <w:rsid w:val="00D40C2A"/>
    <w:rsid w:val="00D42B2B"/>
    <w:rsid w:val="00D43457"/>
    <w:rsid w:val="00D44E87"/>
    <w:rsid w:val="00D567D8"/>
    <w:rsid w:val="00D63AA8"/>
    <w:rsid w:val="00D674F6"/>
    <w:rsid w:val="00D77417"/>
    <w:rsid w:val="00D816DF"/>
    <w:rsid w:val="00D823A1"/>
    <w:rsid w:val="00D82409"/>
    <w:rsid w:val="00D8548D"/>
    <w:rsid w:val="00DA71D3"/>
    <w:rsid w:val="00DB60C5"/>
    <w:rsid w:val="00DC2743"/>
    <w:rsid w:val="00DC4B9B"/>
    <w:rsid w:val="00DD08EE"/>
    <w:rsid w:val="00DD12EE"/>
    <w:rsid w:val="00DD35B1"/>
    <w:rsid w:val="00DD71FB"/>
    <w:rsid w:val="00DE254D"/>
    <w:rsid w:val="00DE35BE"/>
    <w:rsid w:val="00DE681B"/>
    <w:rsid w:val="00DF28C2"/>
    <w:rsid w:val="00DF352C"/>
    <w:rsid w:val="00DF7C2A"/>
    <w:rsid w:val="00E02BC3"/>
    <w:rsid w:val="00E03972"/>
    <w:rsid w:val="00E07239"/>
    <w:rsid w:val="00E10560"/>
    <w:rsid w:val="00E10D19"/>
    <w:rsid w:val="00E12C27"/>
    <w:rsid w:val="00E12CB7"/>
    <w:rsid w:val="00E146CD"/>
    <w:rsid w:val="00E14849"/>
    <w:rsid w:val="00E14D97"/>
    <w:rsid w:val="00E20CED"/>
    <w:rsid w:val="00E2196B"/>
    <w:rsid w:val="00E223A2"/>
    <w:rsid w:val="00E22661"/>
    <w:rsid w:val="00E25EEF"/>
    <w:rsid w:val="00E301D4"/>
    <w:rsid w:val="00E3507D"/>
    <w:rsid w:val="00E36CAF"/>
    <w:rsid w:val="00E42521"/>
    <w:rsid w:val="00E44B39"/>
    <w:rsid w:val="00E548FE"/>
    <w:rsid w:val="00E54E8C"/>
    <w:rsid w:val="00E57005"/>
    <w:rsid w:val="00E622E3"/>
    <w:rsid w:val="00E646CC"/>
    <w:rsid w:val="00E64D03"/>
    <w:rsid w:val="00E6618B"/>
    <w:rsid w:val="00E71539"/>
    <w:rsid w:val="00E71F9D"/>
    <w:rsid w:val="00E773EC"/>
    <w:rsid w:val="00E825CB"/>
    <w:rsid w:val="00E844C7"/>
    <w:rsid w:val="00E92DC1"/>
    <w:rsid w:val="00E958C9"/>
    <w:rsid w:val="00E97846"/>
    <w:rsid w:val="00EA3F59"/>
    <w:rsid w:val="00EA7468"/>
    <w:rsid w:val="00EB2330"/>
    <w:rsid w:val="00EB748B"/>
    <w:rsid w:val="00EC43FB"/>
    <w:rsid w:val="00ED0DA5"/>
    <w:rsid w:val="00ED2774"/>
    <w:rsid w:val="00EE0A75"/>
    <w:rsid w:val="00EE1117"/>
    <w:rsid w:val="00EE3405"/>
    <w:rsid w:val="00EE4B5A"/>
    <w:rsid w:val="00EE5D2F"/>
    <w:rsid w:val="00EE79A7"/>
    <w:rsid w:val="00EF7FFE"/>
    <w:rsid w:val="00F04712"/>
    <w:rsid w:val="00F0736C"/>
    <w:rsid w:val="00F1004C"/>
    <w:rsid w:val="00F13BB1"/>
    <w:rsid w:val="00F14755"/>
    <w:rsid w:val="00F177A4"/>
    <w:rsid w:val="00F25E68"/>
    <w:rsid w:val="00F2625F"/>
    <w:rsid w:val="00F265CD"/>
    <w:rsid w:val="00F32397"/>
    <w:rsid w:val="00F402B3"/>
    <w:rsid w:val="00F40868"/>
    <w:rsid w:val="00F40B71"/>
    <w:rsid w:val="00F41B7E"/>
    <w:rsid w:val="00F47DBB"/>
    <w:rsid w:val="00F50B34"/>
    <w:rsid w:val="00F5277B"/>
    <w:rsid w:val="00F53E78"/>
    <w:rsid w:val="00F543D1"/>
    <w:rsid w:val="00F60E13"/>
    <w:rsid w:val="00F62713"/>
    <w:rsid w:val="00F64ACF"/>
    <w:rsid w:val="00F726FD"/>
    <w:rsid w:val="00F72B8E"/>
    <w:rsid w:val="00F73E2D"/>
    <w:rsid w:val="00F7686D"/>
    <w:rsid w:val="00F82D7D"/>
    <w:rsid w:val="00F90032"/>
    <w:rsid w:val="00F96F18"/>
    <w:rsid w:val="00FA012C"/>
    <w:rsid w:val="00FA17EC"/>
    <w:rsid w:val="00FA1A22"/>
    <w:rsid w:val="00FA5A96"/>
    <w:rsid w:val="00FA774F"/>
    <w:rsid w:val="00FB24B6"/>
    <w:rsid w:val="00FB604E"/>
    <w:rsid w:val="00FC1FB9"/>
    <w:rsid w:val="00FC52AA"/>
    <w:rsid w:val="00FC5B9E"/>
    <w:rsid w:val="00FD731D"/>
    <w:rsid w:val="00FE08C9"/>
    <w:rsid w:val="00FE387E"/>
    <w:rsid w:val="00FE430F"/>
    <w:rsid w:val="00FE5ACF"/>
    <w:rsid w:val="00FF6C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rsid w:val="005A19E0"/>
    <w:rPr>
      <w:sz w:val="20"/>
      <w:szCs w:val="20"/>
    </w:rPr>
  </w:style>
  <w:style w:type="character" w:customStyle="1" w:styleId="FootnoteTextChar">
    <w:name w:val="Footnote Text Char"/>
    <w:basedOn w:val="DefaultParagraphFont"/>
    <w:link w:val="FootnoteText"/>
    <w:locked/>
    <w:rPr>
      <w:rFonts w:cs="Times New Roman"/>
    </w:rPr>
  </w:style>
  <w:style w:type="character" w:styleId="FootnoteReference">
    <w:name w:val="footnote reference"/>
    <w:basedOn w:val="DefaultParagraphFont"/>
    <w:uiPriority w:val="99"/>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uiPriority w:val="99"/>
    <w:semiHidden/>
    <w:rsid w:val="00E10560"/>
    <w:rPr>
      <w:rFonts w:cs="Times New Roman"/>
      <w:sz w:val="16"/>
      <w:szCs w:val="16"/>
    </w:rPr>
  </w:style>
  <w:style w:type="paragraph" w:styleId="CommentText">
    <w:name w:val="annotation text"/>
    <w:basedOn w:val="Normal"/>
    <w:link w:val="CommentTextChar"/>
    <w:uiPriority w:val="99"/>
    <w:semiHidden/>
    <w:rsid w:val="00E10560"/>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 w:type="table" w:styleId="TableGrid">
    <w:name w:val="Table Grid"/>
    <w:basedOn w:val="TableNormal"/>
    <w:uiPriority w:val="59"/>
    <w:rsid w:val="0018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rsid w:val="005A19E0"/>
    <w:rPr>
      <w:sz w:val="20"/>
      <w:szCs w:val="20"/>
    </w:rPr>
  </w:style>
  <w:style w:type="character" w:customStyle="1" w:styleId="FootnoteTextChar">
    <w:name w:val="Footnote Text Char"/>
    <w:basedOn w:val="DefaultParagraphFont"/>
    <w:link w:val="FootnoteText"/>
    <w:locked/>
    <w:rPr>
      <w:rFonts w:cs="Times New Roman"/>
    </w:rPr>
  </w:style>
  <w:style w:type="character" w:styleId="FootnoteReference">
    <w:name w:val="footnote reference"/>
    <w:basedOn w:val="DefaultParagraphFont"/>
    <w:uiPriority w:val="99"/>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uiPriority w:val="99"/>
    <w:semiHidden/>
    <w:rsid w:val="00E10560"/>
    <w:rPr>
      <w:rFonts w:cs="Times New Roman"/>
      <w:sz w:val="16"/>
      <w:szCs w:val="16"/>
    </w:rPr>
  </w:style>
  <w:style w:type="paragraph" w:styleId="CommentText">
    <w:name w:val="annotation text"/>
    <w:basedOn w:val="Normal"/>
    <w:link w:val="CommentTextChar"/>
    <w:uiPriority w:val="99"/>
    <w:semiHidden/>
    <w:rsid w:val="00E10560"/>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 w:type="table" w:styleId="TableGrid">
    <w:name w:val="Table Grid"/>
    <w:basedOn w:val="TableNormal"/>
    <w:uiPriority w:val="59"/>
    <w:rsid w:val="0018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06586">
      <w:marLeft w:val="0"/>
      <w:marRight w:val="0"/>
      <w:marTop w:val="0"/>
      <w:marBottom w:val="0"/>
      <w:divBdr>
        <w:top w:val="none" w:sz="0" w:space="0" w:color="auto"/>
        <w:left w:val="none" w:sz="0" w:space="0" w:color="auto"/>
        <w:bottom w:val="none" w:sz="0" w:space="0" w:color="auto"/>
        <w:right w:val="none" w:sz="0" w:space="0" w:color="auto"/>
      </w:divBdr>
    </w:div>
    <w:div w:id="918906587">
      <w:marLeft w:val="0"/>
      <w:marRight w:val="0"/>
      <w:marTop w:val="0"/>
      <w:marBottom w:val="0"/>
      <w:divBdr>
        <w:top w:val="none" w:sz="0" w:space="0" w:color="auto"/>
        <w:left w:val="none" w:sz="0" w:space="0" w:color="auto"/>
        <w:bottom w:val="none" w:sz="0" w:space="0" w:color="auto"/>
        <w:right w:val="none" w:sz="0" w:space="0" w:color="auto"/>
      </w:divBdr>
    </w:div>
    <w:div w:id="918906588">
      <w:marLeft w:val="0"/>
      <w:marRight w:val="0"/>
      <w:marTop w:val="0"/>
      <w:marBottom w:val="0"/>
      <w:divBdr>
        <w:top w:val="none" w:sz="0" w:space="0" w:color="auto"/>
        <w:left w:val="none" w:sz="0" w:space="0" w:color="auto"/>
        <w:bottom w:val="none" w:sz="0" w:space="0" w:color="auto"/>
        <w:right w:val="none" w:sz="0" w:space="0" w:color="auto"/>
      </w:divBdr>
    </w:div>
    <w:div w:id="918906589">
      <w:marLeft w:val="0"/>
      <w:marRight w:val="0"/>
      <w:marTop w:val="0"/>
      <w:marBottom w:val="0"/>
      <w:divBdr>
        <w:top w:val="none" w:sz="0" w:space="0" w:color="auto"/>
        <w:left w:val="none" w:sz="0" w:space="0" w:color="auto"/>
        <w:bottom w:val="none" w:sz="0" w:space="0" w:color="auto"/>
        <w:right w:val="none" w:sz="0" w:space="0" w:color="auto"/>
      </w:divBdr>
    </w:div>
    <w:div w:id="918906590">
      <w:marLeft w:val="0"/>
      <w:marRight w:val="0"/>
      <w:marTop w:val="0"/>
      <w:marBottom w:val="0"/>
      <w:divBdr>
        <w:top w:val="none" w:sz="0" w:space="0" w:color="auto"/>
        <w:left w:val="none" w:sz="0" w:space="0" w:color="auto"/>
        <w:bottom w:val="none" w:sz="0" w:space="0" w:color="auto"/>
        <w:right w:val="none" w:sz="0" w:space="0" w:color="auto"/>
      </w:divBdr>
    </w:div>
    <w:div w:id="918906591">
      <w:marLeft w:val="0"/>
      <w:marRight w:val="0"/>
      <w:marTop w:val="0"/>
      <w:marBottom w:val="0"/>
      <w:divBdr>
        <w:top w:val="none" w:sz="0" w:space="0" w:color="auto"/>
        <w:left w:val="none" w:sz="0" w:space="0" w:color="auto"/>
        <w:bottom w:val="none" w:sz="0" w:space="0" w:color="auto"/>
        <w:right w:val="none" w:sz="0" w:space="0" w:color="auto"/>
      </w:divBdr>
    </w:div>
    <w:div w:id="918906592">
      <w:marLeft w:val="0"/>
      <w:marRight w:val="0"/>
      <w:marTop w:val="0"/>
      <w:marBottom w:val="0"/>
      <w:divBdr>
        <w:top w:val="none" w:sz="0" w:space="0" w:color="auto"/>
        <w:left w:val="none" w:sz="0" w:space="0" w:color="auto"/>
        <w:bottom w:val="none" w:sz="0" w:space="0" w:color="auto"/>
        <w:right w:val="none" w:sz="0" w:space="0" w:color="auto"/>
      </w:divBdr>
    </w:div>
    <w:div w:id="918906593">
      <w:marLeft w:val="0"/>
      <w:marRight w:val="0"/>
      <w:marTop w:val="0"/>
      <w:marBottom w:val="0"/>
      <w:divBdr>
        <w:top w:val="none" w:sz="0" w:space="0" w:color="auto"/>
        <w:left w:val="none" w:sz="0" w:space="0" w:color="auto"/>
        <w:bottom w:val="none" w:sz="0" w:space="0" w:color="auto"/>
        <w:right w:val="none" w:sz="0" w:space="0" w:color="auto"/>
      </w:divBdr>
    </w:div>
    <w:div w:id="918906594">
      <w:marLeft w:val="0"/>
      <w:marRight w:val="0"/>
      <w:marTop w:val="0"/>
      <w:marBottom w:val="0"/>
      <w:divBdr>
        <w:top w:val="none" w:sz="0" w:space="0" w:color="auto"/>
        <w:left w:val="none" w:sz="0" w:space="0" w:color="auto"/>
        <w:bottom w:val="none" w:sz="0" w:space="0" w:color="auto"/>
        <w:right w:val="none" w:sz="0" w:space="0" w:color="auto"/>
      </w:divBdr>
    </w:div>
    <w:div w:id="918906595">
      <w:marLeft w:val="0"/>
      <w:marRight w:val="0"/>
      <w:marTop w:val="0"/>
      <w:marBottom w:val="0"/>
      <w:divBdr>
        <w:top w:val="none" w:sz="0" w:space="0" w:color="auto"/>
        <w:left w:val="none" w:sz="0" w:space="0" w:color="auto"/>
        <w:bottom w:val="none" w:sz="0" w:space="0" w:color="auto"/>
        <w:right w:val="none" w:sz="0" w:space="0" w:color="auto"/>
      </w:divBdr>
    </w:div>
    <w:div w:id="918906596">
      <w:marLeft w:val="0"/>
      <w:marRight w:val="0"/>
      <w:marTop w:val="0"/>
      <w:marBottom w:val="0"/>
      <w:divBdr>
        <w:top w:val="none" w:sz="0" w:space="0" w:color="auto"/>
        <w:left w:val="none" w:sz="0" w:space="0" w:color="auto"/>
        <w:bottom w:val="none" w:sz="0" w:space="0" w:color="auto"/>
        <w:right w:val="none" w:sz="0" w:space="0" w:color="auto"/>
      </w:divBdr>
    </w:div>
    <w:div w:id="918906597">
      <w:marLeft w:val="0"/>
      <w:marRight w:val="0"/>
      <w:marTop w:val="0"/>
      <w:marBottom w:val="0"/>
      <w:divBdr>
        <w:top w:val="none" w:sz="0" w:space="0" w:color="auto"/>
        <w:left w:val="none" w:sz="0" w:space="0" w:color="auto"/>
        <w:bottom w:val="none" w:sz="0" w:space="0" w:color="auto"/>
        <w:right w:val="none" w:sz="0" w:space="0" w:color="auto"/>
      </w:divBdr>
    </w:div>
    <w:div w:id="918906598">
      <w:marLeft w:val="0"/>
      <w:marRight w:val="0"/>
      <w:marTop w:val="0"/>
      <w:marBottom w:val="0"/>
      <w:divBdr>
        <w:top w:val="none" w:sz="0" w:space="0" w:color="auto"/>
        <w:left w:val="none" w:sz="0" w:space="0" w:color="auto"/>
        <w:bottom w:val="none" w:sz="0" w:space="0" w:color="auto"/>
        <w:right w:val="none" w:sz="0" w:space="0" w:color="auto"/>
      </w:divBdr>
    </w:div>
    <w:div w:id="918906599">
      <w:marLeft w:val="0"/>
      <w:marRight w:val="0"/>
      <w:marTop w:val="0"/>
      <w:marBottom w:val="0"/>
      <w:divBdr>
        <w:top w:val="none" w:sz="0" w:space="0" w:color="auto"/>
        <w:left w:val="none" w:sz="0" w:space="0" w:color="auto"/>
        <w:bottom w:val="none" w:sz="0" w:space="0" w:color="auto"/>
        <w:right w:val="none" w:sz="0" w:space="0" w:color="auto"/>
      </w:divBdr>
    </w:div>
    <w:div w:id="918906600">
      <w:marLeft w:val="0"/>
      <w:marRight w:val="0"/>
      <w:marTop w:val="0"/>
      <w:marBottom w:val="0"/>
      <w:divBdr>
        <w:top w:val="none" w:sz="0" w:space="0" w:color="auto"/>
        <w:left w:val="none" w:sz="0" w:space="0" w:color="auto"/>
        <w:bottom w:val="none" w:sz="0" w:space="0" w:color="auto"/>
        <w:right w:val="none" w:sz="0" w:space="0" w:color="auto"/>
      </w:divBdr>
    </w:div>
    <w:div w:id="918906601">
      <w:marLeft w:val="0"/>
      <w:marRight w:val="0"/>
      <w:marTop w:val="0"/>
      <w:marBottom w:val="0"/>
      <w:divBdr>
        <w:top w:val="none" w:sz="0" w:space="0" w:color="auto"/>
        <w:left w:val="none" w:sz="0" w:space="0" w:color="auto"/>
        <w:bottom w:val="none" w:sz="0" w:space="0" w:color="auto"/>
        <w:right w:val="none" w:sz="0" w:space="0" w:color="auto"/>
      </w:divBdr>
    </w:div>
    <w:div w:id="918906602">
      <w:marLeft w:val="0"/>
      <w:marRight w:val="0"/>
      <w:marTop w:val="0"/>
      <w:marBottom w:val="0"/>
      <w:divBdr>
        <w:top w:val="none" w:sz="0" w:space="0" w:color="auto"/>
        <w:left w:val="none" w:sz="0" w:space="0" w:color="auto"/>
        <w:bottom w:val="none" w:sz="0" w:space="0" w:color="auto"/>
        <w:right w:val="none" w:sz="0" w:space="0" w:color="auto"/>
      </w:divBdr>
    </w:div>
    <w:div w:id="918906603">
      <w:marLeft w:val="0"/>
      <w:marRight w:val="0"/>
      <w:marTop w:val="0"/>
      <w:marBottom w:val="0"/>
      <w:divBdr>
        <w:top w:val="none" w:sz="0" w:space="0" w:color="auto"/>
        <w:left w:val="none" w:sz="0" w:space="0" w:color="auto"/>
        <w:bottom w:val="none" w:sz="0" w:space="0" w:color="auto"/>
        <w:right w:val="none" w:sz="0" w:space="0" w:color="auto"/>
      </w:divBdr>
    </w:div>
    <w:div w:id="918906604">
      <w:marLeft w:val="0"/>
      <w:marRight w:val="0"/>
      <w:marTop w:val="0"/>
      <w:marBottom w:val="0"/>
      <w:divBdr>
        <w:top w:val="none" w:sz="0" w:space="0" w:color="auto"/>
        <w:left w:val="none" w:sz="0" w:space="0" w:color="auto"/>
        <w:bottom w:val="none" w:sz="0" w:space="0" w:color="auto"/>
        <w:right w:val="none" w:sz="0" w:space="0" w:color="auto"/>
      </w:divBdr>
    </w:div>
    <w:div w:id="918906605">
      <w:marLeft w:val="0"/>
      <w:marRight w:val="0"/>
      <w:marTop w:val="0"/>
      <w:marBottom w:val="0"/>
      <w:divBdr>
        <w:top w:val="none" w:sz="0" w:space="0" w:color="auto"/>
        <w:left w:val="none" w:sz="0" w:space="0" w:color="auto"/>
        <w:bottom w:val="none" w:sz="0" w:space="0" w:color="auto"/>
        <w:right w:val="none" w:sz="0" w:space="0" w:color="auto"/>
      </w:divBdr>
    </w:div>
    <w:div w:id="918906606">
      <w:marLeft w:val="0"/>
      <w:marRight w:val="0"/>
      <w:marTop w:val="0"/>
      <w:marBottom w:val="0"/>
      <w:divBdr>
        <w:top w:val="none" w:sz="0" w:space="0" w:color="auto"/>
        <w:left w:val="none" w:sz="0" w:space="0" w:color="auto"/>
        <w:bottom w:val="none" w:sz="0" w:space="0" w:color="auto"/>
        <w:right w:val="none" w:sz="0" w:space="0" w:color="auto"/>
      </w:divBdr>
    </w:div>
    <w:div w:id="918906607">
      <w:marLeft w:val="0"/>
      <w:marRight w:val="0"/>
      <w:marTop w:val="0"/>
      <w:marBottom w:val="0"/>
      <w:divBdr>
        <w:top w:val="none" w:sz="0" w:space="0" w:color="auto"/>
        <w:left w:val="none" w:sz="0" w:space="0" w:color="auto"/>
        <w:bottom w:val="none" w:sz="0" w:space="0" w:color="auto"/>
        <w:right w:val="none" w:sz="0" w:space="0" w:color="auto"/>
      </w:divBdr>
    </w:div>
    <w:div w:id="918906608">
      <w:marLeft w:val="0"/>
      <w:marRight w:val="0"/>
      <w:marTop w:val="0"/>
      <w:marBottom w:val="0"/>
      <w:divBdr>
        <w:top w:val="none" w:sz="0" w:space="0" w:color="auto"/>
        <w:left w:val="none" w:sz="0" w:space="0" w:color="auto"/>
        <w:bottom w:val="none" w:sz="0" w:space="0" w:color="auto"/>
        <w:right w:val="none" w:sz="0" w:space="0" w:color="auto"/>
      </w:divBdr>
    </w:div>
    <w:div w:id="918906609">
      <w:marLeft w:val="0"/>
      <w:marRight w:val="0"/>
      <w:marTop w:val="0"/>
      <w:marBottom w:val="0"/>
      <w:divBdr>
        <w:top w:val="none" w:sz="0" w:space="0" w:color="auto"/>
        <w:left w:val="none" w:sz="0" w:space="0" w:color="auto"/>
        <w:bottom w:val="none" w:sz="0" w:space="0" w:color="auto"/>
        <w:right w:val="none" w:sz="0" w:space="0" w:color="auto"/>
      </w:divBdr>
    </w:div>
    <w:div w:id="918906610">
      <w:marLeft w:val="0"/>
      <w:marRight w:val="0"/>
      <w:marTop w:val="0"/>
      <w:marBottom w:val="0"/>
      <w:divBdr>
        <w:top w:val="none" w:sz="0" w:space="0" w:color="auto"/>
        <w:left w:val="none" w:sz="0" w:space="0" w:color="auto"/>
        <w:bottom w:val="none" w:sz="0" w:space="0" w:color="auto"/>
        <w:right w:val="none" w:sz="0" w:space="0" w:color="auto"/>
      </w:divBdr>
    </w:div>
    <w:div w:id="918906611">
      <w:marLeft w:val="0"/>
      <w:marRight w:val="0"/>
      <w:marTop w:val="0"/>
      <w:marBottom w:val="0"/>
      <w:divBdr>
        <w:top w:val="none" w:sz="0" w:space="0" w:color="auto"/>
        <w:left w:val="none" w:sz="0" w:space="0" w:color="auto"/>
        <w:bottom w:val="none" w:sz="0" w:space="0" w:color="auto"/>
        <w:right w:val="none" w:sz="0" w:space="0" w:color="auto"/>
      </w:divBdr>
    </w:div>
    <w:div w:id="918906612">
      <w:marLeft w:val="0"/>
      <w:marRight w:val="0"/>
      <w:marTop w:val="0"/>
      <w:marBottom w:val="0"/>
      <w:divBdr>
        <w:top w:val="none" w:sz="0" w:space="0" w:color="auto"/>
        <w:left w:val="none" w:sz="0" w:space="0" w:color="auto"/>
        <w:bottom w:val="none" w:sz="0" w:space="0" w:color="auto"/>
        <w:right w:val="none" w:sz="0" w:space="0" w:color="auto"/>
      </w:divBdr>
    </w:div>
    <w:div w:id="918906613">
      <w:marLeft w:val="0"/>
      <w:marRight w:val="0"/>
      <w:marTop w:val="0"/>
      <w:marBottom w:val="0"/>
      <w:divBdr>
        <w:top w:val="none" w:sz="0" w:space="0" w:color="auto"/>
        <w:left w:val="none" w:sz="0" w:space="0" w:color="auto"/>
        <w:bottom w:val="none" w:sz="0" w:space="0" w:color="auto"/>
        <w:right w:val="none" w:sz="0" w:space="0" w:color="auto"/>
      </w:divBdr>
    </w:div>
    <w:div w:id="918906614">
      <w:marLeft w:val="0"/>
      <w:marRight w:val="0"/>
      <w:marTop w:val="0"/>
      <w:marBottom w:val="0"/>
      <w:divBdr>
        <w:top w:val="none" w:sz="0" w:space="0" w:color="auto"/>
        <w:left w:val="none" w:sz="0" w:space="0" w:color="auto"/>
        <w:bottom w:val="none" w:sz="0" w:space="0" w:color="auto"/>
        <w:right w:val="none" w:sz="0" w:space="0" w:color="auto"/>
      </w:divBdr>
    </w:div>
    <w:div w:id="918906615">
      <w:marLeft w:val="0"/>
      <w:marRight w:val="0"/>
      <w:marTop w:val="0"/>
      <w:marBottom w:val="0"/>
      <w:divBdr>
        <w:top w:val="none" w:sz="0" w:space="0" w:color="auto"/>
        <w:left w:val="none" w:sz="0" w:space="0" w:color="auto"/>
        <w:bottom w:val="none" w:sz="0" w:space="0" w:color="auto"/>
        <w:right w:val="none" w:sz="0" w:space="0" w:color="auto"/>
      </w:divBdr>
    </w:div>
    <w:div w:id="918906616">
      <w:marLeft w:val="0"/>
      <w:marRight w:val="0"/>
      <w:marTop w:val="0"/>
      <w:marBottom w:val="0"/>
      <w:divBdr>
        <w:top w:val="none" w:sz="0" w:space="0" w:color="auto"/>
        <w:left w:val="none" w:sz="0" w:space="0" w:color="auto"/>
        <w:bottom w:val="none" w:sz="0" w:space="0" w:color="auto"/>
        <w:right w:val="none" w:sz="0" w:space="0" w:color="auto"/>
      </w:divBdr>
    </w:div>
    <w:div w:id="918906617">
      <w:marLeft w:val="0"/>
      <w:marRight w:val="0"/>
      <w:marTop w:val="0"/>
      <w:marBottom w:val="0"/>
      <w:divBdr>
        <w:top w:val="none" w:sz="0" w:space="0" w:color="auto"/>
        <w:left w:val="none" w:sz="0" w:space="0" w:color="auto"/>
        <w:bottom w:val="none" w:sz="0" w:space="0" w:color="auto"/>
        <w:right w:val="none" w:sz="0" w:space="0" w:color="auto"/>
      </w:divBdr>
    </w:div>
    <w:div w:id="918906618">
      <w:marLeft w:val="0"/>
      <w:marRight w:val="0"/>
      <w:marTop w:val="0"/>
      <w:marBottom w:val="0"/>
      <w:divBdr>
        <w:top w:val="none" w:sz="0" w:space="0" w:color="auto"/>
        <w:left w:val="none" w:sz="0" w:space="0" w:color="auto"/>
        <w:bottom w:val="none" w:sz="0" w:space="0" w:color="auto"/>
        <w:right w:val="none" w:sz="0" w:space="0" w:color="auto"/>
      </w:divBdr>
    </w:div>
    <w:div w:id="918906619">
      <w:marLeft w:val="0"/>
      <w:marRight w:val="0"/>
      <w:marTop w:val="0"/>
      <w:marBottom w:val="0"/>
      <w:divBdr>
        <w:top w:val="none" w:sz="0" w:space="0" w:color="auto"/>
        <w:left w:val="none" w:sz="0" w:space="0" w:color="auto"/>
        <w:bottom w:val="none" w:sz="0" w:space="0" w:color="auto"/>
        <w:right w:val="none" w:sz="0" w:space="0" w:color="auto"/>
      </w:divBdr>
    </w:div>
    <w:div w:id="918906620">
      <w:marLeft w:val="0"/>
      <w:marRight w:val="0"/>
      <w:marTop w:val="0"/>
      <w:marBottom w:val="0"/>
      <w:divBdr>
        <w:top w:val="none" w:sz="0" w:space="0" w:color="auto"/>
        <w:left w:val="none" w:sz="0" w:space="0" w:color="auto"/>
        <w:bottom w:val="none" w:sz="0" w:space="0" w:color="auto"/>
        <w:right w:val="none" w:sz="0" w:space="0" w:color="auto"/>
      </w:divBdr>
    </w:div>
    <w:div w:id="918906621">
      <w:marLeft w:val="0"/>
      <w:marRight w:val="0"/>
      <w:marTop w:val="0"/>
      <w:marBottom w:val="0"/>
      <w:divBdr>
        <w:top w:val="none" w:sz="0" w:space="0" w:color="auto"/>
        <w:left w:val="none" w:sz="0" w:space="0" w:color="auto"/>
        <w:bottom w:val="none" w:sz="0" w:space="0" w:color="auto"/>
        <w:right w:val="none" w:sz="0" w:space="0" w:color="auto"/>
      </w:divBdr>
    </w:div>
    <w:div w:id="918906622">
      <w:marLeft w:val="0"/>
      <w:marRight w:val="0"/>
      <w:marTop w:val="0"/>
      <w:marBottom w:val="0"/>
      <w:divBdr>
        <w:top w:val="none" w:sz="0" w:space="0" w:color="auto"/>
        <w:left w:val="none" w:sz="0" w:space="0" w:color="auto"/>
        <w:bottom w:val="none" w:sz="0" w:space="0" w:color="auto"/>
        <w:right w:val="none" w:sz="0" w:space="0" w:color="auto"/>
      </w:divBdr>
    </w:div>
    <w:div w:id="918906623">
      <w:marLeft w:val="0"/>
      <w:marRight w:val="0"/>
      <w:marTop w:val="0"/>
      <w:marBottom w:val="0"/>
      <w:divBdr>
        <w:top w:val="none" w:sz="0" w:space="0" w:color="auto"/>
        <w:left w:val="none" w:sz="0" w:space="0" w:color="auto"/>
        <w:bottom w:val="none" w:sz="0" w:space="0" w:color="auto"/>
        <w:right w:val="none" w:sz="0" w:space="0" w:color="auto"/>
      </w:divBdr>
    </w:div>
    <w:div w:id="918906624">
      <w:marLeft w:val="0"/>
      <w:marRight w:val="0"/>
      <w:marTop w:val="0"/>
      <w:marBottom w:val="0"/>
      <w:divBdr>
        <w:top w:val="none" w:sz="0" w:space="0" w:color="auto"/>
        <w:left w:val="none" w:sz="0" w:space="0" w:color="auto"/>
        <w:bottom w:val="none" w:sz="0" w:space="0" w:color="auto"/>
        <w:right w:val="none" w:sz="0" w:space="0" w:color="auto"/>
      </w:divBdr>
    </w:div>
    <w:div w:id="918906625">
      <w:marLeft w:val="0"/>
      <w:marRight w:val="0"/>
      <w:marTop w:val="0"/>
      <w:marBottom w:val="0"/>
      <w:divBdr>
        <w:top w:val="none" w:sz="0" w:space="0" w:color="auto"/>
        <w:left w:val="none" w:sz="0" w:space="0" w:color="auto"/>
        <w:bottom w:val="none" w:sz="0" w:space="0" w:color="auto"/>
        <w:right w:val="none" w:sz="0" w:space="0" w:color="auto"/>
      </w:divBdr>
    </w:div>
    <w:div w:id="918906626">
      <w:marLeft w:val="0"/>
      <w:marRight w:val="0"/>
      <w:marTop w:val="0"/>
      <w:marBottom w:val="0"/>
      <w:divBdr>
        <w:top w:val="none" w:sz="0" w:space="0" w:color="auto"/>
        <w:left w:val="none" w:sz="0" w:space="0" w:color="auto"/>
        <w:bottom w:val="none" w:sz="0" w:space="0" w:color="auto"/>
        <w:right w:val="none" w:sz="0" w:space="0" w:color="auto"/>
      </w:divBdr>
    </w:div>
    <w:div w:id="918906628">
      <w:marLeft w:val="0"/>
      <w:marRight w:val="0"/>
      <w:marTop w:val="0"/>
      <w:marBottom w:val="0"/>
      <w:divBdr>
        <w:top w:val="none" w:sz="0" w:space="0" w:color="auto"/>
        <w:left w:val="none" w:sz="0" w:space="0" w:color="auto"/>
        <w:bottom w:val="none" w:sz="0" w:space="0" w:color="auto"/>
        <w:right w:val="none" w:sz="0" w:space="0" w:color="auto"/>
      </w:divBdr>
    </w:div>
    <w:div w:id="918906629">
      <w:marLeft w:val="0"/>
      <w:marRight w:val="0"/>
      <w:marTop w:val="0"/>
      <w:marBottom w:val="0"/>
      <w:divBdr>
        <w:top w:val="none" w:sz="0" w:space="0" w:color="auto"/>
        <w:left w:val="none" w:sz="0" w:space="0" w:color="auto"/>
        <w:bottom w:val="none" w:sz="0" w:space="0" w:color="auto"/>
        <w:right w:val="none" w:sz="0" w:space="0" w:color="auto"/>
      </w:divBdr>
    </w:div>
    <w:div w:id="918906630">
      <w:marLeft w:val="0"/>
      <w:marRight w:val="0"/>
      <w:marTop w:val="0"/>
      <w:marBottom w:val="0"/>
      <w:divBdr>
        <w:top w:val="none" w:sz="0" w:space="0" w:color="auto"/>
        <w:left w:val="none" w:sz="0" w:space="0" w:color="auto"/>
        <w:bottom w:val="none" w:sz="0" w:space="0" w:color="auto"/>
        <w:right w:val="none" w:sz="0" w:space="0" w:color="auto"/>
      </w:divBdr>
    </w:div>
    <w:div w:id="918906631">
      <w:marLeft w:val="0"/>
      <w:marRight w:val="0"/>
      <w:marTop w:val="0"/>
      <w:marBottom w:val="0"/>
      <w:divBdr>
        <w:top w:val="none" w:sz="0" w:space="0" w:color="auto"/>
        <w:left w:val="none" w:sz="0" w:space="0" w:color="auto"/>
        <w:bottom w:val="none" w:sz="0" w:space="0" w:color="auto"/>
        <w:right w:val="none" w:sz="0" w:space="0" w:color="auto"/>
      </w:divBdr>
    </w:div>
    <w:div w:id="918906632">
      <w:marLeft w:val="0"/>
      <w:marRight w:val="0"/>
      <w:marTop w:val="0"/>
      <w:marBottom w:val="0"/>
      <w:divBdr>
        <w:top w:val="none" w:sz="0" w:space="0" w:color="auto"/>
        <w:left w:val="none" w:sz="0" w:space="0" w:color="auto"/>
        <w:bottom w:val="none" w:sz="0" w:space="0" w:color="auto"/>
        <w:right w:val="none" w:sz="0" w:space="0" w:color="auto"/>
      </w:divBdr>
    </w:div>
    <w:div w:id="918906633">
      <w:marLeft w:val="0"/>
      <w:marRight w:val="0"/>
      <w:marTop w:val="0"/>
      <w:marBottom w:val="0"/>
      <w:divBdr>
        <w:top w:val="none" w:sz="0" w:space="0" w:color="auto"/>
        <w:left w:val="none" w:sz="0" w:space="0" w:color="auto"/>
        <w:bottom w:val="none" w:sz="0" w:space="0" w:color="auto"/>
        <w:right w:val="none" w:sz="0" w:space="0" w:color="auto"/>
      </w:divBdr>
    </w:div>
    <w:div w:id="918906634">
      <w:marLeft w:val="0"/>
      <w:marRight w:val="0"/>
      <w:marTop w:val="0"/>
      <w:marBottom w:val="0"/>
      <w:divBdr>
        <w:top w:val="none" w:sz="0" w:space="0" w:color="auto"/>
        <w:left w:val="none" w:sz="0" w:space="0" w:color="auto"/>
        <w:bottom w:val="none" w:sz="0" w:space="0" w:color="auto"/>
        <w:right w:val="none" w:sz="0" w:space="0" w:color="auto"/>
      </w:divBdr>
    </w:div>
    <w:div w:id="918906635">
      <w:marLeft w:val="0"/>
      <w:marRight w:val="0"/>
      <w:marTop w:val="0"/>
      <w:marBottom w:val="0"/>
      <w:divBdr>
        <w:top w:val="none" w:sz="0" w:space="0" w:color="auto"/>
        <w:left w:val="none" w:sz="0" w:space="0" w:color="auto"/>
        <w:bottom w:val="none" w:sz="0" w:space="0" w:color="auto"/>
        <w:right w:val="none" w:sz="0" w:space="0" w:color="auto"/>
      </w:divBdr>
    </w:div>
    <w:div w:id="918906636">
      <w:marLeft w:val="0"/>
      <w:marRight w:val="0"/>
      <w:marTop w:val="0"/>
      <w:marBottom w:val="0"/>
      <w:divBdr>
        <w:top w:val="none" w:sz="0" w:space="0" w:color="auto"/>
        <w:left w:val="none" w:sz="0" w:space="0" w:color="auto"/>
        <w:bottom w:val="none" w:sz="0" w:space="0" w:color="auto"/>
        <w:right w:val="none" w:sz="0" w:space="0" w:color="auto"/>
      </w:divBdr>
    </w:div>
    <w:div w:id="918906637">
      <w:marLeft w:val="0"/>
      <w:marRight w:val="0"/>
      <w:marTop w:val="0"/>
      <w:marBottom w:val="0"/>
      <w:divBdr>
        <w:top w:val="none" w:sz="0" w:space="0" w:color="auto"/>
        <w:left w:val="none" w:sz="0" w:space="0" w:color="auto"/>
        <w:bottom w:val="none" w:sz="0" w:space="0" w:color="auto"/>
        <w:right w:val="none" w:sz="0" w:space="0" w:color="auto"/>
      </w:divBdr>
    </w:div>
    <w:div w:id="918906638">
      <w:marLeft w:val="0"/>
      <w:marRight w:val="0"/>
      <w:marTop w:val="0"/>
      <w:marBottom w:val="0"/>
      <w:divBdr>
        <w:top w:val="none" w:sz="0" w:space="0" w:color="auto"/>
        <w:left w:val="none" w:sz="0" w:space="0" w:color="auto"/>
        <w:bottom w:val="none" w:sz="0" w:space="0" w:color="auto"/>
        <w:right w:val="none" w:sz="0" w:space="0" w:color="auto"/>
      </w:divBdr>
    </w:div>
    <w:div w:id="918906639">
      <w:marLeft w:val="0"/>
      <w:marRight w:val="0"/>
      <w:marTop w:val="0"/>
      <w:marBottom w:val="0"/>
      <w:divBdr>
        <w:top w:val="none" w:sz="0" w:space="0" w:color="auto"/>
        <w:left w:val="none" w:sz="0" w:space="0" w:color="auto"/>
        <w:bottom w:val="none" w:sz="0" w:space="0" w:color="auto"/>
        <w:right w:val="none" w:sz="0" w:space="0" w:color="auto"/>
      </w:divBdr>
    </w:div>
    <w:div w:id="918906640">
      <w:marLeft w:val="0"/>
      <w:marRight w:val="0"/>
      <w:marTop w:val="0"/>
      <w:marBottom w:val="0"/>
      <w:divBdr>
        <w:top w:val="none" w:sz="0" w:space="0" w:color="auto"/>
        <w:left w:val="none" w:sz="0" w:space="0" w:color="auto"/>
        <w:bottom w:val="none" w:sz="0" w:space="0" w:color="auto"/>
        <w:right w:val="none" w:sz="0" w:space="0" w:color="auto"/>
      </w:divBdr>
      <w:divsChild>
        <w:div w:id="918906627">
          <w:marLeft w:val="0"/>
          <w:marRight w:val="0"/>
          <w:marTop w:val="0"/>
          <w:marBottom w:val="0"/>
          <w:divBdr>
            <w:top w:val="none" w:sz="0" w:space="0" w:color="auto"/>
            <w:left w:val="none" w:sz="0" w:space="0" w:color="auto"/>
            <w:bottom w:val="none" w:sz="0" w:space="0" w:color="auto"/>
            <w:right w:val="none" w:sz="0" w:space="0" w:color="auto"/>
          </w:divBdr>
        </w:div>
        <w:div w:id="918906644">
          <w:marLeft w:val="0"/>
          <w:marRight w:val="0"/>
          <w:marTop w:val="0"/>
          <w:marBottom w:val="0"/>
          <w:divBdr>
            <w:top w:val="none" w:sz="0" w:space="0" w:color="auto"/>
            <w:left w:val="none" w:sz="0" w:space="0" w:color="auto"/>
            <w:bottom w:val="none" w:sz="0" w:space="0" w:color="auto"/>
            <w:right w:val="none" w:sz="0" w:space="0" w:color="auto"/>
          </w:divBdr>
        </w:div>
      </w:divsChild>
    </w:div>
    <w:div w:id="918906641">
      <w:marLeft w:val="0"/>
      <w:marRight w:val="0"/>
      <w:marTop w:val="0"/>
      <w:marBottom w:val="0"/>
      <w:divBdr>
        <w:top w:val="none" w:sz="0" w:space="0" w:color="auto"/>
        <w:left w:val="none" w:sz="0" w:space="0" w:color="auto"/>
        <w:bottom w:val="none" w:sz="0" w:space="0" w:color="auto"/>
        <w:right w:val="none" w:sz="0" w:space="0" w:color="auto"/>
      </w:divBdr>
    </w:div>
    <w:div w:id="918906642">
      <w:marLeft w:val="0"/>
      <w:marRight w:val="0"/>
      <w:marTop w:val="0"/>
      <w:marBottom w:val="0"/>
      <w:divBdr>
        <w:top w:val="none" w:sz="0" w:space="0" w:color="auto"/>
        <w:left w:val="none" w:sz="0" w:space="0" w:color="auto"/>
        <w:bottom w:val="none" w:sz="0" w:space="0" w:color="auto"/>
        <w:right w:val="none" w:sz="0" w:space="0" w:color="auto"/>
      </w:divBdr>
    </w:div>
    <w:div w:id="918906643">
      <w:marLeft w:val="0"/>
      <w:marRight w:val="0"/>
      <w:marTop w:val="0"/>
      <w:marBottom w:val="0"/>
      <w:divBdr>
        <w:top w:val="none" w:sz="0" w:space="0" w:color="auto"/>
        <w:left w:val="none" w:sz="0" w:space="0" w:color="auto"/>
        <w:bottom w:val="none" w:sz="0" w:space="0" w:color="auto"/>
        <w:right w:val="none" w:sz="0" w:space="0" w:color="auto"/>
      </w:divBdr>
    </w:div>
    <w:div w:id="918906645">
      <w:marLeft w:val="0"/>
      <w:marRight w:val="0"/>
      <w:marTop w:val="0"/>
      <w:marBottom w:val="0"/>
      <w:divBdr>
        <w:top w:val="none" w:sz="0" w:space="0" w:color="auto"/>
        <w:left w:val="none" w:sz="0" w:space="0" w:color="auto"/>
        <w:bottom w:val="none" w:sz="0" w:space="0" w:color="auto"/>
        <w:right w:val="none" w:sz="0" w:space="0" w:color="auto"/>
      </w:divBdr>
    </w:div>
    <w:div w:id="918906646">
      <w:marLeft w:val="0"/>
      <w:marRight w:val="0"/>
      <w:marTop w:val="0"/>
      <w:marBottom w:val="0"/>
      <w:divBdr>
        <w:top w:val="none" w:sz="0" w:space="0" w:color="auto"/>
        <w:left w:val="none" w:sz="0" w:space="0" w:color="auto"/>
        <w:bottom w:val="none" w:sz="0" w:space="0" w:color="auto"/>
        <w:right w:val="none" w:sz="0" w:space="0" w:color="auto"/>
      </w:divBdr>
    </w:div>
    <w:div w:id="918906647">
      <w:marLeft w:val="0"/>
      <w:marRight w:val="0"/>
      <w:marTop w:val="0"/>
      <w:marBottom w:val="0"/>
      <w:divBdr>
        <w:top w:val="none" w:sz="0" w:space="0" w:color="auto"/>
        <w:left w:val="none" w:sz="0" w:space="0" w:color="auto"/>
        <w:bottom w:val="none" w:sz="0" w:space="0" w:color="auto"/>
        <w:right w:val="none" w:sz="0" w:space="0" w:color="auto"/>
      </w:divBdr>
    </w:div>
    <w:div w:id="918906648">
      <w:marLeft w:val="0"/>
      <w:marRight w:val="0"/>
      <w:marTop w:val="0"/>
      <w:marBottom w:val="0"/>
      <w:divBdr>
        <w:top w:val="none" w:sz="0" w:space="0" w:color="auto"/>
        <w:left w:val="none" w:sz="0" w:space="0" w:color="auto"/>
        <w:bottom w:val="none" w:sz="0" w:space="0" w:color="auto"/>
        <w:right w:val="none" w:sz="0" w:space="0" w:color="auto"/>
      </w:divBdr>
    </w:div>
    <w:div w:id="918906649">
      <w:marLeft w:val="0"/>
      <w:marRight w:val="0"/>
      <w:marTop w:val="0"/>
      <w:marBottom w:val="0"/>
      <w:divBdr>
        <w:top w:val="none" w:sz="0" w:space="0" w:color="auto"/>
        <w:left w:val="none" w:sz="0" w:space="0" w:color="auto"/>
        <w:bottom w:val="none" w:sz="0" w:space="0" w:color="auto"/>
        <w:right w:val="none" w:sz="0" w:space="0" w:color="auto"/>
      </w:divBdr>
    </w:div>
    <w:div w:id="918906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BF680-5724-4DD3-87BE-36B70BA7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5641</Words>
  <Characters>32721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From:</vt:lpstr>
    </vt:vector>
  </TitlesOfParts>
  <Company>EBSA</Company>
  <LinksUpToDate>false</LinksUpToDate>
  <CharactersWithSpaces>38286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apt.benjamin</dc:creator>
  <cp:lastModifiedBy>Beckmann, Allan - EBSA</cp:lastModifiedBy>
  <cp:revision>5</cp:revision>
  <cp:lastPrinted>2015-11-05T15:09:00Z</cp:lastPrinted>
  <dcterms:created xsi:type="dcterms:W3CDTF">2015-11-05T15:40:00Z</dcterms:created>
  <dcterms:modified xsi:type="dcterms:W3CDTF">2015-11-05T16:29:00Z</dcterms:modified>
</cp:coreProperties>
</file>