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3D" w:rsidRPr="00FF722F" w:rsidRDefault="00A01190" w:rsidP="00DD530E">
      <w:pPr>
        <w:pStyle w:val="BodyText3"/>
        <w:tabs>
          <w:tab w:val="right" w:pos="10080"/>
        </w:tabs>
        <w:rPr>
          <w:rFonts w:ascii="Times New Roman" w:hAnsi="Times New Roman"/>
          <w:b/>
          <w:bCs/>
          <w:sz w:val="24"/>
          <w:szCs w:val="24"/>
        </w:rPr>
      </w:pPr>
      <w:r w:rsidRPr="00A01190">
        <w:rPr>
          <w:rFonts w:ascii="Times New Roman" w:hAnsi="Times New Roman"/>
          <w:b/>
          <w:bCs/>
        </w:rPr>
        <w:t>Memorandum</w:t>
      </w:r>
      <w:r w:rsidRPr="00A01190">
        <w:rPr>
          <w:rFonts w:ascii="Times New Roman" w:hAnsi="Times New Roman"/>
          <w:b/>
          <w:bCs/>
          <w:sz w:val="24"/>
        </w:rPr>
        <w:tab/>
      </w:r>
      <w:r w:rsidRPr="00A01190">
        <w:rPr>
          <w:rFonts w:ascii="Times New Roman" w:hAnsi="Times New Roman"/>
          <w:b/>
          <w:bCs/>
          <w:sz w:val="24"/>
          <w:szCs w:val="24"/>
        </w:rPr>
        <w:t>United States Department of Education</w:t>
      </w:r>
    </w:p>
    <w:p w:rsidR="00C2153D" w:rsidRPr="00FF722F" w:rsidRDefault="00A01190" w:rsidP="00DD530E">
      <w:pPr>
        <w:pStyle w:val="BodyText3"/>
        <w:tabs>
          <w:tab w:val="right" w:pos="10080"/>
        </w:tabs>
        <w:rPr>
          <w:rFonts w:ascii="Times New Roman" w:hAnsi="Times New Roman"/>
          <w:b/>
          <w:bCs/>
          <w:sz w:val="24"/>
          <w:szCs w:val="24"/>
        </w:rPr>
      </w:pPr>
      <w:r w:rsidRPr="00A01190">
        <w:rPr>
          <w:rFonts w:ascii="Times New Roman" w:hAnsi="Times New Roman"/>
          <w:b/>
          <w:bCs/>
          <w:sz w:val="24"/>
          <w:szCs w:val="24"/>
        </w:rPr>
        <w:tab/>
        <w:t>Institute of Education Sciences</w:t>
      </w:r>
    </w:p>
    <w:p w:rsidR="00C2153D" w:rsidRPr="00DD530E" w:rsidRDefault="00A01190" w:rsidP="00DD530E">
      <w:pPr>
        <w:pStyle w:val="BodyText3"/>
        <w:pBdr>
          <w:bottom w:val="single" w:sz="4" w:space="1" w:color="auto"/>
        </w:pBdr>
        <w:tabs>
          <w:tab w:val="right" w:pos="10080"/>
        </w:tabs>
        <w:rPr>
          <w:rFonts w:ascii="Times New Roman" w:hAnsi="Times New Roman"/>
          <w:b/>
          <w:bCs/>
          <w:sz w:val="24"/>
          <w:szCs w:val="24"/>
        </w:rPr>
      </w:pPr>
      <w:r w:rsidRPr="00DD530E">
        <w:rPr>
          <w:rFonts w:ascii="Times New Roman" w:hAnsi="Times New Roman"/>
          <w:b/>
          <w:bCs/>
          <w:sz w:val="24"/>
          <w:szCs w:val="24"/>
        </w:rPr>
        <w:tab/>
        <w:t>National Center for Education Statistics</w:t>
      </w:r>
    </w:p>
    <w:p w:rsidR="00C2153D" w:rsidRPr="007D2BCD" w:rsidRDefault="00C2153D">
      <w:pPr>
        <w:rPr>
          <w:sz w:val="12"/>
          <w:szCs w:val="12"/>
        </w:rPr>
      </w:pPr>
    </w:p>
    <w:p w:rsidR="00C2153D" w:rsidRPr="00FF722F" w:rsidRDefault="00C2153D" w:rsidP="009A6F75">
      <w:r w:rsidRPr="00FF722F">
        <w:t>DATE:</w:t>
      </w:r>
      <w:r w:rsidRPr="00FF722F">
        <w:tab/>
      </w:r>
      <w:r w:rsidRPr="00FF722F">
        <w:tab/>
      </w:r>
      <w:r w:rsidR="009A6F75" w:rsidRPr="00FF722F">
        <w:t xml:space="preserve">October </w:t>
      </w:r>
      <w:r w:rsidR="00716A48">
        <w:t>2</w:t>
      </w:r>
      <w:r w:rsidR="00B535B3">
        <w:t>7</w:t>
      </w:r>
      <w:r w:rsidR="00716A48">
        <w:t>, 2015</w:t>
      </w:r>
      <w:r w:rsidR="00EB1D0F" w:rsidRPr="00FF722F">
        <w:t xml:space="preserve"> </w:t>
      </w:r>
    </w:p>
    <w:p w:rsidR="00C2153D" w:rsidRPr="006E244B" w:rsidRDefault="00C2153D">
      <w:pPr>
        <w:rPr>
          <w:sz w:val="12"/>
          <w:szCs w:val="12"/>
        </w:rPr>
      </w:pPr>
    </w:p>
    <w:p w:rsidR="00026D24" w:rsidRPr="005B79D4" w:rsidRDefault="00026D24" w:rsidP="00026D24">
      <w:r w:rsidRPr="005B79D4">
        <w:t>TO:</w:t>
      </w:r>
      <w:r w:rsidRPr="005B79D4">
        <w:tab/>
      </w:r>
      <w:r w:rsidRPr="005B79D4">
        <w:tab/>
      </w:r>
      <w:r w:rsidR="0064572E">
        <w:t xml:space="preserve">Robert </w:t>
      </w:r>
      <w:proofErr w:type="spellStart"/>
      <w:r w:rsidR="0064572E">
        <w:t>Sivinski</w:t>
      </w:r>
      <w:proofErr w:type="spellEnd"/>
      <w:r>
        <w:t>, OMB</w:t>
      </w:r>
      <w:r w:rsidRPr="005B79D4">
        <w:t xml:space="preserve">  </w:t>
      </w:r>
    </w:p>
    <w:p w:rsidR="00026D24" w:rsidRPr="006E244B" w:rsidRDefault="00026D24">
      <w:pPr>
        <w:rPr>
          <w:sz w:val="12"/>
          <w:szCs w:val="12"/>
        </w:rPr>
      </w:pPr>
    </w:p>
    <w:p w:rsidR="00C2153D" w:rsidRPr="00FF722F" w:rsidRDefault="00026D24" w:rsidP="006E244B">
      <w:r>
        <w:t>THROUGH</w:t>
      </w:r>
      <w:r w:rsidR="00C2153D" w:rsidRPr="00FF722F">
        <w:t>:</w:t>
      </w:r>
      <w:r>
        <w:tab/>
      </w:r>
      <w:r w:rsidR="000E3482" w:rsidRPr="00FF722F">
        <w:t>Kashka Kubzdela</w:t>
      </w:r>
      <w:r w:rsidR="006E244B">
        <w:t>, OMB Liaison</w:t>
      </w:r>
      <w:r w:rsidR="000E3482" w:rsidRPr="00FF722F">
        <w:t xml:space="preserve">, </w:t>
      </w:r>
      <w:proofErr w:type="gramStart"/>
      <w:r w:rsidR="00C2153D" w:rsidRPr="00FF722F">
        <w:t>NCES</w:t>
      </w:r>
      <w:proofErr w:type="gramEnd"/>
    </w:p>
    <w:p w:rsidR="00C2153D" w:rsidRPr="006E244B" w:rsidRDefault="00C2153D">
      <w:pPr>
        <w:rPr>
          <w:sz w:val="12"/>
          <w:szCs w:val="12"/>
        </w:rPr>
      </w:pPr>
    </w:p>
    <w:p w:rsidR="00C2153D" w:rsidRPr="00DA439D" w:rsidRDefault="00C2153D" w:rsidP="000E3482">
      <w:pPr>
        <w:rPr>
          <w:i/>
        </w:rPr>
      </w:pPr>
      <w:r w:rsidRPr="00FF722F">
        <w:t>FROM:</w:t>
      </w:r>
      <w:r w:rsidRPr="00FF722F">
        <w:tab/>
      </w:r>
      <w:r w:rsidR="00EB1D0F" w:rsidRPr="00FF722F">
        <w:t>Tracy Hunt</w:t>
      </w:r>
      <w:r w:rsidR="00C22608">
        <w:t>-</w:t>
      </w:r>
      <w:r w:rsidR="006E244B">
        <w:t xml:space="preserve">White, </w:t>
      </w:r>
      <w:r w:rsidR="00716A48" w:rsidRPr="00DA439D">
        <w:rPr>
          <w:rStyle w:val="Emphasis"/>
          <w:i w:val="0"/>
        </w:rPr>
        <w:t>Sample Surveys Division: Longitudinal Surveys Branch</w:t>
      </w:r>
      <w:r w:rsidRPr="00DA439D">
        <w:t>, NCES</w:t>
      </w:r>
    </w:p>
    <w:p w:rsidR="00C2153D" w:rsidRPr="006E244B" w:rsidRDefault="00C2153D">
      <w:pPr>
        <w:pStyle w:val="NormalWeb"/>
        <w:rPr>
          <w:sz w:val="12"/>
          <w:szCs w:val="12"/>
        </w:rPr>
      </w:pPr>
    </w:p>
    <w:p w:rsidR="00C2153D" w:rsidRPr="00FF722F" w:rsidRDefault="00C2153D" w:rsidP="000D00E3">
      <w:pPr>
        <w:pStyle w:val="Heading1"/>
        <w:ind w:left="1440" w:hanging="1440"/>
        <w:rPr>
          <w:b w:val="0"/>
          <w:bCs w:val="0"/>
          <w:u w:val="none"/>
        </w:rPr>
      </w:pPr>
      <w:r w:rsidRPr="00FF722F">
        <w:rPr>
          <w:b w:val="0"/>
          <w:bCs w:val="0"/>
          <w:u w:val="none"/>
        </w:rPr>
        <w:t>SUBJECT:</w:t>
      </w:r>
      <w:r w:rsidRPr="00FF722F">
        <w:rPr>
          <w:b w:val="0"/>
          <w:bCs w:val="0"/>
          <w:u w:val="none"/>
        </w:rPr>
        <w:tab/>
      </w:r>
      <w:r w:rsidR="00B535B3" w:rsidRPr="00B535B3">
        <w:rPr>
          <w:b w:val="0"/>
          <w:bCs w:val="0"/>
          <w:u w:val="none"/>
        </w:rPr>
        <w:t>2015-16 National Postsecondary Student Aid Study (NPSAS</w:t>
      </w:r>
      <w:proofErr w:type="gramStart"/>
      <w:r w:rsidR="00B535B3" w:rsidRPr="00B535B3">
        <w:rPr>
          <w:b w:val="0"/>
          <w:bCs w:val="0"/>
          <w:u w:val="none"/>
        </w:rPr>
        <w:t>:16</w:t>
      </w:r>
      <w:proofErr w:type="gramEnd"/>
      <w:r w:rsidR="00B535B3" w:rsidRPr="00B535B3">
        <w:rPr>
          <w:b w:val="0"/>
          <w:bCs w:val="0"/>
          <w:u w:val="none"/>
        </w:rPr>
        <w:t>) Full Scale Institution Contacting And Enrollment List Collection</w:t>
      </w:r>
      <w:r w:rsidR="006E244B">
        <w:rPr>
          <w:b w:val="0"/>
          <w:bCs w:val="0"/>
          <w:u w:val="none"/>
        </w:rPr>
        <w:t xml:space="preserve"> Sampling Update</w:t>
      </w:r>
      <w:r w:rsidR="00B535B3">
        <w:rPr>
          <w:b w:val="0"/>
          <w:bCs w:val="0"/>
          <w:u w:val="none"/>
        </w:rPr>
        <w:t xml:space="preserve"> Change Request (OMB# </w:t>
      </w:r>
      <w:r w:rsidR="00B535B3" w:rsidRPr="00B535B3">
        <w:rPr>
          <w:b w:val="0"/>
          <w:bCs w:val="0"/>
          <w:u w:val="none"/>
        </w:rPr>
        <w:t>1850-0666 v.1</w:t>
      </w:r>
      <w:r w:rsidR="00B535B3">
        <w:rPr>
          <w:b w:val="0"/>
          <w:bCs w:val="0"/>
          <w:u w:val="none"/>
        </w:rPr>
        <w:t>6)</w:t>
      </w:r>
    </w:p>
    <w:p w:rsidR="00C2153D" w:rsidRDefault="009F71A2" w:rsidP="00BE13A2">
      <w:pPr>
        <w:pStyle w:val="Bodytextnoindent"/>
        <w:spacing w:beforeLines="120" w:before="288" w:afterLines="120" w:after="288"/>
        <w:rPr>
          <w:szCs w:val="24"/>
        </w:rPr>
      </w:pPr>
      <w:r>
        <w:rPr>
          <w:szCs w:val="24"/>
        </w:rPr>
        <w:t xml:space="preserve">The </w:t>
      </w:r>
      <w:r w:rsidRPr="00770A91">
        <w:rPr>
          <w:szCs w:val="24"/>
        </w:rPr>
        <w:t>201</w:t>
      </w:r>
      <w:r>
        <w:rPr>
          <w:szCs w:val="24"/>
        </w:rPr>
        <w:t>5-16</w:t>
      </w:r>
      <w:r w:rsidRPr="00770A91">
        <w:rPr>
          <w:szCs w:val="24"/>
        </w:rPr>
        <w:t xml:space="preserve"> National Postsecondary Student Aid Study (NPSAS</w:t>
      </w:r>
      <w:proofErr w:type="gramStart"/>
      <w:r w:rsidRPr="00770A91">
        <w:rPr>
          <w:szCs w:val="24"/>
        </w:rPr>
        <w:t>:1</w:t>
      </w:r>
      <w:r>
        <w:rPr>
          <w:szCs w:val="24"/>
        </w:rPr>
        <w:t>6</w:t>
      </w:r>
      <w:proofErr w:type="gramEnd"/>
      <w:r w:rsidRPr="00770A91">
        <w:rPr>
          <w:szCs w:val="24"/>
        </w:rPr>
        <w:t>)</w:t>
      </w:r>
      <w:r w:rsidRPr="009F71A2">
        <w:t xml:space="preserve"> </w:t>
      </w:r>
      <w:r w:rsidR="00F93002" w:rsidRPr="00F93002">
        <w:t>Full Scale Institution Contacting And Enrollment List Collection</w:t>
      </w:r>
      <w:r w:rsidRPr="00DA5DB2">
        <w:rPr>
          <w:bCs/>
        </w:rPr>
        <w:t xml:space="preserve"> package </w:t>
      </w:r>
      <w:r w:rsidRPr="009F71A2">
        <w:rPr>
          <w:szCs w:val="24"/>
        </w:rPr>
        <w:t>(</w:t>
      </w:r>
      <w:r w:rsidR="00F93002">
        <w:rPr>
          <w:szCs w:val="24"/>
        </w:rPr>
        <w:t>OMB#</w:t>
      </w:r>
      <w:r w:rsidRPr="00FF722F">
        <w:rPr>
          <w:szCs w:val="24"/>
        </w:rPr>
        <w:t xml:space="preserve"> 1850-0666 v.</w:t>
      </w:r>
      <w:r>
        <w:rPr>
          <w:szCs w:val="24"/>
        </w:rPr>
        <w:t>15</w:t>
      </w:r>
      <w:r w:rsidRPr="00FF722F">
        <w:rPr>
          <w:szCs w:val="24"/>
        </w:rPr>
        <w:t>)</w:t>
      </w:r>
      <w:r>
        <w:rPr>
          <w:szCs w:val="24"/>
        </w:rPr>
        <w:t xml:space="preserve"> </w:t>
      </w:r>
      <w:r w:rsidR="00F93002">
        <w:rPr>
          <w:szCs w:val="24"/>
        </w:rPr>
        <w:t xml:space="preserve">was approved </w:t>
      </w:r>
      <w:r w:rsidR="00C2153D" w:rsidRPr="00FF722F">
        <w:rPr>
          <w:szCs w:val="24"/>
        </w:rPr>
        <w:t>in</w:t>
      </w:r>
      <w:r w:rsidR="00955759" w:rsidRPr="00FF722F">
        <w:rPr>
          <w:szCs w:val="24"/>
        </w:rPr>
        <w:t xml:space="preserve"> </w:t>
      </w:r>
      <w:r w:rsidR="00DA439D">
        <w:rPr>
          <w:szCs w:val="24"/>
        </w:rPr>
        <w:t>July 2015</w:t>
      </w:r>
      <w:r w:rsidR="00C22608">
        <w:rPr>
          <w:szCs w:val="24"/>
        </w:rPr>
        <w:t xml:space="preserve">. </w:t>
      </w:r>
      <w:r w:rsidR="000D00E3" w:rsidRPr="00770A91">
        <w:rPr>
          <w:szCs w:val="24"/>
        </w:rPr>
        <w:t>Th</w:t>
      </w:r>
      <w:r w:rsidR="00450CC6" w:rsidRPr="00770A91">
        <w:rPr>
          <w:szCs w:val="24"/>
        </w:rPr>
        <w:t xml:space="preserve">is </w:t>
      </w:r>
      <w:r w:rsidR="006E244B" w:rsidRPr="006E244B">
        <w:rPr>
          <w:szCs w:val="24"/>
        </w:rPr>
        <w:t xml:space="preserve">request is to </w:t>
      </w:r>
      <w:r w:rsidR="00F93002">
        <w:rPr>
          <w:szCs w:val="24"/>
        </w:rPr>
        <w:t>correct the approved response burden estimates</w:t>
      </w:r>
      <w:r w:rsidR="00BE13A2" w:rsidRPr="00770A91">
        <w:rPr>
          <w:szCs w:val="24"/>
        </w:rPr>
        <w:t xml:space="preserve"> </w:t>
      </w:r>
      <w:r w:rsidR="00BE13A2">
        <w:rPr>
          <w:szCs w:val="24"/>
        </w:rPr>
        <w:t xml:space="preserve">and </w:t>
      </w:r>
      <w:r w:rsidR="00450CC6" w:rsidRPr="00770A91">
        <w:rPr>
          <w:szCs w:val="24"/>
        </w:rPr>
        <w:t>summarizes</w:t>
      </w:r>
      <w:r w:rsidR="00DA439D">
        <w:rPr>
          <w:szCs w:val="24"/>
        </w:rPr>
        <w:t xml:space="preserve"> </w:t>
      </w:r>
      <w:r>
        <w:rPr>
          <w:szCs w:val="24"/>
        </w:rPr>
        <w:t xml:space="preserve">the final </w:t>
      </w:r>
      <w:r w:rsidR="00885BAE">
        <w:rPr>
          <w:szCs w:val="24"/>
        </w:rPr>
        <w:t>plans for identifying students eligible for inclusion in the NPSAS</w:t>
      </w:r>
      <w:proofErr w:type="gramStart"/>
      <w:r w:rsidR="00885BAE">
        <w:rPr>
          <w:szCs w:val="24"/>
        </w:rPr>
        <w:t>:16</w:t>
      </w:r>
      <w:proofErr w:type="gramEnd"/>
      <w:r w:rsidR="00885BAE">
        <w:rPr>
          <w:szCs w:val="24"/>
        </w:rPr>
        <w:t xml:space="preserve"> sampling frame</w:t>
      </w:r>
      <w:r w:rsidR="00F93002">
        <w:rPr>
          <w:szCs w:val="24"/>
        </w:rPr>
        <w:t>.</w:t>
      </w:r>
    </w:p>
    <w:p w:rsidR="00BE13A2" w:rsidRDefault="00F93002" w:rsidP="00BE13A2">
      <w:pPr>
        <w:pStyle w:val="H1"/>
        <w:rPr>
          <w:rFonts w:ascii="Times New Roman" w:hAnsi="Times New Roman" w:cs="Times New Roman"/>
          <w:b w:val="0"/>
        </w:rPr>
      </w:pPr>
      <w:r>
        <w:rPr>
          <w:rFonts w:ascii="Times New Roman" w:hAnsi="Times New Roman" w:cs="Times New Roman"/>
          <w:b w:val="0"/>
        </w:rPr>
        <w:t>The</w:t>
      </w:r>
      <w:r w:rsidR="00BE13A2">
        <w:rPr>
          <w:rFonts w:ascii="Times New Roman" w:hAnsi="Times New Roman" w:cs="Times New Roman"/>
          <w:b w:val="0"/>
        </w:rPr>
        <w:t xml:space="preserve"> burden table (table 2)</w:t>
      </w:r>
      <w:r w:rsidR="00C22608">
        <w:rPr>
          <w:rFonts w:ascii="Times New Roman" w:hAnsi="Times New Roman" w:cs="Times New Roman"/>
          <w:b w:val="0"/>
        </w:rPr>
        <w:t xml:space="preserve"> in </w:t>
      </w:r>
      <w:r w:rsidR="006E244B">
        <w:rPr>
          <w:rFonts w:ascii="Times New Roman" w:hAnsi="Times New Roman" w:cs="Times New Roman"/>
          <w:b w:val="0"/>
        </w:rPr>
        <w:t xml:space="preserve">the Supporting Statement </w:t>
      </w:r>
      <w:r w:rsidR="00C22608">
        <w:rPr>
          <w:rFonts w:ascii="Times New Roman" w:hAnsi="Times New Roman" w:cs="Times New Roman"/>
          <w:b w:val="0"/>
        </w:rPr>
        <w:t>Part A</w:t>
      </w:r>
      <w:r>
        <w:rPr>
          <w:rFonts w:ascii="Times New Roman" w:hAnsi="Times New Roman" w:cs="Times New Roman"/>
          <w:b w:val="0"/>
        </w:rPr>
        <w:t xml:space="preserve"> section 12 of the approved package </w:t>
      </w:r>
      <w:r w:rsidR="006E244B" w:rsidRPr="006E244B">
        <w:rPr>
          <w:rFonts w:ascii="Times New Roman" w:hAnsi="Times New Roman" w:cs="Times New Roman"/>
          <w:b w:val="0"/>
        </w:rPr>
        <w:t xml:space="preserve">(OMB# 1850-0666 v.15) </w:t>
      </w:r>
      <w:r>
        <w:rPr>
          <w:rFonts w:ascii="Times New Roman" w:hAnsi="Times New Roman" w:cs="Times New Roman"/>
          <w:b w:val="0"/>
        </w:rPr>
        <w:t>listed incorrect institution sample size, resulting in erroneous burden estimates</w:t>
      </w:r>
      <w:r w:rsidR="00BE13A2">
        <w:rPr>
          <w:rFonts w:ascii="Times New Roman" w:hAnsi="Times New Roman" w:cs="Times New Roman"/>
          <w:b w:val="0"/>
        </w:rPr>
        <w:t>:</w:t>
      </w:r>
    </w:p>
    <w:p w:rsidR="00BE13A2" w:rsidRPr="009B12A1" w:rsidRDefault="00BE13A2" w:rsidP="00BE13A2">
      <w:pPr>
        <w:pStyle w:val="TableTitle0"/>
      </w:pPr>
      <w:bookmarkStart w:id="0" w:name="_Toc255888148"/>
      <w:bookmarkStart w:id="1" w:name="_Toc417667897"/>
      <w:bookmarkStart w:id="2" w:name="_Toc381969978"/>
      <w:r>
        <w:t xml:space="preserve">Table 2. </w:t>
      </w:r>
      <w:r w:rsidRPr="00F12AB8">
        <w:t xml:space="preserve">Maximum estimated burden on </w:t>
      </w:r>
      <w:r>
        <w:t>institutio</w:t>
      </w:r>
      <w:r w:rsidRPr="009B12A1">
        <w:t>ns for the NPSAS</w:t>
      </w:r>
      <w:proofErr w:type="gramStart"/>
      <w:r w:rsidRPr="009B12A1">
        <w:t>:16</w:t>
      </w:r>
      <w:proofErr w:type="gramEnd"/>
      <w:r w:rsidRPr="009B12A1">
        <w:t xml:space="preserve"> full scale enrollment list collection</w:t>
      </w:r>
      <w:bookmarkEnd w:id="0"/>
      <w:bookmarkEnd w:id="1"/>
      <w:bookmarkEnd w:id="2"/>
      <w:r w:rsidRPr="009B12A1">
        <w:t xml:space="preserve"> </w:t>
      </w:r>
    </w:p>
    <w:tbl>
      <w:tblPr>
        <w:tblStyle w:val="TableGrid"/>
        <w:tblW w:w="5000" w:type="pct"/>
        <w:tblLayout w:type="fixed"/>
        <w:tblLook w:val="01E0" w:firstRow="1" w:lastRow="1" w:firstColumn="1" w:lastColumn="1" w:noHBand="0" w:noVBand="0"/>
      </w:tblPr>
      <w:tblGrid>
        <w:gridCol w:w="2792"/>
        <w:gridCol w:w="1047"/>
        <w:gridCol w:w="1076"/>
        <w:gridCol w:w="1253"/>
        <w:gridCol w:w="936"/>
        <w:gridCol w:w="1287"/>
        <w:gridCol w:w="1075"/>
        <w:gridCol w:w="974"/>
      </w:tblGrid>
      <w:tr w:rsidR="00BE13A2" w:rsidRPr="00E42B0E" w:rsidTr="006E244B">
        <w:tc>
          <w:tcPr>
            <w:tcW w:w="2734" w:type="dxa"/>
            <w:vAlign w:val="bottom"/>
          </w:tcPr>
          <w:p w:rsidR="00BE13A2" w:rsidRPr="009B12A1" w:rsidRDefault="00BE13A2" w:rsidP="006E244B">
            <w:pPr>
              <w:pStyle w:val="Tabletext"/>
              <w:jc w:val="right"/>
              <w:rPr>
                <w:sz w:val="16"/>
                <w:szCs w:val="16"/>
              </w:rPr>
            </w:pPr>
            <w:r w:rsidRPr="009B12A1">
              <w:rPr>
                <w:sz w:val="16"/>
                <w:szCs w:val="16"/>
              </w:rPr>
              <w:t>Data collection activity</w:t>
            </w:r>
          </w:p>
        </w:tc>
        <w:tc>
          <w:tcPr>
            <w:tcW w:w="1025" w:type="dxa"/>
            <w:vAlign w:val="bottom"/>
          </w:tcPr>
          <w:p w:rsidR="00BE13A2" w:rsidRPr="009B12A1" w:rsidRDefault="00BE13A2" w:rsidP="006E244B">
            <w:pPr>
              <w:pStyle w:val="Tablenumbers"/>
              <w:rPr>
                <w:sz w:val="16"/>
                <w:szCs w:val="16"/>
              </w:rPr>
            </w:pPr>
            <w:bookmarkStart w:id="3" w:name="_Toc436108523"/>
            <w:r w:rsidRPr="009B12A1">
              <w:rPr>
                <w:sz w:val="16"/>
                <w:szCs w:val="16"/>
              </w:rPr>
              <w:t>Institution sample</w:t>
            </w:r>
            <w:bookmarkEnd w:id="3"/>
          </w:p>
        </w:tc>
        <w:tc>
          <w:tcPr>
            <w:tcW w:w="1054" w:type="dxa"/>
            <w:vAlign w:val="bottom"/>
          </w:tcPr>
          <w:p w:rsidR="00BE13A2" w:rsidRPr="009B12A1" w:rsidRDefault="00BE13A2" w:rsidP="006E244B">
            <w:pPr>
              <w:pStyle w:val="Tablenumbers"/>
              <w:rPr>
                <w:sz w:val="16"/>
                <w:szCs w:val="16"/>
              </w:rPr>
            </w:pPr>
            <w:r w:rsidRPr="009B12A1">
              <w:rPr>
                <w:sz w:val="16"/>
                <w:szCs w:val="16"/>
              </w:rPr>
              <w:t>Expected eligible institutions</w:t>
            </w:r>
          </w:p>
        </w:tc>
        <w:tc>
          <w:tcPr>
            <w:tcW w:w="1227" w:type="dxa"/>
            <w:vAlign w:val="bottom"/>
          </w:tcPr>
          <w:p w:rsidR="00BE13A2" w:rsidRPr="009B12A1" w:rsidRDefault="00BE13A2" w:rsidP="006E244B">
            <w:pPr>
              <w:pStyle w:val="Tablenumbers"/>
              <w:rPr>
                <w:sz w:val="16"/>
                <w:szCs w:val="16"/>
              </w:rPr>
            </w:pPr>
            <w:r w:rsidRPr="009B12A1">
              <w:rPr>
                <w:sz w:val="16"/>
                <w:szCs w:val="16"/>
              </w:rPr>
              <w:t>Number of responding institutions</w:t>
            </w:r>
          </w:p>
        </w:tc>
        <w:tc>
          <w:tcPr>
            <w:tcW w:w="917" w:type="dxa"/>
            <w:vAlign w:val="bottom"/>
          </w:tcPr>
          <w:p w:rsidR="00BE13A2" w:rsidRPr="009B12A1" w:rsidRDefault="00BE13A2" w:rsidP="006E244B">
            <w:pPr>
              <w:pStyle w:val="Tablenumbers"/>
              <w:rPr>
                <w:sz w:val="16"/>
                <w:szCs w:val="16"/>
              </w:rPr>
            </w:pPr>
            <w:r w:rsidRPr="009B12A1">
              <w:rPr>
                <w:sz w:val="16"/>
                <w:szCs w:val="16"/>
              </w:rPr>
              <w:t>Percent expected response rate</w:t>
            </w:r>
          </w:p>
        </w:tc>
        <w:tc>
          <w:tcPr>
            <w:tcW w:w="1260" w:type="dxa"/>
            <w:vAlign w:val="bottom"/>
          </w:tcPr>
          <w:p w:rsidR="00BE13A2" w:rsidRPr="009B12A1" w:rsidRDefault="00BE13A2" w:rsidP="006E244B">
            <w:pPr>
              <w:pStyle w:val="Tablenumbers"/>
              <w:rPr>
                <w:sz w:val="16"/>
                <w:szCs w:val="16"/>
              </w:rPr>
            </w:pPr>
            <w:r w:rsidRPr="009B12A1">
              <w:rPr>
                <w:sz w:val="16"/>
                <w:szCs w:val="16"/>
              </w:rPr>
              <w:t>Average time burden per response (</w:t>
            </w:r>
            <w:r>
              <w:rPr>
                <w:sz w:val="16"/>
                <w:szCs w:val="16"/>
              </w:rPr>
              <w:t>mins</w:t>
            </w:r>
            <w:r w:rsidRPr="009B12A1">
              <w:rPr>
                <w:sz w:val="16"/>
                <w:szCs w:val="16"/>
              </w:rPr>
              <w:t>)</w:t>
            </w:r>
          </w:p>
        </w:tc>
        <w:tc>
          <w:tcPr>
            <w:tcW w:w="1053" w:type="dxa"/>
            <w:vAlign w:val="bottom"/>
          </w:tcPr>
          <w:p w:rsidR="00BE13A2" w:rsidRPr="009B12A1" w:rsidRDefault="00BE13A2" w:rsidP="006E244B">
            <w:pPr>
              <w:pStyle w:val="Tablenumbers"/>
              <w:rPr>
                <w:sz w:val="16"/>
                <w:szCs w:val="16"/>
              </w:rPr>
            </w:pPr>
            <w:r w:rsidRPr="009B12A1">
              <w:rPr>
                <w:sz w:val="16"/>
                <w:szCs w:val="16"/>
              </w:rPr>
              <w:t>Range of response times (</w:t>
            </w:r>
            <w:r>
              <w:rPr>
                <w:sz w:val="16"/>
                <w:szCs w:val="16"/>
              </w:rPr>
              <w:t>mins</w:t>
            </w:r>
            <w:r w:rsidRPr="009B12A1">
              <w:rPr>
                <w:sz w:val="16"/>
                <w:szCs w:val="16"/>
              </w:rPr>
              <w:t>)</w:t>
            </w:r>
          </w:p>
        </w:tc>
        <w:tc>
          <w:tcPr>
            <w:tcW w:w="954" w:type="dxa"/>
            <w:vAlign w:val="bottom"/>
          </w:tcPr>
          <w:p w:rsidR="00BE13A2" w:rsidRPr="00E42B0E" w:rsidRDefault="00BE13A2" w:rsidP="006E244B">
            <w:pPr>
              <w:pStyle w:val="Tablenumbers"/>
              <w:rPr>
                <w:sz w:val="16"/>
                <w:szCs w:val="16"/>
              </w:rPr>
            </w:pPr>
            <w:r w:rsidRPr="009B12A1">
              <w:rPr>
                <w:sz w:val="16"/>
                <w:szCs w:val="16"/>
              </w:rPr>
              <w:t>Total time burden (hours)</w:t>
            </w:r>
          </w:p>
        </w:tc>
      </w:tr>
      <w:tr w:rsidR="00BE13A2" w:rsidRPr="00E42B0E" w:rsidTr="00897FA8">
        <w:tc>
          <w:tcPr>
            <w:tcW w:w="2734" w:type="dxa"/>
          </w:tcPr>
          <w:p w:rsidR="00BE13A2" w:rsidRPr="00E42B0E" w:rsidRDefault="00BE13A2" w:rsidP="00897FA8">
            <w:pPr>
              <w:pStyle w:val="Tabletext"/>
              <w:rPr>
                <w:sz w:val="16"/>
                <w:szCs w:val="16"/>
              </w:rPr>
            </w:pPr>
            <w:r w:rsidRPr="00E42B0E">
              <w:rPr>
                <w:sz w:val="16"/>
                <w:szCs w:val="16"/>
              </w:rPr>
              <w:t xml:space="preserve">NPSAS:16 </w:t>
            </w:r>
            <w:r>
              <w:rPr>
                <w:sz w:val="16"/>
                <w:szCs w:val="16"/>
              </w:rPr>
              <w:t>full scale</w:t>
            </w:r>
            <w:r w:rsidRPr="00E42B0E">
              <w:rPr>
                <w:sz w:val="16"/>
                <w:szCs w:val="16"/>
              </w:rPr>
              <w:t xml:space="preserve"> study</w:t>
            </w:r>
          </w:p>
        </w:tc>
        <w:tc>
          <w:tcPr>
            <w:tcW w:w="1025" w:type="dxa"/>
          </w:tcPr>
          <w:p w:rsidR="00BE13A2" w:rsidRPr="00E42B0E" w:rsidRDefault="00BE13A2" w:rsidP="00897FA8">
            <w:pPr>
              <w:pStyle w:val="Tablenumbers"/>
              <w:rPr>
                <w:sz w:val="16"/>
                <w:szCs w:val="16"/>
              </w:rPr>
            </w:pPr>
          </w:p>
        </w:tc>
        <w:tc>
          <w:tcPr>
            <w:tcW w:w="1054" w:type="dxa"/>
          </w:tcPr>
          <w:p w:rsidR="00BE13A2" w:rsidRPr="00E42B0E" w:rsidRDefault="00BE13A2" w:rsidP="00897FA8">
            <w:pPr>
              <w:pStyle w:val="Tablenumbers"/>
              <w:rPr>
                <w:sz w:val="16"/>
                <w:szCs w:val="16"/>
              </w:rPr>
            </w:pPr>
          </w:p>
        </w:tc>
        <w:tc>
          <w:tcPr>
            <w:tcW w:w="1227" w:type="dxa"/>
          </w:tcPr>
          <w:p w:rsidR="00BE13A2" w:rsidRPr="00E42B0E" w:rsidRDefault="00BE13A2" w:rsidP="00897FA8">
            <w:pPr>
              <w:pStyle w:val="Tablenumbers"/>
              <w:rPr>
                <w:sz w:val="16"/>
                <w:szCs w:val="16"/>
              </w:rPr>
            </w:pPr>
          </w:p>
        </w:tc>
        <w:tc>
          <w:tcPr>
            <w:tcW w:w="917" w:type="dxa"/>
          </w:tcPr>
          <w:p w:rsidR="00BE13A2" w:rsidRPr="00E42B0E" w:rsidRDefault="00BE13A2" w:rsidP="00897FA8">
            <w:pPr>
              <w:pStyle w:val="Tablenumbers"/>
              <w:rPr>
                <w:sz w:val="16"/>
                <w:szCs w:val="16"/>
              </w:rPr>
            </w:pPr>
          </w:p>
        </w:tc>
        <w:tc>
          <w:tcPr>
            <w:tcW w:w="1260" w:type="dxa"/>
          </w:tcPr>
          <w:p w:rsidR="00BE13A2" w:rsidRPr="00E42B0E" w:rsidRDefault="00BE13A2" w:rsidP="00897FA8">
            <w:pPr>
              <w:pStyle w:val="Tablenumbers"/>
              <w:rPr>
                <w:sz w:val="16"/>
                <w:szCs w:val="16"/>
              </w:rPr>
            </w:pPr>
          </w:p>
        </w:tc>
        <w:tc>
          <w:tcPr>
            <w:tcW w:w="1053" w:type="dxa"/>
          </w:tcPr>
          <w:p w:rsidR="00BE13A2" w:rsidRPr="00E42B0E" w:rsidRDefault="00BE13A2" w:rsidP="00897FA8">
            <w:pPr>
              <w:pStyle w:val="Tablenumbers"/>
              <w:rPr>
                <w:sz w:val="16"/>
                <w:szCs w:val="16"/>
              </w:rPr>
            </w:pPr>
          </w:p>
        </w:tc>
        <w:tc>
          <w:tcPr>
            <w:tcW w:w="954" w:type="dxa"/>
          </w:tcPr>
          <w:p w:rsidR="00BE13A2" w:rsidRPr="00E42B0E" w:rsidRDefault="00BE13A2" w:rsidP="00897FA8">
            <w:pPr>
              <w:pStyle w:val="Tablenumbers"/>
              <w:rPr>
                <w:sz w:val="16"/>
                <w:szCs w:val="16"/>
              </w:rPr>
            </w:pPr>
          </w:p>
        </w:tc>
      </w:tr>
      <w:tr w:rsidR="00BE13A2" w:rsidRPr="00E42B0E" w:rsidTr="00897FA8">
        <w:tc>
          <w:tcPr>
            <w:tcW w:w="2734" w:type="dxa"/>
          </w:tcPr>
          <w:p w:rsidR="00BE13A2" w:rsidRPr="00E95BF0" w:rsidRDefault="00BE13A2" w:rsidP="00897FA8">
            <w:pPr>
              <w:pStyle w:val="2enspsubgroup1"/>
              <w:rPr>
                <w:sz w:val="16"/>
                <w:szCs w:val="16"/>
              </w:rPr>
            </w:pPr>
            <w:r w:rsidRPr="00E95BF0">
              <w:rPr>
                <w:sz w:val="16"/>
                <w:szCs w:val="16"/>
              </w:rPr>
              <w:t>Eligibility screening calls</w:t>
            </w:r>
          </w:p>
        </w:tc>
        <w:tc>
          <w:tcPr>
            <w:tcW w:w="1025" w:type="dxa"/>
          </w:tcPr>
          <w:p w:rsidR="00BE13A2" w:rsidRPr="00E42B0E" w:rsidRDefault="00BE13A2" w:rsidP="00897FA8">
            <w:pPr>
              <w:pStyle w:val="Tablenumbers"/>
              <w:rPr>
                <w:sz w:val="16"/>
                <w:szCs w:val="16"/>
              </w:rPr>
            </w:pPr>
            <w:r>
              <w:rPr>
                <w:sz w:val="16"/>
                <w:szCs w:val="16"/>
              </w:rPr>
              <w:t>1,690</w:t>
            </w:r>
          </w:p>
        </w:tc>
        <w:tc>
          <w:tcPr>
            <w:tcW w:w="1054" w:type="dxa"/>
          </w:tcPr>
          <w:p w:rsidR="00BE13A2" w:rsidRDefault="00BE13A2" w:rsidP="00897FA8">
            <w:pPr>
              <w:pStyle w:val="Tablenumbers"/>
              <w:rPr>
                <w:sz w:val="16"/>
                <w:szCs w:val="16"/>
              </w:rPr>
            </w:pPr>
            <w:r>
              <w:rPr>
                <w:sz w:val="16"/>
                <w:szCs w:val="16"/>
              </w:rPr>
              <w:t>1,640</w:t>
            </w:r>
          </w:p>
        </w:tc>
        <w:tc>
          <w:tcPr>
            <w:tcW w:w="1227" w:type="dxa"/>
          </w:tcPr>
          <w:p w:rsidR="00BE13A2" w:rsidRDefault="00BE13A2" w:rsidP="00897FA8">
            <w:pPr>
              <w:pStyle w:val="Tablenumbers"/>
              <w:rPr>
                <w:sz w:val="16"/>
                <w:szCs w:val="16"/>
              </w:rPr>
            </w:pPr>
            <w:r>
              <w:rPr>
                <w:sz w:val="16"/>
                <w:szCs w:val="16"/>
              </w:rPr>
              <w:t>1,690</w:t>
            </w:r>
          </w:p>
        </w:tc>
        <w:tc>
          <w:tcPr>
            <w:tcW w:w="917" w:type="dxa"/>
          </w:tcPr>
          <w:p w:rsidR="00BE13A2" w:rsidRPr="00E42B0E" w:rsidRDefault="00BE13A2" w:rsidP="00897FA8">
            <w:pPr>
              <w:pStyle w:val="Tablenumbers"/>
              <w:rPr>
                <w:sz w:val="16"/>
                <w:szCs w:val="16"/>
              </w:rPr>
            </w:pPr>
            <w:r>
              <w:rPr>
                <w:sz w:val="16"/>
                <w:szCs w:val="16"/>
              </w:rPr>
              <w:t>100</w:t>
            </w:r>
          </w:p>
        </w:tc>
        <w:tc>
          <w:tcPr>
            <w:tcW w:w="1260" w:type="dxa"/>
          </w:tcPr>
          <w:p w:rsidR="00BE13A2" w:rsidRPr="00E42B0E" w:rsidRDefault="00BE13A2" w:rsidP="00897FA8">
            <w:pPr>
              <w:pStyle w:val="Tablenumbers"/>
              <w:rPr>
                <w:sz w:val="16"/>
                <w:szCs w:val="16"/>
              </w:rPr>
            </w:pPr>
            <w:r>
              <w:rPr>
                <w:sz w:val="16"/>
                <w:szCs w:val="16"/>
              </w:rPr>
              <w:t>4.8</w:t>
            </w:r>
          </w:p>
        </w:tc>
        <w:tc>
          <w:tcPr>
            <w:tcW w:w="1053" w:type="dxa"/>
          </w:tcPr>
          <w:p w:rsidR="00BE13A2" w:rsidRPr="00E42B0E" w:rsidRDefault="00BE13A2" w:rsidP="00897FA8">
            <w:pPr>
              <w:pStyle w:val="Tablenumbers"/>
              <w:rPr>
                <w:sz w:val="16"/>
                <w:szCs w:val="16"/>
              </w:rPr>
            </w:pPr>
            <w:r>
              <w:rPr>
                <w:sz w:val="16"/>
                <w:szCs w:val="16"/>
              </w:rPr>
              <w:t xml:space="preserve"> 1.8</w:t>
            </w:r>
            <w:r w:rsidRPr="00E42B0E">
              <w:rPr>
                <w:sz w:val="16"/>
                <w:szCs w:val="16"/>
              </w:rPr>
              <w:t>-</w:t>
            </w:r>
            <w:r>
              <w:rPr>
                <w:sz w:val="16"/>
                <w:szCs w:val="16"/>
              </w:rPr>
              <w:t>6.0</w:t>
            </w:r>
          </w:p>
        </w:tc>
        <w:tc>
          <w:tcPr>
            <w:tcW w:w="954" w:type="dxa"/>
          </w:tcPr>
          <w:p w:rsidR="00BE13A2" w:rsidRDefault="00BE13A2" w:rsidP="00897FA8">
            <w:pPr>
              <w:pStyle w:val="Tablenumbers"/>
              <w:rPr>
                <w:sz w:val="16"/>
                <w:szCs w:val="16"/>
              </w:rPr>
            </w:pPr>
            <w:r>
              <w:rPr>
                <w:sz w:val="16"/>
                <w:szCs w:val="16"/>
              </w:rPr>
              <w:t>135</w:t>
            </w:r>
          </w:p>
        </w:tc>
      </w:tr>
      <w:tr w:rsidR="00BE13A2" w:rsidRPr="00E42B0E" w:rsidTr="00897FA8">
        <w:tc>
          <w:tcPr>
            <w:tcW w:w="2734" w:type="dxa"/>
          </w:tcPr>
          <w:p w:rsidR="00BE13A2" w:rsidRPr="00E95BF0" w:rsidRDefault="00BE13A2" w:rsidP="00897FA8">
            <w:pPr>
              <w:pStyle w:val="2enspsubgroup1"/>
              <w:rPr>
                <w:sz w:val="16"/>
                <w:szCs w:val="16"/>
              </w:rPr>
            </w:pPr>
            <w:r w:rsidRPr="00E95BF0">
              <w:rPr>
                <w:sz w:val="16"/>
                <w:szCs w:val="16"/>
              </w:rPr>
              <w:t>Institutional registration page</w:t>
            </w:r>
          </w:p>
        </w:tc>
        <w:tc>
          <w:tcPr>
            <w:tcW w:w="1025" w:type="dxa"/>
          </w:tcPr>
          <w:p w:rsidR="00BE13A2" w:rsidRPr="00E42B0E" w:rsidRDefault="00BE13A2" w:rsidP="00897FA8">
            <w:pPr>
              <w:pStyle w:val="Tablenumbers"/>
              <w:rPr>
                <w:sz w:val="16"/>
                <w:szCs w:val="16"/>
              </w:rPr>
            </w:pPr>
            <w:r w:rsidRPr="00E42B0E">
              <w:rPr>
                <w:sz w:val="16"/>
                <w:szCs w:val="16"/>
              </w:rPr>
              <w:t>†</w:t>
            </w:r>
          </w:p>
        </w:tc>
        <w:tc>
          <w:tcPr>
            <w:tcW w:w="1054" w:type="dxa"/>
          </w:tcPr>
          <w:p w:rsidR="00BE13A2" w:rsidRDefault="00BE13A2" w:rsidP="00897FA8">
            <w:pPr>
              <w:pStyle w:val="Tablenumbers"/>
              <w:rPr>
                <w:sz w:val="16"/>
                <w:szCs w:val="16"/>
              </w:rPr>
            </w:pPr>
            <w:r>
              <w:rPr>
                <w:sz w:val="16"/>
                <w:szCs w:val="16"/>
              </w:rPr>
              <w:t>1,640</w:t>
            </w:r>
          </w:p>
        </w:tc>
        <w:tc>
          <w:tcPr>
            <w:tcW w:w="1227" w:type="dxa"/>
          </w:tcPr>
          <w:p w:rsidR="00BE13A2" w:rsidRDefault="00BE13A2" w:rsidP="00897FA8">
            <w:pPr>
              <w:pStyle w:val="Tablenumbers"/>
              <w:rPr>
                <w:sz w:val="16"/>
                <w:szCs w:val="16"/>
              </w:rPr>
            </w:pPr>
            <w:r>
              <w:rPr>
                <w:sz w:val="16"/>
                <w:szCs w:val="16"/>
              </w:rPr>
              <w:t>1,394</w:t>
            </w:r>
          </w:p>
        </w:tc>
        <w:tc>
          <w:tcPr>
            <w:tcW w:w="917" w:type="dxa"/>
          </w:tcPr>
          <w:p w:rsidR="00BE13A2" w:rsidRPr="00E42B0E" w:rsidRDefault="00BE13A2" w:rsidP="00897FA8">
            <w:pPr>
              <w:pStyle w:val="Tablenumbers"/>
              <w:rPr>
                <w:sz w:val="16"/>
                <w:szCs w:val="16"/>
              </w:rPr>
            </w:pPr>
            <w:r w:rsidRPr="00E42B0E">
              <w:rPr>
                <w:sz w:val="16"/>
                <w:szCs w:val="16"/>
              </w:rPr>
              <w:t>85</w:t>
            </w:r>
          </w:p>
        </w:tc>
        <w:tc>
          <w:tcPr>
            <w:tcW w:w="1260" w:type="dxa"/>
          </w:tcPr>
          <w:p w:rsidR="00BE13A2" w:rsidRPr="00E42B0E" w:rsidRDefault="00BE13A2" w:rsidP="00897FA8">
            <w:pPr>
              <w:pStyle w:val="Tablenumbers"/>
              <w:rPr>
                <w:sz w:val="16"/>
                <w:szCs w:val="16"/>
              </w:rPr>
            </w:pPr>
            <w:r>
              <w:rPr>
                <w:sz w:val="16"/>
                <w:szCs w:val="16"/>
              </w:rPr>
              <w:t>4.8</w:t>
            </w:r>
          </w:p>
        </w:tc>
        <w:tc>
          <w:tcPr>
            <w:tcW w:w="1053" w:type="dxa"/>
          </w:tcPr>
          <w:p w:rsidR="00BE13A2" w:rsidRPr="00E42B0E" w:rsidRDefault="00BE13A2" w:rsidP="00897FA8">
            <w:pPr>
              <w:pStyle w:val="Tablenumbers"/>
              <w:rPr>
                <w:sz w:val="16"/>
                <w:szCs w:val="16"/>
              </w:rPr>
            </w:pPr>
            <w:r>
              <w:rPr>
                <w:sz w:val="16"/>
                <w:szCs w:val="16"/>
              </w:rPr>
              <w:t>3.0</w:t>
            </w:r>
            <w:r w:rsidRPr="00E42B0E">
              <w:rPr>
                <w:sz w:val="16"/>
                <w:szCs w:val="16"/>
              </w:rPr>
              <w:t>-</w:t>
            </w:r>
            <w:r>
              <w:rPr>
                <w:sz w:val="16"/>
                <w:szCs w:val="16"/>
              </w:rPr>
              <w:t>6.6</w:t>
            </w:r>
          </w:p>
        </w:tc>
        <w:tc>
          <w:tcPr>
            <w:tcW w:w="954" w:type="dxa"/>
          </w:tcPr>
          <w:p w:rsidR="00BE13A2" w:rsidRDefault="00BE13A2" w:rsidP="00897FA8">
            <w:pPr>
              <w:pStyle w:val="Tablenumbers"/>
              <w:rPr>
                <w:sz w:val="16"/>
                <w:szCs w:val="16"/>
              </w:rPr>
            </w:pPr>
            <w:r>
              <w:rPr>
                <w:sz w:val="16"/>
                <w:szCs w:val="16"/>
              </w:rPr>
              <w:t>112</w:t>
            </w:r>
          </w:p>
        </w:tc>
      </w:tr>
      <w:tr w:rsidR="00BE13A2" w:rsidRPr="00E42B0E" w:rsidTr="00897FA8">
        <w:tc>
          <w:tcPr>
            <w:tcW w:w="2734" w:type="dxa"/>
          </w:tcPr>
          <w:p w:rsidR="00BE13A2" w:rsidRPr="00E42B0E" w:rsidRDefault="00BE13A2" w:rsidP="00897FA8">
            <w:pPr>
              <w:pStyle w:val="2enspsubgroup1"/>
              <w:rPr>
                <w:sz w:val="16"/>
                <w:szCs w:val="16"/>
              </w:rPr>
            </w:pPr>
            <w:r w:rsidRPr="00E42B0E">
              <w:rPr>
                <w:sz w:val="16"/>
                <w:szCs w:val="16"/>
              </w:rPr>
              <w:t>Institutional enrollment lists</w:t>
            </w:r>
          </w:p>
        </w:tc>
        <w:tc>
          <w:tcPr>
            <w:tcW w:w="1025" w:type="dxa"/>
          </w:tcPr>
          <w:p w:rsidR="00BE13A2" w:rsidRPr="00E42B0E" w:rsidRDefault="00BE13A2" w:rsidP="00897FA8">
            <w:pPr>
              <w:pStyle w:val="Tablenumbers"/>
              <w:rPr>
                <w:sz w:val="16"/>
                <w:szCs w:val="16"/>
              </w:rPr>
            </w:pPr>
            <w:r w:rsidRPr="00E42B0E">
              <w:rPr>
                <w:sz w:val="16"/>
                <w:szCs w:val="16"/>
              </w:rPr>
              <w:t>†</w:t>
            </w:r>
          </w:p>
        </w:tc>
        <w:tc>
          <w:tcPr>
            <w:tcW w:w="1054" w:type="dxa"/>
          </w:tcPr>
          <w:p w:rsidR="00BE13A2" w:rsidRDefault="00BE13A2" w:rsidP="00897FA8">
            <w:pPr>
              <w:pStyle w:val="Tablenumbers"/>
              <w:rPr>
                <w:sz w:val="16"/>
                <w:szCs w:val="16"/>
              </w:rPr>
            </w:pPr>
            <w:r>
              <w:rPr>
                <w:sz w:val="16"/>
                <w:szCs w:val="16"/>
              </w:rPr>
              <w:t>1,640</w:t>
            </w:r>
          </w:p>
        </w:tc>
        <w:tc>
          <w:tcPr>
            <w:tcW w:w="1227" w:type="dxa"/>
          </w:tcPr>
          <w:p w:rsidR="00BE13A2" w:rsidRDefault="00BE13A2" w:rsidP="00897FA8">
            <w:pPr>
              <w:pStyle w:val="Tablenumbers"/>
              <w:rPr>
                <w:sz w:val="16"/>
                <w:szCs w:val="16"/>
              </w:rPr>
            </w:pPr>
            <w:r>
              <w:rPr>
                <w:sz w:val="16"/>
                <w:szCs w:val="16"/>
              </w:rPr>
              <w:t>1,394</w:t>
            </w:r>
          </w:p>
        </w:tc>
        <w:tc>
          <w:tcPr>
            <w:tcW w:w="917" w:type="dxa"/>
          </w:tcPr>
          <w:p w:rsidR="00BE13A2" w:rsidRPr="00E42B0E" w:rsidRDefault="00BE13A2" w:rsidP="00897FA8">
            <w:pPr>
              <w:pStyle w:val="Tablenumbers"/>
              <w:rPr>
                <w:sz w:val="16"/>
                <w:szCs w:val="16"/>
              </w:rPr>
            </w:pPr>
            <w:r w:rsidRPr="00E42B0E">
              <w:rPr>
                <w:sz w:val="16"/>
                <w:szCs w:val="16"/>
              </w:rPr>
              <w:t>85</w:t>
            </w:r>
          </w:p>
        </w:tc>
        <w:tc>
          <w:tcPr>
            <w:tcW w:w="1260" w:type="dxa"/>
          </w:tcPr>
          <w:p w:rsidR="00BE13A2" w:rsidRPr="00E42B0E" w:rsidRDefault="00BE13A2" w:rsidP="00897FA8">
            <w:pPr>
              <w:pStyle w:val="Tablenumbers"/>
              <w:rPr>
                <w:sz w:val="16"/>
                <w:szCs w:val="16"/>
              </w:rPr>
            </w:pPr>
            <w:r>
              <w:rPr>
                <w:sz w:val="16"/>
                <w:szCs w:val="16"/>
              </w:rPr>
              <w:t>165.0</w:t>
            </w:r>
          </w:p>
        </w:tc>
        <w:tc>
          <w:tcPr>
            <w:tcW w:w="1053" w:type="dxa"/>
          </w:tcPr>
          <w:p w:rsidR="00BE13A2" w:rsidRPr="00E42B0E" w:rsidRDefault="00BE13A2" w:rsidP="00897FA8">
            <w:pPr>
              <w:pStyle w:val="Tablenumbers"/>
              <w:rPr>
                <w:sz w:val="16"/>
                <w:szCs w:val="16"/>
              </w:rPr>
            </w:pPr>
            <w:r>
              <w:rPr>
                <w:sz w:val="16"/>
                <w:szCs w:val="16"/>
              </w:rPr>
              <w:t>60.0</w:t>
            </w:r>
            <w:r w:rsidRPr="00E42B0E">
              <w:rPr>
                <w:sz w:val="16"/>
                <w:szCs w:val="16"/>
              </w:rPr>
              <w:t>-</w:t>
            </w:r>
            <w:r>
              <w:rPr>
                <w:sz w:val="16"/>
                <w:szCs w:val="16"/>
              </w:rPr>
              <w:t>360.0</w:t>
            </w:r>
          </w:p>
        </w:tc>
        <w:tc>
          <w:tcPr>
            <w:tcW w:w="954" w:type="dxa"/>
          </w:tcPr>
          <w:p w:rsidR="00BE13A2" w:rsidRDefault="00BE13A2" w:rsidP="00897FA8">
            <w:pPr>
              <w:pStyle w:val="Tablenumbers"/>
              <w:rPr>
                <w:sz w:val="16"/>
                <w:szCs w:val="16"/>
              </w:rPr>
            </w:pPr>
            <w:r>
              <w:rPr>
                <w:sz w:val="16"/>
                <w:szCs w:val="16"/>
              </w:rPr>
              <w:t>3,834</w:t>
            </w:r>
          </w:p>
        </w:tc>
      </w:tr>
      <w:tr w:rsidR="00BE13A2" w:rsidRPr="00BA4756" w:rsidTr="00897FA8">
        <w:tc>
          <w:tcPr>
            <w:tcW w:w="2734" w:type="dxa"/>
          </w:tcPr>
          <w:p w:rsidR="00BE13A2" w:rsidRPr="00BA4756" w:rsidRDefault="00BE13A2" w:rsidP="00897FA8">
            <w:pPr>
              <w:pStyle w:val="5ensptotal"/>
              <w:ind w:left="0" w:firstLine="0"/>
              <w:rPr>
                <w:b/>
                <w:i/>
                <w:sz w:val="16"/>
                <w:szCs w:val="16"/>
              </w:rPr>
            </w:pPr>
            <w:bookmarkStart w:id="4" w:name="_Toc436108526"/>
            <w:bookmarkStart w:id="5" w:name="_Toc436108528"/>
            <w:bookmarkEnd w:id="4"/>
            <w:r>
              <w:rPr>
                <w:b/>
                <w:i/>
                <w:sz w:val="16"/>
                <w:szCs w:val="16"/>
              </w:rPr>
              <w:t>Full scale</w:t>
            </w:r>
            <w:r w:rsidRPr="00BA4756">
              <w:rPr>
                <w:b/>
                <w:i/>
                <w:sz w:val="16"/>
                <w:szCs w:val="16"/>
              </w:rPr>
              <w:t xml:space="preserve"> Institutional total</w:t>
            </w:r>
            <w:bookmarkEnd w:id="5"/>
          </w:p>
        </w:tc>
        <w:tc>
          <w:tcPr>
            <w:tcW w:w="1025" w:type="dxa"/>
          </w:tcPr>
          <w:p w:rsidR="00BE13A2" w:rsidRPr="00BA4756" w:rsidRDefault="00BE13A2" w:rsidP="00897FA8">
            <w:pPr>
              <w:pStyle w:val="Tablenumbers"/>
              <w:rPr>
                <w:b/>
                <w:sz w:val="16"/>
                <w:szCs w:val="16"/>
              </w:rPr>
            </w:pPr>
            <w:r w:rsidRPr="00BA4756">
              <w:rPr>
                <w:b/>
                <w:sz w:val="16"/>
                <w:szCs w:val="16"/>
              </w:rPr>
              <w:t> </w:t>
            </w:r>
          </w:p>
        </w:tc>
        <w:tc>
          <w:tcPr>
            <w:tcW w:w="1054" w:type="dxa"/>
          </w:tcPr>
          <w:p w:rsidR="00BE13A2" w:rsidRPr="00BA4756" w:rsidRDefault="00BE13A2" w:rsidP="00897FA8">
            <w:pPr>
              <w:pStyle w:val="Tablenumbers"/>
              <w:rPr>
                <w:b/>
                <w:sz w:val="16"/>
                <w:szCs w:val="16"/>
              </w:rPr>
            </w:pPr>
            <w:r w:rsidRPr="00BA4756">
              <w:rPr>
                <w:b/>
                <w:sz w:val="16"/>
                <w:szCs w:val="16"/>
              </w:rPr>
              <w:t> </w:t>
            </w:r>
          </w:p>
        </w:tc>
        <w:tc>
          <w:tcPr>
            <w:tcW w:w="1227" w:type="dxa"/>
          </w:tcPr>
          <w:p w:rsidR="00BE13A2" w:rsidRPr="00BA4756" w:rsidRDefault="00BE13A2" w:rsidP="00897FA8">
            <w:pPr>
              <w:pStyle w:val="Tablenumbers"/>
              <w:rPr>
                <w:b/>
                <w:i/>
                <w:sz w:val="16"/>
                <w:szCs w:val="16"/>
              </w:rPr>
            </w:pPr>
            <w:r>
              <w:rPr>
                <w:b/>
                <w:i/>
                <w:sz w:val="16"/>
                <w:szCs w:val="16"/>
              </w:rPr>
              <w:t>1,690</w:t>
            </w:r>
            <w:r w:rsidRPr="00BA4756">
              <w:rPr>
                <w:b/>
                <w:i/>
                <w:sz w:val="16"/>
                <w:szCs w:val="16"/>
              </w:rPr>
              <w:t> </w:t>
            </w:r>
          </w:p>
        </w:tc>
        <w:tc>
          <w:tcPr>
            <w:tcW w:w="2177" w:type="dxa"/>
            <w:gridSpan w:val="2"/>
          </w:tcPr>
          <w:p w:rsidR="00BE13A2" w:rsidRPr="00BA4756" w:rsidRDefault="00BE13A2" w:rsidP="00897FA8">
            <w:pPr>
              <w:pStyle w:val="Tablenumbers"/>
              <w:jc w:val="center"/>
              <w:rPr>
                <w:b/>
                <w:i/>
                <w:sz w:val="16"/>
                <w:szCs w:val="16"/>
              </w:rPr>
            </w:pPr>
            <w:r w:rsidRPr="00BA4756">
              <w:rPr>
                <w:b/>
                <w:i/>
                <w:sz w:val="16"/>
                <w:szCs w:val="16"/>
              </w:rPr>
              <w:t>(</w:t>
            </w:r>
            <w:r>
              <w:rPr>
                <w:b/>
                <w:i/>
                <w:sz w:val="16"/>
                <w:szCs w:val="16"/>
              </w:rPr>
              <w:t>4,478</w:t>
            </w:r>
            <w:r w:rsidRPr="00BA4756">
              <w:rPr>
                <w:b/>
                <w:i/>
                <w:sz w:val="16"/>
                <w:szCs w:val="16"/>
              </w:rPr>
              <w:t xml:space="preserve"> responses)</w:t>
            </w:r>
          </w:p>
        </w:tc>
        <w:tc>
          <w:tcPr>
            <w:tcW w:w="1053" w:type="dxa"/>
          </w:tcPr>
          <w:p w:rsidR="00BE13A2" w:rsidRPr="00BA4756" w:rsidRDefault="00BE13A2" w:rsidP="00897FA8">
            <w:pPr>
              <w:pStyle w:val="Tablenumbers"/>
              <w:rPr>
                <w:b/>
                <w:sz w:val="16"/>
                <w:szCs w:val="16"/>
              </w:rPr>
            </w:pPr>
          </w:p>
        </w:tc>
        <w:tc>
          <w:tcPr>
            <w:tcW w:w="954" w:type="dxa"/>
          </w:tcPr>
          <w:p w:rsidR="00BE13A2" w:rsidRPr="00BA4756" w:rsidRDefault="00BE13A2" w:rsidP="00897FA8">
            <w:pPr>
              <w:pStyle w:val="Tablenumbers"/>
              <w:rPr>
                <w:b/>
                <w:i/>
                <w:sz w:val="16"/>
                <w:szCs w:val="16"/>
              </w:rPr>
            </w:pPr>
            <w:r>
              <w:rPr>
                <w:b/>
                <w:i/>
                <w:sz w:val="16"/>
                <w:szCs w:val="16"/>
              </w:rPr>
              <w:t>4,081</w:t>
            </w:r>
          </w:p>
        </w:tc>
      </w:tr>
    </w:tbl>
    <w:p w:rsidR="00BE13A2" w:rsidRDefault="00BE13A2" w:rsidP="00BE13A2">
      <w:pPr>
        <w:pStyle w:val="Tablenotes"/>
        <w:rPr>
          <w:rFonts w:cs="Arial"/>
          <w:szCs w:val="16"/>
        </w:rPr>
      </w:pPr>
      <w:r w:rsidRPr="008E5A80">
        <w:rPr>
          <w:rFonts w:cs="Arial"/>
          <w:szCs w:val="16"/>
        </w:rPr>
        <w:t>†</w:t>
      </w:r>
      <w:r>
        <w:rPr>
          <w:rFonts w:cs="Arial"/>
          <w:szCs w:val="16"/>
        </w:rPr>
        <w:t xml:space="preserve"> Not applicable.</w:t>
      </w:r>
    </w:p>
    <w:p w:rsidR="00BE13A2" w:rsidRDefault="00BE13A2" w:rsidP="00BE13A2">
      <w:pPr>
        <w:pStyle w:val="H1"/>
        <w:rPr>
          <w:rFonts w:ascii="Times New Roman" w:hAnsi="Times New Roman" w:cs="Times New Roman"/>
          <w:b w:val="0"/>
        </w:rPr>
      </w:pPr>
      <w:r>
        <w:rPr>
          <w:rFonts w:ascii="Times New Roman" w:hAnsi="Times New Roman" w:cs="Times New Roman"/>
          <w:b w:val="0"/>
        </w:rPr>
        <w:t xml:space="preserve">The </w:t>
      </w:r>
      <w:r w:rsidR="007D2BCD">
        <w:rPr>
          <w:rFonts w:ascii="Times New Roman" w:hAnsi="Times New Roman" w:cs="Times New Roman"/>
          <w:b w:val="0"/>
        </w:rPr>
        <w:t xml:space="preserve">correct </w:t>
      </w:r>
      <w:r>
        <w:rPr>
          <w:rFonts w:ascii="Times New Roman" w:hAnsi="Times New Roman" w:cs="Times New Roman"/>
          <w:b w:val="0"/>
        </w:rPr>
        <w:t xml:space="preserve">number of institutions in the starting institution sample </w:t>
      </w:r>
      <w:r w:rsidR="006E244B">
        <w:rPr>
          <w:rFonts w:ascii="Times New Roman" w:hAnsi="Times New Roman" w:cs="Times New Roman"/>
          <w:b w:val="0"/>
        </w:rPr>
        <w:t>is</w:t>
      </w:r>
      <w:r>
        <w:rPr>
          <w:rFonts w:ascii="Times New Roman" w:hAnsi="Times New Roman" w:cs="Times New Roman"/>
          <w:b w:val="0"/>
        </w:rPr>
        <w:t xml:space="preserve"> 2,000</w:t>
      </w:r>
      <w:r w:rsidR="00C22608">
        <w:rPr>
          <w:rFonts w:ascii="Times New Roman" w:hAnsi="Times New Roman" w:cs="Times New Roman"/>
          <w:b w:val="0"/>
        </w:rPr>
        <w:t xml:space="preserve">. </w:t>
      </w:r>
      <w:r w:rsidR="00512114">
        <w:rPr>
          <w:rFonts w:ascii="Times New Roman" w:hAnsi="Times New Roman" w:cs="Times New Roman"/>
          <w:b w:val="0"/>
        </w:rPr>
        <w:t xml:space="preserve">The corrected </w:t>
      </w:r>
      <w:r>
        <w:rPr>
          <w:rFonts w:ascii="Times New Roman" w:hAnsi="Times New Roman" w:cs="Times New Roman"/>
          <w:b w:val="0"/>
        </w:rPr>
        <w:t xml:space="preserve">burden table </w:t>
      </w:r>
      <w:r w:rsidR="00512114">
        <w:rPr>
          <w:rFonts w:ascii="Times New Roman" w:hAnsi="Times New Roman" w:cs="Times New Roman"/>
          <w:b w:val="0"/>
        </w:rPr>
        <w:t>shown below</w:t>
      </w:r>
      <w:r w:rsidR="006E244B">
        <w:rPr>
          <w:rFonts w:ascii="Times New Roman" w:hAnsi="Times New Roman" w:cs="Times New Roman"/>
          <w:b w:val="0"/>
        </w:rPr>
        <w:t xml:space="preserve"> has been replaced in </w:t>
      </w:r>
      <w:r w:rsidR="006E244B">
        <w:rPr>
          <w:rFonts w:ascii="Times New Roman" w:hAnsi="Times New Roman" w:cs="Times New Roman"/>
          <w:b w:val="0"/>
        </w:rPr>
        <w:t>the Supporting Statement Part A section 12</w:t>
      </w:r>
      <w:r w:rsidR="006E244B">
        <w:rPr>
          <w:rFonts w:ascii="Times New Roman" w:hAnsi="Times New Roman" w:cs="Times New Roman"/>
          <w:b w:val="0"/>
        </w:rPr>
        <w:t>.</w:t>
      </w:r>
    </w:p>
    <w:p w:rsidR="00BE13A2" w:rsidRPr="009B12A1" w:rsidRDefault="00BE13A2" w:rsidP="00BE13A2">
      <w:pPr>
        <w:pStyle w:val="TableTitle0"/>
      </w:pPr>
      <w:proofErr w:type="gramStart"/>
      <w:r>
        <w:t>Table 2.</w:t>
      </w:r>
      <w:proofErr w:type="gramEnd"/>
      <w:r>
        <w:t xml:space="preserve"> </w:t>
      </w:r>
      <w:r w:rsidRPr="00F12AB8">
        <w:t xml:space="preserve">Maximum estimated burden on </w:t>
      </w:r>
      <w:r>
        <w:t>institutio</w:t>
      </w:r>
      <w:r w:rsidRPr="009B12A1">
        <w:t>ns for the NPSAS</w:t>
      </w:r>
      <w:proofErr w:type="gramStart"/>
      <w:r w:rsidRPr="009B12A1">
        <w:t>:16</w:t>
      </w:r>
      <w:proofErr w:type="gramEnd"/>
      <w:r w:rsidRPr="009B12A1">
        <w:t xml:space="preserve"> full scale enrollment list collection </w:t>
      </w:r>
    </w:p>
    <w:tbl>
      <w:tblPr>
        <w:tblStyle w:val="TableGrid"/>
        <w:tblW w:w="5092" w:type="pct"/>
        <w:tblLayout w:type="fixed"/>
        <w:tblLook w:val="01E0" w:firstRow="1" w:lastRow="1" w:firstColumn="1" w:lastColumn="1" w:noHBand="0" w:noVBand="0"/>
      </w:tblPr>
      <w:tblGrid>
        <w:gridCol w:w="2789"/>
        <w:gridCol w:w="1047"/>
        <w:gridCol w:w="1076"/>
        <w:gridCol w:w="1253"/>
        <w:gridCol w:w="1253"/>
        <w:gridCol w:w="1096"/>
        <w:gridCol w:w="1144"/>
        <w:gridCol w:w="974"/>
      </w:tblGrid>
      <w:tr w:rsidR="002329FF" w:rsidRPr="00E42B0E" w:rsidTr="002329FF">
        <w:tc>
          <w:tcPr>
            <w:tcW w:w="2789" w:type="dxa"/>
            <w:vAlign w:val="bottom"/>
          </w:tcPr>
          <w:p w:rsidR="002329FF" w:rsidRPr="009B12A1" w:rsidRDefault="002329FF" w:rsidP="006E244B">
            <w:pPr>
              <w:pStyle w:val="Tablenumbers"/>
              <w:rPr>
                <w:sz w:val="16"/>
                <w:szCs w:val="16"/>
              </w:rPr>
            </w:pPr>
            <w:r w:rsidRPr="009B12A1">
              <w:rPr>
                <w:sz w:val="16"/>
                <w:szCs w:val="16"/>
              </w:rPr>
              <w:t>Data collection activity</w:t>
            </w:r>
          </w:p>
        </w:tc>
        <w:tc>
          <w:tcPr>
            <w:tcW w:w="1047" w:type="dxa"/>
            <w:vAlign w:val="bottom"/>
          </w:tcPr>
          <w:p w:rsidR="002329FF" w:rsidRPr="009B12A1" w:rsidRDefault="002329FF" w:rsidP="00C623AB">
            <w:pPr>
              <w:pStyle w:val="Tablenumbers"/>
              <w:rPr>
                <w:sz w:val="16"/>
                <w:szCs w:val="16"/>
              </w:rPr>
            </w:pPr>
            <w:r w:rsidRPr="009B12A1">
              <w:rPr>
                <w:sz w:val="16"/>
                <w:szCs w:val="16"/>
              </w:rPr>
              <w:t>Institution sample</w:t>
            </w:r>
          </w:p>
        </w:tc>
        <w:tc>
          <w:tcPr>
            <w:tcW w:w="1076" w:type="dxa"/>
            <w:vAlign w:val="bottom"/>
          </w:tcPr>
          <w:p w:rsidR="002329FF" w:rsidRPr="009B12A1" w:rsidRDefault="002329FF" w:rsidP="00C623AB">
            <w:pPr>
              <w:pStyle w:val="Tablenumbers"/>
              <w:rPr>
                <w:sz w:val="16"/>
                <w:szCs w:val="16"/>
              </w:rPr>
            </w:pPr>
            <w:r w:rsidRPr="009B12A1">
              <w:rPr>
                <w:sz w:val="16"/>
                <w:szCs w:val="16"/>
              </w:rPr>
              <w:t>Expected eligible institutions</w:t>
            </w:r>
          </w:p>
        </w:tc>
        <w:tc>
          <w:tcPr>
            <w:tcW w:w="1253" w:type="dxa"/>
            <w:vAlign w:val="bottom"/>
          </w:tcPr>
          <w:p w:rsidR="002329FF" w:rsidRPr="009B12A1" w:rsidRDefault="002329FF" w:rsidP="00894728">
            <w:pPr>
              <w:pStyle w:val="Tablenumbers"/>
              <w:rPr>
                <w:sz w:val="16"/>
                <w:szCs w:val="16"/>
              </w:rPr>
            </w:pPr>
            <w:r>
              <w:rPr>
                <w:sz w:val="16"/>
                <w:szCs w:val="16"/>
              </w:rPr>
              <w:t>E</w:t>
            </w:r>
            <w:r w:rsidRPr="009B12A1">
              <w:rPr>
                <w:sz w:val="16"/>
                <w:szCs w:val="16"/>
              </w:rPr>
              <w:t>xpected response rate</w:t>
            </w:r>
            <w:r>
              <w:rPr>
                <w:sz w:val="16"/>
                <w:szCs w:val="16"/>
              </w:rPr>
              <w:t xml:space="preserve"> (percent)</w:t>
            </w:r>
          </w:p>
        </w:tc>
        <w:tc>
          <w:tcPr>
            <w:tcW w:w="1253" w:type="dxa"/>
            <w:vAlign w:val="bottom"/>
          </w:tcPr>
          <w:p w:rsidR="002329FF" w:rsidRPr="009B12A1" w:rsidRDefault="002329FF" w:rsidP="00C623AB">
            <w:pPr>
              <w:pStyle w:val="Tablenumbers"/>
              <w:rPr>
                <w:sz w:val="16"/>
                <w:szCs w:val="16"/>
              </w:rPr>
            </w:pPr>
            <w:r w:rsidRPr="009B12A1">
              <w:rPr>
                <w:sz w:val="16"/>
                <w:szCs w:val="16"/>
              </w:rPr>
              <w:t>Number of responding institutions</w:t>
            </w:r>
          </w:p>
        </w:tc>
        <w:tc>
          <w:tcPr>
            <w:tcW w:w="1096" w:type="dxa"/>
            <w:vAlign w:val="bottom"/>
          </w:tcPr>
          <w:p w:rsidR="002329FF" w:rsidRPr="009B12A1" w:rsidRDefault="002329FF" w:rsidP="00C623AB">
            <w:pPr>
              <w:pStyle w:val="Tablenumbers"/>
              <w:rPr>
                <w:sz w:val="16"/>
                <w:szCs w:val="16"/>
              </w:rPr>
            </w:pPr>
            <w:r>
              <w:rPr>
                <w:sz w:val="16"/>
                <w:szCs w:val="16"/>
              </w:rPr>
              <w:t>Expected number of responses</w:t>
            </w:r>
          </w:p>
        </w:tc>
        <w:tc>
          <w:tcPr>
            <w:tcW w:w="1144" w:type="dxa"/>
            <w:vAlign w:val="bottom"/>
          </w:tcPr>
          <w:p w:rsidR="002329FF" w:rsidRPr="009B12A1" w:rsidRDefault="002329FF" w:rsidP="00C623AB">
            <w:pPr>
              <w:pStyle w:val="Tablenumbers"/>
              <w:rPr>
                <w:sz w:val="16"/>
                <w:szCs w:val="16"/>
              </w:rPr>
            </w:pPr>
            <w:r w:rsidRPr="009B12A1">
              <w:rPr>
                <w:sz w:val="16"/>
                <w:szCs w:val="16"/>
              </w:rPr>
              <w:t>Average time burden per response (</w:t>
            </w:r>
            <w:r>
              <w:rPr>
                <w:sz w:val="16"/>
                <w:szCs w:val="16"/>
              </w:rPr>
              <w:t>mins</w:t>
            </w:r>
            <w:r w:rsidRPr="009B12A1">
              <w:rPr>
                <w:sz w:val="16"/>
                <w:szCs w:val="16"/>
              </w:rPr>
              <w:t>)</w:t>
            </w:r>
          </w:p>
        </w:tc>
        <w:tc>
          <w:tcPr>
            <w:tcW w:w="974" w:type="dxa"/>
            <w:vAlign w:val="bottom"/>
          </w:tcPr>
          <w:p w:rsidR="002329FF" w:rsidRPr="00E42B0E" w:rsidRDefault="002329FF" w:rsidP="00C623AB">
            <w:pPr>
              <w:pStyle w:val="Tablenumbers"/>
              <w:rPr>
                <w:sz w:val="16"/>
                <w:szCs w:val="16"/>
              </w:rPr>
            </w:pPr>
            <w:r w:rsidRPr="009B12A1">
              <w:rPr>
                <w:sz w:val="16"/>
                <w:szCs w:val="16"/>
              </w:rPr>
              <w:t>Total time burden (hours)</w:t>
            </w:r>
          </w:p>
        </w:tc>
      </w:tr>
      <w:tr w:rsidR="002329FF" w:rsidRPr="00E42B0E" w:rsidTr="002329FF">
        <w:tc>
          <w:tcPr>
            <w:tcW w:w="2789" w:type="dxa"/>
          </w:tcPr>
          <w:p w:rsidR="002329FF" w:rsidRPr="00E42B0E" w:rsidRDefault="002329FF" w:rsidP="00897FA8">
            <w:pPr>
              <w:pStyle w:val="Tabletext"/>
              <w:rPr>
                <w:sz w:val="16"/>
                <w:szCs w:val="16"/>
              </w:rPr>
            </w:pPr>
            <w:r w:rsidRPr="00E42B0E">
              <w:rPr>
                <w:sz w:val="16"/>
                <w:szCs w:val="16"/>
              </w:rPr>
              <w:t xml:space="preserve">NPSAS:16 </w:t>
            </w:r>
            <w:r>
              <w:rPr>
                <w:sz w:val="16"/>
                <w:szCs w:val="16"/>
              </w:rPr>
              <w:t>full scale</w:t>
            </w:r>
            <w:r w:rsidRPr="00E42B0E">
              <w:rPr>
                <w:sz w:val="16"/>
                <w:szCs w:val="16"/>
              </w:rPr>
              <w:t xml:space="preserve"> study</w:t>
            </w:r>
          </w:p>
        </w:tc>
        <w:tc>
          <w:tcPr>
            <w:tcW w:w="1047" w:type="dxa"/>
          </w:tcPr>
          <w:p w:rsidR="002329FF" w:rsidRPr="00E42B0E" w:rsidRDefault="002329FF" w:rsidP="00897FA8">
            <w:pPr>
              <w:pStyle w:val="Tablenumbers"/>
              <w:rPr>
                <w:sz w:val="16"/>
                <w:szCs w:val="16"/>
              </w:rPr>
            </w:pPr>
          </w:p>
        </w:tc>
        <w:tc>
          <w:tcPr>
            <w:tcW w:w="1076" w:type="dxa"/>
          </w:tcPr>
          <w:p w:rsidR="002329FF" w:rsidRPr="00E42B0E" w:rsidRDefault="002329FF" w:rsidP="00897FA8">
            <w:pPr>
              <w:pStyle w:val="Tablenumbers"/>
              <w:rPr>
                <w:sz w:val="16"/>
                <w:szCs w:val="16"/>
              </w:rPr>
            </w:pPr>
          </w:p>
        </w:tc>
        <w:tc>
          <w:tcPr>
            <w:tcW w:w="1253" w:type="dxa"/>
          </w:tcPr>
          <w:p w:rsidR="002329FF" w:rsidRPr="00E42B0E" w:rsidRDefault="002329FF" w:rsidP="00894728">
            <w:pPr>
              <w:pStyle w:val="Tablenumbers"/>
              <w:rPr>
                <w:sz w:val="16"/>
                <w:szCs w:val="16"/>
              </w:rPr>
            </w:pPr>
          </w:p>
        </w:tc>
        <w:tc>
          <w:tcPr>
            <w:tcW w:w="1253" w:type="dxa"/>
          </w:tcPr>
          <w:p w:rsidR="002329FF" w:rsidRPr="00E42B0E" w:rsidRDefault="002329FF" w:rsidP="00897FA8">
            <w:pPr>
              <w:pStyle w:val="Tablenumbers"/>
              <w:rPr>
                <w:sz w:val="16"/>
                <w:szCs w:val="16"/>
              </w:rPr>
            </w:pPr>
          </w:p>
        </w:tc>
        <w:tc>
          <w:tcPr>
            <w:tcW w:w="1096" w:type="dxa"/>
          </w:tcPr>
          <w:p w:rsidR="002329FF" w:rsidRPr="00E42B0E" w:rsidRDefault="002329FF" w:rsidP="00897FA8">
            <w:pPr>
              <w:pStyle w:val="Tablenumbers"/>
              <w:rPr>
                <w:sz w:val="16"/>
                <w:szCs w:val="16"/>
              </w:rPr>
            </w:pPr>
          </w:p>
        </w:tc>
        <w:tc>
          <w:tcPr>
            <w:tcW w:w="1144" w:type="dxa"/>
          </w:tcPr>
          <w:p w:rsidR="002329FF" w:rsidRPr="00E42B0E" w:rsidRDefault="002329FF" w:rsidP="00897FA8">
            <w:pPr>
              <w:pStyle w:val="Tablenumbers"/>
              <w:rPr>
                <w:sz w:val="16"/>
                <w:szCs w:val="16"/>
              </w:rPr>
            </w:pPr>
          </w:p>
        </w:tc>
        <w:tc>
          <w:tcPr>
            <w:tcW w:w="974" w:type="dxa"/>
          </w:tcPr>
          <w:p w:rsidR="002329FF" w:rsidRPr="00E42B0E" w:rsidRDefault="002329FF" w:rsidP="00897FA8">
            <w:pPr>
              <w:pStyle w:val="Tablenumbers"/>
              <w:rPr>
                <w:sz w:val="16"/>
                <w:szCs w:val="16"/>
              </w:rPr>
            </w:pPr>
          </w:p>
        </w:tc>
      </w:tr>
      <w:tr w:rsidR="002329FF" w:rsidRPr="00E42B0E" w:rsidTr="002329FF">
        <w:tc>
          <w:tcPr>
            <w:tcW w:w="2789" w:type="dxa"/>
          </w:tcPr>
          <w:p w:rsidR="002329FF" w:rsidRPr="00E95BF0" w:rsidRDefault="002329FF" w:rsidP="00C623AB">
            <w:pPr>
              <w:pStyle w:val="2enspsubgroup1"/>
              <w:rPr>
                <w:sz w:val="16"/>
                <w:szCs w:val="16"/>
              </w:rPr>
            </w:pPr>
            <w:r w:rsidRPr="00E95BF0">
              <w:rPr>
                <w:sz w:val="16"/>
                <w:szCs w:val="16"/>
              </w:rPr>
              <w:t>Eligibility screening calls</w:t>
            </w:r>
          </w:p>
        </w:tc>
        <w:tc>
          <w:tcPr>
            <w:tcW w:w="1047" w:type="dxa"/>
          </w:tcPr>
          <w:p w:rsidR="002329FF" w:rsidRPr="00E42B0E" w:rsidRDefault="002329FF" w:rsidP="00C623AB">
            <w:pPr>
              <w:pStyle w:val="Tablenumbers"/>
              <w:rPr>
                <w:sz w:val="16"/>
                <w:szCs w:val="16"/>
              </w:rPr>
            </w:pPr>
            <w:r>
              <w:rPr>
                <w:sz w:val="16"/>
                <w:szCs w:val="16"/>
              </w:rPr>
              <w:t>2,000</w:t>
            </w:r>
          </w:p>
        </w:tc>
        <w:tc>
          <w:tcPr>
            <w:tcW w:w="1076" w:type="dxa"/>
          </w:tcPr>
          <w:p w:rsidR="002329FF" w:rsidRDefault="002329FF" w:rsidP="00C623AB">
            <w:pPr>
              <w:pStyle w:val="Tablenumbers"/>
              <w:rPr>
                <w:sz w:val="16"/>
                <w:szCs w:val="16"/>
              </w:rPr>
            </w:pPr>
            <w:r>
              <w:rPr>
                <w:sz w:val="16"/>
                <w:szCs w:val="16"/>
              </w:rPr>
              <w:t>1,980</w:t>
            </w:r>
          </w:p>
        </w:tc>
        <w:tc>
          <w:tcPr>
            <w:tcW w:w="1253" w:type="dxa"/>
          </w:tcPr>
          <w:p w:rsidR="002329FF" w:rsidRPr="00E42B0E" w:rsidRDefault="002329FF" w:rsidP="00894728">
            <w:pPr>
              <w:pStyle w:val="Tablenumbers"/>
              <w:rPr>
                <w:sz w:val="16"/>
                <w:szCs w:val="16"/>
              </w:rPr>
            </w:pPr>
            <w:r>
              <w:rPr>
                <w:sz w:val="16"/>
                <w:szCs w:val="16"/>
              </w:rPr>
              <w:t>100</w:t>
            </w:r>
          </w:p>
        </w:tc>
        <w:tc>
          <w:tcPr>
            <w:tcW w:w="1253" w:type="dxa"/>
          </w:tcPr>
          <w:p w:rsidR="002329FF" w:rsidRDefault="002329FF" w:rsidP="00C623AB">
            <w:pPr>
              <w:pStyle w:val="Tablenumbers"/>
              <w:rPr>
                <w:sz w:val="16"/>
                <w:szCs w:val="16"/>
              </w:rPr>
            </w:pPr>
            <w:r>
              <w:rPr>
                <w:sz w:val="16"/>
                <w:szCs w:val="16"/>
              </w:rPr>
              <w:t>2,000</w:t>
            </w:r>
          </w:p>
        </w:tc>
        <w:tc>
          <w:tcPr>
            <w:tcW w:w="1096" w:type="dxa"/>
          </w:tcPr>
          <w:p w:rsidR="002329FF" w:rsidRDefault="002329FF" w:rsidP="00C623AB">
            <w:pPr>
              <w:pStyle w:val="Tablenumbers"/>
              <w:rPr>
                <w:sz w:val="16"/>
                <w:szCs w:val="16"/>
              </w:rPr>
            </w:pPr>
            <w:r>
              <w:rPr>
                <w:sz w:val="16"/>
                <w:szCs w:val="16"/>
              </w:rPr>
              <w:t>2,000</w:t>
            </w:r>
          </w:p>
        </w:tc>
        <w:tc>
          <w:tcPr>
            <w:tcW w:w="1144" w:type="dxa"/>
          </w:tcPr>
          <w:p w:rsidR="002329FF" w:rsidRPr="00E42B0E" w:rsidRDefault="002329FF" w:rsidP="00C623AB">
            <w:pPr>
              <w:pStyle w:val="Tablenumbers"/>
              <w:rPr>
                <w:sz w:val="16"/>
                <w:szCs w:val="16"/>
              </w:rPr>
            </w:pPr>
            <w:r>
              <w:rPr>
                <w:sz w:val="16"/>
                <w:szCs w:val="16"/>
              </w:rPr>
              <w:t>5</w:t>
            </w:r>
          </w:p>
        </w:tc>
        <w:tc>
          <w:tcPr>
            <w:tcW w:w="974" w:type="dxa"/>
          </w:tcPr>
          <w:p w:rsidR="002329FF" w:rsidRDefault="002329FF" w:rsidP="00C623AB">
            <w:pPr>
              <w:pStyle w:val="Tablenumbers"/>
              <w:rPr>
                <w:sz w:val="16"/>
                <w:szCs w:val="16"/>
              </w:rPr>
            </w:pPr>
            <w:r>
              <w:rPr>
                <w:sz w:val="16"/>
                <w:szCs w:val="16"/>
              </w:rPr>
              <w:t>167</w:t>
            </w:r>
          </w:p>
        </w:tc>
      </w:tr>
      <w:tr w:rsidR="002329FF" w:rsidRPr="00E42B0E" w:rsidTr="002329FF">
        <w:tc>
          <w:tcPr>
            <w:tcW w:w="2789" w:type="dxa"/>
          </w:tcPr>
          <w:p w:rsidR="002329FF" w:rsidRPr="00E95BF0" w:rsidRDefault="002329FF" w:rsidP="00C623AB">
            <w:pPr>
              <w:pStyle w:val="2enspsubgroup1"/>
              <w:rPr>
                <w:sz w:val="16"/>
                <w:szCs w:val="16"/>
              </w:rPr>
            </w:pPr>
            <w:r w:rsidRPr="00E95BF0">
              <w:rPr>
                <w:sz w:val="16"/>
                <w:szCs w:val="16"/>
              </w:rPr>
              <w:t>Institutional registration page</w:t>
            </w:r>
          </w:p>
        </w:tc>
        <w:tc>
          <w:tcPr>
            <w:tcW w:w="1047" w:type="dxa"/>
          </w:tcPr>
          <w:p w:rsidR="002329FF" w:rsidRPr="00E42B0E" w:rsidRDefault="002329FF" w:rsidP="00C623AB">
            <w:pPr>
              <w:pStyle w:val="Tablenumbers"/>
              <w:rPr>
                <w:sz w:val="16"/>
                <w:szCs w:val="16"/>
              </w:rPr>
            </w:pPr>
            <w:r w:rsidRPr="00E42B0E">
              <w:rPr>
                <w:sz w:val="16"/>
                <w:szCs w:val="16"/>
              </w:rPr>
              <w:t>†</w:t>
            </w:r>
          </w:p>
        </w:tc>
        <w:tc>
          <w:tcPr>
            <w:tcW w:w="1076" w:type="dxa"/>
          </w:tcPr>
          <w:p w:rsidR="002329FF" w:rsidRDefault="002329FF" w:rsidP="00C623AB">
            <w:pPr>
              <w:pStyle w:val="Tablenumbers"/>
              <w:rPr>
                <w:sz w:val="16"/>
                <w:szCs w:val="16"/>
              </w:rPr>
            </w:pPr>
            <w:r>
              <w:rPr>
                <w:sz w:val="16"/>
                <w:szCs w:val="16"/>
              </w:rPr>
              <w:t>1,980</w:t>
            </w:r>
          </w:p>
        </w:tc>
        <w:tc>
          <w:tcPr>
            <w:tcW w:w="1253" w:type="dxa"/>
          </w:tcPr>
          <w:p w:rsidR="002329FF" w:rsidRPr="00E42B0E" w:rsidRDefault="002329FF" w:rsidP="00894728">
            <w:pPr>
              <w:pStyle w:val="Tablenumbers"/>
              <w:rPr>
                <w:sz w:val="16"/>
                <w:szCs w:val="16"/>
              </w:rPr>
            </w:pPr>
            <w:r w:rsidRPr="00E42B0E">
              <w:rPr>
                <w:sz w:val="16"/>
                <w:szCs w:val="16"/>
              </w:rPr>
              <w:t>85</w:t>
            </w:r>
          </w:p>
        </w:tc>
        <w:tc>
          <w:tcPr>
            <w:tcW w:w="1253" w:type="dxa"/>
          </w:tcPr>
          <w:p w:rsidR="002329FF" w:rsidRDefault="002329FF" w:rsidP="00C623AB">
            <w:pPr>
              <w:pStyle w:val="Tablenumbers"/>
              <w:rPr>
                <w:sz w:val="16"/>
                <w:szCs w:val="16"/>
              </w:rPr>
            </w:pPr>
            <w:r>
              <w:rPr>
                <w:sz w:val="16"/>
                <w:szCs w:val="16"/>
              </w:rPr>
              <w:t>1,683</w:t>
            </w:r>
          </w:p>
        </w:tc>
        <w:tc>
          <w:tcPr>
            <w:tcW w:w="1096" w:type="dxa"/>
          </w:tcPr>
          <w:p w:rsidR="002329FF" w:rsidRDefault="002329FF" w:rsidP="00C623AB">
            <w:pPr>
              <w:pStyle w:val="Tablenumbers"/>
              <w:rPr>
                <w:sz w:val="16"/>
                <w:szCs w:val="16"/>
              </w:rPr>
            </w:pPr>
            <w:r>
              <w:rPr>
                <w:sz w:val="16"/>
                <w:szCs w:val="16"/>
              </w:rPr>
              <w:t>1,683</w:t>
            </w:r>
          </w:p>
        </w:tc>
        <w:tc>
          <w:tcPr>
            <w:tcW w:w="1144" w:type="dxa"/>
          </w:tcPr>
          <w:p w:rsidR="002329FF" w:rsidRPr="00E42B0E" w:rsidRDefault="002329FF" w:rsidP="00C623AB">
            <w:pPr>
              <w:pStyle w:val="Tablenumbers"/>
              <w:rPr>
                <w:sz w:val="16"/>
                <w:szCs w:val="16"/>
              </w:rPr>
            </w:pPr>
            <w:r>
              <w:rPr>
                <w:sz w:val="16"/>
                <w:szCs w:val="16"/>
              </w:rPr>
              <w:t>5</w:t>
            </w:r>
          </w:p>
        </w:tc>
        <w:tc>
          <w:tcPr>
            <w:tcW w:w="974" w:type="dxa"/>
          </w:tcPr>
          <w:p w:rsidR="002329FF" w:rsidRDefault="002329FF" w:rsidP="00C623AB">
            <w:pPr>
              <w:pStyle w:val="Tablenumbers"/>
              <w:rPr>
                <w:sz w:val="16"/>
                <w:szCs w:val="16"/>
              </w:rPr>
            </w:pPr>
            <w:r>
              <w:rPr>
                <w:sz w:val="16"/>
                <w:szCs w:val="16"/>
              </w:rPr>
              <w:t>140</w:t>
            </w:r>
          </w:p>
        </w:tc>
      </w:tr>
      <w:tr w:rsidR="002329FF" w:rsidRPr="00E42B0E" w:rsidTr="002329FF">
        <w:tc>
          <w:tcPr>
            <w:tcW w:w="2789" w:type="dxa"/>
          </w:tcPr>
          <w:p w:rsidR="002329FF" w:rsidRPr="00E42B0E" w:rsidRDefault="002329FF" w:rsidP="00C623AB">
            <w:pPr>
              <w:pStyle w:val="2enspsubgroup1"/>
              <w:rPr>
                <w:sz w:val="16"/>
                <w:szCs w:val="16"/>
              </w:rPr>
            </w:pPr>
            <w:r w:rsidRPr="00E42B0E">
              <w:rPr>
                <w:sz w:val="16"/>
                <w:szCs w:val="16"/>
              </w:rPr>
              <w:t>Institutional enrollment lists</w:t>
            </w:r>
          </w:p>
        </w:tc>
        <w:tc>
          <w:tcPr>
            <w:tcW w:w="1047" w:type="dxa"/>
          </w:tcPr>
          <w:p w:rsidR="002329FF" w:rsidRPr="00E42B0E" w:rsidRDefault="002329FF" w:rsidP="00C623AB">
            <w:pPr>
              <w:pStyle w:val="Tablenumbers"/>
              <w:rPr>
                <w:sz w:val="16"/>
                <w:szCs w:val="16"/>
              </w:rPr>
            </w:pPr>
            <w:r w:rsidRPr="00E42B0E">
              <w:rPr>
                <w:sz w:val="16"/>
                <w:szCs w:val="16"/>
              </w:rPr>
              <w:t>†</w:t>
            </w:r>
          </w:p>
        </w:tc>
        <w:tc>
          <w:tcPr>
            <w:tcW w:w="1076" w:type="dxa"/>
          </w:tcPr>
          <w:p w:rsidR="002329FF" w:rsidRDefault="002329FF" w:rsidP="00C623AB">
            <w:pPr>
              <w:pStyle w:val="Tablenumbers"/>
              <w:rPr>
                <w:sz w:val="16"/>
                <w:szCs w:val="16"/>
              </w:rPr>
            </w:pPr>
            <w:r>
              <w:rPr>
                <w:sz w:val="16"/>
                <w:szCs w:val="16"/>
              </w:rPr>
              <w:t>1,980</w:t>
            </w:r>
          </w:p>
        </w:tc>
        <w:tc>
          <w:tcPr>
            <w:tcW w:w="1253" w:type="dxa"/>
          </w:tcPr>
          <w:p w:rsidR="002329FF" w:rsidRPr="00E42B0E" w:rsidRDefault="002329FF" w:rsidP="00894728">
            <w:pPr>
              <w:pStyle w:val="Tablenumbers"/>
              <w:rPr>
                <w:sz w:val="16"/>
                <w:szCs w:val="16"/>
              </w:rPr>
            </w:pPr>
            <w:r w:rsidRPr="00E42B0E">
              <w:rPr>
                <w:sz w:val="16"/>
                <w:szCs w:val="16"/>
              </w:rPr>
              <w:t>85</w:t>
            </w:r>
          </w:p>
        </w:tc>
        <w:tc>
          <w:tcPr>
            <w:tcW w:w="1253" w:type="dxa"/>
          </w:tcPr>
          <w:p w:rsidR="002329FF" w:rsidRDefault="002329FF" w:rsidP="00C623AB">
            <w:pPr>
              <w:pStyle w:val="Tablenumbers"/>
              <w:rPr>
                <w:sz w:val="16"/>
                <w:szCs w:val="16"/>
              </w:rPr>
            </w:pPr>
            <w:r>
              <w:rPr>
                <w:sz w:val="16"/>
                <w:szCs w:val="16"/>
              </w:rPr>
              <w:t>1,683</w:t>
            </w:r>
          </w:p>
        </w:tc>
        <w:tc>
          <w:tcPr>
            <w:tcW w:w="1096" w:type="dxa"/>
          </w:tcPr>
          <w:p w:rsidR="002329FF" w:rsidRDefault="002329FF" w:rsidP="00C623AB">
            <w:pPr>
              <w:pStyle w:val="Tablenumbers"/>
              <w:rPr>
                <w:sz w:val="16"/>
                <w:szCs w:val="16"/>
              </w:rPr>
            </w:pPr>
            <w:r>
              <w:rPr>
                <w:sz w:val="16"/>
                <w:szCs w:val="16"/>
              </w:rPr>
              <w:t>1,683</w:t>
            </w:r>
          </w:p>
        </w:tc>
        <w:tc>
          <w:tcPr>
            <w:tcW w:w="1144" w:type="dxa"/>
          </w:tcPr>
          <w:p w:rsidR="002329FF" w:rsidRPr="00E42B0E" w:rsidRDefault="002329FF" w:rsidP="00C623AB">
            <w:pPr>
              <w:pStyle w:val="Tablenumbers"/>
              <w:rPr>
                <w:sz w:val="16"/>
                <w:szCs w:val="16"/>
              </w:rPr>
            </w:pPr>
            <w:r>
              <w:rPr>
                <w:sz w:val="16"/>
                <w:szCs w:val="16"/>
              </w:rPr>
              <w:t>165</w:t>
            </w:r>
          </w:p>
        </w:tc>
        <w:tc>
          <w:tcPr>
            <w:tcW w:w="974" w:type="dxa"/>
          </w:tcPr>
          <w:p w:rsidR="002329FF" w:rsidRDefault="002329FF" w:rsidP="00C623AB">
            <w:pPr>
              <w:pStyle w:val="Tablenumbers"/>
              <w:rPr>
                <w:sz w:val="16"/>
                <w:szCs w:val="16"/>
              </w:rPr>
            </w:pPr>
            <w:r>
              <w:rPr>
                <w:sz w:val="16"/>
                <w:szCs w:val="16"/>
              </w:rPr>
              <w:t>4,628</w:t>
            </w:r>
          </w:p>
        </w:tc>
      </w:tr>
      <w:tr w:rsidR="002329FF" w:rsidRPr="007D2BCD" w:rsidTr="002329FF">
        <w:tc>
          <w:tcPr>
            <w:tcW w:w="2789" w:type="dxa"/>
          </w:tcPr>
          <w:p w:rsidR="002329FF" w:rsidRPr="007D2BCD" w:rsidRDefault="002329FF" w:rsidP="00C623AB">
            <w:pPr>
              <w:pStyle w:val="5ensptotal"/>
              <w:ind w:left="0" w:firstLine="0"/>
              <w:jc w:val="right"/>
              <w:rPr>
                <w:b/>
                <w:sz w:val="16"/>
                <w:szCs w:val="16"/>
              </w:rPr>
            </w:pPr>
            <w:r w:rsidRPr="007D2BCD">
              <w:rPr>
                <w:b/>
                <w:sz w:val="16"/>
                <w:szCs w:val="16"/>
              </w:rPr>
              <w:t>Institutional total</w:t>
            </w:r>
          </w:p>
        </w:tc>
        <w:tc>
          <w:tcPr>
            <w:tcW w:w="1047" w:type="dxa"/>
          </w:tcPr>
          <w:p w:rsidR="002329FF" w:rsidRPr="007D2BCD" w:rsidRDefault="002329FF" w:rsidP="00C623AB">
            <w:pPr>
              <w:pStyle w:val="Tablenumbers"/>
              <w:rPr>
                <w:b/>
                <w:sz w:val="16"/>
                <w:szCs w:val="16"/>
              </w:rPr>
            </w:pPr>
            <w:r w:rsidRPr="007D2BCD">
              <w:rPr>
                <w:b/>
                <w:sz w:val="16"/>
                <w:szCs w:val="16"/>
              </w:rPr>
              <w:t> </w:t>
            </w:r>
          </w:p>
        </w:tc>
        <w:tc>
          <w:tcPr>
            <w:tcW w:w="1076" w:type="dxa"/>
          </w:tcPr>
          <w:p w:rsidR="002329FF" w:rsidRPr="007D2BCD" w:rsidRDefault="002329FF" w:rsidP="00C623AB">
            <w:pPr>
              <w:pStyle w:val="Tablenumbers"/>
              <w:rPr>
                <w:b/>
                <w:sz w:val="16"/>
                <w:szCs w:val="16"/>
              </w:rPr>
            </w:pPr>
            <w:r w:rsidRPr="007D2BCD">
              <w:rPr>
                <w:b/>
                <w:sz w:val="16"/>
                <w:szCs w:val="16"/>
              </w:rPr>
              <w:t> </w:t>
            </w:r>
          </w:p>
        </w:tc>
        <w:tc>
          <w:tcPr>
            <w:tcW w:w="1253" w:type="dxa"/>
          </w:tcPr>
          <w:p w:rsidR="002329FF" w:rsidRPr="007D2BCD" w:rsidRDefault="002329FF" w:rsidP="00894728">
            <w:pPr>
              <w:pStyle w:val="Tablenumbers"/>
              <w:jc w:val="center"/>
              <w:rPr>
                <w:b/>
                <w:sz w:val="16"/>
                <w:szCs w:val="16"/>
              </w:rPr>
            </w:pPr>
          </w:p>
        </w:tc>
        <w:tc>
          <w:tcPr>
            <w:tcW w:w="1253" w:type="dxa"/>
          </w:tcPr>
          <w:p w:rsidR="002329FF" w:rsidRPr="007D2BCD" w:rsidRDefault="002329FF" w:rsidP="00C623AB">
            <w:pPr>
              <w:pStyle w:val="Tablenumbers"/>
              <w:rPr>
                <w:b/>
                <w:sz w:val="16"/>
                <w:szCs w:val="16"/>
              </w:rPr>
            </w:pPr>
            <w:r w:rsidRPr="007D2BCD">
              <w:rPr>
                <w:b/>
                <w:sz w:val="16"/>
                <w:szCs w:val="16"/>
              </w:rPr>
              <w:t>2,000</w:t>
            </w:r>
          </w:p>
        </w:tc>
        <w:tc>
          <w:tcPr>
            <w:tcW w:w="1096" w:type="dxa"/>
          </w:tcPr>
          <w:p w:rsidR="002329FF" w:rsidRPr="007D2BCD" w:rsidRDefault="002329FF" w:rsidP="00312C32">
            <w:pPr>
              <w:pStyle w:val="Tablenumbers"/>
              <w:rPr>
                <w:b/>
                <w:sz w:val="16"/>
                <w:szCs w:val="16"/>
              </w:rPr>
            </w:pPr>
            <w:r w:rsidRPr="007D2BCD">
              <w:rPr>
                <w:b/>
                <w:sz w:val="16"/>
                <w:szCs w:val="16"/>
              </w:rPr>
              <w:t>5,366</w:t>
            </w:r>
          </w:p>
        </w:tc>
        <w:tc>
          <w:tcPr>
            <w:tcW w:w="1144" w:type="dxa"/>
          </w:tcPr>
          <w:p w:rsidR="002329FF" w:rsidRPr="007D2BCD" w:rsidRDefault="002329FF" w:rsidP="00C623AB">
            <w:pPr>
              <w:pStyle w:val="Tablenumbers"/>
              <w:jc w:val="center"/>
              <w:rPr>
                <w:b/>
                <w:sz w:val="16"/>
                <w:szCs w:val="16"/>
              </w:rPr>
            </w:pPr>
          </w:p>
        </w:tc>
        <w:tc>
          <w:tcPr>
            <w:tcW w:w="974" w:type="dxa"/>
          </w:tcPr>
          <w:p w:rsidR="002329FF" w:rsidRPr="007D2BCD" w:rsidRDefault="002329FF" w:rsidP="00C623AB">
            <w:pPr>
              <w:pStyle w:val="Tablenumbers"/>
              <w:rPr>
                <w:b/>
                <w:sz w:val="16"/>
                <w:szCs w:val="16"/>
              </w:rPr>
            </w:pPr>
            <w:r w:rsidRPr="007D2BCD">
              <w:rPr>
                <w:b/>
                <w:sz w:val="16"/>
                <w:szCs w:val="16"/>
              </w:rPr>
              <w:t>4,935</w:t>
            </w:r>
          </w:p>
        </w:tc>
      </w:tr>
    </w:tbl>
    <w:p w:rsidR="00BE13A2" w:rsidRDefault="00BE13A2" w:rsidP="00BE13A2">
      <w:pPr>
        <w:pStyle w:val="Tablenotes"/>
        <w:rPr>
          <w:rFonts w:cs="Arial"/>
          <w:szCs w:val="16"/>
        </w:rPr>
      </w:pPr>
      <w:r w:rsidRPr="008E5A80">
        <w:rPr>
          <w:rFonts w:cs="Arial"/>
          <w:szCs w:val="16"/>
        </w:rPr>
        <w:t>†</w:t>
      </w:r>
      <w:r>
        <w:rPr>
          <w:rFonts w:cs="Arial"/>
          <w:szCs w:val="16"/>
        </w:rPr>
        <w:t xml:space="preserve"> Not applicable.</w:t>
      </w:r>
    </w:p>
    <w:p w:rsidR="00BE13A2" w:rsidRDefault="00CD3FB8" w:rsidP="009A363A">
      <w:pPr>
        <w:pStyle w:val="H1"/>
        <w:rPr>
          <w:rFonts w:ascii="Times New Roman" w:hAnsi="Times New Roman" w:cs="Times New Roman"/>
          <w:b w:val="0"/>
        </w:rPr>
      </w:pPr>
      <w:r>
        <w:rPr>
          <w:rFonts w:ascii="Times New Roman" w:hAnsi="Times New Roman" w:cs="Times New Roman"/>
          <w:b w:val="0"/>
        </w:rPr>
        <w:t xml:space="preserve">In addition to revising the burden table, we revised </w:t>
      </w:r>
      <w:r w:rsidR="00731C86">
        <w:rPr>
          <w:rFonts w:ascii="Times New Roman" w:hAnsi="Times New Roman" w:cs="Times New Roman"/>
          <w:b w:val="0"/>
        </w:rPr>
        <w:t xml:space="preserve">the first paragraph </w:t>
      </w:r>
      <w:r w:rsidR="00C22608">
        <w:rPr>
          <w:rFonts w:ascii="Times New Roman" w:hAnsi="Times New Roman" w:cs="Times New Roman"/>
          <w:b w:val="0"/>
        </w:rPr>
        <w:t>of</w:t>
      </w:r>
      <w:r w:rsidR="00731C86">
        <w:rPr>
          <w:rFonts w:ascii="Times New Roman" w:hAnsi="Times New Roman" w:cs="Times New Roman"/>
          <w:b w:val="0"/>
        </w:rPr>
        <w:t xml:space="preserve"> Part A, </w:t>
      </w:r>
      <w:r w:rsidR="00C22608">
        <w:rPr>
          <w:rFonts w:ascii="Times New Roman" w:hAnsi="Times New Roman" w:cs="Times New Roman"/>
          <w:b w:val="0"/>
        </w:rPr>
        <w:t>s</w:t>
      </w:r>
      <w:r w:rsidR="00731C86">
        <w:rPr>
          <w:rFonts w:ascii="Times New Roman" w:hAnsi="Times New Roman" w:cs="Times New Roman"/>
          <w:b w:val="0"/>
        </w:rPr>
        <w:t>ection 12 to reflect the revised burden hours and to update the hourly</w:t>
      </w:r>
      <w:r w:rsidR="00C22608">
        <w:rPr>
          <w:rFonts w:ascii="Times New Roman" w:hAnsi="Times New Roman" w:cs="Times New Roman"/>
          <w:b w:val="0"/>
        </w:rPr>
        <w:t xml:space="preserve"> cost</w:t>
      </w:r>
      <w:r w:rsidR="00731C86">
        <w:rPr>
          <w:rFonts w:ascii="Times New Roman" w:hAnsi="Times New Roman" w:cs="Times New Roman"/>
          <w:b w:val="0"/>
        </w:rPr>
        <w:t xml:space="preserve"> rate</w:t>
      </w:r>
      <w:r w:rsidR="00C22608">
        <w:rPr>
          <w:rFonts w:ascii="Times New Roman" w:hAnsi="Times New Roman" w:cs="Times New Roman"/>
          <w:b w:val="0"/>
        </w:rPr>
        <w:t xml:space="preserve"> for institutions</w:t>
      </w:r>
      <w:r w:rsidR="00731C86">
        <w:rPr>
          <w:rFonts w:ascii="Times New Roman" w:hAnsi="Times New Roman" w:cs="Times New Roman"/>
          <w:b w:val="0"/>
        </w:rPr>
        <w:t xml:space="preserve"> to make it consistent with the </w:t>
      </w:r>
      <w:r w:rsidR="00C22608">
        <w:rPr>
          <w:rFonts w:ascii="Times New Roman" w:hAnsi="Times New Roman" w:cs="Times New Roman"/>
          <w:b w:val="0"/>
        </w:rPr>
        <w:t xml:space="preserve">rate </w:t>
      </w:r>
      <w:r w:rsidR="00731C86">
        <w:rPr>
          <w:rFonts w:ascii="Times New Roman" w:hAnsi="Times New Roman" w:cs="Times New Roman"/>
          <w:b w:val="0"/>
        </w:rPr>
        <w:t xml:space="preserve">IPEDS </w:t>
      </w:r>
      <w:r w:rsidR="00C22608">
        <w:rPr>
          <w:rFonts w:ascii="Times New Roman" w:hAnsi="Times New Roman" w:cs="Times New Roman"/>
          <w:b w:val="0"/>
        </w:rPr>
        <w:t>provides in its clearance package</w:t>
      </w:r>
      <w:r w:rsidR="00731C86">
        <w:rPr>
          <w:rFonts w:ascii="Times New Roman" w:hAnsi="Times New Roman" w:cs="Times New Roman"/>
          <w:b w:val="0"/>
        </w:rPr>
        <w:t>.</w:t>
      </w:r>
      <w:r>
        <w:rPr>
          <w:rFonts w:ascii="Times New Roman" w:hAnsi="Times New Roman" w:cs="Times New Roman"/>
          <w:b w:val="0"/>
        </w:rPr>
        <w:t xml:space="preserve"> </w:t>
      </w:r>
      <w:r w:rsidR="00103D90">
        <w:rPr>
          <w:rFonts w:ascii="Times New Roman" w:hAnsi="Times New Roman" w:cs="Times New Roman"/>
          <w:b w:val="0"/>
        </w:rPr>
        <w:t>The supporting package has been revised to read:</w:t>
      </w:r>
    </w:p>
    <w:p w:rsidR="00103D90" w:rsidRDefault="00103D90" w:rsidP="009A363A">
      <w:pPr>
        <w:pStyle w:val="BodyText"/>
        <w:jc w:val="left"/>
        <w:rPr>
          <w:b w:val="0"/>
        </w:rPr>
      </w:pPr>
    </w:p>
    <w:p w:rsidR="00103D90" w:rsidRDefault="00103D90" w:rsidP="007D2BCD">
      <w:pPr>
        <w:pStyle w:val="BodyText"/>
        <w:ind w:left="360"/>
        <w:jc w:val="left"/>
        <w:rPr>
          <w:b w:val="0"/>
        </w:rPr>
      </w:pPr>
      <w:r w:rsidRPr="00103D90">
        <w:rPr>
          <w:b w:val="0"/>
        </w:rPr>
        <w:t>Table 2 provides the projected estimates for response burden for NPSAS</w:t>
      </w:r>
      <w:proofErr w:type="gramStart"/>
      <w:r w:rsidRPr="00103D90">
        <w:rPr>
          <w:b w:val="0"/>
        </w:rPr>
        <w:t>:16</w:t>
      </w:r>
      <w:proofErr w:type="gramEnd"/>
      <w:r w:rsidRPr="00103D90">
        <w:rPr>
          <w:b w:val="0"/>
        </w:rPr>
        <w:t xml:space="preserve">, which are based on experiences from prior rounds of NPSAS. Using time burden data for similar institutional data collection tasks, we estimate the average burden associated with the enrollment list collection to be approximately 165 minutes per institution. </w:t>
      </w:r>
      <w:r w:rsidR="00731C86" w:rsidRPr="00731C86">
        <w:rPr>
          <w:b w:val="0"/>
        </w:rPr>
        <w:t xml:space="preserve">The estimated hourly cost to institutions was raised to $38, adopted </w:t>
      </w:r>
      <w:r w:rsidR="007D2BCD">
        <w:rPr>
          <w:b w:val="0"/>
        </w:rPr>
        <w:t>from</w:t>
      </w:r>
      <w:r w:rsidR="00731C86" w:rsidRPr="00731C86">
        <w:rPr>
          <w:b w:val="0"/>
        </w:rPr>
        <w:t xml:space="preserve"> the recent IPEDS collection, to reflect salary increases at those institutions</w:t>
      </w:r>
      <w:r w:rsidR="00731C86">
        <w:rPr>
          <w:b w:val="0"/>
        </w:rPr>
        <w:t>.</w:t>
      </w:r>
      <w:r w:rsidRPr="00103D90">
        <w:rPr>
          <w:b w:val="0"/>
        </w:rPr>
        <w:t xml:space="preserve"> The total estimated cost to institutions participating in the NPSAS</w:t>
      </w:r>
      <w:proofErr w:type="gramStart"/>
      <w:r w:rsidRPr="00103D90">
        <w:rPr>
          <w:b w:val="0"/>
        </w:rPr>
        <w:t>:16</w:t>
      </w:r>
      <w:proofErr w:type="gramEnd"/>
      <w:r w:rsidRPr="00103D90">
        <w:rPr>
          <w:b w:val="0"/>
        </w:rPr>
        <w:t xml:space="preserve"> full scale enrollment list data collection for the </w:t>
      </w:r>
      <w:r w:rsidR="00541B1C">
        <w:rPr>
          <w:b w:val="0"/>
        </w:rPr>
        <w:t>4,935</w:t>
      </w:r>
      <w:r w:rsidRPr="00103D90">
        <w:rPr>
          <w:b w:val="0"/>
        </w:rPr>
        <w:t xml:space="preserve"> total burden hours is $</w:t>
      </w:r>
      <w:r w:rsidR="00541B1C">
        <w:rPr>
          <w:b w:val="0"/>
        </w:rPr>
        <w:t>187,530</w:t>
      </w:r>
      <w:r w:rsidRPr="00103D90">
        <w:rPr>
          <w:b w:val="0"/>
        </w:rPr>
        <w:t>. This submission is for data collection of institution materials and enrollment lists only. We will submit burden estimates for data collection from and about sampled students in a separate package in fall 2015.</w:t>
      </w:r>
    </w:p>
    <w:p w:rsidR="00781B23" w:rsidRDefault="00885BAE" w:rsidP="00C46F60">
      <w:pPr>
        <w:pStyle w:val="H1"/>
        <w:spacing w:before="360" w:after="240"/>
        <w:rPr>
          <w:rFonts w:ascii="Times New Roman" w:hAnsi="Times New Roman" w:cs="Times New Roman"/>
        </w:rPr>
      </w:pPr>
      <w:r>
        <w:rPr>
          <w:rFonts w:ascii="Times New Roman" w:hAnsi="Times New Roman" w:cs="Times New Roman"/>
        </w:rPr>
        <w:t>Identifying Eligible Students for the Sampling Frame</w:t>
      </w:r>
    </w:p>
    <w:p w:rsidR="001F451F" w:rsidRDefault="000B3924" w:rsidP="001F451F">
      <w:pPr>
        <w:pStyle w:val="BodyText"/>
        <w:jc w:val="left"/>
        <w:rPr>
          <w:b w:val="0"/>
        </w:rPr>
      </w:pPr>
      <w:bookmarkStart w:id="6" w:name="_GoBack"/>
      <w:bookmarkEnd w:id="6"/>
      <w:r w:rsidRPr="00C46F60">
        <w:rPr>
          <w:b w:val="0"/>
        </w:rPr>
        <w:t>In the original submission</w:t>
      </w:r>
      <w:r w:rsidR="00933E0E">
        <w:rPr>
          <w:b w:val="0"/>
        </w:rPr>
        <w:t xml:space="preserve"> </w:t>
      </w:r>
      <w:r w:rsidR="00933E0E" w:rsidRPr="00933E0E">
        <w:rPr>
          <w:b w:val="0"/>
        </w:rPr>
        <w:t>(OMB# 1850-0666 v.15)</w:t>
      </w:r>
      <w:r w:rsidRPr="00C46F60">
        <w:rPr>
          <w:b w:val="0"/>
        </w:rPr>
        <w:t xml:space="preserve">, </w:t>
      </w:r>
      <w:r w:rsidR="00105291" w:rsidRPr="00C46F60">
        <w:rPr>
          <w:b w:val="0"/>
        </w:rPr>
        <w:t xml:space="preserve">we described </w:t>
      </w:r>
      <w:r w:rsidR="00C46F60" w:rsidRPr="00C46F60">
        <w:rPr>
          <w:b w:val="0"/>
        </w:rPr>
        <w:t>two approaches to determining student eligibility for NPSAS</w:t>
      </w:r>
      <w:r w:rsidR="00C22608">
        <w:rPr>
          <w:b w:val="0"/>
        </w:rPr>
        <w:t xml:space="preserve">. </w:t>
      </w:r>
      <w:r w:rsidR="00C46F60" w:rsidRPr="00C46F60">
        <w:rPr>
          <w:b w:val="0"/>
        </w:rPr>
        <w:t xml:space="preserve">Under Option A, </w:t>
      </w:r>
      <w:r w:rsidR="009A363A">
        <w:rPr>
          <w:b w:val="0"/>
        </w:rPr>
        <w:t xml:space="preserve">we proposed that </w:t>
      </w:r>
      <w:r w:rsidR="00C46F60" w:rsidRPr="00C46F60">
        <w:rPr>
          <w:b w:val="0"/>
        </w:rPr>
        <w:t xml:space="preserve">NPSAS staff </w:t>
      </w:r>
      <w:r w:rsidR="009A363A">
        <w:rPr>
          <w:b w:val="0"/>
        </w:rPr>
        <w:t xml:space="preserve">would </w:t>
      </w:r>
      <w:r w:rsidR="00C46F60" w:rsidRPr="00C46F60">
        <w:rPr>
          <w:b w:val="0"/>
        </w:rPr>
        <w:t xml:space="preserve">request </w:t>
      </w:r>
      <w:r w:rsidR="009A363A">
        <w:rPr>
          <w:b w:val="0"/>
        </w:rPr>
        <w:t>institution</w:t>
      </w:r>
      <w:r w:rsidR="00C46F60" w:rsidRPr="00C46F60">
        <w:rPr>
          <w:b w:val="0"/>
        </w:rPr>
        <w:t xml:space="preserve"> enrollment lists for all students enrolled during the NPSAS study period</w:t>
      </w:r>
      <w:r w:rsidR="009A363A">
        <w:rPr>
          <w:b w:val="0"/>
        </w:rPr>
        <w:t xml:space="preserve"> and, f</w:t>
      </w:r>
      <w:r w:rsidR="00C46F60" w:rsidRPr="00C46F60">
        <w:rPr>
          <w:b w:val="0"/>
        </w:rPr>
        <w:t xml:space="preserve">or each student, </w:t>
      </w:r>
      <w:r w:rsidR="009A363A">
        <w:rPr>
          <w:b w:val="0"/>
        </w:rPr>
        <w:t xml:space="preserve">would collect </w:t>
      </w:r>
      <w:r w:rsidR="00C46F60" w:rsidRPr="00C46F60">
        <w:rPr>
          <w:b w:val="0"/>
        </w:rPr>
        <w:t xml:space="preserve">additional data elements </w:t>
      </w:r>
      <w:r w:rsidR="001F451F">
        <w:rPr>
          <w:b w:val="0"/>
        </w:rPr>
        <w:t xml:space="preserve">so that NPSAS staff could </w:t>
      </w:r>
      <w:r w:rsidR="00C46F60" w:rsidRPr="00C46F60">
        <w:rPr>
          <w:b w:val="0"/>
        </w:rPr>
        <w:t xml:space="preserve">determine </w:t>
      </w:r>
      <w:r w:rsidR="009A363A">
        <w:rPr>
          <w:b w:val="0"/>
        </w:rPr>
        <w:t xml:space="preserve">each student’s </w:t>
      </w:r>
      <w:r w:rsidR="00C46F60" w:rsidRPr="00C46F60">
        <w:rPr>
          <w:b w:val="0"/>
        </w:rPr>
        <w:t xml:space="preserve">study eligibility </w:t>
      </w:r>
      <w:r w:rsidR="001F451F">
        <w:rPr>
          <w:b w:val="0"/>
        </w:rPr>
        <w:t>rather than requiring institutions to do so</w:t>
      </w:r>
      <w:r w:rsidR="00C46F60" w:rsidRPr="00C46F60">
        <w:rPr>
          <w:b w:val="0"/>
        </w:rPr>
        <w:t xml:space="preserve">. </w:t>
      </w:r>
      <w:r w:rsidR="009A363A">
        <w:rPr>
          <w:b w:val="0"/>
        </w:rPr>
        <w:t>U</w:t>
      </w:r>
      <w:r w:rsidR="00C46F60" w:rsidRPr="00C46F60">
        <w:rPr>
          <w:b w:val="0"/>
        </w:rPr>
        <w:t xml:space="preserve">nder </w:t>
      </w:r>
      <w:r w:rsidR="009A363A">
        <w:rPr>
          <w:b w:val="0"/>
        </w:rPr>
        <w:t>the alternative o</w:t>
      </w:r>
      <w:r w:rsidR="00C46F60" w:rsidRPr="00C46F60">
        <w:rPr>
          <w:b w:val="0"/>
        </w:rPr>
        <w:t xml:space="preserve">ption, </w:t>
      </w:r>
      <w:r w:rsidR="009A363A">
        <w:rPr>
          <w:b w:val="0"/>
        </w:rPr>
        <w:t xml:space="preserve">we proposed </w:t>
      </w:r>
      <w:r w:rsidR="00C46F60" w:rsidRPr="00C46F60">
        <w:rPr>
          <w:b w:val="0"/>
        </w:rPr>
        <w:t xml:space="preserve">the same </w:t>
      </w:r>
      <w:r w:rsidR="001F451F">
        <w:rPr>
          <w:b w:val="0"/>
        </w:rPr>
        <w:t xml:space="preserve">approach </w:t>
      </w:r>
      <w:r w:rsidR="00C46F60" w:rsidRPr="00C46F60">
        <w:rPr>
          <w:b w:val="0"/>
        </w:rPr>
        <w:t>as was used in the field test</w:t>
      </w:r>
      <w:r w:rsidR="00731C86">
        <w:rPr>
          <w:b w:val="0"/>
        </w:rPr>
        <w:t xml:space="preserve"> (and all previous cycles of NPSAS)</w:t>
      </w:r>
      <w:r w:rsidR="00C46F60" w:rsidRPr="00C46F60">
        <w:rPr>
          <w:b w:val="0"/>
        </w:rPr>
        <w:t xml:space="preserve">, </w:t>
      </w:r>
      <w:r w:rsidR="009A363A">
        <w:rPr>
          <w:b w:val="0"/>
        </w:rPr>
        <w:t xml:space="preserve">with </w:t>
      </w:r>
      <w:r w:rsidR="00C46F60" w:rsidRPr="00C46F60">
        <w:rPr>
          <w:b w:val="0"/>
        </w:rPr>
        <w:t xml:space="preserve">institution staff </w:t>
      </w:r>
      <w:r w:rsidR="001F451F">
        <w:rPr>
          <w:b w:val="0"/>
        </w:rPr>
        <w:t>determining</w:t>
      </w:r>
      <w:r w:rsidR="00C46F60" w:rsidRPr="00C46F60">
        <w:rPr>
          <w:b w:val="0"/>
        </w:rPr>
        <w:t xml:space="preserve"> students’ study eligibility, </w:t>
      </w:r>
      <w:r w:rsidR="001F451F">
        <w:rPr>
          <w:b w:val="0"/>
        </w:rPr>
        <w:t>and excluding</w:t>
      </w:r>
      <w:r w:rsidR="00C46F60" w:rsidRPr="00C46F60">
        <w:rPr>
          <w:b w:val="0"/>
        </w:rPr>
        <w:t xml:space="preserve"> ineligible students from the </w:t>
      </w:r>
      <w:r w:rsidR="001F451F">
        <w:rPr>
          <w:b w:val="0"/>
        </w:rPr>
        <w:t xml:space="preserve">enrollment </w:t>
      </w:r>
      <w:r w:rsidR="00C46F60" w:rsidRPr="00C46F60">
        <w:rPr>
          <w:b w:val="0"/>
        </w:rPr>
        <w:t xml:space="preserve">list before submitting it. </w:t>
      </w:r>
      <w:r w:rsidR="001F451F">
        <w:rPr>
          <w:b w:val="0"/>
        </w:rPr>
        <w:t>In the summer of 2015, the two approaches were presented to institution staff participating in focus groups</w:t>
      </w:r>
      <w:r w:rsidR="00C22608">
        <w:rPr>
          <w:b w:val="0"/>
        </w:rPr>
        <w:t xml:space="preserve">. </w:t>
      </w:r>
      <w:r w:rsidR="001F451F">
        <w:rPr>
          <w:b w:val="0"/>
        </w:rPr>
        <w:t>The majority opinion was that Option A would create an inordinate burden on the institutions</w:t>
      </w:r>
      <w:r w:rsidR="00C22608">
        <w:rPr>
          <w:b w:val="0"/>
        </w:rPr>
        <w:t xml:space="preserve">. </w:t>
      </w:r>
      <w:r w:rsidR="005B4395">
        <w:rPr>
          <w:b w:val="0"/>
        </w:rPr>
        <w:t xml:space="preserve">Consequently, the full-scale design will </w:t>
      </w:r>
      <w:r w:rsidR="00C17634">
        <w:rPr>
          <w:b w:val="0"/>
        </w:rPr>
        <w:t xml:space="preserve">continue to </w:t>
      </w:r>
      <w:r w:rsidR="005B4395">
        <w:rPr>
          <w:b w:val="0"/>
        </w:rPr>
        <w:t>use the same approach as</w:t>
      </w:r>
      <w:r w:rsidR="00283011">
        <w:rPr>
          <w:b w:val="0"/>
        </w:rPr>
        <w:t xml:space="preserve"> was used during the field test and the text for Part B, section 2.b., Student Sample, has been revised</w:t>
      </w:r>
      <w:r w:rsidR="00C22608">
        <w:rPr>
          <w:b w:val="0"/>
        </w:rPr>
        <w:t xml:space="preserve"> to reflect this approach. Appendix H provides a summary of the results from the focus group sessions.</w:t>
      </w:r>
    </w:p>
    <w:sectPr w:rsidR="001F451F" w:rsidSect="00F93002">
      <w:pgSz w:w="12240" w:h="15840" w:code="1"/>
      <w:pgMar w:top="1008" w:right="1008" w:bottom="1008" w:left="1008" w:header="432" w:footer="43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EE5" w:rsidRDefault="00125EE5">
      <w:r>
        <w:separator/>
      </w:r>
    </w:p>
  </w:endnote>
  <w:endnote w:type="continuationSeparator" w:id="0">
    <w:p w:rsidR="00125EE5" w:rsidRDefault="00125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EE5" w:rsidRDefault="00125EE5">
      <w:r>
        <w:separator/>
      </w:r>
    </w:p>
  </w:footnote>
  <w:footnote w:type="continuationSeparator" w:id="0">
    <w:p w:rsidR="00125EE5" w:rsidRDefault="00125E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8DA8552"/>
    <w:lvl w:ilvl="0">
      <w:start w:val="1"/>
      <w:numFmt w:val="bullet"/>
      <w:lvlText w:val=""/>
      <w:lvlJc w:val="left"/>
      <w:pPr>
        <w:tabs>
          <w:tab w:val="num" w:pos="-450"/>
        </w:tabs>
        <w:ind w:left="-450" w:hanging="360"/>
      </w:pPr>
      <w:rPr>
        <w:rFonts w:ascii="Symbol" w:hAnsi="Symbol" w:hint="default"/>
      </w:rPr>
    </w:lvl>
  </w:abstractNum>
  <w:abstractNum w:abstractNumId="1">
    <w:nsid w:val="FFFFFF89"/>
    <w:multiLevelType w:val="singleLevel"/>
    <w:tmpl w:val="4CE2D872"/>
    <w:lvl w:ilvl="0">
      <w:start w:val="1"/>
      <w:numFmt w:val="decimal"/>
      <w:lvlText w:val="%1."/>
      <w:lvlJc w:val="left"/>
      <w:pPr>
        <w:tabs>
          <w:tab w:val="num" w:pos="1080"/>
        </w:tabs>
        <w:ind w:left="1080" w:hanging="360"/>
      </w:pPr>
      <w:rPr>
        <w:rFonts w:cs="Times New Roman" w:hint="default"/>
      </w:rPr>
    </w:lvl>
  </w:abstractNum>
  <w:abstractNum w:abstractNumId="2">
    <w:nsid w:val="01C7621C"/>
    <w:multiLevelType w:val="hybridMultilevel"/>
    <w:tmpl w:val="2E2EE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3557B14"/>
    <w:multiLevelType w:val="hybridMultilevel"/>
    <w:tmpl w:val="F16C82F2"/>
    <w:lvl w:ilvl="0" w:tplc="09F0813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3B0017"/>
    <w:multiLevelType w:val="hybridMultilevel"/>
    <w:tmpl w:val="4BC64666"/>
    <w:lvl w:ilvl="0" w:tplc="04090001">
      <w:start w:val="1"/>
      <w:numFmt w:val="bullet"/>
      <w:lvlText w:val=""/>
      <w:lvlJc w:val="left"/>
      <w:pPr>
        <w:tabs>
          <w:tab w:val="num" w:pos="1800"/>
        </w:tabs>
        <w:ind w:left="1800" w:hanging="360"/>
      </w:pPr>
      <w:rPr>
        <w:rFonts w:ascii="Symbol" w:hAnsi="Symbol"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073478D9"/>
    <w:multiLevelType w:val="hybridMultilevel"/>
    <w:tmpl w:val="F746D056"/>
    <w:lvl w:ilvl="0" w:tplc="F35A4F16">
      <w:start w:val="1"/>
      <w:numFmt w:val="bullet"/>
      <w:lvlText w:val=""/>
      <w:lvlJc w:val="left"/>
      <w:pPr>
        <w:tabs>
          <w:tab w:val="num" w:pos="1080"/>
        </w:tabs>
        <w:ind w:left="1080" w:hanging="360"/>
      </w:pPr>
      <w:rPr>
        <w:rFonts w:ascii="Symbol" w:eastAsia="Arial Unicode MS" w:hAnsi="Symbol" w:cs="Verdana" w:hint="default"/>
        <w:sz w:val="20"/>
        <w:szCs w:val="2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nsid w:val="07962780"/>
    <w:multiLevelType w:val="hybridMultilevel"/>
    <w:tmpl w:val="03F88134"/>
    <w:lvl w:ilvl="0" w:tplc="3AD0C24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BEE4E63"/>
    <w:multiLevelType w:val="multilevel"/>
    <w:tmpl w:val="3932ADCC"/>
    <w:lvl w:ilvl="0">
      <w:start w:val="1"/>
      <w:numFmt w:val="bullet"/>
      <w:lvlText w:val=""/>
      <w:lvlJc w:val="left"/>
      <w:pPr>
        <w:tabs>
          <w:tab w:val="num" w:pos="1800"/>
        </w:tabs>
        <w:ind w:left="1800" w:hanging="360"/>
      </w:pPr>
      <w:rPr>
        <w:rFonts w:ascii="Wingdings" w:hAnsi="Wingdings" w:hint="default"/>
        <w:sz w:val="20"/>
        <w:szCs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0E685F7A"/>
    <w:multiLevelType w:val="multilevel"/>
    <w:tmpl w:val="4BC64666"/>
    <w:lvl w:ilvl="0">
      <w:start w:val="1"/>
      <w:numFmt w:val="bullet"/>
      <w:lvlText w:val=""/>
      <w:lvlJc w:val="left"/>
      <w:pPr>
        <w:tabs>
          <w:tab w:val="num" w:pos="1800"/>
        </w:tabs>
        <w:ind w:left="1800" w:hanging="360"/>
      </w:pPr>
      <w:rPr>
        <w:rFonts w:ascii="Symbol" w:hAnsi="Symbol" w:hint="default"/>
        <w:sz w:val="20"/>
        <w:szCs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107C06BD"/>
    <w:multiLevelType w:val="hybridMultilevel"/>
    <w:tmpl w:val="3D6A7450"/>
    <w:lvl w:ilvl="0" w:tplc="4CE2D872">
      <w:start w:val="1"/>
      <w:numFmt w:val="decimal"/>
      <w:pStyle w:val="ListBullet21"/>
      <w:lvlText w:val="%1."/>
      <w:lvlJc w:val="left"/>
      <w:pPr>
        <w:tabs>
          <w:tab w:val="num" w:pos="2610"/>
        </w:tabs>
        <w:ind w:left="26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26D13B2"/>
    <w:multiLevelType w:val="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1FE4D57"/>
    <w:multiLevelType w:val="hybridMultilevel"/>
    <w:tmpl w:val="89B8DFD4"/>
    <w:lvl w:ilvl="0" w:tplc="E33E53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8660C5"/>
    <w:multiLevelType w:val="hybridMultilevel"/>
    <w:tmpl w:val="9A8C58A4"/>
    <w:lvl w:ilvl="0" w:tplc="04090001">
      <w:start w:val="1"/>
      <w:numFmt w:val="bullet"/>
      <w:lvlText w:val=""/>
      <w:lvlJc w:val="left"/>
      <w:pPr>
        <w:tabs>
          <w:tab w:val="num" w:pos="1080"/>
        </w:tabs>
        <w:ind w:left="1080" w:hanging="360"/>
      </w:pPr>
      <w:rPr>
        <w:rFonts w:ascii="Symbol" w:hAnsi="Symbol" w:hint="default"/>
        <w:sz w:val="24"/>
        <w:szCs w:val="24"/>
      </w:rPr>
    </w:lvl>
    <w:lvl w:ilvl="1" w:tplc="FED6E7D8">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E57B46"/>
    <w:multiLevelType w:val="hybridMultilevel"/>
    <w:tmpl w:val="E8385B7A"/>
    <w:lvl w:ilvl="0" w:tplc="2F04399E">
      <w:numFmt w:val="bullet"/>
      <w:lvlText w:val=""/>
      <w:lvlJc w:val="left"/>
      <w:pPr>
        <w:ind w:left="720" w:hanging="360"/>
      </w:pPr>
      <w:rPr>
        <w:rFonts w:ascii="Symbol" w:eastAsia="Calibri"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17E5E76"/>
    <w:multiLevelType w:val="hybridMultilevel"/>
    <w:tmpl w:val="D06C5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1EB38A8"/>
    <w:multiLevelType w:val="hybridMultilevel"/>
    <w:tmpl w:val="AE22FDFC"/>
    <w:lvl w:ilvl="0" w:tplc="E33E53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22091B"/>
    <w:multiLevelType w:val="hybridMultilevel"/>
    <w:tmpl w:val="1858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A619CB"/>
    <w:multiLevelType w:val="hybridMultilevel"/>
    <w:tmpl w:val="23887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14E19C1"/>
    <w:multiLevelType w:val="hybridMultilevel"/>
    <w:tmpl w:val="810C3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B2145B"/>
    <w:multiLevelType w:val="hybridMultilevel"/>
    <w:tmpl w:val="26BAF1C4"/>
    <w:lvl w:ilvl="0" w:tplc="B664AD54">
      <w:start w:val="1"/>
      <w:numFmt w:val="bullet"/>
      <w:pStyle w:val="NPSAS08bulleted"/>
      <w:lvlText w:val=""/>
      <w:lvlJc w:val="left"/>
      <w:pPr>
        <w:tabs>
          <w:tab w:val="num" w:pos="2520"/>
        </w:tabs>
        <w:ind w:left="2520" w:hanging="360"/>
      </w:pPr>
      <w:rPr>
        <w:rFonts w:ascii="Wingdings" w:hAnsi="Wingdings" w:hint="default"/>
      </w:rPr>
    </w:lvl>
    <w:lvl w:ilvl="1" w:tplc="B79C55AC">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48FA6A08"/>
    <w:multiLevelType w:val="hybridMultilevel"/>
    <w:tmpl w:val="FE386C12"/>
    <w:lvl w:ilvl="0" w:tplc="09F0813E">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05E5991"/>
    <w:multiLevelType w:val="hybridMultilevel"/>
    <w:tmpl w:val="39141F70"/>
    <w:lvl w:ilvl="0" w:tplc="4C9EC712">
      <w:start w:val="1"/>
      <w:numFmt w:val="decimal"/>
      <w:lvlText w:val="%1"/>
      <w:lvlJc w:val="left"/>
      <w:pPr>
        <w:tabs>
          <w:tab w:val="num" w:pos="720"/>
        </w:tabs>
        <w:ind w:left="72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6A6EAB"/>
    <w:multiLevelType w:val="hybridMultilevel"/>
    <w:tmpl w:val="E79E2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3854C21"/>
    <w:multiLevelType w:val="hybridMultilevel"/>
    <w:tmpl w:val="72E65D56"/>
    <w:lvl w:ilvl="0" w:tplc="09F0813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68F6185"/>
    <w:multiLevelType w:val="hybridMultilevel"/>
    <w:tmpl w:val="E4C630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6AD0612"/>
    <w:multiLevelType w:val="hybridMultilevel"/>
    <w:tmpl w:val="3932ADCC"/>
    <w:lvl w:ilvl="0" w:tplc="FFFFFFFF">
      <w:start w:val="1"/>
      <w:numFmt w:val="bullet"/>
      <w:pStyle w:val="ListBullet"/>
      <w:lvlText w:val=""/>
      <w:lvlJc w:val="left"/>
      <w:pPr>
        <w:tabs>
          <w:tab w:val="num" w:pos="1800"/>
        </w:tabs>
        <w:ind w:left="1800" w:hanging="360"/>
      </w:pPr>
      <w:rPr>
        <w:rFonts w:ascii="Wingdings" w:hAnsi="Wingdings"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nsid w:val="62BF77D6"/>
    <w:multiLevelType w:val="hybridMultilevel"/>
    <w:tmpl w:val="62FE33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0BA6BD4"/>
    <w:multiLevelType w:val="hybridMultilevel"/>
    <w:tmpl w:val="C4488A38"/>
    <w:lvl w:ilvl="0" w:tplc="09F0813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1080D0F"/>
    <w:multiLevelType w:val="hybridMultilevel"/>
    <w:tmpl w:val="32706B28"/>
    <w:lvl w:ilvl="0" w:tplc="F83A6468">
      <w:start w:val="1"/>
      <w:numFmt w:val="decimal"/>
      <w:lvlText w:val="(%1) "/>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5312A63"/>
    <w:multiLevelType w:val="hybridMultilevel"/>
    <w:tmpl w:val="17265858"/>
    <w:lvl w:ilvl="0" w:tplc="085E755E">
      <w:start w:val="1"/>
      <w:numFmt w:val="bullet"/>
      <w:pStyle w:val="PRMain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9"/>
  </w:num>
  <w:num w:numId="3">
    <w:abstractNumId w:val="10"/>
  </w:num>
  <w:num w:numId="4">
    <w:abstractNumId w:val="6"/>
  </w:num>
  <w:num w:numId="5">
    <w:abstractNumId w:val="29"/>
  </w:num>
  <w:num w:numId="6">
    <w:abstractNumId w:val="18"/>
  </w:num>
  <w:num w:numId="7">
    <w:abstractNumId w:val="21"/>
  </w:num>
  <w:num w:numId="8">
    <w:abstractNumId w:val="0"/>
  </w:num>
  <w:num w:numId="9">
    <w:abstractNumId w:val="1"/>
  </w:num>
  <w:num w:numId="10">
    <w:abstractNumId w:val="9"/>
  </w:num>
  <w:num w:numId="11">
    <w:abstractNumId w:val="17"/>
  </w:num>
  <w:num w:numId="12">
    <w:abstractNumId w:val="7"/>
  </w:num>
  <w:num w:numId="13">
    <w:abstractNumId w:val="4"/>
  </w:num>
  <w:num w:numId="14">
    <w:abstractNumId w:val="8"/>
  </w:num>
  <w:num w:numId="15">
    <w:abstractNumId w:val="5"/>
  </w:num>
  <w:num w:numId="16">
    <w:abstractNumId w:val="24"/>
  </w:num>
  <w:num w:numId="17">
    <w:abstractNumId w:val="26"/>
  </w:num>
  <w:num w:numId="18">
    <w:abstractNumId w:val="23"/>
  </w:num>
  <w:num w:numId="19">
    <w:abstractNumId w:val="20"/>
  </w:num>
  <w:num w:numId="20">
    <w:abstractNumId w:val="27"/>
  </w:num>
  <w:num w:numId="21">
    <w:abstractNumId w:val="3"/>
  </w:num>
  <w:num w:numId="22">
    <w:abstractNumId w:val="14"/>
  </w:num>
  <w:num w:numId="23">
    <w:abstractNumId w:val="22"/>
  </w:num>
  <w:num w:numId="24">
    <w:abstractNumId w:val="16"/>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8"/>
  </w:num>
  <w:num w:numId="29">
    <w:abstractNumId w:val="2"/>
  </w:num>
  <w:num w:numId="30">
    <w:abstractNumId w:val="12"/>
  </w:num>
  <w:num w:numId="31">
    <w:abstractNumId w:val="15"/>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30"/>
    <w:rsid w:val="000003C4"/>
    <w:rsid w:val="00002263"/>
    <w:rsid w:val="00004942"/>
    <w:rsid w:val="00026D24"/>
    <w:rsid w:val="00043BAF"/>
    <w:rsid w:val="000520EB"/>
    <w:rsid w:val="0005249A"/>
    <w:rsid w:val="00054505"/>
    <w:rsid w:val="00071633"/>
    <w:rsid w:val="00075654"/>
    <w:rsid w:val="0007600F"/>
    <w:rsid w:val="00081A1A"/>
    <w:rsid w:val="0008530A"/>
    <w:rsid w:val="00085D18"/>
    <w:rsid w:val="000968B1"/>
    <w:rsid w:val="000A2EB9"/>
    <w:rsid w:val="000A64CB"/>
    <w:rsid w:val="000A65A0"/>
    <w:rsid w:val="000B3924"/>
    <w:rsid w:val="000D00E3"/>
    <w:rsid w:val="000D1ED9"/>
    <w:rsid w:val="000D2D03"/>
    <w:rsid w:val="000E3482"/>
    <w:rsid w:val="000E3EE7"/>
    <w:rsid w:val="000E6B74"/>
    <w:rsid w:val="000F1D53"/>
    <w:rsid w:val="001022E0"/>
    <w:rsid w:val="00103D90"/>
    <w:rsid w:val="00105291"/>
    <w:rsid w:val="0011040D"/>
    <w:rsid w:val="001107AC"/>
    <w:rsid w:val="00125EE5"/>
    <w:rsid w:val="00134806"/>
    <w:rsid w:val="00150A36"/>
    <w:rsid w:val="00156F2C"/>
    <w:rsid w:val="00164B62"/>
    <w:rsid w:val="0019187E"/>
    <w:rsid w:val="001A269D"/>
    <w:rsid w:val="001A60C7"/>
    <w:rsid w:val="001A7C89"/>
    <w:rsid w:val="001B6BD2"/>
    <w:rsid w:val="001C4FA2"/>
    <w:rsid w:val="001D48CF"/>
    <w:rsid w:val="001D5696"/>
    <w:rsid w:val="001E3C6D"/>
    <w:rsid w:val="001F4030"/>
    <w:rsid w:val="001F451F"/>
    <w:rsid w:val="002008EF"/>
    <w:rsid w:val="00201B4E"/>
    <w:rsid w:val="00204EC3"/>
    <w:rsid w:val="00212C8C"/>
    <w:rsid w:val="002329FF"/>
    <w:rsid w:val="00241713"/>
    <w:rsid w:val="002526C7"/>
    <w:rsid w:val="00267F0C"/>
    <w:rsid w:val="002717E7"/>
    <w:rsid w:val="00276F00"/>
    <w:rsid w:val="00283011"/>
    <w:rsid w:val="00296BF9"/>
    <w:rsid w:val="002B3840"/>
    <w:rsid w:val="002C3312"/>
    <w:rsid w:val="002E5E18"/>
    <w:rsid w:val="002E6593"/>
    <w:rsid w:val="002F059C"/>
    <w:rsid w:val="002F4659"/>
    <w:rsid w:val="003029B7"/>
    <w:rsid w:val="00312C32"/>
    <w:rsid w:val="003308B7"/>
    <w:rsid w:val="00332A11"/>
    <w:rsid w:val="003479C8"/>
    <w:rsid w:val="00355F38"/>
    <w:rsid w:val="00363842"/>
    <w:rsid w:val="00383320"/>
    <w:rsid w:val="00384346"/>
    <w:rsid w:val="003A0A96"/>
    <w:rsid w:val="003B36CE"/>
    <w:rsid w:val="003D0EE1"/>
    <w:rsid w:val="003D4730"/>
    <w:rsid w:val="003D5E60"/>
    <w:rsid w:val="003D737C"/>
    <w:rsid w:val="003E20DA"/>
    <w:rsid w:val="003F4DB8"/>
    <w:rsid w:val="003F6EF4"/>
    <w:rsid w:val="00404267"/>
    <w:rsid w:val="00410846"/>
    <w:rsid w:val="00416CCB"/>
    <w:rsid w:val="00423961"/>
    <w:rsid w:val="00450CC6"/>
    <w:rsid w:val="00463F87"/>
    <w:rsid w:val="00473DB3"/>
    <w:rsid w:val="004770ED"/>
    <w:rsid w:val="00482476"/>
    <w:rsid w:val="004862BB"/>
    <w:rsid w:val="004961A0"/>
    <w:rsid w:val="004A25B4"/>
    <w:rsid w:val="004C1457"/>
    <w:rsid w:val="004C4CBD"/>
    <w:rsid w:val="004C730D"/>
    <w:rsid w:val="004D2FA4"/>
    <w:rsid w:val="004F3308"/>
    <w:rsid w:val="004F373B"/>
    <w:rsid w:val="004F6A0B"/>
    <w:rsid w:val="00510645"/>
    <w:rsid w:val="00512114"/>
    <w:rsid w:val="00524385"/>
    <w:rsid w:val="00532758"/>
    <w:rsid w:val="00540294"/>
    <w:rsid w:val="00541B1C"/>
    <w:rsid w:val="005472FC"/>
    <w:rsid w:val="00562224"/>
    <w:rsid w:val="00584B04"/>
    <w:rsid w:val="005966E0"/>
    <w:rsid w:val="005A13AF"/>
    <w:rsid w:val="005B0D6F"/>
    <w:rsid w:val="005B4395"/>
    <w:rsid w:val="00602EA4"/>
    <w:rsid w:val="00606EDA"/>
    <w:rsid w:val="00611991"/>
    <w:rsid w:val="0062790F"/>
    <w:rsid w:val="00627E50"/>
    <w:rsid w:val="00633C76"/>
    <w:rsid w:val="00642580"/>
    <w:rsid w:val="0064572E"/>
    <w:rsid w:val="00656B8E"/>
    <w:rsid w:val="006852AD"/>
    <w:rsid w:val="006A3425"/>
    <w:rsid w:val="006B787D"/>
    <w:rsid w:val="006E02B4"/>
    <w:rsid w:val="006E0A9E"/>
    <w:rsid w:val="006E244B"/>
    <w:rsid w:val="006E292A"/>
    <w:rsid w:val="006F605E"/>
    <w:rsid w:val="007054CC"/>
    <w:rsid w:val="00706349"/>
    <w:rsid w:val="00711D1A"/>
    <w:rsid w:val="00712947"/>
    <w:rsid w:val="00715D8F"/>
    <w:rsid w:val="00716A48"/>
    <w:rsid w:val="00717268"/>
    <w:rsid w:val="00724ADF"/>
    <w:rsid w:val="00726185"/>
    <w:rsid w:val="00731C86"/>
    <w:rsid w:val="00737E25"/>
    <w:rsid w:val="007451A6"/>
    <w:rsid w:val="007517A3"/>
    <w:rsid w:val="00760990"/>
    <w:rsid w:val="00760CD9"/>
    <w:rsid w:val="00770A91"/>
    <w:rsid w:val="0077427A"/>
    <w:rsid w:val="00781B23"/>
    <w:rsid w:val="00783191"/>
    <w:rsid w:val="00790CFF"/>
    <w:rsid w:val="007978E6"/>
    <w:rsid w:val="007A035A"/>
    <w:rsid w:val="007A10B5"/>
    <w:rsid w:val="007B22AF"/>
    <w:rsid w:val="007B7257"/>
    <w:rsid w:val="007C4E0F"/>
    <w:rsid w:val="007C6FC7"/>
    <w:rsid w:val="007C73ED"/>
    <w:rsid w:val="007D2586"/>
    <w:rsid w:val="007D2BCD"/>
    <w:rsid w:val="007D637B"/>
    <w:rsid w:val="008027A9"/>
    <w:rsid w:val="00812778"/>
    <w:rsid w:val="0081647D"/>
    <w:rsid w:val="008210EE"/>
    <w:rsid w:val="00833193"/>
    <w:rsid w:val="008412D6"/>
    <w:rsid w:val="00841D7F"/>
    <w:rsid w:val="0084372C"/>
    <w:rsid w:val="00850AAE"/>
    <w:rsid w:val="00860449"/>
    <w:rsid w:val="0087130D"/>
    <w:rsid w:val="00876579"/>
    <w:rsid w:val="00885BAE"/>
    <w:rsid w:val="00897DF7"/>
    <w:rsid w:val="008A7CE5"/>
    <w:rsid w:val="008F3E6E"/>
    <w:rsid w:val="008F77D6"/>
    <w:rsid w:val="00900196"/>
    <w:rsid w:val="00900919"/>
    <w:rsid w:val="00905A84"/>
    <w:rsid w:val="00920369"/>
    <w:rsid w:val="00921113"/>
    <w:rsid w:val="00933E0E"/>
    <w:rsid w:val="009357BE"/>
    <w:rsid w:val="00954A86"/>
    <w:rsid w:val="00955759"/>
    <w:rsid w:val="00961E2D"/>
    <w:rsid w:val="00970A9E"/>
    <w:rsid w:val="00973AEC"/>
    <w:rsid w:val="009A1FEF"/>
    <w:rsid w:val="009A363A"/>
    <w:rsid w:val="009A6F75"/>
    <w:rsid w:val="009B0AEC"/>
    <w:rsid w:val="009D23A9"/>
    <w:rsid w:val="009E06C0"/>
    <w:rsid w:val="009F2638"/>
    <w:rsid w:val="009F71A2"/>
    <w:rsid w:val="00A01190"/>
    <w:rsid w:val="00A27030"/>
    <w:rsid w:val="00A47692"/>
    <w:rsid w:val="00A47FD7"/>
    <w:rsid w:val="00A54EBE"/>
    <w:rsid w:val="00A5639F"/>
    <w:rsid w:val="00A75303"/>
    <w:rsid w:val="00A7716F"/>
    <w:rsid w:val="00A77AFB"/>
    <w:rsid w:val="00A963BC"/>
    <w:rsid w:val="00AB165B"/>
    <w:rsid w:val="00AB72F9"/>
    <w:rsid w:val="00AC1706"/>
    <w:rsid w:val="00AC42BD"/>
    <w:rsid w:val="00AD6427"/>
    <w:rsid w:val="00AE20C8"/>
    <w:rsid w:val="00B26977"/>
    <w:rsid w:val="00B42518"/>
    <w:rsid w:val="00B452EF"/>
    <w:rsid w:val="00B52FB6"/>
    <w:rsid w:val="00B535B3"/>
    <w:rsid w:val="00B6159B"/>
    <w:rsid w:val="00B70610"/>
    <w:rsid w:val="00B75BCF"/>
    <w:rsid w:val="00B95A8E"/>
    <w:rsid w:val="00BB2467"/>
    <w:rsid w:val="00BD2A45"/>
    <w:rsid w:val="00BE13A2"/>
    <w:rsid w:val="00BE14C6"/>
    <w:rsid w:val="00BE526A"/>
    <w:rsid w:val="00C17634"/>
    <w:rsid w:val="00C2153D"/>
    <w:rsid w:val="00C22608"/>
    <w:rsid w:val="00C311CF"/>
    <w:rsid w:val="00C36A1E"/>
    <w:rsid w:val="00C40B43"/>
    <w:rsid w:val="00C436F5"/>
    <w:rsid w:val="00C46BC0"/>
    <w:rsid w:val="00C46F60"/>
    <w:rsid w:val="00C56A4A"/>
    <w:rsid w:val="00C623AB"/>
    <w:rsid w:val="00C729FA"/>
    <w:rsid w:val="00C749F7"/>
    <w:rsid w:val="00C8430A"/>
    <w:rsid w:val="00CA754B"/>
    <w:rsid w:val="00CC5C68"/>
    <w:rsid w:val="00CD3FB8"/>
    <w:rsid w:val="00CE7988"/>
    <w:rsid w:val="00CF140A"/>
    <w:rsid w:val="00CF418E"/>
    <w:rsid w:val="00CF78D0"/>
    <w:rsid w:val="00D011E4"/>
    <w:rsid w:val="00D07FA6"/>
    <w:rsid w:val="00D10131"/>
    <w:rsid w:val="00D1192E"/>
    <w:rsid w:val="00D24D0D"/>
    <w:rsid w:val="00D323D0"/>
    <w:rsid w:val="00D46398"/>
    <w:rsid w:val="00D51340"/>
    <w:rsid w:val="00D55096"/>
    <w:rsid w:val="00D574CE"/>
    <w:rsid w:val="00D615B8"/>
    <w:rsid w:val="00D66408"/>
    <w:rsid w:val="00D7644A"/>
    <w:rsid w:val="00D81FC1"/>
    <w:rsid w:val="00D964E4"/>
    <w:rsid w:val="00D96B2D"/>
    <w:rsid w:val="00DA439D"/>
    <w:rsid w:val="00DA5DB2"/>
    <w:rsid w:val="00DB0B39"/>
    <w:rsid w:val="00DB7C18"/>
    <w:rsid w:val="00DC16DE"/>
    <w:rsid w:val="00DC738C"/>
    <w:rsid w:val="00DC77AA"/>
    <w:rsid w:val="00DD2458"/>
    <w:rsid w:val="00DD3FFC"/>
    <w:rsid w:val="00DD530E"/>
    <w:rsid w:val="00DF4952"/>
    <w:rsid w:val="00DF6873"/>
    <w:rsid w:val="00E047BE"/>
    <w:rsid w:val="00E06602"/>
    <w:rsid w:val="00E1456F"/>
    <w:rsid w:val="00E237BA"/>
    <w:rsid w:val="00E2391B"/>
    <w:rsid w:val="00E54656"/>
    <w:rsid w:val="00E77498"/>
    <w:rsid w:val="00E852AF"/>
    <w:rsid w:val="00E92D07"/>
    <w:rsid w:val="00E95109"/>
    <w:rsid w:val="00EB1D0F"/>
    <w:rsid w:val="00EB7058"/>
    <w:rsid w:val="00EC4172"/>
    <w:rsid w:val="00EC7658"/>
    <w:rsid w:val="00EF0525"/>
    <w:rsid w:val="00EF2EC7"/>
    <w:rsid w:val="00F07F99"/>
    <w:rsid w:val="00F1251E"/>
    <w:rsid w:val="00F6376D"/>
    <w:rsid w:val="00F83DE3"/>
    <w:rsid w:val="00F93002"/>
    <w:rsid w:val="00FA4ED2"/>
    <w:rsid w:val="00FF01C3"/>
    <w:rsid w:val="00FF7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qFormat/>
    <w:rsid w:val="00463F87"/>
    <w:pPr>
      <w:keepNext/>
      <w:outlineLvl w:val="0"/>
    </w:pPr>
    <w:rPr>
      <w:b/>
      <w:bCs/>
      <w:u w:val="single"/>
    </w:rPr>
  </w:style>
  <w:style w:type="paragraph" w:styleId="Heading2">
    <w:name w:val="heading 2"/>
    <w:basedOn w:val="Normal"/>
    <w:next w:val="Normal"/>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semiHidden/>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semiHidden/>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semiHidden/>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uiPriority w:val="99"/>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5"/>
      </w:numPr>
      <w:spacing w:before="120"/>
    </w:pPr>
    <w:rPr>
      <w:rFonts w:ascii="Tahoma" w:hAnsi="Tahoma" w:cs="Tahoma"/>
      <w:snapToGrid w:val="0"/>
      <w:sz w:val="20"/>
      <w:szCs w:val="20"/>
    </w:rPr>
  </w:style>
  <w:style w:type="paragraph" w:styleId="NormalWeb">
    <w:name w:val="Normal (Web)"/>
    <w:basedOn w:val="Normal"/>
    <w:semiHidden/>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semiHidden/>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semiHidden/>
    <w:rsid w:val="00463F87"/>
    <w:rPr>
      <w:sz w:val="16"/>
      <w:szCs w:val="16"/>
    </w:rPr>
  </w:style>
  <w:style w:type="paragraph" w:styleId="CommentText">
    <w:name w:val="annotation text"/>
    <w:basedOn w:val="Normal"/>
    <w:semiHidden/>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footnote reference"/>
    <w:basedOn w:val="DefaultParagraphFont"/>
    <w:rsid w:val="00463F87"/>
    <w:rPr>
      <w:rFonts w:ascii="Times New Roman" w:hAnsi="Times New Roman" w:cs="Times New Roman"/>
      <w:sz w:val="18"/>
      <w:szCs w:val="18"/>
      <w:vertAlign w:val="superscript"/>
    </w:rPr>
  </w:style>
  <w:style w:type="paragraph" w:styleId="FootnoteText">
    <w:name w:val="footnote text"/>
    <w:aliases w:val="ft,fo,footnote text Char,ft1,fo1,footnote text"/>
    <w:basedOn w:val="Normal"/>
    <w:qFormat/>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
    <w:basedOn w:val="DefaultParagraphFont"/>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10"/>
      </w:numPr>
      <w:spacing w:before="120"/>
    </w:pPr>
    <w:rPr>
      <w:szCs w:val="20"/>
    </w:rPr>
  </w:style>
  <w:style w:type="character" w:styleId="Strong">
    <w:name w:val="Strong"/>
    <w:basedOn w:val="DefaultParagraphFont"/>
    <w:qFormat/>
    <w:rsid w:val="00463F87"/>
    <w:rPr>
      <w:b/>
      <w:bCs/>
    </w:rPr>
  </w:style>
  <w:style w:type="character" w:styleId="Emphasis">
    <w:name w:val="Emphasis"/>
    <w:basedOn w:val="DefaultParagraphFont"/>
    <w:uiPriority w:val="20"/>
    <w:qFormat/>
    <w:rsid w:val="00463F87"/>
    <w:rPr>
      <w:i/>
      <w:iCs/>
    </w:rPr>
  </w:style>
  <w:style w:type="paragraph" w:styleId="ListParagraph">
    <w:name w:val="List Paragraph"/>
    <w:basedOn w:val="Normal"/>
    <w:uiPriority w:val="34"/>
    <w:qFormat/>
    <w:rsid w:val="00450CC6"/>
    <w:pPr>
      <w:ind w:left="720"/>
    </w:pPr>
    <w:rPr>
      <w:rFonts w:ascii="Calibri" w:eastAsia="Calibri" w:hAnsi="Calibri"/>
      <w:sz w:val="22"/>
      <w:szCs w:val="22"/>
    </w:rPr>
  </w:style>
  <w:style w:type="table" w:styleId="TableGrid">
    <w:name w:val="Table Grid"/>
    <w:basedOn w:val="TableNormal"/>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paragraph" w:customStyle="1" w:styleId="Bullet1">
    <w:name w:val="Bullet1"/>
    <w:basedOn w:val="bulletround"/>
    <w:rsid w:val="00BE13A2"/>
    <w:pPr>
      <w:tabs>
        <w:tab w:val="num" w:pos="1440"/>
      </w:tabs>
      <w:spacing w:before="120" w:after="0"/>
      <w:ind w:left="1440" w:hanging="360"/>
    </w:pPr>
    <w:rPr>
      <w:rFonts w:ascii="Garamond" w:hAnsi="Garamond"/>
      <w:szCs w:val="20"/>
    </w:rPr>
  </w:style>
  <w:style w:type="paragraph" w:customStyle="1" w:styleId="Tablenotes">
    <w:name w:val="Table notes"/>
    <w:link w:val="TablenotesChar"/>
    <w:rsid w:val="00BE13A2"/>
    <w:rPr>
      <w:rFonts w:ascii="Arial" w:hAnsi="Arial"/>
      <w:noProof/>
      <w:sz w:val="16"/>
      <w:szCs w:val="18"/>
    </w:rPr>
  </w:style>
  <w:style w:type="character" w:customStyle="1" w:styleId="TablenotesChar">
    <w:name w:val="Table notes Char"/>
    <w:basedOn w:val="DefaultParagraphFont"/>
    <w:link w:val="Tablenotes"/>
    <w:rsid w:val="00BE13A2"/>
    <w:rPr>
      <w:rFonts w:ascii="Arial" w:hAnsi="Arial"/>
      <w:noProof/>
      <w:sz w:val="16"/>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qFormat/>
    <w:rsid w:val="00463F87"/>
    <w:pPr>
      <w:keepNext/>
      <w:outlineLvl w:val="0"/>
    </w:pPr>
    <w:rPr>
      <w:b/>
      <w:bCs/>
      <w:u w:val="single"/>
    </w:rPr>
  </w:style>
  <w:style w:type="paragraph" w:styleId="Heading2">
    <w:name w:val="heading 2"/>
    <w:basedOn w:val="Normal"/>
    <w:next w:val="Normal"/>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semiHidden/>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semiHidden/>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semiHidden/>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uiPriority w:val="99"/>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5"/>
      </w:numPr>
      <w:spacing w:before="120"/>
    </w:pPr>
    <w:rPr>
      <w:rFonts w:ascii="Tahoma" w:hAnsi="Tahoma" w:cs="Tahoma"/>
      <w:snapToGrid w:val="0"/>
      <w:sz w:val="20"/>
      <w:szCs w:val="20"/>
    </w:rPr>
  </w:style>
  <w:style w:type="paragraph" w:styleId="NormalWeb">
    <w:name w:val="Normal (Web)"/>
    <w:basedOn w:val="Normal"/>
    <w:semiHidden/>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semiHidden/>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semiHidden/>
    <w:rsid w:val="00463F87"/>
    <w:rPr>
      <w:sz w:val="16"/>
      <w:szCs w:val="16"/>
    </w:rPr>
  </w:style>
  <w:style w:type="paragraph" w:styleId="CommentText">
    <w:name w:val="annotation text"/>
    <w:basedOn w:val="Normal"/>
    <w:semiHidden/>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footnote reference"/>
    <w:basedOn w:val="DefaultParagraphFont"/>
    <w:rsid w:val="00463F87"/>
    <w:rPr>
      <w:rFonts w:ascii="Times New Roman" w:hAnsi="Times New Roman" w:cs="Times New Roman"/>
      <w:sz w:val="18"/>
      <w:szCs w:val="18"/>
      <w:vertAlign w:val="superscript"/>
    </w:rPr>
  </w:style>
  <w:style w:type="paragraph" w:styleId="FootnoteText">
    <w:name w:val="footnote text"/>
    <w:aliases w:val="ft,fo,footnote text Char,ft1,fo1,footnote text"/>
    <w:basedOn w:val="Normal"/>
    <w:qFormat/>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
    <w:basedOn w:val="DefaultParagraphFont"/>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10"/>
      </w:numPr>
      <w:spacing w:before="120"/>
    </w:pPr>
    <w:rPr>
      <w:szCs w:val="20"/>
    </w:rPr>
  </w:style>
  <w:style w:type="character" w:styleId="Strong">
    <w:name w:val="Strong"/>
    <w:basedOn w:val="DefaultParagraphFont"/>
    <w:qFormat/>
    <w:rsid w:val="00463F87"/>
    <w:rPr>
      <w:b/>
      <w:bCs/>
    </w:rPr>
  </w:style>
  <w:style w:type="character" w:styleId="Emphasis">
    <w:name w:val="Emphasis"/>
    <w:basedOn w:val="DefaultParagraphFont"/>
    <w:uiPriority w:val="20"/>
    <w:qFormat/>
    <w:rsid w:val="00463F87"/>
    <w:rPr>
      <w:i/>
      <w:iCs/>
    </w:rPr>
  </w:style>
  <w:style w:type="paragraph" w:styleId="ListParagraph">
    <w:name w:val="List Paragraph"/>
    <w:basedOn w:val="Normal"/>
    <w:uiPriority w:val="34"/>
    <w:qFormat/>
    <w:rsid w:val="00450CC6"/>
    <w:pPr>
      <w:ind w:left="720"/>
    </w:pPr>
    <w:rPr>
      <w:rFonts w:ascii="Calibri" w:eastAsia="Calibri" w:hAnsi="Calibri"/>
      <w:sz w:val="22"/>
      <w:szCs w:val="22"/>
    </w:rPr>
  </w:style>
  <w:style w:type="table" w:styleId="TableGrid">
    <w:name w:val="Table Grid"/>
    <w:basedOn w:val="TableNormal"/>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paragraph" w:customStyle="1" w:styleId="Bullet1">
    <w:name w:val="Bullet1"/>
    <w:basedOn w:val="bulletround"/>
    <w:rsid w:val="00BE13A2"/>
    <w:pPr>
      <w:tabs>
        <w:tab w:val="num" w:pos="1440"/>
      </w:tabs>
      <w:spacing w:before="120" w:after="0"/>
      <w:ind w:left="1440" w:hanging="360"/>
    </w:pPr>
    <w:rPr>
      <w:rFonts w:ascii="Garamond" w:hAnsi="Garamond"/>
      <w:szCs w:val="20"/>
    </w:rPr>
  </w:style>
  <w:style w:type="paragraph" w:customStyle="1" w:styleId="Tablenotes">
    <w:name w:val="Table notes"/>
    <w:link w:val="TablenotesChar"/>
    <w:rsid w:val="00BE13A2"/>
    <w:rPr>
      <w:rFonts w:ascii="Arial" w:hAnsi="Arial"/>
      <w:noProof/>
      <w:sz w:val="16"/>
      <w:szCs w:val="18"/>
    </w:rPr>
  </w:style>
  <w:style w:type="character" w:customStyle="1" w:styleId="TablenotesChar">
    <w:name w:val="Table notes Char"/>
    <w:basedOn w:val="DefaultParagraphFont"/>
    <w:link w:val="Tablenotes"/>
    <w:rsid w:val="00BE13A2"/>
    <w:rPr>
      <w:rFonts w:ascii="Arial" w:hAnsi="Arial"/>
      <w:noProof/>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74427">
      <w:bodyDiv w:val="1"/>
      <w:marLeft w:val="0"/>
      <w:marRight w:val="0"/>
      <w:marTop w:val="0"/>
      <w:marBottom w:val="0"/>
      <w:divBdr>
        <w:top w:val="none" w:sz="0" w:space="0" w:color="auto"/>
        <w:left w:val="none" w:sz="0" w:space="0" w:color="auto"/>
        <w:bottom w:val="none" w:sz="0" w:space="0" w:color="auto"/>
        <w:right w:val="none" w:sz="0" w:space="0" w:color="auto"/>
      </w:divBdr>
    </w:div>
    <w:div w:id="841702337">
      <w:bodyDiv w:val="1"/>
      <w:marLeft w:val="0"/>
      <w:marRight w:val="0"/>
      <w:marTop w:val="0"/>
      <w:marBottom w:val="0"/>
      <w:divBdr>
        <w:top w:val="none" w:sz="0" w:space="0" w:color="auto"/>
        <w:left w:val="none" w:sz="0" w:space="0" w:color="auto"/>
        <w:bottom w:val="none" w:sz="0" w:space="0" w:color="auto"/>
        <w:right w:val="none" w:sz="0" w:space="0" w:color="auto"/>
      </w:divBdr>
    </w:div>
    <w:div w:id="1213075318">
      <w:bodyDiv w:val="1"/>
      <w:marLeft w:val="0"/>
      <w:marRight w:val="0"/>
      <w:marTop w:val="0"/>
      <w:marBottom w:val="0"/>
      <w:divBdr>
        <w:top w:val="none" w:sz="0" w:space="0" w:color="auto"/>
        <w:left w:val="none" w:sz="0" w:space="0" w:color="auto"/>
        <w:bottom w:val="none" w:sz="0" w:space="0" w:color="auto"/>
        <w:right w:val="none" w:sz="0" w:space="0" w:color="auto"/>
      </w:divBdr>
    </w:div>
    <w:div w:id="20863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724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Memorandum                                           United States Department of Education</vt:lpstr>
    </vt:vector>
  </TitlesOfParts>
  <Company>Department of Education</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United States Department of Education</dc:title>
  <dc:creator>audrey.pendleton</dc:creator>
  <cp:lastModifiedBy>U.S. Department of Education</cp:lastModifiedBy>
  <cp:revision>9</cp:revision>
  <cp:lastPrinted>2015-10-23T13:55:00Z</cp:lastPrinted>
  <dcterms:created xsi:type="dcterms:W3CDTF">2015-10-23T16:25:00Z</dcterms:created>
  <dcterms:modified xsi:type="dcterms:W3CDTF">2015-10-27T13:21:00Z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