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2907" w14:textId="77777777" w:rsidR="005164F9" w:rsidRPr="00DE04E4" w:rsidRDefault="005164F9">
      <w:pPr>
        <w:jc w:val="center"/>
        <w:rPr>
          <w:rFonts w:asciiTheme="minorHAnsi" w:hAnsiTheme="minorHAnsi" w:cs="Calibri"/>
          <w:b/>
          <w:sz w:val="22"/>
          <w:szCs w:val="22"/>
        </w:rPr>
      </w:pPr>
      <w:r w:rsidRPr="00DE04E4">
        <w:rPr>
          <w:rFonts w:asciiTheme="minorHAnsi" w:hAnsiTheme="minorHAnsi" w:cs="Calibri"/>
          <w:b/>
          <w:sz w:val="22"/>
          <w:szCs w:val="22"/>
        </w:rPr>
        <w:t>SUPPORTING STATEMENT</w:t>
      </w:r>
    </w:p>
    <w:p w14:paraId="607CD99E" w14:textId="41F38A35" w:rsidR="005164F9" w:rsidRPr="00DE04E4" w:rsidRDefault="005164F9" w:rsidP="00CE2BEB">
      <w:pPr>
        <w:jc w:val="center"/>
        <w:rPr>
          <w:rFonts w:asciiTheme="minorHAnsi" w:hAnsiTheme="minorHAnsi" w:cs="Calibri"/>
          <w:b/>
          <w:sz w:val="22"/>
          <w:szCs w:val="22"/>
        </w:rPr>
      </w:pPr>
      <w:r w:rsidRPr="00DE04E4">
        <w:rPr>
          <w:rFonts w:asciiTheme="minorHAnsi" w:hAnsiTheme="minorHAnsi" w:cs="Calibri"/>
          <w:b/>
          <w:sz w:val="22"/>
          <w:szCs w:val="22"/>
        </w:rPr>
        <w:t xml:space="preserve">Estimating the Benefits of </w:t>
      </w:r>
      <w:r w:rsidR="00C61459" w:rsidRPr="00DE04E4">
        <w:rPr>
          <w:rFonts w:asciiTheme="minorHAnsi" w:hAnsiTheme="minorHAnsi" w:cs="Calibri"/>
          <w:b/>
          <w:sz w:val="22"/>
          <w:szCs w:val="22"/>
        </w:rPr>
        <w:t xml:space="preserve">Reduced Risks to Health </w:t>
      </w:r>
    </w:p>
    <w:p w14:paraId="30B567C7" w14:textId="7BDEE6E8" w:rsidR="005164F9" w:rsidRPr="00DE04E4" w:rsidRDefault="005164F9" w:rsidP="00CE2BEB">
      <w:pPr>
        <w:jc w:val="center"/>
        <w:rPr>
          <w:rFonts w:asciiTheme="minorHAnsi" w:hAnsiTheme="minorHAnsi" w:cs="Calibri"/>
          <w:b/>
          <w:sz w:val="22"/>
          <w:szCs w:val="22"/>
        </w:rPr>
      </w:pPr>
      <w:r w:rsidRPr="00DE04E4">
        <w:rPr>
          <w:rFonts w:asciiTheme="minorHAnsi" w:hAnsiTheme="minorHAnsi" w:cs="Calibri"/>
          <w:b/>
          <w:sz w:val="22"/>
          <w:szCs w:val="22"/>
        </w:rPr>
        <w:t>Focus Groups</w:t>
      </w:r>
    </w:p>
    <w:p w14:paraId="3A5B0DEB" w14:textId="7B6794E7" w:rsidR="005164F9" w:rsidRPr="00DE04E4" w:rsidRDefault="00582E59" w:rsidP="00CE2BEB">
      <w:pPr>
        <w:jc w:val="center"/>
        <w:rPr>
          <w:rFonts w:asciiTheme="minorHAnsi" w:hAnsiTheme="minorHAnsi" w:cs="Calibri"/>
          <w:b/>
          <w:sz w:val="22"/>
          <w:szCs w:val="22"/>
        </w:rPr>
      </w:pPr>
      <w:r>
        <w:rPr>
          <w:rFonts w:asciiTheme="minorHAnsi" w:hAnsiTheme="minorHAnsi" w:cs="Calibri"/>
          <w:b/>
          <w:sz w:val="22"/>
          <w:szCs w:val="22"/>
        </w:rPr>
        <w:t>May</w:t>
      </w:r>
      <w:r w:rsidR="00C505AC">
        <w:rPr>
          <w:rFonts w:asciiTheme="minorHAnsi" w:hAnsiTheme="minorHAnsi" w:cs="Calibri"/>
          <w:b/>
          <w:sz w:val="22"/>
          <w:szCs w:val="22"/>
        </w:rPr>
        <w:t xml:space="preserve"> 2016</w:t>
      </w:r>
    </w:p>
    <w:p w14:paraId="5231B4EE" w14:textId="77777777" w:rsidR="005164F9" w:rsidRPr="00DE04E4" w:rsidRDefault="005164F9">
      <w:pPr>
        <w:rPr>
          <w:rFonts w:asciiTheme="minorHAnsi" w:hAnsiTheme="minorHAnsi" w:cs="Calibri"/>
          <w:sz w:val="22"/>
          <w:szCs w:val="22"/>
        </w:rPr>
      </w:pPr>
    </w:p>
    <w:p w14:paraId="57F6F004"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  Title of the Information Collection</w:t>
      </w:r>
    </w:p>
    <w:p w14:paraId="3762B653" w14:textId="77777777" w:rsidR="005164F9" w:rsidRPr="00DE04E4" w:rsidRDefault="005164F9">
      <w:pPr>
        <w:rPr>
          <w:rFonts w:asciiTheme="minorHAnsi" w:hAnsiTheme="minorHAnsi" w:cs="Calibri"/>
          <w:sz w:val="22"/>
          <w:szCs w:val="22"/>
        </w:rPr>
      </w:pPr>
    </w:p>
    <w:p w14:paraId="60F96511" w14:textId="091D0113" w:rsidR="005164F9" w:rsidRPr="00DE04E4" w:rsidRDefault="005164F9" w:rsidP="00ED046F">
      <w:pPr>
        <w:rPr>
          <w:rFonts w:asciiTheme="minorHAnsi" w:hAnsiTheme="minorHAnsi" w:cs="Calibri"/>
          <w:sz w:val="22"/>
          <w:szCs w:val="22"/>
        </w:rPr>
      </w:pPr>
      <w:r w:rsidRPr="00DE04E4">
        <w:rPr>
          <w:rFonts w:asciiTheme="minorHAnsi" w:hAnsiTheme="minorHAnsi" w:cs="Calibri"/>
          <w:sz w:val="22"/>
          <w:szCs w:val="22"/>
        </w:rPr>
        <w:t xml:space="preserve">Estimating the Benefits of </w:t>
      </w:r>
      <w:r w:rsidR="00C61459" w:rsidRPr="00DE04E4">
        <w:rPr>
          <w:rFonts w:asciiTheme="minorHAnsi" w:hAnsiTheme="minorHAnsi" w:cs="Calibri"/>
          <w:sz w:val="22"/>
          <w:szCs w:val="22"/>
        </w:rPr>
        <w:t xml:space="preserve">Reduced Risks </w:t>
      </w:r>
      <w:r w:rsidR="009A126E">
        <w:rPr>
          <w:rFonts w:asciiTheme="minorHAnsi" w:hAnsiTheme="minorHAnsi" w:cs="Calibri"/>
          <w:sz w:val="22"/>
          <w:szCs w:val="22"/>
        </w:rPr>
        <w:t xml:space="preserve">of Adverse Birth </w:t>
      </w:r>
      <w:r w:rsidR="000F7C91">
        <w:rPr>
          <w:rFonts w:asciiTheme="minorHAnsi" w:hAnsiTheme="minorHAnsi" w:cs="Calibri"/>
          <w:sz w:val="22"/>
          <w:szCs w:val="22"/>
        </w:rPr>
        <w:t xml:space="preserve">and Early Life Stage </w:t>
      </w:r>
      <w:r w:rsidR="009A126E">
        <w:rPr>
          <w:rFonts w:asciiTheme="minorHAnsi" w:hAnsiTheme="minorHAnsi" w:cs="Calibri"/>
          <w:sz w:val="22"/>
          <w:szCs w:val="22"/>
        </w:rPr>
        <w:t>Outcomes</w:t>
      </w:r>
    </w:p>
    <w:p w14:paraId="5AA731FD" w14:textId="77777777" w:rsidR="005164F9" w:rsidRPr="00DE04E4" w:rsidRDefault="005164F9">
      <w:pPr>
        <w:rPr>
          <w:rFonts w:asciiTheme="minorHAnsi" w:hAnsiTheme="minorHAnsi" w:cs="Calibri"/>
          <w:sz w:val="22"/>
          <w:szCs w:val="22"/>
        </w:rPr>
      </w:pPr>
    </w:p>
    <w:p w14:paraId="5B359791"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(2)  Short Characterization/Abstract</w:t>
      </w:r>
    </w:p>
    <w:p w14:paraId="32047BA8" w14:textId="77777777" w:rsidR="005164F9" w:rsidRPr="00DE04E4" w:rsidRDefault="005164F9">
      <w:pPr>
        <w:rPr>
          <w:rFonts w:asciiTheme="minorHAnsi" w:hAnsiTheme="minorHAnsi" w:cs="Calibri"/>
          <w:sz w:val="22"/>
          <w:szCs w:val="22"/>
        </w:rPr>
      </w:pPr>
    </w:p>
    <w:p w14:paraId="710897AC" w14:textId="6BF5FB78" w:rsidR="00A84B98" w:rsidRPr="00DE04E4" w:rsidRDefault="00B4064A" w:rsidP="00B4064A">
      <w:pPr>
        <w:rPr>
          <w:rFonts w:asciiTheme="minorHAnsi" w:hAnsiTheme="minorHAnsi" w:cs="Calibri"/>
          <w:sz w:val="22"/>
          <w:szCs w:val="22"/>
        </w:rPr>
      </w:pPr>
      <w:r w:rsidRPr="00DE04E4">
        <w:rPr>
          <w:rFonts w:asciiTheme="minorHAnsi" w:hAnsiTheme="minorHAnsi"/>
          <w:sz w:val="22"/>
          <w:szCs w:val="22"/>
        </w:rPr>
        <w:t xml:space="preserve">EPA is required, by statute </w:t>
      </w:r>
      <w:r w:rsidR="00DE04E4">
        <w:rPr>
          <w:rFonts w:asciiTheme="minorHAnsi" w:hAnsiTheme="minorHAnsi"/>
          <w:sz w:val="22"/>
          <w:szCs w:val="22"/>
        </w:rPr>
        <w:t>and/</w:t>
      </w:r>
      <w:r w:rsidRPr="00DE04E4">
        <w:rPr>
          <w:rFonts w:asciiTheme="minorHAnsi" w:hAnsiTheme="minorHAnsi"/>
          <w:sz w:val="22"/>
          <w:szCs w:val="22"/>
        </w:rPr>
        <w:t xml:space="preserve">or executive order, to perform </w:t>
      </w:r>
      <w:r w:rsidR="00DE04E4">
        <w:rPr>
          <w:rFonts w:asciiTheme="minorHAnsi" w:hAnsiTheme="minorHAnsi"/>
          <w:sz w:val="22"/>
          <w:szCs w:val="22"/>
        </w:rPr>
        <w:t xml:space="preserve">benefit-cost analysis </w:t>
      </w:r>
      <w:r w:rsidRPr="00DE04E4">
        <w:rPr>
          <w:rFonts w:asciiTheme="minorHAnsi" w:hAnsiTheme="minorHAnsi"/>
          <w:sz w:val="22"/>
          <w:szCs w:val="22"/>
        </w:rPr>
        <w:t>of rulemakings.  For impacts on human health</w:t>
      </w:r>
      <w:r w:rsidR="00394861" w:rsidRPr="00DE04E4">
        <w:rPr>
          <w:rFonts w:asciiTheme="minorHAnsi" w:hAnsiTheme="minorHAnsi"/>
          <w:sz w:val="22"/>
          <w:szCs w:val="22"/>
        </w:rPr>
        <w:t>,</w:t>
      </w:r>
      <w:r w:rsidRPr="00DE04E4">
        <w:rPr>
          <w:rFonts w:asciiTheme="minorHAnsi" w:hAnsiTheme="minorHAnsi"/>
          <w:sz w:val="22"/>
          <w:szCs w:val="22"/>
        </w:rPr>
        <w:t xml:space="preserve"> a key challenge is to estimate the expected health benefits in dollar terms, largely because willingness to pay (WTP) or cost-of-illness estimates are not</w:t>
      </w:r>
      <w:r w:rsidR="00DE04E4">
        <w:rPr>
          <w:rFonts w:asciiTheme="minorHAnsi" w:hAnsiTheme="minorHAnsi"/>
          <w:sz w:val="22"/>
          <w:szCs w:val="22"/>
        </w:rPr>
        <w:t xml:space="preserve"> always</w:t>
      </w:r>
      <w:r w:rsidRPr="00DE04E4">
        <w:rPr>
          <w:rFonts w:asciiTheme="minorHAnsi" w:hAnsiTheme="minorHAnsi"/>
          <w:sz w:val="22"/>
          <w:szCs w:val="22"/>
        </w:rPr>
        <w:t xml:space="preserve"> available for the health effects associated with </w:t>
      </w:r>
      <w:r w:rsidR="00DE04E4">
        <w:rPr>
          <w:rFonts w:asciiTheme="minorHAnsi" w:hAnsiTheme="minorHAnsi"/>
          <w:sz w:val="22"/>
          <w:szCs w:val="22"/>
        </w:rPr>
        <w:t>different rules</w:t>
      </w:r>
      <w:r w:rsidRPr="00DE04E4">
        <w:rPr>
          <w:rFonts w:asciiTheme="minorHAnsi" w:hAnsiTheme="minorHAnsi"/>
          <w:sz w:val="22"/>
          <w:szCs w:val="22"/>
        </w:rPr>
        <w:t xml:space="preserve">.  </w:t>
      </w:r>
      <w:r w:rsidR="00A84B98" w:rsidRPr="00DE04E4">
        <w:rPr>
          <w:rFonts w:asciiTheme="minorHAnsi" w:hAnsiTheme="minorHAnsi"/>
          <w:sz w:val="22"/>
          <w:szCs w:val="22"/>
        </w:rPr>
        <w:t xml:space="preserve">In order </w:t>
      </w:r>
      <w:r w:rsidR="00DE04E4">
        <w:rPr>
          <w:rFonts w:asciiTheme="minorHAnsi" w:hAnsiTheme="minorHAnsi"/>
          <w:sz w:val="22"/>
          <w:szCs w:val="22"/>
        </w:rPr>
        <w:t>to provide a more comprehensive assessment of the benefits associated with rules that reduce health risks</w:t>
      </w:r>
      <w:r w:rsidR="00A84B98" w:rsidRPr="00DE04E4">
        <w:rPr>
          <w:rFonts w:asciiTheme="minorHAnsi" w:hAnsiTheme="minorHAnsi"/>
          <w:sz w:val="22"/>
          <w:szCs w:val="22"/>
        </w:rPr>
        <w:t xml:space="preserve">, analysts </w:t>
      </w:r>
      <w:r w:rsidR="00DE04E4">
        <w:rPr>
          <w:rFonts w:asciiTheme="minorHAnsi" w:hAnsiTheme="minorHAnsi"/>
          <w:sz w:val="22"/>
          <w:szCs w:val="22"/>
        </w:rPr>
        <w:t>need WTP estimates for different health endpoints affected by rules.  For many health endpoints</w:t>
      </w:r>
      <w:r w:rsidR="00A84B98" w:rsidRPr="00DE04E4">
        <w:rPr>
          <w:rFonts w:asciiTheme="minorHAnsi" w:hAnsiTheme="minorHAnsi"/>
          <w:sz w:val="22"/>
          <w:szCs w:val="22"/>
        </w:rPr>
        <w:t xml:space="preserve">, stated preference (SP) methods are a valuable </w:t>
      </w:r>
      <w:r w:rsidR="00DE04E4">
        <w:rPr>
          <w:rFonts w:asciiTheme="minorHAnsi" w:hAnsiTheme="minorHAnsi"/>
          <w:sz w:val="22"/>
          <w:szCs w:val="22"/>
        </w:rPr>
        <w:t xml:space="preserve">method </w:t>
      </w:r>
      <w:r w:rsidR="00A84B98" w:rsidRPr="00DE04E4">
        <w:rPr>
          <w:rFonts w:asciiTheme="minorHAnsi" w:hAnsiTheme="minorHAnsi"/>
          <w:sz w:val="22"/>
          <w:szCs w:val="22"/>
        </w:rPr>
        <w:t xml:space="preserve">to elicit the WTP </w:t>
      </w:r>
      <w:r w:rsidR="00DE04E4">
        <w:rPr>
          <w:rFonts w:asciiTheme="minorHAnsi" w:hAnsiTheme="minorHAnsi"/>
          <w:sz w:val="22"/>
          <w:szCs w:val="22"/>
        </w:rPr>
        <w:t>estimates</w:t>
      </w:r>
      <w:r w:rsidR="00A84B98" w:rsidRPr="00DE04E4">
        <w:rPr>
          <w:rFonts w:asciiTheme="minorHAnsi" w:hAnsiTheme="minorHAnsi"/>
          <w:sz w:val="22"/>
          <w:szCs w:val="22"/>
        </w:rPr>
        <w:t xml:space="preserve"> needed for more complete benefits analysis.</w:t>
      </w:r>
    </w:p>
    <w:p w14:paraId="71AF91CD" w14:textId="77777777" w:rsidR="00A84B98" w:rsidRPr="00DE04E4" w:rsidRDefault="00A84B98" w:rsidP="00B4064A">
      <w:pPr>
        <w:rPr>
          <w:rFonts w:asciiTheme="minorHAnsi" w:hAnsiTheme="minorHAnsi" w:cs="Calibri"/>
          <w:sz w:val="22"/>
          <w:szCs w:val="22"/>
        </w:rPr>
      </w:pPr>
    </w:p>
    <w:p w14:paraId="5A324349" w14:textId="1641DA5F" w:rsidR="007E6A3F" w:rsidRPr="00DE04E4" w:rsidRDefault="007E6A3F" w:rsidP="00353382">
      <w:pPr>
        <w:autoSpaceDE w:val="0"/>
        <w:autoSpaceDN w:val="0"/>
        <w:adjustRightInd w:val="0"/>
        <w:rPr>
          <w:rFonts w:asciiTheme="minorHAnsi" w:hAnsiTheme="minorHAnsi"/>
          <w:sz w:val="22"/>
          <w:szCs w:val="22"/>
        </w:rPr>
      </w:pPr>
      <w:r w:rsidRPr="00DE04E4">
        <w:rPr>
          <w:rFonts w:asciiTheme="minorHAnsi" w:hAnsiTheme="minorHAnsi"/>
          <w:sz w:val="22"/>
          <w:szCs w:val="22"/>
        </w:rPr>
        <w:t xml:space="preserve">While </w:t>
      </w:r>
      <w:r w:rsidR="00DE04E4">
        <w:rPr>
          <w:rFonts w:asciiTheme="minorHAnsi" w:hAnsiTheme="minorHAnsi"/>
          <w:sz w:val="22"/>
          <w:szCs w:val="22"/>
        </w:rPr>
        <w:t xml:space="preserve">the literature contains many valuation </w:t>
      </w:r>
      <w:r w:rsidRPr="00DE04E4">
        <w:rPr>
          <w:rFonts w:asciiTheme="minorHAnsi" w:hAnsiTheme="minorHAnsi"/>
          <w:sz w:val="22"/>
          <w:szCs w:val="22"/>
        </w:rPr>
        <w:t xml:space="preserve">estimates </w:t>
      </w:r>
      <w:r w:rsidR="00DE04E4">
        <w:rPr>
          <w:rFonts w:asciiTheme="minorHAnsi" w:hAnsiTheme="minorHAnsi"/>
          <w:sz w:val="22"/>
          <w:szCs w:val="22"/>
        </w:rPr>
        <w:t>associated with</w:t>
      </w:r>
      <w:r w:rsidRPr="00DE04E4">
        <w:rPr>
          <w:rFonts w:asciiTheme="minorHAnsi" w:hAnsiTheme="minorHAnsi"/>
          <w:sz w:val="22"/>
          <w:szCs w:val="22"/>
        </w:rPr>
        <w:t xml:space="preserve"> occupational fatalities, </w:t>
      </w:r>
      <w:r w:rsidR="00DE04E4">
        <w:rPr>
          <w:rFonts w:asciiTheme="minorHAnsi" w:hAnsiTheme="minorHAnsi"/>
          <w:sz w:val="22"/>
          <w:szCs w:val="22"/>
        </w:rPr>
        <w:t xml:space="preserve">there are fewer estimates available for </w:t>
      </w:r>
      <w:r w:rsidR="00A84B98" w:rsidRPr="00DE04E4">
        <w:rPr>
          <w:rFonts w:asciiTheme="minorHAnsi" w:hAnsiTheme="minorHAnsi"/>
          <w:sz w:val="22"/>
          <w:szCs w:val="22"/>
        </w:rPr>
        <w:t xml:space="preserve">a number of potentially important health </w:t>
      </w:r>
      <w:r w:rsidR="00DE04E4">
        <w:rPr>
          <w:rFonts w:asciiTheme="minorHAnsi" w:hAnsiTheme="minorHAnsi"/>
          <w:sz w:val="22"/>
          <w:szCs w:val="22"/>
        </w:rPr>
        <w:lastRenderedPageBreak/>
        <w:t xml:space="preserve">endpoints affected by </w:t>
      </w:r>
      <w:r w:rsidRPr="00DE04E4">
        <w:rPr>
          <w:rFonts w:asciiTheme="minorHAnsi" w:hAnsiTheme="minorHAnsi"/>
          <w:sz w:val="22"/>
          <w:szCs w:val="22"/>
        </w:rPr>
        <w:t>environmental polic</w:t>
      </w:r>
      <w:r w:rsidR="00DE04E4">
        <w:rPr>
          <w:rFonts w:asciiTheme="minorHAnsi" w:hAnsiTheme="minorHAnsi"/>
          <w:sz w:val="22"/>
          <w:szCs w:val="22"/>
        </w:rPr>
        <w:t>y</w:t>
      </w:r>
      <w:r w:rsidR="009755B7">
        <w:rPr>
          <w:rFonts w:asciiTheme="minorHAnsi" w:hAnsiTheme="minorHAnsi"/>
          <w:sz w:val="22"/>
          <w:szCs w:val="22"/>
        </w:rPr>
        <w:t xml:space="preserve">.  These include risk of fatal and non-fatal cancer of many types, cardiovascular outcomes such as stroke and hypertension, </w:t>
      </w:r>
      <w:r w:rsidR="00B35BD6">
        <w:rPr>
          <w:rFonts w:asciiTheme="minorHAnsi" w:hAnsiTheme="minorHAnsi"/>
          <w:sz w:val="22"/>
          <w:szCs w:val="22"/>
        </w:rPr>
        <w:t xml:space="preserve">and </w:t>
      </w:r>
      <w:r w:rsidR="009755B7">
        <w:rPr>
          <w:rFonts w:asciiTheme="minorHAnsi" w:hAnsiTheme="minorHAnsi"/>
          <w:sz w:val="22"/>
          <w:szCs w:val="22"/>
        </w:rPr>
        <w:t>cognitive effects (e.g., Alzheimer’</w:t>
      </w:r>
      <w:r w:rsidR="005D37DB">
        <w:rPr>
          <w:rFonts w:asciiTheme="minorHAnsi" w:hAnsiTheme="minorHAnsi"/>
          <w:sz w:val="22"/>
          <w:szCs w:val="22"/>
        </w:rPr>
        <w:t>s).  A key set of health effects with limited valuation data are</w:t>
      </w:r>
      <w:r w:rsidR="009755B7">
        <w:rPr>
          <w:rFonts w:asciiTheme="minorHAnsi" w:hAnsiTheme="minorHAnsi"/>
          <w:sz w:val="22"/>
          <w:szCs w:val="22"/>
        </w:rPr>
        <w:t xml:space="preserve"> birth</w:t>
      </w:r>
      <w:r w:rsidR="000F7C91">
        <w:rPr>
          <w:rFonts w:asciiTheme="minorHAnsi" w:hAnsiTheme="minorHAnsi"/>
          <w:sz w:val="22"/>
          <w:szCs w:val="22"/>
        </w:rPr>
        <w:t xml:space="preserve"> and early life stage</w:t>
      </w:r>
      <w:r w:rsidR="009755B7">
        <w:rPr>
          <w:rFonts w:asciiTheme="minorHAnsi" w:hAnsiTheme="minorHAnsi"/>
          <w:sz w:val="22"/>
          <w:szCs w:val="22"/>
        </w:rPr>
        <w:t xml:space="preserve"> outcomes, which are associated with a wide array of environmental contaminants</w:t>
      </w:r>
      <w:r w:rsidR="005D37DB">
        <w:rPr>
          <w:rFonts w:asciiTheme="minorHAnsi" w:hAnsiTheme="minorHAnsi"/>
          <w:sz w:val="22"/>
          <w:szCs w:val="22"/>
        </w:rPr>
        <w:t xml:space="preserve"> including lead, arsenic, mercury, and many other chemicals</w:t>
      </w:r>
      <w:r w:rsidR="009755B7">
        <w:rPr>
          <w:rFonts w:asciiTheme="minorHAnsi" w:hAnsiTheme="minorHAnsi"/>
          <w:sz w:val="22"/>
          <w:szCs w:val="22"/>
        </w:rPr>
        <w:t xml:space="preserve">. </w:t>
      </w:r>
      <w:r w:rsidR="005164F9" w:rsidRPr="00DE04E4">
        <w:rPr>
          <w:rFonts w:asciiTheme="minorHAnsi" w:hAnsiTheme="minorHAnsi"/>
          <w:sz w:val="22"/>
          <w:szCs w:val="22"/>
        </w:rPr>
        <w:t xml:space="preserve">The goal of the current project is to </w:t>
      </w:r>
      <w:r w:rsidR="009755B7">
        <w:rPr>
          <w:rFonts w:asciiTheme="minorHAnsi" w:hAnsiTheme="minorHAnsi"/>
          <w:sz w:val="22"/>
          <w:szCs w:val="22"/>
        </w:rPr>
        <w:t xml:space="preserve">fill this gap by </w:t>
      </w:r>
      <w:r w:rsidR="005164F9" w:rsidRPr="00DE04E4">
        <w:rPr>
          <w:rFonts w:asciiTheme="minorHAnsi" w:hAnsiTheme="minorHAnsi"/>
          <w:sz w:val="22"/>
          <w:szCs w:val="22"/>
        </w:rPr>
        <w:t>develop</w:t>
      </w:r>
      <w:r w:rsidR="009755B7">
        <w:rPr>
          <w:rFonts w:asciiTheme="minorHAnsi" w:hAnsiTheme="minorHAnsi"/>
          <w:sz w:val="22"/>
          <w:szCs w:val="22"/>
        </w:rPr>
        <w:t>ing</w:t>
      </w:r>
      <w:r w:rsidR="005164F9" w:rsidRPr="00DE04E4">
        <w:rPr>
          <w:rFonts w:asciiTheme="minorHAnsi" w:hAnsiTheme="minorHAnsi"/>
          <w:sz w:val="22"/>
          <w:szCs w:val="22"/>
        </w:rPr>
        <w:t xml:space="preserve"> a </w:t>
      </w:r>
      <w:r w:rsidR="001A22E3">
        <w:rPr>
          <w:rFonts w:asciiTheme="minorHAnsi" w:hAnsiTheme="minorHAnsi"/>
          <w:sz w:val="22"/>
          <w:szCs w:val="22"/>
        </w:rPr>
        <w:t xml:space="preserve">stated preference </w:t>
      </w:r>
      <w:r w:rsidR="005164F9" w:rsidRPr="00DE04E4">
        <w:rPr>
          <w:rFonts w:asciiTheme="minorHAnsi" w:hAnsiTheme="minorHAnsi"/>
          <w:sz w:val="22"/>
          <w:szCs w:val="22"/>
        </w:rPr>
        <w:t>survey instrument t</w:t>
      </w:r>
      <w:r w:rsidR="001A22E3">
        <w:rPr>
          <w:rFonts w:asciiTheme="minorHAnsi" w:hAnsiTheme="minorHAnsi"/>
          <w:sz w:val="22"/>
          <w:szCs w:val="22"/>
        </w:rPr>
        <w:t>o</w:t>
      </w:r>
      <w:r w:rsidR="005164F9" w:rsidRPr="00DE04E4">
        <w:rPr>
          <w:rFonts w:asciiTheme="minorHAnsi" w:hAnsiTheme="minorHAnsi"/>
          <w:sz w:val="22"/>
          <w:szCs w:val="22"/>
        </w:rPr>
        <w:t xml:space="preserve"> elicit individuals’ </w:t>
      </w:r>
      <w:r w:rsidR="00D92719" w:rsidRPr="00DE04E4">
        <w:rPr>
          <w:rFonts w:asciiTheme="minorHAnsi" w:hAnsiTheme="minorHAnsi"/>
          <w:sz w:val="22"/>
          <w:szCs w:val="22"/>
        </w:rPr>
        <w:t>willingness to pay (</w:t>
      </w:r>
      <w:r w:rsidR="005164F9" w:rsidRPr="00DE04E4">
        <w:rPr>
          <w:rFonts w:asciiTheme="minorHAnsi" w:hAnsiTheme="minorHAnsi"/>
          <w:sz w:val="22"/>
          <w:szCs w:val="22"/>
        </w:rPr>
        <w:t>WTP</w:t>
      </w:r>
      <w:r w:rsidR="00D92719" w:rsidRPr="00DE04E4">
        <w:rPr>
          <w:rFonts w:asciiTheme="minorHAnsi" w:hAnsiTheme="minorHAnsi"/>
          <w:sz w:val="22"/>
          <w:szCs w:val="22"/>
        </w:rPr>
        <w:t>)</w:t>
      </w:r>
      <w:r w:rsidR="005164F9" w:rsidRPr="00DE04E4">
        <w:rPr>
          <w:rFonts w:asciiTheme="minorHAnsi" w:hAnsiTheme="minorHAnsi"/>
          <w:sz w:val="22"/>
          <w:szCs w:val="22"/>
        </w:rPr>
        <w:t xml:space="preserve"> for </w:t>
      </w:r>
      <w:r w:rsidRPr="00DE04E4">
        <w:rPr>
          <w:rFonts w:asciiTheme="minorHAnsi" w:hAnsiTheme="minorHAnsi"/>
          <w:sz w:val="22"/>
          <w:szCs w:val="22"/>
        </w:rPr>
        <w:t>reduced risk</w:t>
      </w:r>
      <w:r w:rsidR="009755B7">
        <w:rPr>
          <w:rFonts w:asciiTheme="minorHAnsi" w:hAnsiTheme="minorHAnsi"/>
          <w:sz w:val="22"/>
          <w:szCs w:val="22"/>
        </w:rPr>
        <w:t xml:space="preserve">s of outcomes </w:t>
      </w:r>
      <w:r w:rsidR="000F7C91">
        <w:rPr>
          <w:rFonts w:asciiTheme="minorHAnsi" w:hAnsiTheme="minorHAnsi"/>
          <w:sz w:val="22"/>
          <w:szCs w:val="22"/>
        </w:rPr>
        <w:t xml:space="preserve">that result from exposures in utero and during early life stages, </w:t>
      </w:r>
      <w:r w:rsidR="009755B7">
        <w:rPr>
          <w:rFonts w:asciiTheme="minorHAnsi" w:hAnsiTheme="minorHAnsi"/>
          <w:sz w:val="22"/>
          <w:szCs w:val="22"/>
        </w:rPr>
        <w:t>such as birthweight, preterm birth, and neurodevelopmental effects</w:t>
      </w:r>
      <w:r w:rsidR="00C752C1">
        <w:rPr>
          <w:rFonts w:asciiTheme="minorHAnsi" w:hAnsiTheme="minorHAnsi"/>
          <w:sz w:val="22"/>
          <w:szCs w:val="22"/>
        </w:rPr>
        <w:t>.</w:t>
      </w:r>
      <w:r w:rsidR="005164F9" w:rsidRPr="00DE04E4">
        <w:rPr>
          <w:rFonts w:asciiTheme="minorHAnsi" w:hAnsiTheme="minorHAnsi"/>
          <w:sz w:val="22"/>
          <w:szCs w:val="22"/>
        </w:rPr>
        <w:t xml:space="preserve">  </w:t>
      </w:r>
    </w:p>
    <w:p w14:paraId="554C3BF5" w14:textId="77777777" w:rsidR="007E6A3F" w:rsidRPr="00DE04E4" w:rsidRDefault="007E6A3F" w:rsidP="00353382">
      <w:pPr>
        <w:autoSpaceDE w:val="0"/>
        <w:autoSpaceDN w:val="0"/>
        <w:adjustRightInd w:val="0"/>
        <w:rPr>
          <w:rFonts w:asciiTheme="minorHAnsi" w:hAnsiTheme="minorHAnsi"/>
          <w:sz w:val="22"/>
          <w:szCs w:val="22"/>
        </w:rPr>
      </w:pPr>
    </w:p>
    <w:p w14:paraId="5C60FA61" w14:textId="567D0498" w:rsidR="005164F9" w:rsidRPr="00DE04E4" w:rsidRDefault="005164F9" w:rsidP="00353382">
      <w:pPr>
        <w:autoSpaceDE w:val="0"/>
        <w:autoSpaceDN w:val="0"/>
        <w:adjustRightInd w:val="0"/>
        <w:rPr>
          <w:rFonts w:asciiTheme="minorHAnsi" w:hAnsiTheme="minorHAnsi" w:cs="Calibri"/>
          <w:bCs/>
          <w:sz w:val="22"/>
          <w:szCs w:val="22"/>
        </w:rPr>
      </w:pPr>
      <w:r w:rsidRPr="00DE04E4">
        <w:rPr>
          <w:rFonts w:asciiTheme="minorHAnsi" w:hAnsiTheme="minorHAnsi"/>
          <w:bCs/>
          <w:sz w:val="22"/>
          <w:szCs w:val="22"/>
        </w:rPr>
        <w:t xml:space="preserve">This Supporting Statement provides background material for a request to conduct </w:t>
      </w:r>
      <w:r w:rsidR="00582E59">
        <w:rPr>
          <w:rFonts w:asciiTheme="minorHAnsi" w:hAnsiTheme="minorHAnsi"/>
          <w:bCs/>
          <w:sz w:val="22"/>
          <w:szCs w:val="22"/>
        </w:rPr>
        <w:t>8</w:t>
      </w:r>
      <w:r w:rsidRPr="00DE04E4">
        <w:rPr>
          <w:rFonts w:asciiTheme="minorHAnsi" w:hAnsiTheme="minorHAnsi"/>
          <w:bCs/>
          <w:sz w:val="22"/>
          <w:szCs w:val="22"/>
        </w:rPr>
        <w:t xml:space="preserve"> focus groups and 20 one-on-one interviews</w:t>
      </w:r>
      <w:r w:rsidR="007E6A3F" w:rsidRPr="00DE04E4">
        <w:rPr>
          <w:rFonts w:asciiTheme="minorHAnsi" w:hAnsiTheme="minorHAnsi"/>
          <w:bCs/>
          <w:sz w:val="22"/>
          <w:szCs w:val="22"/>
        </w:rPr>
        <w:t xml:space="preserve"> as part of the survey development process</w:t>
      </w:r>
      <w:r w:rsidRPr="00DE04E4">
        <w:rPr>
          <w:rFonts w:asciiTheme="minorHAnsi" w:hAnsiTheme="minorHAnsi"/>
          <w:bCs/>
          <w:sz w:val="22"/>
          <w:szCs w:val="22"/>
        </w:rPr>
        <w:t xml:space="preserve">.  The results from these activities will inform the design of a survey instrument.  This exercise will </w:t>
      </w:r>
      <w:r w:rsidRPr="00DE04E4">
        <w:rPr>
          <w:rFonts w:asciiTheme="minorHAnsi" w:hAnsiTheme="minorHAnsi"/>
          <w:bCs/>
          <w:sz w:val="22"/>
          <w:szCs w:val="22"/>
          <w:u w:val="single"/>
        </w:rPr>
        <w:t>not</w:t>
      </w:r>
      <w:r w:rsidRPr="00DE04E4">
        <w:rPr>
          <w:rFonts w:asciiTheme="minorHAnsi" w:hAnsiTheme="minorHAnsi"/>
          <w:bCs/>
          <w:sz w:val="22"/>
          <w:szCs w:val="22"/>
        </w:rPr>
        <w:t xml:space="preserve"> produce results that can be statistically analyzed to estimate willingness to pay for</w:t>
      </w:r>
      <w:r w:rsidR="007E6A3F" w:rsidRPr="00DE04E4">
        <w:rPr>
          <w:rFonts w:asciiTheme="minorHAnsi" w:hAnsiTheme="minorHAnsi"/>
          <w:bCs/>
          <w:sz w:val="22"/>
          <w:szCs w:val="22"/>
        </w:rPr>
        <w:t xml:space="preserve"> any outcome for</w:t>
      </w:r>
      <w:r w:rsidRPr="00DE04E4">
        <w:rPr>
          <w:rFonts w:asciiTheme="minorHAnsi" w:hAnsiTheme="minorHAnsi"/>
          <w:bCs/>
          <w:sz w:val="22"/>
          <w:szCs w:val="22"/>
        </w:rPr>
        <w:t xml:space="preserve"> any group or set of individuals.  It will produce, based on the results of these focus groups and </w:t>
      </w:r>
      <w:r w:rsidR="001A22E3">
        <w:rPr>
          <w:rFonts w:asciiTheme="minorHAnsi" w:hAnsiTheme="minorHAnsi"/>
          <w:bCs/>
          <w:sz w:val="22"/>
          <w:szCs w:val="22"/>
        </w:rPr>
        <w:t>interviews</w:t>
      </w:r>
      <w:r w:rsidRPr="00DE04E4">
        <w:rPr>
          <w:rFonts w:asciiTheme="minorHAnsi" w:hAnsiTheme="minorHAnsi"/>
          <w:bCs/>
          <w:sz w:val="22"/>
          <w:szCs w:val="22"/>
        </w:rPr>
        <w:t>, a</w:t>
      </w:r>
      <w:r w:rsidR="001A22E3">
        <w:rPr>
          <w:rFonts w:asciiTheme="minorHAnsi" w:hAnsiTheme="minorHAnsi"/>
          <w:bCs/>
          <w:sz w:val="22"/>
          <w:szCs w:val="22"/>
        </w:rPr>
        <w:t xml:space="preserve"> survey </w:t>
      </w:r>
      <w:r w:rsidRPr="00DE04E4">
        <w:rPr>
          <w:rFonts w:asciiTheme="minorHAnsi" w:hAnsiTheme="minorHAnsi"/>
          <w:bCs/>
          <w:sz w:val="22"/>
          <w:szCs w:val="22"/>
        </w:rPr>
        <w:t xml:space="preserve">instrument for a full-scale stated preference survey.  However, implementing such a survey is beyond the scope of this ICR; any request for implementing </w:t>
      </w:r>
      <w:r w:rsidR="001A22E3">
        <w:rPr>
          <w:rFonts w:asciiTheme="minorHAnsi" w:hAnsiTheme="minorHAnsi"/>
          <w:bCs/>
          <w:sz w:val="22"/>
          <w:szCs w:val="22"/>
        </w:rPr>
        <w:t>a full-scale</w:t>
      </w:r>
      <w:r w:rsidRPr="00DE04E4">
        <w:rPr>
          <w:rFonts w:asciiTheme="minorHAnsi" w:hAnsiTheme="minorHAnsi"/>
          <w:bCs/>
          <w:sz w:val="22"/>
          <w:szCs w:val="22"/>
        </w:rPr>
        <w:t xml:space="preserve"> survey will be </w:t>
      </w:r>
      <w:r w:rsidR="001A22E3">
        <w:rPr>
          <w:rFonts w:asciiTheme="minorHAnsi" w:hAnsiTheme="minorHAnsi"/>
          <w:bCs/>
          <w:sz w:val="22"/>
          <w:szCs w:val="22"/>
        </w:rPr>
        <w:t>made</w:t>
      </w:r>
      <w:r w:rsidRPr="00DE04E4">
        <w:rPr>
          <w:rFonts w:asciiTheme="minorHAnsi" w:hAnsiTheme="minorHAnsi"/>
          <w:bCs/>
          <w:sz w:val="22"/>
          <w:szCs w:val="22"/>
        </w:rPr>
        <w:t xml:space="preserve"> in a separate ICR. </w:t>
      </w:r>
    </w:p>
    <w:p w14:paraId="0F7236CE"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  </w:t>
      </w:r>
    </w:p>
    <w:p w14:paraId="583719A7"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(3)  Need for the Collection</w:t>
      </w:r>
    </w:p>
    <w:p w14:paraId="54E00983" w14:textId="77777777" w:rsidR="005164F9" w:rsidRPr="00DE04E4" w:rsidRDefault="005164F9" w:rsidP="005F6F32">
      <w:pPr>
        <w:rPr>
          <w:rFonts w:asciiTheme="minorHAnsi" w:hAnsiTheme="minorHAnsi" w:cs="Calibri"/>
          <w:sz w:val="22"/>
          <w:szCs w:val="22"/>
        </w:rPr>
      </w:pPr>
    </w:p>
    <w:p w14:paraId="0B5BBAC1" w14:textId="79BD6FDC" w:rsidR="00B4064A" w:rsidRPr="00DE04E4" w:rsidRDefault="005164F9" w:rsidP="00B4064A">
      <w:pPr>
        <w:rPr>
          <w:rFonts w:asciiTheme="minorHAnsi" w:hAnsiTheme="minorHAnsi" w:cs="Calibri"/>
          <w:sz w:val="22"/>
          <w:szCs w:val="22"/>
        </w:rPr>
      </w:pPr>
      <w:r w:rsidRPr="00DE04E4">
        <w:rPr>
          <w:rFonts w:asciiTheme="minorHAnsi" w:hAnsiTheme="minorHAnsi" w:cs="Calibri"/>
          <w:bCs/>
          <w:sz w:val="22"/>
          <w:szCs w:val="22"/>
        </w:rPr>
        <w:lastRenderedPageBreak/>
        <w:t xml:space="preserve">The goal of this </w:t>
      </w:r>
      <w:r w:rsidR="001A22E3">
        <w:rPr>
          <w:rFonts w:asciiTheme="minorHAnsi" w:hAnsiTheme="minorHAnsi" w:cs="Calibri"/>
          <w:bCs/>
          <w:sz w:val="22"/>
          <w:szCs w:val="22"/>
        </w:rPr>
        <w:t xml:space="preserve">project </w:t>
      </w:r>
      <w:r w:rsidRPr="00DE04E4">
        <w:rPr>
          <w:rFonts w:asciiTheme="minorHAnsi" w:hAnsiTheme="minorHAnsi" w:cs="Calibri"/>
          <w:bCs/>
          <w:sz w:val="22"/>
          <w:szCs w:val="22"/>
        </w:rPr>
        <w:t xml:space="preserve">is to improve EPA’s ability to </w:t>
      </w:r>
      <w:r w:rsidR="001A22E3">
        <w:rPr>
          <w:rFonts w:asciiTheme="minorHAnsi" w:hAnsiTheme="minorHAnsi" w:cs="Calibri"/>
          <w:bCs/>
          <w:sz w:val="22"/>
          <w:szCs w:val="22"/>
        </w:rPr>
        <w:t>monetize</w:t>
      </w:r>
      <w:r w:rsidRPr="00DE04E4">
        <w:rPr>
          <w:rFonts w:asciiTheme="minorHAnsi" w:hAnsiTheme="minorHAnsi" w:cs="Calibri"/>
          <w:bCs/>
          <w:sz w:val="22"/>
          <w:szCs w:val="22"/>
        </w:rPr>
        <w:t xml:space="preserve"> the</w:t>
      </w:r>
      <w:r w:rsidR="00B4064A" w:rsidRPr="00DE04E4">
        <w:rPr>
          <w:rFonts w:asciiTheme="minorHAnsi" w:hAnsiTheme="minorHAnsi" w:cs="Calibri"/>
          <w:bCs/>
          <w:sz w:val="22"/>
          <w:szCs w:val="22"/>
        </w:rPr>
        <w:t xml:space="preserve"> health</w:t>
      </w:r>
      <w:r w:rsidRPr="00DE04E4">
        <w:rPr>
          <w:rFonts w:asciiTheme="minorHAnsi" w:hAnsiTheme="minorHAnsi" w:cs="Calibri"/>
          <w:bCs/>
          <w:sz w:val="22"/>
          <w:szCs w:val="22"/>
        </w:rPr>
        <w:t xml:space="preserve"> benefits </w:t>
      </w:r>
      <w:r w:rsidR="001A22E3">
        <w:rPr>
          <w:rFonts w:asciiTheme="minorHAnsi" w:hAnsiTheme="minorHAnsi" w:cs="Calibri"/>
          <w:bCs/>
          <w:sz w:val="22"/>
          <w:szCs w:val="22"/>
        </w:rPr>
        <w:t>associated with</w:t>
      </w:r>
      <w:r w:rsidRPr="00DE04E4">
        <w:rPr>
          <w:rFonts w:asciiTheme="minorHAnsi" w:hAnsiTheme="minorHAnsi" w:cs="Calibri"/>
          <w:bCs/>
          <w:sz w:val="22"/>
          <w:szCs w:val="22"/>
        </w:rPr>
        <w:t xml:space="preserve"> </w:t>
      </w:r>
      <w:r w:rsidR="00B4064A" w:rsidRPr="00DE04E4">
        <w:rPr>
          <w:rFonts w:asciiTheme="minorHAnsi" w:hAnsiTheme="minorHAnsi" w:cs="Calibri"/>
          <w:bCs/>
          <w:sz w:val="22"/>
          <w:szCs w:val="22"/>
        </w:rPr>
        <w:t xml:space="preserve">EPA </w:t>
      </w:r>
      <w:r w:rsidR="001A22E3">
        <w:rPr>
          <w:rFonts w:asciiTheme="minorHAnsi" w:hAnsiTheme="minorHAnsi" w:cs="Calibri"/>
          <w:bCs/>
          <w:sz w:val="22"/>
          <w:szCs w:val="22"/>
        </w:rPr>
        <w:t>rules</w:t>
      </w:r>
      <w:r w:rsidR="00C07FDE">
        <w:rPr>
          <w:rFonts w:asciiTheme="minorHAnsi" w:hAnsiTheme="minorHAnsi" w:cs="Calibri"/>
          <w:bCs/>
          <w:sz w:val="22"/>
          <w:szCs w:val="22"/>
        </w:rPr>
        <w:t xml:space="preserve"> by directly providing estimates of the value of reductions in risk to specific health endpoints for which little to no information currently exists</w:t>
      </w:r>
      <w:r w:rsidRPr="00DE04E4">
        <w:rPr>
          <w:rFonts w:asciiTheme="minorHAnsi" w:hAnsiTheme="minorHAnsi" w:cs="Calibri"/>
          <w:bCs/>
          <w:sz w:val="22"/>
          <w:szCs w:val="22"/>
        </w:rPr>
        <w:t xml:space="preserve">.   </w:t>
      </w:r>
      <w:r w:rsidR="00B4064A" w:rsidRPr="00DE04E4">
        <w:rPr>
          <w:rFonts w:asciiTheme="minorHAnsi" w:hAnsiTheme="minorHAnsi" w:cs="Calibri"/>
          <w:sz w:val="22"/>
          <w:szCs w:val="22"/>
        </w:rPr>
        <w:t xml:space="preserve">While </w:t>
      </w:r>
      <w:r w:rsidR="001A22E3">
        <w:rPr>
          <w:rFonts w:asciiTheme="minorHAnsi" w:hAnsiTheme="minorHAnsi" w:cs="Calibri"/>
          <w:sz w:val="22"/>
          <w:szCs w:val="22"/>
        </w:rPr>
        <w:t xml:space="preserve">there are well-established estimates of benefits associated with </w:t>
      </w:r>
      <w:r w:rsidR="00B4064A" w:rsidRPr="00DE04E4">
        <w:rPr>
          <w:rFonts w:asciiTheme="minorHAnsi" w:hAnsiTheme="minorHAnsi" w:cs="Calibri"/>
          <w:sz w:val="22"/>
          <w:szCs w:val="22"/>
        </w:rPr>
        <w:t>some</w:t>
      </w:r>
      <w:r w:rsidR="001A22E3">
        <w:rPr>
          <w:rFonts w:asciiTheme="minorHAnsi" w:hAnsiTheme="minorHAnsi" w:cs="Calibri"/>
          <w:sz w:val="22"/>
          <w:szCs w:val="22"/>
        </w:rPr>
        <w:t xml:space="preserve"> environmental contaminants (e.g.,</w:t>
      </w:r>
      <w:r w:rsidR="00B4064A" w:rsidRPr="00DE04E4">
        <w:rPr>
          <w:rFonts w:asciiTheme="minorHAnsi" w:hAnsiTheme="minorHAnsi" w:cs="Calibri"/>
          <w:sz w:val="22"/>
          <w:szCs w:val="22"/>
        </w:rPr>
        <w:t xml:space="preserve"> criteria air pollutants)</w:t>
      </w:r>
      <w:r w:rsidR="00C07FDE">
        <w:rPr>
          <w:rFonts w:asciiTheme="minorHAnsi" w:hAnsiTheme="minorHAnsi" w:cs="Calibri"/>
          <w:sz w:val="22"/>
          <w:szCs w:val="22"/>
        </w:rPr>
        <w:t xml:space="preserve">, </w:t>
      </w:r>
      <w:r w:rsidR="00B4064A" w:rsidRPr="00DE04E4">
        <w:rPr>
          <w:rFonts w:asciiTheme="minorHAnsi" w:hAnsiTheme="minorHAnsi" w:cs="Calibri"/>
          <w:sz w:val="22"/>
          <w:szCs w:val="22"/>
        </w:rPr>
        <w:t>for m</w:t>
      </w:r>
      <w:r w:rsidR="001A22E3">
        <w:rPr>
          <w:rFonts w:asciiTheme="minorHAnsi" w:hAnsiTheme="minorHAnsi" w:cs="Calibri"/>
          <w:sz w:val="22"/>
          <w:szCs w:val="22"/>
        </w:rPr>
        <w:t>any</w:t>
      </w:r>
      <w:r w:rsidR="00B4064A" w:rsidRPr="00DE04E4">
        <w:rPr>
          <w:rFonts w:asciiTheme="minorHAnsi" w:hAnsiTheme="minorHAnsi" w:cs="Calibri"/>
          <w:sz w:val="22"/>
          <w:szCs w:val="22"/>
        </w:rPr>
        <w:t xml:space="preserve"> other contaminants there are fewer </w:t>
      </w:r>
      <w:r w:rsidR="00C07FDE">
        <w:rPr>
          <w:rFonts w:asciiTheme="minorHAnsi" w:hAnsiTheme="minorHAnsi" w:cs="Calibri"/>
          <w:sz w:val="22"/>
          <w:szCs w:val="22"/>
        </w:rPr>
        <w:t xml:space="preserve">estimates </w:t>
      </w:r>
      <w:r w:rsidR="00B4064A" w:rsidRPr="00DE04E4">
        <w:rPr>
          <w:rFonts w:asciiTheme="minorHAnsi" w:hAnsiTheme="minorHAnsi" w:cs="Calibri"/>
          <w:sz w:val="22"/>
          <w:szCs w:val="22"/>
        </w:rPr>
        <w:t xml:space="preserve">to evaluate the benefits of </w:t>
      </w:r>
      <w:r w:rsidR="00C07FDE">
        <w:rPr>
          <w:rFonts w:asciiTheme="minorHAnsi" w:hAnsiTheme="minorHAnsi" w:cs="Calibri"/>
          <w:sz w:val="22"/>
          <w:szCs w:val="22"/>
        </w:rPr>
        <w:t xml:space="preserve">health risk </w:t>
      </w:r>
      <w:r w:rsidR="00B4064A" w:rsidRPr="00DE04E4">
        <w:rPr>
          <w:rFonts w:asciiTheme="minorHAnsi" w:hAnsiTheme="minorHAnsi" w:cs="Calibri"/>
          <w:sz w:val="22"/>
          <w:szCs w:val="22"/>
        </w:rPr>
        <w:t xml:space="preserve">reductions. In order </w:t>
      </w:r>
      <w:r w:rsidR="00C07FDE">
        <w:rPr>
          <w:rFonts w:asciiTheme="minorHAnsi" w:hAnsiTheme="minorHAnsi" w:cs="Calibri"/>
          <w:sz w:val="22"/>
          <w:szCs w:val="22"/>
        </w:rPr>
        <w:t xml:space="preserve">to provide a comprehensive analysis of the </w:t>
      </w:r>
      <w:r w:rsidR="00B4064A" w:rsidRPr="00DE04E4">
        <w:rPr>
          <w:rFonts w:asciiTheme="minorHAnsi" w:hAnsiTheme="minorHAnsi" w:cs="Calibri"/>
          <w:sz w:val="22"/>
          <w:szCs w:val="22"/>
        </w:rPr>
        <w:t xml:space="preserve">health benefits </w:t>
      </w:r>
      <w:r w:rsidR="00C07FDE">
        <w:rPr>
          <w:rFonts w:asciiTheme="minorHAnsi" w:hAnsiTheme="minorHAnsi" w:cs="Calibri"/>
          <w:sz w:val="22"/>
          <w:szCs w:val="22"/>
        </w:rPr>
        <w:t>associated with many environmental rules</w:t>
      </w:r>
      <w:r w:rsidR="00B4064A" w:rsidRPr="00DE04E4">
        <w:rPr>
          <w:rFonts w:asciiTheme="minorHAnsi" w:hAnsiTheme="minorHAnsi" w:cs="Calibri"/>
          <w:sz w:val="22"/>
          <w:szCs w:val="22"/>
        </w:rPr>
        <w:t xml:space="preserve">, </w:t>
      </w:r>
      <w:r w:rsidR="00C07FDE">
        <w:rPr>
          <w:rFonts w:asciiTheme="minorHAnsi" w:hAnsiTheme="minorHAnsi" w:cs="Calibri"/>
          <w:sz w:val="22"/>
          <w:szCs w:val="22"/>
        </w:rPr>
        <w:t>EPA needs estimates of the value of reducing risks associated with more health endpoints.  C</w:t>
      </w:r>
      <w:r w:rsidR="00504462" w:rsidRPr="00DE04E4">
        <w:rPr>
          <w:rFonts w:asciiTheme="minorHAnsi" w:hAnsiTheme="minorHAnsi" w:cs="Calibri"/>
          <w:sz w:val="22"/>
          <w:szCs w:val="22"/>
        </w:rPr>
        <w:t xml:space="preserve">ost-of-illness </w:t>
      </w:r>
      <w:r w:rsidR="00C07FDE">
        <w:rPr>
          <w:rFonts w:asciiTheme="minorHAnsi" w:hAnsiTheme="minorHAnsi" w:cs="Calibri"/>
          <w:sz w:val="22"/>
          <w:szCs w:val="22"/>
        </w:rPr>
        <w:t xml:space="preserve">(COI) </w:t>
      </w:r>
      <w:r w:rsidR="00504462" w:rsidRPr="00DE04E4">
        <w:rPr>
          <w:rFonts w:asciiTheme="minorHAnsi" w:hAnsiTheme="minorHAnsi" w:cs="Calibri"/>
          <w:sz w:val="22"/>
          <w:szCs w:val="22"/>
        </w:rPr>
        <w:t xml:space="preserve">measures </w:t>
      </w:r>
      <w:r w:rsidR="00C07FDE">
        <w:rPr>
          <w:rFonts w:asciiTheme="minorHAnsi" w:hAnsiTheme="minorHAnsi" w:cs="Calibri"/>
          <w:sz w:val="22"/>
          <w:szCs w:val="22"/>
        </w:rPr>
        <w:t>are</w:t>
      </w:r>
      <w:r w:rsidR="00504462" w:rsidRPr="00DE04E4">
        <w:rPr>
          <w:rFonts w:asciiTheme="minorHAnsi" w:hAnsiTheme="minorHAnsi" w:cs="Calibri"/>
          <w:sz w:val="22"/>
          <w:szCs w:val="22"/>
        </w:rPr>
        <w:t xml:space="preserve"> at times used as a proxy for willingness to pay estimates, </w:t>
      </w:r>
      <w:r w:rsidR="00C07FDE">
        <w:rPr>
          <w:rFonts w:asciiTheme="minorHAnsi" w:hAnsiTheme="minorHAnsi" w:cs="Calibri"/>
          <w:sz w:val="22"/>
          <w:szCs w:val="22"/>
        </w:rPr>
        <w:t xml:space="preserve">but they are </w:t>
      </w:r>
      <w:r w:rsidR="007E6A3F" w:rsidRPr="00DE04E4">
        <w:rPr>
          <w:rFonts w:asciiTheme="minorHAnsi" w:hAnsiTheme="minorHAnsi" w:cs="Calibri"/>
          <w:sz w:val="22"/>
          <w:szCs w:val="22"/>
        </w:rPr>
        <w:t xml:space="preserve">often thought to </w:t>
      </w:r>
      <w:r w:rsidR="00C07FDE">
        <w:rPr>
          <w:rFonts w:asciiTheme="minorHAnsi" w:hAnsiTheme="minorHAnsi" w:cs="Calibri"/>
          <w:sz w:val="22"/>
          <w:szCs w:val="22"/>
        </w:rPr>
        <w:t xml:space="preserve">provide a lower bound on the full value of a risk reduction because such estimates </w:t>
      </w:r>
      <w:r w:rsidR="007E6A3F" w:rsidRPr="00DE04E4">
        <w:rPr>
          <w:rFonts w:asciiTheme="minorHAnsi" w:hAnsiTheme="minorHAnsi" w:cs="Calibri"/>
          <w:sz w:val="22"/>
          <w:szCs w:val="22"/>
        </w:rPr>
        <w:t xml:space="preserve">typically do not </w:t>
      </w:r>
      <w:r w:rsidR="00622F31">
        <w:rPr>
          <w:rFonts w:asciiTheme="minorHAnsi" w:hAnsiTheme="minorHAnsi" w:cs="Calibri"/>
          <w:sz w:val="22"/>
          <w:szCs w:val="22"/>
        </w:rPr>
        <w:t xml:space="preserve">include </w:t>
      </w:r>
      <w:r w:rsidR="00C07FDE">
        <w:rPr>
          <w:rFonts w:asciiTheme="minorHAnsi" w:hAnsiTheme="minorHAnsi" w:cs="Calibri"/>
          <w:sz w:val="22"/>
          <w:szCs w:val="22"/>
        </w:rPr>
        <w:t>the value of any</w:t>
      </w:r>
      <w:r w:rsidR="007E6A3F" w:rsidRPr="00DE04E4">
        <w:rPr>
          <w:rFonts w:asciiTheme="minorHAnsi" w:hAnsiTheme="minorHAnsi" w:cs="Calibri"/>
          <w:sz w:val="22"/>
          <w:szCs w:val="22"/>
        </w:rPr>
        <w:t xml:space="preserve"> avoided pain</w:t>
      </w:r>
      <w:r w:rsidR="00C07FDE">
        <w:rPr>
          <w:rFonts w:asciiTheme="minorHAnsi" w:hAnsiTheme="minorHAnsi" w:cs="Calibri"/>
          <w:sz w:val="22"/>
          <w:szCs w:val="22"/>
        </w:rPr>
        <w:t xml:space="preserve">, </w:t>
      </w:r>
      <w:r w:rsidR="007E6A3F" w:rsidRPr="00DE04E4">
        <w:rPr>
          <w:rFonts w:asciiTheme="minorHAnsi" w:hAnsiTheme="minorHAnsi" w:cs="Calibri"/>
          <w:sz w:val="22"/>
          <w:szCs w:val="22"/>
        </w:rPr>
        <w:t>suffering and dread.  For other health outcomes, neither WTP nor COI estimates are available</w:t>
      </w:r>
      <w:r w:rsidR="00C07FDE">
        <w:rPr>
          <w:rFonts w:asciiTheme="minorHAnsi" w:hAnsiTheme="minorHAnsi" w:cs="Calibri"/>
          <w:sz w:val="22"/>
          <w:szCs w:val="22"/>
        </w:rPr>
        <w:t xml:space="preserve">, in which case the value of the risk reductions are not included in a given </w:t>
      </w:r>
      <w:r w:rsidR="007E6A3F" w:rsidRPr="00DE04E4">
        <w:rPr>
          <w:rFonts w:asciiTheme="minorHAnsi" w:hAnsiTheme="minorHAnsi" w:cs="Calibri"/>
          <w:sz w:val="22"/>
          <w:szCs w:val="22"/>
        </w:rPr>
        <w:t xml:space="preserve">policy </w:t>
      </w:r>
      <w:r w:rsidR="00C07FDE">
        <w:rPr>
          <w:rFonts w:asciiTheme="minorHAnsi" w:hAnsiTheme="minorHAnsi" w:cs="Calibri"/>
          <w:sz w:val="22"/>
          <w:szCs w:val="22"/>
        </w:rPr>
        <w:t>analysis</w:t>
      </w:r>
      <w:r w:rsidR="007E6A3F" w:rsidRPr="00DE04E4">
        <w:rPr>
          <w:rFonts w:asciiTheme="minorHAnsi" w:hAnsiTheme="minorHAnsi" w:cs="Calibri"/>
          <w:sz w:val="22"/>
          <w:szCs w:val="22"/>
        </w:rPr>
        <w:t>.</w:t>
      </w:r>
    </w:p>
    <w:p w14:paraId="59183D47" w14:textId="77777777" w:rsidR="00B4064A" w:rsidRPr="00DE04E4" w:rsidRDefault="00B4064A" w:rsidP="00B4064A">
      <w:pPr>
        <w:rPr>
          <w:rFonts w:asciiTheme="minorHAnsi" w:hAnsiTheme="minorHAnsi" w:cs="Calibri"/>
          <w:sz w:val="22"/>
          <w:szCs w:val="22"/>
        </w:rPr>
      </w:pPr>
    </w:p>
    <w:p w14:paraId="11F3AB5B" w14:textId="7B336138" w:rsidR="00B4064A" w:rsidRPr="00DE04E4" w:rsidRDefault="00C07FDE" w:rsidP="00B4064A">
      <w:pPr>
        <w:rPr>
          <w:rFonts w:asciiTheme="minorHAnsi" w:hAnsiTheme="minorHAnsi" w:cs="Calibri"/>
          <w:sz w:val="22"/>
          <w:szCs w:val="22"/>
        </w:rPr>
      </w:pPr>
      <w:r>
        <w:rPr>
          <w:rFonts w:asciiTheme="minorHAnsi" w:hAnsiTheme="minorHAnsi" w:cs="Calibri"/>
          <w:sz w:val="22"/>
          <w:szCs w:val="22"/>
        </w:rPr>
        <w:t>The results of this project in conjunction with s</w:t>
      </w:r>
      <w:r w:rsidR="00720CD5" w:rsidRPr="00DE04E4">
        <w:rPr>
          <w:rFonts w:asciiTheme="minorHAnsi" w:hAnsiTheme="minorHAnsi" w:cs="Calibri"/>
          <w:sz w:val="22"/>
          <w:szCs w:val="22"/>
        </w:rPr>
        <w:t>everal initiatives</w:t>
      </w:r>
      <w:r w:rsidR="00B4064A" w:rsidRPr="00DE04E4">
        <w:rPr>
          <w:rFonts w:asciiTheme="minorHAnsi" w:hAnsiTheme="minorHAnsi" w:cs="Calibri"/>
          <w:sz w:val="22"/>
          <w:szCs w:val="22"/>
        </w:rPr>
        <w:t xml:space="preserve"> </w:t>
      </w:r>
      <w:r w:rsidR="00720CD5" w:rsidRPr="00DE04E4">
        <w:rPr>
          <w:rFonts w:asciiTheme="minorHAnsi" w:hAnsiTheme="minorHAnsi" w:cs="Calibri"/>
          <w:sz w:val="22"/>
          <w:szCs w:val="22"/>
        </w:rPr>
        <w:t xml:space="preserve">to improve </w:t>
      </w:r>
      <w:r w:rsidR="00B4064A" w:rsidRPr="00DE04E4">
        <w:rPr>
          <w:rFonts w:asciiTheme="minorHAnsi" w:hAnsiTheme="minorHAnsi" w:cs="Calibri"/>
          <w:sz w:val="22"/>
          <w:szCs w:val="22"/>
        </w:rPr>
        <w:t xml:space="preserve">risk assessment methods </w:t>
      </w:r>
      <w:r w:rsidR="00371102">
        <w:rPr>
          <w:rFonts w:asciiTheme="minorHAnsi" w:hAnsiTheme="minorHAnsi" w:cs="Calibri"/>
          <w:sz w:val="22"/>
          <w:szCs w:val="22"/>
        </w:rPr>
        <w:t>will increase EPA’s ability to provide a comprehensive assessment of the benefits associated with different environmental policies.  I</w:t>
      </w:r>
      <w:r w:rsidR="002203F2" w:rsidRPr="00DE04E4">
        <w:rPr>
          <w:rFonts w:asciiTheme="minorHAnsi" w:hAnsiTheme="minorHAnsi" w:cs="Calibri"/>
          <w:sz w:val="22"/>
          <w:szCs w:val="22"/>
        </w:rPr>
        <w:t xml:space="preserve">t is critical that EPA invest in </w:t>
      </w:r>
      <w:r w:rsidR="00371102">
        <w:rPr>
          <w:rFonts w:asciiTheme="minorHAnsi" w:hAnsiTheme="minorHAnsi" w:cs="Calibri"/>
          <w:sz w:val="22"/>
          <w:szCs w:val="22"/>
        </w:rPr>
        <w:t xml:space="preserve">developing estimates for reductions in risks that are heretofore assigned a zero value in order </w:t>
      </w:r>
      <w:r w:rsidR="002203F2" w:rsidRPr="00DE04E4">
        <w:rPr>
          <w:rFonts w:asciiTheme="minorHAnsi" w:hAnsiTheme="minorHAnsi" w:cs="Calibri"/>
          <w:sz w:val="22"/>
          <w:szCs w:val="22"/>
        </w:rPr>
        <w:t xml:space="preserve">to </w:t>
      </w:r>
      <w:r w:rsidR="00371102">
        <w:rPr>
          <w:rFonts w:asciiTheme="minorHAnsi" w:hAnsiTheme="minorHAnsi" w:cs="Calibri"/>
          <w:sz w:val="22"/>
          <w:szCs w:val="22"/>
        </w:rPr>
        <w:t>provide the most accurate and up-to-date information req</w:t>
      </w:r>
      <w:r w:rsidR="002203F2" w:rsidRPr="00DE04E4">
        <w:rPr>
          <w:rFonts w:asciiTheme="minorHAnsi" w:hAnsiTheme="minorHAnsi" w:cs="Calibri"/>
          <w:sz w:val="22"/>
          <w:szCs w:val="22"/>
        </w:rPr>
        <w:t xml:space="preserve">uired to make sound decisions </w:t>
      </w:r>
      <w:r w:rsidR="00371102">
        <w:rPr>
          <w:rFonts w:asciiTheme="minorHAnsi" w:hAnsiTheme="minorHAnsi" w:cs="Calibri"/>
          <w:sz w:val="22"/>
          <w:szCs w:val="22"/>
        </w:rPr>
        <w:t>in</w:t>
      </w:r>
      <w:r w:rsidR="002203F2" w:rsidRPr="00DE04E4">
        <w:rPr>
          <w:rFonts w:asciiTheme="minorHAnsi" w:hAnsiTheme="minorHAnsi" w:cs="Calibri"/>
          <w:sz w:val="22"/>
          <w:szCs w:val="22"/>
        </w:rPr>
        <w:t xml:space="preserve"> regulating contaminants. </w:t>
      </w:r>
      <w:r w:rsidR="00504462" w:rsidRPr="00DE04E4">
        <w:rPr>
          <w:rFonts w:asciiTheme="minorHAnsi" w:hAnsiTheme="minorHAnsi" w:cs="Calibri"/>
          <w:sz w:val="22"/>
          <w:szCs w:val="22"/>
        </w:rPr>
        <w:t xml:space="preserve">This survey development effort will fill </w:t>
      </w:r>
      <w:r w:rsidR="00371102">
        <w:rPr>
          <w:rFonts w:asciiTheme="minorHAnsi" w:hAnsiTheme="minorHAnsi" w:cs="Calibri"/>
          <w:sz w:val="22"/>
          <w:szCs w:val="22"/>
        </w:rPr>
        <w:t xml:space="preserve">an important </w:t>
      </w:r>
      <w:r w:rsidR="00504462" w:rsidRPr="00DE04E4">
        <w:rPr>
          <w:rFonts w:asciiTheme="minorHAnsi" w:hAnsiTheme="minorHAnsi" w:cs="Calibri"/>
          <w:sz w:val="22"/>
          <w:szCs w:val="22"/>
        </w:rPr>
        <w:t xml:space="preserve">gap </w:t>
      </w:r>
      <w:r w:rsidR="00371102">
        <w:rPr>
          <w:rFonts w:asciiTheme="minorHAnsi" w:hAnsiTheme="minorHAnsi" w:cs="Calibri"/>
          <w:sz w:val="22"/>
          <w:szCs w:val="22"/>
        </w:rPr>
        <w:t>i</w:t>
      </w:r>
      <w:r w:rsidR="00504462" w:rsidRPr="00DE04E4">
        <w:rPr>
          <w:rFonts w:asciiTheme="minorHAnsi" w:hAnsiTheme="minorHAnsi" w:cs="Calibri"/>
          <w:sz w:val="22"/>
          <w:szCs w:val="22"/>
        </w:rPr>
        <w:t xml:space="preserve">n the valuation </w:t>
      </w:r>
      <w:r w:rsidR="00371102">
        <w:rPr>
          <w:rFonts w:asciiTheme="minorHAnsi" w:hAnsiTheme="minorHAnsi" w:cs="Calibri"/>
          <w:sz w:val="22"/>
          <w:szCs w:val="22"/>
        </w:rPr>
        <w:t xml:space="preserve">of certain health endpoints.  </w:t>
      </w:r>
    </w:p>
    <w:p w14:paraId="4C017E60" w14:textId="77777777" w:rsidR="00B4064A" w:rsidRPr="00DE04E4" w:rsidRDefault="00B4064A" w:rsidP="00B4064A">
      <w:pPr>
        <w:rPr>
          <w:rFonts w:asciiTheme="minorHAnsi" w:hAnsiTheme="minorHAnsi" w:cs="Calibri"/>
          <w:sz w:val="22"/>
          <w:szCs w:val="22"/>
        </w:rPr>
      </w:pPr>
    </w:p>
    <w:p w14:paraId="471F8747" w14:textId="1E0D8A89" w:rsidR="005164F9" w:rsidRPr="00DE04E4" w:rsidRDefault="005164F9" w:rsidP="00B55BD6">
      <w:pPr>
        <w:rPr>
          <w:rFonts w:asciiTheme="minorHAnsi" w:hAnsiTheme="minorHAnsi" w:cs="Calibri"/>
          <w:sz w:val="22"/>
          <w:szCs w:val="22"/>
        </w:rPr>
      </w:pPr>
      <w:r w:rsidRPr="00DE04E4">
        <w:rPr>
          <w:rFonts w:asciiTheme="minorHAnsi" w:hAnsiTheme="minorHAnsi" w:cs="Calibri"/>
          <w:bCs/>
          <w:sz w:val="22"/>
          <w:szCs w:val="22"/>
        </w:rPr>
        <w:lastRenderedPageBreak/>
        <w:t xml:space="preserve">The focus groups and one-on-one interviews </w:t>
      </w:r>
      <w:r w:rsidR="00371102">
        <w:rPr>
          <w:rFonts w:asciiTheme="minorHAnsi" w:hAnsiTheme="minorHAnsi" w:cs="Calibri"/>
          <w:bCs/>
          <w:sz w:val="22"/>
          <w:szCs w:val="22"/>
        </w:rPr>
        <w:t xml:space="preserve">that are the subject of this ICR </w:t>
      </w:r>
      <w:r w:rsidRPr="00DE04E4">
        <w:rPr>
          <w:rFonts w:asciiTheme="minorHAnsi" w:hAnsiTheme="minorHAnsi" w:cs="Calibri"/>
          <w:bCs/>
          <w:sz w:val="22"/>
          <w:szCs w:val="22"/>
        </w:rPr>
        <w:t>are an important step in determining how to frame questions and design a survey instrument that can capture the value</w:t>
      </w:r>
      <w:r w:rsidR="00371102">
        <w:rPr>
          <w:rFonts w:asciiTheme="minorHAnsi" w:hAnsiTheme="minorHAnsi" w:cs="Calibri"/>
          <w:bCs/>
          <w:sz w:val="22"/>
          <w:szCs w:val="22"/>
        </w:rPr>
        <w:t xml:space="preserve"> </w:t>
      </w:r>
      <w:r w:rsidR="00B35BD6">
        <w:rPr>
          <w:rFonts w:asciiTheme="minorHAnsi" w:hAnsiTheme="minorHAnsi" w:cs="Calibri"/>
          <w:bCs/>
          <w:sz w:val="22"/>
          <w:szCs w:val="22"/>
        </w:rPr>
        <w:t xml:space="preserve">of </w:t>
      </w:r>
      <w:r w:rsidR="00EC639D">
        <w:rPr>
          <w:rFonts w:asciiTheme="minorHAnsi" w:hAnsiTheme="minorHAnsi" w:cs="Calibri"/>
          <w:bCs/>
          <w:sz w:val="22"/>
          <w:szCs w:val="22"/>
        </w:rPr>
        <w:t xml:space="preserve">reduced risk of birth </w:t>
      </w:r>
      <w:r w:rsidR="000F7C91">
        <w:rPr>
          <w:rFonts w:asciiTheme="minorHAnsi" w:hAnsiTheme="minorHAnsi" w:cs="Calibri"/>
          <w:bCs/>
          <w:sz w:val="22"/>
          <w:szCs w:val="22"/>
        </w:rPr>
        <w:t xml:space="preserve">and neurodevelopmental </w:t>
      </w:r>
      <w:r w:rsidR="00EC639D">
        <w:rPr>
          <w:rFonts w:asciiTheme="minorHAnsi" w:hAnsiTheme="minorHAnsi" w:cs="Calibri"/>
          <w:bCs/>
          <w:sz w:val="22"/>
          <w:szCs w:val="22"/>
        </w:rPr>
        <w:t xml:space="preserve">outcomes </w:t>
      </w:r>
      <w:r w:rsidR="00371102">
        <w:rPr>
          <w:rFonts w:asciiTheme="minorHAnsi" w:hAnsiTheme="minorHAnsi" w:cs="Calibri"/>
          <w:bCs/>
          <w:sz w:val="22"/>
          <w:szCs w:val="22"/>
        </w:rPr>
        <w:t>for use in</w:t>
      </w:r>
      <w:r w:rsidRPr="00DE04E4">
        <w:rPr>
          <w:rFonts w:asciiTheme="minorHAnsi" w:hAnsiTheme="minorHAnsi" w:cs="Calibri"/>
          <w:bCs/>
          <w:sz w:val="22"/>
          <w:szCs w:val="22"/>
        </w:rPr>
        <w:t xml:space="preserve"> benefit-cost analysis.  Specifically, th</w:t>
      </w:r>
      <w:r w:rsidR="00371102">
        <w:rPr>
          <w:rFonts w:asciiTheme="minorHAnsi" w:hAnsiTheme="minorHAnsi" w:cs="Calibri"/>
          <w:bCs/>
          <w:sz w:val="22"/>
          <w:szCs w:val="22"/>
        </w:rPr>
        <w:t>e</w:t>
      </w:r>
      <w:r w:rsidRPr="00DE04E4">
        <w:rPr>
          <w:rFonts w:asciiTheme="minorHAnsi" w:hAnsiTheme="minorHAnsi" w:cs="Calibri"/>
          <w:bCs/>
          <w:sz w:val="22"/>
          <w:szCs w:val="22"/>
        </w:rPr>
        <w:t xml:space="preserve"> </w:t>
      </w:r>
      <w:r w:rsidR="00371102">
        <w:rPr>
          <w:rFonts w:asciiTheme="minorHAnsi" w:hAnsiTheme="minorHAnsi" w:cs="Calibri"/>
          <w:bCs/>
          <w:sz w:val="22"/>
          <w:szCs w:val="22"/>
        </w:rPr>
        <w:t>focus groups and interviews pr</w:t>
      </w:r>
      <w:r w:rsidRPr="00DE04E4">
        <w:rPr>
          <w:rFonts w:asciiTheme="minorHAnsi" w:hAnsiTheme="minorHAnsi" w:cs="Calibri"/>
          <w:bCs/>
          <w:sz w:val="22"/>
          <w:szCs w:val="22"/>
        </w:rPr>
        <w:t xml:space="preserve">oposed under the generic ICR will help establish a viable survey instrument, which will later be used (under a separate ICR) to elicit and estimate the values </w:t>
      </w:r>
      <w:r w:rsidR="00371102">
        <w:rPr>
          <w:rFonts w:asciiTheme="minorHAnsi" w:hAnsiTheme="minorHAnsi" w:cs="Calibri"/>
          <w:bCs/>
          <w:sz w:val="22"/>
          <w:szCs w:val="22"/>
        </w:rPr>
        <w:t>individuals</w:t>
      </w:r>
      <w:r w:rsidRPr="00DE04E4">
        <w:rPr>
          <w:rFonts w:asciiTheme="minorHAnsi" w:hAnsiTheme="minorHAnsi" w:cs="Calibri"/>
          <w:bCs/>
          <w:sz w:val="22"/>
          <w:szCs w:val="22"/>
        </w:rPr>
        <w:t xml:space="preserve"> place on </w:t>
      </w:r>
      <w:r w:rsidR="00EC639D">
        <w:rPr>
          <w:rFonts w:asciiTheme="minorHAnsi" w:hAnsiTheme="minorHAnsi" w:cs="Calibri"/>
          <w:bCs/>
          <w:sz w:val="22"/>
          <w:szCs w:val="22"/>
        </w:rPr>
        <w:t>these reduced risks</w:t>
      </w:r>
      <w:r w:rsidR="00371102">
        <w:rPr>
          <w:rFonts w:asciiTheme="minorHAnsi" w:hAnsiTheme="minorHAnsi" w:cs="Calibri"/>
          <w:bCs/>
          <w:sz w:val="22"/>
          <w:szCs w:val="22"/>
        </w:rPr>
        <w:t xml:space="preserve"> </w:t>
      </w:r>
      <w:r w:rsidRPr="00DE04E4">
        <w:rPr>
          <w:rFonts w:asciiTheme="minorHAnsi" w:hAnsiTheme="minorHAnsi" w:cs="Calibri"/>
          <w:bCs/>
          <w:sz w:val="22"/>
          <w:szCs w:val="22"/>
        </w:rPr>
        <w:t xml:space="preserve">in ways </w:t>
      </w:r>
      <w:r w:rsidR="00371102">
        <w:rPr>
          <w:rFonts w:asciiTheme="minorHAnsi" w:hAnsiTheme="minorHAnsi" w:cs="Calibri"/>
          <w:bCs/>
          <w:sz w:val="22"/>
          <w:szCs w:val="22"/>
        </w:rPr>
        <w:t xml:space="preserve">that are </w:t>
      </w:r>
      <w:r w:rsidRPr="00DE04E4">
        <w:rPr>
          <w:rFonts w:asciiTheme="minorHAnsi" w:hAnsiTheme="minorHAnsi" w:cs="Calibri"/>
          <w:bCs/>
          <w:sz w:val="22"/>
          <w:szCs w:val="22"/>
        </w:rPr>
        <w:t xml:space="preserve">consistent with micro-economic theory and benefit-cost analysis. </w:t>
      </w:r>
      <w:r w:rsidR="00A57142">
        <w:rPr>
          <w:rFonts w:asciiTheme="minorHAnsi" w:hAnsiTheme="minorHAnsi" w:cs="Calibri"/>
          <w:bCs/>
          <w:sz w:val="22"/>
          <w:szCs w:val="22"/>
        </w:rPr>
        <w:t>The number</w:t>
      </w:r>
      <w:r w:rsidR="00EC639D">
        <w:rPr>
          <w:rFonts w:asciiTheme="minorHAnsi" w:hAnsiTheme="minorHAnsi" w:cs="Calibri"/>
          <w:bCs/>
          <w:sz w:val="22"/>
          <w:szCs w:val="22"/>
        </w:rPr>
        <w:t xml:space="preserve"> and types of </w:t>
      </w:r>
      <w:r w:rsidR="00A57142">
        <w:rPr>
          <w:rFonts w:asciiTheme="minorHAnsi" w:hAnsiTheme="minorHAnsi" w:cs="Calibri"/>
          <w:bCs/>
          <w:sz w:val="22"/>
          <w:szCs w:val="22"/>
        </w:rPr>
        <w:t>outcomes ultimately included in the survey instrument will be dependent on focus group results obtained through this effort.</w:t>
      </w:r>
      <w:r w:rsidR="00EC639D">
        <w:rPr>
          <w:rFonts w:asciiTheme="minorHAnsi" w:hAnsiTheme="minorHAnsi" w:cs="Calibri"/>
          <w:bCs/>
          <w:sz w:val="22"/>
          <w:szCs w:val="22"/>
        </w:rPr>
        <w:t xml:space="preserve"> Key considerations for determining these specific outcomes include how salient the</w:t>
      </w:r>
      <w:r w:rsidR="000F7C91">
        <w:rPr>
          <w:rFonts w:asciiTheme="minorHAnsi" w:hAnsiTheme="minorHAnsi" w:cs="Calibri"/>
          <w:bCs/>
          <w:sz w:val="22"/>
          <w:szCs w:val="22"/>
        </w:rPr>
        <w:t>y</w:t>
      </w:r>
      <w:r w:rsidR="00EC639D">
        <w:rPr>
          <w:rFonts w:asciiTheme="minorHAnsi" w:hAnsiTheme="minorHAnsi" w:cs="Calibri"/>
          <w:bCs/>
          <w:sz w:val="22"/>
          <w:szCs w:val="22"/>
        </w:rPr>
        <w:t xml:space="preserve"> are to respondents, how effectively the risks can be communicated, and the acceptance of delivery mechanisms for reducing these risks.  </w:t>
      </w:r>
    </w:p>
    <w:p w14:paraId="1F9587F6" w14:textId="77777777" w:rsidR="005164F9" w:rsidRDefault="005164F9">
      <w:pPr>
        <w:rPr>
          <w:rFonts w:asciiTheme="minorHAnsi" w:hAnsiTheme="minorHAnsi" w:cs="Calibri"/>
          <w:sz w:val="22"/>
          <w:szCs w:val="22"/>
        </w:rPr>
      </w:pPr>
    </w:p>
    <w:p w14:paraId="523C3E5C" w14:textId="5C9F81B8" w:rsidR="00460D6A" w:rsidRDefault="00460D6A">
      <w:pPr>
        <w:rPr>
          <w:rFonts w:asciiTheme="minorHAnsi" w:hAnsiTheme="minorHAnsi" w:cs="Calibri"/>
          <w:sz w:val="22"/>
          <w:szCs w:val="22"/>
        </w:rPr>
      </w:pPr>
      <w:r>
        <w:rPr>
          <w:rFonts w:asciiTheme="minorHAnsi" w:hAnsiTheme="minorHAnsi" w:cs="Calibri"/>
          <w:sz w:val="22"/>
          <w:szCs w:val="22"/>
        </w:rPr>
        <w:t xml:space="preserve">Some questions and issues that may be </w:t>
      </w:r>
      <w:r w:rsidR="00B35BD6">
        <w:rPr>
          <w:rFonts w:asciiTheme="minorHAnsi" w:hAnsiTheme="minorHAnsi" w:cs="Calibri"/>
          <w:sz w:val="22"/>
          <w:szCs w:val="22"/>
        </w:rPr>
        <w:t>addressed in</w:t>
      </w:r>
      <w:r>
        <w:rPr>
          <w:rFonts w:asciiTheme="minorHAnsi" w:hAnsiTheme="minorHAnsi" w:cs="Calibri"/>
          <w:sz w:val="22"/>
          <w:szCs w:val="22"/>
        </w:rPr>
        <w:t xml:space="preserve"> focus groups are: </w:t>
      </w:r>
    </w:p>
    <w:p w14:paraId="3411D6D4" w14:textId="7AA6BBE4" w:rsidR="00460D6A"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 xml:space="preserve">Which birth </w:t>
      </w:r>
      <w:r w:rsidR="000F7C91">
        <w:rPr>
          <w:rFonts w:asciiTheme="minorHAnsi" w:hAnsiTheme="minorHAnsi" w:cs="Calibri"/>
          <w:sz w:val="22"/>
          <w:szCs w:val="22"/>
        </w:rPr>
        <w:t xml:space="preserve">and neurodevelopmental </w:t>
      </w:r>
      <w:r>
        <w:rPr>
          <w:rFonts w:asciiTheme="minorHAnsi" w:hAnsiTheme="minorHAnsi" w:cs="Calibri"/>
          <w:sz w:val="22"/>
          <w:szCs w:val="22"/>
        </w:rPr>
        <w:t>outcomes are of most concern?</w:t>
      </w:r>
    </w:p>
    <w:p w14:paraId="3DC50281" w14:textId="014EEA41" w:rsidR="00460D6A"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How are the dimensions of these outcomes (e.g., physical and neurological impacts) best communicated, and over what time frame?</w:t>
      </w:r>
    </w:p>
    <w:p w14:paraId="2C2E5A91" w14:textId="278A1D13" w:rsidR="00460D6A"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How are valuation estimates of reduced risk affected by uncertainty about risk or causality?</w:t>
      </w:r>
    </w:p>
    <w:p w14:paraId="788A3059" w14:textId="686DCD5A" w:rsidR="00460D6A" w:rsidRPr="00B35BD6"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Are there specific contaminants that generate particular concern?</w:t>
      </w:r>
    </w:p>
    <w:p w14:paraId="04A07523" w14:textId="77777777" w:rsidR="00460D6A" w:rsidRPr="00DE04E4" w:rsidRDefault="00460D6A">
      <w:pPr>
        <w:rPr>
          <w:rFonts w:asciiTheme="minorHAnsi" w:hAnsiTheme="minorHAnsi" w:cs="Calibri"/>
          <w:sz w:val="22"/>
          <w:szCs w:val="22"/>
        </w:rPr>
      </w:pPr>
    </w:p>
    <w:p w14:paraId="468DA1B0"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(4)  Non-duplication</w:t>
      </w:r>
    </w:p>
    <w:p w14:paraId="4280B50E" w14:textId="77777777" w:rsidR="00504462" w:rsidRPr="00DE04E4" w:rsidRDefault="00504462">
      <w:pPr>
        <w:rPr>
          <w:rFonts w:asciiTheme="minorHAnsi" w:hAnsiTheme="minorHAnsi" w:cs="Calibri"/>
          <w:sz w:val="22"/>
          <w:szCs w:val="22"/>
        </w:rPr>
      </w:pPr>
    </w:p>
    <w:p w14:paraId="11F437A8" w14:textId="7FA21F0F" w:rsidR="00EC639D" w:rsidRDefault="00371102" w:rsidP="00987DD2">
      <w:pPr>
        <w:rPr>
          <w:rFonts w:asciiTheme="minorHAnsi" w:hAnsiTheme="minorHAnsi" w:cs="Calibri"/>
          <w:sz w:val="22"/>
          <w:szCs w:val="22"/>
        </w:rPr>
      </w:pPr>
      <w:r>
        <w:rPr>
          <w:rFonts w:asciiTheme="minorHAnsi" w:hAnsiTheme="minorHAnsi" w:cs="Calibri"/>
          <w:sz w:val="22"/>
          <w:szCs w:val="22"/>
        </w:rPr>
        <w:t xml:space="preserve">The selection of </w:t>
      </w:r>
      <w:r w:rsidR="00EC639D">
        <w:rPr>
          <w:rFonts w:asciiTheme="minorHAnsi" w:hAnsiTheme="minorHAnsi" w:cs="Calibri"/>
          <w:sz w:val="22"/>
          <w:szCs w:val="22"/>
        </w:rPr>
        <w:t xml:space="preserve">birth </w:t>
      </w:r>
      <w:r w:rsidR="000F7C91">
        <w:rPr>
          <w:rFonts w:asciiTheme="minorHAnsi" w:hAnsiTheme="minorHAnsi" w:cs="Calibri"/>
          <w:sz w:val="22"/>
          <w:szCs w:val="22"/>
        </w:rPr>
        <w:t xml:space="preserve">and neurodevelopmental </w:t>
      </w:r>
      <w:r w:rsidR="00EC639D">
        <w:rPr>
          <w:rFonts w:asciiTheme="minorHAnsi" w:hAnsiTheme="minorHAnsi" w:cs="Calibri"/>
          <w:sz w:val="22"/>
          <w:szCs w:val="22"/>
        </w:rPr>
        <w:t xml:space="preserve">outcomes as a set of </w:t>
      </w:r>
      <w:r>
        <w:rPr>
          <w:rFonts w:asciiTheme="minorHAnsi" w:hAnsiTheme="minorHAnsi" w:cs="Calibri"/>
          <w:sz w:val="22"/>
          <w:szCs w:val="22"/>
        </w:rPr>
        <w:t>health endpoints</w:t>
      </w:r>
      <w:r w:rsidR="00EC639D">
        <w:rPr>
          <w:rFonts w:asciiTheme="minorHAnsi" w:hAnsiTheme="minorHAnsi" w:cs="Calibri"/>
          <w:sz w:val="22"/>
          <w:szCs w:val="22"/>
        </w:rPr>
        <w:t xml:space="preserve"> for this effort was</w:t>
      </w:r>
      <w:r>
        <w:rPr>
          <w:rFonts w:asciiTheme="minorHAnsi" w:hAnsiTheme="minorHAnsi" w:cs="Calibri"/>
          <w:sz w:val="22"/>
          <w:szCs w:val="22"/>
        </w:rPr>
        <w:t xml:space="preserve"> informed </w:t>
      </w:r>
      <w:r w:rsidR="00EC639D">
        <w:rPr>
          <w:rFonts w:asciiTheme="minorHAnsi" w:hAnsiTheme="minorHAnsi" w:cs="Calibri"/>
          <w:sz w:val="22"/>
          <w:szCs w:val="22"/>
        </w:rPr>
        <w:t>by discussions and consultations with EPA</w:t>
      </w:r>
      <w:r>
        <w:rPr>
          <w:rFonts w:asciiTheme="minorHAnsi" w:hAnsiTheme="minorHAnsi" w:cs="Calibri"/>
          <w:sz w:val="22"/>
          <w:szCs w:val="22"/>
        </w:rPr>
        <w:t xml:space="preserve"> program offices.  EPA’s National Center for Environmental Economics (NCEE) </w:t>
      </w:r>
      <w:r w:rsidR="00EC639D">
        <w:rPr>
          <w:rFonts w:asciiTheme="minorHAnsi" w:hAnsiTheme="minorHAnsi" w:cs="Calibri"/>
          <w:sz w:val="22"/>
          <w:szCs w:val="22"/>
        </w:rPr>
        <w:t>met</w:t>
      </w:r>
      <w:r>
        <w:rPr>
          <w:rFonts w:asciiTheme="minorHAnsi" w:hAnsiTheme="minorHAnsi" w:cs="Calibri"/>
          <w:sz w:val="22"/>
          <w:szCs w:val="22"/>
        </w:rPr>
        <w:t xml:space="preserve"> with economists and policy analysts from the Offices of Air and Radiation, Water, Chemical Safety and Pollution Prevention, and </w:t>
      </w:r>
      <w:r w:rsidR="00A430E4">
        <w:rPr>
          <w:rFonts w:asciiTheme="minorHAnsi" w:hAnsiTheme="minorHAnsi" w:cs="Calibri"/>
          <w:sz w:val="22"/>
          <w:szCs w:val="22"/>
        </w:rPr>
        <w:t>Land and Emergency Management</w:t>
      </w:r>
      <w:r>
        <w:rPr>
          <w:rFonts w:asciiTheme="minorHAnsi" w:hAnsiTheme="minorHAnsi" w:cs="Calibri"/>
          <w:sz w:val="22"/>
          <w:szCs w:val="22"/>
        </w:rPr>
        <w:t xml:space="preserve"> to gather information on specific health endpoints </w:t>
      </w:r>
      <w:r w:rsidR="00EC639D">
        <w:rPr>
          <w:rFonts w:asciiTheme="minorHAnsi" w:hAnsiTheme="minorHAnsi" w:cs="Calibri"/>
          <w:sz w:val="22"/>
          <w:szCs w:val="22"/>
        </w:rPr>
        <w:t xml:space="preserve">and contaminants </w:t>
      </w:r>
      <w:r>
        <w:rPr>
          <w:rFonts w:asciiTheme="minorHAnsi" w:hAnsiTheme="minorHAnsi" w:cs="Calibri"/>
          <w:sz w:val="22"/>
          <w:szCs w:val="22"/>
        </w:rPr>
        <w:t xml:space="preserve">for which EPA routinely lacks values and/or are likely to be the subject of future rulemaking efforts.  Based on the results of these discussions </w:t>
      </w:r>
      <w:r w:rsidR="00EC639D">
        <w:rPr>
          <w:rFonts w:asciiTheme="minorHAnsi" w:hAnsiTheme="minorHAnsi" w:cs="Calibri"/>
          <w:sz w:val="22"/>
          <w:szCs w:val="22"/>
        </w:rPr>
        <w:t xml:space="preserve">it became apparent that birth </w:t>
      </w:r>
      <w:r w:rsidR="000F7C91">
        <w:rPr>
          <w:rFonts w:asciiTheme="minorHAnsi" w:hAnsiTheme="minorHAnsi" w:cs="Calibri"/>
          <w:sz w:val="22"/>
          <w:szCs w:val="22"/>
        </w:rPr>
        <w:t xml:space="preserve">and neurodevelopmental </w:t>
      </w:r>
      <w:r w:rsidR="00EC639D">
        <w:rPr>
          <w:rFonts w:asciiTheme="minorHAnsi" w:hAnsiTheme="minorHAnsi" w:cs="Calibri"/>
          <w:sz w:val="22"/>
          <w:szCs w:val="22"/>
        </w:rPr>
        <w:t xml:space="preserve">outcomes  (1) often lack WTP estimates for valuation, (2) are associated with many contaminants of concern across program offices, and (3) are likely to be encountered </w:t>
      </w:r>
      <w:r>
        <w:rPr>
          <w:rFonts w:asciiTheme="minorHAnsi" w:hAnsiTheme="minorHAnsi" w:cs="Calibri"/>
          <w:sz w:val="22"/>
          <w:szCs w:val="22"/>
        </w:rPr>
        <w:t>in one or more future rulemakings.</w:t>
      </w:r>
      <w:r w:rsidR="00EC639D">
        <w:rPr>
          <w:rFonts w:asciiTheme="minorHAnsi" w:hAnsiTheme="minorHAnsi" w:cs="Calibri"/>
          <w:sz w:val="22"/>
          <w:szCs w:val="22"/>
        </w:rPr>
        <w:t xml:space="preserve"> </w:t>
      </w:r>
      <w:r>
        <w:rPr>
          <w:rFonts w:asciiTheme="minorHAnsi" w:hAnsiTheme="minorHAnsi" w:cs="Calibri"/>
          <w:sz w:val="22"/>
          <w:szCs w:val="22"/>
        </w:rPr>
        <w:t xml:space="preserve"> </w:t>
      </w:r>
    </w:p>
    <w:p w14:paraId="06F28B17" w14:textId="77777777" w:rsidR="00EC639D" w:rsidRDefault="00EC639D" w:rsidP="00987DD2">
      <w:pPr>
        <w:rPr>
          <w:rFonts w:asciiTheme="minorHAnsi" w:hAnsiTheme="minorHAnsi" w:cs="Calibri"/>
          <w:sz w:val="22"/>
          <w:szCs w:val="22"/>
        </w:rPr>
      </w:pPr>
    </w:p>
    <w:p w14:paraId="5ACE82D9" w14:textId="098E7A57" w:rsidR="00E62D7C" w:rsidRDefault="00E62D7C" w:rsidP="00987DD2">
      <w:pPr>
        <w:rPr>
          <w:rFonts w:asciiTheme="minorHAnsi" w:hAnsiTheme="minorHAnsi" w:cs="Calibri"/>
          <w:sz w:val="22"/>
          <w:szCs w:val="22"/>
        </w:rPr>
      </w:pPr>
      <w:r>
        <w:rPr>
          <w:rFonts w:asciiTheme="minorHAnsi" w:hAnsiTheme="minorHAnsi" w:cs="Calibri"/>
          <w:sz w:val="22"/>
          <w:szCs w:val="22"/>
        </w:rPr>
        <w:t xml:space="preserve">Some valuation estimates for birth </w:t>
      </w:r>
      <w:r w:rsidR="000F7C91">
        <w:rPr>
          <w:rFonts w:asciiTheme="minorHAnsi" w:hAnsiTheme="minorHAnsi" w:cs="Calibri"/>
          <w:sz w:val="22"/>
          <w:szCs w:val="22"/>
        </w:rPr>
        <w:t xml:space="preserve">and neurodevelopmental </w:t>
      </w:r>
      <w:r>
        <w:rPr>
          <w:rFonts w:asciiTheme="minorHAnsi" w:hAnsiTheme="minorHAnsi" w:cs="Calibri"/>
          <w:sz w:val="22"/>
          <w:szCs w:val="22"/>
        </w:rPr>
        <w:t xml:space="preserve">outcomes are available for use in </w:t>
      </w:r>
      <w:r w:rsidR="009A126E">
        <w:rPr>
          <w:rFonts w:asciiTheme="minorHAnsi" w:hAnsiTheme="minorHAnsi" w:cs="Calibri"/>
          <w:sz w:val="22"/>
          <w:szCs w:val="22"/>
        </w:rPr>
        <w:t xml:space="preserve">EPA </w:t>
      </w:r>
      <w:r>
        <w:rPr>
          <w:rFonts w:asciiTheme="minorHAnsi" w:hAnsiTheme="minorHAnsi" w:cs="Calibri"/>
          <w:sz w:val="22"/>
          <w:szCs w:val="22"/>
        </w:rPr>
        <w:t>benefit-cost analysis, most notably for changes in IQ and the resulting impact on lifetime earnings (</w:t>
      </w:r>
      <w:r w:rsidR="009A126E">
        <w:rPr>
          <w:rFonts w:asciiTheme="minorHAnsi" w:hAnsiTheme="minorHAnsi" w:cs="Calibri"/>
          <w:sz w:val="22"/>
          <w:szCs w:val="22"/>
        </w:rPr>
        <w:t>e.g., USEPA 2015)</w:t>
      </w:r>
      <w:r>
        <w:rPr>
          <w:rFonts w:asciiTheme="minorHAnsi" w:hAnsiTheme="minorHAnsi" w:cs="Calibri"/>
          <w:sz w:val="22"/>
          <w:szCs w:val="22"/>
        </w:rPr>
        <w:t>.  While not an estimate of WTP, this effect on earnings is robust and well-established and allows for avoided IQ impacts to be included in EPA regulatory analyses.  For most other outcomes</w:t>
      </w:r>
      <w:r w:rsidR="009A126E">
        <w:rPr>
          <w:rFonts w:asciiTheme="minorHAnsi" w:hAnsiTheme="minorHAnsi" w:cs="Calibri"/>
          <w:sz w:val="22"/>
          <w:szCs w:val="22"/>
        </w:rPr>
        <w:t xml:space="preserve"> </w:t>
      </w:r>
      <w:r w:rsidR="000F7C91">
        <w:rPr>
          <w:rFonts w:asciiTheme="minorHAnsi" w:hAnsiTheme="minorHAnsi" w:cs="Calibri"/>
          <w:sz w:val="22"/>
          <w:szCs w:val="22"/>
        </w:rPr>
        <w:t xml:space="preserve">(e.g., low birthweight, pre-term birth) </w:t>
      </w:r>
      <w:r w:rsidR="009A126E">
        <w:rPr>
          <w:rFonts w:asciiTheme="minorHAnsi" w:hAnsiTheme="minorHAnsi" w:cs="Calibri"/>
          <w:sz w:val="22"/>
          <w:szCs w:val="22"/>
        </w:rPr>
        <w:t>there are some studies that estimate cost-of-illness but very few studies that estimate WTP for risk reduction.</w:t>
      </w:r>
      <w:r w:rsidR="009A126E" w:rsidRPr="00B35BD6">
        <w:rPr>
          <w:rStyle w:val="FootnoteReference"/>
          <w:rFonts w:asciiTheme="minorHAnsi" w:hAnsiTheme="minorHAnsi"/>
          <w:sz w:val="22"/>
          <w:szCs w:val="22"/>
          <w:vertAlign w:val="superscript"/>
        </w:rPr>
        <w:footnoteReference w:id="2"/>
      </w:r>
      <w:r w:rsidR="00D75C6D" w:rsidRPr="00B35BD6">
        <w:rPr>
          <w:rFonts w:asciiTheme="minorHAnsi" w:hAnsiTheme="minorHAnsi" w:cs="Calibri"/>
          <w:sz w:val="22"/>
          <w:szCs w:val="22"/>
          <w:vertAlign w:val="superscript"/>
        </w:rPr>
        <w:t xml:space="preserve"> </w:t>
      </w:r>
      <w:r w:rsidR="002F3130">
        <w:rPr>
          <w:rFonts w:asciiTheme="minorHAnsi" w:hAnsiTheme="minorHAnsi" w:cs="Calibri"/>
          <w:sz w:val="22"/>
          <w:szCs w:val="22"/>
        </w:rPr>
        <w:t xml:space="preserve"> </w:t>
      </w:r>
    </w:p>
    <w:p w14:paraId="03EFAE72" w14:textId="77777777" w:rsidR="009A126E" w:rsidRDefault="009A126E" w:rsidP="00987DD2">
      <w:pPr>
        <w:rPr>
          <w:rFonts w:asciiTheme="minorHAnsi" w:hAnsiTheme="minorHAnsi" w:cs="Calibri"/>
          <w:sz w:val="22"/>
          <w:szCs w:val="22"/>
        </w:rPr>
      </w:pPr>
    </w:p>
    <w:p w14:paraId="4DE066C1" w14:textId="74BE1410" w:rsidR="009A126E" w:rsidRDefault="00E62D7C" w:rsidP="00987DD2">
      <w:pPr>
        <w:rPr>
          <w:rFonts w:asciiTheme="minorHAnsi" w:hAnsiTheme="minorHAnsi" w:cs="Calibri"/>
          <w:sz w:val="22"/>
          <w:szCs w:val="22"/>
        </w:rPr>
      </w:pPr>
      <w:r>
        <w:rPr>
          <w:rFonts w:asciiTheme="minorHAnsi" w:hAnsiTheme="minorHAnsi" w:cs="Calibri"/>
          <w:sz w:val="22"/>
          <w:szCs w:val="22"/>
        </w:rPr>
        <w:t xml:space="preserve">Several studies are underway in Europe on WTP for birth </w:t>
      </w:r>
      <w:r w:rsidR="000F7C91">
        <w:rPr>
          <w:rFonts w:asciiTheme="minorHAnsi" w:hAnsiTheme="minorHAnsi" w:cs="Calibri"/>
          <w:sz w:val="22"/>
          <w:szCs w:val="22"/>
        </w:rPr>
        <w:t xml:space="preserve">and neurodevelopmental </w:t>
      </w:r>
      <w:r>
        <w:rPr>
          <w:rFonts w:asciiTheme="minorHAnsi" w:hAnsiTheme="minorHAnsi" w:cs="Calibri"/>
          <w:sz w:val="22"/>
          <w:szCs w:val="22"/>
        </w:rPr>
        <w:t xml:space="preserve">outcomes as part of an initiative by the European Chemicals Agency (ECHA).  Specific birth outcomes being addressed include: </w:t>
      </w:r>
      <w:r w:rsidR="002F3130">
        <w:rPr>
          <w:rFonts w:asciiTheme="minorHAnsi" w:hAnsiTheme="minorHAnsi" w:cs="Calibri"/>
          <w:sz w:val="22"/>
          <w:szCs w:val="22"/>
        </w:rPr>
        <w:t>IQ</w:t>
      </w:r>
      <w:r w:rsidR="00460D6A">
        <w:rPr>
          <w:rFonts w:asciiTheme="minorHAnsi" w:hAnsiTheme="minorHAnsi" w:cs="Calibri"/>
          <w:sz w:val="22"/>
          <w:szCs w:val="22"/>
        </w:rPr>
        <w:t xml:space="preserve"> loss (Atherton, et al.)</w:t>
      </w:r>
      <w:r w:rsidR="002F3130">
        <w:rPr>
          <w:rFonts w:asciiTheme="minorHAnsi" w:hAnsiTheme="minorHAnsi" w:cs="Calibri"/>
          <w:sz w:val="22"/>
          <w:szCs w:val="22"/>
        </w:rPr>
        <w:t xml:space="preserve"> infertility, birth defects, and very low birthweight</w:t>
      </w:r>
      <w:r w:rsidR="00460D6A">
        <w:rPr>
          <w:rFonts w:asciiTheme="minorHAnsi" w:hAnsiTheme="minorHAnsi" w:cs="Calibri"/>
          <w:sz w:val="22"/>
          <w:szCs w:val="22"/>
        </w:rPr>
        <w:t xml:space="preserve"> (Scasny and Zverinova)</w:t>
      </w:r>
      <w:r>
        <w:rPr>
          <w:rFonts w:asciiTheme="minorHAnsi" w:hAnsiTheme="minorHAnsi" w:cs="Calibri"/>
          <w:sz w:val="22"/>
          <w:szCs w:val="22"/>
        </w:rPr>
        <w:t>.</w:t>
      </w:r>
      <w:r w:rsidR="009A126E" w:rsidRPr="00B35BD6">
        <w:rPr>
          <w:rStyle w:val="FootnoteReference"/>
          <w:rFonts w:asciiTheme="minorHAnsi" w:hAnsiTheme="minorHAnsi"/>
          <w:sz w:val="22"/>
          <w:szCs w:val="22"/>
          <w:vertAlign w:val="superscript"/>
        </w:rPr>
        <w:footnoteReference w:id="3"/>
      </w:r>
      <w:r w:rsidR="009A126E">
        <w:rPr>
          <w:rFonts w:asciiTheme="minorHAnsi" w:hAnsiTheme="minorHAnsi" w:cs="Calibri"/>
          <w:sz w:val="22"/>
          <w:szCs w:val="22"/>
        </w:rPr>
        <w:t xml:space="preserve"> </w:t>
      </w:r>
      <w:r w:rsidR="00D75C6D">
        <w:rPr>
          <w:rFonts w:asciiTheme="minorHAnsi" w:hAnsiTheme="minorHAnsi" w:cs="Calibri"/>
          <w:sz w:val="22"/>
          <w:szCs w:val="22"/>
        </w:rPr>
        <w:t xml:space="preserve">It is unlikely that the values estimated in European countries would be directly applicable for US regulatory impact analysis, however the methods may be informative for the survey instrument being developed under this ICR.  </w:t>
      </w:r>
      <w:r w:rsidR="009A126E">
        <w:rPr>
          <w:rFonts w:asciiTheme="minorHAnsi" w:hAnsiTheme="minorHAnsi" w:cs="Calibri"/>
          <w:sz w:val="22"/>
          <w:szCs w:val="22"/>
        </w:rPr>
        <w:t xml:space="preserve"> </w:t>
      </w:r>
    </w:p>
    <w:p w14:paraId="174AE71E" w14:textId="77777777" w:rsidR="009A126E" w:rsidRDefault="009A126E" w:rsidP="00987DD2">
      <w:pPr>
        <w:rPr>
          <w:rFonts w:asciiTheme="minorHAnsi" w:hAnsiTheme="minorHAnsi" w:cs="Calibri"/>
          <w:sz w:val="22"/>
          <w:szCs w:val="22"/>
        </w:rPr>
      </w:pPr>
    </w:p>
    <w:p w14:paraId="35D42C42" w14:textId="15203D43" w:rsidR="005164F9" w:rsidRPr="00DE04E4" w:rsidRDefault="009A126E" w:rsidP="00987DD2">
      <w:pPr>
        <w:rPr>
          <w:rFonts w:asciiTheme="minorHAnsi" w:hAnsiTheme="minorHAnsi" w:cs="Calibri"/>
          <w:sz w:val="22"/>
          <w:szCs w:val="22"/>
        </w:rPr>
      </w:pPr>
      <w:r>
        <w:rPr>
          <w:rFonts w:asciiTheme="minorHAnsi" w:hAnsiTheme="minorHAnsi" w:cs="Calibri"/>
          <w:sz w:val="22"/>
          <w:szCs w:val="22"/>
        </w:rPr>
        <w:t xml:space="preserve">Given the paucity of existing WTP estimates for birth </w:t>
      </w:r>
      <w:r w:rsidR="000F7C91">
        <w:rPr>
          <w:rFonts w:asciiTheme="minorHAnsi" w:hAnsiTheme="minorHAnsi" w:cs="Calibri"/>
          <w:sz w:val="22"/>
          <w:szCs w:val="22"/>
        </w:rPr>
        <w:t xml:space="preserve">and neurodevelopmental </w:t>
      </w:r>
      <w:r>
        <w:rPr>
          <w:rFonts w:asciiTheme="minorHAnsi" w:hAnsiTheme="minorHAnsi" w:cs="Calibri"/>
          <w:sz w:val="22"/>
          <w:szCs w:val="22"/>
        </w:rPr>
        <w:t xml:space="preserve">outcomes in the US, and that the results of the </w:t>
      </w:r>
      <w:r w:rsidR="005164F9" w:rsidRPr="00DE04E4">
        <w:rPr>
          <w:rFonts w:asciiTheme="minorHAnsi" w:hAnsiTheme="minorHAnsi" w:cs="Calibri"/>
          <w:sz w:val="22"/>
          <w:szCs w:val="22"/>
        </w:rPr>
        <w:t>study</w:t>
      </w:r>
      <w:r>
        <w:rPr>
          <w:rFonts w:asciiTheme="minorHAnsi" w:hAnsiTheme="minorHAnsi" w:cs="Calibri"/>
          <w:sz w:val="22"/>
          <w:szCs w:val="22"/>
        </w:rPr>
        <w:t xml:space="preserve"> under this ICR</w:t>
      </w:r>
      <w:r w:rsidR="005164F9" w:rsidRPr="00DE04E4">
        <w:rPr>
          <w:rFonts w:asciiTheme="minorHAnsi" w:hAnsiTheme="minorHAnsi" w:cs="Calibri"/>
          <w:sz w:val="22"/>
          <w:szCs w:val="22"/>
        </w:rPr>
        <w:t xml:space="preserve"> </w:t>
      </w:r>
      <w:r w:rsidR="00371102">
        <w:rPr>
          <w:rFonts w:asciiTheme="minorHAnsi" w:hAnsiTheme="minorHAnsi" w:cs="Calibri"/>
          <w:sz w:val="22"/>
          <w:szCs w:val="22"/>
        </w:rPr>
        <w:t xml:space="preserve">are designed to be </w:t>
      </w:r>
      <w:r w:rsidR="005164F9" w:rsidRPr="00DE04E4">
        <w:rPr>
          <w:rFonts w:asciiTheme="minorHAnsi" w:hAnsiTheme="minorHAnsi" w:cs="Calibri"/>
          <w:sz w:val="22"/>
          <w:szCs w:val="22"/>
        </w:rPr>
        <w:t>unique</w:t>
      </w:r>
      <w:r>
        <w:rPr>
          <w:rFonts w:asciiTheme="minorHAnsi" w:hAnsiTheme="minorHAnsi" w:cs="Calibri"/>
          <w:sz w:val="22"/>
          <w:szCs w:val="22"/>
        </w:rPr>
        <w:t xml:space="preserve">, this study will not be </w:t>
      </w:r>
      <w:r w:rsidR="005164F9" w:rsidRPr="00DE04E4">
        <w:rPr>
          <w:rFonts w:asciiTheme="minorHAnsi" w:hAnsiTheme="minorHAnsi" w:cs="Calibri"/>
          <w:sz w:val="22"/>
          <w:szCs w:val="22"/>
        </w:rPr>
        <w:t>duplicat</w:t>
      </w:r>
      <w:r w:rsidR="00371102">
        <w:rPr>
          <w:rFonts w:asciiTheme="minorHAnsi" w:hAnsiTheme="minorHAnsi" w:cs="Calibri"/>
          <w:sz w:val="22"/>
          <w:szCs w:val="22"/>
        </w:rPr>
        <w:t>ive</w:t>
      </w:r>
      <w:r w:rsidR="005164F9" w:rsidRPr="00DE04E4">
        <w:rPr>
          <w:rFonts w:asciiTheme="minorHAnsi" w:hAnsiTheme="minorHAnsi" w:cs="Calibri"/>
          <w:sz w:val="22"/>
          <w:szCs w:val="22"/>
        </w:rPr>
        <w:t xml:space="preserve"> other efforts.  </w:t>
      </w:r>
    </w:p>
    <w:p w14:paraId="57649DCF" w14:textId="77777777" w:rsidR="005164F9" w:rsidRPr="00DE04E4" w:rsidRDefault="005164F9" w:rsidP="00A453C2">
      <w:pPr>
        <w:rPr>
          <w:rFonts w:asciiTheme="minorHAnsi" w:hAnsiTheme="minorHAnsi" w:cs="Calibri"/>
          <w:sz w:val="22"/>
          <w:szCs w:val="22"/>
        </w:rPr>
      </w:pPr>
    </w:p>
    <w:p w14:paraId="4A06E91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(5) Consultations</w:t>
      </w:r>
    </w:p>
    <w:p w14:paraId="0628D77F" w14:textId="77777777" w:rsidR="005164F9" w:rsidRPr="00DE04E4" w:rsidRDefault="005164F9">
      <w:pPr>
        <w:rPr>
          <w:rFonts w:asciiTheme="minorHAnsi" w:hAnsiTheme="minorHAnsi" w:cs="Calibri"/>
          <w:b/>
          <w:sz w:val="22"/>
          <w:szCs w:val="22"/>
        </w:rPr>
      </w:pPr>
    </w:p>
    <w:p w14:paraId="67DFE931" w14:textId="15CD82A9" w:rsidR="005164F9" w:rsidRPr="00DE04E4" w:rsidRDefault="005164F9" w:rsidP="00486EE7">
      <w:pPr>
        <w:rPr>
          <w:rFonts w:asciiTheme="minorHAnsi" w:hAnsiTheme="minorHAnsi" w:cs="Calibri"/>
          <w:sz w:val="22"/>
          <w:szCs w:val="22"/>
        </w:rPr>
      </w:pPr>
      <w:r w:rsidRPr="00DE04E4">
        <w:rPr>
          <w:rFonts w:asciiTheme="minorHAnsi" w:hAnsiTheme="minorHAnsi" w:cs="Calibri"/>
          <w:sz w:val="22"/>
          <w:szCs w:val="22"/>
        </w:rPr>
        <w:lastRenderedPageBreak/>
        <w:t xml:space="preserve">This is a new </w:t>
      </w:r>
      <w:r w:rsidR="002203F2" w:rsidRPr="00DE04E4">
        <w:rPr>
          <w:rFonts w:asciiTheme="minorHAnsi" w:hAnsiTheme="minorHAnsi" w:cs="Calibri"/>
          <w:sz w:val="22"/>
          <w:szCs w:val="22"/>
        </w:rPr>
        <w:t xml:space="preserve">focus group request (not a renewal of an ongoing collection effort) </w:t>
      </w:r>
      <w:r w:rsidRPr="00DE04E4">
        <w:rPr>
          <w:rFonts w:asciiTheme="minorHAnsi" w:hAnsiTheme="minorHAnsi" w:cs="Calibri"/>
          <w:sz w:val="22"/>
          <w:szCs w:val="22"/>
        </w:rPr>
        <w:t xml:space="preserve">so no periodic consultations </w:t>
      </w:r>
      <w:r w:rsidR="002203F2" w:rsidRPr="00DE04E4">
        <w:rPr>
          <w:rFonts w:asciiTheme="minorHAnsi" w:hAnsiTheme="minorHAnsi" w:cs="Calibri"/>
          <w:sz w:val="22"/>
          <w:szCs w:val="22"/>
        </w:rPr>
        <w:t xml:space="preserve">with persons outside of the Agency </w:t>
      </w:r>
      <w:r w:rsidRPr="00DE04E4">
        <w:rPr>
          <w:rFonts w:asciiTheme="minorHAnsi" w:hAnsiTheme="minorHAnsi" w:cs="Calibri"/>
          <w:sz w:val="22"/>
          <w:szCs w:val="22"/>
        </w:rPr>
        <w:t xml:space="preserve">have been conducted related to this effort. </w:t>
      </w:r>
      <w:r w:rsidR="002203F2" w:rsidRPr="00DE04E4">
        <w:rPr>
          <w:rFonts w:asciiTheme="minorHAnsi" w:hAnsiTheme="minorHAnsi" w:cs="Calibri"/>
          <w:sz w:val="22"/>
          <w:szCs w:val="22"/>
        </w:rPr>
        <w:t xml:space="preserve"> </w:t>
      </w:r>
    </w:p>
    <w:p w14:paraId="1401F6A3" w14:textId="77777777" w:rsidR="005164F9" w:rsidRPr="00DE04E4" w:rsidRDefault="005164F9" w:rsidP="00486EE7">
      <w:pPr>
        <w:rPr>
          <w:rFonts w:asciiTheme="minorHAnsi" w:hAnsiTheme="minorHAnsi" w:cs="Calibri"/>
          <w:sz w:val="22"/>
          <w:szCs w:val="22"/>
        </w:rPr>
      </w:pPr>
    </w:p>
    <w:p w14:paraId="2A5F8C08" w14:textId="04B6E8B3" w:rsidR="005164F9" w:rsidRPr="00DE04E4" w:rsidRDefault="005164F9" w:rsidP="00486EE7">
      <w:pPr>
        <w:rPr>
          <w:rFonts w:asciiTheme="minorHAnsi" w:hAnsiTheme="minorHAnsi" w:cs="Calibri"/>
          <w:sz w:val="22"/>
          <w:szCs w:val="22"/>
        </w:rPr>
      </w:pPr>
      <w:r w:rsidRPr="00DE04E4">
        <w:rPr>
          <w:rFonts w:asciiTheme="minorHAnsi" w:hAnsiTheme="minorHAnsi" w:cs="Calibri"/>
          <w:sz w:val="22"/>
          <w:szCs w:val="22"/>
        </w:rPr>
        <w:t xml:space="preserve">This collection, or perhaps more likely, a potential survey  instrument based on the results from these focus groups, may be of interest to other Federal, State, and Local Agencies that </w:t>
      </w:r>
      <w:r w:rsidR="00394861" w:rsidRPr="00DE04E4">
        <w:rPr>
          <w:rFonts w:asciiTheme="minorHAnsi" w:hAnsiTheme="minorHAnsi" w:cs="Calibri"/>
          <w:sz w:val="22"/>
          <w:szCs w:val="22"/>
        </w:rPr>
        <w:t>affect human health risk</w:t>
      </w:r>
      <w:r w:rsidRPr="00DE04E4">
        <w:rPr>
          <w:rFonts w:asciiTheme="minorHAnsi" w:hAnsiTheme="minorHAnsi" w:cs="Calibri"/>
          <w:sz w:val="22"/>
          <w:szCs w:val="22"/>
        </w:rPr>
        <w:t xml:space="preserve">, as well as to the Office of Management and Budget.  </w:t>
      </w:r>
      <w:r w:rsidR="002203F2" w:rsidRPr="00DE04E4">
        <w:rPr>
          <w:rFonts w:asciiTheme="minorHAnsi" w:hAnsiTheme="minorHAnsi" w:cs="Calibri"/>
          <w:sz w:val="22"/>
          <w:szCs w:val="22"/>
        </w:rPr>
        <w:t>EPA</w:t>
      </w:r>
      <w:r w:rsidRPr="00DE04E4">
        <w:rPr>
          <w:rFonts w:asciiTheme="minorHAnsi" w:hAnsiTheme="minorHAnsi" w:cs="Calibri"/>
          <w:sz w:val="22"/>
          <w:szCs w:val="22"/>
        </w:rPr>
        <w:t xml:space="preserve"> will make a concerted effort to keep interested parties informed of progress as the survey instrument is developed, and will ensure that these parties are informed of any survey implementation.  </w:t>
      </w:r>
    </w:p>
    <w:p w14:paraId="2E8BC6F4" w14:textId="77777777" w:rsidR="005164F9" w:rsidRPr="00DE04E4" w:rsidRDefault="005164F9" w:rsidP="00486EE7">
      <w:pPr>
        <w:rPr>
          <w:rFonts w:asciiTheme="minorHAnsi" w:hAnsiTheme="minorHAnsi" w:cs="Calibri"/>
          <w:sz w:val="22"/>
          <w:szCs w:val="22"/>
        </w:rPr>
      </w:pPr>
    </w:p>
    <w:p w14:paraId="299030DD" w14:textId="77777777" w:rsidR="00C505AC" w:rsidRDefault="00C505AC">
      <w:pPr>
        <w:rPr>
          <w:rFonts w:asciiTheme="minorHAnsi" w:hAnsiTheme="minorHAnsi" w:cs="Calibri"/>
          <w:b/>
          <w:sz w:val="22"/>
          <w:szCs w:val="22"/>
        </w:rPr>
      </w:pPr>
      <w:r>
        <w:rPr>
          <w:rFonts w:asciiTheme="minorHAnsi" w:hAnsiTheme="minorHAnsi" w:cs="Calibri"/>
          <w:b/>
          <w:sz w:val="22"/>
          <w:szCs w:val="22"/>
        </w:rPr>
        <w:br w:type="page"/>
      </w:r>
    </w:p>
    <w:p w14:paraId="435C5362" w14:textId="45174A74" w:rsidR="005164F9" w:rsidRPr="00DE04E4" w:rsidRDefault="005164F9" w:rsidP="00486EE7">
      <w:pPr>
        <w:rPr>
          <w:rFonts w:asciiTheme="minorHAnsi" w:hAnsiTheme="minorHAnsi" w:cs="Calibri"/>
          <w:b/>
          <w:sz w:val="22"/>
          <w:szCs w:val="22"/>
        </w:rPr>
      </w:pPr>
      <w:r w:rsidRPr="00DE04E4">
        <w:rPr>
          <w:rFonts w:asciiTheme="minorHAnsi" w:hAnsiTheme="minorHAnsi" w:cs="Calibri"/>
          <w:b/>
          <w:sz w:val="22"/>
          <w:szCs w:val="22"/>
        </w:rPr>
        <w:lastRenderedPageBreak/>
        <w:t>(6) Peer Review Plans</w:t>
      </w:r>
    </w:p>
    <w:p w14:paraId="47F7C126" w14:textId="77777777" w:rsidR="005164F9" w:rsidRPr="00DE04E4" w:rsidRDefault="005164F9" w:rsidP="00486EE7">
      <w:pPr>
        <w:rPr>
          <w:rFonts w:asciiTheme="minorHAnsi" w:hAnsiTheme="minorHAnsi" w:cs="Calibri"/>
          <w:sz w:val="22"/>
          <w:szCs w:val="22"/>
        </w:rPr>
      </w:pPr>
    </w:p>
    <w:p w14:paraId="06B9B3E3" w14:textId="52330675"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Interim products such as focus group scripts and draft survey questions developed during this project will be subject to routine internal review by the EPA staff.  The final product from these focus group efforts is a survey instrument to elicit </w:t>
      </w:r>
      <w:r w:rsidR="009A60CF">
        <w:rPr>
          <w:rFonts w:asciiTheme="minorHAnsi" w:hAnsiTheme="minorHAnsi" w:cs="Calibri"/>
          <w:sz w:val="22"/>
          <w:szCs w:val="22"/>
        </w:rPr>
        <w:t>individual</w:t>
      </w:r>
      <w:r w:rsidRPr="00DE04E4">
        <w:rPr>
          <w:rFonts w:asciiTheme="minorHAnsi" w:hAnsiTheme="minorHAnsi" w:cs="Calibri"/>
          <w:sz w:val="22"/>
          <w:szCs w:val="22"/>
        </w:rPr>
        <w:t xml:space="preserve">s’ willingness-to-pay for </w:t>
      </w:r>
      <w:r w:rsidR="009A60CF">
        <w:rPr>
          <w:rFonts w:asciiTheme="minorHAnsi" w:hAnsiTheme="minorHAnsi" w:cs="Calibri"/>
          <w:sz w:val="22"/>
          <w:szCs w:val="22"/>
        </w:rPr>
        <w:t xml:space="preserve">reductions in </w:t>
      </w:r>
      <w:r w:rsidR="00394861" w:rsidRPr="00DE04E4">
        <w:rPr>
          <w:rFonts w:asciiTheme="minorHAnsi" w:hAnsiTheme="minorHAnsi" w:cs="Calibri"/>
          <w:sz w:val="22"/>
          <w:szCs w:val="22"/>
        </w:rPr>
        <w:t>health risk</w:t>
      </w:r>
      <w:r w:rsidR="009A60CF">
        <w:rPr>
          <w:rFonts w:asciiTheme="minorHAnsi" w:hAnsiTheme="minorHAnsi" w:cs="Calibri"/>
          <w:sz w:val="22"/>
          <w:szCs w:val="22"/>
        </w:rPr>
        <w:t>s</w:t>
      </w:r>
      <w:r w:rsidR="00394861" w:rsidRPr="00DE04E4">
        <w:rPr>
          <w:rFonts w:asciiTheme="minorHAnsi" w:hAnsiTheme="minorHAnsi" w:cs="Calibri"/>
          <w:sz w:val="22"/>
          <w:szCs w:val="22"/>
        </w:rPr>
        <w:t xml:space="preserve"> – the precise nature of which will be informed in part by the focus groups</w:t>
      </w:r>
      <w:r w:rsidRPr="00DE04E4">
        <w:rPr>
          <w:rFonts w:asciiTheme="minorHAnsi" w:hAnsiTheme="minorHAnsi" w:cs="Calibri"/>
          <w:sz w:val="22"/>
          <w:szCs w:val="22"/>
        </w:rPr>
        <w:t xml:space="preserve">. </w:t>
      </w:r>
      <w:r w:rsidR="009A60CF">
        <w:rPr>
          <w:rFonts w:asciiTheme="minorHAnsi" w:hAnsiTheme="minorHAnsi" w:cs="Calibri"/>
          <w:sz w:val="22"/>
          <w:szCs w:val="22"/>
        </w:rPr>
        <w:t xml:space="preserve"> </w:t>
      </w:r>
      <w:r w:rsidRPr="00DE04E4">
        <w:rPr>
          <w:rFonts w:asciiTheme="minorHAnsi" w:hAnsiTheme="minorHAnsi" w:cs="Calibri"/>
          <w:sz w:val="22"/>
          <w:szCs w:val="22"/>
        </w:rPr>
        <w:t xml:space="preserve">A report summarizing the main findings from the focus groups and one-on-one interviews will accompany the survey draft. </w:t>
      </w:r>
      <w:r w:rsidR="009A60CF">
        <w:rPr>
          <w:rFonts w:asciiTheme="minorHAnsi" w:hAnsiTheme="minorHAnsi" w:cs="Calibri"/>
          <w:sz w:val="22"/>
          <w:szCs w:val="22"/>
        </w:rPr>
        <w:t xml:space="preserve"> </w:t>
      </w:r>
      <w:r w:rsidRPr="00DE04E4">
        <w:rPr>
          <w:rFonts w:asciiTheme="minorHAnsi" w:hAnsiTheme="minorHAnsi" w:cs="Calibri"/>
          <w:sz w:val="22"/>
          <w:szCs w:val="22"/>
        </w:rPr>
        <w:t xml:space="preserve">External peer review is beyond the scope of this initial effort, but both the survey instrument and focus group report will be </w:t>
      </w:r>
      <w:r w:rsidR="00242932">
        <w:rPr>
          <w:rFonts w:asciiTheme="minorHAnsi" w:hAnsiTheme="minorHAnsi" w:cs="Calibri"/>
          <w:sz w:val="22"/>
          <w:szCs w:val="22"/>
        </w:rPr>
        <w:t xml:space="preserve">externally </w:t>
      </w:r>
      <w:r w:rsidRPr="00DE04E4">
        <w:rPr>
          <w:rFonts w:asciiTheme="minorHAnsi" w:hAnsiTheme="minorHAnsi" w:cs="Calibri"/>
          <w:sz w:val="22"/>
          <w:szCs w:val="22"/>
        </w:rPr>
        <w:t xml:space="preserve">reviewed prior to any </w:t>
      </w:r>
      <w:r w:rsidR="009A60CF">
        <w:rPr>
          <w:rFonts w:asciiTheme="minorHAnsi" w:hAnsiTheme="minorHAnsi" w:cs="Calibri"/>
          <w:sz w:val="22"/>
          <w:szCs w:val="22"/>
        </w:rPr>
        <w:t xml:space="preserve">full-scale </w:t>
      </w:r>
      <w:r w:rsidRPr="00DE04E4">
        <w:rPr>
          <w:rFonts w:asciiTheme="minorHAnsi" w:hAnsiTheme="minorHAnsi" w:cs="Calibri"/>
          <w:sz w:val="22"/>
          <w:szCs w:val="22"/>
        </w:rPr>
        <w:t>study.</w:t>
      </w:r>
    </w:p>
    <w:p w14:paraId="1D36C038" w14:textId="77777777" w:rsidR="005164F9" w:rsidRPr="00DE04E4" w:rsidRDefault="005164F9">
      <w:pPr>
        <w:rPr>
          <w:rFonts w:asciiTheme="minorHAnsi" w:hAnsiTheme="minorHAnsi" w:cs="Calibri"/>
          <w:b/>
          <w:sz w:val="22"/>
          <w:szCs w:val="22"/>
        </w:rPr>
      </w:pPr>
    </w:p>
    <w:p w14:paraId="5878D30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 xml:space="preserve">(7)  Confidentiality </w:t>
      </w:r>
    </w:p>
    <w:p w14:paraId="2E446D3D" w14:textId="77777777" w:rsidR="005164F9" w:rsidRPr="00DE04E4" w:rsidRDefault="005164F9">
      <w:pPr>
        <w:rPr>
          <w:rFonts w:asciiTheme="minorHAnsi" w:hAnsiTheme="minorHAnsi" w:cs="Calibri"/>
          <w:sz w:val="22"/>
          <w:szCs w:val="22"/>
        </w:rPr>
      </w:pPr>
    </w:p>
    <w:p w14:paraId="121F91C2"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 survey instrument will fully conform to federal regulations – specifically the Privacy Act of 1974 (5 U.S.C. 552a), the Hawkins-Stafford Amendments of 1988 (P.L 100-297), and the Computer Security Act of 1987.  Each prospective respondent will be informed that their participation in the exercise is voluntary.  The identities of the individuals will be kept confidential by the investigators and not associated with their responses in any report.  </w:t>
      </w:r>
    </w:p>
    <w:p w14:paraId="602775B9" w14:textId="77777777" w:rsidR="005164F9" w:rsidRPr="00DE04E4" w:rsidRDefault="005164F9">
      <w:pPr>
        <w:rPr>
          <w:rFonts w:asciiTheme="minorHAnsi" w:hAnsiTheme="minorHAnsi" w:cs="Calibri"/>
          <w:sz w:val="22"/>
          <w:szCs w:val="22"/>
        </w:rPr>
      </w:pPr>
    </w:p>
    <w:p w14:paraId="64DC2787"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(8)  Sensitive Questions</w:t>
      </w:r>
    </w:p>
    <w:p w14:paraId="6CE54067" w14:textId="77777777" w:rsidR="005164F9" w:rsidRPr="00DE04E4" w:rsidRDefault="005164F9">
      <w:pPr>
        <w:rPr>
          <w:rFonts w:asciiTheme="minorHAnsi" w:hAnsiTheme="minorHAnsi" w:cs="Calibri"/>
          <w:sz w:val="22"/>
          <w:szCs w:val="22"/>
        </w:rPr>
      </w:pPr>
    </w:p>
    <w:p w14:paraId="31E4B1DF"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lastRenderedPageBreak/>
        <w:t xml:space="preserve">There are no questions included in the survey materials on sexual behavior and attitudes, religious beliefs, and other matters that are commonly considered private or sensitive in materials.  </w:t>
      </w:r>
    </w:p>
    <w:p w14:paraId="2D8874A1" w14:textId="77777777" w:rsidR="005164F9" w:rsidRPr="00DE04E4" w:rsidRDefault="005164F9">
      <w:pPr>
        <w:rPr>
          <w:rFonts w:asciiTheme="minorHAnsi" w:hAnsiTheme="minorHAnsi" w:cs="Calibri"/>
          <w:sz w:val="22"/>
          <w:szCs w:val="22"/>
        </w:rPr>
      </w:pPr>
    </w:p>
    <w:p w14:paraId="66EF1C4D" w14:textId="77777777" w:rsidR="005164F9" w:rsidRPr="00DE04E4" w:rsidRDefault="005164F9">
      <w:pPr>
        <w:rPr>
          <w:rFonts w:asciiTheme="minorHAnsi" w:hAnsiTheme="minorHAnsi" w:cs="Calibri"/>
          <w:b/>
          <w:sz w:val="22"/>
          <w:szCs w:val="22"/>
        </w:rPr>
      </w:pPr>
      <w:r w:rsidRPr="00DE04E4">
        <w:rPr>
          <w:rFonts w:asciiTheme="minorHAnsi" w:hAnsiTheme="minorHAnsi" w:cs="Calibri"/>
          <w:sz w:val="22"/>
          <w:szCs w:val="22"/>
        </w:rPr>
        <w:t xml:space="preserve"> </w:t>
      </w:r>
      <w:r w:rsidRPr="00DE04E4">
        <w:rPr>
          <w:rFonts w:asciiTheme="minorHAnsi" w:hAnsiTheme="minorHAnsi" w:cs="Calibri"/>
          <w:b/>
          <w:sz w:val="22"/>
          <w:szCs w:val="22"/>
        </w:rPr>
        <w:t>(9)  Respondents</w:t>
      </w:r>
    </w:p>
    <w:p w14:paraId="7E1DB1AD" w14:textId="77777777" w:rsidR="005164F9" w:rsidRPr="00DE04E4" w:rsidRDefault="005164F9">
      <w:pPr>
        <w:rPr>
          <w:rFonts w:asciiTheme="minorHAnsi" w:hAnsiTheme="minorHAnsi" w:cs="Calibri"/>
          <w:sz w:val="22"/>
          <w:szCs w:val="22"/>
        </w:rPr>
      </w:pPr>
    </w:p>
    <w:p w14:paraId="543635C7" w14:textId="652D0D0C"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Respondents will be members of the general public</w:t>
      </w:r>
      <w:r w:rsidR="009A60CF">
        <w:rPr>
          <w:rFonts w:asciiTheme="minorHAnsi" w:hAnsiTheme="minorHAnsi" w:cs="Calibri"/>
          <w:sz w:val="22"/>
          <w:szCs w:val="22"/>
        </w:rPr>
        <w:t xml:space="preserve"> who</w:t>
      </w:r>
      <w:r w:rsidRPr="00DE04E4">
        <w:rPr>
          <w:rFonts w:asciiTheme="minorHAnsi" w:hAnsiTheme="minorHAnsi" w:cs="Calibri"/>
          <w:sz w:val="22"/>
          <w:szCs w:val="22"/>
        </w:rPr>
        <w:t xml:space="preserve"> volunteer to participate in focus groups and interviews.  </w:t>
      </w:r>
      <w:r w:rsidR="00C336B6" w:rsidRPr="00DE04E4">
        <w:rPr>
          <w:rFonts w:asciiTheme="minorHAnsi" w:hAnsiTheme="minorHAnsi" w:cs="Calibri"/>
          <w:sz w:val="22"/>
          <w:szCs w:val="22"/>
        </w:rPr>
        <w:t xml:space="preserve">Participants will be recruited </w:t>
      </w:r>
      <w:r w:rsidR="00936A74">
        <w:rPr>
          <w:rFonts w:asciiTheme="minorHAnsi" w:hAnsiTheme="minorHAnsi" w:cs="Calibri"/>
          <w:sz w:val="22"/>
          <w:szCs w:val="22"/>
        </w:rPr>
        <w:t xml:space="preserve">by the focus group facility </w:t>
      </w:r>
      <w:r w:rsidR="00C336B6" w:rsidRPr="00DE04E4">
        <w:rPr>
          <w:rFonts w:asciiTheme="minorHAnsi" w:hAnsiTheme="minorHAnsi" w:cs="Calibri"/>
          <w:sz w:val="22"/>
          <w:szCs w:val="22"/>
        </w:rPr>
        <w:t xml:space="preserve">so as to provide adequate representation of the target population. See section 11 for more information on areas of focus. </w:t>
      </w:r>
    </w:p>
    <w:p w14:paraId="3EB9FDEB" w14:textId="77777777" w:rsidR="005164F9" w:rsidRPr="00DE04E4" w:rsidRDefault="005164F9">
      <w:pPr>
        <w:rPr>
          <w:rFonts w:asciiTheme="minorHAnsi" w:hAnsiTheme="minorHAnsi" w:cs="Calibri"/>
          <w:sz w:val="22"/>
          <w:szCs w:val="22"/>
        </w:rPr>
      </w:pPr>
    </w:p>
    <w:p w14:paraId="004EE60F"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(10)  Collection Schedule</w:t>
      </w:r>
    </w:p>
    <w:p w14:paraId="6DDC7E13" w14:textId="77777777" w:rsidR="005164F9" w:rsidRPr="00DE04E4" w:rsidRDefault="005164F9">
      <w:pPr>
        <w:rPr>
          <w:rFonts w:asciiTheme="minorHAnsi" w:hAnsiTheme="minorHAnsi" w:cs="Calibri"/>
          <w:sz w:val="22"/>
          <w:szCs w:val="22"/>
        </w:rPr>
      </w:pPr>
    </w:p>
    <w:p w14:paraId="3EDD9AB0" w14:textId="19BF65CA"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 project timeline depends on the results of the focus groups, as well as external constraints. </w:t>
      </w:r>
      <w:r w:rsidR="009A60CF">
        <w:rPr>
          <w:rFonts w:asciiTheme="minorHAnsi" w:hAnsiTheme="minorHAnsi" w:cs="Calibri"/>
          <w:sz w:val="22"/>
          <w:szCs w:val="22"/>
        </w:rPr>
        <w:t>The</w:t>
      </w:r>
      <w:r w:rsidRPr="00DE04E4">
        <w:rPr>
          <w:rFonts w:asciiTheme="minorHAnsi" w:hAnsiTheme="minorHAnsi" w:cs="Calibri"/>
          <w:sz w:val="22"/>
          <w:szCs w:val="22"/>
        </w:rPr>
        <w:t xml:space="preserve"> expected timeline for the data collection is as follows. Please note that these tasks may partially overlap</w:t>
      </w:r>
      <w:r w:rsidR="00A26535">
        <w:rPr>
          <w:rFonts w:asciiTheme="minorHAnsi" w:hAnsiTheme="minorHAnsi" w:cs="Calibri"/>
          <w:sz w:val="22"/>
          <w:szCs w:val="22"/>
        </w:rPr>
        <w:t>;</w:t>
      </w:r>
      <w:r w:rsidRPr="00DE04E4">
        <w:rPr>
          <w:rFonts w:asciiTheme="minorHAnsi" w:hAnsiTheme="minorHAnsi" w:cs="Calibri"/>
          <w:sz w:val="22"/>
          <w:szCs w:val="22"/>
        </w:rPr>
        <w:t xml:space="preserve"> in particular, we allow for the possibility </w:t>
      </w:r>
      <w:r w:rsidR="00A26535">
        <w:rPr>
          <w:rFonts w:asciiTheme="minorHAnsi" w:hAnsiTheme="minorHAnsi" w:cs="Calibri"/>
          <w:sz w:val="22"/>
          <w:szCs w:val="22"/>
        </w:rPr>
        <w:t>of</w:t>
      </w:r>
      <w:r w:rsidRPr="00DE04E4">
        <w:rPr>
          <w:rFonts w:asciiTheme="minorHAnsi" w:hAnsiTheme="minorHAnsi" w:cs="Calibri"/>
          <w:sz w:val="22"/>
          <w:szCs w:val="22"/>
        </w:rPr>
        <w:t xml:space="preserve"> some one-on-one interviews to be conducted prior to the completion of all the focus groups.  </w:t>
      </w:r>
      <w:r w:rsidR="00921C48">
        <w:rPr>
          <w:rFonts w:asciiTheme="minorHAnsi" w:hAnsiTheme="minorHAnsi" w:cs="Calibri"/>
          <w:sz w:val="22"/>
          <w:szCs w:val="22"/>
        </w:rPr>
        <w:t xml:space="preserve">Initial focus groups will likely be used to scope participants’ understanding of concepts, explore the use of different risk communication tools, and to gauge the relative importance of certain health outcomes.  </w:t>
      </w:r>
      <w:r w:rsidR="00BC0746">
        <w:rPr>
          <w:rFonts w:asciiTheme="minorHAnsi" w:hAnsiTheme="minorHAnsi" w:cs="Calibri"/>
          <w:sz w:val="22"/>
          <w:szCs w:val="22"/>
        </w:rPr>
        <w:t>While r</w:t>
      </w:r>
      <w:r w:rsidR="00921C48">
        <w:rPr>
          <w:rFonts w:asciiTheme="minorHAnsi" w:hAnsiTheme="minorHAnsi" w:cs="Calibri"/>
          <w:sz w:val="22"/>
          <w:szCs w:val="22"/>
        </w:rPr>
        <w:t>esults from the initial focus groups will serve as inputs to the survey drafting process</w:t>
      </w:r>
      <w:r w:rsidR="00BC0746">
        <w:rPr>
          <w:rFonts w:asciiTheme="minorHAnsi" w:hAnsiTheme="minorHAnsi" w:cs="Calibri"/>
          <w:sz w:val="22"/>
          <w:szCs w:val="22"/>
        </w:rPr>
        <w:t>, later focus group participants will help gauge the effectiveness of draft materials.</w:t>
      </w:r>
    </w:p>
    <w:p w14:paraId="5684167F" w14:textId="77777777" w:rsidR="005164F9" w:rsidRPr="00DE04E4" w:rsidRDefault="005164F9">
      <w:pPr>
        <w:rPr>
          <w:rFonts w:asciiTheme="minorHAnsi" w:hAnsiTheme="minorHAnsi"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4310"/>
      </w:tblGrid>
      <w:tr w:rsidR="005164F9" w:rsidRPr="00DE04E4" w14:paraId="095194E8" w14:textId="77777777" w:rsidTr="007B70B1">
        <w:tc>
          <w:tcPr>
            <w:tcW w:w="4230" w:type="dxa"/>
          </w:tcPr>
          <w:p w14:paraId="245FE7B2"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Task:</w:t>
            </w:r>
          </w:p>
        </w:tc>
        <w:tc>
          <w:tcPr>
            <w:tcW w:w="4428" w:type="dxa"/>
          </w:tcPr>
          <w:p w14:paraId="0E485E2D"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Expected Completion Date:</w:t>
            </w:r>
          </w:p>
        </w:tc>
      </w:tr>
      <w:tr w:rsidR="005164F9" w:rsidRPr="00DE04E4" w14:paraId="49AAD2D0" w14:textId="77777777" w:rsidTr="007B70B1">
        <w:tc>
          <w:tcPr>
            <w:tcW w:w="4230" w:type="dxa"/>
          </w:tcPr>
          <w:p w14:paraId="19CA305F"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Contact potential respondents</w:t>
            </w:r>
          </w:p>
        </w:tc>
        <w:tc>
          <w:tcPr>
            <w:tcW w:w="4428" w:type="dxa"/>
          </w:tcPr>
          <w:p w14:paraId="7CAE66CD" w14:textId="71BDE9F7" w:rsidR="005164F9" w:rsidRPr="00DE04E4" w:rsidRDefault="005164F9" w:rsidP="00987DD2">
            <w:pPr>
              <w:rPr>
                <w:rFonts w:asciiTheme="minorHAnsi" w:hAnsiTheme="minorHAnsi" w:cs="Calibri"/>
                <w:sz w:val="22"/>
                <w:szCs w:val="22"/>
              </w:rPr>
            </w:pPr>
            <w:r w:rsidRPr="00DE04E4">
              <w:rPr>
                <w:rFonts w:asciiTheme="minorHAnsi" w:hAnsiTheme="minorHAnsi" w:cs="Calibri"/>
                <w:sz w:val="22"/>
                <w:szCs w:val="22"/>
              </w:rPr>
              <w:t xml:space="preserve">Start </w:t>
            </w:r>
            <w:r w:rsidR="002203F2" w:rsidRPr="00DE04E4">
              <w:rPr>
                <w:rFonts w:asciiTheme="minorHAnsi" w:hAnsiTheme="minorHAnsi" w:cs="Calibri"/>
                <w:sz w:val="22"/>
                <w:szCs w:val="22"/>
              </w:rPr>
              <w:t>2</w:t>
            </w:r>
            <w:r w:rsidRPr="00DE04E4">
              <w:rPr>
                <w:rFonts w:asciiTheme="minorHAnsi" w:hAnsiTheme="minorHAnsi" w:cs="Calibri"/>
                <w:sz w:val="22"/>
                <w:szCs w:val="22"/>
              </w:rPr>
              <w:t xml:space="preserve"> Weeks from ICR approval</w:t>
            </w:r>
            <w:r w:rsidR="00A26535">
              <w:rPr>
                <w:rFonts w:asciiTheme="minorHAnsi" w:hAnsiTheme="minorHAnsi" w:cs="Calibri"/>
                <w:sz w:val="22"/>
                <w:szCs w:val="22"/>
              </w:rPr>
              <w:t xml:space="preserve"> (on a rolling basis)</w:t>
            </w:r>
          </w:p>
        </w:tc>
      </w:tr>
      <w:tr w:rsidR="005164F9" w:rsidRPr="00DE04E4" w14:paraId="12E26FB9" w14:textId="77777777" w:rsidTr="007B70B1">
        <w:tc>
          <w:tcPr>
            <w:tcW w:w="4230" w:type="dxa"/>
          </w:tcPr>
          <w:p w14:paraId="396657A5"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Conduct Focus Groups</w:t>
            </w:r>
          </w:p>
        </w:tc>
        <w:tc>
          <w:tcPr>
            <w:tcW w:w="4428" w:type="dxa"/>
          </w:tcPr>
          <w:p w14:paraId="263D25DE" w14:textId="24580AA9" w:rsidR="005164F9" w:rsidRPr="00DE04E4" w:rsidRDefault="005164F9" w:rsidP="0073026F">
            <w:pPr>
              <w:rPr>
                <w:rFonts w:asciiTheme="minorHAnsi" w:hAnsiTheme="minorHAnsi" w:cs="Calibri"/>
                <w:sz w:val="22"/>
                <w:szCs w:val="22"/>
              </w:rPr>
            </w:pPr>
            <w:r w:rsidRPr="00DE04E4">
              <w:rPr>
                <w:rFonts w:asciiTheme="minorHAnsi" w:hAnsiTheme="minorHAnsi" w:cs="Calibri"/>
                <w:sz w:val="22"/>
                <w:szCs w:val="22"/>
              </w:rPr>
              <w:t xml:space="preserve"> 15</w:t>
            </w:r>
            <w:r w:rsidR="008D23B8">
              <w:rPr>
                <w:rFonts w:asciiTheme="minorHAnsi" w:hAnsiTheme="minorHAnsi" w:cs="Calibri"/>
                <w:sz w:val="22"/>
                <w:szCs w:val="22"/>
              </w:rPr>
              <w:t>-20</w:t>
            </w:r>
            <w:r w:rsidRPr="00DE04E4">
              <w:rPr>
                <w:rFonts w:asciiTheme="minorHAnsi" w:hAnsiTheme="minorHAnsi" w:cs="Calibri"/>
                <w:sz w:val="22"/>
                <w:szCs w:val="22"/>
              </w:rPr>
              <w:t xml:space="preserve"> Weeks from ICR approval</w:t>
            </w:r>
          </w:p>
        </w:tc>
      </w:tr>
      <w:tr w:rsidR="005164F9" w:rsidRPr="00DE04E4" w14:paraId="5E55DB11" w14:textId="77777777" w:rsidTr="007B70B1">
        <w:tc>
          <w:tcPr>
            <w:tcW w:w="4230" w:type="dxa"/>
          </w:tcPr>
          <w:p w14:paraId="13E4B6EB"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One on one interviews with draft survey instrument  </w:t>
            </w:r>
          </w:p>
        </w:tc>
        <w:tc>
          <w:tcPr>
            <w:tcW w:w="4428" w:type="dxa"/>
          </w:tcPr>
          <w:p w14:paraId="484A1D61" w14:textId="2012EEC2" w:rsidR="005164F9" w:rsidRPr="00DE04E4" w:rsidRDefault="00777A6B" w:rsidP="0073026F">
            <w:pPr>
              <w:rPr>
                <w:rFonts w:asciiTheme="minorHAnsi" w:hAnsiTheme="minorHAnsi" w:cs="Calibri"/>
                <w:sz w:val="22"/>
                <w:szCs w:val="22"/>
              </w:rPr>
            </w:pPr>
            <w:r>
              <w:rPr>
                <w:rFonts w:asciiTheme="minorHAnsi" w:hAnsiTheme="minorHAnsi" w:cs="Calibri"/>
                <w:sz w:val="22"/>
                <w:szCs w:val="22"/>
              </w:rPr>
              <w:t>15</w:t>
            </w:r>
            <w:r w:rsidR="005164F9" w:rsidRPr="00DE04E4">
              <w:rPr>
                <w:rFonts w:asciiTheme="minorHAnsi" w:hAnsiTheme="minorHAnsi" w:cs="Calibri"/>
                <w:sz w:val="22"/>
                <w:szCs w:val="22"/>
              </w:rPr>
              <w:t xml:space="preserve"> to </w:t>
            </w:r>
            <w:r>
              <w:rPr>
                <w:rFonts w:asciiTheme="minorHAnsi" w:hAnsiTheme="minorHAnsi" w:cs="Calibri"/>
                <w:sz w:val="22"/>
                <w:szCs w:val="22"/>
              </w:rPr>
              <w:t>19</w:t>
            </w:r>
            <w:r w:rsidR="005164F9" w:rsidRPr="00DE04E4">
              <w:rPr>
                <w:rFonts w:asciiTheme="minorHAnsi" w:hAnsiTheme="minorHAnsi" w:cs="Calibri"/>
                <w:sz w:val="22"/>
                <w:szCs w:val="22"/>
              </w:rPr>
              <w:t xml:space="preserve"> Weeks from ICR approval</w:t>
            </w:r>
          </w:p>
        </w:tc>
      </w:tr>
    </w:tbl>
    <w:p w14:paraId="1EC20A4C" w14:textId="77777777" w:rsidR="005164F9" w:rsidRPr="00DE04E4" w:rsidRDefault="005164F9">
      <w:pPr>
        <w:rPr>
          <w:rFonts w:asciiTheme="minorHAnsi" w:hAnsiTheme="minorHAnsi" w:cs="Calibri"/>
          <w:sz w:val="22"/>
          <w:szCs w:val="22"/>
        </w:rPr>
      </w:pPr>
    </w:p>
    <w:p w14:paraId="1511C76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(11)  Respondent Burden</w:t>
      </w:r>
    </w:p>
    <w:p w14:paraId="661B59F6" w14:textId="77777777" w:rsidR="005164F9" w:rsidRPr="00DE04E4" w:rsidRDefault="005164F9">
      <w:pPr>
        <w:rPr>
          <w:rFonts w:asciiTheme="minorHAnsi" w:hAnsiTheme="minorHAnsi" w:cs="Calibri"/>
          <w:sz w:val="22"/>
          <w:szCs w:val="22"/>
        </w:rPr>
      </w:pPr>
    </w:p>
    <w:p w14:paraId="42571E44" w14:textId="186DB712" w:rsidR="005164F9" w:rsidRPr="00DE04E4" w:rsidRDefault="005164F9">
      <w:pPr>
        <w:rPr>
          <w:rFonts w:asciiTheme="minorHAnsi" w:hAnsiTheme="minorHAnsi" w:cs="Calibri"/>
          <w:sz w:val="22"/>
          <w:szCs w:val="22"/>
        </w:rPr>
      </w:pPr>
      <w:r w:rsidRPr="00DE04E4">
        <w:rPr>
          <w:rFonts w:asciiTheme="minorHAnsi" w:hAnsiTheme="minorHAnsi"/>
          <w:sz w:val="22"/>
          <w:szCs w:val="22"/>
        </w:rPr>
        <w:t xml:space="preserve">Participants for focus groups and individual interviews will consist of residents in several metropolitan areas </w:t>
      </w:r>
      <w:r w:rsidR="002203F2" w:rsidRPr="00DE04E4">
        <w:rPr>
          <w:rFonts w:asciiTheme="minorHAnsi" w:hAnsiTheme="minorHAnsi"/>
          <w:sz w:val="22"/>
          <w:szCs w:val="22"/>
        </w:rPr>
        <w:t xml:space="preserve">across the U.S. </w:t>
      </w:r>
      <w:r w:rsidRPr="00DE04E4">
        <w:rPr>
          <w:rFonts w:asciiTheme="minorHAnsi" w:hAnsiTheme="minorHAnsi"/>
          <w:sz w:val="22"/>
          <w:szCs w:val="22"/>
        </w:rPr>
        <w:t xml:space="preserve">Respondents </w:t>
      </w:r>
      <w:r w:rsidR="00C505AC">
        <w:rPr>
          <w:rFonts w:asciiTheme="minorHAnsi" w:hAnsiTheme="minorHAnsi"/>
          <w:sz w:val="22"/>
          <w:szCs w:val="22"/>
        </w:rPr>
        <w:t>may</w:t>
      </w:r>
      <w:r w:rsidRPr="00DE04E4">
        <w:rPr>
          <w:rFonts w:asciiTheme="minorHAnsi" w:hAnsiTheme="minorHAnsi"/>
          <w:sz w:val="22"/>
          <w:szCs w:val="22"/>
        </w:rPr>
        <w:t xml:space="preserve"> also be recruited from more rural areas surrounding these locations. </w:t>
      </w:r>
      <w:r w:rsidRPr="00DE04E4">
        <w:rPr>
          <w:rFonts w:asciiTheme="minorHAnsi" w:hAnsiTheme="minorHAnsi" w:cs="Calibri"/>
          <w:sz w:val="22"/>
          <w:szCs w:val="22"/>
        </w:rPr>
        <w:t xml:space="preserve">We plan to conduct a maximum of </w:t>
      </w:r>
      <w:r w:rsidR="002807B3">
        <w:rPr>
          <w:rFonts w:asciiTheme="minorHAnsi" w:hAnsiTheme="minorHAnsi" w:cs="Calibri"/>
          <w:sz w:val="22"/>
          <w:szCs w:val="22"/>
        </w:rPr>
        <w:t>8</w:t>
      </w:r>
      <w:r w:rsidRPr="00DE04E4">
        <w:rPr>
          <w:rFonts w:asciiTheme="minorHAnsi" w:hAnsiTheme="minorHAnsi" w:cs="Calibri"/>
          <w:sz w:val="22"/>
          <w:szCs w:val="22"/>
        </w:rPr>
        <w:t xml:space="preserve"> two-hour voluntary focus groups of approximately 10 </w:t>
      </w:r>
      <w:r w:rsidR="009A60CF">
        <w:rPr>
          <w:rFonts w:asciiTheme="minorHAnsi" w:hAnsiTheme="minorHAnsi" w:cs="Calibri"/>
          <w:sz w:val="22"/>
          <w:szCs w:val="22"/>
        </w:rPr>
        <w:t>individuals</w:t>
      </w:r>
      <w:r w:rsidRPr="00DE04E4">
        <w:rPr>
          <w:rFonts w:asciiTheme="minorHAnsi" w:hAnsiTheme="minorHAnsi" w:cs="Calibri"/>
          <w:sz w:val="22"/>
          <w:szCs w:val="22"/>
        </w:rPr>
        <w:t xml:space="preserve"> each.  The respondent burden for focus groups is </w:t>
      </w:r>
      <w:r w:rsidR="002807B3">
        <w:rPr>
          <w:rFonts w:asciiTheme="minorHAnsi" w:hAnsiTheme="minorHAnsi" w:cs="Calibri"/>
          <w:sz w:val="22"/>
          <w:szCs w:val="22"/>
        </w:rPr>
        <w:t>160</w:t>
      </w:r>
      <w:r w:rsidRPr="00DE04E4">
        <w:rPr>
          <w:rFonts w:asciiTheme="minorHAnsi" w:hAnsiTheme="minorHAnsi" w:cs="Calibri"/>
          <w:sz w:val="22"/>
          <w:szCs w:val="22"/>
        </w:rPr>
        <w:t xml:space="preserve"> hours.   We also plan to conduct 20 two-hour one-on-one interviews to test draft survey instruments.  The respondent burden for interviews is 40 hours.  The total burden under this ICR is therefore 2</w:t>
      </w:r>
      <w:r w:rsidR="002807B3">
        <w:rPr>
          <w:rFonts w:asciiTheme="minorHAnsi" w:hAnsiTheme="minorHAnsi" w:cs="Calibri"/>
          <w:sz w:val="22"/>
          <w:szCs w:val="22"/>
        </w:rPr>
        <w:t>0</w:t>
      </w:r>
      <w:r w:rsidRPr="00DE04E4">
        <w:rPr>
          <w:rFonts w:asciiTheme="minorHAnsi" w:hAnsiTheme="minorHAnsi" w:cs="Calibri"/>
          <w:sz w:val="22"/>
          <w:szCs w:val="22"/>
        </w:rPr>
        <w:t>0 hours.</w:t>
      </w:r>
    </w:p>
    <w:p w14:paraId="2330DFC3" w14:textId="77777777" w:rsidR="005164F9" w:rsidRPr="00DE04E4" w:rsidRDefault="005164F9">
      <w:pPr>
        <w:rPr>
          <w:rFonts w:asciiTheme="minorHAnsi" w:hAnsiTheme="minorHAnsi" w:cs="Calibri"/>
          <w:sz w:val="22"/>
          <w:szCs w:val="22"/>
        </w:rPr>
      </w:pPr>
    </w:p>
    <w:p w14:paraId="2504F324"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In summary, the total burden for voluntary respondents consists of:</w:t>
      </w:r>
    </w:p>
    <w:p w14:paraId="49F06180" w14:textId="1060427B"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Focus groups: </w:t>
      </w:r>
      <w:r w:rsidRPr="00DE04E4">
        <w:rPr>
          <w:rFonts w:asciiTheme="minorHAnsi" w:hAnsiTheme="minorHAnsi" w:cs="Calibri"/>
          <w:sz w:val="22"/>
          <w:szCs w:val="22"/>
        </w:rPr>
        <w:tab/>
      </w:r>
      <w:r w:rsidRPr="00DE04E4">
        <w:rPr>
          <w:rFonts w:asciiTheme="minorHAnsi" w:hAnsiTheme="minorHAnsi" w:cs="Calibri"/>
          <w:sz w:val="22"/>
          <w:szCs w:val="22"/>
        </w:rPr>
        <w:tab/>
      </w:r>
      <w:r w:rsidR="002807B3">
        <w:rPr>
          <w:rFonts w:asciiTheme="minorHAnsi" w:hAnsiTheme="minorHAnsi" w:cs="Calibri"/>
          <w:sz w:val="22"/>
          <w:szCs w:val="22"/>
        </w:rPr>
        <w:t>8</w:t>
      </w:r>
      <w:r w:rsidRPr="00DE04E4">
        <w:rPr>
          <w:rFonts w:asciiTheme="minorHAnsi" w:hAnsiTheme="minorHAnsi" w:cs="Calibri"/>
          <w:sz w:val="22"/>
          <w:szCs w:val="22"/>
        </w:rPr>
        <w:t xml:space="preserve"> groups * 10 people/group * 2 hrs per person = </w:t>
      </w:r>
      <w:r w:rsidR="002807B3">
        <w:rPr>
          <w:rFonts w:asciiTheme="minorHAnsi" w:hAnsiTheme="minorHAnsi" w:cs="Calibri"/>
          <w:sz w:val="22"/>
          <w:szCs w:val="22"/>
        </w:rPr>
        <w:t>160</w:t>
      </w:r>
      <w:r w:rsidRPr="00DE04E4">
        <w:rPr>
          <w:rFonts w:asciiTheme="minorHAnsi" w:hAnsiTheme="minorHAnsi" w:cs="Calibri"/>
          <w:sz w:val="22"/>
          <w:szCs w:val="22"/>
        </w:rPr>
        <w:t xml:space="preserve"> hours.</w:t>
      </w:r>
    </w:p>
    <w:p w14:paraId="25D958E6"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One-one interviews: </w:t>
      </w:r>
      <w:r w:rsidRPr="00DE04E4">
        <w:rPr>
          <w:rFonts w:asciiTheme="minorHAnsi" w:hAnsiTheme="minorHAnsi" w:cs="Calibri"/>
          <w:sz w:val="22"/>
          <w:szCs w:val="22"/>
        </w:rPr>
        <w:tab/>
        <w:t>20 people * 2 hours per person = 40 hours.</w:t>
      </w:r>
    </w:p>
    <w:p w14:paraId="1E342A87" w14:textId="77777777" w:rsidR="005164F9" w:rsidRPr="00DE04E4" w:rsidRDefault="005164F9">
      <w:pPr>
        <w:rPr>
          <w:rFonts w:asciiTheme="minorHAnsi" w:hAnsiTheme="minorHAnsi" w:cs="Calibri"/>
          <w:sz w:val="22"/>
          <w:szCs w:val="22"/>
        </w:rPr>
      </w:pPr>
    </w:p>
    <w:p w14:paraId="52502EA5" w14:textId="2FF141CE"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For a total burden of 20</w:t>
      </w:r>
      <w:r w:rsidR="002807B3">
        <w:rPr>
          <w:rFonts w:asciiTheme="minorHAnsi" w:hAnsiTheme="minorHAnsi" w:cs="Calibri"/>
          <w:sz w:val="22"/>
          <w:szCs w:val="22"/>
        </w:rPr>
        <w:t>0</w:t>
      </w:r>
      <w:r w:rsidRPr="00DE04E4">
        <w:rPr>
          <w:rFonts w:asciiTheme="minorHAnsi" w:hAnsiTheme="minorHAnsi" w:cs="Calibri"/>
          <w:sz w:val="22"/>
          <w:szCs w:val="22"/>
        </w:rPr>
        <w:t xml:space="preserve"> hours.</w:t>
      </w:r>
    </w:p>
    <w:p w14:paraId="691A5338" w14:textId="77777777" w:rsidR="005164F9" w:rsidRDefault="005164F9">
      <w:pPr>
        <w:rPr>
          <w:rFonts w:asciiTheme="minorHAnsi" w:hAnsiTheme="minorHAnsi" w:cs="Calibri"/>
          <w:sz w:val="22"/>
          <w:szCs w:val="22"/>
        </w:rPr>
      </w:pPr>
      <w:bookmarkStart w:id="0" w:name="_GoBack"/>
      <w:bookmarkEnd w:id="0"/>
    </w:p>
    <w:tbl>
      <w:tblPr>
        <w:tblStyle w:val="TableGrid"/>
        <w:tblW w:w="0" w:type="auto"/>
        <w:tblLook w:val="04A0" w:firstRow="1" w:lastRow="0" w:firstColumn="1" w:lastColumn="0" w:noHBand="0" w:noVBand="1"/>
      </w:tblPr>
      <w:tblGrid>
        <w:gridCol w:w="1726"/>
        <w:gridCol w:w="1779"/>
        <w:gridCol w:w="2340"/>
        <w:gridCol w:w="1800"/>
      </w:tblGrid>
      <w:tr w:rsidR="00D264E5" w14:paraId="0308AE21" w14:textId="77777777" w:rsidTr="006301A6">
        <w:tc>
          <w:tcPr>
            <w:tcW w:w="1726" w:type="dxa"/>
          </w:tcPr>
          <w:p w14:paraId="10BB8108" w14:textId="77777777" w:rsidR="00D264E5" w:rsidRDefault="00D264E5">
            <w:pPr>
              <w:rPr>
                <w:rFonts w:asciiTheme="minorHAnsi" w:hAnsiTheme="minorHAnsi" w:cs="Calibri"/>
                <w:sz w:val="22"/>
                <w:szCs w:val="22"/>
              </w:rPr>
            </w:pPr>
          </w:p>
        </w:tc>
        <w:tc>
          <w:tcPr>
            <w:tcW w:w="1779" w:type="dxa"/>
          </w:tcPr>
          <w:p w14:paraId="0451D0E0" w14:textId="5A498A9B" w:rsidR="00D264E5" w:rsidRDefault="00D264E5">
            <w:pPr>
              <w:rPr>
                <w:rFonts w:asciiTheme="minorHAnsi" w:hAnsiTheme="minorHAnsi" w:cs="Calibri"/>
                <w:sz w:val="22"/>
                <w:szCs w:val="22"/>
              </w:rPr>
            </w:pPr>
            <w:r>
              <w:rPr>
                <w:rFonts w:asciiTheme="minorHAnsi" w:hAnsiTheme="minorHAnsi" w:cs="Calibri"/>
                <w:sz w:val="22"/>
                <w:szCs w:val="22"/>
              </w:rPr>
              <w:t>Respondents</w:t>
            </w:r>
          </w:p>
        </w:tc>
        <w:tc>
          <w:tcPr>
            <w:tcW w:w="2340" w:type="dxa"/>
          </w:tcPr>
          <w:p w14:paraId="51C6C0FE" w14:textId="773FDD78" w:rsidR="00D264E5" w:rsidRDefault="00D264E5">
            <w:pPr>
              <w:rPr>
                <w:rFonts w:asciiTheme="minorHAnsi" w:hAnsiTheme="minorHAnsi" w:cs="Calibri"/>
                <w:sz w:val="22"/>
                <w:szCs w:val="22"/>
              </w:rPr>
            </w:pPr>
            <w:r>
              <w:rPr>
                <w:rFonts w:asciiTheme="minorHAnsi" w:hAnsiTheme="minorHAnsi" w:cs="Calibri"/>
                <w:sz w:val="22"/>
                <w:szCs w:val="22"/>
              </w:rPr>
              <w:t>Time per response</w:t>
            </w:r>
          </w:p>
        </w:tc>
        <w:tc>
          <w:tcPr>
            <w:tcW w:w="1800" w:type="dxa"/>
          </w:tcPr>
          <w:p w14:paraId="50E6C323" w14:textId="7F69BB80" w:rsidR="00D264E5" w:rsidRDefault="00D264E5">
            <w:pPr>
              <w:rPr>
                <w:rFonts w:asciiTheme="minorHAnsi" w:hAnsiTheme="minorHAnsi" w:cs="Calibri"/>
                <w:sz w:val="22"/>
                <w:szCs w:val="22"/>
              </w:rPr>
            </w:pPr>
            <w:r>
              <w:rPr>
                <w:rFonts w:asciiTheme="minorHAnsi" w:hAnsiTheme="minorHAnsi" w:cs="Calibri"/>
                <w:sz w:val="22"/>
                <w:szCs w:val="22"/>
              </w:rPr>
              <w:t>Total Hours</w:t>
            </w:r>
          </w:p>
        </w:tc>
      </w:tr>
      <w:tr w:rsidR="00D264E5" w14:paraId="53713763" w14:textId="77777777" w:rsidTr="006301A6">
        <w:tc>
          <w:tcPr>
            <w:tcW w:w="1726" w:type="dxa"/>
          </w:tcPr>
          <w:p w14:paraId="7F0CD9E3" w14:textId="51B0F461" w:rsidR="00D264E5" w:rsidRDefault="00D264E5">
            <w:pPr>
              <w:rPr>
                <w:rFonts w:asciiTheme="minorHAnsi" w:hAnsiTheme="minorHAnsi" w:cs="Calibri"/>
                <w:sz w:val="22"/>
                <w:szCs w:val="22"/>
              </w:rPr>
            </w:pPr>
            <w:r>
              <w:rPr>
                <w:rFonts w:asciiTheme="minorHAnsi" w:hAnsiTheme="minorHAnsi" w:cs="Calibri"/>
                <w:sz w:val="22"/>
                <w:szCs w:val="22"/>
              </w:rPr>
              <w:t>Focus Groups</w:t>
            </w:r>
          </w:p>
        </w:tc>
        <w:tc>
          <w:tcPr>
            <w:tcW w:w="1779" w:type="dxa"/>
          </w:tcPr>
          <w:p w14:paraId="2B0FD89F" w14:textId="52574CED" w:rsidR="00D264E5" w:rsidRDefault="00D264E5">
            <w:pPr>
              <w:rPr>
                <w:rFonts w:asciiTheme="minorHAnsi" w:hAnsiTheme="minorHAnsi" w:cs="Calibri"/>
                <w:sz w:val="22"/>
                <w:szCs w:val="22"/>
              </w:rPr>
            </w:pPr>
            <w:r>
              <w:rPr>
                <w:rFonts w:asciiTheme="minorHAnsi" w:hAnsiTheme="minorHAnsi" w:cs="Calibri"/>
                <w:sz w:val="22"/>
                <w:szCs w:val="22"/>
              </w:rPr>
              <w:t>80</w:t>
            </w:r>
          </w:p>
        </w:tc>
        <w:tc>
          <w:tcPr>
            <w:tcW w:w="2340" w:type="dxa"/>
          </w:tcPr>
          <w:p w14:paraId="19F61F9C" w14:textId="6820380E" w:rsidR="00D264E5" w:rsidRDefault="00D264E5">
            <w:pPr>
              <w:rPr>
                <w:rFonts w:asciiTheme="minorHAnsi" w:hAnsiTheme="minorHAnsi" w:cs="Calibri"/>
                <w:sz w:val="22"/>
                <w:szCs w:val="22"/>
              </w:rPr>
            </w:pPr>
            <w:r>
              <w:rPr>
                <w:rFonts w:asciiTheme="minorHAnsi" w:hAnsiTheme="minorHAnsi" w:cs="Calibri"/>
                <w:sz w:val="22"/>
                <w:szCs w:val="22"/>
              </w:rPr>
              <w:t>2 hours</w:t>
            </w:r>
          </w:p>
        </w:tc>
        <w:tc>
          <w:tcPr>
            <w:tcW w:w="1800" w:type="dxa"/>
          </w:tcPr>
          <w:p w14:paraId="122760F7" w14:textId="164B1B02" w:rsidR="00D264E5" w:rsidRDefault="00D264E5">
            <w:pPr>
              <w:rPr>
                <w:rFonts w:asciiTheme="minorHAnsi" w:hAnsiTheme="minorHAnsi" w:cs="Calibri"/>
                <w:sz w:val="22"/>
                <w:szCs w:val="22"/>
              </w:rPr>
            </w:pPr>
            <w:r>
              <w:rPr>
                <w:rFonts w:asciiTheme="minorHAnsi" w:hAnsiTheme="minorHAnsi" w:cs="Calibri"/>
                <w:sz w:val="22"/>
                <w:szCs w:val="22"/>
              </w:rPr>
              <w:t>160</w:t>
            </w:r>
          </w:p>
        </w:tc>
      </w:tr>
      <w:tr w:rsidR="00D264E5" w14:paraId="68103AE9" w14:textId="77777777" w:rsidTr="006301A6">
        <w:tc>
          <w:tcPr>
            <w:tcW w:w="1726" w:type="dxa"/>
          </w:tcPr>
          <w:p w14:paraId="3966A9E8" w14:textId="0C9C111F" w:rsidR="00D264E5" w:rsidRDefault="00D264E5">
            <w:pPr>
              <w:rPr>
                <w:rFonts w:asciiTheme="minorHAnsi" w:hAnsiTheme="minorHAnsi" w:cs="Calibri"/>
                <w:sz w:val="22"/>
                <w:szCs w:val="22"/>
              </w:rPr>
            </w:pPr>
            <w:r>
              <w:rPr>
                <w:rFonts w:asciiTheme="minorHAnsi" w:hAnsiTheme="minorHAnsi" w:cs="Calibri"/>
                <w:sz w:val="22"/>
                <w:szCs w:val="22"/>
              </w:rPr>
              <w:t>Interviews</w:t>
            </w:r>
          </w:p>
        </w:tc>
        <w:tc>
          <w:tcPr>
            <w:tcW w:w="1779" w:type="dxa"/>
          </w:tcPr>
          <w:p w14:paraId="3290F410" w14:textId="7A2EFA29" w:rsidR="00D264E5" w:rsidRDefault="00D264E5">
            <w:pPr>
              <w:rPr>
                <w:rFonts w:asciiTheme="minorHAnsi" w:hAnsiTheme="minorHAnsi" w:cs="Calibri"/>
                <w:sz w:val="22"/>
                <w:szCs w:val="22"/>
              </w:rPr>
            </w:pPr>
            <w:r>
              <w:rPr>
                <w:rFonts w:asciiTheme="minorHAnsi" w:hAnsiTheme="minorHAnsi" w:cs="Calibri"/>
                <w:sz w:val="22"/>
                <w:szCs w:val="22"/>
              </w:rPr>
              <w:t>20</w:t>
            </w:r>
          </w:p>
        </w:tc>
        <w:tc>
          <w:tcPr>
            <w:tcW w:w="2340" w:type="dxa"/>
          </w:tcPr>
          <w:p w14:paraId="7DEFC7ED" w14:textId="37136DD8" w:rsidR="00D264E5" w:rsidRDefault="00D264E5">
            <w:pPr>
              <w:rPr>
                <w:rFonts w:asciiTheme="minorHAnsi" w:hAnsiTheme="minorHAnsi" w:cs="Calibri"/>
                <w:sz w:val="22"/>
                <w:szCs w:val="22"/>
              </w:rPr>
            </w:pPr>
            <w:r>
              <w:rPr>
                <w:rFonts w:asciiTheme="minorHAnsi" w:hAnsiTheme="minorHAnsi" w:cs="Calibri"/>
                <w:sz w:val="22"/>
                <w:szCs w:val="22"/>
              </w:rPr>
              <w:t>2 hours</w:t>
            </w:r>
          </w:p>
        </w:tc>
        <w:tc>
          <w:tcPr>
            <w:tcW w:w="1800" w:type="dxa"/>
          </w:tcPr>
          <w:p w14:paraId="72D5BF30" w14:textId="5A57D8CB" w:rsidR="00D264E5" w:rsidRDefault="00D264E5">
            <w:pPr>
              <w:rPr>
                <w:rFonts w:asciiTheme="minorHAnsi" w:hAnsiTheme="minorHAnsi" w:cs="Calibri"/>
                <w:sz w:val="22"/>
                <w:szCs w:val="22"/>
              </w:rPr>
            </w:pPr>
            <w:r>
              <w:rPr>
                <w:rFonts w:asciiTheme="minorHAnsi" w:hAnsiTheme="minorHAnsi" w:cs="Calibri"/>
                <w:sz w:val="22"/>
                <w:szCs w:val="22"/>
              </w:rPr>
              <w:t>40</w:t>
            </w:r>
          </w:p>
        </w:tc>
      </w:tr>
      <w:tr w:rsidR="00D264E5" w14:paraId="2B17C629" w14:textId="77777777" w:rsidTr="006301A6">
        <w:tc>
          <w:tcPr>
            <w:tcW w:w="1726" w:type="dxa"/>
          </w:tcPr>
          <w:p w14:paraId="3261E204" w14:textId="4A19E3E4" w:rsidR="00D264E5" w:rsidRPr="006301A6" w:rsidRDefault="00D264E5">
            <w:pPr>
              <w:rPr>
                <w:rFonts w:asciiTheme="minorHAnsi" w:hAnsiTheme="minorHAnsi" w:cs="Calibri"/>
                <w:b/>
                <w:sz w:val="22"/>
                <w:szCs w:val="22"/>
              </w:rPr>
            </w:pPr>
            <w:r w:rsidRPr="006301A6">
              <w:rPr>
                <w:rFonts w:asciiTheme="minorHAnsi" w:hAnsiTheme="minorHAnsi" w:cs="Calibri"/>
                <w:b/>
                <w:sz w:val="22"/>
                <w:szCs w:val="22"/>
              </w:rPr>
              <w:t>Total</w:t>
            </w:r>
          </w:p>
        </w:tc>
        <w:tc>
          <w:tcPr>
            <w:tcW w:w="1779" w:type="dxa"/>
          </w:tcPr>
          <w:p w14:paraId="70287D7B" w14:textId="5E48893A" w:rsidR="00D264E5" w:rsidRPr="006301A6" w:rsidRDefault="00D264E5">
            <w:pPr>
              <w:rPr>
                <w:rFonts w:asciiTheme="minorHAnsi" w:hAnsiTheme="minorHAnsi" w:cs="Calibri"/>
                <w:b/>
                <w:sz w:val="22"/>
                <w:szCs w:val="22"/>
              </w:rPr>
            </w:pPr>
            <w:r w:rsidRPr="006301A6">
              <w:rPr>
                <w:rFonts w:asciiTheme="minorHAnsi" w:hAnsiTheme="minorHAnsi" w:cs="Calibri"/>
                <w:b/>
                <w:sz w:val="22"/>
                <w:szCs w:val="22"/>
              </w:rPr>
              <w:t>100</w:t>
            </w:r>
          </w:p>
        </w:tc>
        <w:tc>
          <w:tcPr>
            <w:tcW w:w="2340" w:type="dxa"/>
          </w:tcPr>
          <w:p w14:paraId="5C62D197" w14:textId="1FC56963" w:rsidR="00D264E5" w:rsidRPr="006301A6" w:rsidRDefault="00D264E5">
            <w:pPr>
              <w:rPr>
                <w:rFonts w:asciiTheme="minorHAnsi" w:hAnsiTheme="minorHAnsi" w:cs="Calibri"/>
                <w:b/>
                <w:sz w:val="22"/>
                <w:szCs w:val="22"/>
              </w:rPr>
            </w:pPr>
            <w:r w:rsidRPr="006301A6">
              <w:rPr>
                <w:rFonts w:asciiTheme="minorHAnsi" w:hAnsiTheme="minorHAnsi" w:cs="Calibri"/>
                <w:b/>
                <w:sz w:val="22"/>
                <w:szCs w:val="22"/>
              </w:rPr>
              <w:t>2 hours</w:t>
            </w:r>
          </w:p>
        </w:tc>
        <w:tc>
          <w:tcPr>
            <w:tcW w:w="1800" w:type="dxa"/>
          </w:tcPr>
          <w:p w14:paraId="560F7C13" w14:textId="7368C358" w:rsidR="00D264E5" w:rsidRPr="006301A6" w:rsidRDefault="00D264E5">
            <w:pPr>
              <w:rPr>
                <w:rFonts w:asciiTheme="minorHAnsi" w:hAnsiTheme="minorHAnsi" w:cs="Calibri"/>
                <w:b/>
                <w:sz w:val="22"/>
                <w:szCs w:val="22"/>
              </w:rPr>
            </w:pPr>
            <w:r w:rsidRPr="006301A6">
              <w:rPr>
                <w:rFonts w:asciiTheme="minorHAnsi" w:hAnsiTheme="minorHAnsi" w:cs="Calibri"/>
                <w:b/>
                <w:sz w:val="22"/>
                <w:szCs w:val="22"/>
              </w:rPr>
              <w:t>200</w:t>
            </w:r>
          </w:p>
        </w:tc>
      </w:tr>
    </w:tbl>
    <w:p w14:paraId="3375D68F" w14:textId="77777777" w:rsidR="00D264E5" w:rsidRDefault="00D264E5">
      <w:pPr>
        <w:rPr>
          <w:rFonts w:asciiTheme="minorHAnsi" w:hAnsiTheme="minorHAnsi" w:cs="Calibri"/>
          <w:sz w:val="22"/>
          <w:szCs w:val="22"/>
        </w:rPr>
      </w:pPr>
    </w:p>
    <w:p w14:paraId="74170DB5" w14:textId="77777777" w:rsidR="00D264E5" w:rsidRPr="00DE04E4" w:rsidRDefault="00D264E5">
      <w:pPr>
        <w:rPr>
          <w:rFonts w:asciiTheme="minorHAnsi" w:hAnsiTheme="minorHAnsi" w:cs="Calibri"/>
          <w:sz w:val="22"/>
          <w:szCs w:val="22"/>
        </w:rPr>
      </w:pPr>
    </w:p>
    <w:p w14:paraId="31F77F09" w14:textId="3FFBCFBE" w:rsidR="005164F9" w:rsidRPr="00DE04E4" w:rsidRDefault="005164F9">
      <w:pPr>
        <w:rPr>
          <w:rFonts w:asciiTheme="minorHAnsi" w:hAnsiTheme="minorHAnsi" w:cs="Calibri"/>
          <w:b/>
          <w:sz w:val="22"/>
          <w:szCs w:val="22"/>
        </w:rPr>
      </w:pPr>
    </w:p>
    <w:p w14:paraId="7ED14120" w14:textId="2C82D510" w:rsidR="005164F9" w:rsidRDefault="00460D6A">
      <w:pPr>
        <w:rPr>
          <w:rFonts w:asciiTheme="minorHAnsi" w:hAnsiTheme="minorHAnsi" w:cs="Calibri"/>
          <w:b/>
          <w:sz w:val="22"/>
          <w:szCs w:val="22"/>
        </w:rPr>
      </w:pPr>
      <w:r>
        <w:rPr>
          <w:rFonts w:asciiTheme="minorHAnsi" w:hAnsiTheme="minorHAnsi" w:cs="Calibri"/>
          <w:b/>
          <w:sz w:val="22"/>
          <w:szCs w:val="22"/>
        </w:rPr>
        <w:t>References</w:t>
      </w:r>
    </w:p>
    <w:p w14:paraId="5C39B287" w14:textId="77777777" w:rsidR="00460D6A" w:rsidRDefault="00460D6A">
      <w:pPr>
        <w:rPr>
          <w:rFonts w:asciiTheme="minorHAnsi" w:hAnsiTheme="minorHAnsi" w:cs="Calibri"/>
          <w:b/>
          <w:sz w:val="22"/>
          <w:szCs w:val="22"/>
        </w:rPr>
      </w:pPr>
    </w:p>
    <w:p w14:paraId="38444185" w14:textId="407CA9F4" w:rsidR="00460D6A" w:rsidRDefault="00460D6A">
      <w:pPr>
        <w:rPr>
          <w:rFonts w:asciiTheme="minorHAnsi" w:hAnsiTheme="minorHAnsi" w:cs="Calibri"/>
          <w:sz w:val="22"/>
          <w:szCs w:val="22"/>
        </w:rPr>
      </w:pPr>
      <w:r>
        <w:rPr>
          <w:rFonts w:asciiTheme="minorHAnsi" w:hAnsiTheme="minorHAnsi" w:cs="Calibri"/>
          <w:sz w:val="22"/>
          <w:szCs w:val="22"/>
        </w:rPr>
        <w:t>Atherton J, Atkinson G, Georgiou S, Mourato S. 2016. The Value of Reducing Children’s Exposure to Lead (Pb), A stated preference approach.  Presentation at ECHA Workshop</w:t>
      </w:r>
      <w:r w:rsidR="00D330CD">
        <w:rPr>
          <w:rFonts w:asciiTheme="minorHAnsi" w:hAnsiTheme="minorHAnsi" w:cs="Calibri"/>
          <w:sz w:val="22"/>
          <w:szCs w:val="22"/>
        </w:rPr>
        <w:t xml:space="preserve"> on Valuing the Health Impacts of Chemicals</w:t>
      </w:r>
      <w:r>
        <w:rPr>
          <w:rFonts w:asciiTheme="minorHAnsi" w:hAnsiTheme="minorHAnsi" w:cs="Calibri"/>
          <w:sz w:val="22"/>
          <w:szCs w:val="22"/>
        </w:rPr>
        <w:t xml:space="preserve">, Helsinki. </w:t>
      </w:r>
    </w:p>
    <w:p w14:paraId="2D925BF1" w14:textId="77777777" w:rsidR="00460D6A" w:rsidRDefault="00460D6A">
      <w:pPr>
        <w:rPr>
          <w:rFonts w:asciiTheme="minorHAnsi" w:hAnsiTheme="minorHAnsi" w:cs="Calibri"/>
          <w:sz w:val="22"/>
          <w:szCs w:val="22"/>
        </w:rPr>
      </w:pPr>
    </w:p>
    <w:p w14:paraId="6B49E3C3" w14:textId="361FE557" w:rsidR="00D330CD" w:rsidRDefault="00D330CD">
      <w:pPr>
        <w:rPr>
          <w:rFonts w:asciiTheme="minorHAnsi" w:hAnsiTheme="minorHAnsi" w:cs="Calibri"/>
          <w:sz w:val="22"/>
          <w:szCs w:val="22"/>
        </w:rPr>
      </w:pPr>
      <w:r>
        <w:rPr>
          <w:rFonts w:asciiTheme="minorHAnsi" w:hAnsiTheme="minorHAnsi" w:cs="Calibri"/>
          <w:sz w:val="22"/>
          <w:szCs w:val="22"/>
        </w:rPr>
        <w:t>Scasny M, Zverinova I. 2016. The ECHA Study on Fertility, Birth Defects, and Developmental Toxicity: How Much are Improving Fertility and Reducing Risk of Birth Defects Worth. Presentation at ECHA Workshop on Valuing the Health Impacts of Chemicals, Helsinki.</w:t>
      </w:r>
    </w:p>
    <w:p w14:paraId="0CB3ABC6" w14:textId="77777777" w:rsidR="00D330CD" w:rsidRDefault="00D330CD">
      <w:pPr>
        <w:rPr>
          <w:rFonts w:asciiTheme="minorHAnsi" w:hAnsiTheme="minorHAnsi" w:cs="Calibri"/>
          <w:sz w:val="22"/>
          <w:szCs w:val="22"/>
        </w:rPr>
      </w:pPr>
    </w:p>
    <w:p w14:paraId="3918186E" w14:textId="2291ED4C" w:rsidR="00460D6A" w:rsidRDefault="00460D6A">
      <w:pPr>
        <w:rPr>
          <w:rFonts w:asciiTheme="minorHAnsi" w:hAnsiTheme="minorHAnsi" w:cs="Calibri"/>
          <w:sz w:val="22"/>
          <w:szCs w:val="22"/>
        </w:rPr>
      </w:pPr>
      <w:r>
        <w:rPr>
          <w:rFonts w:asciiTheme="minorHAnsi" w:hAnsiTheme="minorHAnsi" w:cs="Calibri"/>
          <w:sz w:val="22"/>
          <w:szCs w:val="22"/>
        </w:rPr>
        <w:t xml:space="preserve">US EPA. 2015. </w:t>
      </w:r>
      <w:r w:rsidRPr="00B35BD6">
        <w:rPr>
          <w:rFonts w:asciiTheme="minorHAnsi" w:hAnsiTheme="minorHAnsi" w:cs="Calibri"/>
          <w:i/>
          <w:sz w:val="22"/>
          <w:szCs w:val="22"/>
        </w:rPr>
        <w:t>Benefit and Cost Analysis for the Effluent Limitations Guidelines and Standards for the Steam Electric Power Generating Point Source Category</w:t>
      </w:r>
      <w:r>
        <w:rPr>
          <w:rFonts w:asciiTheme="minorHAnsi" w:hAnsiTheme="minorHAnsi" w:cs="Calibri"/>
          <w:sz w:val="22"/>
          <w:szCs w:val="22"/>
        </w:rPr>
        <w:t>.  EPA-821-R-15-005.</w:t>
      </w:r>
    </w:p>
    <w:p w14:paraId="744F558D" w14:textId="77777777" w:rsidR="00460D6A" w:rsidRPr="00B35BD6" w:rsidRDefault="00460D6A">
      <w:pPr>
        <w:rPr>
          <w:rFonts w:asciiTheme="minorHAnsi" w:hAnsiTheme="minorHAnsi" w:cs="Calibri"/>
          <w:b/>
          <w:szCs w:val="22"/>
        </w:rPr>
      </w:pPr>
    </w:p>
    <w:p w14:paraId="12871AF9" w14:textId="1DBAA82D" w:rsidR="00460D6A" w:rsidRPr="00B35BD6" w:rsidRDefault="00460D6A">
      <w:pPr>
        <w:rPr>
          <w:rFonts w:asciiTheme="minorHAnsi" w:hAnsiTheme="minorHAnsi" w:cs="Calibri"/>
          <w:b/>
          <w:szCs w:val="22"/>
        </w:rPr>
      </w:pPr>
      <w:r w:rsidRPr="00B35BD6">
        <w:rPr>
          <w:rFonts w:asciiTheme="minorHAnsi" w:hAnsiTheme="minorHAnsi"/>
          <w:sz w:val="22"/>
          <w:szCs w:val="20"/>
        </w:rPr>
        <w:t xml:space="preserve">Von Stackelberg K, Hammitt J. 2009. Use of Contingent Valuation to Elicit Willingness-to-Pay for the Benefits of Developmental Health Risk Reductions. </w:t>
      </w:r>
      <w:r w:rsidRPr="00B35BD6">
        <w:rPr>
          <w:rFonts w:asciiTheme="minorHAnsi" w:hAnsiTheme="minorHAnsi"/>
          <w:i/>
          <w:sz w:val="22"/>
          <w:szCs w:val="20"/>
        </w:rPr>
        <w:t>Environmental and Resource Economics</w:t>
      </w:r>
      <w:r w:rsidRPr="00B35BD6">
        <w:rPr>
          <w:rFonts w:asciiTheme="minorHAnsi" w:hAnsiTheme="minorHAnsi"/>
          <w:sz w:val="22"/>
          <w:szCs w:val="20"/>
        </w:rPr>
        <w:t xml:space="preserve"> 43:45-61</w:t>
      </w:r>
      <w:r w:rsidR="00AC1FC8">
        <w:rPr>
          <w:rFonts w:asciiTheme="minorHAnsi" w:hAnsiTheme="minorHAnsi"/>
          <w:sz w:val="22"/>
          <w:szCs w:val="20"/>
        </w:rPr>
        <w:t>.</w:t>
      </w:r>
    </w:p>
    <w:p w14:paraId="69E975F9" w14:textId="45D74995" w:rsidR="005164F9" w:rsidRPr="00B35BD6" w:rsidRDefault="005164F9" w:rsidP="007B70B1">
      <w:pPr>
        <w:autoSpaceDE w:val="0"/>
        <w:autoSpaceDN w:val="0"/>
        <w:adjustRightInd w:val="0"/>
        <w:rPr>
          <w:rFonts w:asciiTheme="minorHAnsi" w:hAnsiTheme="minorHAnsi" w:cs="Calibri"/>
          <w:szCs w:val="22"/>
        </w:rPr>
      </w:pPr>
    </w:p>
    <w:sectPr w:rsidR="005164F9" w:rsidRPr="00B35BD6" w:rsidSect="005532B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F53E" w14:textId="77777777" w:rsidR="00334B82" w:rsidRDefault="00334B82">
      <w:r>
        <w:separator/>
      </w:r>
    </w:p>
  </w:endnote>
  <w:endnote w:type="continuationSeparator" w:id="0">
    <w:p w14:paraId="165DA681" w14:textId="77777777" w:rsidR="00334B82" w:rsidRDefault="00334B82">
      <w:r>
        <w:continuationSeparator/>
      </w:r>
    </w:p>
  </w:endnote>
  <w:endnote w:type="continuationNotice" w:id="1">
    <w:p w14:paraId="47AE0EFD" w14:textId="77777777" w:rsidR="00334B82" w:rsidRDefault="0033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BA6F1" w14:textId="77777777" w:rsidR="00334B82" w:rsidRDefault="00334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03A4D" w14:textId="77777777" w:rsidR="00334B82" w:rsidRDefault="00334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A492" w14:textId="77777777" w:rsidR="00334B82" w:rsidRDefault="00334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D4D">
      <w:rPr>
        <w:rStyle w:val="PageNumber"/>
        <w:noProof/>
      </w:rPr>
      <w:t>4</w:t>
    </w:r>
    <w:r>
      <w:rPr>
        <w:rStyle w:val="PageNumber"/>
      </w:rPr>
      <w:fldChar w:fldCharType="end"/>
    </w:r>
  </w:p>
  <w:p w14:paraId="3402588B" w14:textId="77777777" w:rsidR="00334B82" w:rsidRDefault="00334B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DF8E8" w14:textId="77777777" w:rsidR="00334B82" w:rsidRDefault="00334B82">
      <w:r>
        <w:separator/>
      </w:r>
    </w:p>
  </w:footnote>
  <w:footnote w:type="continuationSeparator" w:id="0">
    <w:p w14:paraId="31CA0D5D" w14:textId="77777777" w:rsidR="00334B82" w:rsidRDefault="00334B82">
      <w:r>
        <w:continuationSeparator/>
      </w:r>
    </w:p>
  </w:footnote>
  <w:footnote w:type="continuationNotice" w:id="1">
    <w:p w14:paraId="61FBFC6D" w14:textId="77777777" w:rsidR="00334B82" w:rsidRDefault="00334B82"/>
  </w:footnote>
  <w:footnote w:id="2">
    <w:p w14:paraId="0F68B297" w14:textId="259F38B8" w:rsidR="009A126E" w:rsidRDefault="009A126E">
      <w:pPr>
        <w:pStyle w:val="FootnoteText"/>
      </w:pPr>
      <w:r>
        <w:rPr>
          <w:rStyle w:val="FootnoteReference"/>
        </w:rPr>
        <w:footnoteRef/>
      </w:r>
      <w:r>
        <w:t xml:space="preserve"> One exception is von Stackelberg and Hammitt (2009) which uses contingent valuation to estimate WTP for changes in IQ and reading comprehension.</w:t>
      </w:r>
    </w:p>
  </w:footnote>
  <w:footnote w:id="3">
    <w:p w14:paraId="366F6969" w14:textId="00AE0709" w:rsidR="009A126E" w:rsidRPr="00B35BD6" w:rsidRDefault="009A126E" w:rsidP="009A126E">
      <w:pPr>
        <w:rPr>
          <w:rFonts w:asciiTheme="minorHAnsi" w:hAnsiTheme="minorHAnsi"/>
          <w:sz w:val="20"/>
          <w:szCs w:val="20"/>
          <w:lang w:val="en-GB"/>
        </w:rPr>
      </w:pPr>
      <w:r w:rsidRPr="00B35BD6">
        <w:rPr>
          <w:rStyle w:val="FootnoteReference"/>
          <w:rFonts w:asciiTheme="minorHAnsi" w:hAnsiTheme="minorHAnsi"/>
          <w:sz w:val="20"/>
          <w:szCs w:val="20"/>
        </w:rPr>
        <w:footnoteRef/>
      </w:r>
      <w:r w:rsidRPr="00B35BD6">
        <w:rPr>
          <w:rFonts w:asciiTheme="minorHAnsi" w:hAnsiTheme="minorHAnsi"/>
          <w:sz w:val="20"/>
          <w:szCs w:val="20"/>
        </w:rPr>
        <w:t xml:space="preserve"> Recent p</w:t>
      </w:r>
      <w:r w:rsidRPr="00B35BD6">
        <w:rPr>
          <w:rFonts w:asciiTheme="minorHAnsi" w:hAnsiTheme="minorHAnsi" w:cs="Calibri"/>
          <w:sz w:val="20"/>
          <w:szCs w:val="20"/>
        </w:rPr>
        <w:t>resentations that provide more details on these</w:t>
      </w:r>
      <w:r w:rsidR="00D330CD">
        <w:rPr>
          <w:rFonts w:asciiTheme="minorHAnsi" w:hAnsiTheme="minorHAnsi" w:cs="Calibri"/>
          <w:sz w:val="20"/>
          <w:szCs w:val="20"/>
        </w:rPr>
        <w:t xml:space="preserve"> and other</w:t>
      </w:r>
      <w:r w:rsidRPr="00B35BD6">
        <w:rPr>
          <w:rFonts w:asciiTheme="minorHAnsi" w:hAnsiTheme="minorHAnsi" w:cs="Calibri"/>
          <w:sz w:val="20"/>
          <w:szCs w:val="20"/>
        </w:rPr>
        <w:t xml:space="preserve"> studies sponsored by ECHA</w:t>
      </w:r>
      <w:r w:rsidRPr="00B35BD6">
        <w:rPr>
          <w:rFonts w:asciiTheme="minorHAnsi" w:hAnsiTheme="minorHAnsi"/>
          <w:sz w:val="20"/>
          <w:szCs w:val="20"/>
        </w:rPr>
        <w:t xml:space="preserve"> can be found at </w:t>
      </w:r>
      <w:hyperlink r:id="rId1" w:history="1">
        <w:r w:rsidRPr="00B35BD6">
          <w:rPr>
            <w:rStyle w:val="Hyperlink"/>
            <w:rFonts w:asciiTheme="minorHAnsi" w:hAnsiTheme="minorHAnsi"/>
            <w:sz w:val="20"/>
            <w:szCs w:val="20"/>
            <w:lang w:val="en-GB"/>
          </w:rPr>
          <w:t>http://echa.europa.eu/news-and-events/events/event-details/-/journal_content/56_INSTANCE_DR2i/title/expert-workshop-on-valuing-the-health-impacts-of-chemicals</w:t>
        </w:r>
      </w:hyperlink>
      <w:r w:rsidRPr="00B35BD6">
        <w:rPr>
          <w:rFonts w:asciiTheme="minorHAnsi" w:hAnsiTheme="minorHAnsi"/>
          <w:sz w:val="20"/>
          <w:szCs w:val="20"/>
          <w:lang w:val="en-GB"/>
        </w:rPr>
        <w:t xml:space="preserve"> (accessed 3/14/16).</w:t>
      </w:r>
    </w:p>
    <w:p w14:paraId="3F2DAD4A" w14:textId="484B449A" w:rsidR="009A126E" w:rsidRDefault="009A126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18B6327C"/>
    <w:multiLevelType w:val="hybridMultilevel"/>
    <w:tmpl w:val="AD809740"/>
    <w:lvl w:ilvl="0" w:tplc="ADC873B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18"/>
    <w:rsid w:val="0000090C"/>
    <w:rsid w:val="00010E19"/>
    <w:rsid w:val="000343B3"/>
    <w:rsid w:val="00036E68"/>
    <w:rsid w:val="0004148A"/>
    <w:rsid w:val="000427FF"/>
    <w:rsid w:val="00042D91"/>
    <w:rsid w:val="000716C7"/>
    <w:rsid w:val="000717DE"/>
    <w:rsid w:val="00072D0B"/>
    <w:rsid w:val="00092C13"/>
    <w:rsid w:val="0009787F"/>
    <w:rsid w:val="000B12B2"/>
    <w:rsid w:val="000D1ECB"/>
    <w:rsid w:val="000D298A"/>
    <w:rsid w:val="000D579D"/>
    <w:rsid w:val="000D678C"/>
    <w:rsid w:val="000E3D0B"/>
    <w:rsid w:val="000F5CBA"/>
    <w:rsid w:val="000F7C91"/>
    <w:rsid w:val="001006F3"/>
    <w:rsid w:val="001012EE"/>
    <w:rsid w:val="00105E5E"/>
    <w:rsid w:val="001069EA"/>
    <w:rsid w:val="00120210"/>
    <w:rsid w:val="00134DB1"/>
    <w:rsid w:val="001425D5"/>
    <w:rsid w:val="0014565C"/>
    <w:rsid w:val="00152291"/>
    <w:rsid w:val="00155418"/>
    <w:rsid w:val="00164A6C"/>
    <w:rsid w:val="00167A30"/>
    <w:rsid w:val="0019732A"/>
    <w:rsid w:val="001A22E3"/>
    <w:rsid w:val="001B34B1"/>
    <w:rsid w:val="001B785D"/>
    <w:rsid w:val="001C05EF"/>
    <w:rsid w:val="001C4F70"/>
    <w:rsid w:val="001D10CB"/>
    <w:rsid w:val="001E12FA"/>
    <w:rsid w:val="001E3927"/>
    <w:rsid w:val="0020296F"/>
    <w:rsid w:val="002062F9"/>
    <w:rsid w:val="0021495C"/>
    <w:rsid w:val="002203F2"/>
    <w:rsid w:val="0022703A"/>
    <w:rsid w:val="00242932"/>
    <w:rsid w:val="00250110"/>
    <w:rsid w:val="00254A18"/>
    <w:rsid w:val="002576B8"/>
    <w:rsid w:val="00257F4F"/>
    <w:rsid w:val="00275E20"/>
    <w:rsid w:val="00277DD6"/>
    <w:rsid w:val="002807B3"/>
    <w:rsid w:val="002A2476"/>
    <w:rsid w:val="002D4754"/>
    <w:rsid w:val="002D79FD"/>
    <w:rsid w:val="002E1DCB"/>
    <w:rsid w:val="002E61BA"/>
    <w:rsid w:val="002E6C13"/>
    <w:rsid w:val="002F0887"/>
    <w:rsid w:val="002F0C96"/>
    <w:rsid w:val="002F3130"/>
    <w:rsid w:val="00310F22"/>
    <w:rsid w:val="003123D6"/>
    <w:rsid w:val="00315119"/>
    <w:rsid w:val="00334B82"/>
    <w:rsid w:val="00342F05"/>
    <w:rsid w:val="0035046D"/>
    <w:rsid w:val="00353382"/>
    <w:rsid w:val="00357B56"/>
    <w:rsid w:val="00371102"/>
    <w:rsid w:val="00372685"/>
    <w:rsid w:val="003759F7"/>
    <w:rsid w:val="0038238D"/>
    <w:rsid w:val="00387D9C"/>
    <w:rsid w:val="00394861"/>
    <w:rsid w:val="00396243"/>
    <w:rsid w:val="003A007A"/>
    <w:rsid w:val="003A1359"/>
    <w:rsid w:val="003A3374"/>
    <w:rsid w:val="003A72AC"/>
    <w:rsid w:val="003B2AFE"/>
    <w:rsid w:val="003C7829"/>
    <w:rsid w:val="003D2711"/>
    <w:rsid w:val="003E1E1D"/>
    <w:rsid w:val="003E6ADD"/>
    <w:rsid w:val="00403037"/>
    <w:rsid w:val="00404290"/>
    <w:rsid w:val="004126DF"/>
    <w:rsid w:val="00447DCC"/>
    <w:rsid w:val="004537AD"/>
    <w:rsid w:val="00460D3B"/>
    <w:rsid w:val="00460D6A"/>
    <w:rsid w:val="00461305"/>
    <w:rsid w:val="004633FC"/>
    <w:rsid w:val="00464DC9"/>
    <w:rsid w:val="00467837"/>
    <w:rsid w:val="00472446"/>
    <w:rsid w:val="004805CF"/>
    <w:rsid w:val="00486EE7"/>
    <w:rsid w:val="004911B0"/>
    <w:rsid w:val="004A3315"/>
    <w:rsid w:val="004B7B87"/>
    <w:rsid w:val="004D01FF"/>
    <w:rsid w:val="004E1C17"/>
    <w:rsid w:val="004E3349"/>
    <w:rsid w:val="004F4B3A"/>
    <w:rsid w:val="004F652C"/>
    <w:rsid w:val="00504462"/>
    <w:rsid w:val="00510D83"/>
    <w:rsid w:val="005164F9"/>
    <w:rsid w:val="00517B23"/>
    <w:rsid w:val="005205DC"/>
    <w:rsid w:val="005331B8"/>
    <w:rsid w:val="00534680"/>
    <w:rsid w:val="0053711A"/>
    <w:rsid w:val="00537309"/>
    <w:rsid w:val="005532BE"/>
    <w:rsid w:val="0055513A"/>
    <w:rsid w:val="005601D6"/>
    <w:rsid w:val="0056442A"/>
    <w:rsid w:val="0056548C"/>
    <w:rsid w:val="00582E59"/>
    <w:rsid w:val="005917CA"/>
    <w:rsid w:val="00593A50"/>
    <w:rsid w:val="005A05A3"/>
    <w:rsid w:val="005A4BF9"/>
    <w:rsid w:val="005C54B9"/>
    <w:rsid w:val="005D37DB"/>
    <w:rsid w:val="005E34FB"/>
    <w:rsid w:val="005E4DBD"/>
    <w:rsid w:val="005E51AD"/>
    <w:rsid w:val="005E5B37"/>
    <w:rsid w:val="005E7646"/>
    <w:rsid w:val="005F0E12"/>
    <w:rsid w:val="005F6F32"/>
    <w:rsid w:val="00612366"/>
    <w:rsid w:val="00613D4D"/>
    <w:rsid w:val="00622F31"/>
    <w:rsid w:val="00627591"/>
    <w:rsid w:val="006301A6"/>
    <w:rsid w:val="006448F0"/>
    <w:rsid w:val="006533BA"/>
    <w:rsid w:val="00676155"/>
    <w:rsid w:val="00684ED5"/>
    <w:rsid w:val="00697F86"/>
    <w:rsid w:val="006B65E0"/>
    <w:rsid w:val="006C524C"/>
    <w:rsid w:val="006D2645"/>
    <w:rsid w:val="006E0011"/>
    <w:rsid w:val="006E55AB"/>
    <w:rsid w:val="006F4A33"/>
    <w:rsid w:val="00701118"/>
    <w:rsid w:val="00701EA4"/>
    <w:rsid w:val="00706DFC"/>
    <w:rsid w:val="007073CA"/>
    <w:rsid w:val="007171BC"/>
    <w:rsid w:val="00720CD5"/>
    <w:rsid w:val="0073026F"/>
    <w:rsid w:val="00741F6B"/>
    <w:rsid w:val="00747A9E"/>
    <w:rsid w:val="00777A6B"/>
    <w:rsid w:val="007A578F"/>
    <w:rsid w:val="007B70B1"/>
    <w:rsid w:val="007C3BD4"/>
    <w:rsid w:val="007D53C0"/>
    <w:rsid w:val="007E4D80"/>
    <w:rsid w:val="007E6A3F"/>
    <w:rsid w:val="007F1191"/>
    <w:rsid w:val="007F2D22"/>
    <w:rsid w:val="007F3CE7"/>
    <w:rsid w:val="00807FA7"/>
    <w:rsid w:val="008115D7"/>
    <w:rsid w:val="00815217"/>
    <w:rsid w:val="00822DE1"/>
    <w:rsid w:val="0082379E"/>
    <w:rsid w:val="00851E0D"/>
    <w:rsid w:val="0087560E"/>
    <w:rsid w:val="00875A81"/>
    <w:rsid w:val="0088079D"/>
    <w:rsid w:val="00897A9B"/>
    <w:rsid w:val="008A29E6"/>
    <w:rsid w:val="008A77E3"/>
    <w:rsid w:val="008B1214"/>
    <w:rsid w:val="008C2A40"/>
    <w:rsid w:val="008D23B8"/>
    <w:rsid w:val="008D2F29"/>
    <w:rsid w:val="008D6575"/>
    <w:rsid w:val="008D66AF"/>
    <w:rsid w:val="008D77D7"/>
    <w:rsid w:val="008E1123"/>
    <w:rsid w:val="008E5D0A"/>
    <w:rsid w:val="008F1BEF"/>
    <w:rsid w:val="008F7851"/>
    <w:rsid w:val="0090606D"/>
    <w:rsid w:val="0091550D"/>
    <w:rsid w:val="00921C48"/>
    <w:rsid w:val="0093161C"/>
    <w:rsid w:val="00933848"/>
    <w:rsid w:val="00936A74"/>
    <w:rsid w:val="009453C1"/>
    <w:rsid w:val="00945591"/>
    <w:rsid w:val="009506C4"/>
    <w:rsid w:val="00953FC1"/>
    <w:rsid w:val="009610E9"/>
    <w:rsid w:val="009755B7"/>
    <w:rsid w:val="00976573"/>
    <w:rsid w:val="00987DD2"/>
    <w:rsid w:val="009954F8"/>
    <w:rsid w:val="009A126E"/>
    <w:rsid w:val="009A3C46"/>
    <w:rsid w:val="009A60CF"/>
    <w:rsid w:val="009A6593"/>
    <w:rsid w:val="009C1095"/>
    <w:rsid w:val="009C4C60"/>
    <w:rsid w:val="009C7D4C"/>
    <w:rsid w:val="009D1AFE"/>
    <w:rsid w:val="009D3A81"/>
    <w:rsid w:val="009E00A8"/>
    <w:rsid w:val="009E03D6"/>
    <w:rsid w:val="009E324C"/>
    <w:rsid w:val="00A01D59"/>
    <w:rsid w:val="00A07562"/>
    <w:rsid w:val="00A26535"/>
    <w:rsid w:val="00A420AE"/>
    <w:rsid w:val="00A430E4"/>
    <w:rsid w:val="00A453C2"/>
    <w:rsid w:val="00A57142"/>
    <w:rsid w:val="00A61DF2"/>
    <w:rsid w:val="00A73DD0"/>
    <w:rsid w:val="00A82B34"/>
    <w:rsid w:val="00A83F7B"/>
    <w:rsid w:val="00A84B98"/>
    <w:rsid w:val="00AA0CAC"/>
    <w:rsid w:val="00AB4ECB"/>
    <w:rsid w:val="00AC1FC8"/>
    <w:rsid w:val="00AC4F66"/>
    <w:rsid w:val="00AC72EB"/>
    <w:rsid w:val="00AD5366"/>
    <w:rsid w:val="00AF4259"/>
    <w:rsid w:val="00AF4F4F"/>
    <w:rsid w:val="00AF69A5"/>
    <w:rsid w:val="00B02C3E"/>
    <w:rsid w:val="00B057BF"/>
    <w:rsid w:val="00B16D53"/>
    <w:rsid w:val="00B31F06"/>
    <w:rsid w:val="00B35BD6"/>
    <w:rsid w:val="00B35FDE"/>
    <w:rsid w:val="00B4064A"/>
    <w:rsid w:val="00B42305"/>
    <w:rsid w:val="00B55BD6"/>
    <w:rsid w:val="00B62D25"/>
    <w:rsid w:val="00B77FEA"/>
    <w:rsid w:val="00B87653"/>
    <w:rsid w:val="00B92520"/>
    <w:rsid w:val="00BA1A9B"/>
    <w:rsid w:val="00BB25D3"/>
    <w:rsid w:val="00BC0746"/>
    <w:rsid w:val="00BD7C2F"/>
    <w:rsid w:val="00BE360E"/>
    <w:rsid w:val="00BE777D"/>
    <w:rsid w:val="00C07660"/>
    <w:rsid w:val="00C07FDE"/>
    <w:rsid w:val="00C175D9"/>
    <w:rsid w:val="00C336B6"/>
    <w:rsid w:val="00C33E1A"/>
    <w:rsid w:val="00C46F03"/>
    <w:rsid w:val="00C472BC"/>
    <w:rsid w:val="00C505AC"/>
    <w:rsid w:val="00C51DF5"/>
    <w:rsid w:val="00C52B2A"/>
    <w:rsid w:val="00C61459"/>
    <w:rsid w:val="00C632C1"/>
    <w:rsid w:val="00C63F12"/>
    <w:rsid w:val="00C722A1"/>
    <w:rsid w:val="00C752C1"/>
    <w:rsid w:val="00CA4BF0"/>
    <w:rsid w:val="00CA5DA7"/>
    <w:rsid w:val="00CC69C0"/>
    <w:rsid w:val="00CD5385"/>
    <w:rsid w:val="00CE2BEB"/>
    <w:rsid w:val="00CF2A59"/>
    <w:rsid w:val="00CF61ED"/>
    <w:rsid w:val="00D00D06"/>
    <w:rsid w:val="00D15B82"/>
    <w:rsid w:val="00D201B1"/>
    <w:rsid w:val="00D20D59"/>
    <w:rsid w:val="00D235B7"/>
    <w:rsid w:val="00D264E5"/>
    <w:rsid w:val="00D305E4"/>
    <w:rsid w:val="00D31E74"/>
    <w:rsid w:val="00D330CD"/>
    <w:rsid w:val="00D403D3"/>
    <w:rsid w:val="00D420E3"/>
    <w:rsid w:val="00D45DEA"/>
    <w:rsid w:val="00D55E61"/>
    <w:rsid w:val="00D6622B"/>
    <w:rsid w:val="00D66593"/>
    <w:rsid w:val="00D74BD9"/>
    <w:rsid w:val="00D756FF"/>
    <w:rsid w:val="00D75C6D"/>
    <w:rsid w:val="00D83106"/>
    <w:rsid w:val="00D87626"/>
    <w:rsid w:val="00D919F8"/>
    <w:rsid w:val="00D92719"/>
    <w:rsid w:val="00D93FFA"/>
    <w:rsid w:val="00D9547D"/>
    <w:rsid w:val="00D97ED6"/>
    <w:rsid w:val="00DA2C62"/>
    <w:rsid w:val="00DB26CB"/>
    <w:rsid w:val="00DE04E4"/>
    <w:rsid w:val="00DF688E"/>
    <w:rsid w:val="00E06CEF"/>
    <w:rsid w:val="00E27DC3"/>
    <w:rsid w:val="00E313EE"/>
    <w:rsid w:val="00E3316D"/>
    <w:rsid w:val="00E36424"/>
    <w:rsid w:val="00E43450"/>
    <w:rsid w:val="00E53279"/>
    <w:rsid w:val="00E55FCC"/>
    <w:rsid w:val="00E6011A"/>
    <w:rsid w:val="00E62D7C"/>
    <w:rsid w:val="00E65B22"/>
    <w:rsid w:val="00E7487A"/>
    <w:rsid w:val="00E74FD6"/>
    <w:rsid w:val="00E83BC7"/>
    <w:rsid w:val="00E85660"/>
    <w:rsid w:val="00E87722"/>
    <w:rsid w:val="00EA078E"/>
    <w:rsid w:val="00EA4598"/>
    <w:rsid w:val="00EC0200"/>
    <w:rsid w:val="00EC639D"/>
    <w:rsid w:val="00ED046F"/>
    <w:rsid w:val="00ED6964"/>
    <w:rsid w:val="00ED7328"/>
    <w:rsid w:val="00EE0810"/>
    <w:rsid w:val="00EE434F"/>
    <w:rsid w:val="00EF70E4"/>
    <w:rsid w:val="00F00C76"/>
    <w:rsid w:val="00F05E7F"/>
    <w:rsid w:val="00F0647C"/>
    <w:rsid w:val="00F11064"/>
    <w:rsid w:val="00F36AF6"/>
    <w:rsid w:val="00F40201"/>
    <w:rsid w:val="00F71844"/>
    <w:rsid w:val="00F7323B"/>
    <w:rsid w:val="00F824C8"/>
    <w:rsid w:val="00F87917"/>
    <w:rsid w:val="00F9395D"/>
    <w:rsid w:val="00FA58C2"/>
    <w:rsid w:val="00FB323D"/>
    <w:rsid w:val="00FD0831"/>
    <w:rsid w:val="00FE2135"/>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FC1FD"/>
  <w15:docId w15:val="{818BAA46-FEDC-4913-AE94-2D114042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semiHidden/>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rFonts w:cs="Times New Roman"/>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 w:type="paragraph" w:styleId="Header">
    <w:name w:val="header"/>
    <w:basedOn w:val="Normal"/>
    <w:link w:val="HeaderChar"/>
    <w:uiPriority w:val="99"/>
    <w:semiHidden/>
    <w:unhideWhenUsed/>
    <w:rsid w:val="00404290"/>
    <w:pPr>
      <w:tabs>
        <w:tab w:val="center" w:pos="4680"/>
        <w:tab w:val="right" w:pos="9360"/>
      </w:tabs>
    </w:pPr>
  </w:style>
  <w:style w:type="character" w:customStyle="1" w:styleId="HeaderChar">
    <w:name w:val="Header Char"/>
    <w:basedOn w:val="DefaultParagraphFont"/>
    <w:link w:val="Header"/>
    <w:uiPriority w:val="99"/>
    <w:semiHidden/>
    <w:rsid w:val="00404290"/>
    <w:rPr>
      <w:sz w:val="24"/>
      <w:szCs w:val="24"/>
    </w:rPr>
  </w:style>
  <w:style w:type="paragraph" w:styleId="ListParagraph">
    <w:name w:val="List Paragraph"/>
    <w:basedOn w:val="Normal"/>
    <w:uiPriority w:val="34"/>
    <w:qFormat/>
    <w:rsid w:val="00460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03655">
      <w:bodyDiv w:val="1"/>
      <w:marLeft w:val="0"/>
      <w:marRight w:val="0"/>
      <w:marTop w:val="0"/>
      <w:marBottom w:val="0"/>
      <w:divBdr>
        <w:top w:val="none" w:sz="0" w:space="0" w:color="auto"/>
        <w:left w:val="none" w:sz="0" w:space="0" w:color="auto"/>
        <w:bottom w:val="none" w:sz="0" w:space="0" w:color="auto"/>
        <w:right w:val="none" w:sz="0" w:space="0" w:color="auto"/>
      </w:divBdr>
    </w:div>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ha.europa.eu/news-and-events/events/event-details/-/journal_content/56_INSTANCE_DR2i/title/expert-workshop-on-valuing-the-health-impacts-of-chemic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0F9B-EFEB-4CBC-A886-93B3F08D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2015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Eric</dc:creator>
  <cp:keywords/>
  <dc:description/>
  <cp:lastModifiedBy>Suzuki, Judy</cp:lastModifiedBy>
  <cp:revision>4</cp:revision>
  <cp:lastPrinted>2011-04-15T16:26:00Z</cp:lastPrinted>
  <dcterms:created xsi:type="dcterms:W3CDTF">2016-05-13T15:23:00Z</dcterms:created>
  <dcterms:modified xsi:type="dcterms:W3CDTF">2016-05-13T15:25:00Z</dcterms:modified>
</cp:coreProperties>
</file>