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BF" w:rsidRPr="00474E47" w:rsidRDefault="00980FBF" w:rsidP="00980FBF">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right="-90"/>
        <w:jc w:val="center"/>
        <w:rPr>
          <w:rFonts w:ascii="Helvetica" w:hAnsi="Helvetica"/>
          <w:bCs w:val="0"/>
        </w:rPr>
      </w:pPr>
      <w:bookmarkStart w:id="0" w:name="_GoBack"/>
      <w:bookmarkEnd w:id="0"/>
      <w:r w:rsidRPr="00474E47">
        <w:rPr>
          <w:rFonts w:ascii="Helvetica" w:hAnsi="Helvetica"/>
          <w:bCs w:val="0"/>
        </w:rPr>
        <w:t>Supporting Statement for Paperwork Reduction Act Submissions</w:t>
      </w:r>
    </w:p>
    <w:p w:rsidR="00980FBF" w:rsidRPr="00474E47" w:rsidRDefault="00980FBF" w:rsidP="00980FBF">
      <w:pPr>
        <w:pStyle w:val="OmniPage1"/>
        <w:tabs>
          <w:tab w:val="left" w:pos="9990"/>
          <w:tab w:val="left" w:pos="10080"/>
          <w:tab w:val="left" w:pos="10800"/>
        </w:tabs>
        <w:spacing w:line="240" w:lineRule="auto"/>
        <w:ind w:left="0" w:right="-90"/>
        <w:jc w:val="left"/>
        <w:rPr>
          <w:b/>
          <w:sz w:val="24"/>
        </w:rPr>
      </w:pPr>
    </w:p>
    <w:p w:rsidR="00980FBF" w:rsidRPr="00474E47" w:rsidRDefault="00980FBF" w:rsidP="00980FBF">
      <w:pPr>
        <w:pStyle w:val="OmniPage1"/>
        <w:tabs>
          <w:tab w:val="left" w:pos="9990"/>
          <w:tab w:val="left" w:pos="10080"/>
          <w:tab w:val="left" w:pos="10800"/>
        </w:tabs>
        <w:spacing w:line="240" w:lineRule="auto"/>
        <w:ind w:left="0" w:right="-90"/>
        <w:rPr>
          <w:b/>
          <w:sz w:val="22"/>
        </w:rPr>
      </w:pPr>
      <w:r w:rsidRPr="00474E47">
        <w:rPr>
          <w:b/>
          <w:sz w:val="22"/>
        </w:rPr>
        <w:t>Housing Counseling Program – Home Equity Conversion M</w:t>
      </w:r>
      <w:r w:rsidR="00D82578" w:rsidRPr="00474E47">
        <w:rPr>
          <w:b/>
          <w:sz w:val="22"/>
        </w:rPr>
        <w:t>ortgage Counseling Client Session Evaluation</w:t>
      </w:r>
    </w:p>
    <w:p w:rsidR="00980FBF" w:rsidRPr="00B405AC" w:rsidRDefault="00980FBF" w:rsidP="00980FBF">
      <w:pPr>
        <w:pStyle w:val="OmniPage2"/>
        <w:tabs>
          <w:tab w:val="left" w:pos="9990"/>
          <w:tab w:val="left" w:pos="10080"/>
          <w:tab w:val="left" w:pos="10800"/>
        </w:tabs>
        <w:spacing w:line="240" w:lineRule="auto"/>
        <w:ind w:left="0" w:right="-90"/>
        <w:jc w:val="center"/>
        <w:rPr>
          <w:b/>
          <w:sz w:val="22"/>
        </w:rPr>
      </w:pPr>
      <w:r w:rsidRPr="00B405AC">
        <w:rPr>
          <w:b/>
          <w:sz w:val="22"/>
        </w:rPr>
        <w:t>OMB No. 2502 – 0585</w:t>
      </w:r>
    </w:p>
    <w:p w:rsidR="00980FBF" w:rsidRPr="00474E47" w:rsidRDefault="00D8693F" w:rsidP="00980FBF">
      <w:pPr>
        <w:pStyle w:val="OmniPage2"/>
        <w:spacing w:line="240" w:lineRule="auto"/>
        <w:ind w:left="0" w:right="0"/>
        <w:jc w:val="center"/>
        <w:rPr>
          <w:b/>
          <w:sz w:val="22"/>
        </w:rPr>
      </w:pPr>
      <w:r>
        <w:rPr>
          <w:b/>
          <w:sz w:val="22"/>
        </w:rPr>
        <w:t>(HUD-92911</w:t>
      </w:r>
      <w:r w:rsidR="00980FBF" w:rsidRPr="00474E47">
        <w:rPr>
          <w:b/>
          <w:sz w:val="22"/>
        </w:rPr>
        <w:t>)</w:t>
      </w:r>
    </w:p>
    <w:p w:rsidR="00980FBF" w:rsidRPr="00474E47" w:rsidRDefault="00980FBF" w:rsidP="00980FBF">
      <w:pPr>
        <w:pStyle w:val="OmniPage2"/>
        <w:tabs>
          <w:tab w:val="left" w:pos="9990"/>
          <w:tab w:val="left" w:pos="10800"/>
        </w:tabs>
        <w:spacing w:line="240" w:lineRule="auto"/>
        <w:ind w:left="0" w:right="-90"/>
        <w:rPr>
          <w:bCs/>
          <w:sz w:val="22"/>
        </w:rPr>
      </w:pPr>
    </w:p>
    <w:p w:rsidR="00980FBF" w:rsidRPr="00474E47" w:rsidRDefault="00980FBF" w:rsidP="00980FBF">
      <w:pPr>
        <w:pBdr>
          <w:top w:val="single" w:sz="4" w:space="1" w:color="auto"/>
        </w:pBdr>
        <w:tabs>
          <w:tab w:val="left" w:pos="360"/>
          <w:tab w:val="left" w:pos="9990"/>
          <w:tab w:val="left" w:pos="10800"/>
        </w:tabs>
        <w:ind w:right="-90"/>
        <w:rPr>
          <w:b/>
          <w:bCs/>
          <w:sz w:val="22"/>
        </w:rPr>
      </w:pPr>
      <w:r w:rsidRPr="00474E47">
        <w:rPr>
          <w:b/>
          <w:bCs/>
          <w:sz w:val="22"/>
        </w:rPr>
        <w:t>A.</w:t>
      </w:r>
      <w:r w:rsidRPr="00474E47">
        <w:rPr>
          <w:b/>
          <w:bCs/>
          <w:sz w:val="22"/>
        </w:rPr>
        <w:tab/>
        <w:t>Justification:</w:t>
      </w:r>
    </w:p>
    <w:p w:rsidR="00980FBF" w:rsidRPr="00474E47" w:rsidRDefault="00980FBF" w:rsidP="00980FBF">
      <w:pPr>
        <w:tabs>
          <w:tab w:val="left" w:pos="360"/>
          <w:tab w:val="left" w:pos="9990"/>
          <w:tab w:val="left" w:pos="10800"/>
        </w:tabs>
        <w:ind w:right="-90"/>
        <w:rPr>
          <w:b/>
          <w:bCs/>
          <w:sz w:val="22"/>
        </w:rPr>
      </w:pPr>
    </w:p>
    <w:p w:rsidR="00980FBF" w:rsidRPr="00474E47" w:rsidRDefault="00980FBF" w:rsidP="00980FBF">
      <w:pPr>
        <w:keepNext/>
        <w:tabs>
          <w:tab w:val="left" w:pos="360"/>
          <w:tab w:val="left" w:pos="9990"/>
          <w:tab w:val="left" w:pos="10800"/>
        </w:tabs>
        <w:ind w:right="-90"/>
        <w:rPr>
          <w:bCs/>
          <w:sz w:val="24"/>
          <w:szCs w:val="24"/>
        </w:rPr>
      </w:pPr>
      <w:r w:rsidRPr="00474E47">
        <w:rPr>
          <w:bCs/>
          <w:sz w:val="22"/>
        </w:rPr>
        <w:t>1.</w:t>
      </w:r>
      <w:r w:rsidRPr="00474E47">
        <w:rPr>
          <w:bCs/>
          <w:sz w:val="22"/>
        </w:rPr>
        <w:tab/>
      </w:r>
      <w:r w:rsidRPr="00474E47">
        <w:rPr>
          <w:bCs/>
          <w:sz w:val="24"/>
          <w:szCs w:val="24"/>
        </w:rPr>
        <w:t>Overview of Home Equity Conversion Mortgage Counseling Program</w:t>
      </w:r>
    </w:p>
    <w:p w:rsidR="00980FBF" w:rsidRPr="00474E47" w:rsidRDefault="00980FBF" w:rsidP="00980FBF">
      <w:pPr>
        <w:pStyle w:val="BodyText"/>
        <w:keepNext/>
        <w:tabs>
          <w:tab w:val="left" w:pos="9990"/>
          <w:tab w:val="left" w:pos="10800"/>
        </w:tabs>
        <w:ind w:left="360" w:right="-90"/>
        <w:rPr>
          <w:szCs w:val="24"/>
        </w:rPr>
      </w:pPr>
    </w:p>
    <w:p w:rsidR="00980FBF" w:rsidRPr="00474E47" w:rsidRDefault="00980FBF" w:rsidP="00980FBF">
      <w:pPr>
        <w:pStyle w:val="BodyText"/>
        <w:tabs>
          <w:tab w:val="left" w:pos="10800"/>
        </w:tabs>
        <w:ind w:left="360"/>
        <w:rPr>
          <w:szCs w:val="24"/>
        </w:rPr>
      </w:pPr>
    </w:p>
    <w:p w:rsidR="00980FBF" w:rsidRPr="00474E47" w:rsidRDefault="00980FBF" w:rsidP="00980FBF">
      <w:pPr>
        <w:pStyle w:val="BodyText"/>
        <w:tabs>
          <w:tab w:val="left" w:pos="10800"/>
        </w:tabs>
        <w:ind w:left="360"/>
        <w:rPr>
          <w:szCs w:val="24"/>
        </w:rPr>
      </w:pPr>
      <w:r w:rsidRPr="00474E47">
        <w:rPr>
          <w:szCs w:val="24"/>
        </w:rPr>
        <w:t xml:space="preserve">    The Single Family Program Support Division is responsible for administration of the Department’s Housing Counseling Program, authorized by Section 106 of the Housing and Urban Development Act of 1968 (12 U.S.C. 1701w and 1701x).  A final Housing Counseling rule was published in the Federal Register at 72 FR 55638 and codified at 24 CFR Part 214. Among other types of housing counseling, the Housing Counseling Program supports the delivery of counseling for the Home Equity Conversion Mortgages (HECM) to consumers who are at least 62 years old.  This counseling provides information to the consumer regarding reverse mortgages and the suitability of a reverse mortgage for their unique situation.  </w:t>
      </w:r>
    </w:p>
    <w:p w:rsidR="00980FBF" w:rsidRPr="00474E47" w:rsidRDefault="00980FBF" w:rsidP="00980FBF">
      <w:pPr>
        <w:pStyle w:val="BodyText"/>
        <w:tabs>
          <w:tab w:val="left" w:pos="10800"/>
        </w:tabs>
        <w:ind w:left="360"/>
        <w:rPr>
          <w:szCs w:val="24"/>
        </w:rPr>
      </w:pPr>
    </w:p>
    <w:p w:rsidR="00980FBF" w:rsidRPr="00474E47" w:rsidRDefault="00980FBF" w:rsidP="00980FBF">
      <w:pPr>
        <w:pStyle w:val="BodyText"/>
        <w:ind w:left="360" w:right="-90" w:firstLine="360"/>
        <w:rPr>
          <w:szCs w:val="24"/>
        </w:rPr>
      </w:pPr>
      <w:r w:rsidRPr="00474E47">
        <w:rPr>
          <w:szCs w:val="24"/>
        </w:rPr>
        <w:t>As a condition of eligibility to receive a Home Equity Conversion Mortgage, consumers must participate in reverse mortgage counseling.  As part of the housing counseling program evaluation, performance reviews are conducted at the HUD-approved counseling agencies by HUD staff.  HUD staff mails the HECM Counseling Session Evaluation to consumers who have recently received counseling.  The evaluation is used as a performance tool and it provides valuable feedback to HUD regarding the customer service and the counseling quality provided by the HECM counseling agency being reviewed.</w:t>
      </w:r>
    </w:p>
    <w:p w:rsidR="00980FBF" w:rsidRPr="00474E47" w:rsidRDefault="00980FBF" w:rsidP="00980FBF">
      <w:pPr>
        <w:pStyle w:val="BodyText"/>
        <w:ind w:right="-90"/>
        <w:rPr>
          <w:szCs w:val="24"/>
        </w:rPr>
      </w:pPr>
    </w:p>
    <w:p w:rsidR="00980FBF" w:rsidRPr="00474E47" w:rsidRDefault="00980FBF" w:rsidP="00980FBF">
      <w:pPr>
        <w:pStyle w:val="Heading1"/>
        <w:keepNext w:val="0"/>
        <w:tabs>
          <w:tab w:val="left" w:pos="-360"/>
        </w:tabs>
        <w:ind w:left="360" w:right="-90" w:hanging="360"/>
        <w:jc w:val="left"/>
        <w:rPr>
          <w:b w:val="0"/>
          <w:szCs w:val="24"/>
          <w:u w:val="none"/>
        </w:rPr>
      </w:pPr>
      <w:r w:rsidRPr="00474E47">
        <w:rPr>
          <w:b w:val="0"/>
          <w:szCs w:val="24"/>
          <w:u w:val="none"/>
        </w:rPr>
        <w:t>2.</w:t>
      </w:r>
      <w:r w:rsidRPr="00474E47">
        <w:rPr>
          <w:b w:val="0"/>
          <w:szCs w:val="24"/>
          <w:u w:val="none"/>
        </w:rPr>
        <w:tab/>
        <w:t>Information Submission</w:t>
      </w:r>
    </w:p>
    <w:p w:rsidR="00980FBF" w:rsidRPr="00474E47" w:rsidRDefault="00980FBF" w:rsidP="00980FBF">
      <w:pPr>
        <w:pStyle w:val="Header"/>
        <w:tabs>
          <w:tab w:val="clear" w:pos="4320"/>
          <w:tab w:val="clear" w:pos="8640"/>
        </w:tabs>
        <w:ind w:left="360" w:right="-90"/>
        <w:rPr>
          <w:sz w:val="24"/>
          <w:szCs w:val="24"/>
        </w:rPr>
      </w:pPr>
    </w:p>
    <w:p w:rsidR="00980FBF" w:rsidRPr="00474E47" w:rsidRDefault="00980FBF" w:rsidP="00980FBF">
      <w:pPr>
        <w:pStyle w:val="BodyText"/>
        <w:ind w:left="360" w:right="-90" w:firstLine="360"/>
        <w:rPr>
          <w:szCs w:val="24"/>
        </w:rPr>
      </w:pPr>
      <w:r w:rsidRPr="00474E47">
        <w:rPr>
          <w:szCs w:val="24"/>
        </w:rPr>
        <w:t>As part of the housing counseling program evaluation, performance reviews are conducted at the HUD-approved counseling agencies by HUD staff.  HUD staff mails the HECM Counseling Session Evaluation to consumers who have recently received counseling.  The evaluation is completed by the consumer and mailed back to HUD.  The evaluation is used as a performance tool and it provides valuable feedback to HUD regarding the customer service and the counseling quality provided by the HECM counseling agency being reviewed.</w:t>
      </w:r>
    </w:p>
    <w:p w:rsidR="00980FBF" w:rsidRPr="00474E47" w:rsidRDefault="00980FBF" w:rsidP="00980FBF">
      <w:pPr>
        <w:pStyle w:val="BodyTextIndent2"/>
        <w:rPr>
          <w:szCs w:val="24"/>
        </w:rPr>
      </w:pPr>
    </w:p>
    <w:p w:rsidR="00980FBF" w:rsidRPr="00474E47" w:rsidRDefault="00980FBF" w:rsidP="00980FBF">
      <w:pPr>
        <w:pStyle w:val="HTMLPreformatted"/>
        <w:ind w:right="-90"/>
        <w:rPr>
          <w:rFonts w:ascii="Times New Roman" w:hAnsi="Times New Roman" w:cs="Times New Roman"/>
          <w:sz w:val="24"/>
          <w:szCs w:val="24"/>
        </w:rPr>
      </w:pPr>
      <w:r w:rsidRPr="00474E47">
        <w:rPr>
          <w:b/>
          <w:bCs/>
          <w:sz w:val="24"/>
          <w:szCs w:val="24"/>
        </w:rPr>
        <w:t xml:space="preserve">   </w:t>
      </w:r>
      <w:r w:rsidRPr="00474E47">
        <w:rPr>
          <w:rFonts w:ascii="Times New Roman" w:hAnsi="Times New Roman" w:cs="Times New Roman"/>
          <w:sz w:val="24"/>
          <w:szCs w:val="24"/>
        </w:rPr>
        <w:t xml:space="preserve">    </w:t>
      </w:r>
    </w:p>
    <w:p w:rsidR="00980FBF" w:rsidRPr="00474E47" w:rsidRDefault="00980FBF" w:rsidP="00980FBF">
      <w:pPr>
        <w:pStyle w:val="Heading1"/>
        <w:tabs>
          <w:tab w:val="left" w:pos="360"/>
        </w:tabs>
        <w:ind w:left="360" w:right="-90" w:hanging="360"/>
        <w:jc w:val="left"/>
        <w:rPr>
          <w:b w:val="0"/>
          <w:szCs w:val="24"/>
          <w:u w:val="none"/>
        </w:rPr>
      </w:pPr>
      <w:r w:rsidRPr="00474E47">
        <w:rPr>
          <w:b w:val="0"/>
          <w:szCs w:val="24"/>
          <w:u w:val="none"/>
        </w:rPr>
        <w:t>3.</w:t>
      </w:r>
      <w:r w:rsidRPr="00474E47">
        <w:rPr>
          <w:b w:val="0"/>
          <w:szCs w:val="24"/>
          <w:u w:val="none"/>
        </w:rPr>
        <w:tab/>
        <w:t>Automation</w:t>
      </w:r>
    </w:p>
    <w:p w:rsidR="00980FBF" w:rsidRPr="00474E47" w:rsidRDefault="00980FBF" w:rsidP="00980FBF">
      <w:pPr>
        <w:keepLines/>
        <w:tabs>
          <w:tab w:val="left" w:pos="360"/>
        </w:tabs>
        <w:spacing w:after="80"/>
        <w:ind w:left="360" w:hanging="360"/>
        <w:rPr>
          <w:sz w:val="24"/>
          <w:szCs w:val="24"/>
        </w:rPr>
      </w:pPr>
      <w:r w:rsidRPr="00474E47">
        <w:rPr>
          <w:sz w:val="24"/>
          <w:szCs w:val="24"/>
        </w:rPr>
        <w:tab/>
      </w:r>
    </w:p>
    <w:p w:rsidR="00980FBF" w:rsidRPr="00474E47" w:rsidRDefault="00980FBF" w:rsidP="00980FBF">
      <w:pPr>
        <w:keepLines/>
        <w:tabs>
          <w:tab w:val="left" w:pos="360"/>
        </w:tabs>
        <w:spacing w:after="80"/>
        <w:ind w:left="360" w:hanging="360"/>
        <w:rPr>
          <w:sz w:val="24"/>
          <w:szCs w:val="24"/>
        </w:rPr>
      </w:pPr>
      <w:r w:rsidRPr="00474E47">
        <w:rPr>
          <w:sz w:val="24"/>
          <w:szCs w:val="24"/>
        </w:rPr>
        <w:t xml:space="preserve">      The collection of information will be automated in those instances when an e-mail address is available for the client.  HUD will e-mail the HECM Counseling Session Evaluation to the client with a return e-mail address, along with a mailing address. </w:t>
      </w:r>
    </w:p>
    <w:p w:rsidR="00980FBF" w:rsidRPr="00474E47" w:rsidRDefault="00980FBF" w:rsidP="00980FBF">
      <w:pPr>
        <w:ind w:left="360" w:hanging="360"/>
        <w:rPr>
          <w:sz w:val="24"/>
          <w:szCs w:val="24"/>
        </w:rPr>
      </w:pPr>
    </w:p>
    <w:p w:rsidR="00980FBF" w:rsidRPr="00474E47" w:rsidRDefault="00980FBF" w:rsidP="00980FBF">
      <w:pPr>
        <w:pStyle w:val="BodyTextIndent"/>
        <w:keepNext/>
        <w:ind w:left="360" w:hanging="360"/>
        <w:rPr>
          <w:bCs/>
          <w:szCs w:val="24"/>
        </w:rPr>
      </w:pPr>
      <w:r w:rsidRPr="00474E47">
        <w:rPr>
          <w:bCs/>
          <w:szCs w:val="24"/>
        </w:rPr>
        <w:t>4.</w:t>
      </w:r>
      <w:r w:rsidRPr="00474E47">
        <w:rPr>
          <w:bCs/>
          <w:szCs w:val="24"/>
        </w:rPr>
        <w:tab/>
        <w:t>Duplication of Information</w:t>
      </w:r>
    </w:p>
    <w:p w:rsidR="00980FBF" w:rsidRPr="00474E47" w:rsidRDefault="00980FBF" w:rsidP="00980FBF">
      <w:pPr>
        <w:pStyle w:val="BodyTextIndent"/>
        <w:keepNext/>
        <w:ind w:left="360" w:hanging="360"/>
        <w:rPr>
          <w:b/>
          <w:bCs/>
          <w:szCs w:val="24"/>
        </w:rPr>
      </w:pPr>
    </w:p>
    <w:p w:rsidR="00980FBF" w:rsidRPr="00474E47" w:rsidRDefault="00980FBF" w:rsidP="00980FBF">
      <w:pPr>
        <w:pStyle w:val="BodyTextIndent"/>
        <w:ind w:left="360" w:firstLine="360"/>
        <w:rPr>
          <w:szCs w:val="24"/>
        </w:rPr>
      </w:pPr>
      <w:r w:rsidRPr="00474E47">
        <w:rPr>
          <w:szCs w:val="24"/>
        </w:rPr>
        <w:t>The HECM Counseling Session Evaluation is the only information collected regarding the quality of the counseling and customer service provided by the housing counseling agency.  There is no duplication of information.</w:t>
      </w:r>
    </w:p>
    <w:p w:rsidR="00980FBF" w:rsidRPr="00474E47" w:rsidRDefault="00980FBF" w:rsidP="00980FBF">
      <w:pPr>
        <w:pStyle w:val="BodyTextIndent"/>
        <w:ind w:left="0" w:firstLine="0"/>
        <w:rPr>
          <w:szCs w:val="24"/>
        </w:rPr>
      </w:pPr>
    </w:p>
    <w:p w:rsidR="00980FBF" w:rsidRPr="00474E47" w:rsidRDefault="00980FBF" w:rsidP="00980FBF">
      <w:pPr>
        <w:pStyle w:val="BodyTextIndent"/>
        <w:keepNext/>
        <w:tabs>
          <w:tab w:val="left" w:pos="-450"/>
          <w:tab w:val="left" w:pos="360"/>
        </w:tabs>
        <w:ind w:left="0" w:firstLine="0"/>
        <w:rPr>
          <w:bCs/>
          <w:szCs w:val="24"/>
        </w:rPr>
      </w:pPr>
      <w:r w:rsidRPr="00474E47">
        <w:rPr>
          <w:bCs/>
          <w:szCs w:val="24"/>
        </w:rPr>
        <w:lastRenderedPageBreak/>
        <w:t>5.</w:t>
      </w:r>
      <w:r w:rsidRPr="00474E47">
        <w:rPr>
          <w:bCs/>
          <w:szCs w:val="24"/>
        </w:rPr>
        <w:tab/>
        <w:t>Effects on Small Entities</w:t>
      </w:r>
    </w:p>
    <w:p w:rsidR="00980FBF" w:rsidRPr="00474E47" w:rsidRDefault="00980FBF" w:rsidP="00980FBF">
      <w:pPr>
        <w:pStyle w:val="BodyTextIndent"/>
        <w:keepNext/>
        <w:ind w:left="0" w:firstLine="0"/>
        <w:rPr>
          <w:b/>
          <w:bCs/>
          <w:szCs w:val="24"/>
        </w:rPr>
      </w:pPr>
    </w:p>
    <w:p w:rsidR="00980FBF" w:rsidRPr="00474E47" w:rsidRDefault="00980FBF" w:rsidP="00980FBF">
      <w:pPr>
        <w:keepLines/>
        <w:tabs>
          <w:tab w:val="left" w:pos="360"/>
        </w:tabs>
        <w:spacing w:after="80"/>
        <w:ind w:left="360" w:hanging="360"/>
        <w:rPr>
          <w:sz w:val="24"/>
          <w:szCs w:val="24"/>
        </w:rPr>
      </w:pPr>
      <w:r w:rsidRPr="00474E47">
        <w:rPr>
          <w:sz w:val="24"/>
          <w:szCs w:val="24"/>
        </w:rPr>
        <w:t xml:space="preserve">     The information collection is the same for all entities, regardless of size.  The Information requested is used as a performance tool to evaluate the HECM counseling provided by housing counseling agencies being reviewed.</w:t>
      </w:r>
    </w:p>
    <w:p w:rsidR="00980FBF" w:rsidRPr="00474E47" w:rsidRDefault="00980FBF" w:rsidP="00980FBF">
      <w:pPr>
        <w:pStyle w:val="BodyText"/>
        <w:tabs>
          <w:tab w:val="left" w:pos="360"/>
        </w:tabs>
        <w:ind w:left="360" w:hanging="360"/>
        <w:rPr>
          <w:szCs w:val="24"/>
        </w:rPr>
      </w:pPr>
    </w:p>
    <w:p w:rsidR="00980FBF" w:rsidRPr="00474E47" w:rsidRDefault="00980FBF" w:rsidP="00980FBF">
      <w:pPr>
        <w:pStyle w:val="BodyTextIndent"/>
        <w:keepNext/>
        <w:tabs>
          <w:tab w:val="left" w:pos="360"/>
        </w:tabs>
        <w:ind w:left="360" w:hanging="360"/>
        <w:rPr>
          <w:bCs/>
          <w:szCs w:val="24"/>
        </w:rPr>
      </w:pPr>
      <w:r w:rsidRPr="00474E47">
        <w:rPr>
          <w:bCs/>
          <w:szCs w:val="24"/>
        </w:rPr>
        <w:t>6.</w:t>
      </w:r>
      <w:r w:rsidRPr="00474E47">
        <w:rPr>
          <w:bCs/>
          <w:szCs w:val="24"/>
        </w:rPr>
        <w:tab/>
        <w:t>Failure to Collect Information</w:t>
      </w:r>
    </w:p>
    <w:p w:rsidR="00980FBF" w:rsidRPr="00474E47" w:rsidRDefault="00980FBF" w:rsidP="00980FBF">
      <w:pPr>
        <w:pStyle w:val="BodyTextIndent"/>
        <w:keepNext/>
        <w:tabs>
          <w:tab w:val="left" w:pos="360"/>
        </w:tabs>
        <w:ind w:left="360" w:hanging="360"/>
        <w:rPr>
          <w:b/>
          <w:bCs/>
          <w:szCs w:val="24"/>
        </w:rPr>
      </w:pPr>
    </w:p>
    <w:p w:rsidR="00980FBF" w:rsidRPr="00474E47" w:rsidRDefault="00980FBF" w:rsidP="00980FBF">
      <w:pPr>
        <w:keepLines/>
        <w:tabs>
          <w:tab w:val="left" w:pos="360"/>
        </w:tabs>
        <w:spacing w:after="80"/>
        <w:ind w:left="360"/>
        <w:rPr>
          <w:sz w:val="24"/>
          <w:szCs w:val="24"/>
        </w:rPr>
      </w:pPr>
      <w:r w:rsidRPr="00474E47">
        <w:rPr>
          <w:sz w:val="24"/>
          <w:szCs w:val="24"/>
        </w:rPr>
        <w:t>Failure to collect the information described in this submission would prevent FHA from obtaining valuable information from consumers regarding their HECM counseling experience.  This information is used as a performance tool during the evaluation of the agency.  Information supplied on the HECM Counseling Session Evaluation could determine any actions that would need to be taken against the counseling agency.  FHA also utilizes this information to make changes in policies and procedures where applicable.</w:t>
      </w:r>
    </w:p>
    <w:p w:rsidR="00980FBF" w:rsidRPr="00474E47" w:rsidRDefault="00980FBF" w:rsidP="00980FBF">
      <w:pPr>
        <w:tabs>
          <w:tab w:val="left" w:pos="360"/>
        </w:tabs>
        <w:ind w:left="360" w:hanging="360"/>
        <w:rPr>
          <w:sz w:val="24"/>
          <w:szCs w:val="24"/>
        </w:rPr>
      </w:pPr>
    </w:p>
    <w:p w:rsidR="00003F50" w:rsidRDefault="00003F50" w:rsidP="003A7483">
      <w:pPr>
        <w:keepLines/>
        <w:spacing w:before="100" w:beforeAutospacing="1" w:after="100" w:afterAutospacing="1"/>
        <w:ind w:left="360"/>
        <w:textAlignment w:val="auto"/>
        <w:rPr>
          <w:sz w:val="24"/>
        </w:rPr>
      </w:pPr>
      <w:r>
        <w:rPr>
          <w:bCs/>
          <w:sz w:val="24"/>
          <w:szCs w:val="24"/>
        </w:rPr>
        <w:t>7.</w:t>
      </w:r>
      <w:r>
        <w:rPr>
          <w:bCs/>
          <w:sz w:val="24"/>
          <w:szCs w:val="24"/>
        </w:rPr>
        <w:tab/>
      </w:r>
      <w:r>
        <w:rPr>
          <w:sz w:val="24"/>
          <w:szCs w:val="24"/>
        </w:rPr>
        <w:t xml:space="preserve">Explain any special circumstances that would cause an information collection to be conducted in a manner: </w:t>
      </w:r>
      <w:r w:rsidRPr="00474E47">
        <w:rPr>
          <w:sz w:val="24"/>
          <w:szCs w:val="24"/>
        </w:rPr>
        <w:t>No special circumstances exist</w:t>
      </w:r>
    </w:p>
    <w:p w:rsidR="00003F50" w:rsidRDefault="00003F50" w:rsidP="00003F50">
      <w:pPr>
        <w:ind w:left="720"/>
        <w:rPr>
          <w:sz w:val="24"/>
          <w:szCs w:val="24"/>
        </w:rPr>
      </w:pPr>
      <w:r>
        <w:rPr>
          <w:sz w:val="24"/>
          <w:szCs w:val="24"/>
        </w:rPr>
        <w:t xml:space="preserve">* requiring respondents to report information to the agency more often than quarterly; </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r>
        <w:rPr>
          <w:sz w:val="24"/>
          <w:szCs w:val="24"/>
        </w:rPr>
        <w:t xml:space="preserve">* requiring respondents to prepare a written response to a collection of information in fewer than 30 days after receipt of it; </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r>
        <w:rPr>
          <w:sz w:val="24"/>
          <w:szCs w:val="24"/>
        </w:rPr>
        <w:t xml:space="preserve">* requiring respondents to submit more than an original and two copies of any document; * requiring respondents to retain records, other than health, medical, government contract, grant-in-aid, or tax records, for more than three years; </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r>
        <w:rPr>
          <w:sz w:val="24"/>
          <w:szCs w:val="24"/>
        </w:rPr>
        <w:t xml:space="preserve">* in connection with a statistical survey, that is not designed to produce valid and reliable results that can be generalized to the universe of study; </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r>
        <w:rPr>
          <w:sz w:val="24"/>
          <w:szCs w:val="24"/>
        </w:rPr>
        <w:t xml:space="preserve">* requiring the use of a statistical data classification that has not been reviewed and approved by OMB; </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r>
        <w:rPr>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003F50" w:rsidRDefault="00003F50" w:rsidP="00003F50">
      <w:pPr>
        <w:ind w:left="720"/>
        <w:rPr>
          <w:sz w:val="24"/>
          <w:szCs w:val="24"/>
        </w:rPr>
      </w:pPr>
      <w:r>
        <w:rPr>
          <w:sz w:val="24"/>
          <w:szCs w:val="24"/>
        </w:rPr>
        <w:tab/>
        <w:t>Not applicable.</w:t>
      </w:r>
    </w:p>
    <w:p w:rsidR="00003F50" w:rsidRDefault="00003F50" w:rsidP="00003F50">
      <w:pPr>
        <w:ind w:left="720"/>
        <w:rPr>
          <w:sz w:val="24"/>
          <w:szCs w:val="24"/>
        </w:rPr>
      </w:pPr>
    </w:p>
    <w:p w:rsidR="00003F50" w:rsidRDefault="00003F50" w:rsidP="00003F50">
      <w:pPr>
        <w:ind w:left="720"/>
        <w:rPr>
          <w:sz w:val="24"/>
          <w:szCs w:val="24"/>
        </w:rPr>
      </w:pPr>
      <w:r>
        <w:rPr>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003F50" w:rsidRDefault="00003F50" w:rsidP="00003F50">
      <w:pPr>
        <w:ind w:left="720"/>
        <w:rPr>
          <w:sz w:val="24"/>
          <w:szCs w:val="24"/>
        </w:rPr>
      </w:pPr>
      <w:r>
        <w:rPr>
          <w:sz w:val="24"/>
          <w:szCs w:val="24"/>
        </w:rPr>
        <w:tab/>
        <w:t>Not applicable.</w:t>
      </w:r>
    </w:p>
    <w:p w:rsidR="00980FBF" w:rsidRPr="00474E47" w:rsidRDefault="00980FBF" w:rsidP="00003F50">
      <w:pPr>
        <w:tabs>
          <w:tab w:val="left" w:pos="600"/>
        </w:tabs>
        <w:rPr>
          <w:sz w:val="24"/>
          <w:szCs w:val="24"/>
        </w:rPr>
      </w:pPr>
    </w:p>
    <w:p w:rsidR="00980FBF" w:rsidRPr="00474E47" w:rsidRDefault="00980FBF" w:rsidP="00980FBF">
      <w:pPr>
        <w:pStyle w:val="BodyTextIndent"/>
        <w:tabs>
          <w:tab w:val="left" w:pos="360"/>
        </w:tabs>
        <w:ind w:left="360" w:hanging="360"/>
        <w:rPr>
          <w:szCs w:val="24"/>
        </w:rPr>
      </w:pPr>
    </w:p>
    <w:p w:rsidR="00980FBF" w:rsidRPr="00474E47" w:rsidRDefault="00980FBF" w:rsidP="00980FBF">
      <w:pPr>
        <w:tabs>
          <w:tab w:val="left" w:pos="360"/>
        </w:tabs>
        <w:ind w:left="360" w:hanging="360"/>
        <w:rPr>
          <w:bCs/>
          <w:sz w:val="24"/>
          <w:szCs w:val="24"/>
        </w:rPr>
      </w:pPr>
      <w:r w:rsidRPr="00474E47">
        <w:rPr>
          <w:bCs/>
          <w:sz w:val="24"/>
          <w:szCs w:val="24"/>
        </w:rPr>
        <w:t>8.</w:t>
      </w:r>
      <w:r w:rsidRPr="00474E47">
        <w:rPr>
          <w:bCs/>
          <w:sz w:val="24"/>
          <w:szCs w:val="24"/>
        </w:rPr>
        <w:tab/>
        <w:t>Solicit Public Comments</w:t>
      </w:r>
    </w:p>
    <w:p w:rsidR="00980FBF" w:rsidRPr="00474E47" w:rsidRDefault="00980FBF" w:rsidP="00980FBF">
      <w:pPr>
        <w:tabs>
          <w:tab w:val="left" w:pos="360"/>
        </w:tabs>
        <w:ind w:left="360" w:hanging="360"/>
        <w:rPr>
          <w:b/>
          <w:bCs/>
          <w:sz w:val="24"/>
          <w:szCs w:val="24"/>
        </w:rPr>
      </w:pPr>
    </w:p>
    <w:p w:rsidR="00980FBF" w:rsidRPr="00474E47" w:rsidRDefault="00980FBF" w:rsidP="00980FBF">
      <w:pPr>
        <w:keepLines/>
        <w:tabs>
          <w:tab w:val="left" w:pos="360"/>
        </w:tabs>
        <w:spacing w:after="80"/>
        <w:ind w:left="360"/>
        <w:rPr>
          <w:sz w:val="24"/>
          <w:szCs w:val="24"/>
        </w:rPr>
      </w:pPr>
      <w:r w:rsidRPr="00474E47">
        <w:rPr>
          <w:sz w:val="24"/>
          <w:szCs w:val="24"/>
        </w:rPr>
        <w:t xml:space="preserve">In accordance with the regulations at 5 CFR 1320.8(d), HUD published a </w:t>
      </w:r>
      <w:r w:rsidRPr="00474E47">
        <w:rPr>
          <w:i/>
          <w:iCs/>
          <w:sz w:val="24"/>
          <w:szCs w:val="24"/>
        </w:rPr>
        <w:t>Federal Register</w:t>
      </w:r>
      <w:r w:rsidRPr="00474E47">
        <w:rPr>
          <w:sz w:val="24"/>
          <w:szCs w:val="24"/>
        </w:rPr>
        <w:t xml:space="preserve"> notice seeking public comments on the information collection prior to submission to OMB.  The no</w:t>
      </w:r>
      <w:r w:rsidR="00835135">
        <w:rPr>
          <w:sz w:val="24"/>
          <w:szCs w:val="24"/>
        </w:rPr>
        <w:t>tice was publ</w:t>
      </w:r>
      <w:r w:rsidR="008526E1">
        <w:rPr>
          <w:sz w:val="24"/>
          <w:szCs w:val="24"/>
        </w:rPr>
        <w:t xml:space="preserve">ished on Monday, January 25, </w:t>
      </w:r>
      <w:proofErr w:type="gramStart"/>
      <w:r w:rsidR="008526E1">
        <w:rPr>
          <w:sz w:val="24"/>
          <w:szCs w:val="24"/>
        </w:rPr>
        <w:t xml:space="preserve">2016,  </w:t>
      </w:r>
      <w:r w:rsidR="00835135">
        <w:rPr>
          <w:sz w:val="24"/>
          <w:szCs w:val="24"/>
        </w:rPr>
        <w:t>(</w:t>
      </w:r>
      <w:proofErr w:type="gramEnd"/>
      <w:r w:rsidR="00835135">
        <w:rPr>
          <w:sz w:val="24"/>
          <w:szCs w:val="24"/>
        </w:rPr>
        <w:t>Vol</w:t>
      </w:r>
      <w:r w:rsidR="008526E1">
        <w:rPr>
          <w:sz w:val="24"/>
          <w:szCs w:val="24"/>
        </w:rPr>
        <w:t>.: 81</w:t>
      </w:r>
      <w:r w:rsidR="00835135">
        <w:rPr>
          <w:sz w:val="24"/>
          <w:szCs w:val="24"/>
        </w:rPr>
        <w:t>, No</w:t>
      </w:r>
      <w:r w:rsidR="008526E1">
        <w:rPr>
          <w:sz w:val="24"/>
          <w:szCs w:val="24"/>
        </w:rPr>
        <w:t>.: 15</w:t>
      </w:r>
      <w:r w:rsidR="00835135">
        <w:rPr>
          <w:sz w:val="24"/>
          <w:szCs w:val="24"/>
        </w:rPr>
        <w:t xml:space="preserve">. </w:t>
      </w:r>
      <w:r w:rsidRPr="00474E47">
        <w:rPr>
          <w:b/>
          <w:i/>
          <w:sz w:val="24"/>
          <w:szCs w:val="24"/>
        </w:rPr>
        <w:t xml:space="preserve"> </w:t>
      </w:r>
      <w:r w:rsidR="008526E1">
        <w:rPr>
          <w:sz w:val="24"/>
          <w:szCs w:val="24"/>
        </w:rPr>
        <w:t>P</w:t>
      </w:r>
      <w:r w:rsidR="00835135">
        <w:rPr>
          <w:sz w:val="24"/>
          <w:szCs w:val="24"/>
        </w:rPr>
        <w:t>age</w:t>
      </w:r>
      <w:r w:rsidR="008526E1">
        <w:rPr>
          <w:sz w:val="24"/>
          <w:szCs w:val="24"/>
        </w:rPr>
        <w:t>: 4059</w:t>
      </w:r>
      <w:r w:rsidR="00835135">
        <w:rPr>
          <w:sz w:val="24"/>
          <w:szCs w:val="24"/>
        </w:rPr>
        <w:t xml:space="preserve"> </w:t>
      </w:r>
      <w:r w:rsidR="00D8693F">
        <w:rPr>
          <w:sz w:val="24"/>
          <w:szCs w:val="24"/>
        </w:rPr>
        <w:t xml:space="preserve">).    </w:t>
      </w:r>
      <w:r w:rsidR="008526E1">
        <w:rPr>
          <w:sz w:val="24"/>
          <w:szCs w:val="24"/>
        </w:rPr>
        <w:t>No Comment were received.</w:t>
      </w:r>
      <w:r w:rsidR="00D8693F">
        <w:rPr>
          <w:sz w:val="24"/>
          <w:szCs w:val="24"/>
        </w:rPr>
        <w:t xml:space="preserve"> </w:t>
      </w:r>
    </w:p>
    <w:p w:rsidR="00980FBF" w:rsidRPr="00474E47" w:rsidRDefault="00980FBF" w:rsidP="00980FBF">
      <w:pPr>
        <w:keepLines/>
        <w:tabs>
          <w:tab w:val="left" w:pos="360"/>
        </w:tabs>
        <w:spacing w:after="80"/>
        <w:ind w:left="360"/>
        <w:rPr>
          <w:sz w:val="24"/>
          <w:szCs w:val="24"/>
        </w:rPr>
      </w:pPr>
    </w:p>
    <w:p w:rsidR="00980FBF" w:rsidRPr="00474E47" w:rsidRDefault="00980FBF" w:rsidP="00980FBF">
      <w:pPr>
        <w:pStyle w:val="BodyTextIndent"/>
        <w:keepNext/>
        <w:tabs>
          <w:tab w:val="left" w:pos="360"/>
        </w:tabs>
        <w:ind w:left="360" w:hanging="360"/>
        <w:rPr>
          <w:b/>
          <w:bCs/>
          <w:szCs w:val="24"/>
        </w:rPr>
      </w:pPr>
      <w:r w:rsidRPr="00474E47">
        <w:rPr>
          <w:bCs/>
          <w:szCs w:val="24"/>
        </w:rPr>
        <w:lastRenderedPageBreak/>
        <w:t>9.</w:t>
      </w:r>
      <w:r w:rsidRPr="00474E47">
        <w:rPr>
          <w:bCs/>
          <w:szCs w:val="24"/>
        </w:rPr>
        <w:tab/>
      </w:r>
      <w:r w:rsidRPr="00474E47">
        <w:rPr>
          <w:szCs w:val="24"/>
        </w:rPr>
        <w:t xml:space="preserve">There are no payments to respondents. </w:t>
      </w:r>
    </w:p>
    <w:p w:rsidR="00980FBF" w:rsidRPr="00474E47" w:rsidRDefault="00980FBF" w:rsidP="00980FBF">
      <w:pPr>
        <w:pStyle w:val="BodyTextIndent"/>
        <w:keepNext/>
        <w:tabs>
          <w:tab w:val="left" w:pos="360"/>
        </w:tabs>
        <w:ind w:left="360" w:hanging="360"/>
        <w:rPr>
          <w:b/>
          <w:bCs/>
          <w:szCs w:val="24"/>
        </w:rPr>
      </w:pPr>
    </w:p>
    <w:p w:rsidR="00980FBF" w:rsidRPr="00474E47" w:rsidRDefault="00980FBF" w:rsidP="00980FBF">
      <w:pPr>
        <w:keepLines/>
        <w:tabs>
          <w:tab w:val="left" w:pos="360"/>
        </w:tabs>
        <w:spacing w:after="80"/>
        <w:ind w:left="360" w:hanging="360"/>
        <w:rPr>
          <w:sz w:val="24"/>
          <w:szCs w:val="24"/>
        </w:rPr>
      </w:pPr>
      <w:r w:rsidRPr="00474E47">
        <w:rPr>
          <w:bCs/>
          <w:sz w:val="24"/>
          <w:szCs w:val="24"/>
        </w:rPr>
        <w:t>10.</w:t>
      </w:r>
      <w:r w:rsidRPr="00474E47">
        <w:rPr>
          <w:b/>
          <w:bCs/>
          <w:sz w:val="24"/>
          <w:szCs w:val="24"/>
        </w:rPr>
        <w:tab/>
      </w:r>
      <w:r w:rsidRPr="00474E47">
        <w:rPr>
          <w:bCs/>
          <w:sz w:val="24"/>
          <w:szCs w:val="24"/>
        </w:rPr>
        <w:t>No assurance of confidentiality is provided.</w:t>
      </w:r>
      <w:r w:rsidRPr="00474E47">
        <w:rPr>
          <w:b/>
          <w:bCs/>
          <w:sz w:val="24"/>
          <w:szCs w:val="24"/>
        </w:rPr>
        <w:t xml:space="preserve">  </w:t>
      </w:r>
      <w:r w:rsidRPr="00474E47">
        <w:rPr>
          <w:sz w:val="24"/>
          <w:szCs w:val="24"/>
        </w:rPr>
        <w:t xml:space="preserve">The HECM Counseling Session Evaluation is not subject to the Privacy Act since there is no personal information requested from the respondents.   </w:t>
      </w:r>
    </w:p>
    <w:p w:rsidR="00980FBF" w:rsidRPr="00474E47" w:rsidRDefault="00980FBF" w:rsidP="00980FBF">
      <w:pPr>
        <w:pStyle w:val="BodyTextIndent"/>
        <w:keepNext/>
        <w:tabs>
          <w:tab w:val="left" w:pos="360"/>
        </w:tabs>
        <w:ind w:left="360" w:hanging="360"/>
        <w:rPr>
          <w:szCs w:val="24"/>
        </w:rPr>
      </w:pPr>
    </w:p>
    <w:p w:rsidR="00980FBF" w:rsidRPr="00474E47" w:rsidRDefault="00980FBF" w:rsidP="00980FBF">
      <w:pPr>
        <w:pStyle w:val="BodyTextIndent"/>
        <w:keepNext/>
        <w:tabs>
          <w:tab w:val="left" w:pos="360"/>
        </w:tabs>
        <w:ind w:left="360" w:hanging="360"/>
        <w:rPr>
          <w:bCs/>
          <w:szCs w:val="24"/>
        </w:rPr>
      </w:pPr>
      <w:r w:rsidRPr="00474E47">
        <w:rPr>
          <w:bCs/>
          <w:szCs w:val="24"/>
        </w:rPr>
        <w:t>11.</w:t>
      </w:r>
      <w:r w:rsidRPr="00474E47">
        <w:rPr>
          <w:bCs/>
          <w:szCs w:val="24"/>
        </w:rPr>
        <w:tab/>
        <w:t>Sensitive Information</w:t>
      </w:r>
    </w:p>
    <w:p w:rsidR="00980FBF" w:rsidRPr="00474E47" w:rsidRDefault="00980FBF" w:rsidP="00980FBF">
      <w:pPr>
        <w:pStyle w:val="BodyTextIndent"/>
        <w:keepNext/>
        <w:tabs>
          <w:tab w:val="left" w:pos="360"/>
        </w:tabs>
        <w:ind w:left="360" w:hanging="360"/>
        <w:rPr>
          <w:szCs w:val="24"/>
        </w:rPr>
      </w:pPr>
    </w:p>
    <w:p w:rsidR="00980FBF" w:rsidRPr="00474E47" w:rsidRDefault="00980FBF" w:rsidP="00003F50">
      <w:pPr>
        <w:keepLines/>
        <w:tabs>
          <w:tab w:val="left" w:pos="360"/>
          <w:tab w:val="left" w:pos="720"/>
        </w:tabs>
        <w:ind w:left="360" w:hanging="360"/>
        <w:rPr>
          <w:sz w:val="24"/>
          <w:szCs w:val="24"/>
        </w:rPr>
      </w:pPr>
      <w:r w:rsidRPr="00474E47">
        <w:rPr>
          <w:sz w:val="24"/>
          <w:szCs w:val="24"/>
        </w:rPr>
        <w:t xml:space="preserve">      There are no </w:t>
      </w:r>
      <w:r w:rsidR="00003F50">
        <w:rPr>
          <w:sz w:val="24"/>
          <w:szCs w:val="24"/>
        </w:rPr>
        <w:t>questions of a sensitive nature that are asked in the</w:t>
      </w:r>
      <w:r w:rsidR="00003F50" w:rsidRPr="00474E47">
        <w:rPr>
          <w:sz w:val="24"/>
          <w:szCs w:val="24"/>
        </w:rPr>
        <w:t xml:space="preserve"> HECM Counseling Session Evaluation</w:t>
      </w:r>
      <w:r w:rsidR="00003F50">
        <w:rPr>
          <w:sz w:val="24"/>
          <w:szCs w:val="24"/>
        </w:rPr>
        <w:t>.</w:t>
      </w:r>
    </w:p>
    <w:p w:rsidR="00980FBF" w:rsidRPr="00474E47" w:rsidRDefault="00980FBF" w:rsidP="00980FBF">
      <w:pPr>
        <w:keepLines/>
        <w:tabs>
          <w:tab w:val="left" w:pos="360"/>
          <w:tab w:val="left" w:pos="720"/>
        </w:tabs>
        <w:ind w:left="360" w:hanging="360"/>
        <w:rPr>
          <w:sz w:val="24"/>
          <w:szCs w:val="24"/>
        </w:rPr>
      </w:pPr>
    </w:p>
    <w:p w:rsidR="00980FBF" w:rsidRPr="00474E47" w:rsidRDefault="00980FBF" w:rsidP="00980FBF">
      <w:pPr>
        <w:keepLines/>
        <w:tabs>
          <w:tab w:val="left" w:pos="360"/>
          <w:tab w:val="left" w:pos="720"/>
        </w:tabs>
        <w:ind w:left="360" w:hanging="360"/>
        <w:rPr>
          <w:sz w:val="24"/>
          <w:szCs w:val="24"/>
        </w:rPr>
      </w:pPr>
    </w:p>
    <w:p w:rsidR="00980FBF" w:rsidRPr="00474E47" w:rsidRDefault="00980FBF" w:rsidP="00980FBF">
      <w:pPr>
        <w:keepLines/>
        <w:tabs>
          <w:tab w:val="left" w:pos="360"/>
          <w:tab w:val="left" w:pos="720"/>
        </w:tabs>
        <w:ind w:left="360" w:hanging="360"/>
        <w:rPr>
          <w:sz w:val="24"/>
          <w:szCs w:val="24"/>
        </w:rPr>
      </w:pPr>
      <w:r w:rsidRPr="00474E47">
        <w:rPr>
          <w:sz w:val="24"/>
          <w:szCs w:val="24"/>
        </w:rPr>
        <w:t>12. Annual Reporting Burden</w:t>
      </w:r>
    </w:p>
    <w:p w:rsidR="00980FBF" w:rsidRPr="00474E47" w:rsidRDefault="00980FBF" w:rsidP="00980FBF">
      <w:pPr>
        <w:keepLines/>
        <w:tabs>
          <w:tab w:val="left" w:pos="360"/>
          <w:tab w:val="left" w:pos="720"/>
        </w:tabs>
        <w:ind w:left="360" w:hanging="360"/>
        <w:rPr>
          <w:sz w:val="24"/>
          <w:szCs w:val="24"/>
        </w:rPr>
      </w:pPr>
    </w:p>
    <w:p w:rsidR="00980FBF" w:rsidRPr="00474E47" w:rsidRDefault="00980FBF" w:rsidP="00980FBF">
      <w:pPr>
        <w:pStyle w:val="BodyText3"/>
        <w:ind w:left="360"/>
        <w:rPr>
          <w:color w:val="auto"/>
          <w:szCs w:val="24"/>
        </w:rPr>
      </w:pPr>
      <w:r w:rsidRPr="00474E47">
        <w:rPr>
          <w:color w:val="auto"/>
          <w:szCs w:val="24"/>
        </w:rPr>
        <w:tab/>
      </w:r>
    </w:p>
    <w:tbl>
      <w:tblPr>
        <w:tblW w:w="10221"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497"/>
        <w:gridCol w:w="1311"/>
        <w:gridCol w:w="1296"/>
        <w:gridCol w:w="1299"/>
        <w:gridCol w:w="990"/>
        <w:gridCol w:w="990"/>
        <w:gridCol w:w="1203"/>
        <w:gridCol w:w="15"/>
      </w:tblGrid>
      <w:tr w:rsidR="002C176B" w:rsidRPr="00474E47" w:rsidTr="002C176B">
        <w:trPr>
          <w:trHeight w:val="467"/>
        </w:trPr>
        <w:tc>
          <w:tcPr>
            <w:tcW w:w="1620" w:type="dxa"/>
          </w:tcPr>
          <w:p w:rsidR="002C176B" w:rsidRPr="002C176B" w:rsidRDefault="002C176B" w:rsidP="00B7608D">
            <w:pPr>
              <w:pStyle w:val="BodyText3"/>
              <w:keepNext/>
              <w:jc w:val="center"/>
              <w:rPr>
                <w:b/>
                <w:i/>
                <w:color w:val="auto"/>
                <w:szCs w:val="24"/>
              </w:rPr>
            </w:pPr>
          </w:p>
        </w:tc>
        <w:tc>
          <w:tcPr>
            <w:tcW w:w="8601" w:type="dxa"/>
            <w:gridSpan w:val="8"/>
          </w:tcPr>
          <w:p w:rsidR="002C176B" w:rsidRPr="00474E47" w:rsidRDefault="002C176B" w:rsidP="00B7608D">
            <w:pPr>
              <w:pStyle w:val="BodyText3"/>
              <w:keepNext/>
              <w:jc w:val="center"/>
              <w:rPr>
                <w:b/>
                <w:color w:val="auto"/>
                <w:szCs w:val="24"/>
              </w:rPr>
            </w:pPr>
            <w:r>
              <w:rPr>
                <w:b/>
                <w:color w:val="auto"/>
                <w:szCs w:val="24"/>
              </w:rPr>
              <w:t>HECM Counseling Clients</w:t>
            </w:r>
            <w:r w:rsidRPr="00474E47">
              <w:rPr>
                <w:b/>
                <w:color w:val="auto"/>
                <w:szCs w:val="24"/>
              </w:rPr>
              <w:t xml:space="preserve"> </w:t>
            </w:r>
          </w:p>
        </w:tc>
      </w:tr>
      <w:tr w:rsidR="002C176B" w:rsidRPr="00474E47" w:rsidTr="002C176B">
        <w:trPr>
          <w:gridAfter w:val="1"/>
          <w:wAfter w:w="15" w:type="dxa"/>
          <w:trHeight w:val="503"/>
        </w:trPr>
        <w:tc>
          <w:tcPr>
            <w:tcW w:w="1620" w:type="dxa"/>
          </w:tcPr>
          <w:p w:rsidR="002C176B" w:rsidRPr="002C176B" w:rsidRDefault="002C176B" w:rsidP="00B7608D">
            <w:pPr>
              <w:pStyle w:val="BodyText3"/>
              <w:jc w:val="center"/>
              <w:rPr>
                <w:b/>
                <w:i/>
                <w:color w:val="auto"/>
                <w:sz w:val="22"/>
                <w:szCs w:val="22"/>
              </w:rPr>
            </w:pPr>
            <w:r w:rsidRPr="002C176B">
              <w:rPr>
                <w:b/>
                <w:i/>
                <w:color w:val="auto"/>
                <w:sz w:val="22"/>
                <w:szCs w:val="22"/>
              </w:rPr>
              <w:t>Form</w:t>
            </w:r>
          </w:p>
        </w:tc>
        <w:tc>
          <w:tcPr>
            <w:tcW w:w="1497" w:type="dxa"/>
          </w:tcPr>
          <w:p w:rsidR="002C176B" w:rsidRPr="00474E47" w:rsidRDefault="002C176B" w:rsidP="00B7608D">
            <w:pPr>
              <w:pStyle w:val="BodyText3"/>
              <w:jc w:val="center"/>
              <w:rPr>
                <w:b/>
                <w:color w:val="auto"/>
                <w:sz w:val="22"/>
                <w:szCs w:val="22"/>
              </w:rPr>
            </w:pPr>
            <w:r w:rsidRPr="00474E47">
              <w:rPr>
                <w:b/>
                <w:color w:val="auto"/>
                <w:sz w:val="22"/>
                <w:szCs w:val="22"/>
              </w:rPr>
              <w:t>Number of Respondents</w:t>
            </w:r>
          </w:p>
        </w:tc>
        <w:tc>
          <w:tcPr>
            <w:tcW w:w="1311" w:type="dxa"/>
          </w:tcPr>
          <w:p w:rsidR="002C176B" w:rsidRDefault="002C176B" w:rsidP="00B7608D">
            <w:pPr>
              <w:pStyle w:val="BodyText3"/>
              <w:jc w:val="center"/>
              <w:rPr>
                <w:b/>
                <w:color w:val="auto"/>
                <w:sz w:val="22"/>
                <w:szCs w:val="22"/>
              </w:rPr>
            </w:pPr>
            <w:r>
              <w:rPr>
                <w:b/>
                <w:color w:val="auto"/>
                <w:sz w:val="22"/>
                <w:szCs w:val="22"/>
              </w:rPr>
              <w:t xml:space="preserve">Number of </w:t>
            </w:r>
          </w:p>
          <w:p w:rsidR="002C176B" w:rsidRPr="00474E47" w:rsidRDefault="002C176B" w:rsidP="00B7608D">
            <w:pPr>
              <w:pStyle w:val="BodyText3"/>
              <w:jc w:val="center"/>
              <w:rPr>
                <w:b/>
                <w:color w:val="auto"/>
                <w:sz w:val="22"/>
                <w:szCs w:val="22"/>
              </w:rPr>
            </w:pPr>
            <w:r>
              <w:rPr>
                <w:b/>
                <w:color w:val="auto"/>
                <w:sz w:val="22"/>
                <w:szCs w:val="22"/>
              </w:rPr>
              <w:t>Responses</w:t>
            </w:r>
          </w:p>
        </w:tc>
        <w:tc>
          <w:tcPr>
            <w:tcW w:w="1296" w:type="dxa"/>
          </w:tcPr>
          <w:p w:rsidR="002C176B" w:rsidRPr="00474E47" w:rsidRDefault="002C176B" w:rsidP="00B7608D">
            <w:pPr>
              <w:pStyle w:val="BodyText3"/>
              <w:jc w:val="center"/>
              <w:rPr>
                <w:b/>
                <w:color w:val="auto"/>
                <w:sz w:val="22"/>
                <w:szCs w:val="22"/>
              </w:rPr>
            </w:pPr>
            <w:r w:rsidRPr="00474E47">
              <w:rPr>
                <w:b/>
                <w:color w:val="auto"/>
                <w:sz w:val="22"/>
                <w:szCs w:val="22"/>
              </w:rPr>
              <w:t>Frequency of Responses</w:t>
            </w:r>
          </w:p>
        </w:tc>
        <w:tc>
          <w:tcPr>
            <w:tcW w:w="1299" w:type="dxa"/>
          </w:tcPr>
          <w:p w:rsidR="002C176B" w:rsidRPr="00474E47" w:rsidRDefault="002C176B" w:rsidP="00B7608D">
            <w:pPr>
              <w:pStyle w:val="BodyText3"/>
              <w:jc w:val="center"/>
              <w:rPr>
                <w:b/>
                <w:color w:val="auto"/>
                <w:sz w:val="22"/>
                <w:szCs w:val="22"/>
              </w:rPr>
            </w:pPr>
            <w:r w:rsidRPr="00474E47">
              <w:rPr>
                <w:b/>
                <w:color w:val="auto"/>
                <w:sz w:val="22"/>
                <w:szCs w:val="22"/>
              </w:rPr>
              <w:t>Hours of Response</w:t>
            </w:r>
          </w:p>
        </w:tc>
        <w:tc>
          <w:tcPr>
            <w:tcW w:w="990" w:type="dxa"/>
          </w:tcPr>
          <w:p w:rsidR="002C176B" w:rsidRPr="00474E47" w:rsidRDefault="002C176B" w:rsidP="00B7608D">
            <w:pPr>
              <w:pStyle w:val="BodyText3"/>
              <w:jc w:val="center"/>
              <w:rPr>
                <w:b/>
                <w:color w:val="auto"/>
                <w:sz w:val="22"/>
                <w:szCs w:val="22"/>
              </w:rPr>
            </w:pPr>
            <w:r w:rsidRPr="00474E47">
              <w:rPr>
                <w:b/>
                <w:color w:val="auto"/>
                <w:sz w:val="22"/>
                <w:szCs w:val="22"/>
              </w:rPr>
              <w:t>Burden of Hours</w:t>
            </w:r>
          </w:p>
        </w:tc>
        <w:tc>
          <w:tcPr>
            <w:tcW w:w="990" w:type="dxa"/>
          </w:tcPr>
          <w:p w:rsidR="002C176B" w:rsidRPr="00474E47" w:rsidRDefault="002C176B" w:rsidP="00B7608D">
            <w:pPr>
              <w:pStyle w:val="BodyText3"/>
              <w:jc w:val="center"/>
              <w:rPr>
                <w:b/>
                <w:color w:val="auto"/>
                <w:sz w:val="22"/>
                <w:szCs w:val="22"/>
              </w:rPr>
            </w:pPr>
            <w:r w:rsidRPr="00474E47">
              <w:rPr>
                <w:b/>
                <w:color w:val="auto"/>
                <w:sz w:val="22"/>
                <w:szCs w:val="22"/>
              </w:rPr>
              <w:t>Hourly Rate</w:t>
            </w:r>
          </w:p>
        </w:tc>
        <w:tc>
          <w:tcPr>
            <w:tcW w:w="1203" w:type="dxa"/>
          </w:tcPr>
          <w:p w:rsidR="002C176B" w:rsidRPr="00474E47" w:rsidRDefault="002C176B" w:rsidP="00B7608D">
            <w:pPr>
              <w:pStyle w:val="BodyText3"/>
              <w:jc w:val="center"/>
              <w:rPr>
                <w:b/>
                <w:color w:val="auto"/>
                <w:sz w:val="22"/>
                <w:szCs w:val="22"/>
              </w:rPr>
            </w:pPr>
            <w:r w:rsidRPr="00474E47">
              <w:rPr>
                <w:b/>
                <w:color w:val="auto"/>
                <w:sz w:val="22"/>
                <w:szCs w:val="22"/>
              </w:rPr>
              <w:t>Total Cost</w:t>
            </w:r>
          </w:p>
        </w:tc>
      </w:tr>
      <w:tr w:rsidR="002C176B" w:rsidRPr="00474E47" w:rsidTr="002C176B">
        <w:trPr>
          <w:gridAfter w:val="1"/>
          <w:wAfter w:w="15" w:type="dxa"/>
          <w:trHeight w:val="440"/>
        </w:trPr>
        <w:tc>
          <w:tcPr>
            <w:tcW w:w="1620" w:type="dxa"/>
          </w:tcPr>
          <w:p w:rsidR="002C176B" w:rsidRPr="002C176B" w:rsidRDefault="002C176B" w:rsidP="00B7608D">
            <w:pPr>
              <w:pStyle w:val="BodyText3"/>
              <w:ind w:right="72"/>
              <w:jc w:val="right"/>
              <w:rPr>
                <w:i/>
                <w:color w:val="auto"/>
                <w:szCs w:val="24"/>
              </w:rPr>
            </w:pPr>
            <w:r w:rsidRPr="002C176B">
              <w:rPr>
                <w:i/>
                <w:color w:val="auto"/>
                <w:szCs w:val="24"/>
              </w:rPr>
              <w:t>HUD</w:t>
            </w:r>
            <w:r w:rsidRPr="00D8693F">
              <w:rPr>
                <w:i/>
                <w:color w:val="auto"/>
                <w:szCs w:val="24"/>
              </w:rPr>
              <w:t>-(92911)</w:t>
            </w:r>
          </w:p>
        </w:tc>
        <w:tc>
          <w:tcPr>
            <w:tcW w:w="1497" w:type="dxa"/>
          </w:tcPr>
          <w:p w:rsidR="002C176B" w:rsidRPr="00474E47" w:rsidRDefault="0025584E" w:rsidP="00B7608D">
            <w:pPr>
              <w:pStyle w:val="BodyText3"/>
              <w:ind w:right="162"/>
              <w:jc w:val="right"/>
              <w:rPr>
                <w:color w:val="auto"/>
                <w:szCs w:val="24"/>
              </w:rPr>
            </w:pPr>
            <w:r>
              <w:rPr>
                <w:color w:val="auto"/>
                <w:szCs w:val="24"/>
              </w:rPr>
              <w:t>300</w:t>
            </w:r>
          </w:p>
        </w:tc>
        <w:tc>
          <w:tcPr>
            <w:tcW w:w="1311" w:type="dxa"/>
          </w:tcPr>
          <w:p w:rsidR="002C176B" w:rsidRPr="00474E47" w:rsidRDefault="00AA1264" w:rsidP="00B7608D">
            <w:pPr>
              <w:pStyle w:val="BodyText3"/>
              <w:ind w:right="162"/>
              <w:jc w:val="right"/>
              <w:rPr>
                <w:color w:val="auto"/>
                <w:szCs w:val="24"/>
              </w:rPr>
            </w:pPr>
            <w:r>
              <w:rPr>
                <w:color w:val="auto"/>
                <w:szCs w:val="24"/>
              </w:rPr>
              <w:t>300</w:t>
            </w:r>
          </w:p>
        </w:tc>
        <w:tc>
          <w:tcPr>
            <w:tcW w:w="1296" w:type="dxa"/>
          </w:tcPr>
          <w:p w:rsidR="002C176B" w:rsidRPr="00474E47" w:rsidRDefault="002C176B" w:rsidP="002C176B">
            <w:pPr>
              <w:pStyle w:val="BodyText3"/>
              <w:ind w:right="162"/>
              <w:jc w:val="center"/>
              <w:rPr>
                <w:color w:val="auto"/>
                <w:szCs w:val="24"/>
              </w:rPr>
            </w:pPr>
            <w:r w:rsidRPr="00474E47">
              <w:rPr>
                <w:color w:val="auto"/>
                <w:szCs w:val="24"/>
              </w:rPr>
              <w:t>1</w:t>
            </w:r>
          </w:p>
        </w:tc>
        <w:tc>
          <w:tcPr>
            <w:tcW w:w="1299" w:type="dxa"/>
          </w:tcPr>
          <w:p w:rsidR="002C176B" w:rsidRPr="00474E47" w:rsidRDefault="00907B6C" w:rsidP="00907B6C">
            <w:pPr>
              <w:pStyle w:val="BodyText3"/>
              <w:ind w:right="162"/>
              <w:jc w:val="right"/>
              <w:rPr>
                <w:color w:val="auto"/>
                <w:szCs w:val="24"/>
              </w:rPr>
            </w:pPr>
            <w:r>
              <w:rPr>
                <w:color w:val="auto"/>
                <w:szCs w:val="24"/>
              </w:rPr>
              <w:t>.17</w:t>
            </w:r>
          </w:p>
        </w:tc>
        <w:tc>
          <w:tcPr>
            <w:tcW w:w="990" w:type="dxa"/>
          </w:tcPr>
          <w:p w:rsidR="002C176B" w:rsidRPr="00474E47" w:rsidRDefault="002C176B" w:rsidP="004511C6">
            <w:pPr>
              <w:pStyle w:val="BodyText3"/>
              <w:tabs>
                <w:tab w:val="left" w:pos="252"/>
                <w:tab w:val="left" w:pos="432"/>
                <w:tab w:val="left" w:pos="522"/>
                <w:tab w:val="left" w:pos="612"/>
              </w:tabs>
              <w:ind w:right="-27"/>
              <w:jc w:val="center"/>
              <w:rPr>
                <w:color w:val="auto"/>
                <w:szCs w:val="24"/>
              </w:rPr>
            </w:pPr>
            <w:r w:rsidRPr="00474E47">
              <w:rPr>
                <w:color w:val="auto"/>
                <w:szCs w:val="24"/>
              </w:rPr>
              <w:t>5</w:t>
            </w:r>
            <w:r w:rsidR="004511C6">
              <w:rPr>
                <w:color w:val="auto"/>
                <w:szCs w:val="24"/>
              </w:rPr>
              <w:t>1</w:t>
            </w:r>
          </w:p>
        </w:tc>
        <w:tc>
          <w:tcPr>
            <w:tcW w:w="990" w:type="dxa"/>
          </w:tcPr>
          <w:p w:rsidR="002C176B" w:rsidRPr="00474E47" w:rsidRDefault="002C176B" w:rsidP="00B7608D">
            <w:pPr>
              <w:pStyle w:val="BodyText3"/>
              <w:tabs>
                <w:tab w:val="left" w:pos="252"/>
                <w:tab w:val="left" w:pos="432"/>
                <w:tab w:val="left" w:pos="522"/>
                <w:tab w:val="left" w:pos="612"/>
              </w:tabs>
              <w:ind w:right="-27"/>
              <w:jc w:val="center"/>
              <w:rPr>
                <w:color w:val="auto"/>
                <w:szCs w:val="24"/>
              </w:rPr>
            </w:pPr>
            <w:r w:rsidRPr="00474E47">
              <w:rPr>
                <w:color w:val="auto"/>
                <w:szCs w:val="24"/>
              </w:rPr>
              <w:t>$12</w:t>
            </w:r>
            <w:r w:rsidR="000D6F88">
              <w:rPr>
                <w:color w:val="auto"/>
                <w:szCs w:val="24"/>
              </w:rPr>
              <w:t>.00</w:t>
            </w:r>
          </w:p>
        </w:tc>
        <w:tc>
          <w:tcPr>
            <w:tcW w:w="1203" w:type="dxa"/>
          </w:tcPr>
          <w:p w:rsidR="002C176B" w:rsidRPr="00474E47" w:rsidRDefault="002C176B" w:rsidP="004511C6">
            <w:pPr>
              <w:pStyle w:val="BodyText3"/>
              <w:ind w:right="162"/>
              <w:jc w:val="right"/>
              <w:rPr>
                <w:color w:val="auto"/>
                <w:szCs w:val="24"/>
              </w:rPr>
            </w:pPr>
            <w:r w:rsidRPr="00474E47">
              <w:rPr>
                <w:color w:val="auto"/>
                <w:szCs w:val="24"/>
              </w:rPr>
              <w:t>$6</w:t>
            </w:r>
            <w:r w:rsidR="004511C6">
              <w:rPr>
                <w:color w:val="auto"/>
                <w:szCs w:val="24"/>
              </w:rPr>
              <w:t>12</w:t>
            </w:r>
            <w:r w:rsidR="000D6F88">
              <w:rPr>
                <w:color w:val="auto"/>
                <w:szCs w:val="24"/>
              </w:rPr>
              <w:t>.00</w:t>
            </w:r>
          </w:p>
        </w:tc>
      </w:tr>
      <w:tr w:rsidR="002C176B" w:rsidRPr="00474E47" w:rsidTr="002C176B">
        <w:tc>
          <w:tcPr>
            <w:tcW w:w="1620" w:type="dxa"/>
          </w:tcPr>
          <w:p w:rsidR="002C176B" w:rsidRPr="002C176B" w:rsidRDefault="002C176B" w:rsidP="00B7608D">
            <w:pPr>
              <w:rPr>
                <w:i/>
                <w:sz w:val="24"/>
                <w:szCs w:val="24"/>
              </w:rPr>
            </w:pPr>
          </w:p>
        </w:tc>
        <w:tc>
          <w:tcPr>
            <w:tcW w:w="8601" w:type="dxa"/>
            <w:gridSpan w:val="8"/>
          </w:tcPr>
          <w:p w:rsidR="002C176B" w:rsidRPr="00474E47" w:rsidRDefault="002C176B" w:rsidP="00B7608D">
            <w:pPr>
              <w:rPr>
                <w:sz w:val="24"/>
                <w:szCs w:val="24"/>
              </w:rPr>
            </w:pPr>
            <w:r>
              <w:rPr>
                <w:sz w:val="24"/>
                <w:szCs w:val="24"/>
              </w:rPr>
              <w:t>The 300</w:t>
            </w:r>
            <w:r w:rsidRPr="00474E47">
              <w:rPr>
                <w:sz w:val="24"/>
                <w:szCs w:val="24"/>
              </w:rPr>
              <w:t xml:space="preserve"> respondents represent the number of consumers receiving HECM counsel</w:t>
            </w:r>
            <w:r w:rsidR="00727511">
              <w:rPr>
                <w:sz w:val="24"/>
                <w:szCs w:val="24"/>
              </w:rPr>
              <w:t>ing who are likely to respond.  $12.00/hour rate based on average rate for Housing Counseling agencies which ranged from about $11.50/hour to $13.50/hour.</w:t>
            </w:r>
          </w:p>
        </w:tc>
      </w:tr>
    </w:tbl>
    <w:p w:rsidR="008400BD" w:rsidRDefault="008400BD" w:rsidP="00980FBF">
      <w:pPr>
        <w:jc w:val="center"/>
        <w:rPr>
          <w:szCs w:val="24"/>
        </w:rPr>
      </w:pPr>
    </w:p>
    <w:p w:rsidR="00980FBF" w:rsidRPr="00474E47" w:rsidRDefault="00980FBF" w:rsidP="00980FBF">
      <w:pPr>
        <w:jc w:val="center"/>
        <w:rPr>
          <w:sz w:val="24"/>
          <w:szCs w:val="24"/>
        </w:rPr>
      </w:pPr>
      <w:r w:rsidRPr="00474E47">
        <w:rPr>
          <w:szCs w:val="24"/>
        </w:rPr>
        <w:t>.</w:t>
      </w:r>
    </w:p>
    <w:p w:rsidR="00980FBF" w:rsidRPr="00474E47" w:rsidRDefault="00980FBF" w:rsidP="00980FBF">
      <w:pPr>
        <w:keepLines/>
        <w:tabs>
          <w:tab w:val="left" w:pos="360"/>
          <w:tab w:val="left" w:pos="720"/>
        </w:tabs>
        <w:ind w:left="360" w:hanging="360"/>
        <w:rPr>
          <w:sz w:val="24"/>
          <w:szCs w:val="24"/>
        </w:rPr>
      </w:pPr>
    </w:p>
    <w:p w:rsidR="00980FBF" w:rsidRPr="00474E47" w:rsidRDefault="00980FBF" w:rsidP="00980FBF">
      <w:pPr>
        <w:tabs>
          <w:tab w:val="left" w:pos="360"/>
        </w:tabs>
        <w:ind w:left="360" w:hanging="360"/>
        <w:rPr>
          <w:sz w:val="24"/>
          <w:szCs w:val="24"/>
        </w:rPr>
      </w:pPr>
      <w:r w:rsidRPr="00474E47">
        <w:rPr>
          <w:sz w:val="24"/>
          <w:szCs w:val="24"/>
        </w:rPr>
        <w:t xml:space="preserve">         </w:t>
      </w:r>
    </w:p>
    <w:p w:rsidR="00980FBF" w:rsidRPr="00474E47" w:rsidRDefault="00980FBF" w:rsidP="00980FBF">
      <w:pPr>
        <w:pStyle w:val="BodyTextIndent"/>
        <w:tabs>
          <w:tab w:val="left" w:pos="360"/>
        </w:tabs>
        <w:ind w:left="0" w:firstLine="0"/>
        <w:rPr>
          <w:szCs w:val="24"/>
        </w:rPr>
      </w:pPr>
      <w:r w:rsidRPr="00474E47">
        <w:rPr>
          <w:szCs w:val="24"/>
        </w:rPr>
        <w:t>13.</w:t>
      </w:r>
      <w:r w:rsidRPr="00474E47">
        <w:rPr>
          <w:szCs w:val="24"/>
        </w:rPr>
        <w:tab/>
        <w:t>There are no additional costs to respondents.</w:t>
      </w:r>
    </w:p>
    <w:p w:rsidR="00980FBF" w:rsidRPr="00474E47" w:rsidRDefault="00980FBF" w:rsidP="00980FBF">
      <w:pPr>
        <w:pStyle w:val="BodyText"/>
        <w:tabs>
          <w:tab w:val="left" w:pos="360"/>
        </w:tabs>
        <w:ind w:left="360" w:hanging="360"/>
        <w:rPr>
          <w:szCs w:val="24"/>
        </w:rPr>
      </w:pPr>
    </w:p>
    <w:p w:rsidR="00980FBF" w:rsidRPr="00474E47" w:rsidRDefault="00980FBF" w:rsidP="00980FBF">
      <w:pPr>
        <w:keepNext/>
        <w:tabs>
          <w:tab w:val="left" w:pos="360"/>
        </w:tabs>
        <w:ind w:left="360" w:hanging="360"/>
        <w:rPr>
          <w:bCs/>
          <w:sz w:val="24"/>
          <w:szCs w:val="24"/>
        </w:rPr>
      </w:pPr>
      <w:r w:rsidRPr="00474E47">
        <w:rPr>
          <w:bCs/>
          <w:sz w:val="24"/>
          <w:szCs w:val="24"/>
        </w:rPr>
        <w:t>14. Costs to the Federal Government</w:t>
      </w:r>
      <w:r w:rsidR="007E062A">
        <w:rPr>
          <w:bCs/>
          <w:sz w:val="24"/>
          <w:szCs w:val="24"/>
        </w:rPr>
        <w:t>:</w:t>
      </w:r>
    </w:p>
    <w:p w:rsidR="00980FBF" w:rsidRPr="00474E47" w:rsidRDefault="00980FBF" w:rsidP="00980FBF">
      <w:pPr>
        <w:keepNext/>
        <w:tabs>
          <w:tab w:val="left" w:pos="360"/>
        </w:tabs>
        <w:ind w:left="360" w:hanging="360"/>
        <w:rPr>
          <w:bCs/>
          <w:sz w:val="24"/>
          <w:szCs w:val="24"/>
        </w:rPr>
      </w:pPr>
    </w:p>
    <w:p w:rsidR="00980FBF" w:rsidRPr="00474E47" w:rsidRDefault="00980FBF" w:rsidP="00980FBF">
      <w:pPr>
        <w:keepNext/>
        <w:tabs>
          <w:tab w:val="left" w:pos="360"/>
        </w:tabs>
        <w:ind w:left="360" w:hanging="360"/>
        <w:rPr>
          <w:bCs/>
          <w:sz w:val="24"/>
          <w:szCs w:val="24"/>
        </w:rPr>
      </w:pPr>
      <w:r w:rsidRPr="00474E47">
        <w:rPr>
          <w:bCs/>
          <w:sz w:val="24"/>
          <w:szCs w:val="24"/>
        </w:rPr>
        <w:tab/>
        <w:t>There is no cost to the Federal Government.</w:t>
      </w:r>
    </w:p>
    <w:p w:rsidR="00980FBF" w:rsidRPr="00474E47" w:rsidRDefault="00980FBF" w:rsidP="00980FBF">
      <w:pPr>
        <w:pStyle w:val="Enclosure"/>
        <w:overflowPunct w:val="0"/>
        <w:autoSpaceDE w:val="0"/>
        <w:autoSpaceDN w:val="0"/>
        <w:adjustRightInd w:val="0"/>
        <w:textAlignment w:val="baseline"/>
        <w:rPr>
          <w:rFonts w:ascii="Times New Roman" w:hAnsi="Times New Roman" w:cs="Times New Roman"/>
        </w:rPr>
      </w:pPr>
    </w:p>
    <w:p w:rsidR="00980FBF" w:rsidRPr="00474E47" w:rsidRDefault="00980FBF" w:rsidP="00980FBF">
      <w:pPr>
        <w:keepNext/>
        <w:tabs>
          <w:tab w:val="left" w:pos="360"/>
        </w:tabs>
        <w:ind w:left="360" w:hanging="360"/>
        <w:rPr>
          <w:bCs/>
          <w:sz w:val="24"/>
          <w:szCs w:val="24"/>
        </w:rPr>
      </w:pPr>
      <w:r w:rsidRPr="00474E47">
        <w:rPr>
          <w:bCs/>
          <w:sz w:val="24"/>
          <w:szCs w:val="24"/>
        </w:rPr>
        <w:t>15.</w:t>
      </w:r>
      <w:r w:rsidRPr="00474E47">
        <w:rPr>
          <w:bCs/>
          <w:sz w:val="24"/>
          <w:szCs w:val="24"/>
        </w:rPr>
        <w:tab/>
      </w:r>
      <w:r w:rsidRPr="00D8693F">
        <w:rPr>
          <w:bCs/>
          <w:sz w:val="24"/>
          <w:szCs w:val="24"/>
        </w:rPr>
        <w:t>This is an extension of a currently approved collectio</w:t>
      </w:r>
      <w:r w:rsidR="005A2725">
        <w:rPr>
          <w:bCs/>
          <w:sz w:val="24"/>
          <w:szCs w:val="24"/>
        </w:rPr>
        <w:t xml:space="preserve">n.  </w:t>
      </w:r>
    </w:p>
    <w:p w:rsidR="00980FBF" w:rsidRPr="00474E47" w:rsidRDefault="00980FBF" w:rsidP="00980FBF">
      <w:pPr>
        <w:pStyle w:val="BodyText"/>
        <w:keepNext/>
        <w:ind w:left="360"/>
        <w:rPr>
          <w:szCs w:val="24"/>
        </w:rPr>
      </w:pPr>
    </w:p>
    <w:p w:rsidR="00980FBF" w:rsidRPr="00474E47" w:rsidRDefault="00980FBF" w:rsidP="00980FBF">
      <w:pPr>
        <w:tabs>
          <w:tab w:val="left" w:pos="480"/>
        </w:tabs>
        <w:ind w:left="480" w:hanging="480"/>
        <w:rPr>
          <w:sz w:val="24"/>
          <w:szCs w:val="24"/>
        </w:rPr>
      </w:pPr>
      <w:r w:rsidRPr="00474E47">
        <w:rPr>
          <w:sz w:val="24"/>
          <w:szCs w:val="24"/>
        </w:rPr>
        <w:t>16.</w:t>
      </w:r>
      <w:r w:rsidRPr="00474E47">
        <w:rPr>
          <w:sz w:val="24"/>
          <w:szCs w:val="24"/>
        </w:rPr>
        <w:tab/>
        <w:t xml:space="preserve"> HUD will not publish the results of this information collection.</w:t>
      </w:r>
    </w:p>
    <w:p w:rsidR="00980FBF" w:rsidRPr="00474E47" w:rsidRDefault="00980FBF" w:rsidP="00980FBF">
      <w:pPr>
        <w:tabs>
          <w:tab w:val="left" w:pos="480"/>
        </w:tabs>
        <w:ind w:left="480" w:hanging="480"/>
        <w:rPr>
          <w:sz w:val="24"/>
          <w:szCs w:val="24"/>
        </w:rPr>
      </w:pPr>
    </w:p>
    <w:p w:rsidR="00980FBF" w:rsidRPr="00474E47" w:rsidRDefault="00980FBF" w:rsidP="00980FBF">
      <w:pPr>
        <w:pStyle w:val="BodyTextIndent"/>
        <w:tabs>
          <w:tab w:val="left" w:pos="480"/>
        </w:tabs>
        <w:ind w:left="480" w:hanging="480"/>
        <w:rPr>
          <w:szCs w:val="24"/>
        </w:rPr>
      </w:pPr>
      <w:r w:rsidRPr="00474E47">
        <w:rPr>
          <w:szCs w:val="24"/>
        </w:rPr>
        <w:t>17.</w:t>
      </w:r>
      <w:r w:rsidRPr="00474E47">
        <w:rPr>
          <w:szCs w:val="24"/>
        </w:rPr>
        <w:tab/>
        <w:t xml:space="preserve">HUD is not seeking approval to avoid displaying the OMB expiration date.  </w:t>
      </w:r>
    </w:p>
    <w:p w:rsidR="00980FBF" w:rsidRPr="00474E47" w:rsidRDefault="00980FBF" w:rsidP="00980FBF">
      <w:pPr>
        <w:tabs>
          <w:tab w:val="left" w:pos="480"/>
        </w:tabs>
        <w:ind w:left="480" w:hanging="480"/>
        <w:rPr>
          <w:sz w:val="24"/>
          <w:szCs w:val="24"/>
        </w:rPr>
      </w:pPr>
    </w:p>
    <w:p w:rsidR="00980FBF" w:rsidRPr="00474E47" w:rsidRDefault="00980FBF" w:rsidP="00980FBF">
      <w:pPr>
        <w:tabs>
          <w:tab w:val="left" w:pos="480"/>
        </w:tabs>
        <w:ind w:left="480" w:hanging="480"/>
        <w:rPr>
          <w:sz w:val="24"/>
          <w:szCs w:val="24"/>
        </w:rPr>
      </w:pPr>
      <w:r w:rsidRPr="00474E47">
        <w:rPr>
          <w:sz w:val="24"/>
          <w:szCs w:val="24"/>
        </w:rPr>
        <w:t>18.</w:t>
      </w:r>
      <w:r w:rsidRPr="00474E47">
        <w:rPr>
          <w:sz w:val="24"/>
          <w:szCs w:val="24"/>
        </w:rPr>
        <w:tab/>
        <w:t xml:space="preserve">There are no exceptions to the certification statement identified in Item # 19. </w:t>
      </w:r>
    </w:p>
    <w:p w:rsidR="00980FBF" w:rsidRPr="00474E47" w:rsidRDefault="00980FBF" w:rsidP="00980FBF">
      <w:pPr>
        <w:pStyle w:val="Enclosure"/>
        <w:tabs>
          <w:tab w:val="left" w:pos="480"/>
        </w:tabs>
        <w:overflowPunct w:val="0"/>
        <w:autoSpaceDE w:val="0"/>
        <w:autoSpaceDN w:val="0"/>
        <w:adjustRightInd w:val="0"/>
        <w:ind w:left="480" w:hanging="480"/>
        <w:textAlignment w:val="baseline"/>
        <w:rPr>
          <w:rFonts w:ascii="Times New Roman" w:hAnsi="Times New Roman" w:cs="Times New Roman"/>
        </w:rPr>
      </w:pPr>
    </w:p>
    <w:p w:rsidR="009E0307" w:rsidRDefault="009E0307"/>
    <w:sectPr w:rsidR="009E0307">
      <w:footerReference w:type="first" r:id="rId8"/>
      <w:pgSz w:w="12240" w:h="15840"/>
      <w:pgMar w:top="720" w:right="720" w:bottom="480" w:left="720" w:header="480" w:footer="480" w:gutter="0"/>
      <w:cols w:space="48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B4" w:rsidRDefault="006127B4">
      <w:r>
        <w:separator/>
      </w:r>
    </w:p>
  </w:endnote>
  <w:endnote w:type="continuationSeparator" w:id="0">
    <w:p w:rsidR="006127B4" w:rsidRDefault="0061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CD" w:rsidRDefault="00820B64">
    <w:pPr>
      <w:pStyle w:val="Footer"/>
      <w:pBdr>
        <w:top w:val="single" w:sz="6" w:space="1" w:color="auto"/>
      </w:pBdr>
      <w:tabs>
        <w:tab w:val="clear" w:pos="4320"/>
        <w:tab w:val="clear" w:pos="8640"/>
        <w:tab w:val="center" w:pos="5040"/>
        <w:tab w:val="right" w:pos="10080"/>
      </w:tabs>
      <w:ind w:right="-540" w:hanging="720"/>
      <w:rPr>
        <w:rFonts w:ascii="Arial" w:hAnsi="Arial" w:cs="Arial"/>
        <w:b/>
        <w:sz w:val="16"/>
      </w:rPr>
    </w:pPr>
    <w:r>
      <w:rPr>
        <w:rFonts w:ascii="Arial" w:hAnsi="Arial" w:cs="Arial"/>
        <w:b/>
        <w:sz w:val="16"/>
      </w:rPr>
      <w:t>OMB-83-</w:t>
    </w:r>
    <w:r>
      <w:rPr>
        <w:rFonts w:ascii="Arial" w:hAnsi="Arial" w:cs="Arial"/>
        <w:b/>
        <w:sz w:val="16"/>
      </w:rPr>
      <w:tab/>
      <w:t>I</w:t>
    </w:r>
    <w:r>
      <w:rPr>
        <w:rFonts w:ascii="Arial" w:hAnsi="Arial" w:cs="Arial"/>
        <w:b/>
        <w:sz w:val="16"/>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B73BFF">
      <w:rPr>
        <w:rStyle w:val="PageNumber"/>
        <w:rFonts w:ascii="Arial" w:hAnsi="Arial" w:cs="Arial"/>
        <w:noProof/>
        <w:sz w:val="18"/>
      </w:rPr>
      <w:t>1</w:t>
    </w:r>
    <w:r>
      <w:rPr>
        <w:rStyle w:val="PageNumber"/>
        <w:rFonts w:ascii="Arial" w:hAnsi="Arial" w:cs="Arial"/>
        <w:sz w:val="18"/>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B4" w:rsidRDefault="006127B4">
      <w:r>
        <w:separator/>
      </w:r>
    </w:p>
  </w:footnote>
  <w:footnote w:type="continuationSeparator" w:id="0">
    <w:p w:rsidR="006127B4" w:rsidRDefault="0061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40FD"/>
    <w:multiLevelType w:val="hybridMultilevel"/>
    <w:tmpl w:val="D73804C8"/>
    <w:lvl w:ilvl="0" w:tplc="A8EE2B0A">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BF"/>
    <w:rsid w:val="00003F50"/>
    <w:rsid w:val="00013CB1"/>
    <w:rsid w:val="0007051A"/>
    <w:rsid w:val="000D6F88"/>
    <w:rsid w:val="001D60F7"/>
    <w:rsid w:val="001E5C92"/>
    <w:rsid w:val="00201C4A"/>
    <w:rsid w:val="0025584E"/>
    <w:rsid w:val="002C176B"/>
    <w:rsid w:val="00335E4D"/>
    <w:rsid w:val="003A7483"/>
    <w:rsid w:val="004252BA"/>
    <w:rsid w:val="004511C6"/>
    <w:rsid w:val="00474E47"/>
    <w:rsid w:val="005A2725"/>
    <w:rsid w:val="006127B4"/>
    <w:rsid w:val="00646D96"/>
    <w:rsid w:val="00727511"/>
    <w:rsid w:val="007E062A"/>
    <w:rsid w:val="00820B64"/>
    <w:rsid w:val="00835135"/>
    <w:rsid w:val="008400BD"/>
    <w:rsid w:val="008526E1"/>
    <w:rsid w:val="008937F6"/>
    <w:rsid w:val="00907B6C"/>
    <w:rsid w:val="00980FBF"/>
    <w:rsid w:val="009E0307"/>
    <w:rsid w:val="00A0359C"/>
    <w:rsid w:val="00A70726"/>
    <w:rsid w:val="00AA1264"/>
    <w:rsid w:val="00B405AC"/>
    <w:rsid w:val="00B73BFF"/>
    <w:rsid w:val="00BF4EEE"/>
    <w:rsid w:val="00D043A0"/>
    <w:rsid w:val="00D82578"/>
    <w:rsid w:val="00D8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19A4E-CB94-4162-84F8-54EE20C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FBF"/>
    <w:pPr>
      <w:keepNext/>
      <w:jc w:val="center"/>
      <w:outlineLvl w:val="0"/>
    </w:pPr>
    <w:rPr>
      <w:b/>
      <w:bCs/>
      <w:sz w:val="24"/>
      <w:u w:val="single"/>
    </w:rPr>
  </w:style>
  <w:style w:type="paragraph" w:styleId="Heading5">
    <w:name w:val="heading 5"/>
    <w:basedOn w:val="Normal"/>
    <w:next w:val="Normal"/>
    <w:link w:val="Heading5Char"/>
    <w:qFormat/>
    <w:rsid w:val="00980FBF"/>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FBF"/>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980FBF"/>
    <w:rPr>
      <w:rFonts w:ascii="Times New Roman" w:eastAsia="Times New Roman" w:hAnsi="Times New Roman" w:cs="Times New Roman"/>
      <w:b/>
      <w:bCs/>
      <w:sz w:val="24"/>
      <w:szCs w:val="20"/>
    </w:rPr>
  </w:style>
  <w:style w:type="paragraph" w:styleId="Header">
    <w:name w:val="header"/>
    <w:basedOn w:val="Normal"/>
    <w:link w:val="HeaderChar"/>
    <w:rsid w:val="00980FBF"/>
    <w:pPr>
      <w:tabs>
        <w:tab w:val="center" w:pos="4320"/>
        <w:tab w:val="right" w:pos="8640"/>
      </w:tabs>
    </w:pPr>
  </w:style>
  <w:style w:type="character" w:customStyle="1" w:styleId="HeaderChar">
    <w:name w:val="Header Char"/>
    <w:basedOn w:val="DefaultParagraphFont"/>
    <w:link w:val="Header"/>
    <w:rsid w:val="00980FBF"/>
    <w:rPr>
      <w:rFonts w:ascii="Times New Roman" w:eastAsia="Times New Roman" w:hAnsi="Times New Roman" w:cs="Times New Roman"/>
      <w:sz w:val="20"/>
      <w:szCs w:val="20"/>
    </w:rPr>
  </w:style>
  <w:style w:type="paragraph" w:styleId="Footer">
    <w:name w:val="footer"/>
    <w:basedOn w:val="Normal"/>
    <w:link w:val="FooterChar"/>
    <w:rsid w:val="00980FBF"/>
    <w:pPr>
      <w:tabs>
        <w:tab w:val="center" w:pos="4320"/>
        <w:tab w:val="right" w:pos="8640"/>
      </w:tabs>
    </w:pPr>
  </w:style>
  <w:style w:type="character" w:customStyle="1" w:styleId="FooterChar">
    <w:name w:val="Footer Char"/>
    <w:basedOn w:val="DefaultParagraphFont"/>
    <w:link w:val="Footer"/>
    <w:rsid w:val="00980FBF"/>
    <w:rPr>
      <w:rFonts w:ascii="Times New Roman" w:eastAsia="Times New Roman" w:hAnsi="Times New Roman" w:cs="Times New Roman"/>
      <w:sz w:val="20"/>
      <w:szCs w:val="20"/>
    </w:rPr>
  </w:style>
  <w:style w:type="character" w:styleId="PageNumber">
    <w:name w:val="page number"/>
    <w:basedOn w:val="DefaultParagraphFont"/>
    <w:rsid w:val="00980FBF"/>
  </w:style>
  <w:style w:type="paragraph" w:customStyle="1" w:styleId="OmniPage1">
    <w:name w:val="OmniPage #1"/>
    <w:basedOn w:val="Normal"/>
    <w:rsid w:val="00980FBF"/>
    <w:pPr>
      <w:tabs>
        <w:tab w:val="right" w:pos="5876"/>
      </w:tabs>
      <w:spacing w:line="282" w:lineRule="exact"/>
      <w:ind w:left="50" w:right="50"/>
      <w:jc w:val="center"/>
    </w:pPr>
    <w:rPr>
      <w:noProof/>
    </w:rPr>
  </w:style>
  <w:style w:type="paragraph" w:customStyle="1" w:styleId="OmniPage2">
    <w:name w:val="OmniPage #2"/>
    <w:basedOn w:val="Normal"/>
    <w:rsid w:val="00980FBF"/>
    <w:pPr>
      <w:tabs>
        <w:tab w:val="right" w:pos="2236"/>
      </w:tabs>
      <w:spacing w:line="268" w:lineRule="exact"/>
      <w:ind w:left="50" w:right="50"/>
    </w:pPr>
    <w:rPr>
      <w:noProof/>
    </w:rPr>
  </w:style>
  <w:style w:type="paragraph" w:styleId="BodyText">
    <w:name w:val="Body Text"/>
    <w:basedOn w:val="Normal"/>
    <w:link w:val="BodyTextChar"/>
    <w:rsid w:val="00980FBF"/>
    <w:rPr>
      <w:sz w:val="24"/>
    </w:rPr>
  </w:style>
  <w:style w:type="character" w:customStyle="1" w:styleId="BodyTextChar">
    <w:name w:val="Body Text Char"/>
    <w:basedOn w:val="DefaultParagraphFont"/>
    <w:link w:val="BodyText"/>
    <w:rsid w:val="00980FBF"/>
    <w:rPr>
      <w:rFonts w:ascii="Times New Roman" w:eastAsia="Times New Roman" w:hAnsi="Times New Roman" w:cs="Times New Roman"/>
      <w:sz w:val="24"/>
      <w:szCs w:val="20"/>
    </w:rPr>
  </w:style>
  <w:style w:type="paragraph" w:styleId="BodyTextIndent">
    <w:name w:val="Body Text Indent"/>
    <w:basedOn w:val="Normal"/>
    <w:link w:val="BodyTextIndentChar"/>
    <w:rsid w:val="00980FBF"/>
    <w:pPr>
      <w:ind w:left="720" w:hanging="720"/>
    </w:pPr>
    <w:rPr>
      <w:sz w:val="24"/>
    </w:rPr>
  </w:style>
  <w:style w:type="character" w:customStyle="1" w:styleId="BodyTextIndentChar">
    <w:name w:val="Body Text Indent Char"/>
    <w:basedOn w:val="DefaultParagraphFont"/>
    <w:link w:val="BodyTextIndent"/>
    <w:rsid w:val="00980FBF"/>
    <w:rPr>
      <w:rFonts w:ascii="Times New Roman" w:eastAsia="Times New Roman" w:hAnsi="Times New Roman" w:cs="Times New Roman"/>
      <w:sz w:val="24"/>
      <w:szCs w:val="20"/>
    </w:rPr>
  </w:style>
  <w:style w:type="paragraph" w:styleId="BodyTextIndent2">
    <w:name w:val="Body Text Indent 2"/>
    <w:basedOn w:val="Normal"/>
    <w:link w:val="BodyTextIndent2Char"/>
    <w:rsid w:val="00980FBF"/>
    <w:pPr>
      <w:ind w:left="360"/>
    </w:pPr>
    <w:rPr>
      <w:sz w:val="24"/>
    </w:rPr>
  </w:style>
  <w:style w:type="character" w:customStyle="1" w:styleId="BodyTextIndent2Char">
    <w:name w:val="Body Text Indent 2 Char"/>
    <w:basedOn w:val="DefaultParagraphFont"/>
    <w:link w:val="BodyTextIndent2"/>
    <w:rsid w:val="00980FBF"/>
    <w:rPr>
      <w:rFonts w:ascii="Times New Roman" w:eastAsia="Times New Roman" w:hAnsi="Times New Roman" w:cs="Times New Roman"/>
      <w:sz w:val="24"/>
      <w:szCs w:val="20"/>
    </w:rPr>
  </w:style>
  <w:style w:type="paragraph" w:styleId="HTMLPreformatted">
    <w:name w:val="HTML Preformatted"/>
    <w:basedOn w:val="Normal"/>
    <w:link w:val="HTMLPreformattedChar"/>
    <w:rsid w:val="0098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PreformattedChar">
    <w:name w:val="HTML Preformatted Char"/>
    <w:basedOn w:val="DefaultParagraphFont"/>
    <w:link w:val="HTMLPreformatted"/>
    <w:rsid w:val="00980FBF"/>
    <w:rPr>
      <w:rFonts w:ascii="Courier New" w:eastAsia="Courier New" w:hAnsi="Courier New" w:cs="Courier New"/>
      <w:sz w:val="20"/>
      <w:szCs w:val="20"/>
    </w:rPr>
  </w:style>
  <w:style w:type="paragraph" w:customStyle="1" w:styleId="Enclosure">
    <w:name w:val="Enclosure"/>
    <w:basedOn w:val="Normal"/>
    <w:rsid w:val="00980FBF"/>
    <w:pPr>
      <w:overflowPunct/>
      <w:autoSpaceDE/>
      <w:autoSpaceDN/>
      <w:adjustRightInd/>
      <w:textAlignment w:val="auto"/>
    </w:pPr>
    <w:rPr>
      <w:rFonts w:ascii="Courier New" w:hAnsi="Courier New" w:cs="Courier New"/>
      <w:sz w:val="24"/>
      <w:szCs w:val="24"/>
    </w:rPr>
  </w:style>
  <w:style w:type="paragraph" w:styleId="BodyText3">
    <w:name w:val="Body Text 3"/>
    <w:basedOn w:val="Normal"/>
    <w:link w:val="BodyText3Char"/>
    <w:rsid w:val="00980FBF"/>
    <w:rPr>
      <w:color w:val="000000"/>
      <w:sz w:val="24"/>
    </w:rPr>
  </w:style>
  <w:style w:type="character" w:customStyle="1" w:styleId="BodyText3Char">
    <w:name w:val="Body Text 3 Char"/>
    <w:basedOn w:val="DefaultParagraphFont"/>
    <w:link w:val="BodyText3"/>
    <w:rsid w:val="00980FBF"/>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E133-CB96-4F89-9996-7DFCF60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Pollard, Colette</cp:lastModifiedBy>
  <cp:revision>2</cp:revision>
  <cp:lastPrinted>2016-04-08T18:29:00Z</cp:lastPrinted>
  <dcterms:created xsi:type="dcterms:W3CDTF">2016-06-21T19:18:00Z</dcterms:created>
  <dcterms:modified xsi:type="dcterms:W3CDTF">2016-06-21T19:18:00Z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