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683" w:rsidRPr="00D33596" w:rsidRDefault="005F2683">
      <w:pPr>
        <w:jc w:val="center"/>
      </w:pPr>
      <w:r w:rsidRPr="00D33596">
        <w:t>Information Collection Request</w:t>
      </w:r>
      <w:r w:rsidR="005B4C63" w:rsidRPr="00D33596">
        <w:t xml:space="preserve"> (ICR)</w:t>
      </w:r>
    </w:p>
    <w:p w:rsidR="005F2683" w:rsidRPr="00D33596" w:rsidRDefault="005F2683">
      <w:pPr>
        <w:jc w:val="center"/>
      </w:pPr>
      <w:r w:rsidRPr="00D33596">
        <w:t>Standard for the Surface Flammability of Carpets and Rugs</w:t>
      </w:r>
    </w:p>
    <w:p w:rsidR="002A5B27" w:rsidRPr="00D33596" w:rsidRDefault="002A5B27">
      <w:pPr>
        <w:jc w:val="center"/>
      </w:pPr>
      <w:r w:rsidRPr="00D33596">
        <w:t>Supporting Statement for Paperwork Reduction Act Submission</w:t>
      </w:r>
    </w:p>
    <w:p w:rsidR="002A5B27" w:rsidRPr="00D33596" w:rsidRDefault="002A5B27">
      <w:pPr>
        <w:jc w:val="center"/>
      </w:pPr>
    </w:p>
    <w:p w:rsidR="002E4A87" w:rsidRPr="00D33596" w:rsidRDefault="002E4A87" w:rsidP="002E4A87">
      <w:r w:rsidRPr="00D33596">
        <w:t>A.  Justification</w:t>
      </w:r>
    </w:p>
    <w:p w:rsidR="002E4A87" w:rsidRPr="00D33596" w:rsidRDefault="002E4A87" w:rsidP="002E4A87"/>
    <w:p w:rsidR="002E4A87" w:rsidRPr="00D33596" w:rsidRDefault="002E4A87" w:rsidP="002E4A87">
      <w:pPr>
        <w:numPr>
          <w:ilvl w:val="0"/>
          <w:numId w:val="1"/>
        </w:numPr>
        <w:tabs>
          <w:tab w:val="clear" w:pos="1080"/>
          <w:tab w:val="num" w:pos="0"/>
        </w:tabs>
        <w:ind w:left="0" w:firstLine="0"/>
      </w:pPr>
      <w:r w:rsidRPr="00D33596">
        <w:rPr>
          <w:i/>
        </w:rPr>
        <w:t>Information to be c</w:t>
      </w:r>
      <w:r w:rsidR="00D33596">
        <w:rPr>
          <w:i/>
        </w:rPr>
        <w:t xml:space="preserve">ollected and circumstances that </w:t>
      </w:r>
      <w:r w:rsidRPr="00D33596">
        <w:rPr>
          <w:i/>
        </w:rPr>
        <w:t>make the collection of information necessary</w:t>
      </w:r>
    </w:p>
    <w:p w:rsidR="002E4A87" w:rsidRPr="00D33596" w:rsidRDefault="002E4A87" w:rsidP="002E4A87"/>
    <w:p w:rsidR="002A5B27" w:rsidRPr="00D33596" w:rsidRDefault="002A5B27" w:rsidP="00D33596">
      <w:r w:rsidRPr="00D33596">
        <w:t>The Standard for the Surface Flammability of Carpets and Rugs (FF 1</w:t>
      </w:r>
      <w:r w:rsidR="00DE3CF8">
        <w:t>–</w:t>
      </w:r>
      <w:r w:rsidRPr="00D33596">
        <w:t xml:space="preserve">70), 16 CFR </w:t>
      </w:r>
      <w:r w:rsidR="00DE3CF8">
        <w:t>p</w:t>
      </w:r>
      <w:r w:rsidRPr="00D33596">
        <w:t xml:space="preserve">art 1630, and the Standard for the Surface Flammability of Small Carpets and Rugs (FF 2-70), 16 CFR </w:t>
      </w:r>
      <w:r w:rsidR="00DE3CF8">
        <w:t>p</w:t>
      </w:r>
      <w:r w:rsidRPr="00D33596">
        <w:t xml:space="preserve">art 1631, were issued under section 4 of the Flammable Fabrics Act (FFA) (15 U.S.C. 1193) in 1970.  The standards cover any type of finished product made in whole or in part of fabric or related material and intended for use as a floor covering in homes, offices, or other places of assembly or accommodation.  The standards establish an acceptable level of flammability performance.  </w:t>
      </w:r>
    </w:p>
    <w:p w:rsidR="002A5B27" w:rsidRPr="00D33596" w:rsidRDefault="002A5B27"/>
    <w:p w:rsidR="003B05F6" w:rsidRPr="00D33596" w:rsidRDefault="002E3941" w:rsidP="003B05F6">
      <w:pPr>
        <w:ind w:firstLine="360"/>
      </w:pPr>
      <w:r w:rsidRPr="00D33596">
        <w:tab/>
      </w:r>
      <w:r w:rsidR="002A5B27" w:rsidRPr="00D33596">
        <w:t xml:space="preserve">In addition to the standards, certain enforcement rules (16 CFR </w:t>
      </w:r>
      <w:r w:rsidR="00DE3CF8">
        <w:t>§</w:t>
      </w:r>
      <w:r w:rsidR="002A5B27" w:rsidRPr="00D33596">
        <w:t xml:space="preserve"> 1630.31 and 16 CFR </w:t>
      </w:r>
      <w:r w:rsidR="00DE3CF8">
        <w:t xml:space="preserve">§§ </w:t>
      </w:r>
      <w:r w:rsidR="002A5B27" w:rsidRPr="00D33596">
        <w:t>1631.31</w:t>
      </w:r>
      <w:r w:rsidR="00DE3CF8">
        <w:t>–</w:t>
      </w:r>
      <w:r w:rsidR="002A5B27" w:rsidRPr="00D33596">
        <w:t xml:space="preserve">32) have been issued under section 5 of the FFA (15 U.S.C. 1194) to address reasonable and representative tests and </w:t>
      </w:r>
      <w:r w:rsidR="003E309E" w:rsidRPr="00D33596">
        <w:t xml:space="preserve">the </w:t>
      </w:r>
      <w:r w:rsidR="002A5B27" w:rsidRPr="00D33596">
        <w:t xml:space="preserve">recordkeeping requirement.  These rules specify the frequency of testing necessary to support the issuance of a guaranty of compliance under the Act and the </w:t>
      </w:r>
      <w:r w:rsidR="00EC7A06" w:rsidRPr="00D33596">
        <w:t>types</w:t>
      </w:r>
      <w:r w:rsidR="002A5B27" w:rsidRPr="00D33596">
        <w:t xml:space="preserve"> of records that must be maintained to document this activity.</w:t>
      </w:r>
      <w:r w:rsidR="003B05F6" w:rsidRPr="00D33596">
        <w:t xml:space="preserve"> </w:t>
      </w:r>
      <w:r w:rsidR="00DE3CF8">
        <w:t xml:space="preserve"> </w:t>
      </w:r>
    </w:p>
    <w:p w:rsidR="00EC7A06" w:rsidRPr="00D33596" w:rsidRDefault="00EC7A06" w:rsidP="002E4A87">
      <w:pPr>
        <w:pStyle w:val="BodyTextIndent"/>
        <w:ind w:left="0" w:firstLine="0"/>
      </w:pPr>
    </w:p>
    <w:p w:rsidR="002E4A87" w:rsidRPr="00D33596" w:rsidRDefault="002E4A87" w:rsidP="002E4A87">
      <w:pPr>
        <w:pStyle w:val="BodyTextIndent"/>
        <w:ind w:left="0" w:firstLine="0"/>
        <w:rPr>
          <w:i/>
        </w:rPr>
      </w:pPr>
      <w:r w:rsidRPr="00D33596">
        <w:t>2.</w:t>
      </w:r>
      <w:r w:rsidRPr="00D33596">
        <w:tab/>
      </w:r>
      <w:r w:rsidRPr="00D33596">
        <w:rPr>
          <w:i/>
        </w:rPr>
        <w:t>Use and sharing of collected informa</w:t>
      </w:r>
      <w:r w:rsidR="005B4C63" w:rsidRPr="00D33596">
        <w:rPr>
          <w:i/>
        </w:rPr>
        <w:t>tion and impact on privacy</w:t>
      </w:r>
    </w:p>
    <w:p w:rsidR="002E4A87" w:rsidRPr="00D33596" w:rsidRDefault="002E4A87" w:rsidP="002E4A87">
      <w:pPr>
        <w:pStyle w:val="BodyTextIndent"/>
        <w:ind w:left="0" w:firstLine="0"/>
        <w:rPr>
          <w:i/>
        </w:rPr>
      </w:pPr>
    </w:p>
    <w:p w:rsidR="002A5B27" w:rsidRPr="00D33596" w:rsidRDefault="002A5B27" w:rsidP="00D33596">
      <w:pPr>
        <w:pStyle w:val="BodyTextIndent"/>
        <w:ind w:left="0" w:firstLine="0"/>
      </w:pPr>
      <w:r w:rsidRPr="00D33596">
        <w:t xml:space="preserve">The required recordkeeping is used to </w:t>
      </w:r>
      <w:r w:rsidR="00DE3CF8">
        <w:t>en</w:t>
      </w:r>
      <w:r w:rsidRPr="00D33596">
        <w:t>sure compliance with provisions of the regulations that relate to the issuance of a guaranty of compliance.  The records are retained by the responsible firm and made available to a designated officer or employee of the Commission</w:t>
      </w:r>
      <w:r w:rsidR="00DE3CF8">
        <w:t>,</w:t>
      </w:r>
      <w:r w:rsidRPr="00D33596">
        <w:t xml:space="preserve"> upon request.  Such requests are generally made </w:t>
      </w:r>
      <w:r w:rsidR="00EC7A06" w:rsidRPr="00D33596">
        <w:t xml:space="preserve">during an </w:t>
      </w:r>
      <w:r w:rsidRPr="00D33596">
        <w:t xml:space="preserve">inspection to </w:t>
      </w:r>
      <w:r w:rsidR="00DE3CF8">
        <w:t>en</w:t>
      </w:r>
      <w:r w:rsidRPr="00D33596">
        <w:t>sure compliance with the regulation.</w:t>
      </w:r>
      <w:r w:rsidR="004B3E13" w:rsidRPr="00D33596">
        <w:t xml:space="preserve">  </w:t>
      </w:r>
    </w:p>
    <w:p w:rsidR="002A5B27" w:rsidRPr="00D33596" w:rsidRDefault="002A5B27">
      <w:pPr>
        <w:pStyle w:val="BodyTextIndent"/>
        <w:ind w:left="0" w:firstLine="0"/>
      </w:pPr>
    </w:p>
    <w:p w:rsidR="002E4A87" w:rsidRPr="00D33596" w:rsidRDefault="002E4A87" w:rsidP="002E4A87">
      <w:pPr>
        <w:rPr>
          <w:i/>
        </w:rPr>
      </w:pPr>
      <w:r w:rsidRPr="00D33596">
        <w:t>3.</w:t>
      </w:r>
      <w:r w:rsidRPr="00D33596">
        <w:tab/>
      </w:r>
      <w:r w:rsidRPr="00D33596">
        <w:rPr>
          <w:i/>
        </w:rPr>
        <w:t>Use of information technology (IT) in information collectio</w:t>
      </w:r>
      <w:r w:rsidR="005B4C63" w:rsidRPr="00D33596">
        <w:rPr>
          <w:i/>
        </w:rPr>
        <w:t>n</w:t>
      </w:r>
    </w:p>
    <w:p w:rsidR="002E4A87" w:rsidRPr="00D33596" w:rsidRDefault="002E4A87" w:rsidP="002E4A87">
      <w:pPr>
        <w:rPr>
          <w:i/>
        </w:rPr>
      </w:pPr>
    </w:p>
    <w:p w:rsidR="002A5B27" w:rsidRPr="00D33596" w:rsidRDefault="002A5B27" w:rsidP="00D33596">
      <w:r w:rsidRPr="00D33596">
        <w:t>At the option of the firm, any technology, including electronic recordkeeping, to compile and maintain business records may</w:t>
      </w:r>
      <w:r w:rsidR="003E309E" w:rsidRPr="00D33596">
        <w:t xml:space="preserve"> </w:t>
      </w:r>
      <w:r w:rsidRPr="00D33596">
        <w:t xml:space="preserve">be used to comply with the regulation.  Information is not normally submitted to </w:t>
      </w:r>
      <w:r w:rsidR="00DE3CF8">
        <w:t xml:space="preserve">the </w:t>
      </w:r>
      <w:r w:rsidRPr="00D33596">
        <w:t>CPSC</w:t>
      </w:r>
      <w:r w:rsidR="00DE3CF8">
        <w:t>,</w:t>
      </w:r>
      <w:r w:rsidRPr="00D33596">
        <w:t xml:space="preserve"> unless specifically requested during compliance</w:t>
      </w:r>
      <w:r w:rsidR="00DE3CF8">
        <w:t>-</w:t>
      </w:r>
      <w:r w:rsidRPr="00D33596">
        <w:t>related activities.</w:t>
      </w:r>
    </w:p>
    <w:p w:rsidR="002A5B27" w:rsidRPr="00D33596" w:rsidRDefault="002A5B27"/>
    <w:p w:rsidR="002E4A87" w:rsidRPr="00D33596" w:rsidRDefault="002E4A87" w:rsidP="002E4A87">
      <w:pPr>
        <w:rPr>
          <w:i/>
        </w:rPr>
      </w:pPr>
      <w:r w:rsidRPr="00D33596">
        <w:t>4.</w:t>
      </w:r>
      <w:r w:rsidRPr="00D33596">
        <w:tab/>
      </w:r>
      <w:r w:rsidR="003C4A4F" w:rsidRPr="00D33596">
        <w:rPr>
          <w:i/>
        </w:rPr>
        <w:t>Efforts to identify duplication</w:t>
      </w:r>
    </w:p>
    <w:p w:rsidR="002E4A87" w:rsidRPr="00D33596" w:rsidRDefault="002E4A87" w:rsidP="002E4A87">
      <w:pPr>
        <w:rPr>
          <w:i/>
        </w:rPr>
      </w:pPr>
    </w:p>
    <w:p w:rsidR="002A5B27" w:rsidRPr="00D33596" w:rsidRDefault="002A5B27" w:rsidP="00D33596">
      <w:r w:rsidRPr="00D33596">
        <w:t>The recordkeeping requirements were reviewed for potential duplication by the issuing agency, by members of the affected industry, and other interested parties during the proceedings to promulgate the regulations.</w:t>
      </w:r>
      <w:r w:rsidR="00C45152" w:rsidRPr="00D33596">
        <w:t xml:space="preserve">  No duplication was identified.</w:t>
      </w:r>
      <w:r w:rsidR="004B3E13" w:rsidRPr="00D33596">
        <w:t xml:space="preserve">  </w:t>
      </w:r>
    </w:p>
    <w:p w:rsidR="002A5B27" w:rsidRPr="00D33596" w:rsidRDefault="002A5B27"/>
    <w:p w:rsidR="00EC7A06" w:rsidRPr="00D33596" w:rsidRDefault="002E4A87" w:rsidP="002E4A87">
      <w:pPr>
        <w:rPr>
          <w:i/>
        </w:rPr>
      </w:pPr>
      <w:r w:rsidRPr="00D33596">
        <w:t>5.</w:t>
      </w:r>
      <w:r w:rsidRPr="00D33596">
        <w:tab/>
      </w:r>
      <w:r w:rsidRPr="00D33596">
        <w:rPr>
          <w:i/>
        </w:rPr>
        <w:t>Impact on small businesses</w:t>
      </w:r>
      <w:r w:rsidR="00EC7A06" w:rsidRPr="00D33596">
        <w:rPr>
          <w:i/>
        </w:rPr>
        <w:t xml:space="preserve"> </w:t>
      </w:r>
      <w:r w:rsidRPr="00D33596">
        <w:rPr>
          <w:i/>
        </w:rPr>
        <w:t xml:space="preserve"> </w:t>
      </w:r>
    </w:p>
    <w:p w:rsidR="00EC7A06" w:rsidRPr="00D33596" w:rsidRDefault="00EC7A06" w:rsidP="002E4A87"/>
    <w:p w:rsidR="002A5B27" w:rsidRPr="00D33596" w:rsidRDefault="002A5B27" w:rsidP="00D33596">
      <w:r w:rsidRPr="00D33596">
        <w:t>Not applicable.</w:t>
      </w:r>
    </w:p>
    <w:p w:rsidR="002A5B27" w:rsidRPr="00D33596" w:rsidRDefault="002A5B27"/>
    <w:p w:rsidR="002E4A87" w:rsidRPr="00D33596" w:rsidRDefault="002E4A87" w:rsidP="002E4A87">
      <w:pPr>
        <w:rPr>
          <w:i/>
        </w:rPr>
      </w:pPr>
      <w:r w:rsidRPr="00D33596">
        <w:t>6.</w:t>
      </w:r>
      <w:r w:rsidRPr="00D33596">
        <w:tab/>
      </w:r>
      <w:r w:rsidRPr="00D33596">
        <w:rPr>
          <w:i/>
        </w:rPr>
        <w:t xml:space="preserve">Consequences to </w:t>
      </w:r>
      <w:r w:rsidR="00EA3925">
        <w:rPr>
          <w:i/>
        </w:rPr>
        <w:t>F</w:t>
      </w:r>
      <w:r w:rsidRPr="00D33596">
        <w:rPr>
          <w:i/>
        </w:rPr>
        <w:t xml:space="preserve">ederal program or policy activities if collection is not conducted </w:t>
      </w:r>
      <w:r w:rsidR="005B4C63" w:rsidRPr="00D33596">
        <w:rPr>
          <w:i/>
        </w:rPr>
        <w:t>or is conducted less frequently</w:t>
      </w:r>
    </w:p>
    <w:p w:rsidR="002E4A87" w:rsidRPr="00D33596" w:rsidRDefault="002E4A87" w:rsidP="002E4A87">
      <w:pPr>
        <w:ind w:left="360"/>
        <w:rPr>
          <w:i/>
        </w:rPr>
      </w:pPr>
    </w:p>
    <w:p w:rsidR="002A5B27" w:rsidRPr="00D33596" w:rsidRDefault="002A5B27" w:rsidP="00D33596">
      <w:r w:rsidRPr="00D33596">
        <w:t xml:space="preserve">In the past, the Commission has looked for ways to reduce the burden </w:t>
      </w:r>
      <w:r w:rsidR="00FF14F6">
        <w:t>of</w:t>
      </w:r>
      <w:r w:rsidR="00EA3925">
        <w:t xml:space="preserve"> the</w:t>
      </w:r>
      <w:r w:rsidR="00FF14F6">
        <w:t xml:space="preserve"> information collection</w:t>
      </w:r>
      <w:r w:rsidR="00EA3925">
        <w:t xml:space="preserve"> </w:t>
      </w:r>
      <w:r w:rsidRPr="00D33596">
        <w:t xml:space="preserve">without reducing the protection to consumers.  In 1989, in accordance with section 610 of the Regulatory Flexibility Act (RFA) (5 U.S.C. 610), the Commission reviewed all </w:t>
      </w:r>
      <w:r w:rsidR="00DE3CF8">
        <w:t xml:space="preserve">of </w:t>
      </w:r>
      <w:r w:rsidRPr="00D33596">
        <w:t>the standards issued under the FFA, including the carpet and rug standards.  The Commission concluded that no further action was warranted under the provisions of the RFA.  A copy of the report accompanied the renewal request submitted in 1989.</w:t>
      </w:r>
    </w:p>
    <w:p w:rsidR="002A5B27" w:rsidRPr="00D33596" w:rsidRDefault="002A5B27"/>
    <w:p w:rsidR="002A5B27" w:rsidRPr="00D33596" w:rsidRDefault="002A5B27"/>
    <w:p w:rsidR="002E3941" w:rsidRPr="00D33596" w:rsidRDefault="002E4A87" w:rsidP="002E4A87">
      <w:pPr>
        <w:rPr>
          <w:i/>
        </w:rPr>
      </w:pPr>
      <w:r w:rsidRPr="00D33596">
        <w:t xml:space="preserve">7.  </w:t>
      </w:r>
      <w:r w:rsidRPr="00D33596">
        <w:tab/>
      </w:r>
      <w:r w:rsidRPr="00D33596">
        <w:rPr>
          <w:i/>
        </w:rPr>
        <w:t xml:space="preserve">Special circumstances requiring respondents to report information more often than quarterly or to prepare </w:t>
      </w:r>
      <w:r w:rsidR="00D33596">
        <w:rPr>
          <w:i/>
        </w:rPr>
        <w:t>responses in fewer than 30 days</w:t>
      </w:r>
    </w:p>
    <w:p w:rsidR="002E3941" w:rsidRPr="00D33596" w:rsidRDefault="002E3941" w:rsidP="002E4A87">
      <w:pPr>
        <w:rPr>
          <w:i/>
        </w:rPr>
      </w:pPr>
    </w:p>
    <w:p w:rsidR="002A5B27" w:rsidRPr="00D33596" w:rsidRDefault="00D36ECC" w:rsidP="002E4A87">
      <w:r w:rsidRPr="00D33596">
        <w:t>Respondents generally will not have to report information more often than quarterly or to prepare responses in fewer than 30 days. However, if during the course of an investigation</w:t>
      </w:r>
      <w:r w:rsidR="00DE3CF8">
        <w:t>,</w:t>
      </w:r>
      <w:r w:rsidRPr="00D33596">
        <w:t xml:space="preserve"> CPSC staff requires information to assess compliance, a firm may be asked to respond more quickly and to provide information more frequently.</w:t>
      </w:r>
    </w:p>
    <w:p w:rsidR="002A5B27" w:rsidRPr="00D33596" w:rsidRDefault="002A5B27">
      <w:pPr>
        <w:ind w:left="360"/>
      </w:pPr>
    </w:p>
    <w:p w:rsidR="002A5B27" w:rsidRPr="00D33596" w:rsidRDefault="002E4A87" w:rsidP="002E4A87">
      <w:r w:rsidRPr="00D33596">
        <w:t>8.</w:t>
      </w:r>
      <w:r w:rsidRPr="00D33596">
        <w:tab/>
      </w:r>
      <w:r w:rsidRPr="00D33596">
        <w:rPr>
          <w:i/>
        </w:rPr>
        <w:t>Agency Federal Register Notice and related information</w:t>
      </w:r>
    </w:p>
    <w:p w:rsidR="002A5B27" w:rsidRPr="00D33596" w:rsidRDefault="002A5B27"/>
    <w:p w:rsidR="00C45152" w:rsidRPr="00D33596" w:rsidRDefault="008F2578">
      <w:r w:rsidRPr="00D33596">
        <w:tab/>
        <w:t xml:space="preserve">A </w:t>
      </w:r>
      <w:r w:rsidR="009D06DB" w:rsidRPr="009D06DB">
        <w:rPr>
          <w:i/>
        </w:rPr>
        <w:t>Federal Register</w:t>
      </w:r>
      <w:r w:rsidR="00C45152" w:rsidRPr="00D33596">
        <w:t xml:space="preserve"> notic</w:t>
      </w:r>
      <w:r w:rsidR="000531D8" w:rsidRPr="00D33596">
        <w:t>e</w:t>
      </w:r>
      <w:r w:rsidR="00ED1BC8" w:rsidRPr="00D33596">
        <w:t xml:space="preserve"> was published on </w:t>
      </w:r>
      <w:r w:rsidR="000B60A4">
        <w:t>July 30</w:t>
      </w:r>
      <w:r w:rsidR="00EA3925">
        <w:t>, 201</w:t>
      </w:r>
      <w:r w:rsidR="000B60A4">
        <w:t>5</w:t>
      </w:r>
      <w:r w:rsidR="00EA3925">
        <w:t xml:space="preserve"> </w:t>
      </w:r>
      <w:r w:rsidR="00FF112D">
        <w:t xml:space="preserve">with comments due </w:t>
      </w:r>
      <w:r w:rsidR="000B60A4">
        <w:t>September 28</w:t>
      </w:r>
      <w:r w:rsidR="00FF112D">
        <w:t>, 201</w:t>
      </w:r>
      <w:r w:rsidR="000B60A4">
        <w:t>5</w:t>
      </w:r>
      <w:r w:rsidR="00FF112D">
        <w:t xml:space="preserve">.  </w:t>
      </w:r>
      <w:r w:rsidR="00EA3925">
        <w:t xml:space="preserve">No </w:t>
      </w:r>
      <w:r w:rsidR="00EC7A06" w:rsidRPr="00D33596">
        <w:t xml:space="preserve">comments </w:t>
      </w:r>
      <w:r w:rsidR="000531D8" w:rsidRPr="00D33596">
        <w:t>were received.</w:t>
      </w:r>
      <w:r w:rsidR="00C45152" w:rsidRPr="00D33596">
        <w:t xml:space="preserve">  </w:t>
      </w:r>
    </w:p>
    <w:p w:rsidR="00C45152" w:rsidRPr="00D33596" w:rsidRDefault="00C45152"/>
    <w:p w:rsidR="00EC7A06" w:rsidRPr="00D33596" w:rsidRDefault="002E4A87" w:rsidP="002E4A87">
      <w:pPr>
        <w:rPr>
          <w:i/>
        </w:rPr>
      </w:pPr>
      <w:r w:rsidRPr="00D33596">
        <w:t>9.</w:t>
      </w:r>
      <w:r w:rsidRPr="00D33596">
        <w:tab/>
      </w:r>
      <w:r w:rsidRPr="00D33596">
        <w:rPr>
          <w:i/>
        </w:rPr>
        <w:t xml:space="preserve">Decision to provide payment or gift  </w:t>
      </w:r>
    </w:p>
    <w:p w:rsidR="00EC7A06" w:rsidRPr="00D33596" w:rsidRDefault="00EC7A06" w:rsidP="002E4A87"/>
    <w:p w:rsidR="002A5B27" w:rsidRPr="00D33596" w:rsidRDefault="002A5B27" w:rsidP="00D33596">
      <w:r w:rsidRPr="00D33596">
        <w:t>Not applicable.</w:t>
      </w:r>
    </w:p>
    <w:p w:rsidR="002A5B27" w:rsidRPr="00D33596" w:rsidRDefault="002A5B27"/>
    <w:p w:rsidR="00874DEE" w:rsidRPr="00D33596" w:rsidRDefault="00874DEE" w:rsidP="00874DEE">
      <w:pPr>
        <w:rPr>
          <w:i/>
        </w:rPr>
      </w:pPr>
      <w:r w:rsidRPr="00D33596">
        <w:t>10.</w:t>
      </w:r>
      <w:r w:rsidRPr="00D33596">
        <w:tab/>
      </w:r>
      <w:r w:rsidR="005B4C63" w:rsidRPr="00D33596">
        <w:rPr>
          <w:i/>
        </w:rPr>
        <w:t>Assurance of confidentiality</w:t>
      </w:r>
      <w:r w:rsidRPr="00D33596">
        <w:rPr>
          <w:i/>
        </w:rPr>
        <w:t xml:space="preserve">  </w:t>
      </w:r>
    </w:p>
    <w:p w:rsidR="00874DEE" w:rsidRPr="00D33596" w:rsidRDefault="00874DEE" w:rsidP="00874DEE">
      <w:pPr>
        <w:rPr>
          <w:i/>
        </w:rPr>
      </w:pPr>
    </w:p>
    <w:p w:rsidR="002A5B27" w:rsidRPr="00D33596" w:rsidRDefault="002A5B27" w:rsidP="00D33596">
      <w:r w:rsidRPr="00D33596">
        <w:t xml:space="preserve">Any information required to be maintained by the standards and enforcement rules </w:t>
      </w:r>
      <w:r w:rsidR="00E24D39">
        <w:t xml:space="preserve">that </w:t>
      </w:r>
      <w:r w:rsidRPr="00D33596">
        <w:t xml:space="preserve">the manufacturer or importer claims to be confidential is subject to procedures for withholding confidential information from public </w:t>
      </w:r>
      <w:r w:rsidR="00D33596">
        <w:t>disclosure set forth at 16 CFR p</w:t>
      </w:r>
      <w:r w:rsidRPr="00D33596">
        <w:t>art 1015, subpart B.</w:t>
      </w:r>
    </w:p>
    <w:p w:rsidR="002A5B27" w:rsidRPr="00D33596" w:rsidRDefault="002A5B27"/>
    <w:p w:rsidR="00874DEE" w:rsidRPr="00D33596" w:rsidRDefault="00874DEE" w:rsidP="00874DEE">
      <w:pPr>
        <w:rPr>
          <w:i/>
        </w:rPr>
      </w:pPr>
      <w:r w:rsidRPr="00D33596">
        <w:t>11.</w:t>
      </w:r>
      <w:r w:rsidRPr="00D33596">
        <w:tab/>
      </w:r>
      <w:r w:rsidRPr="00D33596">
        <w:rPr>
          <w:i/>
        </w:rPr>
        <w:t>Questions of a sen</w:t>
      </w:r>
      <w:r w:rsidR="005B4C63" w:rsidRPr="00D33596">
        <w:rPr>
          <w:i/>
        </w:rPr>
        <w:t>sitive nature</w:t>
      </w:r>
    </w:p>
    <w:p w:rsidR="00874DEE" w:rsidRPr="00D33596" w:rsidRDefault="00874DEE" w:rsidP="00874DEE">
      <w:pPr>
        <w:rPr>
          <w:i/>
        </w:rPr>
      </w:pPr>
    </w:p>
    <w:p w:rsidR="002A5B27" w:rsidRPr="00D33596" w:rsidRDefault="002A5B27" w:rsidP="00D33596">
      <w:r w:rsidRPr="00D33596">
        <w:t>There are no questions of a sensitive nature.</w:t>
      </w:r>
    </w:p>
    <w:p w:rsidR="002A5B27" w:rsidRPr="00D33596" w:rsidRDefault="002A5B27"/>
    <w:p w:rsidR="00874DEE" w:rsidRPr="00D33596" w:rsidRDefault="00874DEE" w:rsidP="00874DEE">
      <w:pPr>
        <w:rPr>
          <w:i/>
        </w:rPr>
      </w:pPr>
      <w:r w:rsidRPr="00D33596">
        <w:t>12.</w:t>
      </w:r>
      <w:r w:rsidRPr="00D33596">
        <w:tab/>
      </w:r>
      <w:r w:rsidRPr="00D33596">
        <w:rPr>
          <w:i/>
        </w:rPr>
        <w:t>Estimat</w:t>
      </w:r>
      <w:r w:rsidR="005B4C63" w:rsidRPr="00D33596">
        <w:rPr>
          <w:i/>
        </w:rPr>
        <w:t>e of hour burden to respondents</w:t>
      </w:r>
    </w:p>
    <w:p w:rsidR="00874DEE" w:rsidRPr="00D33596" w:rsidRDefault="00874DEE" w:rsidP="00874DEE">
      <w:pPr>
        <w:rPr>
          <w:i/>
        </w:rPr>
      </w:pPr>
    </w:p>
    <w:p w:rsidR="002A5B27" w:rsidRPr="00D33596" w:rsidRDefault="002A5B27" w:rsidP="00D33596">
      <w:r w:rsidRPr="00D33596">
        <w:lastRenderedPageBreak/>
        <w:t xml:space="preserve">The Commission estimates that </w:t>
      </w:r>
      <w:r w:rsidRPr="00D33596">
        <w:rPr>
          <w:shd w:val="clear" w:color="auto" w:fill="FFFFFF"/>
        </w:rPr>
        <w:t>120 firms</w:t>
      </w:r>
      <w:r w:rsidRPr="00D33596">
        <w:t xml:space="preserve"> are subject to the information collection requirements of the enforcement rules because the firms have elected to issue a guaranty of compliance with the FFA.  The number of tests that a firm issuing a guaranty of compliance would be required to perform each year varies</w:t>
      </w:r>
      <w:r w:rsidR="00E24D39">
        <w:t>,</w:t>
      </w:r>
      <w:r w:rsidRPr="00D33596">
        <w:t xml:space="preserve"> depending upon the number of carpet styles and the annual volume of production.  </w:t>
      </w:r>
      <w:r w:rsidR="00E24D39">
        <w:t>S</w:t>
      </w:r>
      <w:r w:rsidRPr="00D33596">
        <w:t xml:space="preserve">taff estimates that the average firm issuing a continuing guarantee under the FFA is required to conduct </w:t>
      </w:r>
      <w:r w:rsidR="00056477">
        <w:t>at most 200 tests per year, though t</w:t>
      </w:r>
      <w:r w:rsidRPr="00D33596">
        <w:t xml:space="preserve">he actual number of tests required by a given firm may vary from one to 200, depending upon the number of carpet styles and the annual production volume.  </w:t>
      </w:r>
      <w:r w:rsidR="00641C81" w:rsidRPr="00D33596">
        <w:t>For purposes of estimating burden, we have used the midpoint, 100 tests per year</w:t>
      </w:r>
      <w:r w:rsidR="003E309E" w:rsidRPr="00D33596">
        <w:t>.</w:t>
      </w:r>
      <w:r w:rsidR="004E0129" w:rsidRPr="00D33596">
        <w:t xml:space="preserve">  </w:t>
      </w:r>
      <w:r w:rsidRPr="00D33596">
        <w:t>The time required to conduct ea</w:t>
      </w:r>
      <w:r w:rsidR="00D67022" w:rsidRPr="00D33596">
        <w:t>ch test is estimated to be 2.5</w:t>
      </w:r>
      <w:r w:rsidRPr="00D33596">
        <w:t xml:space="preserve"> hours</w:t>
      </w:r>
      <w:r w:rsidR="00E24D39">
        <w:t>,</w:t>
      </w:r>
      <w:r w:rsidRPr="00D33596">
        <w:t xml:space="preserve"> </w:t>
      </w:r>
      <w:r w:rsidR="00EA3925">
        <w:t xml:space="preserve">including </w:t>
      </w:r>
      <w:r w:rsidRPr="00D33596">
        <w:t>the time required to establish and maintain the test record</w:t>
      </w:r>
      <w:r w:rsidR="00EA3925">
        <w:t>s</w:t>
      </w:r>
      <w:r w:rsidRPr="00D33596">
        <w:t>.  We estimate the total annualized cost/burden to re</w:t>
      </w:r>
      <w:r w:rsidR="004E0129" w:rsidRPr="00D33596">
        <w:t>spondents could be as high as 12,</w:t>
      </w:r>
      <w:r w:rsidRPr="00D33596">
        <w:t>000 tests per year</w:t>
      </w:r>
      <w:r w:rsidR="00E614E7">
        <w:t xml:space="preserve"> (120 firms x 100 tests)</w:t>
      </w:r>
      <w:r w:rsidR="00E24D39">
        <w:t>,</w:t>
      </w:r>
      <w:r w:rsidRPr="00D33596">
        <w:t xml:space="preserve"> at 2.5 hours per </w:t>
      </w:r>
      <w:r w:rsidR="004E0129" w:rsidRPr="00D33596">
        <w:t>test</w:t>
      </w:r>
      <w:r w:rsidR="00E24D39">
        <w:t>,</w:t>
      </w:r>
      <w:r w:rsidR="004E0129" w:rsidRPr="00D33596">
        <w:t xml:space="preserve"> or 3</w:t>
      </w:r>
      <w:r w:rsidRPr="00D33596">
        <w:t>0,000 hours.</w:t>
      </w:r>
    </w:p>
    <w:p w:rsidR="00EC7A06" w:rsidRPr="00D33596" w:rsidRDefault="00EC7A06" w:rsidP="00874DEE">
      <w:pPr>
        <w:ind w:firstLine="360"/>
      </w:pPr>
    </w:p>
    <w:p w:rsidR="00EC7A06" w:rsidRPr="00D33596" w:rsidRDefault="00EC7A06" w:rsidP="00D33596">
      <w:pPr>
        <w:pStyle w:val="BodyTextIndent3"/>
        <w:ind w:left="0" w:firstLine="0"/>
      </w:pPr>
      <w:r w:rsidRPr="00D33596">
        <w:t>The</w:t>
      </w:r>
      <w:r w:rsidR="00B00C7B">
        <w:t xml:space="preserve"> total</w:t>
      </w:r>
      <w:r w:rsidRPr="00D33596">
        <w:t xml:space="preserve"> annualized costs to </w:t>
      </w:r>
      <w:r w:rsidR="00E645DB">
        <w:t xml:space="preserve">all </w:t>
      </w:r>
      <w:r w:rsidRPr="00D33596">
        <w:t xml:space="preserve">respondents for the hour burden for collection of information is estimated </w:t>
      </w:r>
      <w:r w:rsidR="00030EA2">
        <w:t xml:space="preserve">to be </w:t>
      </w:r>
      <w:r w:rsidRPr="00D33596">
        <w:t>as high as $</w:t>
      </w:r>
      <w:r w:rsidR="00520915">
        <w:t>1,996,500</w:t>
      </w:r>
      <w:r w:rsidR="00E24D39">
        <w:t>,</w:t>
      </w:r>
      <w:r w:rsidRPr="00D33596">
        <w:t xml:space="preserve"> using a mean hourly employer cost</w:t>
      </w:r>
      <w:r w:rsidR="00E24D39">
        <w:t>-</w:t>
      </w:r>
      <w:r w:rsidRPr="00D33596">
        <w:t>per</w:t>
      </w:r>
      <w:r w:rsidR="00E24D39">
        <w:t>-</w:t>
      </w:r>
      <w:r w:rsidRPr="00D33596">
        <w:t>hour</w:t>
      </w:r>
      <w:r w:rsidR="00E24D39">
        <w:t>-</w:t>
      </w:r>
      <w:r w:rsidRPr="00D33596">
        <w:t>worked of $</w:t>
      </w:r>
      <w:r w:rsidR="00520915">
        <w:t>66.55</w:t>
      </w:r>
      <w:r w:rsidRPr="00D33596">
        <w:t xml:space="preserve"> (Bureau of Labor Statistics: Total compensation rates for management, professional, and related occupations in private goods-pro</w:t>
      </w:r>
      <w:r w:rsidR="000B60A4">
        <w:t xml:space="preserve">ducing industries, </w:t>
      </w:r>
      <w:r w:rsidR="00CC3CFD">
        <w:t>June</w:t>
      </w:r>
      <w:r w:rsidR="000B60A4">
        <w:t xml:space="preserve"> 2015</w:t>
      </w:r>
      <w:r w:rsidRPr="00D33596">
        <w:t>)  (30,000 hours x $</w:t>
      </w:r>
      <w:r w:rsidR="00520915">
        <w:t>66.55</w:t>
      </w:r>
      <w:r w:rsidRPr="00D33596">
        <w:t>)</w:t>
      </w:r>
      <w:r w:rsidR="001905C3" w:rsidRPr="00D33596">
        <w:t>.</w:t>
      </w:r>
    </w:p>
    <w:p w:rsidR="002A5B27" w:rsidRPr="00D33596" w:rsidRDefault="002A5B27" w:rsidP="00D33596">
      <w:pPr>
        <w:pStyle w:val="BodyTextIndent2"/>
        <w:ind w:left="0"/>
      </w:pPr>
    </w:p>
    <w:p w:rsidR="00874DEE" w:rsidRPr="00D33596" w:rsidRDefault="00874DEE" w:rsidP="00874DEE">
      <w:pPr>
        <w:pStyle w:val="BodyTextIndent3"/>
        <w:ind w:left="0" w:firstLine="0"/>
        <w:rPr>
          <w:i/>
        </w:rPr>
      </w:pPr>
      <w:r w:rsidRPr="00D33596">
        <w:t>13.</w:t>
      </w:r>
      <w:r w:rsidRPr="00D33596">
        <w:tab/>
      </w:r>
      <w:r w:rsidRPr="00D33596">
        <w:rPr>
          <w:i/>
        </w:rPr>
        <w:t xml:space="preserve">Estimate of </w:t>
      </w:r>
      <w:r w:rsidR="00EC7A06" w:rsidRPr="00D33596">
        <w:rPr>
          <w:i/>
        </w:rPr>
        <w:t xml:space="preserve">other </w:t>
      </w:r>
      <w:r w:rsidRPr="00D33596">
        <w:rPr>
          <w:i/>
        </w:rPr>
        <w:t>total an</w:t>
      </w:r>
      <w:r w:rsidR="005B4C63" w:rsidRPr="00D33596">
        <w:rPr>
          <w:i/>
        </w:rPr>
        <w:t>nual cost burden to respondents</w:t>
      </w:r>
    </w:p>
    <w:p w:rsidR="00874DEE" w:rsidRPr="00D33596" w:rsidRDefault="00874DEE" w:rsidP="00874DEE">
      <w:pPr>
        <w:pStyle w:val="BodyTextIndent3"/>
        <w:ind w:left="0" w:firstLine="0"/>
        <w:rPr>
          <w:i/>
        </w:rPr>
      </w:pPr>
    </w:p>
    <w:p w:rsidR="002A5B27" w:rsidRPr="00D33596" w:rsidRDefault="00EC7A06" w:rsidP="00D33596">
      <w:pPr>
        <w:pStyle w:val="BodyTextIndent3"/>
        <w:ind w:left="0" w:firstLine="0"/>
      </w:pPr>
      <w:r w:rsidRPr="00D33596">
        <w:t xml:space="preserve">There are no costs to respondents beyond those presented in Section A.12.  There </w:t>
      </w:r>
      <w:proofErr w:type="gramStart"/>
      <w:r w:rsidRPr="00D33596">
        <w:t>are</w:t>
      </w:r>
      <w:proofErr w:type="gramEnd"/>
      <w:r w:rsidRPr="00D33596">
        <w:t xml:space="preserve"> no operating, maintenance, or capital costs associated with the collection.</w:t>
      </w:r>
    </w:p>
    <w:p w:rsidR="002A5B27" w:rsidRPr="00D33596" w:rsidRDefault="002A5B27">
      <w:pPr>
        <w:pStyle w:val="BodyTextIndent3"/>
      </w:pPr>
    </w:p>
    <w:p w:rsidR="00874DEE" w:rsidRPr="00D33596" w:rsidRDefault="00874DEE" w:rsidP="00874DEE">
      <w:pPr>
        <w:pStyle w:val="BodyTextIndent3"/>
        <w:ind w:left="0" w:firstLine="0"/>
        <w:rPr>
          <w:i/>
        </w:rPr>
      </w:pPr>
      <w:r w:rsidRPr="00D33596">
        <w:t>14.</w:t>
      </w:r>
      <w:r w:rsidRPr="00D33596">
        <w:tab/>
      </w:r>
      <w:r w:rsidRPr="00D33596">
        <w:rPr>
          <w:i/>
        </w:rPr>
        <w:t xml:space="preserve">Estimate of annualized </w:t>
      </w:r>
      <w:r w:rsidR="005B4C63" w:rsidRPr="00D33596">
        <w:rPr>
          <w:i/>
        </w:rPr>
        <w:t xml:space="preserve">costs to the </w:t>
      </w:r>
      <w:r w:rsidR="00EA3925">
        <w:rPr>
          <w:i/>
        </w:rPr>
        <w:t>F</w:t>
      </w:r>
      <w:r w:rsidR="005B4C63" w:rsidRPr="00D33596">
        <w:rPr>
          <w:i/>
        </w:rPr>
        <w:t>ederal government</w:t>
      </w:r>
    </w:p>
    <w:p w:rsidR="00874DEE" w:rsidRPr="00D33596" w:rsidRDefault="00874DEE" w:rsidP="00874DEE">
      <w:pPr>
        <w:pStyle w:val="BodyTextIndent3"/>
        <w:ind w:left="0" w:firstLine="0"/>
        <w:rPr>
          <w:i/>
        </w:rPr>
      </w:pPr>
    </w:p>
    <w:p w:rsidR="002A5B27" w:rsidRPr="00D33596" w:rsidRDefault="002A5B27" w:rsidP="00D33596">
      <w:pPr>
        <w:pStyle w:val="BodyTextIndent3"/>
        <w:ind w:left="0" w:firstLine="0"/>
      </w:pPr>
      <w:r w:rsidRPr="00D33596">
        <w:t>The estimated annual cost of the information and</w:t>
      </w:r>
      <w:r w:rsidR="00FF112D">
        <w:t xml:space="preserve"> collection requirements to the F</w:t>
      </w:r>
      <w:r w:rsidRPr="00D33596">
        <w:t>ederal g</w:t>
      </w:r>
      <w:r w:rsidR="003E309E" w:rsidRPr="00D33596">
        <w:t>ov</w:t>
      </w:r>
      <w:r w:rsidR="003C4A4F" w:rsidRPr="00D33596">
        <w:t>ern</w:t>
      </w:r>
      <w:r w:rsidR="00A46F5E" w:rsidRPr="00D33596">
        <w:t>ment is approximatel</w:t>
      </w:r>
      <w:r w:rsidR="00B33AF2" w:rsidRPr="00D33596">
        <w:t>y $</w:t>
      </w:r>
      <w:r w:rsidR="00520915">
        <w:t>31,730</w:t>
      </w:r>
      <w:r w:rsidR="003E309E" w:rsidRPr="00D33596">
        <w:t>.  This sum includes</w:t>
      </w:r>
      <w:r w:rsidRPr="00D33596">
        <w:t xml:space="preserve"> </w:t>
      </w:r>
      <w:r w:rsidR="00E24D39">
        <w:t>3</w:t>
      </w:r>
      <w:r w:rsidR="00B93163" w:rsidRPr="00D33596">
        <w:t xml:space="preserve"> staff months</w:t>
      </w:r>
      <w:r w:rsidR="00FF112D">
        <w:t xml:space="preserve"> (520 hours)</w:t>
      </w:r>
      <w:r w:rsidRPr="00D33596">
        <w:t xml:space="preserve"> expended for examination of the information in records required to be maintained by the enforcement rules.  </w:t>
      </w:r>
      <w:r w:rsidR="003C4A4F" w:rsidRPr="00D33596">
        <w:t>This estimate use</w:t>
      </w:r>
      <w:r w:rsidR="00A46F5E" w:rsidRPr="00D33596">
        <w:t>s an average wage rate of $</w:t>
      </w:r>
      <w:r w:rsidR="00520915">
        <w:t>41.62</w:t>
      </w:r>
      <w:r w:rsidR="003C4A4F" w:rsidRPr="00D33596">
        <w:t xml:space="preserve"> per h</w:t>
      </w:r>
      <w:bookmarkStart w:id="0" w:name="_GoBack"/>
      <w:bookmarkEnd w:id="0"/>
      <w:r w:rsidR="003C4A4F" w:rsidRPr="00D33596">
        <w:t>our (the equivalent of a GS-</w:t>
      </w:r>
      <w:r w:rsidR="005B02BF" w:rsidRPr="00D33596">
        <w:t>1</w:t>
      </w:r>
      <w:r w:rsidR="005B02BF">
        <w:t>2</w:t>
      </w:r>
      <w:r w:rsidR="005B02BF" w:rsidRPr="00D33596">
        <w:t xml:space="preserve"> </w:t>
      </w:r>
      <w:r w:rsidR="003C4A4F" w:rsidRPr="00D33596">
        <w:t>Step 5 e</w:t>
      </w:r>
      <w:r w:rsidR="00A46F5E" w:rsidRPr="00D33596">
        <w:t xml:space="preserve">mployee) with an additional </w:t>
      </w:r>
      <w:r w:rsidR="00520915">
        <w:t>31.8</w:t>
      </w:r>
      <w:r w:rsidR="003C4A4F" w:rsidRPr="00D33596">
        <w:t xml:space="preserve"> percent f</w:t>
      </w:r>
      <w:r w:rsidR="00A46F5E" w:rsidRPr="00D33596">
        <w:t xml:space="preserve">or benefits (BLS, Percentage of </w:t>
      </w:r>
      <w:r w:rsidR="003C4A4F" w:rsidRPr="00D33596">
        <w:t xml:space="preserve">total </w:t>
      </w:r>
      <w:r w:rsidR="00A46F5E" w:rsidRPr="00D33596">
        <w:t xml:space="preserve">compensation comprised by </w:t>
      </w:r>
      <w:r w:rsidR="003C4A4F" w:rsidRPr="00D33596">
        <w:t>benefits for all civilian management, professional, and related employees</w:t>
      </w:r>
      <w:r w:rsidR="00FF112D">
        <w:t xml:space="preserve">, </w:t>
      </w:r>
      <w:r w:rsidR="00CC3CFD">
        <w:t>June</w:t>
      </w:r>
      <w:r w:rsidR="00FF112D">
        <w:t xml:space="preserve"> 201</w:t>
      </w:r>
      <w:r w:rsidR="000B60A4">
        <w:t>5</w:t>
      </w:r>
      <w:r w:rsidR="00FF112D">
        <w:t>) or $</w:t>
      </w:r>
      <w:r w:rsidR="00520915">
        <w:t>61.02</w:t>
      </w:r>
      <w:r w:rsidR="003C4A4F" w:rsidRPr="00D33596">
        <w:t xml:space="preserve"> per hour x 520 hours.</w:t>
      </w:r>
    </w:p>
    <w:p w:rsidR="002A5B27" w:rsidRPr="00D33596" w:rsidRDefault="002A5B27">
      <w:pPr>
        <w:pStyle w:val="BodyTextIndent3"/>
        <w:ind w:left="0" w:firstLine="0"/>
      </w:pPr>
    </w:p>
    <w:p w:rsidR="00EC7A06" w:rsidRPr="00D33596" w:rsidRDefault="00874DEE" w:rsidP="00874DEE">
      <w:pPr>
        <w:pStyle w:val="BodyTextIndent3"/>
        <w:ind w:left="0" w:firstLine="0"/>
        <w:rPr>
          <w:i/>
        </w:rPr>
      </w:pPr>
      <w:r w:rsidRPr="00D33596">
        <w:t>15.</w:t>
      </w:r>
      <w:r w:rsidRPr="00D33596">
        <w:tab/>
      </w:r>
      <w:r w:rsidR="005B4C63" w:rsidRPr="00D33596">
        <w:rPr>
          <w:i/>
        </w:rPr>
        <w:t>Program changes or adjustments</w:t>
      </w:r>
      <w:r w:rsidRPr="00D33596">
        <w:rPr>
          <w:i/>
        </w:rPr>
        <w:t xml:space="preserve"> </w:t>
      </w:r>
    </w:p>
    <w:p w:rsidR="00EC7A06" w:rsidRPr="00D33596" w:rsidRDefault="00EC7A06" w:rsidP="00EC7A06">
      <w:pPr>
        <w:pStyle w:val="BodyTextIndent3"/>
        <w:ind w:left="0" w:firstLine="720"/>
      </w:pPr>
    </w:p>
    <w:p w:rsidR="002A5B27" w:rsidRPr="00D33596" w:rsidRDefault="00EC7A06" w:rsidP="00F81111">
      <w:pPr>
        <w:pStyle w:val="BodyTextIndent3"/>
        <w:ind w:left="0" w:firstLine="0"/>
      </w:pPr>
      <w:r w:rsidRPr="00D33596">
        <w:t>Th</w:t>
      </w:r>
      <w:r w:rsidR="003041D4" w:rsidRPr="00D33596">
        <w:t>e CPSIA added testing and recordkeeping requirements to this standard.</w:t>
      </w:r>
    </w:p>
    <w:p w:rsidR="002A5B27" w:rsidRPr="00D33596" w:rsidRDefault="002A5B27">
      <w:pPr>
        <w:pStyle w:val="BodyTextIndent3"/>
        <w:ind w:left="0" w:firstLine="0"/>
      </w:pPr>
    </w:p>
    <w:p w:rsidR="00EC7A06" w:rsidRPr="00D33596" w:rsidRDefault="00874DEE" w:rsidP="00874DEE">
      <w:pPr>
        <w:pStyle w:val="BodyTextIndent3"/>
        <w:ind w:left="0" w:firstLine="0"/>
        <w:rPr>
          <w:i/>
        </w:rPr>
      </w:pPr>
      <w:r w:rsidRPr="00D33596">
        <w:t>16.</w:t>
      </w:r>
      <w:r w:rsidRPr="00D33596">
        <w:tab/>
      </w:r>
      <w:r w:rsidRPr="00D33596">
        <w:rPr>
          <w:i/>
        </w:rPr>
        <w:t>Plans</w:t>
      </w:r>
      <w:r w:rsidR="005B4C63" w:rsidRPr="00D33596">
        <w:rPr>
          <w:i/>
        </w:rPr>
        <w:t xml:space="preserve"> for tabulation and publication</w:t>
      </w:r>
      <w:r w:rsidR="00EC7A06" w:rsidRPr="00D33596">
        <w:rPr>
          <w:i/>
        </w:rPr>
        <w:t xml:space="preserve">  </w:t>
      </w:r>
    </w:p>
    <w:p w:rsidR="00EC7A06" w:rsidRPr="00D33596" w:rsidRDefault="00EC7A06" w:rsidP="00874DEE">
      <w:pPr>
        <w:pStyle w:val="BodyTextIndent3"/>
        <w:ind w:left="0" w:firstLine="0"/>
        <w:rPr>
          <w:i/>
        </w:rPr>
      </w:pPr>
    </w:p>
    <w:p w:rsidR="002A5B27" w:rsidRPr="00D33596" w:rsidRDefault="00874DEE" w:rsidP="00F81111">
      <w:pPr>
        <w:pStyle w:val="BodyTextIndent3"/>
        <w:ind w:left="0" w:firstLine="0"/>
      </w:pPr>
      <w:r w:rsidRPr="00D33596">
        <w:rPr>
          <w:i/>
        </w:rPr>
        <w:t xml:space="preserve"> </w:t>
      </w:r>
      <w:r w:rsidR="002A5B27" w:rsidRPr="00D33596">
        <w:t>Not applicable.</w:t>
      </w:r>
    </w:p>
    <w:p w:rsidR="002A5B27" w:rsidRPr="00D33596" w:rsidRDefault="002A5B27">
      <w:pPr>
        <w:pStyle w:val="BodyTextIndent3"/>
        <w:ind w:left="0" w:firstLine="0"/>
      </w:pPr>
    </w:p>
    <w:p w:rsidR="002E3941" w:rsidRPr="00D33596" w:rsidRDefault="00874DEE" w:rsidP="00874DEE">
      <w:pPr>
        <w:pStyle w:val="BodyTextIndent3"/>
        <w:ind w:left="0" w:firstLine="0"/>
        <w:rPr>
          <w:i/>
        </w:rPr>
      </w:pPr>
      <w:r w:rsidRPr="00D33596">
        <w:t>17.</w:t>
      </w:r>
      <w:r w:rsidRPr="00D33596">
        <w:tab/>
      </w:r>
      <w:r w:rsidRPr="00D33596">
        <w:rPr>
          <w:i/>
        </w:rPr>
        <w:t>Rationale for not displaying the e</w:t>
      </w:r>
      <w:r w:rsidR="005B4C63" w:rsidRPr="00D33596">
        <w:rPr>
          <w:i/>
        </w:rPr>
        <w:t>xpiration date for OMB approval</w:t>
      </w:r>
      <w:r w:rsidR="00EC7A06" w:rsidRPr="00D33596">
        <w:rPr>
          <w:i/>
        </w:rPr>
        <w:t xml:space="preserve"> </w:t>
      </w:r>
    </w:p>
    <w:p w:rsidR="00EC7A06" w:rsidRPr="00D33596" w:rsidRDefault="00EC7A06" w:rsidP="00EC7A06">
      <w:pPr>
        <w:pStyle w:val="BodyTextIndent3"/>
        <w:ind w:left="0" w:firstLine="720"/>
      </w:pPr>
    </w:p>
    <w:p w:rsidR="002A5B27" w:rsidRPr="00D33596" w:rsidRDefault="002A5B27" w:rsidP="00F81111">
      <w:pPr>
        <w:pStyle w:val="BodyTextIndent3"/>
        <w:ind w:left="0" w:firstLine="0"/>
      </w:pPr>
      <w:r w:rsidRPr="00D33596">
        <w:lastRenderedPageBreak/>
        <w:t>Not applicable.</w:t>
      </w:r>
    </w:p>
    <w:p w:rsidR="002A5B27" w:rsidRPr="00D33596" w:rsidRDefault="002A5B27">
      <w:pPr>
        <w:pStyle w:val="BodyTextIndent3"/>
        <w:ind w:left="0" w:firstLine="0"/>
      </w:pPr>
    </w:p>
    <w:p w:rsidR="00EC7A06" w:rsidRPr="00D33596" w:rsidRDefault="00874DEE" w:rsidP="00874DEE">
      <w:pPr>
        <w:pStyle w:val="BodyTextIndent3"/>
        <w:ind w:left="0" w:firstLine="0"/>
        <w:rPr>
          <w:i/>
        </w:rPr>
      </w:pPr>
      <w:r w:rsidRPr="00D33596">
        <w:t>18.</w:t>
      </w:r>
      <w:r w:rsidRPr="00D33596">
        <w:tab/>
      </w:r>
      <w:r w:rsidRPr="00D33596">
        <w:rPr>
          <w:i/>
        </w:rPr>
        <w:t xml:space="preserve">Exception </w:t>
      </w:r>
      <w:r w:rsidR="005B4C63" w:rsidRPr="00D33596">
        <w:rPr>
          <w:i/>
        </w:rPr>
        <w:t>to the certifications statement</w:t>
      </w:r>
      <w:r w:rsidR="00EC7A06" w:rsidRPr="00D33596">
        <w:rPr>
          <w:i/>
        </w:rPr>
        <w:t xml:space="preserve">  </w:t>
      </w:r>
    </w:p>
    <w:p w:rsidR="00EC7A06" w:rsidRPr="00D33596" w:rsidRDefault="00EC7A06" w:rsidP="00874DEE">
      <w:pPr>
        <w:pStyle w:val="BodyTextIndent3"/>
        <w:ind w:left="0" w:firstLine="0"/>
      </w:pPr>
    </w:p>
    <w:p w:rsidR="002A5B27" w:rsidRPr="00D33596" w:rsidRDefault="002A5B27" w:rsidP="00F81111">
      <w:pPr>
        <w:pStyle w:val="BodyTextIndent3"/>
        <w:ind w:left="0" w:firstLine="0"/>
      </w:pPr>
      <w:r w:rsidRPr="00D33596">
        <w:t>Not applicable.</w:t>
      </w:r>
    </w:p>
    <w:p w:rsidR="00EC7A06" w:rsidRPr="00D33596" w:rsidRDefault="00EC7A06" w:rsidP="00F81111">
      <w:pPr>
        <w:pStyle w:val="BodyTextIndent3"/>
        <w:ind w:left="0" w:firstLine="0"/>
      </w:pPr>
    </w:p>
    <w:p w:rsidR="00EC7A06" w:rsidRPr="00D33596" w:rsidRDefault="002A5B27" w:rsidP="00874DEE">
      <w:pPr>
        <w:pStyle w:val="BodyTextIndent3"/>
        <w:ind w:left="720"/>
      </w:pPr>
      <w:r w:rsidRPr="00D33596">
        <w:t>B.  Statistical Methods</w:t>
      </w:r>
    </w:p>
    <w:p w:rsidR="00EC7A06" w:rsidRPr="00D33596" w:rsidRDefault="00EC7A06" w:rsidP="00874DEE">
      <w:pPr>
        <w:pStyle w:val="BodyTextIndent3"/>
        <w:ind w:left="720"/>
      </w:pPr>
    </w:p>
    <w:p w:rsidR="002A5B27" w:rsidRPr="00D33596" w:rsidRDefault="002A5B27" w:rsidP="00F81111">
      <w:pPr>
        <w:pStyle w:val="BodyTextIndent3"/>
        <w:ind w:left="0" w:firstLine="0"/>
      </w:pPr>
      <w:r w:rsidRPr="00D33596">
        <w:t>The reporting requirements do not em</w:t>
      </w:r>
      <w:r w:rsidR="00EC7A06" w:rsidRPr="00D33596">
        <w:t xml:space="preserve">ploy statistical </w:t>
      </w:r>
      <w:r w:rsidRPr="00D33596">
        <w:t>methods.</w:t>
      </w:r>
    </w:p>
    <w:p w:rsidR="002A5B27" w:rsidRPr="00D33596" w:rsidRDefault="002A5B27">
      <w:pPr>
        <w:ind w:left="1080"/>
      </w:pPr>
    </w:p>
    <w:sectPr w:rsidR="002A5B27" w:rsidRPr="00D33596" w:rsidSect="00B93163">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7F0" w:rsidRDefault="008557F0" w:rsidP="00EC7A06">
      <w:r>
        <w:separator/>
      </w:r>
    </w:p>
  </w:endnote>
  <w:endnote w:type="continuationSeparator" w:id="0">
    <w:p w:rsidR="008557F0" w:rsidRDefault="008557F0" w:rsidP="00EC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196485"/>
      <w:docPartObj>
        <w:docPartGallery w:val="Page Numbers (Bottom of Page)"/>
        <w:docPartUnique/>
      </w:docPartObj>
    </w:sdtPr>
    <w:sdtEndPr/>
    <w:sdtContent>
      <w:p w:rsidR="00B00C7B" w:rsidRDefault="008B0057">
        <w:pPr>
          <w:pStyle w:val="Footer"/>
          <w:jc w:val="center"/>
        </w:pPr>
        <w:r>
          <w:fldChar w:fldCharType="begin"/>
        </w:r>
        <w:r w:rsidR="00B00C7B">
          <w:instrText xml:space="preserve"> PAGE   \* MERGEFORMAT </w:instrText>
        </w:r>
        <w:r>
          <w:fldChar w:fldCharType="separate"/>
        </w:r>
        <w:r w:rsidR="00CC3CFD">
          <w:rPr>
            <w:noProof/>
          </w:rPr>
          <w:t>3</w:t>
        </w:r>
        <w:r>
          <w:rPr>
            <w:noProof/>
          </w:rPr>
          <w:fldChar w:fldCharType="end"/>
        </w:r>
      </w:p>
    </w:sdtContent>
  </w:sdt>
  <w:p w:rsidR="00B00C7B" w:rsidRDefault="00B00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7F0" w:rsidRDefault="008557F0" w:rsidP="00EC7A06">
      <w:r>
        <w:separator/>
      </w:r>
    </w:p>
  </w:footnote>
  <w:footnote w:type="continuationSeparator" w:id="0">
    <w:p w:rsidR="008557F0" w:rsidRDefault="008557F0" w:rsidP="00EC7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138E"/>
    <w:multiLevelType w:val="hybridMultilevel"/>
    <w:tmpl w:val="4C5CB9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280190"/>
    <w:multiLevelType w:val="hybridMultilevel"/>
    <w:tmpl w:val="8CBEC988"/>
    <w:lvl w:ilvl="0" w:tplc="1CF8C7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81"/>
    <w:rsid w:val="00014ADC"/>
    <w:rsid w:val="0002034C"/>
    <w:rsid w:val="00030EA2"/>
    <w:rsid w:val="000531D8"/>
    <w:rsid w:val="00056477"/>
    <w:rsid w:val="000B60A4"/>
    <w:rsid w:val="000D1C48"/>
    <w:rsid w:val="000E601B"/>
    <w:rsid w:val="00105D9A"/>
    <w:rsid w:val="001905C3"/>
    <w:rsid w:val="001E0184"/>
    <w:rsid w:val="002132AC"/>
    <w:rsid w:val="00222DEB"/>
    <w:rsid w:val="002A5B27"/>
    <w:rsid w:val="002E3941"/>
    <w:rsid w:val="002E47A8"/>
    <w:rsid w:val="002E4A87"/>
    <w:rsid w:val="002E5CFA"/>
    <w:rsid w:val="003041D4"/>
    <w:rsid w:val="00370357"/>
    <w:rsid w:val="003B05F6"/>
    <w:rsid w:val="003C2C1F"/>
    <w:rsid w:val="003C4A4F"/>
    <w:rsid w:val="003E309E"/>
    <w:rsid w:val="00453E3C"/>
    <w:rsid w:val="004A082E"/>
    <w:rsid w:val="004B3E13"/>
    <w:rsid w:val="004E0129"/>
    <w:rsid w:val="00520915"/>
    <w:rsid w:val="00582F3E"/>
    <w:rsid w:val="005B02BF"/>
    <w:rsid w:val="005B4C63"/>
    <w:rsid w:val="005F2683"/>
    <w:rsid w:val="00641C81"/>
    <w:rsid w:val="006A54EE"/>
    <w:rsid w:val="006E6DA8"/>
    <w:rsid w:val="00785BFA"/>
    <w:rsid w:val="007C129B"/>
    <w:rsid w:val="007C45C7"/>
    <w:rsid w:val="008557F0"/>
    <w:rsid w:val="00874DEE"/>
    <w:rsid w:val="008B0057"/>
    <w:rsid w:val="008C58C4"/>
    <w:rsid w:val="008E6DAE"/>
    <w:rsid w:val="008F2578"/>
    <w:rsid w:val="008F5208"/>
    <w:rsid w:val="00934D05"/>
    <w:rsid w:val="00941E5B"/>
    <w:rsid w:val="009461DB"/>
    <w:rsid w:val="009858E3"/>
    <w:rsid w:val="009C0F29"/>
    <w:rsid w:val="009D06DB"/>
    <w:rsid w:val="00A078B8"/>
    <w:rsid w:val="00A46F5E"/>
    <w:rsid w:val="00AA7CFC"/>
    <w:rsid w:val="00AD6F72"/>
    <w:rsid w:val="00B00C7B"/>
    <w:rsid w:val="00B33AF2"/>
    <w:rsid w:val="00B93163"/>
    <w:rsid w:val="00C3530C"/>
    <w:rsid w:val="00C45152"/>
    <w:rsid w:val="00CC3CFD"/>
    <w:rsid w:val="00CE3C21"/>
    <w:rsid w:val="00D33596"/>
    <w:rsid w:val="00D36ECC"/>
    <w:rsid w:val="00D530A9"/>
    <w:rsid w:val="00D53BA9"/>
    <w:rsid w:val="00D67022"/>
    <w:rsid w:val="00D775AC"/>
    <w:rsid w:val="00D877AB"/>
    <w:rsid w:val="00DE3CF8"/>
    <w:rsid w:val="00DE43D3"/>
    <w:rsid w:val="00E24D39"/>
    <w:rsid w:val="00E614E7"/>
    <w:rsid w:val="00E645DB"/>
    <w:rsid w:val="00EA3925"/>
    <w:rsid w:val="00EC7A06"/>
    <w:rsid w:val="00ED1BC8"/>
    <w:rsid w:val="00EE7C1A"/>
    <w:rsid w:val="00F55E0A"/>
    <w:rsid w:val="00F64DF0"/>
    <w:rsid w:val="00F81111"/>
    <w:rsid w:val="00FF112D"/>
    <w:rsid w:val="00FF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1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3163"/>
    <w:pPr>
      <w:ind w:left="1080" w:hanging="1080"/>
    </w:pPr>
  </w:style>
  <w:style w:type="paragraph" w:styleId="BodyTextIndent2">
    <w:name w:val="Body Text Indent 2"/>
    <w:basedOn w:val="Normal"/>
    <w:rsid w:val="00B93163"/>
    <w:pPr>
      <w:ind w:left="1080"/>
    </w:pPr>
  </w:style>
  <w:style w:type="paragraph" w:styleId="BodyTextIndent3">
    <w:name w:val="Body Text Indent 3"/>
    <w:basedOn w:val="Normal"/>
    <w:rsid w:val="00B93163"/>
    <w:pPr>
      <w:ind w:left="1080" w:hanging="720"/>
    </w:pPr>
  </w:style>
  <w:style w:type="character" w:styleId="CommentReference">
    <w:name w:val="annotation reference"/>
    <w:basedOn w:val="DefaultParagraphFont"/>
    <w:rsid w:val="00014ADC"/>
    <w:rPr>
      <w:sz w:val="16"/>
      <w:szCs w:val="16"/>
    </w:rPr>
  </w:style>
  <w:style w:type="paragraph" w:styleId="CommentText">
    <w:name w:val="annotation text"/>
    <w:basedOn w:val="Normal"/>
    <w:link w:val="CommentTextChar"/>
    <w:rsid w:val="00014ADC"/>
    <w:rPr>
      <w:sz w:val="20"/>
      <w:szCs w:val="20"/>
    </w:rPr>
  </w:style>
  <w:style w:type="character" w:customStyle="1" w:styleId="CommentTextChar">
    <w:name w:val="Comment Text Char"/>
    <w:basedOn w:val="DefaultParagraphFont"/>
    <w:link w:val="CommentText"/>
    <w:rsid w:val="00014ADC"/>
  </w:style>
  <w:style w:type="paragraph" w:styleId="CommentSubject">
    <w:name w:val="annotation subject"/>
    <w:basedOn w:val="CommentText"/>
    <w:next w:val="CommentText"/>
    <w:link w:val="CommentSubjectChar"/>
    <w:rsid w:val="00014ADC"/>
    <w:rPr>
      <w:b/>
      <w:bCs/>
    </w:rPr>
  </w:style>
  <w:style w:type="character" w:customStyle="1" w:styleId="CommentSubjectChar">
    <w:name w:val="Comment Subject Char"/>
    <w:basedOn w:val="CommentTextChar"/>
    <w:link w:val="CommentSubject"/>
    <w:rsid w:val="00014ADC"/>
    <w:rPr>
      <w:b/>
      <w:bCs/>
    </w:rPr>
  </w:style>
  <w:style w:type="paragraph" w:styleId="BalloonText">
    <w:name w:val="Balloon Text"/>
    <w:basedOn w:val="Normal"/>
    <w:link w:val="BalloonTextChar"/>
    <w:rsid w:val="00014ADC"/>
    <w:rPr>
      <w:rFonts w:ascii="Tahoma" w:hAnsi="Tahoma" w:cs="Tahoma"/>
      <w:sz w:val="16"/>
      <w:szCs w:val="16"/>
    </w:rPr>
  </w:style>
  <w:style w:type="character" w:customStyle="1" w:styleId="BalloonTextChar">
    <w:name w:val="Balloon Text Char"/>
    <w:basedOn w:val="DefaultParagraphFont"/>
    <w:link w:val="BalloonText"/>
    <w:rsid w:val="00014ADC"/>
    <w:rPr>
      <w:rFonts w:ascii="Tahoma" w:hAnsi="Tahoma" w:cs="Tahoma"/>
      <w:sz w:val="16"/>
      <w:szCs w:val="16"/>
    </w:rPr>
  </w:style>
  <w:style w:type="paragraph" w:styleId="Header">
    <w:name w:val="header"/>
    <w:basedOn w:val="Normal"/>
    <w:link w:val="HeaderChar"/>
    <w:rsid w:val="00EC7A06"/>
    <w:pPr>
      <w:tabs>
        <w:tab w:val="center" w:pos="4680"/>
        <w:tab w:val="right" w:pos="9360"/>
      </w:tabs>
    </w:pPr>
  </w:style>
  <w:style w:type="character" w:customStyle="1" w:styleId="HeaderChar">
    <w:name w:val="Header Char"/>
    <w:basedOn w:val="DefaultParagraphFont"/>
    <w:link w:val="Header"/>
    <w:rsid w:val="00EC7A06"/>
    <w:rPr>
      <w:sz w:val="24"/>
      <w:szCs w:val="24"/>
    </w:rPr>
  </w:style>
  <w:style w:type="paragraph" w:styleId="Footer">
    <w:name w:val="footer"/>
    <w:basedOn w:val="Normal"/>
    <w:link w:val="FooterChar"/>
    <w:uiPriority w:val="99"/>
    <w:rsid w:val="00EC7A06"/>
    <w:pPr>
      <w:tabs>
        <w:tab w:val="center" w:pos="4680"/>
        <w:tab w:val="right" w:pos="9360"/>
      </w:tabs>
    </w:pPr>
  </w:style>
  <w:style w:type="character" w:customStyle="1" w:styleId="FooterChar">
    <w:name w:val="Footer Char"/>
    <w:basedOn w:val="DefaultParagraphFont"/>
    <w:link w:val="Footer"/>
    <w:uiPriority w:val="99"/>
    <w:rsid w:val="00EC7A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1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3163"/>
    <w:pPr>
      <w:ind w:left="1080" w:hanging="1080"/>
    </w:pPr>
  </w:style>
  <w:style w:type="paragraph" w:styleId="BodyTextIndent2">
    <w:name w:val="Body Text Indent 2"/>
    <w:basedOn w:val="Normal"/>
    <w:rsid w:val="00B93163"/>
    <w:pPr>
      <w:ind w:left="1080"/>
    </w:pPr>
  </w:style>
  <w:style w:type="paragraph" w:styleId="BodyTextIndent3">
    <w:name w:val="Body Text Indent 3"/>
    <w:basedOn w:val="Normal"/>
    <w:rsid w:val="00B93163"/>
    <w:pPr>
      <w:ind w:left="1080" w:hanging="720"/>
    </w:pPr>
  </w:style>
  <w:style w:type="character" w:styleId="CommentReference">
    <w:name w:val="annotation reference"/>
    <w:basedOn w:val="DefaultParagraphFont"/>
    <w:rsid w:val="00014ADC"/>
    <w:rPr>
      <w:sz w:val="16"/>
      <w:szCs w:val="16"/>
    </w:rPr>
  </w:style>
  <w:style w:type="paragraph" w:styleId="CommentText">
    <w:name w:val="annotation text"/>
    <w:basedOn w:val="Normal"/>
    <w:link w:val="CommentTextChar"/>
    <w:rsid w:val="00014ADC"/>
    <w:rPr>
      <w:sz w:val="20"/>
      <w:szCs w:val="20"/>
    </w:rPr>
  </w:style>
  <w:style w:type="character" w:customStyle="1" w:styleId="CommentTextChar">
    <w:name w:val="Comment Text Char"/>
    <w:basedOn w:val="DefaultParagraphFont"/>
    <w:link w:val="CommentText"/>
    <w:rsid w:val="00014ADC"/>
  </w:style>
  <w:style w:type="paragraph" w:styleId="CommentSubject">
    <w:name w:val="annotation subject"/>
    <w:basedOn w:val="CommentText"/>
    <w:next w:val="CommentText"/>
    <w:link w:val="CommentSubjectChar"/>
    <w:rsid w:val="00014ADC"/>
    <w:rPr>
      <w:b/>
      <w:bCs/>
    </w:rPr>
  </w:style>
  <w:style w:type="character" w:customStyle="1" w:styleId="CommentSubjectChar">
    <w:name w:val="Comment Subject Char"/>
    <w:basedOn w:val="CommentTextChar"/>
    <w:link w:val="CommentSubject"/>
    <w:rsid w:val="00014ADC"/>
    <w:rPr>
      <w:b/>
      <w:bCs/>
    </w:rPr>
  </w:style>
  <w:style w:type="paragraph" w:styleId="BalloonText">
    <w:name w:val="Balloon Text"/>
    <w:basedOn w:val="Normal"/>
    <w:link w:val="BalloonTextChar"/>
    <w:rsid w:val="00014ADC"/>
    <w:rPr>
      <w:rFonts w:ascii="Tahoma" w:hAnsi="Tahoma" w:cs="Tahoma"/>
      <w:sz w:val="16"/>
      <w:szCs w:val="16"/>
    </w:rPr>
  </w:style>
  <w:style w:type="character" w:customStyle="1" w:styleId="BalloonTextChar">
    <w:name w:val="Balloon Text Char"/>
    <w:basedOn w:val="DefaultParagraphFont"/>
    <w:link w:val="BalloonText"/>
    <w:rsid w:val="00014ADC"/>
    <w:rPr>
      <w:rFonts w:ascii="Tahoma" w:hAnsi="Tahoma" w:cs="Tahoma"/>
      <w:sz w:val="16"/>
      <w:szCs w:val="16"/>
    </w:rPr>
  </w:style>
  <w:style w:type="paragraph" w:styleId="Header">
    <w:name w:val="header"/>
    <w:basedOn w:val="Normal"/>
    <w:link w:val="HeaderChar"/>
    <w:rsid w:val="00EC7A06"/>
    <w:pPr>
      <w:tabs>
        <w:tab w:val="center" w:pos="4680"/>
        <w:tab w:val="right" w:pos="9360"/>
      </w:tabs>
    </w:pPr>
  </w:style>
  <w:style w:type="character" w:customStyle="1" w:styleId="HeaderChar">
    <w:name w:val="Header Char"/>
    <w:basedOn w:val="DefaultParagraphFont"/>
    <w:link w:val="Header"/>
    <w:rsid w:val="00EC7A06"/>
    <w:rPr>
      <w:sz w:val="24"/>
      <w:szCs w:val="24"/>
    </w:rPr>
  </w:style>
  <w:style w:type="paragraph" w:styleId="Footer">
    <w:name w:val="footer"/>
    <w:basedOn w:val="Normal"/>
    <w:link w:val="FooterChar"/>
    <w:uiPriority w:val="99"/>
    <w:rsid w:val="00EC7A06"/>
    <w:pPr>
      <w:tabs>
        <w:tab w:val="center" w:pos="4680"/>
        <w:tab w:val="right" w:pos="9360"/>
      </w:tabs>
    </w:pPr>
  </w:style>
  <w:style w:type="character" w:customStyle="1" w:styleId="FooterChar">
    <w:name w:val="Footer Char"/>
    <w:basedOn w:val="DefaultParagraphFont"/>
    <w:link w:val="Footer"/>
    <w:uiPriority w:val="99"/>
    <w:rsid w:val="00EC7A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rom xmlns="b6ad9a2f-e5e8-49ff-90e6-e50cc4194f70">
      <UserInfo>
        <DisplayName>Kim, Hyun</DisplayName>
        <AccountId>542</AccountId>
        <AccountType/>
      </UserInfo>
    </From>
    <Purpose xmlns="fa6bbc81-7e04-44dd-b62d-76690d26542c">to submit to ROCIS w/30 day notice</Purpose>
    <Directorate xmlns="b6ad9a2f-e5e8-49ff-90e6-e50cc4194f70">General Counsel - OGC</Directorate>
    <Due_x0020_Date xmlns="b6ad9a2f-e5e8-49ff-90e6-e50cc4194f70">2012-06-22T04:00:00+00:00</D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6696b24bd964a0131dbbaac75f089aae">
  <xsd:schema xmlns:xsd="http://www.w3.org/2001/XMLSchema" xmlns:p="http://schemas.microsoft.com/office/2006/metadata/properties" xmlns:ns2="b6ad9a2f-e5e8-49ff-90e6-e50cc4194f70" xmlns:ns3="fa6bbc81-7e04-44dd-b62d-76690d26542c" targetNamespace="http://schemas.microsoft.com/office/2006/metadata/properties" ma:root="true" ma:fieldsID="00e9215c765be8a04523039e4b59152c"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FDAC186-8C5F-456A-B7CC-7D2267109EBC}">
  <ds:schemaRefs>
    <ds:schemaRef ds:uri="http://schemas.microsoft.com/office/2006/metadata/properties"/>
    <ds:schemaRef ds:uri="b6ad9a2f-e5e8-49ff-90e6-e50cc4194f70"/>
    <ds:schemaRef ds:uri="fa6bbc81-7e04-44dd-b62d-76690d26542c"/>
  </ds:schemaRefs>
</ds:datastoreItem>
</file>

<file path=customXml/itemProps2.xml><?xml version="1.0" encoding="utf-8"?>
<ds:datastoreItem xmlns:ds="http://schemas.openxmlformats.org/officeDocument/2006/customXml" ds:itemID="{6B4DFBAE-E188-4ED0-AA49-98D0B8C8748F}">
  <ds:schemaRefs>
    <ds:schemaRef ds:uri="http://schemas.microsoft.com/sharepoint/v3/contenttype/forms"/>
  </ds:schemaRefs>
</ds:datastoreItem>
</file>

<file path=customXml/itemProps3.xml><?xml version="1.0" encoding="utf-8"?>
<ds:datastoreItem xmlns:ds="http://schemas.openxmlformats.org/officeDocument/2006/customXml" ds:itemID="{471C83AA-60B0-4D7D-9B8B-12C612FD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CPSC</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ISIS</dc:creator>
  <cp:lastModifiedBy>RSquibb</cp:lastModifiedBy>
  <cp:revision>6</cp:revision>
  <cp:lastPrinted>2009-03-20T17:44:00Z</cp:lastPrinted>
  <dcterms:created xsi:type="dcterms:W3CDTF">2015-06-23T15:13:00Z</dcterms:created>
  <dcterms:modified xsi:type="dcterms:W3CDTF">2015-10-05T15:23:00Z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