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1F003" w14:textId="77777777" w:rsidR="00992158" w:rsidRDefault="00992158"/>
    <w:p w14:paraId="6F615D02" w14:textId="77777777" w:rsidR="00992158" w:rsidRDefault="00992158" w:rsidP="00992158">
      <w:pPr>
        <w:jc w:val="center"/>
        <w:rPr>
          <w:b/>
        </w:rPr>
      </w:pPr>
    </w:p>
    <w:p w14:paraId="0539FF3B" w14:textId="77777777" w:rsidR="00992158" w:rsidRDefault="00992158" w:rsidP="00992158">
      <w:pPr>
        <w:jc w:val="center"/>
      </w:pPr>
      <w:r>
        <w:rPr>
          <w:b/>
        </w:rPr>
        <w:t>SUPPORTING STATEMENT</w:t>
      </w:r>
    </w:p>
    <w:p w14:paraId="1D012452" w14:textId="77777777" w:rsidR="00992158" w:rsidRDefault="00992158" w:rsidP="00992158"/>
    <w:p w14:paraId="7C13D9B4" w14:textId="77777777" w:rsidR="005F3826" w:rsidRDefault="00992158" w:rsidP="005F3826">
      <w:pPr>
        <w:rPr>
          <w:b/>
        </w:rPr>
      </w:pPr>
      <w:r>
        <w:rPr>
          <w:b/>
        </w:rPr>
        <w:t xml:space="preserve">A.  </w:t>
      </w:r>
      <w:r>
        <w:rPr>
          <w:b/>
          <w:u w:val="single"/>
        </w:rPr>
        <w:t>Justification</w:t>
      </w:r>
      <w:r>
        <w:rPr>
          <w:b/>
        </w:rPr>
        <w:t>:</w:t>
      </w:r>
    </w:p>
    <w:p w14:paraId="62130769" w14:textId="77777777" w:rsidR="005F3826" w:rsidRDefault="005F3826" w:rsidP="005F3826"/>
    <w:p w14:paraId="0EA5AC20" w14:textId="0F102183" w:rsidR="007E05FD" w:rsidRDefault="005F3826" w:rsidP="005F3826">
      <w:r>
        <w:t xml:space="preserve">1.  </w:t>
      </w:r>
      <w:r w:rsidR="00992158">
        <w:t xml:space="preserve">The Federal Communications Commission (Commission) </w:t>
      </w:r>
      <w:r w:rsidR="007E05FD">
        <w:t>is requesting a three-</w:t>
      </w:r>
    </w:p>
    <w:p w14:paraId="6FF40F32" w14:textId="04C8EF57" w:rsidR="00992158" w:rsidRDefault="007E05FD" w:rsidP="007E05FD">
      <w:r>
        <w:t>year extension of OMB Control No. 3060-1163 titled, “</w:t>
      </w:r>
      <w:r w:rsidR="00992158">
        <w:t>Regulations Applicable to Common Carrier and Aeronautical Radio Licensees Under Section 310(b)(4) of the Communi</w:t>
      </w:r>
      <w:r>
        <w:t xml:space="preserve">cations Act of 1934, as Amended.”  </w:t>
      </w:r>
    </w:p>
    <w:p w14:paraId="20343A1A" w14:textId="77777777" w:rsidR="007E05FD" w:rsidRDefault="007E05FD" w:rsidP="007E05FD"/>
    <w:p w14:paraId="5C3D7059" w14:textId="1844BDDB" w:rsidR="007E05FD" w:rsidRPr="007E05FD" w:rsidRDefault="007E05FD" w:rsidP="007E05FD">
      <w:pPr>
        <w:rPr>
          <w:u w:val="single"/>
        </w:rPr>
      </w:pPr>
      <w:r w:rsidRPr="007E05FD">
        <w:rPr>
          <w:u w:val="single"/>
        </w:rPr>
        <w:t>Background</w:t>
      </w:r>
      <w:bookmarkStart w:id="0" w:name="_GoBack"/>
      <w:bookmarkEnd w:id="0"/>
    </w:p>
    <w:p w14:paraId="0C32E9EC" w14:textId="77777777" w:rsidR="007E05FD" w:rsidRDefault="007E05FD" w:rsidP="007E05FD"/>
    <w:p w14:paraId="75BA7D79" w14:textId="1537657F" w:rsidR="00992158" w:rsidRDefault="00992158" w:rsidP="007E05FD">
      <w:pPr>
        <w:rPr>
          <w:szCs w:val="22"/>
        </w:rPr>
      </w:pPr>
      <w:r>
        <w:t xml:space="preserve">On April 18, 2013, the Commission adopted final rules in </w:t>
      </w:r>
      <w:r w:rsidRPr="000043E8">
        <w:rPr>
          <w:i/>
        </w:rPr>
        <w:t>Review of Foreign Ownership Policies for Common Carrier and Aeronautical Radio Licensees under Section 310(b)(4) of the Communications Act of 1934, as Amended</w:t>
      </w:r>
      <w:r>
        <w:t>,</w:t>
      </w:r>
      <w:r w:rsidRPr="00BF612D">
        <w:t xml:space="preserve"> </w:t>
      </w:r>
      <w:r w:rsidRPr="00BF612D">
        <w:rPr>
          <w:szCs w:val="22"/>
        </w:rPr>
        <w:t xml:space="preserve">IB Docket No. </w:t>
      </w:r>
      <w:r>
        <w:rPr>
          <w:szCs w:val="22"/>
        </w:rPr>
        <w:t>11</w:t>
      </w:r>
      <w:r w:rsidRPr="00BF612D">
        <w:rPr>
          <w:szCs w:val="22"/>
        </w:rPr>
        <w:t>-1</w:t>
      </w:r>
      <w:r>
        <w:rPr>
          <w:szCs w:val="22"/>
        </w:rPr>
        <w:t>33, Second Report and Order, FCC 13-50</w:t>
      </w:r>
      <w:r w:rsidRPr="00BF612D">
        <w:rPr>
          <w:szCs w:val="22"/>
        </w:rPr>
        <w:t xml:space="preserve"> (rel.</w:t>
      </w:r>
      <w:r>
        <w:rPr>
          <w:szCs w:val="22"/>
        </w:rPr>
        <w:t xml:space="preserve"> Apr. 18</w:t>
      </w:r>
      <w:r w:rsidRPr="00BF612D">
        <w:rPr>
          <w:szCs w:val="22"/>
        </w:rPr>
        <w:t>, 2013)</w:t>
      </w:r>
      <w:r>
        <w:rPr>
          <w:szCs w:val="22"/>
        </w:rPr>
        <w:t xml:space="preserve"> (Second Report and Order).  </w:t>
      </w:r>
      <w:r w:rsidR="007E05FD">
        <w:rPr>
          <w:szCs w:val="22"/>
        </w:rPr>
        <w:t>Among other changes, t</w:t>
      </w:r>
      <w:r>
        <w:rPr>
          <w:szCs w:val="22"/>
        </w:rPr>
        <w:t>he final rules eliminate</w:t>
      </w:r>
      <w:r w:rsidR="007E05FD">
        <w:rPr>
          <w:szCs w:val="22"/>
        </w:rPr>
        <w:t>d</w:t>
      </w:r>
      <w:r>
        <w:rPr>
          <w:szCs w:val="22"/>
        </w:rPr>
        <w:t xml:space="preserve"> the current need for licensees that have received a foreign ownership ruling to return to the Commission for approval of increased interests by previously approved foreign investors, of foreign ownership in subsidiaries or affiliates, or of new services or new geographic service areas.  In addition, the final rules eliminate</w:t>
      </w:r>
      <w:r w:rsidR="007E05FD">
        <w:rPr>
          <w:szCs w:val="22"/>
        </w:rPr>
        <w:t>d</w:t>
      </w:r>
      <w:r>
        <w:rPr>
          <w:szCs w:val="22"/>
        </w:rPr>
        <w:t xml:space="preserve"> the current need for approval of certain corporate reorganizations, subject only to a post-closing notification.  </w:t>
      </w:r>
    </w:p>
    <w:p w14:paraId="093D67E5" w14:textId="77777777" w:rsidR="007E05FD" w:rsidRDefault="007E05FD" w:rsidP="007E05FD">
      <w:pPr>
        <w:rPr>
          <w:szCs w:val="22"/>
        </w:rPr>
      </w:pPr>
    </w:p>
    <w:p w14:paraId="0B93ED7B" w14:textId="374E6649" w:rsidR="00992158" w:rsidRDefault="008673C3" w:rsidP="00093A13">
      <w:pPr>
        <w:rPr>
          <w:b/>
        </w:rPr>
      </w:pPr>
      <w:r>
        <w:rPr>
          <w:szCs w:val="22"/>
        </w:rPr>
        <w:t>This in</w:t>
      </w:r>
      <w:r w:rsidR="00992158">
        <w:t xml:space="preserve">formation collection </w:t>
      </w:r>
      <w:r w:rsidR="00DA5AB7">
        <w:t xml:space="preserve">does </w:t>
      </w:r>
      <w:r w:rsidR="00992158">
        <w:t>not replace the existing information collection for section 310(b) of the Act</w:t>
      </w:r>
      <w:r>
        <w:t xml:space="preserve"> (OMB Control Number 3060-0686)</w:t>
      </w:r>
      <w:r w:rsidR="007E05FD">
        <w:t xml:space="preserve">.  Licensees who </w:t>
      </w:r>
      <w:r w:rsidR="00992158">
        <w:t>received foreign ownership rulings prior to the effective date of the new rules will continue to be subject to the Commission’s foreign ownership policies and procedures within the parameters of their rulings, until they seek and obtain a new ruling under the new rules.  The Commission determined in the Second Report and Order that it would permit such licensees to file a new petition for declaratory ruling under the new rules, but would not require them to do so.</w:t>
      </w:r>
      <w:r>
        <w:t xml:space="preserve">  </w:t>
      </w:r>
    </w:p>
    <w:p w14:paraId="77F41E26" w14:textId="77777777" w:rsidR="00093A13" w:rsidRDefault="00093A13" w:rsidP="00992158">
      <w:pPr>
        <w:rPr>
          <w:b/>
        </w:rPr>
      </w:pPr>
    </w:p>
    <w:p w14:paraId="450A3025" w14:textId="21BEFF21" w:rsidR="00992158" w:rsidRDefault="00992158" w:rsidP="00992158">
      <w:pPr>
        <w:rPr>
          <w:b/>
        </w:rPr>
      </w:pPr>
      <w:r w:rsidRPr="00CF2C33">
        <w:rPr>
          <w:u w:val="single"/>
        </w:rPr>
        <w:t>Authority for t</w:t>
      </w:r>
      <w:r w:rsidR="00CA1E2C">
        <w:rPr>
          <w:u w:val="single"/>
        </w:rPr>
        <w:t>he</w:t>
      </w:r>
      <w:r w:rsidRPr="00CF2C33">
        <w:rPr>
          <w:u w:val="single"/>
        </w:rPr>
        <w:t xml:space="preserve"> information collection requirements</w:t>
      </w:r>
      <w:r>
        <w:rPr>
          <w:b/>
        </w:rPr>
        <w:t>:</w:t>
      </w:r>
    </w:p>
    <w:p w14:paraId="32E5D894" w14:textId="77777777" w:rsidR="00992158" w:rsidRDefault="00992158" w:rsidP="00992158">
      <w:pPr>
        <w:rPr>
          <w:b/>
        </w:rPr>
      </w:pPr>
    </w:p>
    <w:p w14:paraId="36B27723" w14:textId="77777777" w:rsidR="00992158" w:rsidRDefault="00992158" w:rsidP="00992158">
      <w:r>
        <w:t xml:space="preserve">The Commission has authority for this information collection under </w:t>
      </w:r>
      <w:r>
        <w:rPr>
          <w:szCs w:val="22"/>
        </w:rPr>
        <w:t>Sections 1, 2, 4(i), 4(j), 10, 303(r), 309, 310 and 403 of the Communications Act of 1934, as amended, 47 U.S.C. §§ 151, 152, 154(i), 154(j), 160, 303(r), 309, 310, 403.</w:t>
      </w:r>
    </w:p>
    <w:p w14:paraId="77915D97" w14:textId="77777777" w:rsidR="00992158" w:rsidRDefault="00992158" w:rsidP="00992158">
      <w:pPr>
        <w:rPr>
          <w:szCs w:val="22"/>
        </w:rPr>
      </w:pPr>
    </w:p>
    <w:p w14:paraId="1EC06EEE" w14:textId="77777777" w:rsidR="00992158" w:rsidRDefault="00992158" w:rsidP="00992158">
      <w:pPr>
        <w:rPr>
          <w:szCs w:val="22"/>
        </w:rPr>
      </w:pPr>
      <w:r w:rsidRPr="008517E0">
        <w:rPr>
          <w:szCs w:val="22"/>
        </w:rPr>
        <w:t xml:space="preserve">This information collection </w:t>
      </w:r>
      <w:r>
        <w:rPr>
          <w:szCs w:val="22"/>
        </w:rPr>
        <w:t xml:space="preserve">does not raise any issues </w:t>
      </w:r>
      <w:r w:rsidRPr="008517E0">
        <w:rPr>
          <w:szCs w:val="22"/>
        </w:rPr>
        <w:t>under the Privacy Act.</w:t>
      </w:r>
    </w:p>
    <w:p w14:paraId="0D8F2DB1" w14:textId="77777777" w:rsidR="00DB3AE4" w:rsidRPr="008517E0" w:rsidRDefault="00DB3AE4" w:rsidP="00992158">
      <w:pPr>
        <w:rPr>
          <w:szCs w:val="22"/>
        </w:rPr>
      </w:pPr>
    </w:p>
    <w:p w14:paraId="7546C88B" w14:textId="48D88D62" w:rsidR="00992158" w:rsidRDefault="00992158" w:rsidP="00992158">
      <w:pPr>
        <w:rPr>
          <w:szCs w:val="22"/>
        </w:rPr>
      </w:pPr>
      <w:r w:rsidRPr="008517E0">
        <w:rPr>
          <w:szCs w:val="22"/>
        </w:rPr>
        <w:t xml:space="preserve">2.  </w:t>
      </w:r>
      <w:r>
        <w:rPr>
          <w:szCs w:val="22"/>
        </w:rPr>
        <w:t>Section 310(b)(4) of the Act requires that t</w:t>
      </w:r>
      <w:r w:rsidRPr="008517E0">
        <w:rPr>
          <w:szCs w:val="22"/>
        </w:rPr>
        <w:t>he Commission</w:t>
      </w:r>
      <w:r>
        <w:rPr>
          <w:szCs w:val="22"/>
        </w:rPr>
        <w:t xml:space="preserve"> pass upon the propriety of foreign ownership of U.S. parent companies that control common carrier and aeronautical radio licensees before such ownership exceeds 25 percent.  The Commission’s section </w:t>
      </w:r>
      <w:r>
        <w:rPr>
          <w:szCs w:val="22"/>
        </w:rPr>
        <w:lastRenderedPageBreak/>
        <w:t>310(b)(3) forbearance approach</w:t>
      </w:r>
      <w:r w:rsidR="00E7741C">
        <w:rPr>
          <w:szCs w:val="22"/>
        </w:rPr>
        <w:t>, adopted in the First Report and Order in this proceeding,</w:t>
      </w:r>
      <w:r>
        <w:rPr>
          <w:szCs w:val="22"/>
        </w:rPr>
        <w:t xml:space="preserve"> requires that t</w:t>
      </w:r>
      <w:r w:rsidRPr="008517E0">
        <w:rPr>
          <w:szCs w:val="22"/>
        </w:rPr>
        <w:t>he Commission</w:t>
      </w:r>
      <w:r>
        <w:rPr>
          <w:szCs w:val="22"/>
        </w:rPr>
        <w:t xml:space="preserve"> pass upon the propriety of foreign ownership of common carrier radio licensees before such ownership exceeds 20 percent.  The Commission will use the information collected under the final rules to make the required public interest findings.  The information collection will preserve the Commission’s ability to disallow foreign investment that may pose a risk of harm to competition or national security, law enforcement, foreign policy, or trade policy.  </w:t>
      </w:r>
    </w:p>
    <w:p w14:paraId="37886313" w14:textId="77777777" w:rsidR="00992158" w:rsidRDefault="00992158" w:rsidP="00992158">
      <w:pPr>
        <w:rPr>
          <w:szCs w:val="22"/>
        </w:rPr>
      </w:pPr>
    </w:p>
    <w:p w14:paraId="064D9D02" w14:textId="4DE7EDFE" w:rsidR="00992158" w:rsidRDefault="00992158" w:rsidP="00992158">
      <w:pPr>
        <w:pStyle w:val="ParaNum"/>
        <w:numPr>
          <w:ilvl w:val="0"/>
          <w:numId w:val="0"/>
        </w:numPr>
        <w:tabs>
          <w:tab w:val="left" w:pos="720"/>
        </w:tabs>
        <w:jc w:val="left"/>
        <w:rPr>
          <w:b/>
          <w:sz w:val="24"/>
          <w:szCs w:val="24"/>
        </w:rPr>
      </w:pPr>
      <w:r w:rsidRPr="00B05DCB">
        <w:rPr>
          <w:sz w:val="24"/>
          <w:szCs w:val="24"/>
        </w:rPr>
        <w:t>3.</w:t>
      </w:r>
      <w:r>
        <w:rPr>
          <w:sz w:val="24"/>
          <w:szCs w:val="24"/>
        </w:rPr>
        <w:t xml:space="preserve">  </w:t>
      </w:r>
      <w:r w:rsidR="00DB3AE4">
        <w:rPr>
          <w:sz w:val="24"/>
          <w:szCs w:val="24"/>
        </w:rPr>
        <w:t xml:space="preserve">Entities must file </w:t>
      </w:r>
      <w:r w:rsidRPr="004142C6">
        <w:rPr>
          <w:sz w:val="24"/>
          <w:szCs w:val="24"/>
        </w:rPr>
        <w:t>their information</w:t>
      </w:r>
      <w:r>
        <w:rPr>
          <w:sz w:val="24"/>
          <w:szCs w:val="24"/>
        </w:rPr>
        <w:t xml:space="preserve"> electronically via the internet using the International Bureau Filing System (IBFS).  The International Bureau assigns an IBFS File No. to the petition, and the petition is publicly available via the internet in IBFS.</w:t>
      </w:r>
    </w:p>
    <w:p w14:paraId="6A8D05AE" w14:textId="77777777" w:rsidR="00992158" w:rsidRPr="00216A2B" w:rsidRDefault="00992158" w:rsidP="00992158">
      <w:pPr>
        <w:pStyle w:val="ParaNum"/>
        <w:numPr>
          <w:ilvl w:val="0"/>
          <w:numId w:val="0"/>
        </w:numPr>
        <w:tabs>
          <w:tab w:val="left" w:pos="720"/>
        </w:tabs>
        <w:jc w:val="left"/>
        <w:rPr>
          <w:sz w:val="24"/>
          <w:szCs w:val="24"/>
        </w:rPr>
      </w:pPr>
      <w:r w:rsidRPr="00216A2B">
        <w:rPr>
          <w:spacing w:val="-3"/>
          <w:sz w:val="24"/>
          <w:szCs w:val="24"/>
        </w:rPr>
        <w:t>4.  T</w:t>
      </w:r>
      <w:r w:rsidRPr="00216A2B">
        <w:rPr>
          <w:sz w:val="24"/>
          <w:szCs w:val="24"/>
        </w:rPr>
        <w:t>his information collection requirement is not duplicated elsewhere in the Commission’s rules.</w:t>
      </w:r>
    </w:p>
    <w:p w14:paraId="3F1FC7A4" w14:textId="4355A198" w:rsidR="00992158" w:rsidRDefault="00992158" w:rsidP="00992158">
      <w:pPr>
        <w:suppressAutoHyphens/>
        <w:spacing w:line="240" w:lineRule="atLeast"/>
        <w:rPr>
          <w:spacing w:val="-3"/>
        </w:rPr>
      </w:pPr>
      <w:r>
        <w:t xml:space="preserve">5.  </w:t>
      </w:r>
      <w:r w:rsidRPr="003A63F3">
        <w:t>Th</w:t>
      </w:r>
      <w:r>
        <w:t xml:space="preserve">e final rules </w:t>
      </w:r>
      <w:r>
        <w:rPr>
          <w:spacing w:val="-3"/>
        </w:rPr>
        <w:t>minimize</w:t>
      </w:r>
      <w:r w:rsidR="00DB3AE4">
        <w:rPr>
          <w:spacing w:val="-3"/>
        </w:rPr>
        <w:t>d</w:t>
      </w:r>
      <w:r>
        <w:rPr>
          <w:spacing w:val="-3"/>
        </w:rPr>
        <w:t xml:space="preserve"> the economic impact on small entities to the greatest extent possible, while ensuring that the Commission gets the complete information it needs to discharge its regulatory obligations.</w:t>
      </w:r>
    </w:p>
    <w:p w14:paraId="413AB9D7" w14:textId="77777777" w:rsidR="00992158" w:rsidRDefault="00992158" w:rsidP="00992158">
      <w:pPr>
        <w:suppressAutoHyphens/>
        <w:spacing w:line="240" w:lineRule="atLeast"/>
        <w:rPr>
          <w:spacing w:val="-3"/>
        </w:rPr>
      </w:pPr>
    </w:p>
    <w:p w14:paraId="04F85017" w14:textId="77777777" w:rsidR="00992158" w:rsidRDefault="00992158" w:rsidP="00992158">
      <w:pPr>
        <w:suppressAutoHyphens/>
        <w:spacing w:line="240" w:lineRule="atLeast"/>
        <w:rPr>
          <w:spacing w:val="-3"/>
        </w:rPr>
      </w:pPr>
      <w:r>
        <w:rPr>
          <w:spacing w:val="-3"/>
        </w:rPr>
        <w:t xml:space="preserve">6.   If the information collection were not conducted or were conducted less frequently than proposed, the Commission would not be able to carry out its statutory mandate under section 310(b) of the Act, and its section 310(b)(3) forbearance policy, to disallow foreign investment that the Commission finds would be contrary to the U.S. public interest.  In particular, the Commission would lack the </w:t>
      </w:r>
      <w:r>
        <w:rPr>
          <w:szCs w:val="22"/>
        </w:rPr>
        <w:t xml:space="preserve">information it needs to determine whether proposed foreign investment in U.S. common carrier and aeronautical radio licensees may pose a risk of harm to competition or national security, law enforcement, foreign policy, or trade policy.  </w:t>
      </w:r>
      <w:r>
        <w:rPr>
          <w:spacing w:val="-3"/>
        </w:rPr>
        <w:tab/>
      </w:r>
    </w:p>
    <w:p w14:paraId="452533CF" w14:textId="77777777" w:rsidR="00992158" w:rsidRDefault="00992158" w:rsidP="00992158">
      <w:pPr>
        <w:suppressAutoHyphens/>
        <w:spacing w:line="240" w:lineRule="atLeast"/>
        <w:rPr>
          <w:spacing w:val="-3"/>
        </w:rPr>
      </w:pPr>
    </w:p>
    <w:p w14:paraId="3F41618B" w14:textId="77777777" w:rsidR="00992158" w:rsidRDefault="00992158" w:rsidP="00992158">
      <w:pPr>
        <w:suppressAutoHyphens/>
        <w:spacing w:line="240" w:lineRule="atLeast"/>
        <w:ind w:right="540"/>
        <w:rPr>
          <w:spacing w:val="-3"/>
        </w:rPr>
      </w:pPr>
      <w:r>
        <w:rPr>
          <w:spacing w:val="-3"/>
        </w:rPr>
        <w:t>7.   There are no special circumstances that would prevent the Commission from following all guidelines regarding the information collection.</w:t>
      </w:r>
    </w:p>
    <w:p w14:paraId="4A47E710" w14:textId="77777777" w:rsidR="00992158" w:rsidRDefault="00992158" w:rsidP="00992158">
      <w:pPr>
        <w:suppressAutoHyphens/>
        <w:spacing w:line="240" w:lineRule="atLeast"/>
        <w:rPr>
          <w:spacing w:val="-3"/>
        </w:rPr>
      </w:pPr>
    </w:p>
    <w:p w14:paraId="43783B49" w14:textId="03C8B9C1" w:rsidR="00992158" w:rsidRDefault="00992158" w:rsidP="00992158">
      <w:r w:rsidRPr="008D6A05">
        <w:rPr>
          <w:spacing w:val="-3"/>
        </w:rPr>
        <w:t>8.</w:t>
      </w:r>
      <w:r>
        <w:rPr>
          <w:spacing w:val="-3"/>
        </w:rPr>
        <w:t xml:space="preserve">   </w:t>
      </w:r>
      <w:r w:rsidR="00164024">
        <w:rPr>
          <w:spacing w:val="-3"/>
        </w:rPr>
        <w:t xml:space="preserve">On </w:t>
      </w:r>
      <w:r w:rsidR="0081600F">
        <w:rPr>
          <w:spacing w:val="-3"/>
        </w:rPr>
        <w:t>August 5, 2015</w:t>
      </w:r>
      <w:r w:rsidR="00164024">
        <w:rPr>
          <w:spacing w:val="-3"/>
        </w:rPr>
        <w:t>, the</w:t>
      </w:r>
      <w:r w:rsidRPr="00364487">
        <w:t xml:space="preserve"> Commission </w:t>
      </w:r>
      <w:r w:rsidR="00164024">
        <w:t xml:space="preserve">published </w:t>
      </w:r>
      <w:r w:rsidRPr="00364487">
        <w:t xml:space="preserve">60 day notice in the </w:t>
      </w:r>
      <w:r w:rsidRPr="00531397">
        <w:rPr>
          <w:iCs/>
        </w:rPr>
        <w:t>Federal Register</w:t>
      </w:r>
      <w:r w:rsidRPr="00364487">
        <w:t xml:space="preserve"> </w:t>
      </w:r>
      <w:r w:rsidR="0081600F">
        <w:t xml:space="preserve">(80 FR 46579) </w:t>
      </w:r>
      <w:r w:rsidR="00674BF5">
        <w:t xml:space="preserve">seeking comments from the public.  The comment period ended on </w:t>
      </w:r>
      <w:r w:rsidR="0081600F">
        <w:t>October 5, 2015</w:t>
      </w:r>
      <w:r w:rsidR="00674BF5">
        <w:t xml:space="preserve">.  </w:t>
      </w:r>
      <w:r>
        <w:t>N</w:t>
      </w:r>
      <w:r w:rsidRPr="00E81B22">
        <w:t xml:space="preserve">o comments </w:t>
      </w:r>
      <w:r w:rsidR="00E7741C">
        <w:t xml:space="preserve">were </w:t>
      </w:r>
      <w:r w:rsidRPr="00E81B22">
        <w:t>received from the public</w:t>
      </w:r>
      <w:r w:rsidRPr="00364487">
        <w:t>.</w:t>
      </w:r>
    </w:p>
    <w:p w14:paraId="73FFA59D" w14:textId="77777777" w:rsidR="00164024" w:rsidRPr="00A32CF2" w:rsidRDefault="00164024" w:rsidP="00992158">
      <w:pPr>
        <w:rPr>
          <w:rFonts w:ascii="Arial" w:hAnsi="Arial" w:cs="Arial"/>
          <w:sz w:val="20"/>
        </w:rPr>
      </w:pPr>
    </w:p>
    <w:p w14:paraId="3D5428B9" w14:textId="77777777" w:rsidR="00992158" w:rsidRDefault="00992158" w:rsidP="00992158">
      <w:pPr>
        <w:suppressAutoHyphens/>
        <w:spacing w:line="240" w:lineRule="atLeast"/>
        <w:rPr>
          <w:spacing w:val="-3"/>
        </w:rPr>
      </w:pPr>
      <w:r>
        <w:rPr>
          <w:spacing w:val="-3"/>
        </w:rPr>
        <w:t>9.   The Commission will not provide any payment or gift to respondents.</w:t>
      </w:r>
    </w:p>
    <w:p w14:paraId="60AB15F3" w14:textId="77777777" w:rsidR="00992158" w:rsidRDefault="00992158" w:rsidP="00992158">
      <w:pPr>
        <w:suppressAutoHyphens/>
        <w:spacing w:line="240" w:lineRule="atLeast"/>
        <w:rPr>
          <w:spacing w:val="-3"/>
        </w:rPr>
      </w:pPr>
    </w:p>
    <w:p w14:paraId="1E75F5D4" w14:textId="77777777" w:rsidR="00992158" w:rsidRDefault="00992158" w:rsidP="00992158">
      <w:pPr>
        <w:suppressAutoHyphens/>
        <w:spacing w:line="240" w:lineRule="atLeast"/>
      </w:pPr>
      <w:r>
        <w:rPr>
          <w:spacing w:val="-3"/>
        </w:rPr>
        <w:t xml:space="preserve">10.  </w:t>
      </w:r>
      <w:r w:rsidRPr="00CC2B85">
        <w:rPr>
          <w:spacing w:val="-3"/>
        </w:rPr>
        <w:t>T</w:t>
      </w:r>
      <w:r w:rsidRPr="00CC2B85">
        <w:t xml:space="preserve">he Commission has </w:t>
      </w:r>
      <w:r>
        <w:t xml:space="preserve">not proposed to grant assurances of confidentiality to those parties submitting the information.  Petitioners </w:t>
      </w:r>
      <w:r w:rsidRPr="00224189">
        <w:t xml:space="preserve">that seek to protect the confidentiality of particular </w:t>
      </w:r>
      <w:r>
        <w:t xml:space="preserve">information </w:t>
      </w:r>
      <w:r w:rsidRPr="00224189">
        <w:t>may request such treatment under section 0.459 of the Commission’s rules</w:t>
      </w:r>
      <w:r>
        <w:t>, 47 C.F.R. § 0.459</w:t>
      </w:r>
      <w:r w:rsidRPr="00224189">
        <w:t xml:space="preserve">.  </w:t>
      </w:r>
      <w:r>
        <w:t xml:space="preserve">Under section 0.459, the petitioner would be required to </w:t>
      </w:r>
      <w:r w:rsidRPr="00224189">
        <w:t xml:space="preserve">justify fully its request for confidentiality by providing enough information for the Commission to determine the need for confidential treatment.  The rule requires a </w:t>
      </w:r>
      <w:r>
        <w:t xml:space="preserve">party </w:t>
      </w:r>
      <w:r w:rsidRPr="00224189">
        <w:t>requesting confidentiality to submit an unredacted version of its</w:t>
      </w:r>
      <w:r>
        <w:t xml:space="preserve"> information</w:t>
      </w:r>
      <w:r w:rsidRPr="00224189">
        <w:t xml:space="preserve">, as </w:t>
      </w:r>
      <w:r w:rsidRPr="00224189">
        <w:lastRenderedPageBreak/>
        <w:t>well as a redacted version to be made publicly available.  Should the Commission decide to grant a request for confidential treatment of information that does not fall within a specific exemption pursuant to the Freedom of Information Act (FOIA), that Act requires the Commission to disclose publicly the information upon an</w:t>
      </w:r>
      <w:r>
        <w:t xml:space="preserve"> a</w:t>
      </w:r>
      <w:r w:rsidRPr="00224189">
        <w:t xml:space="preserve">ppropriate request.  The Commission may grant requests for confidential treatment either conditionally or unconditionally.  </w:t>
      </w:r>
      <w:r>
        <w:t>T</w:t>
      </w:r>
      <w:r w:rsidRPr="00224189">
        <w:t>he Commission has the discretion to release on public interest grounds information that fall</w:t>
      </w:r>
      <w:r>
        <w:t>s w</w:t>
      </w:r>
      <w:r w:rsidRPr="00224189">
        <w:t>ithin the scope of a FOIA exemption.</w:t>
      </w:r>
      <w:r>
        <w:t xml:space="preserve">  </w:t>
      </w:r>
    </w:p>
    <w:p w14:paraId="2E6484BB" w14:textId="77777777" w:rsidR="00992158" w:rsidRDefault="00992158" w:rsidP="00992158">
      <w:pPr>
        <w:suppressAutoHyphens/>
        <w:spacing w:line="240" w:lineRule="atLeast"/>
        <w:ind w:left="360"/>
      </w:pPr>
    </w:p>
    <w:p w14:paraId="6144D50B" w14:textId="77777777" w:rsidR="00992158" w:rsidRDefault="00992158" w:rsidP="00992158">
      <w:pPr>
        <w:pStyle w:val="ParaNum"/>
        <w:numPr>
          <w:ilvl w:val="0"/>
          <w:numId w:val="0"/>
        </w:numPr>
        <w:tabs>
          <w:tab w:val="left" w:pos="720"/>
        </w:tabs>
        <w:jc w:val="left"/>
        <w:rPr>
          <w:sz w:val="24"/>
          <w:szCs w:val="24"/>
        </w:rPr>
      </w:pPr>
      <w:r>
        <w:rPr>
          <w:sz w:val="24"/>
          <w:szCs w:val="24"/>
        </w:rPr>
        <w:t xml:space="preserve">11.   This collection does not include any questions of a </w:t>
      </w:r>
      <w:r w:rsidRPr="00224189">
        <w:rPr>
          <w:sz w:val="24"/>
          <w:szCs w:val="24"/>
        </w:rPr>
        <w:t>sensitive nature</w:t>
      </w:r>
      <w:r>
        <w:rPr>
          <w:sz w:val="24"/>
          <w:szCs w:val="24"/>
        </w:rPr>
        <w:t>.</w:t>
      </w:r>
    </w:p>
    <w:p w14:paraId="56D04F8B" w14:textId="77777777" w:rsidR="009D5B5F" w:rsidRDefault="009D5B5F">
      <w:r>
        <w:br w:type="page"/>
      </w:r>
    </w:p>
    <w:p w14:paraId="28AE0268" w14:textId="0F3A9E1C" w:rsidR="00992158" w:rsidRPr="009A0153" w:rsidRDefault="00992158" w:rsidP="00992158">
      <w:pPr>
        <w:pStyle w:val="ParaNum"/>
        <w:numPr>
          <w:ilvl w:val="0"/>
          <w:numId w:val="0"/>
        </w:numPr>
        <w:tabs>
          <w:tab w:val="left" w:pos="720"/>
        </w:tabs>
        <w:jc w:val="left"/>
        <w:rPr>
          <w:sz w:val="24"/>
          <w:szCs w:val="24"/>
        </w:rPr>
      </w:pPr>
      <w:r w:rsidRPr="009A0153">
        <w:rPr>
          <w:sz w:val="24"/>
          <w:szCs w:val="24"/>
        </w:rPr>
        <w:lastRenderedPageBreak/>
        <w:t xml:space="preserve">12.  </w:t>
      </w:r>
      <w:r w:rsidRPr="009A0153">
        <w:rPr>
          <w:b/>
          <w:sz w:val="24"/>
          <w:szCs w:val="24"/>
        </w:rPr>
        <w:t xml:space="preserve"> Estimate of Burden Hours for Information Collection:</w:t>
      </w:r>
      <w:r w:rsidRPr="009A0153">
        <w:rPr>
          <w:sz w:val="24"/>
          <w:szCs w:val="24"/>
        </w:rPr>
        <w:t xml:space="preserve">  </w:t>
      </w:r>
    </w:p>
    <w:p w14:paraId="3BFE6611" w14:textId="54725C9E" w:rsidR="005C09C5" w:rsidRDefault="00992158" w:rsidP="002B6D62">
      <w:pPr>
        <w:pStyle w:val="ParaNum"/>
        <w:numPr>
          <w:ilvl w:val="0"/>
          <w:numId w:val="0"/>
        </w:numPr>
        <w:tabs>
          <w:tab w:val="left" w:pos="720"/>
        </w:tabs>
        <w:jc w:val="left"/>
        <w:rPr>
          <w:spacing w:val="-3"/>
          <w:sz w:val="24"/>
          <w:szCs w:val="24"/>
        </w:rPr>
      </w:pPr>
      <w:r w:rsidRPr="009A0153">
        <w:rPr>
          <w:spacing w:val="-3"/>
          <w:sz w:val="24"/>
          <w:szCs w:val="24"/>
        </w:rPr>
        <w:t xml:space="preserve">The </w:t>
      </w:r>
      <w:r w:rsidR="00EC0C30" w:rsidRPr="009A0153">
        <w:rPr>
          <w:spacing w:val="-3"/>
          <w:sz w:val="24"/>
          <w:szCs w:val="24"/>
        </w:rPr>
        <w:t xml:space="preserve">Commission estimates </w:t>
      </w:r>
      <w:r w:rsidR="008E667F">
        <w:rPr>
          <w:spacing w:val="-3"/>
          <w:sz w:val="24"/>
          <w:szCs w:val="24"/>
        </w:rPr>
        <w:t>the final burden estimates for this collection as follows:</w:t>
      </w:r>
      <w:r w:rsidR="005C09C5" w:rsidRPr="000A7FCF">
        <w:rPr>
          <w:rStyle w:val="FootnoteReference"/>
          <w:spacing w:val="-3"/>
          <w:sz w:val="24"/>
          <w:szCs w:val="24"/>
        </w:rPr>
        <w:footnoteReference w:id="1"/>
      </w:r>
      <w:r w:rsidR="005C09C5">
        <w:rPr>
          <w:spacing w:val="-3"/>
          <w:sz w:val="24"/>
          <w:szCs w:val="24"/>
        </w:rPr>
        <w:t xml:space="preserve">  </w:t>
      </w:r>
    </w:p>
    <w:p w14:paraId="6F4CDB5C" w14:textId="77777777" w:rsidR="005C09C5" w:rsidRPr="005C09C5" w:rsidRDefault="005C09C5" w:rsidP="005C09C5">
      <w:pPr>
        <w:suppressAutoHyphens/>
        <w:spacing w:line="240" w:lineRule="atLeast"/>
      </w:pPr>
    </w:p>
    <w:tbl>
      <w:tblPr>
        <w:tblW w:w="4643"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7"/>
        <w:gridCol w:w="1484"/>
        <w:gridCol w:w="1404"/>
        <w:gridCol w:w="1404"/>
        <w:gridCol w:w="1335"/>
      </w:tblGrid>
      <w:tr w:rsidR="005C09C5" w:rsidRPr="005C09C5" w14:paraId="39A1D04C" w14:textId="77777777" w:rsidTr="00EB0AA7">
        <w:trPr>
          <w:trHeight w:val="2"/>
        </w:trPr>
        <w:tc>
          <w:tcPr>
            <w:tcW w:w="6855" w:type="dxa"/>
            <w:gridSpan w:val="4"/>
            <w:shd w:val="clear" w:color="auto" w:fill="auto"/>
            <w:noWrap/>
          </w:tcPr>
          <w:p w14:paraId="72885327" w14:textId="77777777" w:rsidR="005C09C5" w:rsidRPr="005C09C5" w:rsidRDefault="005C09C5" w:rsidP="005C09C5">
            <w:pPr>
              <w:rPr>
                <w:bCs/>
              </w:rPr>
            </w:pPr>
            <w:r w:rsidRPr="005C09C5">
              <w:br w:type="page"/>
            </w:r>
            <w:r w:rsidRPr="005C09C5">
              <w:br w:type="page"/>
            </w:r>
            <w:r w:rsidRPr="005C09C5">
              <w:rPr>
                <w:spacing w:val="-3"/>
              </w:rPr>
              <w:br w:type="page"/>
            </w:r>
            <w:r w:rsidRPr="005C09C5">
              <w:rPr>
                <w:b/>
                <w:bCs/>
              </w:rPr>
              <w:t>Estimate of Burden Hours:</w:t>
            </w:r>
          </w:p>
        </w:tc>
        <w:tc>
          <w:tcPr>
            <w:tcW w:w="1369" w:type="dxa"/>
            <w:shd w:val="clear" w:color="auto" w:fill="auto"/>
            <w:noWrap/>
            <w:vAlign w:val="bottom"/>
          </w:tcPr>
          <w:p w14:paraId="72EAED62" w14:textId="77777777" w:rsidR="005C09C5" w:rsidRPr="005C09C5" w:rsidRDefault="005C09C5" w:rsidP="005C09C5">
            <w:pPr>
              <w:rPr>
                <w:rFonts w:ascii="Arial" w:hAnsi="Arial" w:cs="Arial"/>
                <w:sz w:val="20"/>
              </w:rPr>
            </w:pPr>
          </w:p>
        </w:tc>
      </w:tr>
      <w:tr w:rsidR="005C09C5" w:rsidRPr="005C09C5" w14:paraId="0594C09C" w14:textId="77777777" w:rsidTr="00EB0AA7">
        <w:trPr>
          <w:trHeight w:val="2"/>
        </w:trPr>
        <w:tc>
          <w:tcPr>
            <w:tcW w:w="2453" w:type="dxa"/>
            <w:shd w:val="clear" w:color="auto" w:fill="auto"/>
            <w:noWrap/>
            <w:vAlign w:val="bottom"/>
          </w:tcPr>
          <w:p w14:paraId="0FC0CBA7" w14:textId="77777777" w:rsidR="005C09C5" w:rsidRPr="005C09C5" w:rsidRDefault="005C09C5" w:rsidP="005C09C5">
            <w:pPr>
              <w:tabs>
                <w:tab w:val="left" w:pos="2127"/>
              </w:tabs>
              <w:jc w:val="center"/>
              <w:rPr>
                <w:b/>
                <w:bCs/>
              </w:rPr>
            </w:pPr>
            <w:r w:rsidRPr="005C09C5">
              <w:rPr>
                <w:b/>
                <w:bCs/>
              </w:rPr>
              <w:t>Explanation</w:t>
            </w:r>
          </w:p>
        </w:tc>
        <w:tc>
          <w:tcPr>
            <w:tcW w:w="1522" w:type="dxa"/>
            <w:shd w:val="clear" w:color="auto" w:fill="auto"/>
            <w:vAlign w:val="bottom"/>
          </w:tcPr>
          <w:p w14:paraId="7251898D" w14:textId="77777777" w:rsidR="005C09C5" w:rsidRPr="005C09C5" w:rsidRDefault="005C09C5" w:rsidP="005C09C5">
            <w:pPr>
              <w:tabs>
                <w:tab w:val="left" w:pos="2127"/>
              </w:tabs>
              <w:jc w:val="center"/>
              <w:rPr>
                <w:b/>
                <w:bCs/>
              </w:rPr>
            </w:pPr>
            <w:r w:rsidRPr="005C09C5">
              <w:rPr>
                <w:b/>
                <w:bCs/>
              </w:rPr>
              <w:t>Number</w:t>
            </w:r>
          </w:p>
        </w:tc>
        <w:tc>
          <w:tcPr>
            <w:tcW w:w="1440" w:type="dxa"/>
            <w:shd w:val="clear" w:color="auto" w:fill="auto"/>
            <w:noWrap/>
            <w:vAlign w:val="bottom"/>
          </w:tcPr>
          <w:p w14:paraId="3D16D5CB" w14:textId="77777777" w:rsidR="005C09C5" w:rsidRPr="005C09C5" w:rsidRDefault="005C09C5" w:rsidP="005C09C5">
            <w:pPr>
              <w:jc w:val="center"/>
              <w:rPr>
                <w:b/>
                <w:bCs/>
              </w:rPr>
            </w:pPr>
            <w:r w:rsidRPr="005C09C5">
              <w:rPr>
                <w:b/>
                <w:bCs/>
              </w:rPr>
              <w:t xml:space="preserve">Frequency </w:t>
            </w:r>
          </w:p>
        </w:tc>
        <w:tc>
          <w:tcPr>
            <w:tcW w:w="1440" w:type="dxa"/>
            <w:shd w:val="clear" w:color="auto" w:fill="auto"/>
            <w:noWrap/>
            <w:vAlign w:val="bottom"/>
          </w:tcPr>
          <w:p w14:paraId="3014920E" w14:textId="77777777" w:rsidR="005C09C5" w:rsidRPr="005C09C5" w:rsidRDefault="005C09C5" w:rsidP="005C09C5">
            <w:pPr>
              <w:jc w:val="center"/>
              <w:rPr>
                <w:b/>
                <w:bCs/>
              </w:rPr>
            </w:pPr>
            <w:r w:rsidRPr="005C09C5">
              <w:rPr>
                <w:b/>
                <w:bCs/>
              </w:rPr>
              <w:t>Time</w:t>
            </w:r>
          </w:p>
        </w:tc>
        <w:tc>
          <w:tcPr>
            <w:tcW w:w="1369" w:type="dxa"/>
            <w:shd w:val="clear" w:color="auto" w:fill="auto"/>
            <w:noWrap/>
            <w:vAlign w:val="bottom"/>
          </w:tcPr>
          <w:p w14:paraId="2033FD9A" w14:textId="77777777" w:rsidR="005C09C5" w:rsidRPr="005C09C5" w:rsidRDefault="005C09C5" w:rsidP="005C09C5">
            <w:pPr>
              <w:jc w:val="center"/>
              <w:rPr>
                <w:b/>
                <w:bCs/>
              </w:rPr>
            </w:pPr>
            <w:r w:rsidRPr="005C09C5">
              <w:rPr>
                <w:b/>
                <w:bCs/>
              </w:rPr>
              <w:t>Annual</w:t>
            </w:r>
          </w:p>
        </w:tc>
      </w:tr>
      <w:tr w:rsidR="005C09C5" w:rsidRPr="005C09C5" w14:paraId="184E244F" w14:textId="77777777" w:rsidTr="00EB0AA7">
        <w:trPr>
          <w:trHeight w:val="2"/>
        </w:trPr>
        <w:tc>
          <w:tcPr>
            <w:tcW w:w="2453" w:type="dxa"/>
            <w:shd w:val="clear" w:color="auto" w:fill="auto"/>
            <w:noWrap/>
            <w:vAlign w:val="bottom"/>
          </w:tcPr>
          <w:p w14:paraId="36ADD4F9" w14:textId="77777777" w:rsidR="005C09C5" w:rsidRPr="005C09C5" w:rsidRDefault="005C09C5" w:rsidP="005C09C5">
            <w:pPr>
              <w:jc w:val="center"/>
              <w:rPr>
                <w:b/>
                <w:bCs/>
              </w:rPr>
            </w:pPr>
            <w:r w:rsidRPr="005C09C5">
              <w:rPr>
                <w:b/>
                <w:bCs/>
              </w:rPr>
              <w:t>of Burden Estimate</w:t>
            </w:r>
          </w:p>
        </w:tc>
        <w:tc>
          <w:tcPr>
            <w:tcW w:w="1522" w:type="dxa"/>
            <w:shd w:val="clear" w:color="auto" w:fill="auto"/>
            <w:vAlign w:val="bottom"/>
          </w:tcPr>
          <w:p w14:paraId="45D0260E" w14:textId="77777777" w:rsidR="005C09C5" w:rsidRPr="005C09C5" w:rsidRDefault="005C09C5" w:rsidP="005C09C5">
            <w:pPr>
              <w:jc w:val="center"/>
              <w:rPr>
                <w:b/>
                <w:bCs/>
              </w:rPr>
            </w:pPr>
            <w:r w:rsidRPr="005C09C5">
              <w:rPr>
                <w:b/>
                <w:bCs/>
              </w:rPr>
              <w:t>Of Responses</w:t>
            </w:r>
          </w:p>
        </w:tc>
        <w:tc>
          <w:tcPr>
            <w:tcW w:w="1440" w:type="dxa"/>
            <w:shd w:val="clear" w:color="auto" w:fill="auto"/>
            <w:noWrap/>
            <w:vAlign w:val="bottom"/>
          </w:tcPr>
          <w:p w14:paraId="5D50B981" w14:textId="77777777" w:rsidR="005C09C5" w:rsidRPr="005C09C5" w:rsidRDefault="005C09C5" w:rsidP="005C09C5">
            <w:pPr>
              <w:jc w:val="center"/>
              <w:rPr>
                <w:b/>
                <w:bCs/>
              </w:rPr>
            </w:pPr>
            <w:r w:rsidRPr="005C09C5">
              <w:rPr>
                <w:b/>
                <w:bCs/>
              </w:rPr>
              <w:t>of Responses</w:t>
            </w:r>
          </w:p>
        </w:tc>
        <w:tc>
          <w:tcPr>
            <w:tcW w:w="1440" w:type="dxa"/>
            <w:shd w:val="clear" w:color="auto" w:fill="auto"/>
            <w:noWrap/>
            <w:vAlign w:val="bottom"/>
          </w:tcPr>
          <w:p w14:paraId="7CE98292" w14:textId="77777777" w:rsidR="005C09C5" w:rsidRPr="005C09C5" w:rsidRDefault="005C09C5" w:rsidP="005C09C5">
            <w:pPr>
              <w:jc w:val="center"/>
              <w:rPr>
                <w:b/>
                <w:bCs/>
              </w:rPr>
            </w:pPr>
            <w:r w:rsidRPr="005C09C5">
              <w:rPr>
                <w:b/>
                <w:bCs/>
              </w:rPr>
              <w:t>Per Response</w:t>
            </w:r>
          </w:p>
        </w:tc>
        <w:tc>
          <w:tcPr>
            <w:tcW w:w="1369" w:type="dxa"/>
            <w:shd w:val="clear" w:color="auto" w:fill="auto"/>
            <w:noWrap/>
            <w:vAlign w:val="bottom"/>
          </w:tcPr>
          <w:p w14:paraId="25430CC8" w14:textId="77777777" w:rsidR="005C09C5" w:rsidRPr="005C09C5" w:rsidRDefault="005C09C5" w:rsidP="005C09C5">
            <w:pPr>
              <w:jc w:val="center"/>
              <w:rPr>
                <w:b/>
                <w:bCs/>
              </w:rPr>
            </w:pPr>
            <w:r w:rsidRPr="005C09C5">
              <w:rPr>
                <w:b/>
                <w:bCs/>
              </w:rPr>
              <w:t>Burden  Hours</w:t>
            </w:r>
          </w:p>
        </w:tc>
      </w:tr>
      <w:tr w:rsidR="005C09C5" w:rsidRPr="005C09C5" w14:paraId="0A31ADA5" w14:textId="77777777" w:rsidTr="00EB0AA7">
        <w:trPr>
          <w:trHeight w:val="2"/>
        </w:trPr>
        <w:tc>
          <w:tcPr>
            <w:tcW w:w="2453" w:type="dxa"/>
            <w:shd w:val="clear" w:color="auto" w:fill="auto"/>
            <w:noWrap/>
            <w:vAlign w:val="bottom"/>
          </w:tcPr>
          <w:p w14:paraId="08D3A167" w14:textId="77777777" w:rsidR="005C09C5" w:rsidRPr="005C09C5" w:rsidRDefault="005C09C5" w:rsidP="005C09C5"/>
        </w:tc>
        <w:tc>
          <w:tcPr>
            <w:tcW w:w="1522" w:type="dxa"/>
            <w:shd w:val="clear" w:color="auto" w:fill="auto"/>
            <w:vAlign w:val="bottom"/>
          </w:tcPr>
          <w:p w14:paraId="39E39076" w14:textId="77777777" w:rsidR="005C09C5" w:rsidRPr="005C09C5" w:rsidRDefault="005C09C5" w:rsidP="005C09C5"/>
        </w:tc>
        <w:tc>
          <w:tcPr>
            <w:tcW w:w="1440" w:type="dxa"/>
            <w:shd w:val="clear" w:color="auto" w:fill="auto"/>
            <w:noWrap/>
            <w:vAlign w:val="bottom"/>
          </w:tcPr>
          <w:p w14:paraId="6A29C081" w14:textId="77777777" w:rsidR="005C09C5" w:rsidRPr="005C09C5" w:rsidRDefault="005C09C5" w:rsidP="005C09C5"/>
        </w:tc>
        <w:tc>
          <w:tcPr>
            <w:tcW w:w="1440" w:type="dxa"/>
            <w:shd w:val="clear" w:color="auto" w:fill="auto"/>
            <w:noWrap/>
            <w:vAlign w:val="bottom"/>
          </w:tcPr>
          <w:p w14:paraId="5ECAF332" w14:textId="77777777" w:rsidR="005C09C5" w:rsidRPr="005C09C5" w:rsidRDefault="005C09C5" w:rsidP="005C09C5"/>
        </w:tc>
        <w:tc>
          <w:tcPr>
            <w:tcW w:w="1369" w:type="dxa"/>
            <w:shd w:val="clear" w:color="auto" w:fill="auto"/>
            <w:noWrap/>
            <w:vAlign w:val="bottom"/>
          </w:tcPr>
          <w:p w14:paraId="2AE0B94E" w14:textId="77777777" w:rsidR="005C09C5" w:rsidRPr="005C09C5" w:rsidRDefault="005C09C5" w:rsidP="005C09C5"/>
        </w:tc>
      </w:tr>
      <w:tr w:rsidR="005C09C5" w:rsidRPr="005C09C5" w14:paraId="157890D3" w14:textId="77777777" w:rsidTr="00EB0AA7">
        <w:trPr>
          <w:trHeight w:val="1088"/>
        </w:trPr>
        <w:tc>
          <w:tcPr>
            <w:tcW w:w="2453" w:type="dxa"/>
            <w:vMerge w:val="restart"/>
            <w:shd w:val="clear" w:color="auto" w:fill="auto"/>
            <w:noWrap/>
          </w:tcPr>
          <w:p w14:paraId="2EDF5148" w14:textId="1119F6B6" w:rsidR="005C09C5" w:rsidRPr="006C1A2D" w:rsidRDefault="005C09C5" w:rsidP="002E2291">
            <w:pPr>
              <w:jc w:val="center"/>
              <w:rPr>
                <w:b/>
                <w:bCs/>
                <w:color w:val="000000"/>
              </w:rPr>
            </w:pPr>
            <w:r w:rsidRPr="006C1A2D">
              <w:rPr>
                <w:b/>
                <w:bCs/>
                <w:color w:val="000000"/>
              </w:rPr>
              <w:t xml:space="preserve">Rule Sections </w:t>
            </w:r>
            <w:r w:rsidRPr="006C1A2D">
              <w:rPr>
                <w:b/>
              </w:rPr>
              <w:t>1.990, 1.991(a)-(</w:t>
            </w:r>
            <w:r w:rsidR="002E2291" w:rsidRPr="006C1A2D">
              <w:rPr>
                <w:b/>
              </w:rPr>
              <w:t>k), 1.994(a),</w:t>
            </w:r>
            <w:r w:rsidR="009C009C" w:rsidRPr="006C1A2D">
              <w:rPr>
                <w:b/>
              </w:rPr>
              <w:t xml:space="preserve"> 1.994(d)</w:t>
            </w:r>
            <w:r w:rsidR="009C009C" w:rsidRPr="006C1A2D">
              <w:t>,</w:t>
            </w:r>
            <w:r w:rsidR="002E2291" w:rsidRPr="006C1A2D">
              <w:rPr>
                <w:b/>
              </w:rPr>
              <w:t xml:space="preserve">  1.994(e</w:t>
            </w:r>
            <w:r w:rsidRPr="006C1A2D">
              <w:rPr>
                <w:b/>
              </w:rPr>
              <w:t>)</w:t>
            </w:r>
            <w:r w:rsidR="002E2291" w:rsidRPr="006C1A2D">
              <w:rPr>
                <w:rStyle w:val="FootnoteReference"/>
                <w:b/>
              </w:rPr>
              <w:footnoteReference w:id="2"/>
            </w:r>
            <w:r w:rsidRPr="006C1A2D">
              <w:t xml:space="preserve">  </w:t>
            </w:r>
          </w:p>
        </w:tc>
        <w:tc>
          <w:tcPr>
            <w:tcW w:w="1522" w:type="dxa"/>
            <w:shd w:val="clear" w:color="auto" w:fill="auto"/>
          </w:tcPr>
          <w:p w14:paraId="483E15CA" w14:textId="66818275" w:rsidR="005C09C5" w:rsidRPr="005C09C5" w:rsidRDefault="005C09C5" w:rsidP="005C09C5">
            <w:pPr>
              <w:rPr>
                <w:bCs/>
                <w:color w:val="000000"/>
              </w:rPr>
            </w:pPr>
            <w:r w:rsidRPr="005C09C5">
              <w:rPr>
                <w:bCs/>
                <w:color w:val="000000"/>
              </w:rPr>
              <w:t>7 “Initial Petitions”</w:t>
            </w:r>
          </w:p>
          <w:p w14:paraId="10D6D009" w14:textId="77777777" w:rsidR="005C09C5" w:rsidRPr="005C09C5" w:rsidRDefault="005C09C5" w:rsidP="005C09C5">
            <w:pPr>
              <w:jc w:val="center"/>
              <w:rPr>
                <w:bCs/>
                <w:color w:val="000000"/>
              </w:rPr>
            </w:pPr>
          </w:p>
          <w:p w14:paraId="1BF7A118" w14:textId="77777777" w:rsidR="005C09C5" w:rsidRPr="005C09C5" w:rsidRDefault="005C09C5" w:rsidP="005C09C5">
            <w:pPr>
              <w:jc w:val="center"/>
            </w:pPr>
          </w:p>
        </w:tc>
        <w:tc>
          <w:tcPr>
            <w:tcW w:w="1440" w:type="dxa"/>
            <w:shd w:val="clear" w:color="auto" w:fill="auto"/>
          </w:tcPr>
          <w:p w14:paraId="05EBD590" w14:textId="77777777" w:rsidR="005C09C5" w:rsidRPr="005C09C5" w:rsidRDefault="005C09C5" w:rsidP="005C09C5">
            <w:r w:rsidRPr="005C09C5">
              <w:rPr>
                <w:spacing w:val="-3"/>
              </w:rPr>
              <w:t>On occasion</w:t>
            </w:r>
          </w:p>
        </w:tc>
        <w:tc>
          <w:tcPr>
            <w:tcW w:w="1440" w:type="dxa"/>
            <w:shd w:val="clear" w:color="auto" w:fill="auto"/>
          </w:tcPr>
          <w:p w14:paraId="436C9F7F" w14:textId="77777777" w:rsidR="005C09C5" w:rsidRPr="005C09C5" w:rsidRDefault="005C09C5" w:rsidP="005C09C5">
            <w:pPr>
              <w:jc w:val="center"/>
            </w:pPr>
            <w:r w:rsidRPr="005C09C5">
              <w:t>46 Hours</w:t>
            </w:r>
          </w:p>
          <w:p w14:paraId="392FAF18" w14:textId="77777777" w:rsidR="005C09C5" w:rsidRPr="005C09C5" w:rsidRDefault="005C09C5" w:rsidP="005C09C5">
            <w:pPr>
              <w:jc w:val="center"/>
            </w:pPr>
          </w:p>
          <w:p w14:paraId="755CEB08" w14:textId="77777777" w:rsidR="005C09C5" w:rsidRPr="005C09C5" w:rsidRDefault="005C09C5" w:rsidP="005C09C5">
            <w:pPr>
              <w:jc w:val="center"/>
            </w:pPr>
          </w:p>
        </w:tc>
        <w:tc>
          <w:tcPr>
            <w:tcW w:w="1369" w:type="dxa"/>
            <w:shd w:val="clear" w:color="auto" w:fill="auto"/>
          </w:tcPr>
          <w:p w14:paraId="08B17E68" w14:textId="77777777" w:rsidR="005C09C5" w:rsidRPr="005C09C5" w:rsidRDefault="005C09C5" w:rsidP="005C09C5">
            <w:pPr>
              <w:jc w:val="center"/>
              <w:rPr>
                <w:b/>
              </w:rPr>
            </w:pPr>
            <w:r w:rsidRPr="005C09C5">
              <w:rPr>
                <w:b/>
              </w:rPr>
              <w:t>322 Hours</w:t>
            </w:r>
          </w:p>
          <w:p w14:paraId="1C4B0FDC" w14:textId="77777777" w:rsidR="005C09C5" w:rsidRPr="005C09C5" w:rsidRDefault="005C09C5" w:rsidP="005C09C5">
            <w:pPr>
              <w:jc w:val="center"/>
              <w:rPr>
                <w:b/>
              </w:rPr>
            </w:pPr>
          </w:p>
          <w:p w14:paraId="06AC279E" w14:textId="77777777" w:rsidR="005C09C5" w:rsidRPr="005C09C5" w:rsidRDefault="005C09C5" w:rsidP="005C09C5">
            <w:pPr>
              <w:jc w:val="center"/>
              <w:rPr>
                <w:b/>
              </w:rPr>
            </w:pPr>
          </w:p>
        </w:tc>
      </w:tr>
      <w:tr w:rsidR="005C09C5" w:rsidRPr="005C09C5" w14:paraId="2DB2FAF5" w14:textId="77777777" w:rsidTr="00EB0AA7">
        <w:trPr>
          <w:trHeight w:val="1241"/>
        </w:trPr>
        <w:tc>
          <w:tcPr>
            <w:tcW w:w="2453" w:type="dxa"/>
            <w:vMerge/>
            <w:shd w:val="clear" w:color="auto" w:fill="auto"/>
            <w:noWrap/>
          </w:tcPr>
          <w:p w14:paraId="4D589983" w14:textId="77777777" w:rsidR="005C09C5" w:rsidRPr="006C1A2D" w:rsidRDefault="005C09C5" w:rsidP="005C09C5">
            <w:pPr>
              <w:jc w:val="center"/>
              <w:rPr>
                <w:b/>
                <w:bCs/>
                <w:color w:val="000000"/>
              </w:rPr>
            </w:pPr>
          </w:p>
        </w:tc>
        <w:tc>
          <w:tcPr>
            <w:tcW w:w="1522" w:type="dxa"/>
            <w:shd w:val="clear" w:color="auto" w:fill="auto"/>
          </w:tcPr>
          <w:p w14:paraId="5B060C88" w14:textId="275AEEA2" w:rsidR="005C09C5" w:rsidRPr="005C09C5" w:rsidRDefault="005C09C5" w:rsidP="005C09C5">
            <w:pPr>
              <w:jc w:val="center"/>
              <w:rPr>
                <w:bCs/>
                <w:color w:val="000000"/>
              </w:rPr>
            </w:pPr>
            <w:r w:rsidRPr="005C09C5">
              <w:rPr>
                <w:bCs/>
                <w:color w:val="000000"/>
              </w:rPr>
              <w:t>18 “Petitions to Extend Existing Ruling”</w:t>
            </w:r>
          </w:p>
          <w:p w14:paraId="121BA45C" w14:textId="77777777" w:rsidR="005C09C5" w:rsidRPr="005C09C5" w:rsidRDefault="005C09C5" w:rsidP="005C09C5">
            <w:pPr>
              <w:rPr>
                <w:bCs/>
                <w:color w:val="000000"/>
              </w:rPr>
            </w:pPr>
          </w:p>
        </w:tc>
        <w:tc>
          <w:tcPr>
            <w:tcW w:w="1440" w:type="dxa"/>
            <w:shd w:val="clear" w:color="auto" w:fill="auto"/>
          </w:tcPr>
          <w:p w14:paraId="497D26ED" w14:textId="77777777" w:rsidR="005C09C5" w:rsidRPr="005C09C5" w:rsidRDefault="005C09C5" w:rsidP="005C09C5">
            <w:pPr>
              <w:rPr>
                <w:bCs/>
                <w:color w:val="000000"/>
              </w:rPr>
            </w:pPr>
            <w:r w:rsidRPr="005C09C5">
              <w:rPr>
                <w:spacing w:val="-3"/>
              </w:rPr>
              <w:t>On occasion</w:t>
            </w:r>
          </w:p>
        </w:tc>
        <w:tc>
          <w:tcPr>
            <w:tcW w:w="1440" w:type="dxa"/>
            <w:shd w:val="clear" w:color="auto" w:fill="auto"/>
          </w:tcPr>
          <w:p w14:paraId="614B3334" w14:textId="77777777" w:rsidR="005C09C5" w:rsidRPr="005C09C5" w:rsidRDefault="005C09C5" w:rsidP="005C09C5">
            <w:pPr>
              <w:jc w:val="center"/>
              <w:rPr>
                <w:bCs/>
              </w:rPr>
            </w:pPr>
            <w:r w:rsidRPr="005C09C5">
              <w:t>12 Hours</w:t>
            </w:r>
          </w:p>
        </w:tc>
        <w:tc>
          <w:tcPr>
            <w:tcW w:w="1369" w:type="dxa"/>
            <w:shd w:val="clear" w:color="auto" w:fill="auto"/>
          </w:tcPr>
          <w:p w14:paraId="1CF83B51" w14:textId="77777777" w:rsidR="005C09C5" w:rsidRPr="005C09C5" w:rsidRDefault="005C09C5" w:rsidP="005C09C5">
            <w:pPr>
              <w:jc w:val="center"/>
              <w:rPr>
                <w:b/>
              </w:rPr>
            </w:pPr>
            <w:r w:rsidRPr="005C09C5">
              <w:rPr>
                <w:b/>
              </w:rPr>
              <w:t>216</w:t>
            </w:r>
          </w:p>
          <w:p w14:paraId="7A085BB4" w14:textId="77777777" w:rsidR="005C09C5" w:rsidRPr="005C09C5" w:rsidRDefault="005C09C5" w:rsidP="005C09C5">
            <w:pPr>
              <w:jc w:val="center"/>
              <w:rPr>
                <w:bCs/>
                <w:color w:val="000000"/>
              </w:rPr>
            </w:pPr>
            <w:r w:rsidRPr="005C09C5">
              <w:rPr>
                <w:b/>
              </w:rPr>
              <w:t>Hours</w:t>
            </w:r>
          </w:p>
        </w:tc>
      </w:tr>
      <w:tr w:rsidR="005C09C5" w:rsidRPr="005C09C5" w14:paraId="77E805E2" w14:textId="77777777" w:rsidTr="00EB0AA7">
        <w:trPr>
          <w:trHeight w:val="70"/>
        </w:trPr>
        <w:tc>
          <w:tcPr>
            <w:tcW w:w="2453" w:type="dxa"/>
            <w:shd w:val="clear" w:color="auto" w:fill="auto"/>
            <w:noWrap/>
          </w:tcPr>
          <w:p w14:paraId="46525881" w14:textId="77777777" w:rsidR="005C09C5" w:rsidRPr="006C1A2D" w:rsidRDefault="005C09C5" w:rsidP="005C09C5">
            <w:pPr>
              <w:jc w:val="center"/>
              <w:rPr>
                <w:b/>
                <w:bCs/>
                <w:color w:val="000000"/>
              </w:rPr>
            </w:pPr>
          </w:p>
        </w:tc>
        <w:tc>
          <w:tcPr>
            <w:tcW w:w="1522" w:type="dxa"/>
            <w:shd w:val="clear" w:color="auto" w:fill="auto"/>
          </w:tcPr>
          <w:p w14:paraId="601A1BFC" w14:textId="77777777" w:rsidR="005C09C5" w:rsidRPr="005C09C5" w:rsidRDefault="005C09C5" w:rsidP="005C09C5">
            <w:pPr>
              <w:jc w:val="center"/>
              <w:rPr>
                <w:color w:val="000000"/>
              </w:rPr>
            </w:pPr>
          </w:p>
        </w:tc>
        <w:tc>
          <w:tcPr>
            <w:tcW w:w="1440" w:type="dxa"/>
            <w:shd w:val="clear" w:color="auto" w:fill="auto"/>
            <w:noWrap/>
          </w:tcPr>
          <w:p w14:paraId="64B08B8E" w14:textId="77777777" w:rsidR="005C09C5" w:rsidRPr="005C09C5" w:rsidRDefault="005C09C5" w:rsidP="005C09C5">
            <w:pPr>
              <w:jc w:val="center"/>
            </w:pPr>
          </w:p>
        </w:tc>
        <w:tc>
          <w:tcPr>
            <w:tcW w:w="1440" w:type="dxa"/>
            <w:shd w:val="clear" w:color="auto" w:fill="auto"/>
            <w:noWrap/>
          </w:tcPr>
          <w:p w14:paraId="63E6ADD6" w14:textId="77777777" w:rsidR="005C09C5" w:rsidRPr="005C09C5" w:rsidRDefault="005C09C5" w:rsidP="005C09C5"/>
        </w:tc>
        <w:tc>
          <w:tcPr>
            <w:tcW w:w="1369" w:type="dxa"/>
            <w:shd w:val="clear" w:color="auto" w:fill="auto"/>
            <w:noWrap/>
          </w:tcPr>
          <w:p w14:paraId="23A7D01F" w14:textId="77777777" w:rsidR="005C09C5" w:rsidRPr="005C09C5" w:rsidRDefault="005C09C5" w:rsidP="005C09C5"/>
        </w:tc>
      </w:tr>
      <w:tr w:rsidR="005C09C5" w:rsidRPr="005C09C5" w14:paraId="65C886A0" w14:textId="77777777" w:rsidTr="00EB0AA7">
        <w:trPr>
          <w:trHeight w:val="370"/>
        </w:trPr>
        <w:tc>
          <w:tcPr>
            <w:tcW w:w="2453" w:type="dxa"/>
            <w:shd w:val="clear" w:color="auto" w:fill="auto"/>
            <w:noWrap/>
          </w:tcPr>
          <w:p w14:paraId="55DE239F" w14:textId="27CD32CA" w:rsidR="005C09C5" w:rsidRPr="006C1A2D" w:rsidRDefault="005C09C5" w:rsidP="005C09C5">
            <w:pPr>
              <w:jc w:val="center"/>
              <w:rPr>
                <w:b/>
                <w:bCs/>
                <w:color w:val="000000"/>
              </w:rPr>
            </w:pPr>
            <w:r w:rsidRPr="006C1A2D">
              <w:rPr>
                <w:b/>
                <w:bCs/>
                <w:color w:val="000000"/>
              </w:rPr>
              <w:t>Rule Section</w:t>
            </w:r>
          </w:p>
          <w:p w14:paraId="27DF171E" w14:textId="0F68CB64" w:rsidR="005C09C5" w:rsidRPr="006C1A2D" w:rsidRDefault="000A7FCF" w:rsidP="005C09C5">
            <w:pPr>
              <w:jc w:val="center"/>
              <w:rPr>
                <w:b/>
                <w:bCs/>
                <w:color w:val="000000"/>
              </w:rPr>
            </w:pPr>
            <w:r w:rsidRPr="006C1A2D">
              <w:rPr>
                <w:b/>
                <w:bCs/>
                <w:color w:val="000000"/>
              </w:rPr>
              <w:t>1.994 (f)(1</w:t>
            </w:r>
            <w:r w:rsidR="005C09C5" w:rsidRPr="006C1A2D">
              <w:rPr>
                <w:b/>
                <w:bCs/>
                <w:color w:val="000000"/>
              </w:rPr>
              <w:t>)</w:t>
            </w:r>
            <w:r w:rsidRPr="006C1A2D">
              <w:rPr>
                <w:rStyle w:val="FootnoteReference"/>
                <w:b/>
                <w:bCs/>
                <w:color w:val="000000"/>
              </w:rPr>
              <w:footnoteReference w:id="3"/>
            </w:r>
          </w:p>
          <w:p w14:paraId="46096952" w14:textId="66D04A5C" w:rsidR="005559AF" w:rsidRPr="006C1A2D" w:rsidRDefault="005559AF" w:rsidP="005C09C5">
            <w:pPr>
              <w:jc w:val="center"/>
              <w:rPr>
                <w:spacing w:val="-3"/>
              </w:rPr>
            </w:pPr>
          </w:p>
        </w:tc>
        <w:tc>
          <w:tcPr>
            <w:tcW w:w="1522" w:type="dxa"/>
            <w:shd w:val="clear" w:color="auto" w:fill="auto"/>
          </w:tcPr>
          <w:p w14:paraId="721A5178" w14:textId="77777777" w:rsidR="005C09C5" w:rsidRPr="005C09C5" w:rsidRDefault="005C09C5" w:rsidP="005C09C5">
            <w:pPr>
              <w:suppressAutoHyphens/>
              <w:spacing w:line="240" w:lineRule="atLeast"/>
              <w:jc w:val="center"/>
              <w:rPr>
                <w:spacing w:val="-3"/>
              </w:rPr>
            </w:pPr>
            <w:r w:rsidRPr="005C09C5">
              <w:rPr>
                <w:spacing w:val="-3"/>
              </w:rPr>
              <w:t>2</w:t>
            </w:r>
          </w:p>
        </w:tc>
        <w:tc>
          <w:tcPr>
            <w:tcW w:w="1440" w:type="dxa"/>
            <w:shd w:val="clear" w:color="auto" w:fill="auto"/>
            <w:noWrap/>
          </w:tcPr>
          <w:p w14:paraId="76B44AE6" w14:textId="77777777" w:rsidR="005C09C5" w:rsidRPr="005C09C5" w:rsidRDefault="005C09C5" w:rsidP="005C09C5">
            <w:pPr>
              <w:suppressAutoHyphens/>
              <w:spacing w:line="240" w:lineRule="atLeast"/>
              <w:jc w:val="center"/>
              <w:rPr>
                <w:spacing w:val="-3"/>
              </w:rPr>
            </w:pPr>
            <w:r w:rsidRPr="005C09C5">
              <w:rPr>
                <w:spacing w:val="-3"/>
              </w:rPr>
              <w:t>On occasion</w:t>
            </w:r>
          </w:p>
        </w:tc>
        <w:tc>
          <w:tcPr>
            <w:tcW w:w="1440" w:type="dxa"/>
            <w:shd w:val="clear" w:color="auto" w:fill="auto"/>
            <w:noWrap/>
          </w:tcPr>
          <w:p w14:paraId="7DAA3F61" w14:textId="77777777" w:rsidR="005C09C5" w:rsidRPr="005C09C5" w:rsidRDefault="005C09C5" w:rsidP="005C09C5">
            <w:pPr>
              <w:suppressAutoHyphens/>
              <w:spacing w:line="240" w:lineRule="atLeast"/>
              <w:jc w:val="center"/>
              <w:rPr>
                <w:spacing w:val="-3"/>
              </w:rPr>
            </w:pPr>
            <w:r w:rsidRPr="005C09C5">
              <w:rPr>
                <w:spacing w:val="-3"/>
              </w:rPr>
              <w:t>1 Hour</w:t>
            </w:r>
          </w:p>
        </w:tc>
        <w:tc>
          <w:tcPr>
            <w:tcW w:w="1369" w:type="dxa"/>
            <w:shd w:val="clear" w:color="auto" w:fill="auto"/>
            <w:noWrap/>
          </w:tcPr>
          <w:p w14:paraId="074E66C0" w14:textId="77777777" w:rsidR="005C09C5" w:rsidRPr="005C09C5" w:rsidRDefault="005C09C5" w:rsidP="005C09C5">
            <w:pPr>
              <w:suppressAutoHyphens/>
              <w:spacing w:line="240" w:lineRule="atLeast"/>
              <w:jc w:val="center"/>
              <w:rPr>
                <w:b/>
                <w:spacing w:val="-3"/>
              </w:rPr>
            </w:pPr>
            <w:r w:rsidRPr="005C09C5">
              <w:rPr>
                <w:b/>
                <w:spacing w:val="-3"/>
              </w:rPr>
              <w:t>2 Hours</w:t>
            </w:r>
          </w:p>
        </w:tc>
      </w:tr>
      <w:tr w:rsidR="005C09C5" w:rsidRPr="005C09C5" w14:paraId="2AC35BAD" w14:textId="77777777" w:rsidTr="00EB0AA7">
        <w:trPr>
          <w:trHeight w:val="269"/>
        </w:trPr>
        <w:tc>
          <w:tcPr>
            <w:tcW w:w="2453" w:type="dxa"/>
            <w:shd w:val="clear" w:color="auto" w:fill="auto"/>
            <w:noWrap/>
          </w:tcPr>
          <w:p w14:paraId="58E18EC7" w14:textId="77777777" w:rsidR="005C09C5" w:rsidRPr="005C09C5" w:rsidRDefault="005C09C5" w:rsidP="005C09C5">
            <w:pPr>
              <w:jc w:val="center"/>
              <w:rPr>
                <w:b/>
                <w:bCs/>
                <w:color w:val="000000"/>
              </w:rPr>
            </w:pPr>
          </w:p>
        </w:tc>
        <w:tc>
          <w:tcPr>
            <w:tcW w:w="1522" w:type="dxa"/>
            <w:shd w:val="clear" w:color="auto" w:fill="auto"/>
          </w:tcPr>
          <w:p w14:paraId="602F3C49" w14:textId="77777777" w:rsidR="005C09C5" w:rsidRPr="005C09C5" w:rsidRDefault="005C09C5" w:rsidP="005C09C5">
            <w:pPr>
              <w:jc w:val="center"/>
              <w:rPr>
                <w:bCs/>
                <w:color w:val="000000"/>
              </w:rPr>
            </w:pPr>
          </w:p>
        </w:tc>
        <w:tc>
          <w:tcPr>
            <w:tcW w:w="1440" w:type="dxa"/>
            <w:shd w:val="clear" w:color="auto" w:fill="auto"/>
            <w:noWrap/>
          </w:tcPr>
          <w:p w14:paraId="0F28AE1D" w14:textId="77777777" w:rsidR="005C09C5" w:rsidRPr="005C09C5" w:rsidRDefault="005C09C5" w:rsidP="005C09C5">
            <w:pPr>
              <w:jc w:val="center"/>
            </w:pPr>
          </w:p>
        </w:tc>
        <w:tc>
          <w:tcPr>
            <w:tcW w:w="1440" w:type="dxa"/>
            <w:shd w:val="clear" w:color="auto" w:fill="auto"/>
            <w:noWrap/>
          </w:tcPr>
          <w:p w14:paraId="26AC5019" w14:textId="77777777" w:rsidR="005C09C5" w:rsidRPr="005C09C5" w:rsidRDefault="005C09C5" w:rsidP="005C09C5"/>
        </w:tc>
        <w:tc>
          <w:tcPr>
            <w:tcW w:w="1369" w:type="dxa"/>
            <w:shd w:val="clear" w:color="auto" w:fill="auto"/>
            <w:noWrap/>
          </w:tcPr>
          <w:p w14:paraId="3B89A673" w14:textId="77777777" w:rsidR="005C09C5" w:rsidRPr="005C09C5" w:rsidRDefault="005C09C5" w:rsidP="005C09C5">
            <w:pPr>
              <w:jc w:val="center"/>
              <w:rPr>
                <w:b/>
              </w:rPr>
            </w:pPr>
          </w:p>
        </w:tc>
      </w:tr>
      <w:tr w:rsidR="005C09C5" w:rsidRPr="005C09C5" w14:paraId="1E80CB48" w14:textId="77777777" w:rsidTr="00EB0AA7">
        <w:trPr>
          <w:trHeight w:val="835"/>
        </w:trPr>
        <w:tc>
          <w:tcPr>
            <w:tcW w:w="2453" w:type="dxa"/>
            <w:shd w:val="clear" w:color="auto" w:fill="auto"/>
            <w:noWrap/>
          </w:tcPr>
          <w:p w14:paraId="23A0C3C8" w14:textId="77777777" w:rsidR="005C09C5" w:rsidRPr="005C09C5" w:rsidRDefault="005C09C5" w:rsidP="005C09C5">
            <w:pPr>
              <w:jc w:val="center"/>
              <w:rPr>
                <w:b/>
                <w:bCs/>
                <w:color w:val="000000"/>
              </w:rPr>
            </w:pPr>
            <w:r w:rsidRPr="005C09C5">
              <w:rPr>
                <w:b/>
                <w:bCs/>
                <w:color w:val="000000"/>
              </w:rPr>
              <w:t>Transition Filings</w:t>
            </w:r>
          </w:p>
          <w:p w14:paraId="69839184" w14:textId="44E450AB" w:rsidR="005C09C5" w:rsidRPr="005C09C5" w:rsidRDefault="005C09C5" w:rsidP="005C09C5">
            <w:pPr>
              <w:jc w:val="center"/>
              <w:rPr>
                <w:b/>
                <w:bCs/>
                <w:color w:val="000000"/>
              </w:rPr>
            </w:pPr>
          </w:p>
        </w:tc>
        <w:tc>
          <w:tcPr>
            <w:tcW w:w="1522" w:type="dxa"/>
            <w:shd w:val="clear" w:color="auto" w:fill="auto"/>
          </w:tcPr>
          <w:p w14:paraId="77726831" w14:textId="319E8095" w:rsidR="005C09C5" w:rsidRPr="005C09C5" w:rsidRDefault="005C09C5" w:rsidP="005C09C5">
            <w:pPr>
              <w:jc w:val="center"/>
              <w:rPr>
                <w:bCs/>
                <w:color w:val="000000"/>
              </w:rPr>
            </w:pPr>
            <w:r w:rsidRPr="005C09C5">
              <w:rPr>
                <w:bCs/>
                <w:color w:val="000000"/>
              </w:rPr>
              <w:t>20</w:t>
            </w:r>
          </w:p>
        </w:tc>
        <w:tc>
          <w:tcPr>
            <w:tcW w:w="1440" w:type="dxa"/>
            <w:shd w:val="clear" w:color="auto" w:fill="auto"/>
            <w:noWrap/>
          </w:tcPr>
          <w:p w14:paraId="7B140793" w14:textId="77777777" w:rsidR="005C09C5" w:rsidRPr="005C09C5" w:rsidRDefault="005C09C5" w:rsidP="005C09C5">
            <w:pPr>
              <w:jc w:val="center"/>
            </w:pPr>
            <w:r w:rsidRPr="005C09C5">
              <w:t xml:space="preserve">One-time filing </w:t>
            </w:r>
          </w:p>
        </w:tc>
        <w:tc>
          <w:tcPr>
            <w:tcW w:w="1440" w:type="dxa"/>
            <w:shd w:val="clear" w:color="auto" w:fill="auto"/>
            <w:noWrap/>
          </w:tcPr>
          <w:p w14:paraId="4A738245" w14:textId="77777777" w:rsidR="005C09C5" w:rsidRPr="005C09C5" w:rsidRDefault="005C09C5" w:rsidP="005C09C5">
            <w:pPr>
              <w:jc w:val="center"/>
            </w:pPr>
            <w:r w:rsidRPr="005C09C5">
              <w:t>6 Hours</w:t>
            </w:r>
          </w:p>
        </w:tc>
        <w:tc>
          <w:tcPr>
            <w:tcW w:w="1369" w:type="dxa"/>
            <w:shd w:val="clear" w:color="auto" w:fill="auto"/>
            <w:noWrap/>
          </w:tcPr>
          <w:p w14:paraId="4C59723F" w14:textId="77777777" w:rsidR="005C09C5" w:rsidRPr="005C09C5" w:rsidRDefault="005C09C5" w:rsidP="005C09C5">
            <w:pPr>
              <w:jc w:val="center"/>
              <w:rPr>
                <w:b/>
              </w:rPr>
            </w:pPr>
            <w:r w:rsidRPr="005C09C5">
              <w:rPr>
                <w:b/>
              </w:rPr>
              <w:t>120 Hours</w:t>
            </w:r>
          </w:p>
        </w:tc>
      </w:tr>
      <w:tr w:rsidR="005C09C5" w:rsidRPr="005C09C5" w14:paraId="7B8A26CA" w14:textId="77777777" w:rsidTr="00EB0AA7">
        <w:trPr>
          <w:trHeight w:val="835"/>
        </w:trPr>
        <w:tc>
          <w:tcPr>
            <w:tcW w:w="2453" w:type="dxa"/>
            <w:shd w:val="clear" w:color="auto" w:fill="auto"/>
            <w:noWrap/>
          </w:tcPr>
          <w:p w14:paraId="4E034E51" w14:textId="77777777" w:rsidR="005C09C5" w:rsidRPr="005C09C5" w:rsidRDefault="005C09C5" w:rsidP="005C09C5">
            <w:pPr>
              <w:jc w:val="center"/>
              <w:rPr>
                <w:b/>
                <w:bCs/>
                <w:color w:val="000000"/>
              </w:rPr>
            </w:pPr>
            <w:r w:rsidRPr="005C09C5">
              <w:rPr>
                <w:b/>
                <w:bCs/>
                <w:color w:val="000000"/>
              </w:rPr>
              <w:t>Totals</w:t>
            </w:r>
          </w:p>
        </w:tc>
        <w:tc>
          <w:tcPr>
            <w:tcW w:w="1522" w:type="dxa"/>
            <w:shd w:val="clear" w:color="auto" w:fill="auto"/>
          </w:tcPr>
          <w:p w14:paraId="6FE04600" w14:textId="651A7560" w:rsidR="005C09C5" w:rsidRPr="005C09C5" w:rsidRDefault="005C09C5" w:rsidP="005C09C5">
            <w:pPr>
              <w:suppressAutoHyphens/>
              <w:spacing w:line="240" w:lineRule="atLeast"/>
              <w:jc w:val="center"/>
              <w:rPr>
                <w:b/>
                <w:bCs/>
                <w:spacing w:val="-3"/>
              </w:rPr>
            </w:pPr>
            <w:r>
              <w:rPr>
                <w:b/>
                <w:bCs/>
                <w:spacing w:val="-3"/>
              </w:rPr>
              <w:t>47</w:t>
            </w:r>
          </w:p>
        </w:tc>
        <w:tc>
          <w:tcPr>
            <w:tcW w:w="1440" w:type="dxa"/>
            <w:shd w:val="clear" w:color="auto" w:fill="auto"/>
            <w:noWrap/>
          </w:tcPr>
          <w:p w14:paraId="09EA6045" w14:textId="77777777" w:rsidR="005C09C5" w:rsidRPr="005C09C5" w:rsidRDefault="005C09C5" w:rsidP="005C09C5">
            <w:pPr>
              <w:suppressAutoHyphens/>
              <w:spacing w:line="240" w:lineRule="atLeast"/>
              <w:jc w:val="center"/>
              <w:rPr>
                <w:b/>
                <w:bCs/>
                <w:spacing w:val="-3"/>
              </w:rPr>
            </w:pPr>
          </w:p>
        </w:tc>
        <w:tc>
          <w:tcPr>
            <w:tcW w:w="1440" w:type="dxa"/>
            <w:shd w:val="clear" w:color="auto" w:fill="auto"/>
            <w:noWrap/>
          </w:tcPr>
          <w:p w14:paraId="7F7BEAB0" w14:textId="77777777" w:rsidR="005C09C5" w:rsidRPr="005C09C5" w:rsidRDefault="005C09C5" w:rsidP="005C09C5">
            <w:pPr>
              <w:suppressAutoHyphens/>
              <w:spacing w:line="240" w:lineRule="atLeast"/>
              <w:jc w:val="center"/>
              <w:rPr>
                <w:bCs/>
                <w:spacing w:val="-3"/>
              </w:rPr>
            </w:pPr>
          </w:p>
        </w:tc>
        <w:tc>
          <w:tcPr>
            <w:tcW w:w="1369" w:type="dxa"/>
            <w:shd w:val="clear" w:color="auto" w:fill="auto"/>
            <w:noWrap/>
          </w:tcPr>
          <w:p w14:paraId="4FE767E9" w14:textId="4F4058AE" w:rsidR="005C09C5" w:rsidRPr="005C09C5" w:rsidRDefault="005C09C5" w:rsidP="005C09C5">
            <w:pPr>
              <w:suppressAutoHyphens/>
              <w:spacing w:line="240" w:lineRule="atLeast"/>
              <w:jc w:val="center"/>
              <w:rPr>
                <w:b/>
                <w:bCs/>
                <w:spacing w:val="-3"/>
              </w:rPr>
            </w:pPr>
            <w:r>
              <w:rPr>
                <w:b/>
                <w:bCs/>
                <w:spacing w:val="-3"/>
              </w:rPr>
              <w:t>660</w:t>
            </w:r>
            <w:r w:rsidRPr="005C09C5">
              <w:rPr>
                <w:b/>
                <w:bCs/>
                <w:spacing w:val="-3"/>
              </w:rPr>
              <w:t xml:space="preserve"> Hours</w:t>
            </w:r>
          </w:p>
        </w:tc>
      </w:tr>
    </w:tbl>
    <w:p w14:paraId="2789186E" w14:textId="77777777" w:rsidR="005559AF" w:rsidRDefault="005559AF" w:rsidP="00992158">
      <w:pPr>
        <w:suppressAutoHyphens/>
        <w:spacing w:line="240" w:lineRule="atLeast"/>
      </w:pPr>
    </w:p>
    <w:p w14:paraId="517B094E" w14:textId="77777777" w:rsidR="005559AF" w:rsidRDefault="005559AF" w:rsidP="00992158">
      <w:pPr>
        <w:suppressAutoHyphens/>
        <w:spacing w:line="240" w:lineRule="atLeast"/>
      </w:pPr>
    </w:p>
    <w:p w14:paraId="0BF46749" w14:textId="77777777" w:rsidR="006C1A2D" w:rsidRDefault="006C1A2D" w:rsidP="00992158">
      <w:pPr>
        <w:suppressAutoHyphens/>
        <w:spacing w:line="240" w:lineRule="atLeast"/>
      </w:pPr>
    </w:p>
    <w:p w14:paraId="3A2AFFEF" w14:textId="77777777" w:rsidR="006C1A2D" w:rsidRDefault="006C1A2D" w:rsidP="00992158">
      <w:pPr>
        <w:suppressAutoHyphens/>
        <w:spacing w:line="240" w:lineRule="atLeast"/>
      </w:pPr>
    </w:p>
    <w:p w14:paraId="1EA9584E" w14:textId="77777777" w:rsidR="006C1A2D" w:rsidRDefault="006C1A2D" w:rsidP="00992158">
      <w:pPr>
        <w:suppressAutoHyphens/>
        <w:spacing w:line="240" w:lineRule="atLeast"/>
      </w:pPr>
    </w:p>
    <w:p w14:paraId="6B0F6943" w14:textId="23B0065C" w:rsidR="00093A13" w:rsidRDefault="00992158" w:rsidP="00992158">
      <w:pPr>
        <w:suppressAutoHyphens/>
        <w:spacing w:line="240" w:lineRule="atLeast"/>
      </w:pPr>
      <w:r w:rsidRPr="00202183">
        <w:rPr>
          <w:b/>
        </w:rPr>
        <w:lastRenderedPageBreak/>
        <w:t>In-House Cost</w:t>
      </w:r>
      <w:r>
        <w:rPr>
          <w:b/>
        </w:rPr>
        <w:t>s</w:t>
      </w:r>
      <w:r>
        <w:t>:  We estimate that in-house staff equiv</w:t>
      </w:r>
      <w:r w:rsidR="006B56C9">
        <w:t xml:space="preserve">alent to a GS-11/Step 5 ($34.60 per </w:t>
      </w:r>
      <w:r>
        <w:t xml:space="preserve">hour) will fulfill </w:t>
      </w:r>
      <w:r w:rsidR="003D113D">
        <w:t xml:space="preserve">a portion </w:t>
      </w:r>
      <w:r>
        <w:t>of the hourly requirements and that in-house staff equivale</w:t>
      </w:r>
      <w:r w:rsidR="006B56C9">
        <w:t>nt to a GS-15/Step 5 ($68.56 per hour</w:t>
      </w:r>
      <w:r>
        <w:t xml:space="preserve">) will fulfill the remaining hourly </w:t>
      </w:r>
    </w:p>
    <w:p w14:paraId="7F74A28E" w14:textId="7BC5DBA0" w:rsidR="00992158" w:rsidRDefault="00992158" w:rsidP="00992158">
      <w:pPr>
        <w:suppressAutoHyphens/>
        <w:spacing w:line="240" w:lineRule="atLeast"/>
      </w:pPr>
      <w:r>
        <w:t>requirements.  Ther</w:t>
      </w:r>
      <w:r w:rsidR="00284C13">
        <w:t>efore, the in-house costs total $</w:t>
      </w:r>
      <w:r w:rsidR="007172A2">
        <w:rPr>
          <w:b/>
          <w:u w:val="single"/>
        </w:rPr>
        <w:t>27,318.72</w:t>
      </w:r>
      <w:r>
        <w:t xml:space="preserve"> as follows:  </w:t>
      </w:r>
    </w:p>
    <w:p w14:paraId="388D161A" w14:textId="77777777" w:rsidR="00992158" w:rsidRDefault="00992158" w:rsidP="00992158">
      <w:pPr>
        <w:suppressAutoHyphens/>
        <w:spacing w:line="240" w:lineRule="atLeast"/>
      </w:pPr>
    </w:p>
    <w:p w14:paraId="1795A84F" w14:textId="3CCEB4DB" w:rsidR="00992158" w:rsidRPr="00093A13" w:rsidRDefault="00A406E9" w:rsidP="00992158">
      <w:pPr>
        <w:suppressAutoHyphens/>
        <w:spacing w:line="240" w:lineRule="atLeast"/>
      </w:pPr>
      <w:r>
        <w:t xml:space="preserve">                       </w:t>
      </w:r>
      <w:r w:rsidR="00284C13" w:rsidRPr="00093A13">
        <w:t xml:space="preserve">528 </w:t>
      </w:r>
      <w:r w:rsidR="00235754">
        <w:t xml:space="preserve">hours x $34.60 per </w:t>
      </w:r>
      <w:r w:rsidR="00992158" w:rsidRPr="00093A13">
        <w:t>hour = $</w:t>
      </w:r>
      <w:r w:rsidR="00235754">
        <w:t>18,268.80</w:t>
      </w:r>
    </w:p>
    <w:p w14:paraId="63668F67" w14:textId="60FCFF5C" w:rsidR="00992158" w:rsidRPr="00093A13" w:rsidRDefault="00A406E9" w:rsidP="003D113D">
      <w:pPr>
        <w:suppressAutoHyphens/>
        <w:spacing w:line="240" w:lineRule="atLeast"/>
      </w:pPr>
      <w:r>
        <w:t xml:space="preserve">                       </w:t>
      </w:r>
      <w:r w:rsidR="00235754">
        <w:t xml:space="preserve">132 hours x $68.56 per hour </w:t>
      </w:r>
      <w:r w:rsidR="00284C13" w:rsidRPr="00093A13">
        <w:t xml:space="preserve">= </w:t>
      </w:r>
      <w:r w:rsidR="00284C13" w:rsidRPr="00093A13">
        <w:rPr>
          <w:u w:val="single"/>
        </w:rPr>
        <w:t>$</w:t>
      </w:r>
      <w:r w:rsidR="003D113D" w:rsidRPr="00093A13">
        <w:rPr>
          <w:u w:val="single"/>
        </w:rPr>
        <w:t xml:space="preserve">  </w:t>
      </w:r>
      <w:r w:rsidR="00235754">
        <w:rPr>
          <w:u w:val="single"/>
        </w:rPr>
        <w:t>9,049.92</w:t>
      </w:r>
    </w:p>
    <w:p w14:paraId="3C1A7435" w14:textId="64DD6966" w:rsidR="00992158" w:rsidRPr="008E667F" w:rsidRDefault="00992158" w:rsidP="00992158">
      <w:pPr>
        <w:suppressAutoHyphens/>
        <w:spacing w:line="240" w:lineRule="atLeast"/>
        <w:rPr>
          <w:b/>
        </w:rPr>
      </w:pPr>
      <w:r w:rsidRPr="00093A13">
        <w:t xml:space="preserve"> </w:t>
      </w:r>
      <w:r w:rsidR="003D113D" w:rsidRPr="00093A13">
        <w:t xml:space="preserve">                      </w:t>
      </w:r>
      <w:r w:rsidR="00A406E9">
        <w:t xml:space="preserve">                      </w:t>
      </w:r>
      <w:r w:rsidR="003D113D" w:rsidRPr="00093A13">
        <w:t xml:space="preserve">                    </w:t>
      </w:r>
      <w:r w:rsidR="00235754">
        <w:t xml:space="preserve">       </w:t>
      </w:r>
      <w:r w:rsidRPr="00093A13">
        <w:rPr>
          <w:b/>
        </w:rPr>
        <w:t>$</w:t>
      </w:r>
      <w:r w:rsidR="00235754">
        <w:rPr>
          <w:b/>
        </w:rPr>
        <w:t>27,318.72</w:t>
      </w:r>
    </w:p>
    <w:p w14:paraId="5DE8DF0F" w14:textId="77777777" w:rsidR="00992158" w:rsidRDefault="00992158" w:rsidP="00992158">
      <w:pPr>
        <w:suppressAutoHyphens/>
        <w:spacing w:line="240" w:lineRule="atLeast"/>
        <w:rPr>
          <w:spacing w:val="-3"/>
        </w:rPr>
      </w:pPr>
    </w:p>
    <w:p w14:paraId="49C21911" w14:textId="77777777" w:rsidR="00992158" w:rsidRDefault="00992158" w:rsidP="00992158">
      <w:pPr>
        <w:suppressAutoHyphens/>
        <w:spacing w:line="240" w:lineRule="atLeast"/>
        <w:rPr>
          <w:spacing w:val="-3"/>
        </w:rPr>
      </w:pPr>
      <w:r>
        <w:rPr>
          <w:spacing w:val="-3"/>
        </w:rPr>
        <w:t xml:space="preserve">13. </w:t>
      </w:r>
      <w:r w:rsidRPr="009A2D28">
        <w:rPr>
          <w:b/>
          <w:spacing w:val="-3"/>
        </w:rPr>
        <w:t>Estimated Annual Cost Burden to Respondents to Comply with Information Collection</w:t>
      </w:r>
      <w:r>
        <w:rPr>
          <w:b/>
          <w:spacing w:val="-3"/>
        </w:rPr>
        <w:t xml:space="preserve"> is as follows</w:t>
      </w:r>
      <w:r w:rsidRPr="009A2D28">
        <w:rPr>
          <w:b/>
          <w:spacing w:val="-3"/>
        </w:rPr>
        <w:t>:</w:t>
      </w:r>
    </w:p>
    <w:p w14:paraId="36487A1E" w14:textId="77777777" w:rsidR="00992158" w:rsidRDefault="00992158" w:rsidP="00992158">
      <w:pPr>
        <w:suppressAutoHyphens/>
        <w:spacing w:line="240" w:lineRule="atLeast"/>
        <w:rPr>
          <w:spacing w:val="-3"/>
        </w:rPr>
      </w:pPr>
    </w:p>
    <w:p w14:paraId="15819BAE" w14:textId="77777777" w:rsidR="00992158" w:rsidRPr="009E5094" w:rsidRDefault="00992158" w:rsidP="00992158">
      <w:pPr>
        <w:suppressAutoHyphens/>
        <w:spacing w:line="240" w:lineRule="atLeast"/>
        <w:rPr>
          <w:b/>
          <w:spacing w:val="-3"/>
        </w:rPr>
      </w:pPr>
      <w:r>
        <w:rPr>
          <w:spacing w:val="-3"/>
        </w:rPr>
        <w:t xml:space="preserve">(a)  Total Capital and Start-up Costs:  </w:t>
      </w:r>
      <w:r w:rsidRPr="009E5094">
        <w:rPr>
          <w:b/>
          <w:spacing w:val="-3"/>
        </w:rPr>
        <w:t>Zero</w:t>
      </w:r>
    </w:p>
    <w:p w14:paraId="283E2054" w14:textId="77777777" w:rsidR="00992158" w:rsidRDefault="00992158" w:rsidP="00992158">
      <w:pPr>
        <w:suppressAutoHyphens/>
        <w:spacing w:line="240" w:lineRule="atLeast"/>
        <w:rPr>
          <w:spacing w:val="-3"/>
        </w:rPr>
      </w:pPr>
    </w:p>
    <w:p w14:paraId="726B003E" w14:textId="5B29C1FE" w:rsidR="00992158" w:rsidRDefault="00992158" w:rsidP="00992158">
      <w:pPr>
        <w:suppressAutoHyphens/>
        <w:spacing w:line="240" w:lineRule="atLeast"/>
        <w:rPr>
          <w:spacing w:val="-3"/>
        </w:rPr>
      </w:pPr>
      <w:r>
        <w:rPr>
          <w:spacing w:val="-3"/>
        </w:rPr>
        <w:t xml:space="preserve">(b)  Total Operation and Maintenance and Purchase of Services:  </w:t>
      </w:r>
      <w:r>
        <w:rPr>
          <w:b/>
          <w:spacing w:val="-3"/>
        </w:rPr>
        <w:t>$</w:t>
      </w:r>
      <w:r w:rsidR="00284C13">
        <w:rPr>
          <w:b/>
          <w:spacing w:val="-3"/>
        </w:rPr>
        <w:t>198,</w:t>
      </w:r>
      <w:r w:rsidRPr="005C1C6D">
        <w:rPr>
          <w:b/>
          <w:spacing w:val="-3"/>
        </w:rPr>
        <w:t>00</w:t>
      </w:r>
      <w:r w:rsidR="00284C13">
        <w:rPr>
          <w:b/>
          <w:spacing w:val="-3"/>
        </w:rPr>
        <w:t>0</w:t>
      </w:r>
    </w:p>
    <w:p w14:paraId="0DF5408A" w14:textId="77777777" w:rsidR="00992158" w:rsidRDefault="00992158" w:rsidP="00992158">
      <w:pPr>
        <w:suppressAutoHyphens/>
        <w:spacing w:line="240" w:lineRule="atLeast"/>
        <w:rPr>
          <w:spacing w:val="-3"/>
        </w:rPr>
      </w:pPr>
    </w:p>
    <w:p w14:paraId="14B9A4E9" w14:textId="524BC4E5" w:rsidR="00992158" w:rsidRDefault="00992158" w:rsidP="00992158">
      <w:pPr>
        <w:suppressAutoHyphens/>
        <w:spacing w:line="240" w:lineRule="atLeast"/>
        <w:rPr>
          <w:spacing w:val="-3"/>
        </w:rPr>
      </w:pPr>
      <w:r>
        <w:rPr>
          <w:spacing w:val="-3"/>
        </w:rPr>
        <w:t xml:space="preserve">Compliance with </w:t>
      </w:r>
      <w:r w:rsidR="008E667F">
        <w:rPr>
          <w:spacing w:val="-3"/>
        </w:rPr>
        <w:t>S</w:t>
      </w:r>
      <w:r>
        <w:rPr>
          <w:spacing w:val="-3"/>
        </w:rPr>
        <w:t xml:space="preserve">ection 310(b)(4) rules will not require respondents to maintain any special equipment.  Compliance may require respondents to hire outside attorneys and/or consultants.   </w:t>
      </w:r>
      <w:r w:rsidRPr="00A92ADF">
        <w:rPr>
          <w:spacing w:val="-3"/>
        </w:rPr>
        <w:t xml:space="preserve">The estimate below assumes that respondents will also contract with outside counsel/consultants and it will also take </w:t>
      </w:r>
      <w:r w:rsidR="00284C13">
        <w:rPr>
          <w:spacing w:val="-3"/>
        </w:rPr>
        <w:t>these consultants a total of 660</w:t>
      </w:r>
      <w:r w:rsidRPr="00A92ADF">
        <w:rPr>
          <w:spacing w:val="-3"/>
        </w:rPr>
        <w:t xml:space="preserve"> burden hours to fulfill the requirements on beha</w:t>
      </w:r>
      <w:r w:rsidR="00284C13">
        <w:rPr>
          <w:spacing w:val="-3"/>
        </w:rPr>
        <w:t>lf of the respondents for all 47</w:t>
      </w:r>
      <w:r w:rsidRPr="00A92ADF">
        <w:rPr>
          <w:spacing w:val="-3"/>
        </w:rPr>
        <w:t xml:space="preserve"> responses.</w:t>
      </w:r>
      <w:r w:rsidRPr="00A92ADF">
        <w:rPr>
          <w:rStyle w:val="FootnoteReference"/>
          <w:spacing w:val="-3"/>
        </w:rPr>
        <w:footnoteReference w:id="4"/>
      </w:r>
      <w:r w:rsidRPr="00A92ADF">
        <w:rPr>
          <w:spacing w:val="-3"/>
        </w:rPr>
        <w:t xml:space="preserve"> Therefore, the total annual cost burden to the respondents is as follows:</w:t>
      </w:r>
      <w:r>
        <w:rPr>
          <w:spacing w:val="-3"/>
        </w:rPr>
        <w:t xml:space="preserve">  </w:t>
      </w:r>
    </w:p>
    <w:p w14:paraId="1B6C9138" w14:textId="77777777" w:rsidR="006D7497" w:rsidRDefault="006D7497" w:rsidP="00992158">
      <w:pPr>
        <w:suppressAutoHyphens/>
        <w:spacing w:line="240" w:lineRule="atLeast"/>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1720"/>
        <w:gridCol w:w="1633"/>
        <w:gridCol w:w="1750"/>
      </w:tblGrid>
      <w:tr w:rsidR="00992158" w:rsidRPr="003563F1" w14:paraId="31EF5883" w14:textId="77777777">
        <w:tc>
          <w:tcPr>
            <w:tcW w:w="2359" w:type="dxa"/>
            <w:shd w:val="clear" w:color="auto" w:fill="E6E6E6"/>
          </w:tcPr>
          <w:p w14:paraId="3B62CF8C"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58C10C91"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010C074C"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4580A24F"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Description</w:t>
            </w:r>
          </w:p>
        </w:tc>
        <w:tc>
          <w:tcPr>
            <w:tcW w:w="1720" w:type="dxa"/>
            <w:shd w:val="clear" w:color="auto" w:fill="E6E6E6"/>
          </w:tcPr>
          <w:p w14:paraId="72DF9746"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06BB574A"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5C1052ED"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Costs per Hour</w:t>
            </w:r>
          </w:p>
        </w:tc>
        <w:tc>
          <w:tcPr>
            <w:tcW w:w="1633" w:type="dxa"/>
            <w:shd w:val="clear" w:color="auto" w:fill="E6E6E6"/>
          </w:tcPr>
          <w:p w14:paraId="794A2BE8"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 xml:space="preserve">Total Annual Hours for Outside Consultants </w:t>
            </w:r>
          </w:p>
        </w:tc>
        <w:tc>
          <w:tcPr>
            <w:tcW w:w="1750" w:type="dxa"/>
            <w:shd w:val="clear" w:color="auto" w:fill="E6E6E6"/>
          </w:tcPr>
          <w:p w14:paraId="2D834D02"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212E0498"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7D72FDE7"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14:paraId="3F837A15"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Total Costs</w:t>
            </w:r>
          </w:p>
        </w:tc>
      </w:tr>
      <w:tr w:rsidR="00992158" w:rsidRPr="003563F1" w14:paraId="0F1EA1E4" w14:textId="77777777">
        <w:tc>
          <w:tcPr>
            <w:tcW w:w="2359" w:type="dxa"/>
            <w:shd w:val="clear" w:color="auto" w:fill="auto"/>
          </w:tcPr>
          <w:p w14:paraId="46236E1C" w14:textId="77777777" w:rsidR="00992158" w:rsidRPr="003563F1" w:rsidRDefault="00992158" w:rsidP="00992158">
            <w:pPr>
              <w:widowControl w:val="0"/>
              <w:suppressAutoHyphens/>
              <w:overflowPunct w:val="0"/>
              <w:autoSpaceDE w:val="0"/>
              <w:autoSpaceDN w:val="0"/>
              <w:adjustRightInd w:val="0"/>
              <w:spacing w:line="240" w:lineRule="atLeast"/>
              <w:textAlignment w:val="baseline"/>
              <w:rPr>
                <w:spacing w:val="-3"/>
              </w:rPr>
            </w:pPr>
            <w:r w:rsidRPr="003563F1">
              <w:rPr>
                <w:spacing w:val="-3"/>
              </w:rPr>
              <w:t xml:space="preserve">Outside Legal Counsel </w:t>
            </w:r>
          </w:p>
          <w:p w14:paraId="5843FDD0" w14:textId="77777777" w:rsidR="00992158" w:rsidRPr="003563F1" w:rsidRDefault="00992158" w:rsidP="00992158">
            <w:pPr>
              <w:widowControl w:val="0"/>
              <w:suppressAutoHyphens/>
              <w:overflowPunct w:val="0"/>
              <w:autoSpaceDE w:val="0"/>
              <w:autoSpaceDN w:val="0"/>
              <w:adjustRightInd w:val="0"/>
              <w:spacing w:line="240" w:lineRule="atLeast"/>
              <w:textAlignment w:val="baseline"/>
              <w:rPr>
                <w:spacing w:val="-3"/>
              </w:rPr>
            </w:pPr>
          </w:p>
        </w:tc>
        <w:tc>
          <w:tcPr>
            <w:tcW w:w="1720" w:type="dxa"/>
            <w:shd w:val="clear" w:color="auto" w:fill="auto"/>
          </w:tcPr>
          <w:p w14:paraId="436D0601"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spacing w:val="-3"/>
              </w:rPr>
            </w:pPr>
            <w:r w:rsidRPr="003563F1">
              <w:rPr>
                <w:spacing w:val="-3"/>
              </w:rPr>
              <w:t>$300 per Hour</w:t>
            </w:r>
          </w:p>
          <w:p w14:paraId="488C2E5A"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spacing w:val="-3"/>
              </w:rPr>
            </w:pPr>
          </w:p>
        </w:tc>
        <w:tc>
          <w:tcPr>
            <w:tcW w:w="1633" w:type="dxa"/>
            <w:shd w:val="clear" w:color="auto" w:fill="auto"/>
          </w:tcPr>
          <w:p w14:paraId="44DB124E" w14:textId="242DC05C" w:rsidR="00992158" w:rsidRPr="003563F1" w:rsidRDefault="002B6D62" w:rsidP="00992158">
            <w:pPr>
              <w:widowControl w:val="0"/>
              <w:suppressAutoHyphens/>
              <w:overflowPunct w:val="0"/>
              <w:autoSpaceDE w:val="0"/>
              <w:autoSpaceDN w:val="0"/>
              <w:adjustRightInd w:val="0"/>
              <w:spacing w:line="240" w:lineRule="atLeast"/>
              <w:jc w:val="center"/>
              <w:textAlignment w:val="baseline"/>
              <w:rPr>
                <w:spacing w:val="-3"/>
              </w:rPr>
            </w:pPr>
            <w:r>
              <w:rPr>
                <w:spacing w:val="-3"/>
              </w:rPr>
              <w:t>660</w:t>
            </w:r>
            <w:r w:rsidR="00992158" w:rsidRPr="005C1C6D">
              <w:rPr>
                <w:spacing w:val="-3"/>
              </w:rPr>
              <w:t xml:space="preserve"> </w:t>
            </w:r>
            <w:r w:rsidR="00992158" w:rsidRPr="003563F1">
              <w:rPr>
                <w:spacing w:val="-3"/>
              </w:rPr>
              <w:t>Hours</w:t>
            </w:r>
          </w:p>
        </w:tc>
        <w:tc>
          <w:tcPr>
            <w:tcW w:w="1750" w:type="dxa"/>
            <w:shd w:val="clear" w:color="auto" w:fill="auto"/>
          </w:tcPr>
          <w:p w14:paraId="235A0B7C" w14:textId="1F8DDA86"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w:t>
            </w:r>
            <w:r w:rsidR="00284C13">
              <w:rPr>
                <w:b/>
                <w:spacing w:val="-3"/>
              </w:rPr>
              <w:t>198,</w:t>
            </w:r>
            <w:r w:rsidR="00284C13" w:rsidRPr="005C1C6D">
              <w:rPr>
                <w:b/>
                <w:spacing w:val="-3"/>
              </w:rPr>
              <w:t>00</w:t>
            </w:r>
            <w:r w:rsidR="00284C13">
              <w:rPr>
                <w:b/>
                <w:spacing w:val="-3"/>
              </w:rPr>
              <w:t>0</w:t>
            </w:r>
          </w:p>
          <w:p w14:paraId="50776305" w14:textId="77777777"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spacing w:val="-3"/>
              </w:rPr>
            </w:pPr>
            <w:r w:rsidRPr="003563F1">
              <w:rPr>
                <w:spacing w:val="-3"/>
              </w:rPr>
              <w:t>(O&amp;M)</w:t>
            </w:r>
          </w:p>
        </w:tc>
      </w:tr>
    </w:tbl>
    <w:p w14:paraId="253570F6" w14:textId="77777777" w:rsidR="00992158" w:rsidRDefault="00992158" w:rsidP="00992158">
      <w:pPr>
        <w:suppressAutoHyphens/>
        <w:spacing w:line="240" w:lineRule="atLeast"/>
        <w:rPr>
          <w:b/>
          <w:spacing w:val="-3"/>
        </w:rPr>
      </w:pPr>
    </w:p>
    <w:p w14:paraId="0E3B4BA3" w14:textId="170DBCD6" w:rsidR="00992158" w:rsidRDefault="00992158" w:rsidP="00992158">
      <w:pPr>
        <w:suppressAutoHyphens/>
        <w:spacing w:line="240" w:lineRule="atLeast"/>
        <w:rPr>
          <w:b/>
          <w:spacing w:val="-3"/>
        </w:rPr>
      </w:pPr>
      <w:r>
        <w:rPr>
          <w:b/>
          <w:spacing w:val="-3"/>
        </w:rPr>
        <w:t>(c)  Total Annual Costs:  $</w:t>
      </w:r>
      <w:r w:rsidR="002B6D62">
        <w:rPr>
          <w:b/>
          <w:spacing w:val="-3"/>
        </w:rPr>
        <w:t>198,0</w:t>
      </w:r>
      <w:r w:rsidRPr="005C1C6D">
        <w:rPr>
          <w:b/>
          <w:spacing w:val="-3"/>
        </w:rPr>
        <w:t>00</w:t>
      </w:r>
    </w:p>
    <w:p w14:paraId="7820CAE7" w14:textId="77777777" w:rsidR="005559AF" w:rsidRDefault="005559AF" w:rsidP="00992158">
      <w:pPr>
        <w:suppressAutoHyphens/>
        <w:spacing w:line="240" w:lineRule="atLeast"/>
        <w:rPr>
          <w:b/>
          <w:spacing w:val="-3"/>
        </w:rPr>
      </w:pPr>
    </w:p>
    <w:p w14:paraId="1D14EA65" w14:textId="77777777" w:rsidR="005559AF" w:rsidRDefault="005559AF" w:rsidP="00992158">
      <w:pPr>
        <w:suppressAutoHyphens/>
        <w:spacing w:line="240" w:lineRule="atLeast"/>
        <w:rPr>
          <w:b/>
          <w:spacing w:val="-3"/>
        </w:rPr>
      </w:pPr>
    </w:p>
    <w:p w14:paraId="4670DC83" w14:textId="77777777" w:rsidR="005559AF" w:rsidRDefault="005559AF" w:rsidP="00992158">
      <w:pPr>
        <w:suppressAutoHyphens/>
        <w:spacing w:line="240" w:lineRule="atLeast"/>
        <w:rPr>
          <w:b/>
          <w:spacing w:val="-3"/>
        </w:rPr>
      </w:pPr>
    </w:p>
    <w:p w14:paraId="72C873CA" w14:textId="77777777" w:rsidR="005559AF" w:rsidRDefault="005559AF" w:rsidP="00992158">
      <w:pPr>
        <w:suppressAutoHyphens/>
        <w:spacing w:line="240" w:lineRule="atLeast"/>
        <w:rPr>
          <w:b/>
          <w:spacing w:val="-3"/>
        </w:rPr>
      </w:pPr>
    </w:p>
    <w:p w14:paraId="0F0F034C" w14:textId="77777777" w:rsidR="005559AF" w:rsidRDefault="005559AF" w:rsidP="00992158">
      <w:pPr>
        <w:suppressAutoHyphens/>
        <w:spacing w:line="240" w:lineRule="atLeast"/>
        <w:rPr>
          <w:b/>
          <w:spacing w:val="-3"/>
        </w:rPr>
      </w:pPr>
    </w:p>
    <w:p w14:paraId="4DFE3846" w14:textId="77777777" w:rsidR="005559AF" w:rsidRDefault="005559AF" w:rsidP="00992158">
      <w:pPr>
        <w:suppressAutoHyphens/>
        <w:spacing w:line="240" w:lineRule="atLeast"/>
        <w:rPr>
          <w:b/>
          <w:spacing w:val="-3"/>
        </w:rPr>
      </w:pPr>
    </w:p>
    <w:p w14:paraId="2CC1C214" w14:textId="77777777" w:rsidR="005559AF" w:rsidRDefault="005559AF" w:rsidP="00992158">
      <w:pPr>
        <w:suppressAutoHyphens/>
        <w:spacing w:line="240" w:lineRule="atLeast"/>
        <w:rPr>
          <w:b/>
          <w:spacing w:val="-3"/>
        </w:rPr>
      </w:pPr>
    </w:p>
    <w:p w14:paraId="203F3B48" w14:textId="77777777" w:rsidR="005559AF" w:rsidRDefault="005559AF" w:rsidP="00992158">
      <w:pPr>
        <w:suppressAutoHyphens/>
        <w:spacing w:line="240" w:lineRule="atLeast"/>
        <w:rPr>
          <w:b/>
          <w:spacing w:val="-3"/>
        </w:rPr>
      </w:pPr>
    </w:p>
    <w:p w14:paraId="34D1ED9B" w14:textId="77777777" w:rsidR="005559AF" w:rsidRDefault="005559AF" w:rsidP="00992158">
      <w:pPr>
        <w:suppressAutoHyphens/>
        <w:spacing w:line="240" w:lineRule="atLeast"/>
        <w:rPr>
          <w:b/>
          <w:spacing w:val="-3"/>
        </w:rPr>
      </w:pPr>
    </w:p>
    <w:p w14:paraId="749532D7" w14:textId="77777777" w:rsidR="005559AF" w:rsidRDefault="005559AF" w:rsidP="00992158">
      <w:pPr>
        <w:suppressAutoHyphens/>
        <w:spacing w:line="240" w:lineRule="atLeast"/>
        <w:rPr>
          <w:b/>
          <w:spacing w:val="-3"/>
        </w:rPr>
      </w:pPr>
    </w:p>
    <w:p w14:paraId="79C2F639" w14:textId="4066F174" w:rsidR="008E667F" w:rsidRDefault="00093A13" w:rsidP="00F17842">
      <w:pPr>
        <w:pStyle w:val="ParaNum"/>
        <w:numPr>
          <w:ilvl w:val="0"/>
          <w:numId w:val="0"/>
        </w:numPr>
        <w:tabs>
          <w:tab w:val="left" w:pos="720"/>
        </w:tabs>
        <w:rPr>
          <w:spacing w:val="-3"/>
        </w:rPr>
      </w:pPr>
      <w:r>
        <w:rPr>
          <w:spacing w:val="-3"/>
          <w:sz w:val="24"/>
        </w:rPr>
        <w:lastRenderedPageBreak/>
        <w:t xml:space="preserve">14.  </w:t>
      </w:r>
      <w:r w:rsidR="008E667F" w:rsidRPr="008E667F">
        <w:rPr>
          <w:spacing w:val="-3"/>
        </w:rPr>
        <w:t>Estimated Annual Costs to the Federal Government for the information collection requirements are as follows:</w:t>
      </w:r>
      <w:r w:rsidR="003E2CAB">
        <w:rPr>
          <w:rStyle w:val="FootnoteReference"/>
          <w:spacing w:val="-3"/>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3715"/>
        <w:gridCol w:w="1690"/>
      </w:tblGrid>
      <w:tr w:rsidR="008E667F" w:rsidRPr="008E667F" w14:paraId="5DAD10D3" w14:textId="77777777" w:rsidTr="00FA201E">
        <w:tc>
          <w:tcPr>
            <w:tcW w:w="3225" w:type="dxa"/>
            <w:shd w:val="clear" w:color="auto" w:fill="CCCCCC"/>
          </w:tcPr>
          <w:p w14:paraId="476CD02F"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 xml:space="preserve">Government </w:t>
            </w:r>
          </w:p>
          <w:p w14:paraId="347B6F12"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Staff</w:t>
            </w:r>
          </w:p>
        </w:tc>
        <w:tc>
          <w:tcPr>
            <w:tcW w:w="3715" w:type="dxa"/>
            <w:shd w:val="clear" w:color="auto" w:fill="CCCCCC"/>
          </w:tcPr>
          <w:p w14:paraId="7E60D0C3"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 xml:space="preserve">Annual Burden </w:t>
            </w:r>
          </w:p>
          <w:p w14:paraId="6335D720"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Hours</w:t>
            </w:r>
          </w:p>
        </w:tc>
        <w:tc>
          <w:tcPr>
            <w:tcW w:w="1690" w:type="dxa"/>
            <w:shd w:val="clear" w:color="auto" w:fill="CCCCCC"/>
          </w:tcPr>
          <w:p w14:paraId="238AE46F"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p>
          <w:p w14:paraId="226A28D4"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Costs</w:t>
            </w:r>
          </w:p>
        </w:tc>
      </w:tr>
      <w:tr w:rsidR="008E667F" w:rsidRPr="008E667F" w14:paraId="797BCE01" w14:textId="77777777" w:rsidTr="00FA201E">
        <w:tc>
          <w:tcPr>
            <w:tcW w:w="3225" w:type="dxa"/>
            <w:shd w:val="clear" w:color="auto" w:fill="auto"/>
          </w:tcPr>
          <w:p w14:paraId="536B5740" w14:textId="2007F20B" w:rsidR="008E667F" w:rsidRPr="008E667F" w:rsidRDefault="008E667F" w:rsidP="006C1A2D">
            <w:pPr>
              <w:widowControl w:val="0"/>
              <w:suppressAutoHyphens/>
              <w:overflowPunct w:val="0"/>
              <w:autoSpaceDE w:val="0"/>
              <w:autoSpaceDN w:val="0"/>
              <w:adjustRightInd w:val="0"/>
              <w:spacing w:line="240" w:lineRule="atLeast"/>
              <w:textAlignment w:val="baseline"/>
              <w:rPr>
                <w:b/>
                <w:spacing w:val="-3"/>
              </w:rPr>
            </w:pPr>
            <w:r w:rsidRPr="008E667F">
              <w:rPr>
                <w:b/>
                <w:bCs/>
                <w:color w:val="000000"/>
              </w:rPr>
              <w:t xml:space="preserve">Sections </w:t>
            </w:r>
            <w:r w:rsidRPr="008E667F">
              <w:rPr>
                <w:b/>
              </w:rPr>
              <w:t>1.990, 1.991(a</w:t>
            </w:r>
            <w:r w:rsidRPr="00A343D0">
              <w:rPr>
                <w:b/>
              </w:rPr>
              <w:t>)-(</w:t>
            </w:r>
            <w:r w:rsidR="006C1A2D" w:rsidRPr="00A343D0">
              <w:rPr>
                <w:b/>
              </w:rPr>
              <w:t>k</w:t>
            </w:r>
            <w:r w:rsidRPr="00A343D0">
              <w:rPr>
                <w:b/>
              </w:rPr>
              <w:t>), 1.994(a),  1.994(</w:t>
            </w:r>
            <w:r w:rsidR="006C1A2D" w:rsidRPr="00A343D0">
              <w:rPr>
                <w:b/>
              </w:rPr>
              <w:t>d</w:t>
            </w:r>
            <w:r w:rsidRPr="00A343D0">
              <w:rPr>
                <w:b/>
              </w:rPr>
              <w:t>), 1.994(</w:t>
            </w:r>
            <w:r w:rsidR="006C1A2D" w:rsidRPr="00A343D0">
              <w:rPr>
                <w:b/>
              </w:rPr>
              <w:t>e</w:t>
            </w:r>
            <w:r w:rsidRPr="00A343D0">
              <w:rPr>
                <w:b/>
              </w:rPr>
              <w:t>)</w:t>
            </w:r>
            <w:r w:rsidR="004C6825" w:rsidRPr="00A343D0">
              <w:rPr>
                <w:b/>
                <w:vertAlign w:val="superscript"/>
              </w:rPr>
              <w:t xml:space="preserve"> </w:t>
            </w:r>
            <w:r w:rsidR="004C6825" w:rsidRPr="00A343D0">
              <w:rPr>
                <w:b/>
                <w:vertAlign w:val="superscript"/>
              </w:rPr>
              <w:footnoteReference w:id="6"/>
            </w:r>
          </w:p>
        </w:tc>
        <w:tc>
          <w:tcPr>
            <w:tcW w:w="3715" w:type="dxa"/>
            <w:shd w:val="clear" w:color="auto" w:fill="auto"/>
          </w:tcPr>
          <w:p w14:paraId="57FF21F8"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tc>
        <w:tc>
          <w:tcPr>
            <w:tcW w:w="1690" w:type="dxa"/>
            <w:shd w:val="clear" w:color="auto" w:fill="auto"/>
          </w:tcPr>
          <w:p w14:paraId="71C6FA43"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tc>
      </w:tr>
      <w:tr w:rsidR="008E667F" w:rsidRPr="008E667F" w14:paraId="736A6963" w14:textId="77777777" w:rsidTr="00FA201E">
        <w:tc>
          <w:tcPr>
            <w:tcW w:w="3225" w:type="dxa"/>
            <w:shd w:val="clear" w:color="auto" w:fill="auto"/>
          </w:tcPr>
          <w:p w14:paraId="1D9AEB56"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5B42F62B"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GS-15/Step 5</w:t>
            </w:r>
          </w:p>
          <w:p w14:paraId="32EAA4BE" w14:textId="03200EED" w:rsidR="008E667F" w:rsidRPr="008E667F" w:rsidRDefault="001B0398" w:rsidP="008E667F">
            <w:pPr>
              <w:widowControl w:val="0"/>
              <w:suppressAutoHyphens/>
              <w:overflowPunct w:val="0"/>
              <w:autoSpaceDE w:val="0"/>
              <w:autoSpaceDN w:val="0"/>
              <w:adjustRightInd w:val="0"/>
              <w:spacing w:line="240" w:lineRule="atLeast"/>
              <w:textAlignment w:val="baseline"/>
              <w:rPr>
                <w:spacing w:val="-3"/>
              </w:rPr>
            </w:pPr>
            <w:r>
              <w:rPr>
                <w:spacing w:val="-3"/>
              </w:rPr>
              <w:t>Hourly Rate: $68.56</w:t>
            </w:r>
          </w:p>
        </w:tc>
        <w:tc>
          <w:tcPr>
            <w:tcW w:w="3715" w:type="dxa"/>
            <w:shd w:val="clear" w:color="auto" w:fill="auto"/>
          </w:tcPr>
          <w:p w14:paraId="2E0CC8D8" w14:textId="77777777" w:rsidR="00B7426A" w:rsidRDefault="00B7426A" w:rsidP="008E667F">
            <w:pPr>
              <w:widowControl w:val="0"/>
              <w:suppressAutoHyphens/>
              <w:overflowPunct w:val="0"/>
              <w:autoSpaceDE w:val="0"/>
              <w:autoSpaceDN w:val="0"/>
              <w:adjustRightInd w:val="0"/>
              <w:spacing w:line="240" w:lineRule="atLeast"/>
              <w:textAlignment w:val="baseline"/>
              <w:rPr>
                <w:spacing w:val="-3"/>
              </w:rPr>
            </w:pPr>
          </w:p>
          <w:p w14:paraId="6EBECDAF"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Review and Process  100% of the “Initial Petitions” = 7 petitions (@ 30 hrs. for 3 of the petitions; 80 hrs. for 4 of the petitions) = 410 hours for staff</w:t>
            </w:r>
          </w:p>
          <w:p w14:paraId="28E5A96A"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0DA0FE49"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Review and Process 100 % of the “Petitions to Extend Existing Ruling” = 18 petitions (@ 8 hrs./petition) = 144 hours for staff</w:t>
            </w:r>
          </w:p>
          <w:p w14:paraId="7447E187"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tc>
        <w:tc>
          <w:tcPr>
            <w:tcW w:w="1690" w:type="dxa"/>
            <w:shd w:val="clear" w:color="auto" w:fill="auto"/>
          </w:tcPr>
          <w:p w14:paraId="04A3DBED"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1D38CB85" w14:textId="0D9507D9" w:rsidR="008E667F" w:rsidRPr="008E667F" w:rsidRDefault="00B9265A" w:rsidP="008E667F">
            <w:pPr>
              <w:widowControl w:val="0"/>
              <w:suppressAutoHyphens/>
              <w:overflowPunct w:val="0"/>
              <w:autoSpaceDE w:val="0"/>
              <w:autoSpaceDN w:val="0"/>
              <w:adjustRightInd w:val="0"/>
              <w:spacing w:line="240" w:lineRule="atLeast"/>
              <w:jc w:val="center"/>
              <w:textAlignment w:val="baseline"/>
              <w:rPr>
                <w:b/>
                <w:spacing w:val="-3"/>
              </w:rPr>
            </w:pPr>
            <w:r>
              <w:rPr>
                <w:b/>
                <w:spacing w:val="-3"/>
              </w:rPr>
              <w:t>$28,109.60</w:t>
            </w:r>
          </w:p>
          <w:p w14:paraId="26E47E8A"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26D74A14"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2C41A1DB"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6CEB1810"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1206FEEC"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316E66CC" w14:textId="16B8B458" w:rsidR="008E667F" w:rsidRPr="008E667F" w:rsidRDefault="00FC3D21" w:rsidP="008E667F">
            <w:pPr>
              <w:widowControl w:val="0"/>
              <w:suppressAutoHyphens/>
              <w:overflowPunct w:val="0"/>
              <w:autoSpaceDE w:val="0"/>
              <w:autoSpaceDN w:val="0"/>
              <w:adjustRightInd w:val="0"/>
              <w:spacing w:line="240" w:lineRule="atLeast"/>
              <w:jc w:val="center"/>
              <w:textAlignment w:val="baseline"/>
              <w:rPr>
                <w:b/>
                <w:spacing w:val="-3"/>
              </w:rPr>
            </w:pPr>
            <w:r>
              <w:rPr>
                <w:b/>
                <w:spacing w:val="-3"/>
              </w:rPr>
              <w:t>$9,872.64</w:t>
            </w:r>
          </w:p>
        </w:tc>
      </w:tr>
      <w:tr w:rsidR="008E667F" w:rsidRPr="008E667F" w14:paraId="1853D80B" w14:textId="77777777" w:rsidTr="00FA201E">
        <w:tc>
          <w:tcPr>
            <w:tcW w:w="3225" w:type="dxa"/>
            <w:shd w:val="clear" w:color="auto" w:fill="auto"/>
          </w:tcPr>
          <w:p w14:paraId="09D9E672" w14:textId="6A01192F" w:rsidR="008E667F" w:rsidRPr="008E667F" w:rsidRDefault="003232E4" w:rsidP="008E667F">
            <w:pPr>
              <w:widowControl w:val="0"/>
              <w:suppressAutoHyphens/>
              <w:overflowPunct w:val="0"/>
              <w:autoSpaceDE w:val="0"/>
              <w:autoSpaceDN w:val="0"/>
              <w:adjustRightInd w:val="0"/>
              <w:spacing w:line="240" w:lineRule="atLeast"/>
              <w:textAlignment w:val="baseline"/>
              <w:rPr>
                <w:b/>
                <w:spacing w:val="-3"/>
              </w:rPr>
            </w:pPr>
            <w:r w:rsidRPr="006C1A2D">
              <w:rPr>
                <w:b/>
                <w:spacing w:val="-3"/>
              </w:rPr>
              <w:t>Section 1.994(f)(1</w:t>
            </w:r>
            <w:r w:rsidR="008E667F" w:rsidRPr="006C1A2D">
              <w:rPr>
                <w:b/>
                <w:spacing w:val="-3"/>
              </w:rPr>
              <w:t>)</w:t>
            </w:r>
            <w:r w:rsidRPr="006C1A2D">
              <w:rPr>
                <w:rStyle w:val="FootnoteReference"/>
                <w:b/>
                <w:spacing w:val="-3"/>
              </w:rPr>
              <w:footnoteReference w:id="7"/>
            </w:r>
          </w:p>
          <w:p w14:paraId="17D32C24"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GS-15/Step 5</w:t>
            </w:r>
          </w:p>
          <w:p w14:paraId="1B51102C" w14:textId="365FDA69" w:rsidR="008E667F" w:rsidRPr="008E667F" w:rsidRDefault="001B0398" w:rsidP="008E667F">
            <w:pPr>
              <w:widowControl w:val="0"/>
              <w:suppressAutoHyphens/>
              <w:overflowPunct w:val="0"/>
              <w:autoSpaceDE w:val="0"/>
              <w:autoSpaceDN w:val="0"/>
              <w:adjustRightInd w:val="0"/>
              <w:spacing w:line="240" w:lineRule="atLeast"/>
              <w:textAlignment w:val="baseline"/>
              <w:rPr>
                <w:spacing w:val="-3"/>
              </w:rPr>
            </w:pPr>
            <w:r>
              <w:rPr>
                <w:spacing w:val="-3"/>
              </w:rPr>
              <w:t>Hourly Rate: $68.56</w:t>
            </w:r>
          </w:p>
          <w:p w14:paraId="0FE634D4"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0D8553C4"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4211585B" w14:textId="77777777" w:rsidR="00DE6688" w:rsidRDefault="00DE6688" w:rsidP="008E667F">
            <w:pPr>
              <w:widowControl w:val="0"/>
              <w:suppressAutoHyphens/>
              <w:overflowPunct w:val="0"/>
              <w:autoSpaceDE w:val="0"/>
              <w:autoSpaceDN w:val="0"/>
              <w:adjustRightInd w:val="0"/>
              <w:spacing w:line="240" w:lineRule="atLeast"/>
              <w:textAlignment w:val="baseline"/>
              <w:rPr>
                <w:b/>
                <w:spacing w:val="-3"/>
              </w:rPr>
            </w:pPr>
          </w:p>
          <w:p w14:paraId="4EEB3E83"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b/>
                <w:spacing w:val="-3"/>
              </w:rPr>
            </w:pPr>
            <w:r w:rsidRPr="008E667F">
              <w:rPr>
                <w:b/>
                <w:spacing w:val="-3"/>
              </w:rPr>
              <w:t>Transition Filings</w:t>
            </w:r>
          </w:p>
          <w:p w14:paraId="71FCDFFF"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GS-15/Step 5</w:t>
            </w:r>
          </w:p>
          <w:p w14:paraId="0D2A26A9" w14:textId="4D7F64E0" w:rsidR="008E667F" w:rsidRPr="008E667F" w:rsidRDefault="001B0398" w:rsidP="008E667F">
            <w:pPr>
              <w:widowControl w:val="0"/>
              <w:suppressAutoHyphens/>
              <w:overflowPunct w:val="0"/>
              <w:autoSpaceDE w:val="0"/>
              <w:autoSpaceDN w:val="0"/>
              <w:adjustRightInd w:val="0"/>
              <w:spacing w:line="240" w:lineRule="atLeast"/>
              <w:textAlignment w:val="baseline"/>
              <w:rPr>
                <w:spacing w:val="-3"/>
              </w:rPr>
            </w:pPr>
            <w:r>
              <w:rPr>
                <w:spacing w:val="-3"/>
              </w:rPr>
              <w:t>Hourly Rate: $68.56</w:t>
            </w:r>
          </w:p>
          <w:p w14:paraId="2519DFF6"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6CB1AD8A"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tc>
        <w:tc>
          <w:tcPr>
            <w:tcW w:w="3715" w:type="dxa"/>
            <w:shd w:val="clear" w:color="auto" w:fill="auto"/>
          </w:tcPr>
          <w:p w14:paraId="17703451" w14:textId="78C1D866" w:rsidR="008E667F" w:rsidRPr="008E667F" w:rsidRDefault="008E667F" w:rsidP="003E2CAB">
            <w:pPr>
              <w:widowControl w:val="0"/>
              <w:suppressAutoHyphens/>
              <w:overflowPunct w:val="0"/>
              <w:autoSpaceDE w:val="0"/>
              <w:autoSpaceDN w:val="0"/>
              <w:adjustRightInd w:val="0"/>
              <w:spacing w:line="240" w:lineRule="atLeast"/>
              <w:textAlignment w:val="baseline"/>
              <w:rPr>
                <w:spacing w:val="-3"/>
              </w:rPr>
            </w:pPr>
          </w:p>
          <w:p w14:paraId="56BD1E22" w14:textId="77777777" w:rsidR="00FA201E" w:rsidRDefault="00FA201E" w:rsidP="003232E4">
            <w:pPr>
              <w:widowControl w:val="0"/>
              <w:suppressAutoHyphens/>
              <w:overflowPunct w:val="0"/>
              <w:autoSpaceDE w:val="0"/>
              <w:autoSpaceDN w:val="0"/>
              <w:adjustRightInd w:val="0"/>
              <w:spacing w:line="240" w:lineRule="atLeast"/>
              <w:textAlignment w:val="baseline"/>
              <w:rPr>
                <w:spacing w:val="-3"/>
              </w:rPr>
            </w:pPr>
          </w:p>
          <w:p w14:paraId="65D800A2" w14:textId="5E81D280" w:rsidR="003232E4" w:rsidRPr="008E667F" w:rsidRDefault="003232E4" w:rsidP="003232E4">
            <w:pPr>
              <w:widowControl w:val="0"/>
              <w:suppressAutoHyphens/>
              <w:overflowPunct w:val="0"/>
              <w:autoSpaceDE w:val="0"/>
              <w:autoSpaceDN w:val="0"/>
              <w:adjustRightInd w:val="0"/>
              <w:spacing w:line="240" w:lineRule="atLeast"/>
              <w:textAlignment w:val="baseline"/>
              <w:rPr>
                <w:spacing w:val="-3"/>
              </w:rPr>
            </w:pPr>
            <w:r w:rsidRPr="00093A13">
              <w:rPr>
                <w:spacing w:val="-3"/>
              </w:rPr>
              <w:t>Review and Process 100% of the filings = 2 filings (@ 1 hr./filing) = 2 hours for staff</w:t>
            </w:r>
          </w:p>
          <w:p w14:paraId="733C94E3" w14:textId="77777777" w:rsidR="008E667F" w:rsidRPr="008E667F" w:rsidRDefault="008E667F" w:rsidP="003232E4">
            <w:pPr>
              <w:widowControl w:val="0"/>
              <w:suppressAutoHyphens/>
              <w:overflowPunct w:val="0"/>
              <w:autoSpaceDE w:val="0"/>
              <w:autoSpaceDN w:val="0"/>
              <w:adjustRightInd w:val="0"/>
              <w:spacing w:line="240" w:lineRule="atLeast"/>
              <w:jc w:val="right"/>
              <w:textAlignment w:val="baseline"/>
              <w:rPr>
                <w:spacing w:val="-3"/>
              </w:rPr>
            </w:pPr>
          </w:p>
          <w:p w14:paraId="22731B78"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Review and Process  100% of the “Transition Filings” = 20 filings (@ 4 hrs. for 14 of the filings; 25 hrs. for 6 of the filings) = 206 hours for staff</w:t>
            </w:r>
          </w:p>
          <w:p w14:paraId="34F18557"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p>
          <w:p w14:paraId="30951DAB"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639FF266"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tc>
        <w:tc>
          <w:tcPr>
            <w:tcW w:w="1690" w:type="dxa"/>
            <w:shd w:val="clear" w:color="auto" w:fill="auto"/>
          </w:tcPr>
          <w:p w14:paraId="0A2325A0" w14:textId="45C3166C"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p>
          <w:p w14:paraId="6A7E3D97"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7154C03B" w14:textId="6BF9D1C6" w:rsidR="003232E4" w:rsidRPr="008E667F" w:rsidRDefault="00272150" w:rsidP="003232E4">
            <w:pPr>
              <w:widowControl w:val="0"/>
              <w:suppressAutoHyphens/>
              <w:overflowPunct w:val="0"/>
              <w:autoSpaceDE w:val="0"/>
              <w:autoSpaceDN w:val="0"/>
              <w:adjustRightInd w:val="0"/>
              <w:spacing w:line="240" w:lineRule="atLeast"/>
              <w:jc w:val="center"/>
              <w:textAlignment w:val="baseline"/>
              <w:rPr>
                <w:b/>
                <w:spacing w:val="-3"/>
              </w:rPr>
            </w:pPr>
            <w:r>
              <w:rPr>
                <w:b/>
                <w:spacing w:val="-3"/>
              </w:rPr>
              <w:t>$137.12</w:t>
            </w:r>
          </w:p>
          <w:p w14:paraId="080DC6FE"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1397A3E4" w14:textId="25C948CE"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p>
          <w:p w14:paraId="3B771C59"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638756D9"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5A1BBED6"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52EE3AD5" w14:textId="5D335683" w:rsidR="008E667F" w:rsidRPr="008E667F" w:rsidRDefault="00002589" w:rsidP="008E667F">
            <w:pPr>
              <w:widowControl w:val="0"/>
              <w:suppressAutoHyphens/>
              <w:overflowPunct w:val="0"/>
              <w:autoSpaceDE w:val="0"/>
              <w:autoSpaceDN w:val="0"/>
              <w:adjustRightInd w:val="0"/>
              <w:spacing w:line="240" w:lineRule="atLeast"/>
              <w:jc w:val="center"/>
              <w:textAlignment w:val="baseline"/>
              <w:rPr>
                <w:b/>
                <w:spacing w:val="-3"/>
              </w:rPr>
            </w:pPr>
            <w:r>
              <w:rPr>
                <w:b/>
                <w:spacing w:val="-3"/>
              </w:rPr>
              <w:t>$14,123.36</w:t>
            </w:r>
          </w:p>
        </w:tc>
      </w:tr>
      <w:tr w:rsidR="008E667F" w:rsidRPr="008E667F" w14:paraId="117C33F9" w14:textId="77777777" w:rsidTr="00FA201E">
        <w:tc>
          <w:tcPr>
            <w:tcW w:w="3225" w:type="dxa"/>
            <w:shd w:val="clear" w:color="auto" w:fill="auto"/>
          </w:tcPr>
          <w:p w14:paraId="6393EF97" w14:textId="77777777" w:rsidR="008E667F" w:rsidRPr="008E667F" w:rsidRDefault="008E667F" w:rsidP="008E667F">
            <w:pPr>
              <w:widowControl w:val="0"/>
              <w:suppressAutoHyphens/>
              <w:overflowPunct w:val="0"/>
              <w:autoSpaceDE w:val="0"/>
              <w:autoSpaceDN w:val="0"/>
              <w:adjustRightInd w:val="0"/>
              <w:spacing w:line="240" w:lineRule="atLeast"/>
              <w:textAlignment w:val="baseline"/>
              <w:rPr>
                <w:spacing w:val="-3"/>
              </w:rPr>
            </w:pPr>
            <w:r w:rsidRPr="008E667F">
              <w:rPr>
                <w:b/>
                <w:spacing w:val="-3"/>
              </w:rPr>
              <w:t>Total Costs to the Federal Government</w:t>
            </w:r>
            <w:r w:rsidRPr="008E667F">
              <w:rPr>
                <w:spacing w:val="-3"/>
              </w:rPr>
              <w:t>:</w:t>
            </w:r>
          </w:p>
        </w:tc>
        <w:tc>
          <w:tcPr>
            <w:tcW w:w="3715" w:type="dxa"/>
            <w:shd w:val="clear" w:color="auto" w:fill="auto"/>
          </w:tcPr>
          <w:p w14:paraId="3D5B6CA4"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tc>
        <w:tc>
          <w:tcPr>
            <w:tcW w:w="1690" w:type="dxa"/>
            <w:shd w:val="clear" w:color="auto" w:fill="auto"/>
          </w:tcPr>
          <w:p w14:paraId="7763A1EC" w14:textId="77777777"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14:paraId="4447CC7A" w14:textId="413AAE00" w:rsidR="008E667F" w:rsidRPr="008E667F" w:rsidRDefault="008E667F" w:rsidP="003E2CAB">
            <w:pPr>
              <w:widowControl w:val="0"/>
              <w:suppressAutoHyphens/>
              <w:overflowPunct w:val="0"/>
              <w:autoSpaceDE w:val="0"/>
              <w:autoSpaceDN w:val="0"/>
              <w:adjustRightInd w:val="0"/>
              <w:spacing w:line="240" w:lineRule="atLeast"/>
              <w:jc w:val="center"/>
              <w:textAlignment w:val="baseline"/>
              <w:rPr>
                <w:b/>
                <w:spacing w:val="-3"/>
              </w:rPr>
            </w:pPr>
            <w:r w:rsidRPr="008E667F">
              <w:rPr>
                <w:b/>
                <w:spacing w:val="-3"/>
              </w:rPr>
              <w:t>$</w:t>
            </w:r>
            <w:r w:rsidR="0088217F">
              <w:rPr>
                <w:b/>
                <w:spacing w:val="-3"/>
              </w:rPr>
              <w:t>52,242.72</w:t>
            </w:r>
          </w:p>
        </w:tc>
      </w:tr>
    </w:tbl>
    <w:p w14:paraId="79597CD1" w14:textId="77777777" w:rsidR="00AA7F3C" w:rsidRDefault="00AA7F3C" w:rsidP="00992158">
      <w:pPr>
        <w:suppressAutoHyphens/>
        <w:spacing w:line="240" w:lineRule="atLeast"/>
        <w:rPr>
          <w:spacing w:val="-3"/>
        </w:rPr>
      </w:pPr>
    </w:p>
    <w:p w14:paraId="2CA9F152" w14:textId="584A2F03" w:rsidR="00992158" w:rsidRDefault="00992158" w:rsidP="00992158">
      <w:pPr>
        <w:suppressAutoHyphens/>
        <w:spacing w:line="240" w:lineRule="atLeast"/>
        <w:rPr>
          <w:spacing w:val="-3"/>
        </w:rPr>
      </w:pPr>
      <w:r>
        <w:rPr>
          <w:spacing w:val="-3"/>
        </w:rPr>
        <w:lastRenderedPageBreak/>
        <w:t>15</w:t>
      </w:r>
      <w:r w:rsidR="00AA7F3C">
        <w:rPr>
          <w:spacing w:val="-3"/>
        </w:rPr>
        <w:t>.   There are no program changes or adjustmen</w:t>
      </w:r>
      <w:r w:rsidR="00B06C82">
        <w:rPr>
          <w:spacing w:val="-3"/>
        </w:rPr>
        <w:t>ts in this information collection.</w:t>
      </w:r>
    </w:p>
    <w:p w14:paraId="0E9B9761" w14:textId="77777777" w:rsidR="00992158" w:rsidRDefault="00992158" w:rsidP="00992158">
      <w:pPr>
        <w:suppressAutoHyphens/>
        <w:spacing w:line="240" w:lineRule="atLeast"/>
        <w:rPr>
          <w:spacing w:val="-3"/>
        </w:rPr>
      </w:pPr>
    </w:p>
    <w:p w14:paraId="020B2DBF" w14:textId="77777777" w:rsidR="00992158" w:rsidRDefault="00992158" w:rsidP="00992158">
      <w:pPr>
        <w:suppressAutoHyphens/>
        <w:spacing w:line="240" w:lineRule="atLeast"/>
        <w:rPr>
          <w:spacing w:val="-3"/>
        </w:rPr>
      </w:pPr>
      <w:r>
        <w:rPr>
          <w:spacing w:val="-3"/>
        </w:rPr>
        <w:t xml:space="preserve">16.   The FCC </w:t>
      </w:r>
      <w:r w:rsidRPr="00E81B22">
        <w:rPr>
          <w:spacing w:val="-3"/>
        </w:rPr>
        <w:t>has not proposed</w:t>
      </w:r>
      <w:r>
        <w:rPr>
          <w:spacing w:val="-3"/>
        </w:rPr>
        <w:t xml:space="preserve"> to publish the information that will be collected.</w:t>
      </w:r>
    </w:p>
    <w:p w14:paraId="01E6B322" w14:textId="77777777" w:rsidR="00992158" w:rsidRDefault="00992158" w:rsidP="00992158">
      <w:pPr>
        <w:suppressAutoHyphens/>
        <w:spacing w:line="240" w:lineRule="atLeast"/>
        <w:rPr>
          <w:spacing w:val="-3"/>
        </w:rPr>
      </w:pPr>
    </w:p>
    <w:p w14:paraId="0A72E26B" w14:textId="77777777" w:rsidR="00992158" w:rsidRDefault="00992158" w:rsidP="00992158">
      <w:pPr>
        <w:suppressAutoHyphens/>
        <w:spacing w:line="240" w:lineRule="atLeast"/>
        <w:rPr>
          <w:spacing w:val="-3"/>
        </w:rPr>
      </w:pPr>
      <w:r>
        <w:rPr>
          <w:spacing w:val="-3"/>
        </w:rPr>
        <w:t xml:space="preserve">17.  All OMB-approved information collections </w:t>
      </w:r>
      <w:r w:rsidRPr="00E81B22">
        <w:rPr>
          <w:spacing w:val="-3"/>
        </w:rPr>
        <w:t>(including this one)</w:t>
      </w:r>
      <w:r>
        <w:rPr>
          <w:spacing w:val="-3"/>
        </w:rPr>
        <w:t xml:space="preserve"> will be published in 47 CFR 0.408, which “displays” the title, OMB control number and OMB expiration date.  The FCC </w:t>
      </w:r>
      <w:r w:rsidRPr="00E81B22">
        <w:rPr>
          <w:spacing w:val="-3"/>
        </w:rPr>
        <w:t>has not proposed to issue an FCC Form specifically</w:t>
      </w:r>
      <w:r>
        <w:rPr>
          <w:spacing w:val="-3"/>
        </w:rPr>
        <w:t xml:space="preserve"> for the purpose of this collection.</w:t>
      </w:r>
    </w:p>
    <w:p w14:paraId="7464DCC8" w14:textId="77777777" w:rsidR="00992158" w:rsidRDefault="00992158" w:rsidP="00992158">
      <w:pPr>
        <w:suppressAutoHyphens/>
        <w:spacing w:line="240" w:lineRule="atLeast"/>
        <w:rPr>
          <w:spacing w:val="-3"/>
        </w:rPr>
      </w:pPr>
    </w:p>
    <w:p w14:paraId="5C76ECE5" w14:textId="17822D46" w:rsidR="00992158" w:rsidRDefault="00992158" w:rsidP="00992158">
      <w:pPr>
        <w:suppressAutoHyphens/>
        <w:spacing w:line="240" w:lineRule="atLeast"/>
      </w:pPr>
      <w:r>
        <w:t xml:space="preserve">18.   </w:t>
      </w:r>
      <w:r w:rsidRPr="003232E4">
        <w:t xml:space="preserve">There are </w:t>
      </w:r>
      <w:r w:rsidR="00751398" w:rsidRPr="003232E4">
        <w:t xml:space="preserve">no </w:t>
      </w:r>
      <w:r w:rsidRPr="003232E4">
        <w:t>exceptions to the Certification Statement.</w:t>
      </w:r>
      <w:r>
        <w:t xml:space="preserve"> </w:t>
      </w:r>
    </w:p>
    <w:p w14:paraId="596AE7C7" w14:textId="77777777" w:rsidR="00992158" w:rsidRDefault="00992158"/>
    <w:sectPr w:rsidR="00992158" w:rsidSect="00992158">
      <w:headerReference w:type="default" r:id="rId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0C79C" w14:textId="77777777" w:rsidR="003D1B40" w:rsidRDefault="003D1B40">
      <w:r>
        <w:separator/>
      </w:r>
    </w:p>
  </w:endnote>
  <w:endnote w:type="continuationSeparator" w:id="0">
    <w:p w14:paraId="6B4C5248" w14:textId="77777777" w:rsidR="003D1B40" w:rsidRDefault="003D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A6DF8" w14:textId="77777777" w:rsidR="00E56B16" w:rsidRDefault="00E56B16" w:rsidP="00992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D9A28D" w14:textId="77777777" w:rsidR="00E56B16" w:rsidRDefault="00E56B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F3D53" w14:textId="77777777" w:rsidR="00E56B16" w:rsidRDefault="00E56B16" w:rsidP="00992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826">
      <w:rPr>
        <w:rStyle w:val="PageNumber"/>
        <w:noProof/>
      </w:rPr>
      <w:t>2</w:t>
    </w:r>
    <w:r>
      <w:rPr>
        <w:rStyle w:val="PageNumber"/>
      </w:rPr>
      <w:fldChar w:fldCharType="end"/>
    </w:r>
  </w:p>
  <w:p w14:paraId="2160837A" w14:textId="77777777" w:rsidR="00E56B16" w:rsidRDefault="00E56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3F6FA" w14:textId="77777777" w:rsidR="003D1B40" w:rsidRDefault="003D1B40">
      <w:r>
        <w:separator/>
      </w:r>
    </w:p>
  </w:footnote>
  <w:footnote w:type="continuationSeparator" w:id="0">
    <w:p w14:paraId="26C988A6" w14:textId="77777777" w:rsidR="003D1B40" w:rsidRDefault="003D1B40">
      <w:r>
        <w:continuationSeparator/>
      </w:r>
    </w:p>
  </w:footnote>
  <w:footnote w:id="1">
    <w:p w14:paraId="18290443" w14:textId="5E943EAB" w:rsidR="005C09C5" w:rsidRPr="002E2291" w:rsidRDefault="005C09C5">
      <w:pPr>
        <w:pStyle w:val="FootnoteText"/>
        <w:rPr>
          <w:rFonts w:ascii="Times New Roman" w:hAnsi="Times New Roman"/>
          <w:sz w:val="20"/>
        </w:rPr>
      </w:pPr>
      <w:r w:rsidRPr="003D113D">
        <w:rPr>
          <w:rStyle w:val="FootnoteReference"/>
          <w:rFonts w:ascii="Times New Roman" w:hAnsi="Times New Roman"/>
          <w:sz w:val="20"/>
        </w:rPr>
        <w:footnoteRef/>
      </w:r>
      <w:r w:rsidRPr="003D113D">
        <w:rPr>
          <w:rFonts w:ascii="Times New Roman" w:hAnsi="Times New Roman"/>
          <w:sz w:val="20"/>
        </w:rPr>
        <w:t xml:space="preserve"> </w:t>
      </w:r>
      <w:r w:rsidR="003D113D" w:rsidRPr="003D113D">
        <w:rPr>
          <w:rFonts w:ascii="Times New Roman" w:hAnsi="Times New Roman"/>
          <w:sz w:val="20"/>
        </w:rPr>
        <w:t>Th</w:t>
      </w:r>
      <w:r w:rsidR="003D113D">
        <w:rPr>
          <w:rFonts w:ascii="Times New Roman" w:hAnsi="Times New Roman"/>
          <w:sz w:val="20"/>
        </w:rPr>
        <w:t>e</w:t>
      </w:r>
      <w:r w:rsidR="003D113D" w:rsidRPr="003D113D">
        <w:rPr>
          <w:rFonts w:ascii="Times New Roman" w:hAnsi="Times New Roman"/>
          <w:sz w:val="20"/>
        </w:rPr>
        <w:t xml:space="preserve"> amended burden for this collection </w:t>
      </w:r>
      <w:r w:rsidR="003D113D">
        <w:rPr>
          <w:rFonts w:ascii="Times New Roman" w:hAnsi="Times New Roman"/>
          <w:sz w:val="20"/>
        </w:rPr>
        <w:t>take</w:t>
      </w:r>
      <w:r w:rsidR="008E667F">
        <w:rPr>
          <w:rFonts w:ascii="Times New Roman" w:hAnsi="Times New Roman"/>
          <w:sz w:val="20"/>
        </w:rPr>
        <w:t>s</w:t>
      </w:r>
      <w:r w:rsidR="003D113D">
        <w:rPr>
          <w:rFonts w:ascii="Times New Roman" w:hAnsi="Times New Roman"/>
          <w:sz w:val="20"/>
        </w:rPr>
        <w:t xml:space="preserve"> into account the </w:t>
      </w:r>
      <w:r w:rsidR="003D113D" w:rsidRPr="003D113D">
        <w:rPr>
          <w:rFonts w:ascii="Times New Roman" w:hAnsi="Times New Roman"/>
          <w:sz w:val="20"/>
        </w:rPr>
        <w:t xml:space="preserve">requirements </w:t>
      </w:r>
      <w:r w:rsidR="003D113D">
        <w:rPr>
          <w:rFonts w:ascii="Times New Roman" w:hAnsi="Times New Roman"/>
          <w:sz w:val="20"/>
        </w:rPr>
        <w:t xml:space="preserve">that were </w:t>
      </w:r>
      <w:r w:rsidR="003D113D" w:rsidRPr="003D113D">
        <w:rPr>
          <w:rFonts w:ascii="Times New Roman" w:hAnsi="Times New Roman"/>
          <w:sz w:val="20"/>
        </w:rPr>
        <w:t>eliminated from this information collection from the NPRM stage to the final rulemaking stage (final approval).</w:t>
      </w:r>
      <w:r w:rsidR="008E667F">
        <w:rPr>
          <w:rFonts w:ascii="Times New Roman" w:hAnsi="Times New Roman"/>
          <w:sz w:val="20"/>
        </w:rPr>
        <w:t xml:space="preserve">  The </w:t>
      </w:r>
      <w:r w:rsidR="008E667F" w:rsidRPr="002E2291">
        <w:rPr>
          <w:rFonts w:ascii="Times New Roman" w:hAnsi="Times New Roman"/>
          <w:sz w:val="20"/>
        </w:rPr>
        <w:t>Commission is now seeking OMB final approval for the collection.</w:t>
      </w:r>
    </w:p>
  </w:footnote>
  <w:footnote w:id="2">
    <w:p w14:paraId="25E3C4EA" w14:textId="597EE806" w:rsidR="002E2291" w:rsidRPr="006C1A2D" w:rsidRDefault="002E2291">
      <w:pPr>
        <w:pStyle w:val="FootnoteText"/>
        <w:rPr>
          <w:rFonts w:ascii="Times New Roman" w:hAnsi="Times New Roman"/>
          <w:sz w:val="20"/>
        </w:rPr>
      </w:pPr>
      <w:r w:rsidRPr="006C1A2D">
        <w:rPr>
          <w:rStyle w:val="FootnoteReference"/>
          <w:rFonts w:ascii="Times New Roman" w:hAnsi="Times New Roman"/>
          <w:sz w:val="20"/>
        </w:rPr>
        <w:footnoteRef/>
      </w:r>
      <w:r w:rsidRPr="006C1A2D">
        <w:rPr>
          <w:rFonts w:ascii="Times New Roman" w:hAnsi="Times New Roman"/>
          <w:sz w:val="20"/>
        </w:rPr>
        <w:t xml:space="preserve"> </w:t>
      </w:r>
      <w:r w:rsidR="00A37EB3" w:rsidRPr="006C1A2D">
        <w:rPr>
          <w:rFonts w:ascii="Times New Roman" w:hAnsi="Times New Roman"/>
          <w:sz w:val="20"/>
        </w:rPr>
        <w:t>Sections 1.991(a)-(k) were numbered 1.991(a)-(i) in the proposed rules</w:t>
      </w:r>
      <w:r w:rsidR="009C009C" w:rsidRPr="006C1A2D">
        <w:rPr>
          <w:rFonts w:ascii="Times New Roman" w:hAnsi="Times New Roman"/>
          <w:sz w:val="20"/>
        </w:rPr>
        <w:t xml:space="preserve">.  </w:t>
      </w:r>
      <w:r w:rsidR="008D3B88" w:rsidRPr="006C1A2D">
        <w:rPr>
          <w:rFonts w:ascii="Times New Roman" w:hAnsi="Times New Roman"/>
          <w:sz w:val="20"/>
        </w:rPr>
        <w:t>Section 1.994(d) covers post-closing notifications of certain corporate reorganizations</w:t>
      </w:r>
      <w:r w:rsidR="00093A13" w:rsidRPr="006C1A2D">
        <w:rPr>
          <w:rFonts w:ascii="Times New Roman" w:hAnsi="Times New Roman"/>
          <w:sz w:val="20"/>
        </w:rPr>
        <w:t xml:space="preserve"> (see response to question 1</w:t>
      </w:r>
      <w:r w:rsidR="00E2598E" w:rsidRPr="006C1A2D">
        <w:rPr>
          <w:rFonts w:ascii="Times New Roman" w:hAnsi="Times New Roman"/>
          <w:sz w:val="20"/>
        </w:rPr>
        <w:t>)</w:t>
      </w:r>
      <w:r w:rsidR="008D3B88" w:rsidRPr="006C1A2D">
        <w:rPr>
          <w:rFonts w:ascii="Times New Roman" w:hAnsi="Times New Roman"/>
          <w:sz w:val="20"/>
        </w:rPr>
        <w:t xml:space="preserve">.  </w:t>
      </w:r>
      <w:r w:rsidR="00A778D8" w:rsidRPr="006C1A2D">
        <w:rPr>
          <w:rFonts w:ascii="Times New Roman" w:hAnsi="Times New Roman"/>
          <w:sz w:val="20"/>
        </w:rPr>
        <w:t>The final rules will permit a</w:t>
      </w:r>
      <w:r w:rsidR="00E2598E" w:rsidRPr="006C1A2D">
        <w:rPr>
          <w:rFonts w:ascii="Times New Roman" w:hAnsi="Times New Roman"/>
          <w:sz w:val="20"/>
        </w:rPr>
        <w:t xml:space="preserve"> licensee </w:t>
      </w:r>
      <w:r w:rsidR="00A778D8" w:rsidRPr="006C1A2D">
        <w:rPr>
          <w:rFonts w:ascii="Times New Roman" w:hAnsi="Times New Roman"/>
          <w:sz w:val="20"/>
        </w:rPr>
        <w:t xml:space="preserve">to </w:t>
      </w:r>
      <w:r w:rsidR="00E2598E" w:rsidRPr="006C1A2D">
        <w:rPr>
          <w:rFonts w:ascii="Times New Roman" w:hAnsi="Times New Roman"/>
          <w:sz w:val="20"/>
        </w:rPr>
        <w:t xml:space="preserve">file a </w:t>
      </w:r>
      <w:r w:rsidR="00A778D8" w:rsidRPr="006C1A2D">
        <w:rPr>
          <w:rFonts w:ascii="Times New Roman" w:hAnsi="Times New Roman"/>
          <w:sz w:val="20"/>
        </w:rPr>
        <w:t xml:space="preserve">post-closing </w:t>
      </w:r>
      <w:r w:rsidR="00E2598E" w:rsidRPr="006C1A2D">
        <w:rPr>
          <w:rFonts w:ascii="Times New Roman" w:hAnsi="Times New Roman"/>
          <w:sz w:val="20"/>
        </w:rPr>
        <w:t xml:space="preserve">notification </w:t>
      </w:r>
      <w:r w:rsidR="00A778D8" w:rsidRPr="006C1A2D">
        <w:rPr>
          <w:rFonts w:ascii="Times New Roman" w:hAnsi="Times New Roman"/>
          <w:sz w:val="20"/>
        </w:rPr>
        <w:t xml:space="preserve">letter </w:t>
      </w:r>
      <w:r w:rsidR="00E2598E" w:rsidRPr="006C1A2D">
        <w:rPr>
          <w:rFonts w:ascii="Times New Roman" w:hAnsi="Times New Roman"/>
          <w:sz w:val="20"/>
        </w:rPr>
        <w:t xml:space="preserve">rather than </w:t>
      </w:r>
      <w:r w:rsidR="00A778D8" w:rsidRPr="006C1A2D">
        <w:rPr>
          <w:rFonts w:ascii="Times New Roman" w:hAnsi="Times New Roman"/>
          <w:sz w:val="20"/>
        </w:rPr>
        <w:t>filing a petition for pre-approval of the reorganization</w:t>
      </w:r>
      <w:r w:rsidR="00E2598E" w:rsidRPr="006C1A2D">
        <w:rPr>
          <w:rFonts w:ascii="Times New Roman" w:hAnsi="Times New Roman"/>
          <w:sz w:val="20"/>
        </w:rPr>
        <w:t>.</w:t>
      </w:r>
      <w:r w:rsidR="00974253" w:rsidRPr="006C1A2D">
        <w:rPr>
          <w:rFonts w:ascii="Times New Roman" w:hAnsi="Times New Roman"/>
          <w:sz w:val="20"/>
        </w:rPr>
        <w:t xml:space="preserve"> </w:t>
      </w:r>
    </w:p>
  </w:footnote>
  <w:footnote w:id="3">
    <w:p w14:paraId="424F783F" w14:textId="74981833" w:rsidR="000A7FCF" w:rsidRDefault="000A7FCF">
      <w:pPr>
        <w:pStyle w:val="FootnoteText"/>
      </w:pPr>
      <w:r w:rsidRPr="006C1A2D">
        <w:rPr>
          <w:rStyle w:val="FootnoteReference"/>
          <w:rFonts w:ascii="Times New Roman" w:hAnsi="Times New Roman"/>
          <w:sz w:val="20"/>
        </w:rPr>
        <w:footnoteRef/>
      </w:r>
      <w:r w:rsidR="002E2291" w:rsidRPr="006C1A2D">
        <w:rPr>
          <w:rFonts w:ascii="Times New Roman" w:hAnsi="Times New Roman"/>
          <w:sz w:val="20"/>
        </w:rPr>
        <w:t xml:space="preserve"> Section 1.994(f)(1) was numbered 1.994(g)(</w:t>
      </w:r>
      <w:r w:rsidR="00A37EB3" w:rsidRPr="006C1A2D">
        <w:rPr>
          <w:rFonts w:ascii="Times New Roman" w:hAnsi="Times New Roman"/>
          <w:sz w:val="20"/>
        </w:rPr>
        <w:t>2</w:t>
      </w:r>
      <w:r w:rsidR="002E2291" w:rsidRPr="006C1A2D">
        <w:rPr>
          <w:rFonts w:ascii="Times New Roman" w:hAnsi="Times New Roman"/>
          <w:sz w:val="20"/>
        </w:rPr>
        <w:t>) in the proposed rules</w:t>
      </w:r>
      <w:r w:rsidR="00A37EB3" w:rsidRPr="006C1A2D">
        <w:rPr>
          <w:rFonts w:ascii="Times New Roman" w:hAnsi="Times New Roman"/>
          <w:sz w:val="20"/>
        </w:rPr>
        <w:t>.</w:t>
      </w:r>
      <w:r>
        <w:t xml:space="preserve"> </w:t>
      </w:r>
    </w:p>
  </w:footnote>
  <w:footnote w:id="4">
    <w:p w14:paraId="3C04E324" w14:textId="77777777" w:rsidR="00E56B16" w:rsidRPr="005C1C6D" w:rsidRDefault="00E56B16">
      <w:pPr>
        <w:pStyle w:val="FootnoteText"/>
        <w:rPr>
          <w:rFonts w:ascii="Times New Roman" w:hAnsi="Times New Roman"/>
          <w:sz w:val="20"/>
        </w:rPr>
      </w:pPr>
      <w:r w:rsidRPr="005C1C6D">
        <w:rPr>
          <w:rStyle w:val="FootnoteReference"/>
          <w:sz w:val="20"/>
        </w:rPr>
        <w:footnoteRef/>
      </w:r>
      <w:r w:rsidRPr="005C1C6D">
        <w:rPr>
          <w:rFonts w:ascii="Times New Roman" w:hAnsi="Times New Roman"/>
          <w:sz w:val="20"/>
        </w:rPr>
        <w:t xml:space="preserve"> </w:t>
      </w:r>
      <w:r w:rsidRPr="005C1C6D">
        <w:rPr>
          <w:rFonts w:ascii="Times New Roman" w:hAnsi="Times New Roman"/>
          <w:i/>
          <w:sz w:val="20"/>
        </w:rPr>
        <w:t>See</w:t>
      </w:r>
      <w:r w:rsidRPr="005C1C6D">
        <w:rPr>
          <w:rFonts w:ascii="Times New Roman" w:hAnsi="Times New Roman"/>
          <w:sz w:val="20"/>
        </w:rPr>
        <w:t xml:space="preserve"> question 12 for the respondent’s burden.</w:t>
      </w:r>
    </w:p>
  </w:footnote>
  <w:footnote w:id="5">
    <w:p w14:paraId="64CF114C" w14:textId="78EA8A93" w:rsidR="003E2CAB" w:rsidRPr="007530D0" w:rsidRDefault="003E2CAB">
      <w:pPr>
        <w:pStyle w:val="FootnoteText"/>
        <w:rPr>
          <w:rFonts w:ascii="Times New Roman" w:hAnsi="Times New Roman"/>
          <w:sz w:val="20"/>
        </w:rPr>
      </w:pPr>
      <w:r w:rsidRPr="007530D0">
        <w:rPr>
          <w:rStyle w:val="FootnoteReference"/>
          <w:rFonts w:ascii="Times New Roman" w:hAnsi="Times New Roman"/>
          <w:sz w:val="20"/>
        </w:rPr>
        <w:footnoteRef/>
      </w:r>
      <w:r w:rsidR="007530D0">
        <w:rPr>
          <w:rFonts w:ascii="Times New Roman" w:hAnsi="Times New Roman"/>
          <w:sz w:val="20"/>
        </w:rPr>
        <w:t xml:space="preserve"> </w:t>
      </w:r>
      <w:r w:rsidR="007530D0" w:rsidRPr="007530D0">
        <w:rPr>
          <w:rFonts w:ascii="Times New Roman" w:hAnsi="Times New Roman"/>
          <w:sz w:val="20"/>
        </w:rPr>
        <w:t>Th</w:t>
      </w:r>
      <w:r w:rsidR="007530D0">
        <w:rPr>
          <w:rFonts w:ascii="Times New Roman" w:hAnsi="Times New Roman"/>
          <w:sz w:val="20"/>
        </w:rPr>
        <w:t>e</w:t>
      </w:r>
      <w:r w:rsidR="007530D0" w:rsidRPr="007530D0">
        <w:rPr>
          <w:rFonts w:ascii="Times New Roman" w:hAnsi="Times New Roman"/>
          <w:sz w:val="20"/>
        </w:rPr>
        <w:t xml:space="preserve"> amended </w:t>
      </w:r>
      <w:r w:rsidR="007530D0">
        <w:rPr>
          <w:rFonts w:ascii="Times New Roman" w:hAnsi="Times New Roman"/>
          <w:sz w:val="20"/>
        </w:rPr>
        <w:t>cost</w:t>
      </w:r>
      <w:r w:rsidR="007530D0" w:rsidRPr="007530D0">
        <w:rPr>
          <w:rFonts w:ascii="Times New Roman" w:hAnsi="Times New Roman"/>
          <w:sz w:val="20"/>
        </w:rPr>
        <w:t xml:space="preserve"> for this collection takes into account the requirements that were eliminated from this information collection from the NPRM stage to the final rulemaking stage (final approval).  The Commission is now seeking OMB final approval for the collection.</w:t>
      </w:r>
      <w:r w:rsidRPr="007530D0">
        <w:rPr>
          <w:rFonts w:ascii="Times New Roman" w:hAnsi="Times New Roman"/>
          <w:sz w:val="20"/>
        </w:rPr>
        <w:t xml:space="preserve"> </w:t>
      </w:r>
    </w:p>
  </w:footnote>
  <w:footnote w:id="6">
    <w:p w14:paraId="44C04AF2" w14:textId="77777777" w:rsidR="004C6825" w:rsidRPr="006C1A2D" w:rsidRDefault="004C6825" w:rsidP="004C6825">
      <w:pPr>
        <w:pStyle w:val="FootnoteText"/>
        <w:rPr>
          <w:rFonts w:ascii="Times New Roman" w:hAnsi="Times New Roman"/>
          <w:sz w:val="20"/>
        </w:rPr>
      </w:pPr>
      <w:r w:rsidRPr="006C1A2D">
        <w:rPr>
          <w:rStyle w:val="FootnoteReference"/>
          <w:rFonts w:ascii="Times New Roman" w:hAnsi="Times New Roman"/>
          <w:sz w:val="20"/>
        </w:rPr>
        <w:footnoteRef/>
      </w:r>
      <w:r w:rsidRPr="006C1A2D">
        <w:rPr>
          <w:rFonts w:ascii="Times New Roman" w:hAnsi="Times New Roman"/>
          <w:sz w:val="20"/>
        </w:rPr>
        <w:t xml:space="preserve"> Sections 1.991(a)-(k) were numbered 1.991(a)-(i) in the proposed rules.  Section 1.994(d) covers post-closing notifications of certain corporate reorganizations (see response to question 1).  The final rules will permit a licensee to file a post-closing notification letter rather than filing a petition for pre-approval of the reorganization. </w:t>
      </w:r>
    </w:p>
  </w:footnote>
  <w:footnote w:id="7">
    <w:p w14:paraId="3192C0CF" w14:textId="09E55D8F" w:rsidR="003232E4" w:rsidRPr="00093A13" w:rsidRDefault="003232E4">
      <w:pPr>
        <w:pStyle w:val="FootnoteText"/>
        <w:rPr>
          <w:rFonts w:ascii="Times New Roman" w:hAnsi="Times New Roman"/>
          <w:sz w:val="20"/>
        </w:rPr>
      </w:pPr>
      <w:r w:rsidRPr="00093A13">
        <w:rPr>
          <w:rStyle w:val="FootnoteReference"/>
          <w:rFonts w:ascii="Times New Roman" w:hAnsi="Times New Roman"/>
          <w:sz w:val="20"/>
        </w:rPr>
        <w:footnoteRef/>
      </w:r>
      <w:r w:rsidRPr="00093A13">
        <w:rPr>
          <w:rFonts w:ascii="Times New Roman" w:hAnsi="Times New Roman"/>
          <w:sz w:val="20"/>
        </w:rPr>
        <w:t xml:space="preserve"> </w:t>
      </w:r>
      <w:r w:rsidRPr="004C6825">
        <w:rPr>
          <w:rFonts w:ascii="Times New Roman" w:hAnsi="Times New Roman"/>
          <w:sz w:val="20"/>
        </w:rPr>
        <w:t>Section 1.994(f)(1) was numbered 1.994(g)(2) in the proposed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1E228" w14:textId="63EAC087" w:rsidR="008E469D" w:rsidRPr="008517E0" w:rsidRDefault="008E469D" w:rsidP="008E469D">
    <w:pPr>
      <w:pStyle w:val="Header"/>
      <w:rPr>
        <w:b/>
      </w:rPr>
    </w:pPr>
    <w:r w:rsidRPr="008517E0">
      <w:rPr>
        <w:b/>
      </w:rPr>
      <w:t>OMB Control Number:  3060-</w:t>
    </w:r>
    <w:r>
      <w:rPr>
        <w:b/>
      </w:rPr>
      <w:t>1163</w:t>
    </w:r>
    <w:r w:rsidRPr="008517E0">
      <w:rPr>
        <w:b/>
      </w:rPr>
      <w:tab/>
    </w:r>
    <w:r w:rsidRPr="008517E0">
      <w:rPr>
        <w:b/>
      </w:rPr>
      <w:tab/>
    </w:r>
    <w:r>
      <w:rPr>
        <w:b/>
      </w:rPr>
      <w:t>July 2015</w:t>
    </w:r>
  </w:p>
  <w:p w14:paraId="65EDEB53" w14:textId="77777777" w:rsidR="008E469D" w:rsidRDefault="008E469D" w:rsidP="008E469D">
    <w:pPr>
      <w:pStyle w:val="Header"/>
      <w:rPr>
        <w:b/>
      </w:rPr>
    </w:pPr>
    <w:r w:rsidRPr="008517E0">
      <w:rPr>
        <w:b/>
      </w:rPr>
      <w:t xml:space="preserve">Title: </w:t>
    </w:r>
    <w:r>
      <w:rPr>
        <w:b/>
      </w:rPr>
      <w:t xml:space="preserve">Regulations Applicable to Common Carrier </w:t>
    </w:r>
  </w:p>
  <w:p w14:paraId="7369C456" w14:textId="77777777" w:rsidR="008E469D" w:rsidRDefault="008E469D" w:rsidP="008E469D">
    <w:pPr>
      <w:pStyle w:val="Header"/>
      <w:rPr>
        <w:b/>
      </w:rPr>
    </w:pPr>
    <w:r>
      <w:rPr>
        <w:b/>
      </w:rPr>
      <w:t xml:space="preserve">and Aeronautical Radio Licensees Under Section 310(b)(4) </w:t>
    </w:r>
  </w:p>
  <w:p w14:paraId="3B9E1ABE" w14:textId="77777777" w:rsidR="008E469D" w:rsidRPr="008517E0" w:rsidRDefault="008E469D" w:rsidP="008E469D">
    <w:pPr>
      <w:pStyle w:val="Header"/>
      <w:rPr>
        <w:b/>
      </w:rPr>
    </w:pPr>
    <w:r>
      <w:rPr>
        <w:b/>
      </w:rPr>
      <w:t>of the Communications Act of 1934, as amended</w:t>
    </w:r>
    <w:r w:rsidRPr="008517E0">
      <w:rPr>
        <w:b/>
      </w:rPr>
      <w:t xml:space="preserve"> </w:t>
    </w:r>
  </w:p>
  <w:p w14:paraId="3B74BC79" w14:textId="77777777" w:rsidR="008E469D" w:rsidRDefault="008E469D" w:rsidP="008E469D">
    <w:pPr>
      <w:pStyle w:val="Header"/>
    </w:pPr>
  </w:p>
  <w:p w14:paraId="086F3272" w14:textId="77777777" w:rsidR="008E469D" w:rsidRDefault="008E469D" w:rsidP="008E4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C3C1F" w14:textId="5198EE3E" w:rsidR="00E56B16" w:rsidRPr="008517E0" w:rsidRDefault="00E56B16" w:rsidP="00992158">
    <w:pPr>
      <w:pStyle w:val="Header"/>
      <w:rPr>
        <w:b/>
      </w:rPr>
    </w:pPr>
    <w:r w:rsidRPr="008517E0">
      <w:rPr>
        <w:b/>
      </w:rPr>
      <w:t>OMB Control Number:  3060-</w:t>
    </w:r>
    <w:r>
      <w:rPr>
        <w:b/>
      </w:rPr>
      <w:t>1163</w:t>
    </w:r>
    <w:r w:rsidRPr="008517E0">
      <w:rPr>
        <w:b/>
      </w:rPr>
      <w:tab/>
    </w:r>
    <w:r w:rsidRPr="008517E0">
      <w:rPr>
        <w:b/>
      </w:rPr>
      <w:tab/>
    </w:r>
    <w:r w:rsidR="00B06C82">
      <w:rPr>
        <w:b/>
      </w:rPr>
      <w:t xml:space="preserve">September </w:t>
    </w:r>
    <w:r w:rsidR="009761D7">
      <w:rPr>
        <w:b/>
      </w:rPr>
      <w:t>2015</w:t>
    </w:r>
  </w:p>
  <w:p w14:paraId="3BD1120B" w14:textId="77777777" w:rsidR="009761D7" w:rsidRDefault="00E56B16" w:rsidP="00992158">
    <w:pPr>
      <w:pStyle w:val="Header"/>
      <w:rPr>
        <w:b/>
      </w:rPr>
    </w:pPr>
    <w:r w:rsidRPr="008517E0">
      <w:rPr>
        <w:b/>
      </w:rPr>
      <w:t xml:space="preserve">Title: </w:t>
    </w:r>
    <w:r>
      <w:rPr>
        <w:b/>
      </w:rPr>
      <w:t xml:space="preserve">Regulations Applicable to Common Carrier </w:t>
    </w:r>
  </w:p>
  <w:p w14:paraId="576E34E2" w14:textId="77777777" w:rsidR="009761D7" w:rsidRDefault="00E56B16" w:rsidP="00992158">
    <w:pPr>
      <w:pStyle w:val="Header"/>
      <w:rPr>
        <w:b/>
      </w:rPr>
    </w:pPr>
    <w:r>
      <w:rPr>
        <w:b/>
      </w:rPr>
      <w:t xml:space="preserve">and Aeronautical Radio Licensees Under Section 310(b)(4) </w:t>
    </w:r>
  </w:p>
  <w:p w14:paraId="4A1B410F" w14:textId="39EFB963" w:rsidR="00E56B16" w:rsidRPr="008517E0" w:rsidRDefault="00E56B16" w:rsidP="00992158">
    <w:pPr>
      <w:pStyle w:val="Header"/>
      <w:rPr>
        <w:b/>
      </w:rPr>
    </w:pPr>
    <w:r>
      <w:rPr>
        <w:b/>
      </w:rPr>
      <w:t>of the Communications Act of 1934, as amended</w:t>
    </w:r>
    <w:r w:rsidRPr="008517E0">
      <w:rPr>
        <w:b/>
      </w:rPr>
      <w:t xml:space="preserve"> </w:t>
    </w:r>
  </w:p>
  <w:p w14:paraId="129BC773" w14:textId="77777777" w:rsidR="00E56B16" w:rsidRDefault="00E56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2615"/>
    <w:multiLevelType w:val="hybridMultilevel"/>
    <w:tmpl w:val="78ACC6C2"/>
    <w:lvl w:ilvl="0" w:tplc="076C1A7C">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AE7E2D"/>
    <w:multiLevelType w:val="hybridMultilevel"/>
    <w:tmpl w:val="7B84E990"/>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C4798"/>
    <w:multiLevelType w:val="hybridMultilevel"/>
    <w:tmpl w:val="607869AE"/>
    <w:lvl w:ilvl="0" w:tplc="761EDF9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F14DA"/>
    <w:multiLevelType w:val="hybridMultilevel"/>
    <w:tmpl w:val="488A4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E626F4D"/>
    <w:multiLevelType w:val="hybridMultilevel"/>
    <w:tmpl w:val="5366FB48"/>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310CA"/>
    <w:multiLevelType w:val="hybridMultilevel"/>
    <w:tmpl w:val="ACE08B92"/>
    <w:lvl w:ilvl="0" w:tplc="AA528396">
      <w:start w:val="2"/>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483185"/>
    <w:multiLevelType w:val="hybridMultilevel"/>
    <w:tmpl w:val="7A72DF72"/>
    <w:lvl w:ilvl="0" w:tplc="DC5689D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AE3A16"/>
    <w:multiLevelType w:val="hybridMultilevel"/>
    <w:tmpl w:val="D5662660"/>
    <w:lvl w:ilvl="0" w:tplc="5A0C11A2">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860DBB"/>
    <w:multiLevelType w:val="hybridMultilevel"/>
    <w:tmpl w:val="7F066D8C"/>
    <w:lvl w:ilvl="0" w:tplc="C598DE44">
      <w:start w:val="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FF7804"/>
    <w:multiLevelType w:val="hybridMultilevel"/>
    <w:tmpl w:val="965EF89A"/>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29599B"/>
    <w:multiLevelType w:val="hybridMultilevel"/>
    <w:tmpl w:val="5AFE1526"/>
    <w:lvl w:ilvl="0" w:tplc="0EF8B9FA">
      <w:start w:val="1"/>
      <w:numFmt w:val="lowerLetter"/>
      <w:lvlText w:val="(%1)"/>
      <w:lvlJc w:val="left"/>
      <w:pPr>
        <w:tabs>
          <w:tab w:val="num" w:pos="735"/>
        </w:tabs>
        <w:ind w:left="735" w:hanging="375"/>
      </w:pPr>
      <w:rPr>
        <w:rFonts w:hint="default"/>
      </w:rPr>
    </w:lvl>
    <w:lvl w:ilvl="1" w:tplc="55809E02" w:tentative="1">
      <w:start w:val="1"/>
      <w:numFmt w:val="lowerLetter"/>
      <w:lvlText w:val="%2."/>
      <w:lvlJc w:val="left"/>
      <w:pPr>
        <w:tabs>
          <w:tab w:val="num" w:pos="1440"/>
        </w:tabs>
        <w:ind w:left="1440" w:hanging="360"/>
      </w:pPr>
    </w:lvl>
    <w:lvl w:ilvl="2" w:tplc="48AC5BBA" w:tentative="1">
      <w:start w:val="1"/>
      <w:numFmt w:val="lowerRoman"/>
      <w:lvlText w:val="%3."/>
      <w:lvlJc w:val="right"/>
      <w:pPr>
        <w:tabs>
          <w:tab w:val="num" w:pos="2160"/>
        </w:tabs>
        <w:ind w:left="2160" w:hanging="180"/>
      </w:pPr>
    </w:lvl>
    <w:lvl w:ilvl="3" w:tplc="539CFF82" w:tentative="1">
      <w:start w:val="1"/>
      <w:numFmt w:val="decimal"/>
      <w:lvlText w:val="%4."/>
      <w:lvlJc w:val="left"/>
      <w:pPr>
        <w:tabs>
          <w:tab w:val="num" w:pos="2880"/>
        </w:tabs>
        <w:ind w:left="2880" w:hanging="360"/>
      </w:pPr>
    </w:lvl>
    <w:lvl w:ilvl="4" w:tplc="E2927EE2" w:tentative="1">
      <w:start w:val="1"/>
      <w:numFmt w:val="lowerLetter"/>
      <w:lvlText w:val="%5."/>
      <w:lvlJc w:val="left"/>
      <w:pPr>
        <w:tabs>
          <w:tab w:val="num" w:pos="3600"/>
        </w:tabs>
        <w:ind w:left="3600" w:hanging="360"/>
      </w:pPr>
    </w:lvl>
    <w:lvl w:ilvl="5" w:tplc="2098BC06" w:tentative="1">
      <w:start w:val="1"/>
      <w:numFmt w:val="lowerRoman"/>
      <w:lvlText w:val="%6."/>
      <w:lvlJc w:val="right"/>
      <w:pPr>
        <w:tabs>
          <w:tab w:val="num" w:pos="4320"/>
        </w:tabs>
        <w:ind w:left="4320" w:hanging="180"/>
      </w:pPr>
    </w:lvl>
    <w:lvl w:ilvl="6" w:tplc="B17C98FC" w:tentative="1">
      <w:start w:val="1"/>
      <w:numFmt w:val="decimal"/>
      <w:lvlText w:val="%7."/>
      <w:lvlJc w:val="left"/>
      <w:pPr>
        <w:tabs>
          <w:tab w:val="num" w:pos="5040"/>
        </w:tabs>
        <w:ind w:left="5040" w:hanging="360"/>
      </w:pPr>
    </w:lvl>
    <w:lvl w:ilvl="7" w:tplc="88FCA57E" w:tentative="1">
      <w:start w:val="1"/>
      <w:numFmt w:val="lowerLetter"/>
      <w:lvlText w:val="%8."/>
      <w:lvlJc w:val="left"/>
      <w:pPr>
        <w:tabs>
          <w:tab w:val="num" w:pos="5760"/>
        </w:tabs>
        <w:ind w:left="5760" w:hanging="360"/>
      </w:pPr>
    </w:lvl>
    <w:lvl w:ilvl="8" w:tplc="509A99CA" w:tentative="1">
      <w:start w:val="1"/>
      <w:numFmt w:val="lowerRoman"/>
      <w:lvlText w:val="%9."/>
      <w:lvlJc w:val="right"/>
      <w:pPr>
        <w:tabs>
          <w:tab w:val="num" w:pos="6480"/>
        </w:tabs>
        <w:ind w:left="6480" w:hanging="180"/>
      </w:pPr>
    </w:lvl>
  </w:abstractNum>
  <w:abstractNum w:abstractNumId="12" w15:restartNumberingAfterBreak="0">
    <w:nsid w:val="6F24090E"/>
    <w:multiLevelType w:val="hybridMultilevel"/>
    <w:tmpl w:val="E3942250"/>
    <w:lvl w:ilvl="0" w:tplc="364EA3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8358C5"/>
    <w:multiLevelType w:val="hybridMultilevel"/>
    <w:tmpl w:val="A25AE0EA"/>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87C48"/>
    <w:multiLevelType w:val="hybridMultilevel"/>
    <w:tmpl w:val="376A686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6112D44"/>
    <w:multiLevelType w:val="hybridMultilevel"/>
    <w:tmpl w:val="642EA4EE"/>
    <w:lvl w:ilvl="0" w:tplc="6DD4FF30">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9835AC"/>
    <w:multiLevelType w:val="hybridMultilevel"/>
    <w:tmpl w:val="F11A1060"/>
    <w:lvl w:ilvl="0" w:tplc="761EDF92">
      <w:start w:val="1"/>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4"/>
  </w:num>
  <w:num w:numId="4">
    <w:abstractNumId w:val="9"/>
  </w:num>
  <w:num w:numId="5">
    <w:abstractNumId w:val="12"/>
  </w:num>
  <w:num w:numId="6">
    <w:abstractNumId w:val="8"/>
  </w:num>
  <w:num w:numId="7">
    <w:abstractNumId w:val="14"/>
  </w:num>
  <w:num w:numId="8">
    <w:abstractNumId w:val="6"/>
  </w:num>
  <w:num w:numId="9">
    <w:abstractNumId w:val="15"/>
  </w:num>
  <w:num w:numId="10">
    <w:abstractNumId w:val="0"/>
  </w:num>
  <w:num w:numId="11">
    <w:abstractNumId w:val="16"/>
  </w:num>
  <w:num w:numId="12">
    <w:abstractNumId w:val="2"/>
  </w:num>
  <w:num w:numId="13">
    <w:abstractNumId w:val="10"/>
  </w:num>
  <w:num w:numId="14">
    <w:abstractNumId w:val="5"/>
  </w:num>
  <w:num w:numId="15">
    <w:abstractNumId w:val="1"/>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86"/>
    <w:rsid w:val="00002589"/>
    <w:rsid w:val="00091213"/>
    <w:rsid w:val="00093A13"/>
    <w:rsid w:val="000A7FCF"/>
    <w:rsid w:val="00160828"/>
    <w:rsid w:val="00164024"/>
    <w:rsid w:val="001B0398"/>
    <w:rsid w:val="001D16EA"/>
    <w:rsid w:val="00235754"/>
    <w:rsid w:val="00271F52"/>
    <w:rsid w:val="00272150"/>
    <w:rsid w:val="00280CFD"/>
    <w:rsid w:val="00284C13"/>
    <w:rsid w:val="002B6D62"/>
    <w:rsid w:val="002C7C9A"/>
    <w:rsid w:val="002E2291"/>
    <w:rsid w:val="003232E4"/>
    <w:rsid w:val="00325AEA"/>
    <w:rsid w:val="00352D96"/>
    <w:rsid w:val="003627D7"/>
    <w:rsid w:val="003D113D"/>
    <w:rsid w:val="003D1B40"/>
    <w:rsid w:val="003E2CAB"/>
    <w:rsid w:val="00451438"/>
    <w:rsid w:val="004C6825"/>
    <w:rsid w:val="00531397"/>
    <w:rsid w:val="005559AF"/>
    <w:rsid w:val="005C09C5"/>
    <w:rsid w:val="005F3826"/>
    <w:rsid w:val="005F6666"/>
    <w:rsid w:val="00674BF5"/>
    <w:rsid w:val="006B56C9"/>
    <w:rsid w:val="006C1A2D"/>
    <w:rsid w:val="006D7497"/>
    <w:rsid w:val="007172A2"/>
    <w:rsid w:val="00751398"/>
    <w:rsid w:val="007530D0"/>
    <w:rsid w:val="007E05FD"/>
    <w:rsid w:val="0081600F"/>
    <w:rsid w:val="008673C3"/>
    <w:rsid w:val="0088217F"/>
    <w:rsid w:val="008D1DE5"/>
    <w:rsid w:val="008D3B88"/>
    <w:rsid w:val="008E469D"/>
    <w:rsid w:val="008E667F"/>
    <w:rsid w:val="00974253"/>
    <w:rsid w:val="009761D7"/>
    <w:rsid w:val="00992158"/>
    <w:rsid w:val="009A0153"/>
    <w:rsid w:val="009C009C"/>
    <w:rsid w:val="009D3EFC"/>
    <w:rsid w:val="009D5B5F"/>
    <w:rsid w:val="009F6780"/>
    <w:rsid w:val="00A343D0"/>
    <w:rsid w:val="00A37EB3"/>
    <w:rsid w:val="00A406E9"/>
    <w:rsid w:val="00A53ADF"/>
    <w:rsid w:val="00A778D8"/>
    <w:rsid w:val="00A96A2B"/>
    <w:rsid w:val="00AA7F3C"/>
    <w:rsid w:val="00AB3E82"/>
    <w:rsid w:val="00B06C82"/>
    <w:rsid w:val="00B447E7"/>
    <w:rsid w:val="00B7426A"/>
    <w:rsid w:val="00B9265A"/>
    <w:rsid w:val="00BE2886"/>
    <w:rsid w:val="00CA1E2C"/>
    <w:rsid w:val="00CF2C33"/>
    <w:rsid w:val="00CF5E43"/>
    <w:rsid w:val="00D65001"/>
    <w:rsid w:val="00D8316E"/>
    <w:rsid w:val="00DA5AB7"/>
    <w:rsid w:val="00DB3AE4"/>
    <w:rsid w:val="00DE6688"/>
    <w:rsid w:val="00DF1C1C"/>
    <w:rsid w:val="00E2598E"/>
    <w:rsid w:val="00E31537"/>
    <w:rsid w:val="00E32782"/>
    <w:rsid w:val="00E56B16"/>
    <w:rsid w:val="00E7741C"/>
    <w:rsid w:val="00E82D0E"/>
    <w:rsid w:val="00EC0C30"/>
    <w:rsid w:val="00EE2918"/>
    <w:rsid w:val="00F17842"/>
    <w:rsid w:val="00F65E36"/>
    <w:rsid w:val="00FA201E"/>
    <w:rsid w:val="00FC3D21"/>
    <w:rsid w:val="00FD2B82"/>
    <w:rsid w:val="00FF6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13DF2E5"/>
  <w14:defaultImageDpi w14:val="300"/>
  <w15:docId w15:val="{846475E8-68A5-4E97-B34D-B56BD8B0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93A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2886"/>
    <w:pPr>
      <w:tabs>
        <w:tab w:val="center" w:pos="4320"/>
        <w:tab w:val="right" w:pos="8640"/>
      </w:tabs>
    </w:pPr>
  </w:style>
  <w:style w:type="paragraph" w:styleId="Footer">
    <w:name w:val="footer"/>
    <w:basedOn w:val="Normal"/>
    <w:rsid w:val="00BE2886"/>
    <w:pPr>
      <w:tabs>
        <w:tab w:val="center" w:pos="4320"/>
        <w:tab w:val="right" w:pos="8640"/>
      </w:tabs>
    </w:pPr>
  </w:style>
  <w:style w:type="paragraph" w:styleId="BodyText2">
    <w:name w:val="Body Text 2"/>
    <w:basedOn w:val="Normal"/>
    <w:rsid w:val="004E522C"/>
    <w:pPr>
      <w:widowControl w:val="0"/>
      <w:suppressAutoHyphens/>
      <w:overflowPunct w:val="0"/>
      <w:autoSpaceDE w:val="0"/>
      <w:autoSpaceDN w:val="0"/>
      <w:adjustRightInd w:val="0"/>
      <w:spacing w:line="240" w:lineRule="atLeast"/>
      <w:jc w:val="both"/>
      <w:textAlignment w:val="baseline"/>
    </w:pPr>
    <w:rPr>
      <w:b/>
      <w:spacing w:val="-3"/>
      <w:szCs w:val="20"/>
    </w:rPr>
  </w:style>
  <w:style w:type="paragraph" w:customStyle="1" w:styleId="ParaNum">
    <w:name w:val="ParaNum"/>
    <w:basedOn w:val="Normal"/>
    <w:link w:val="ParaNumChar2"/>
    <w:rsid w:val="004E522C"/>
    <w:pPr>
      <w:widowControl w:val="0"/>
      <w:numPr>
        <w:numId w:val="3"/>
      </w:numPr>
      <w:tabs>
        <w:tab w:val="clear" w:pos="1080"/>
        <w:tab w:val="left" w:pos="1440"/>
      </w:tabs>
      <w:spacing w:after="220"/>
      <w:jc w:val="both"/>
    </w:pPr>
    <w:rPr>
      <w:sz w:val="22"/>
      <w:szCs w:val="20"/>
    </w:rPr>
  </w:style>
  <w:style w:type="character" w:styleId="FootnoteReference">
    <w:name w:val="footnote reference"/>
    <w:aliases w:val="Style 12,(NECG) Footnote Reference,Style 13,Appel note de bas de p,Style 124,fr,o,Style 3,FR,Style 17,Footnote Reference/,Style 6"/>
    <w:semiHidden/>
    <w:rsid w:val="008E3C0F"/>
    <w:rPr>
      <w:vertAlign w:val="superscript"/>
    </w:rPr>
  </w:style>
  <w:style w:type="character" w:customStyle="1" w:styleId="ParaNumChar2">
    <w:name w:val="ParaNum Char2"/>
    <w:link w:val="ParaNum"/>
    <w:rsid w:val="008E3C0F"/>
    <w:rPr>
      <w:sz w:val="22"/>
      <w:lang w:val="en-US" w:eastAsia="en-US" w:bidi="ar-SA"/>
    </w:rPr>
  </w:style>
  <w:style w:type="paragraph" w:styleId="FootnoteText">
    <w:name w:val="footnote text"/>
    <w:aliases w:val="ALTS FOOTNOTE,fn,Footnote Text Char,Footnote Text Char2 Char2,Footnote Text Char Char1 Char,Footnote Text Char2 Char2 Char Char,Footnote Text Char Char1 Char Char Char,Footnote Text Char1 Char1 Char Char Char Char,fn Char1"/>
    <w:basedOn w:val="Normal"/>
    <w:link w:val="FootnoteTextChar1"/>
    <w:semiHidden/>
    <w:rsid w:val="008E4EA6"/>
    <w:pPr>
      <w:widowControl w:val="0"/>
      <w:overflowPunct w:val="0"/>
      <w:autoSpaceDE w:val="0"/>
      <w:autoSpaceDN w:val="0"/>
      <w:adjustRightInd w:val="0"/>
      <w:textAlignment w:val="baseline"/>
    </w:pPr>
    <w:rPr>
      <w:rFonts w:ascii="Courier New" w:hAnsi="Courier New"/>
      <w:szCs w:val="20"/>
    </w:rPr>
  </w:style>
  <w:style w:type="table" w:styleId="TableGrid">
    <w:name w:val="Table Grid"/>
    <w:basedOn w:val="TableNormal"/>
    <w:rsid w:val="008E4EA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ALTS FOOTNOTE Char,fn Char,Footnote Text Char Char,Footnote Text Char2 Char2 Char,Footnote Text Char Char1 Char Char,Footnote Text Char2 Char2 Char Char Char,Footnote Text Char Char1 Char Char Char Char,fn Char1 Char"/>
    <w:link w:val="FootnoteText"/>
    <w:rsid w:val="008E4EA6"/>
    <w:rPr>
      <w:rFonts w:ascii="Courier New" w:hAnsi="Courier New"/>
      <w:sz w:val="24"/>
      <w:lang w:val="en-US" w:eastAsia="en-US" w:bidi="ar-SA"/>
    </w:rPr>
  </w:style>
  <w:style w:type="paragraph" w:styleId="BalloonText">
    <w:name w:val="Balloon Text"/>
    <w:basedOn w:val="Normal"/>
    <w:semiHidden/>
    <w:rsid w:val="001B5641"/>
    <w:rPr>
      <w:rFonts w:ascii="Tahoma" w:hAnsi="Tahoma" w:cs="Tahoma"/>
      <w:sz w:val="16"/>
      <w:szCs w:val="16"/>
    </w:rPr>
  </w:style>
  <w:style w:type="character" w:styleId="PageNumber">
    <w:name w:val="page number"/>
    <w:basedOn w:val="DefaultParagraphFont"/>
    <w:rsid w:val="00875540"/>
  </w:style>
  <w:style w:type="paragraph" w:styleId="ListParagraph">
    <w:name w:val="List Paragraph"/>
    <w:basedOn w:val="Normal"/>
    <w:uiPriority w:val="34"/>
    <w:qFormat/>
    <w:rsid w:val="000A7FCF"/>
    <w:pPr>
      <w:ind w:left="720"/>
      <w:contextualSpacing/>
    </w:pPr>
  </w:style>
  <w:style w:type="character" w:customStyle="1" w:styleId="Heading1Char">
    <w:name w:val="Heading 1 Char"/>
    <w:basedOn w:val="DefaultParagraphFont"/>
    <w:link w:val="Heading1"/>
    <w:uiPriority w:val="9"/>
    <w:rsid w:val="00093A13"/>
    <w:rPr>
      <w:rFonts w:asciiTheme="majorHAnsi" w:eastAsiaTheme="majorEastAsia" w:hAnsiTheme="majorHAnsi" w:cstheme="majorBidi"/>
      <w:b/>
      <w:bCs/>
      <w:color w:val="345A8A" w:themeColor="accent1" w:themeShade="B5"/>
      <w:sz w:val="32"/>
      <w:szCs w:val="32"/>
    </w:rPr>
  </w:style>
  <w:style w:type="character" w:customStyle="1" w:styleId="HeaderChar">
    <w:name w:val="Header Char"/>
    <w:basedOn w:val="DefaultParagraphFont"/>
    <w:link w:val="Header"/>
    <w:uiPriority w:val="99"/>
    <w:rsid w:val="00093A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4B699-B7CE-4E95-A9DF-CA50963C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1412</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frederick copes</dc:creator>
  <cp:lastModifiedBy>Cathy Williams</cp:lastModifiedBy>
  <cp:revision>5</cp:revision>
  <cp:lastPrinted>2013-06-05T12:59:00Z</cp:lastPrinted>
  <dcterms:created xsi:type="dcterms:W3CDTF">2015-07-29T19:54:00Z</dcterms:created>
  <dcterms:modified xsi:type="dcterms:W3CDTF">2015-10-06T12:34:00Z</dcterms:modified>
</cp:coreProperties>
</file>