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6255F" w14:textId="77777777" w:rsidR="00C340CB" w:rsidRDefault="00C340CB" w:rsidP="00C340CB">
      <w:pPr>
        <w:pStyle w:val="CM1"/>
        <w:spacing w:after="266"/>
        <w:rPr>
          <w:rFonts w:ascii="Times New Roman" w:hAnsi="Times New Roman"/>
          <w:b/>
          <w:bCs/>
          <w:u w:val="single"/>
        </w:rPr>
      </w:pPr>
      <w:bookmarkStart w:id="0" w:name="_GoBack"/>
      <w:bookmarkEnd w:id="0"/>
      <w:r w:rsidRPr="009F34D7">
        <w:rPr>
          <w:rFonts w:ascii="Times New Roman" w:hAnsi="Times New Roman"/>
          <w:b/>
          <w:bCs/>
          <w:u w:val="single"/>
        </w:rPr>
        <w:t>Direct Access to Numbers Order FCC 15-70 Conditions</w:t>
      </w:r>
    </w:p>
    <w:p w14:paraId="0BBBF21E" w14:textId="4F0462DC" w:rsidR="005D7F27" w:rsidRPr="009F34D7" w:rsidRDefault="00C340CB" w:rsidP="00C340CB">
      <w:pPr>
        <w:pStyle w:val="CM1"/>
        <w:jc w:val="right"/>
        <w:rPr>
          <w:rFonts w:ascii="Times New Roman" w:hAnsi="Times New Roman"/>
          <w:b/>
          <w:bCs/>
        </w:rPr>
      </w:pPr>
      <w:r w:rsidRPr="009F34D7">
        <w:rPr>
          <w:rFonts w:ascii="Times New Roman" w:hAnsi="Times New Roman"/>
          <w:b/>
          <w:bCs/>
        </w:rPr>
        <w:t xml:space="preserve"> </w:t>
      </w:r>
      <w:r w:rsidR="00F14CA6" w:rsidRPr="009F34D7">
        <w:rPr>
          <w:rFonts w:ascii="Times New Roman" w:hAnsi="Times New Roman"/>
          <w:b/>
          <w:bCs/>
        </w:rPr>
        <w:t>3060</w:t>
      </w:r>
      <w:r w:rsidR="009D4C36" w:rsidRPr="009F34D7">
        <w:rPr>
          <w:rFonts w:ascii="Times New Roman" w:hAnsi="Times New Roman"/>
          <w:b/>
          <w:bCs/>
        </w:rPr>
        <w:t>-XXXX</w:t>
      </w:r>
    </w:p>
    <w:p w14:paraId="44441AE0" w14:textId="77777777" w:rsidR="009D4C36" w:rsidRPr="009F34D7" w:rsidRDefault="00A974C6" w:rsidP="005D7F27">
      <w:pPr>
        <w:pStyle w:val="CM1"/>
        <w:jc w:val="right"/>
        <w:rPr>
          <w:rFonts w:ascii="Times New Roman" w:hAnsi="Times New Roman"/>
          <w:b/>
          <w:bCs/>
          <w:sz w:val="22"/>
          <w:szCs w:val="22"/>
        </w:rPr>
      </w:pPr>
      <w:r w:rsidRPr="009F34D7">
        <w:rPr>
          <w:rFonts w:ascii="Times New Roman" w:hAnsi="Times New Roman"/>
          <w:b/>
          <w:bCs/>
        </w:rPr>
        <w:t xml:space="preserve">November </w:t>
      </w:r>
      <w:r w:rsidR="005D7F27" w:rsidRPr="009F34D7">
        <w:rPr>
          <w:rFonts w:ascii="Times New Roman" w:hAnsi="Times New Roman"/>
          <w:b/>
          <w:bCs/>
        </w:rPr>
        <w:t>2015</w:t>
      </w:r>
    </w:p>
    <w:p w14:paraId="46F1E908" w14:textId="2AAFEAA9" w:rsidR="00C340CB" w:rsidRPr="00C340CB" w:rsidRDefault="00C340CB" w:rsidP="00C340CB">
      <w:pPr>
        <w:pStyle w:val="CM1"/>
        <w:spacing w:after="266"/>
        <w:rPr>
          <w:rFonts w:ascii="Times New Roman" w:hAnsi="Times New Roman"/>
          <w:b/>
          <w:bCs/>
          <w:u w:val="single"/>
        </w:rPr>
      </w:pPr>
    </w:p>
    <w:p w14:paraId="02D6856D" w14:textId="77777777" w:rsidR="001E1B53" w:rsidRPr="009F34D7" w:rsidRDefault="001E1B53" w:rsidP="001E1B53">
      <w:pPr>
        <w:pStyle w:val="CM1"/>
        <w:spacing w:after="266"/>
        <w:jc w:val="center"/>
        <w:rPr>
          <w:rFonts w:ascii="Times New Roman" w:hAnsi="Times New Roman"/>
          <w:b/>
          <w:bCs/>
          <w:u w:val="single"/>
        </w:rPr>
      </w:pPr>
      <w:r w:rsidRPr="009F34D7">
        <w:rPr>
          <w:rFonts w:ascii="Times New Roman" w:hAnsi="Times New Roman"/>
          <w:b/>
          <w:bCs/>
          <w:u w:val="single"/>
        </w:rPr>
        <w:t xml:space="preserve">Supporting Statement </w:t>
      </w:r>
    </w:p>
    <w:p w14:paraId="2BAE5D6D" w14:textId="77777777" w:rsidR="00C340CB" w:rsidRDefault="00C340CB" w:rsidP="001E1B53">
      <w:pPr>
        <w:pStyle w:val="CM2"/>
        <w:spacing w:before="211" w:after="173"/>
        <w:rPr>
          <w:rFonts w:ascii="Times New Roman" w:hAnsi="Times New Roman"/>
          <w:b/>
          <w:bCs/>
          <w:u w:val="single"/>
        </w:rPr>
      </w:pPr>
    </w:p>
    <w:p w14:paraId="7AC945B1" w14:textId="77777777" w:rsidR="001E1B53" w:rsidRPr="00E859A7" w:rsidRDefault="001E1B53" w:rsidP="001E1B53">
      <w:pPr>
        <w:pStyle w:val="CM2"/>
        <w:spacing w:before="211" w:after="173"/>
        <w:rPr>
          <w:rFonts w:ascii="Times New Roman" w:hAnsi="Times New Roman"/>
          <w:b/>
          <w:sz w:val="22"/>
          <w:szCs w:val="22"/>
          <w:u w:val="single"/>
        </w:rPr>
      </w:pPr>
      <w:r w:rsidRPr="009F34D7">
        <w:rPr>
          <w:rFonts w:ascii="Times New Roman" w:hAnsi="Times New Roman"/>
          <w:b/>
          <w:bCs/>
          <w:u w:val="single"/>
        </w:rPr>
        <w:t>A. Justification:</w:t>
      </w:r>
    </w:p>
    <w:p w14:paraId="24B02B12" w14:textId="77777777" w:rsidR="00C340CB" w:rsidRDefault="00C340CB" w:rsidP="006D1BA2">
      <w:pPr>
        <w:pStyle w:val="CM2"/>
        <w:spacing w:before="211" w:after="173" w:line="360" w:lineRule="auto"/>
        <w:rPr>
          <w:rFonts w:ascii="Times New Roman" w:hAnsi="Times New Roman"/>
          <w:b/>
        </w:rPr>
      </w:pPr>
    </w:p>
    <w:p w14:paraId="16837FC2" w14:textId="77777777" w:rsidR="003F1A30" w:rsidRPr="009F34D7" w:rsidRDefault="001E1B53" w:rsidP="006D1BA2">
      <w:pPr>
        <w:pStyle w:val="CM2"/>
        <w:spacing w:before="211" w:after="173" w:line="360" w:lineRule="auto"/>
        <w:rPr>
          <w:rFonts w:ascii="Times New Roman" w:hAnsi="Times New Roman"/>
        </w:rPr>
      </w:pPr>
      <w:r w:rsidRPr="009F34D7">
        <w:rPr>
          <w:rFonts w:ascii="Times New Roman" w:hAnsi="Times New Roman"/>
          <w:b/>
        </w:rPr>
        <w:t xml:space="preserve">1. </w:t>
      </w:r>
      <w:r w:rsidR="000416A1">
        <w:rPr>
          <w:rFonts w:ascii="Times New Roman" w:hAnsi="Times New Roman"/>
          <w:b/>
        </w:rPr>
        <w:tab/>
      </w:r>
      <w:r w:rsidR="00936AB0" w:rsidRPr="009F34D7">
        <w:rPr>
          <w:rFonts w:ascii="Times New Roman" w:hAnsi="Times New Roman"/>
        </w:rPr>
        <w:t xml:space="preserve">This information collection is necessary to </w:t>
      </w:r>
      <w:r w:rsidR="00EC319C" w:rsidRPr="009F34D7">
        <w:rPr>
          <w:rFonts w:ascii="Times New Roman" w:hAnsi="Times New Roman"/>
        </w:rPr>
        <w:t>institute</w:t>
      </w:r>
      <w:r w:rsidR="003F1A30" w:rsidRPr="009F34D7">
        <w:rPr>
          <w:rFonts w:ascii="Times New Roman" w:hAnsi="Times New Roman"/>
        </w:rPr>
        <w:t xml:space="preserve"> a process by which interconnected VoIP providers may obtain authorization from the Federal Communications Commission (FCC) to demonstrate that they have the authority to provide voice services within specific areas so that these providers may</w:t>
      </w:r>
      <w:r w:rsidR="00EC319C" w:rsidRPr="009F34D7">
        <w:rPr>
          <w:rFonts w:ascii="Times New Roman" w:hAnsi="Times New Roman"/>
        </w:rPr>
        <w:t xml:space="preserve"> in turn</w:t>
      </w:r>
      <w:r w:rsidR="003F1A30" w:rsidRPr="009F34D7">
        <w:rPr>
          <w:rFonts w:ascii="Times New Roman" w:hAnsi="Times New Roman"/>
        </w:rPr>
        <w:t xml:space="preserve"> obtain numbers directly from the North American Numbering Plan Administrator </w:t>
      </w:r>
      <w:r w:rsidR="003113EA" w:rsidRPr="009F34D7">
        <w:rPr>
          <w:rFonts w:ascii="Times New Roman" w:hAnsi="Times New Roman"/>
        </w:rPr>
        <w:t xml:space="preserve">(NANPA) </w:t>
      </w:r>
      <w:r w:rsidR="003F1A30" w:rsidRPr="009F34D7">
        <w:rPr>
          <w:rFonts w:ascii="Times New Roman" w:hAnsi="Times New Roman"/>
        </w:rPr>
        <w:t>and the Pooling Administrator (</w:t>
      </w:r>
      <w:r w:rsidR="00EC319C" w:rsidRPr="009F34D7">
        <w:rPr>
          <w:rFonts w:ascii="Times New Roman" w:hAnsi="Times New Roman"/>
        </w:rPr>
        <w:t xml:space="preserve">collectively, </w:t>
      </w:r>
      <w:r w:rsidR="003F1A30" w:rsidRPr="009F34D7">
        <w:rPr>
          <w:rFonts w:ascii="Times New Roman" w:hAnsi="Times New Roman"/>
        </w:rPr>
        <w:t>the Numbering Administrators).</w:t>
      </w:r>
    </w:p>
    <w:p w14:paraId="722E563F" w14:textId="77777777" w:rsidR="00C340CB" w:rsidRDefault="004018D2" w:rsidP="009F34D7">
      <w:pPr>
        <w:pStyle w:val="ParaNum"/>
        <w:widowControl/>
        <w:numPr>
          <w:ilvl w:val="0"/>
          <w:numId w:val="0"/>
        </w:numPr>
        <w:spacing w:line="360" w:lineRule="auto"/>
        <w:ind w:firstLine="720"/>
        <w:rPr>
          <w:sz w:val="24"/>
          <w:szCs w:val="24"/>
          <w:lang w:val="en-US"/>
        </w:rPr>
      </w:pPr>
      <w:r w:rsidRPr="009F34D7">
        <w:rPr>
          <w:sz w:val="24"/>
          <w:szCs w:val="24"/>
        </w:rPr>
        <w:t xml:space="preserve">On </w:t>
      </w:r>
      <w:r w:rsidR="00007CFA" w:rsidRPr="009F34D7">
        <w:rPr>
          <w:sz w:val="24"/>
          <w:szCs w:val="24"/>
          <w:lang w:val="en-US"/>
        </w:rPr>
        <w:t>June 18</w:t>
      </w:r>
      <w:r w:rsidR="003F1A30" w:rsidRPr="009F34D7">
        <w:rPr>
          <w:sz w:val="24"/>
          <w:szCs w:val="24"/>
        </w:rPr>
        <w:t>, 201</w:t>
      </w:r>
      <w:r w:rsidR="003F1A30" w:rsidRPr="009F34D7">
        <w:rPr>
          <w:sz w:val="24"/>
          <w:szCs w:val="24"/>
          <w:lang w:val="en-US"/>
        </w:rPr>
        <w:t>5</w:t>
      </w:r>
      <w:r w:rsidRPr="009F34D7">
        <w:rPr>
          <w:sz w:val="24"/>
          <w:szCs w:val="24"/>
        </w:rPr>
        <w:t xml:space="preserve">, the </w:t>
      </w:r>
      <w:r w:rsidR="00AB4E8B" w:rsidRPr="009F34D7">
        <w:rPr>
          <w:sz w:val="24"/>
          <w:szCs w:val="24"/>
        </w:rPr>
        <w:t>FCC</w:t>
      </w:r>
      <w:r w:rsidR="0003799A" w:rsidRPr="009F34D7">
        <w:rPr>
          <w:sz w:val="24"/>
          <w:szCs w:val="24"/>
        </w:rPr>
        <w:t xml:space="preserve"> </w:t>
      </w:r>
      <w:r w:rsidR="00EC7B9F" w:rsidRPr="009F34D7">
        <w:rPr>
          <w:sz w:val="24"/>
          <w:szCs w:val="24"/>
          <w:lang w:val="en-US"/>
        </w:rPr>
        <w:t>adopted</w:t>
      </w:r>
      <w:r w:rsidR="00EC7B9F" w:rsidRPr="009F34D7">
        <w:rPr>
          <w:sz w:val="24"/>
          <w:szCs w:val="24"/>
        </w:rPr>
        <w:t xml:space="preserve"> </w:t>
      </w:r>
      <w:r w:rsidR="0003799A" w:rsidRPr="009F34D7">
        <w:rPr>
          <w:sz w:val="24"/>
          <w:szCs w:val="24"/>
        </w:rPr>
        <w:t>a</w:t>
      </w:r>
      <w:r w:rsidR="0003799A" w:rsidRPr="009F34D7">
        <w:rPr>
          <w:sz w:val="24"/>
          <w:szCs w:val="24"/>
          <w:lang w:val="en-US"/>
        </w:rPr>
        <w:t xml:space="preserve"> </w:t>
      </w:r>
      <w:r w:rsidR="00312217" w:rsidRPr="009F34D7">
        <w:rPr>
          <w:sz w:val="24"/>
          <w:szCs w:val="24"/>
          <w:lang w:val="en-US"/>
        </w:rPr>
        <w:t>R</w:t>
      </w:r>
      <w:r w:rsidR="0003799A" w:rsidRPr="009F34D7">
        <w:rPr>
          <w:sz w:val="24"/>
          <w:szCs w:val="24"/>
          <w:lang w:val="en-US"/>
        </w:rPr>
        <w:t>eport and</w:t>
      </w:r>
      <w:r w:rsidR="00247721" w:rsidRPr="009F34D7">
        <w:rPr>
          <w:sz w:val="24"/>
          <w:szCs w:val="24"/>
        </w:rPr>
        <w:t xml:space="preserve"> </w:t>
      </w:r>
      <w:r w:rsidR="00312217" w:rsidRPr="009F34D7">
        <w:rPr>
          <w:sz w:val="24"/>
          <w:szCs w:val="24"/>
        </w:rPr>
        <w:t>O</w:t>
      </w:r>
      <w:r w:rsidR="00247721" w:rsidRPr="009F34D7">
        <w:rPr>
          <w:sz w:val="24"/>
          <w:szCs w:val="24"/>
        </w:rPr>
        <w:t xml:space="preserve">rder </w:t>
      </w:r>
      <w:r w:rsidR="003F1A30" w:rsidRPr="009F34D7">
        <w:rPr>
          <w:sz w:val="24"/>
          <w:szCs w:val="24"/>
          <w:lang w:val="en-US"/>
        </w:rPr>
        <w:t>establishing the Numbering Authorization Application process.</w:t>
      </w:r>
      <w:r w:rsidR="003F1A30" w:rsidRPr="009F34D7">
        <w:rPr>
          <w:rStyle w:val="FootnoteReference"/>
          <w:sz w:val="24"/>
          <w:szCs w:val="24"/>
          <w:lang w:val="en-US"/>
        </w:rPr>
        <w:footnoteReference w:id="1"/>
      </w:r>
      <w:r w:rsidR="003F1A30" w:rsidRPr="009F34D7">
        <w:rPr>
          <w:sz w:val="24"/>
          <w:szCs w:val="24"/>
          <w:lang w:val="en-US"/>
        </w:rPr>
        <w:t xml:space="preserve">  </w:t>
      </w:r>
      <w:r w:rsidR="0003799A" w:rsidRPr="009F34D7">
        <w:rPr>
          <w:sz w:val="24"/>
          <w:szCs w:val="24"/>
          <w:lang w:val="en-US"/>
        </w:rPr>
        <w:t xml:space="preserve">Under the Commission’s rules, only those </w:t>
      </w:r>
      <w:r w:rsidR="0003799A" w:rsidRPr="009F34D7">
        <w:rPr>
          <w:sz w:val="24"/>
          <w:szCs w:val="24"/>
          <w:lang w:val="en-US"/>
        </w:rPr>
        <w:lastRenderedPageBreak/>
        <w:t xml:space="preserve">entities that </w:t>
      </w:r>
      <w:r w:rsidR="00EC7B9F" w:rsidRPr="009F34D7">
        <w:rPr>
          <w:sz w:val="24"/>
          <w:szCs w:val="24"/>
          <w:lang w:val="en-US"/>
        </w:rPr>
        <w:t xml:space="preserve">can </w:t>
      </w:r>
      <w:r w:rsidR="0003799A" w:rsidRPr="009F34D7">
        <w:rPr>
          <w:sz w:val="24"/>
          <w:szCs w:val="24"/>
          <w:lang w:val="en-US"/>
        </w:rPr>
        <w:t xml:space="preserve">demonstrate </w:t>
      </w:r>
      <w:r w:rsidR="00EC7B9F" w:rsidRPr="009F34D7">
        <w:rPr>
          <w:sz w:val="24"/>
          <w:szCs w:val="24"/>
          <w:lang w:val="en-US"/>
        </w:rPr>
        <w:t xml:space="preserve">that </w:t>
      </w:r>
      <w:r w:rsidR="0003799A" w:rsidRPr="009F34D7">
        <w:rPr>
          <w:sz w:val="24"/>
          <w:szCs w:val="24"/>
          <w:lang w:val="en-US"/>
        </w:rPr>
        <w:t xml:space="preserve">they </w:t>
      </w:r>
      <w:r w:rsidR="00EC7B9F" w:rsidRPr="009F34D7">
        <w:rPr>
          <w:sz w:val="24"/>
          <w:szCs w:val="24"/>
          <w:lang w:val="en-US"/>
        </w:rPr>
        <w:t>a</w:t>
      </w:r>
      <w:r w:rsidR="00EC319C" w:rsidRPr="009F34D7">
        <w:rPr>
          <w:sz w:val="24"/>
          <w:szCs w:val="24"/>
          <w:lang w:val="en-US"/>
        </w:rPr>
        <w:t>re</w:t>
      </w:r>
      <w:r w:rsidR="0003799A" w:rsidRPr="009F34D7">
        <w:rPr>
          <w:sz w:val="24"/>
          <w:szCs w:val="24"/>
          <w:lang w:val="en-US"/>
        </w:rPr>
        <w:t xml:space="preserve"> authorized to provide telecommunications service in the area for which the numbers </w:t>
      </w:r>
      <w:r w:rsidR="00EC7B9F" w:rsidRPr="009F34D7">
        <w:rPr>
          <w:sz w:val="24"/>
          <w:szCs w:val="24"/>
          <w:lang w:val="en-US"/>
        </w:rPr>
        <w:t>are</w:t>
      </w:r>
      <w:r w:rsidR="0003799A" w:rsidRPr="009F34D7">
        <w:rPr>
          <w:sz w:val="24"/>
          <w:szCs w:val="24"/>
          <w:lang w:val="en-US"/>
        </w:rPr>
        <w:t xml:space="preserve"> being requested</w:t>
      </w:r>
      <w:r w:rsidR="00EC7B9F" w:rsidRPr="009F34D7">
        <w:rPr>
          <w:sz w:val="24"/>
          <w:szCs w:val="24"/>
          <w:lang w:val="en-US"/>
        </w:rPr>
        <w:t xml:space="preserve"> can obtain telephone numbers directly from the Numbering Administrators</w:t>
      </w:r>
      <w:r w:rsidR="0003799A" w:rsidRPr="009F34D7">
        <w:rPr>
          <w:sz w:val="24"/>
          <w:szCs w:val="24"/>
          <w:lang w:val="en-US"/>
        </w:rPr>
        <w:t xml:space="preserve">.  To demonstrate this “authorization,” </w:t>
      </w:r>
      <w:r w:rsidR="00EC7B9F" w:rsidRPr="009F34D7">
        <w:rPr>
          <w:sz w:val="24"/>
          <w:szCs w:val="24"/>
          <w:lang w:val="en-US"/>
        </w:rPr>
        <w:t>service providers</w:t>
      </w:r>
      <w:r w:rsidR="0003799A" w:rsidRPr="009F34D7">
        <w:rPr>
          <w:sz w:val="24"/>
          <w:szCs w:val="24"/>
          <w:lang w:val="en-US"/>
        </w:rPr>
        <w:t xml:space="preserve"> are typically required to provide either (1) a Commission license or (2) a certificate of public convenience and necessity (CPCN) issued by a state regulatory commission.  Neither of these authorizations </w:t>
      </w:r>
      <w:r w:rsidR="00EC319C" w:rsidRPr="009F34D7">
        <w:rPr>
          <w:sz w:val="24"/>
          <w:szCs w:val="24"/>
          <w:lang w:val="en-US"/>
        </w:rPr>
        <w:t>is</w:t>
      </w:r>
      <w:r w:rsidR="0003799A" w:rsidRPr="009F34D7">
        <w:rPr>
          <w:sz w:val="24"/>
          <w:szCs w:val="24"/>
          <w:lang w:val="en-US"/>
        </w:rPr>
        <w:t xml:space="preserve"> typically available to interconnected VoIP providers.  As a result, these providers have been largely unable to obtain telephone numbers directly from the Numbering Administrators, </w:t>
      </w:r>
    </w:p>
    <w:p w14:paraId="4DC8E19C" w14:textId="76AFA618" w:rsidR="0003799A" w:rsidRPr="009F34D7" w:rsidRDefault="0003799A" w:rsidP="00C340CB">
      <w:pPr>
        <w:pStyle w:val="ParaNum"/>
        <w:widowControl/>
        <w:numPr>
          <w:ilvl w:val="0"/>
          <w:numId w:val="0"/>
        </w:numPr>
        <w:spacing w:line="360" w:lineRule="auto"/>
        <w:rPr>
          <w:sz w:val="24"/>
          <w:szCs w:val="24"/>
          <w:lang w:val="en-US"/>
        </w:rPr>
      </w:pPr>
      <w:proofErr w:type="gramStart"/>
      <w:r w:rsidRPr="009F34D7">
        <w:rPr>
          <w:sz w:val="24"/>
          <w:szCs w:val="24"/>
          <w:lang w:val="en-US"/>
        </w:rPr>
        <w:t>and</w:t>
      </w:r>
      <w:proofErr w:type="gramEnd"/>
      <w:r w:rsidRPr="009F34D7">
        <w:rPr>
          <w:sz w:val="24"/>
          <w:szCs w:val="24"/>
          <w:lang w:val="en-US"/>
        </w:rPr>
        <w:t xml:space="preserve"> typically must partner with a carrier in order to</w:t>
      </w:r>
      <w:r w:rsidR="00C402D6" w:rsidRPr="009F34D7">
        <w:rPr>
          <w:sz w:val="24"/>
          <w:szCs w:val="24"/>
          <w:lang w:val="en-US"/>
        </w:rPr>
        <w:t xml:space="preserve"> obtain them</w:t>
      </w:r>
      <w:r w:rsidRPr="009F34D7">
        <w:rPr>
          <w:sz w:val="24"/>
          <w:szCs w:val="24"/>
          <w:lang w:val="en-US"/>
        </w:rPr>
        <w:t xml:space="preserve">.  The Numbering Authorization </w:t>
      </w:r>
      <w:r w:rsidR="00C402D6" w:rsidRPr="009F34D7">
        <w:rPr>
          <w:sz w:val="24"/>
          <w:szCs w:val="24"/>
          <w:lang w:val="en-US"/>
        </w:rPr>
        <w:t>A</w:t>
      </w:r>
      <w:r w:rsidRPr="009F34D7">
        <w:rPr>
          <w:sz w:val="24"/>
          <w:szCs w:val="24"/>
          <w:lang w:val="en-US"/>
        </w:rPr>
        <w:t xml:space="preserve">pplication process allows applicants to apply for a blanket authorization from the FCC that, once granted, will allow them to demonstrate that they have the authority to provide service in specific areas, thus </w:t>
      </w:r>
      <w:r w:rsidR="00AF6DB2" w:rsidRPr="009F34D7">
        <w:rPr>
          <w:sz w:val="24"/>
          <w:szCs w:val="24"/>
          <w:lang w:val="en-US"/>
        </w:rPr>
        <w:t>enabling them to request numbers directly from the Numbering Administrators.</w:t>
      </w:r>
    </w:p>
    <w:p w14:paraId="2E83F6FD" w14:textId="77777777" w:rsidR="00CF1363" w:rsidRPr="009F34D7" w:rsidRDefault="0096006A" w:rsidP="009F34D7">
      <w:pPr>
        <w:pStyle w:val="ParaNum"/>
        <w:widowControl/>
        <w:numPr>
          <w:ilvl w:val="0"/>
          <w:numId w:val="0"/>
        </w:numPr>
        <w:spacing w:line="360" w:lineRule="auto"/>
        <w:ind w:firstLine="720"/>
        <w:rPr>
          <w:sz w:val="24"/>
          <w:szCs w:val="24"/>
          <w:lang w:val="en-US"/>
        </w:rPr>
      </w:pPr>
      <w:r w:rsidRPr="009F34D7">
        <w:rPr>
          <w:sz w:val="24"/>
          <w:szCs w:val="24"/>
          <w:lang w:val="en-US"/>
        </w:rPr>
        <w:t xml:space="preserve">As part of the Commission authorization process, applicants must: </w:t>
      </w:r>
      <w:r w:rsidR="00EC319C" w:rsidRPr="009F34D7">
        <w:rPr>
          <w:sz w:val="24"/>
          <w:szCs w:val="24"/>
          <w:lang w:val="en-US"/>
        </w:rPr>
        <w:t xml:space="preserve"> </w:t>
      </w:r>
      <w:r w:rsidRPr="009F34D7">
        <w:rPr>
          <w:sz w:val="24"/>
          <w:szCs w:val="24"/>
          <w:lang w:val="en-US"/>
        </w:rPr>
        <w:t xml:space="preserve">(1) </w:t>
      </w:r>
      <w:r w:rsidR="00312217" w:rsidRPr="009F34D7">
        <w:rPr>
          <w:snapToGrid/>
          <w:kern w:val="0"/>
          <w:sz w:val="24"/>
          <w:szCs w:val="24"/>
        </w:rPr>
        <w:t>comply with applicable Commission rules related to numbering, including, among others, numberi</w:t>
      </w:r>
      <w:r w:rsidR="00285DBB" w:rsidRPr="009F34D7">
        <w:rPr>
          <w:snapToGrid/>
          <w:kern w:val="0"/>
          <w:sz w:val="24"/>
          <w:szCs w:val="24"/>
          <w:lang w:val="en-US"/>
        </w:rPr>
        <w:t>ng</w:t>
      </w:r>
      <w:r w:rsidR="00312217" w:rsidRPr="009F34D7">
        <w:rPr>
          <w:snapToGrid/>
          <w:kern w:val="0"/>
          <w:sz w:val="24"/>
          <w:szCs w:val="24"/>
        </w:rPr>
        <w:t xml:space="preserve"> utilization and optimization requirements (in particular, filing NRUF Reports), </w:t>
      </w:r>
      <w:r w:rsidR="00007CFA" w:rsidRPr="009F34D7">
        <w:rPr>
          <w:snapToGrid/>
          <w:kern w:val="0"/>
          <w:sz w:val="24"/>
          <w:szCs w:val="24"/>
          <w:lang w:val="en-US"/>
        </w:rPr>
        <w:t xml:space="preserve">comply with </w:t>
      </w:r>
      <w:r w:rsidR="00312217" w:rsidRPr="009F34D7">
        <w:rPr>
          <w:snapToGrid/>
          <w:kern w:val="0"/>
          <w:sz w:val="24"/>
          <w:szCs w:val="24"/>
        </w:rPr>
        <w:t xml:space="preserve">guidelines and procedures adopted pursuant to numbering </w:t>
      </w:r>
      <w:r w:rsidR="00312217" w:rsidRPr="009F34D7">
        <w:rPr>
          <w:snapToGrid/>
          <w:kern w:val="0"/>
          <w:sz w:val="24"/>
          <w:szCs w:val="24"/>
        </w:rPr>
        <w:lastRenderedPageBreak/>
        <w:t xml:space="preserve">authority delegated to the states, and </w:t>
      </w:r>
      <w:r w:rsidR="00007CFA" w:rsidRPr="009F34D7">
        <w:rPr>
          <w:snapToGrid/>
          <w:kern w:val="0"/>
          <w:sz w:val="24"/>
          <w:szCs w:val="24"/>
          <w:lang w:val="en-US"/>
        </w:rPr>
        <w:t xml:space="preserve">comply with </w:t>
      </w:r>
      <w:r w:rsidR="00312217" w:rsidRPr="009F34D7">
        <w:rPr>
          <w:snapToGrid/>
          <w:kern w:val="0"/>
          <w:sz w:val="24"/>
          <w:szCs w:val="24"/>
        </w:rPr>
        <w:t>industry guidelines and practices applicable to telecommunications carriers with regard to numbering</w:t>
      </w:r>
      <w:r w:rsidR="000B6690" w:rsidRPr="009F34D7">
        <w:rPr>
          <w:snapToGrid/>
          <w:kern w:val="0"/>
          <w:sz w:val="24"/>
          <w:szCs w:val="24"/>
        </w:rPr>
        <w:t>;</w:t>
      </w:r>
      <w:r w:rsidR="00CF1363" w:rsidRPr="009F34D7">
        <w:rPr>
          <w:sz w:val="24"/>
          <w:szCs w:val="24"/>
          <w:lang w:val="en-US"/>
        </w:rPr>
        <w:t xml:space="preserve"> (2) file requests for numbers with the relevant state commission(s) on an on-going basis at least 30 days before requesting numbers from the Numbering Administrators; (3) </w:t>
      </w:r>
      <w:r w:rsidR="00312217" w:rsidRPr="009F34D7">
        <w:rPr>
          <w:sz w:val="24"/>
          <w:szCs w:val="24"/>
          <w:lang w:val="en-US"/>
        </w:rPr>
        <w:t xml:space="preserve">provide </w:t>
      </w:r>
      <w:r w:rsidR="00CF1363" w:rsidRPr="009F34D7">
        <w:rPr>
          <w:sz w:val="24"/>
          <w:szCs w:val="24"/>
          <w:lang w:val="en-US"/>
        </w:rPr>
        <w:t xml:space="preserve">contact information for personnel qualified to address issues relating to regulatory requirements, compliance, 911, and law enforcement; (4) </w:t>
      </w:r>
      <w:r w:rsidR="00312217" w:rsidRPr="009F34D7">
        <w:rPr>
          <w:sz w:val="24"/>
          <w:szCs w:val="24"/>
          <w:lang w:val="en-US"/>
        </w:rPr>
        <w:t xml:space="preserve">provide </w:t>
      </w:r>
      <w:r w:rsidR="00CF1363" w:rsidRPr="009F34D7">
        <w:rPr>
          <w:sz w:val="24"/>
          <w:szCs w:val="24"/>
          <w:lang w:val="en-US"/>
        </w:rPr>
        <w:t xml:space="preserve">proof of compliance with the FCC’s “facilities readiness” requirement in section 52.15(g)(2) of the FCC’s rules, 47 C.F.R. </w:t>
      </w:r>
      <w:r w:rsidR="00CF1363" w:rsidRPr="009F34D7">
        <w:rPr>
          <w:sz w:val="24"/>
          <w:szCs w:val="24"/>
        </w:rPr>
        <w:t xml:space="preserve">§ </w:t>
      </w:r>
      <w:r w:rsidR="00CF1363" w:rsidRPr="009F34D7">
        <w:rPr>
          <w:sz w:val="24"/>
          <w:szCs w:val="24"/>
          <w:lang w:val="en-US"/>
        </w:rPr>
        <w:t>52.15</w:t>
      </w:r>
      <w:r w:rsidR="00CF1363" w:rsidRPr="009F34D7">
        <w:rPr>
          <w:sz w:val="24"/>
          <w:szCs w:val="24"/>
        </w:rPr>
        <w:t>(</w:t>
      </w:r>
      <w:r w:rsidR="00CF1363" w:rsidRPr="009F34D7">
        <w:rPr>
          <w:sz w:val="24"/>
          <w:szCs w:val="24"/>
          <w:lang w:val="en-US"/>
        </w:rPr>
        <w:t>g</w:t>
      </w:r>
      <w:r w:rsidR="00CF1363" w:rsidRPr="009F34D7">
        <w:rPr>
          <w:sz w:val="24"/>
          <w:szCs w:val="24"/>
        </w:rPr>
        <w:t>)(</w:t>
      </w:r>
      <w:r w:rsidR="00CF1363" w:rsidRPr="009F34D7">
        <w:rPr>
          <w:sz w:val="24"/>
          <w:szCs w:val="24"/>
          <w:lang w:val="en-US"/>
        </w:rPr>
        <w:t>2</w:t>
      </w:r>
      <w:r w:rsidR="00CF1363" w:rsidRPr="009F34D7">
        <w:rPr>
          <w:sz w:val="24"/>
          <w:szCs w:val="24"/>
        </w:rPr>
        <w:t>)</w:t>
      </w:r>
      <w:r w:rsidR="00312217" w:rsidRPr="009F34D7">
        <w:rPr>
          <w:sz w:val="24"/>
          <w:szCs w:val="24"/>
          <w:lang w:val="en-US"/>
        </w:rPr>
        <w:t xml:space="preserve">; (5) </w:t>
      </w:r>
      <w:r w:rsidR="00007CFA" w:rsidRPr="009F34D7">
        <w:rPr>
          <w:sz w:val="24"/>
          <w:szCs w:val="24"/>
          <w:lang w:val="en-US"/>
        </w:rPr>
        <w:t xml:space="preserve">certify that the applicant complies with its Universal Service Fund (USF) contribution obligations under 47 C.F.R. part 54, subpart H, its Telecommunications Relay Service (TRS) contribution obligations under 47 C.F.R. </w:t>
      </w:r>
      <w:r w:rsidR="00007CFA" w:rsidRPr="009F34D7">
        <w:rPr>
          <w:sz w:val="24"/>
          <w:szCs w:val="24"/>
        </w:rPr>
        <w:t>§</w:t>
      </w:r>
      <w:r w:rsidR="00007CFA" w:rsidRPr="009F34D7">
        <w:rPr>
          <w:sz w:val="24"/>
          <w:szCs w:val="24"/>
          <w:lang w:val="en-US"/>
        </w:rPr>
        <w:t xml:space="preserve"> 64.604(c)(5)(iii), its NANP</w:t>
      </w:r>
      <w:r w:rsidR="00C256AC">
        <w:rPr>
          <w:sz w:val="24"/>
          <w:szCs w:val="24"/>
          <w:lang w:val="en-US"/>
        </w:rPr>
        <w:t>A</w:t>
      </w:r>
      <w:r w:rsidR="00007CFA" w:rsidRPr="009F34D7">
        <w:rPr>
          <w:sz w:val="24"/>
          <w:szCs w:val="24"/>
          <w:lang w:val="en-US"/>
        </w:rPr>
        <w:t xml:space="preserve"> and </w:t>
      </w:r>
      <w:r w:rsidR="00C256AC">
        <w:rPr>
          <w:sz w:val="24"/>
          <w:szCs w:val="24"/>
          <w:lang w:val="en-US"/>
        </w:rPr>
        <w:t>L</w:t>
      </w:r>
      <w:r w:rsidR="00007CFA" w:rsidRPr="009F34D7">
        <w:rPr>
          <w:sz w:val="24"/>
          <w:szCs w:val="24"/>
          <w:lang w:val="en-US"/>
        </w:rPr>
        <w:t xml:space="preserve">ocal </w:t>
      </w:r>
      <w:r w:rsidR="00C256AC">
        <w:rPr>
          <w:sz w:val="24"/>
          <w:szCs w:val="24"/>
          <w:lang w:val="en-US"/>
        </w:rPr>
        <w:t>N</w:t>
      </w:r>
      <w:r w:rsidR="00007CFA" w:rsidRPr="009F34D7">
        <w:rPr>
          <w:sz w:val="24"/>
          <w:szCs w:val="24"/>
          <w:lang w:val="en-US"/>
        </w:rPr>
        <w:t xml:space="preserve">umber </w:t>
      </w:r>
      <w:r w:rsidR="00C256AC">
        <w:rPr>
          <w:sz w:val="24"/>
          <w:szCs w:val="24"/>
          <w:lang w:val="en-US"/>
        </w:rPr>
        <w:t>P</w:t>
      </w:r>
      <w:r w:rsidR="00007CFA" w:rsidRPr="009F34D7">
        <w:rPr>
          <w:sz w:val="24"/>
          <w:szCs w:val="24"/>
          <w:lang w:val="en-US"/>
        </w:rPr>
        <w:t xml:space="preserve">ortability (LNP) administration contribution obligations under 47 C.F.R. </w:t>
      </w:r>
      <w:r w:rsidR="00007CFA" w:rsidRPr="009F34D7">
        <w:rPr>
          <w:sz w:val="24"/>
          <w:szCs w:val="24"/>
        </w:rPr>
        <w:t>§§</w:t>
      </w:r>
      <w:r w:rsidR="00007CFA" w:rsidRPr="009F34D7">
        <w:rPr>
          <w:sz w:val="24"/>
          <w:szCs w:val="24"/>
          <w:lang w:val="en-US"/>
        </w:rPr>
        <w:t xml:space="preserve"> 52.17 and 52.32, its obligations to pay regulatory fees under 47 C.F.R. </w:t>
      </w:r>
      <w:r w:rsidR="00007CFA" w:rsidRPr="009F34D7">
        <w:rPr>
          <w:sz w:val="24"/>
          <w:szCs w:val="24"/>
        </w:rPr>
        <w:t>§</w:t>
      </w:r>
      <w:r w:rsidR="00007CFA" w:rsidRPr="009F34D7">
        <w:rPr>
          <w:sz w:val="24"/>
          <w:szCs w:val="24"/>
          <w:lang w:val="en-US"/>
        </w:rPr>
        <w:t xml:space="preserve"> 1.1154, and its 911 obligations under 47 C.F.R. part 9: and (6) </w:t>
      </w:r>
      <w:r w:rsidR="00312217" w:rsidRPr="009F34D7">
        <w:rPr>
          <w:sz w:val="24"/>
          <w:szCs w:val="24"/>
          <w:lang w:val="en-US"/>
        </w:rPr>
        <w:t xml:space="preserve">certify that the applicant has the requisite technical, managerial, and financial capacity to provide service.  This certification must include the name of applicant’s key management and technical personnel, such as the Chief Operating Officer and the Chief Technology Officer, </w:t>
      </w:r>
      <w:r w:rsidR="00312217" w:rsidRPr="009F34D7">
        <w:rPr>
          <w:sz w:val="24"/>
          <w:szCs w:val="24"/>
          <w:lang w:val="en-US"/>
        </w:rPr>
        <w:lastRenderedPageBreak/>
        <w:t>or equivalent, and state that none of the identified personnel are being or have been investigated by the Commission or any law enforcement or regulatory agency for failure to comply with any law, rule, or order</w:t>
      </w:r>
      <w:r w:rsidR="00CF1363" w:rsidRPr="009F34D7">
        <w:rPr>
          <w:sz w:val="24"/>
          <w:szCs w:val="24"/>
          <w:lang w:val="en-US"/>
        </w:rPr>
        <w:t>.</w:t>
      </w:r>
    </w:p>
    <w:p w14:paraId="17A70F2B" w14:textId="77777777" w:rsidR="00CF1363" w:rsidRPr="009F34D7" w:rsidRDefault="00CF1363" w:rsidP="009F34D7">
      <w:pPr>
        <w:pStyle w:val="ParaNum"/>
        <w:widowControl/>
        <w:numPr>
          <w:ilvl w:val="0"/>
          <w:numId w:val="0"/>
        </w:numPr>
        <w:spacing w:line="360" w:lineRule="auto"/>
        <w:ind w:firstLine="720"/>
        <w:rPr>
          <w:sz w:val="24"/>
          <w:szCs w:val="24"/>
          <w:lang w:val="en-US"/>
        </w:rPr>
      </w:pPr>
      <w:r w:rsidRPr="009F34D7">
        <w:rPr>
          <w:sz w:val="24"/>
          <w:szCs w:val="24"/>
          <w:lang w:val="en-US"/>
        </w:rPr>
        <w:t>Interconnected VoIP providers who do obtain authorization to request numbers directly from the Numbering Administrators must also</w:t>
      </w:r>
      <w:r w:rsidR="00D20C28" w:rsidRPr="009F34D7">
        <w:rPr>
          <w:sz w:val="24"/>
          <w:szCs w:val="24"/>
          <w:lang w:val="en-US"/>
        </w:rPr>
        <w:t xml:space="preserve">: </w:t>
      </w:r>
      <w:r w:rsidR="00EC319C" w:rsidRPr="009F34D7">
        <w:rPr>
          <w:sz w:val="24"/>
          <w:szCs w:val="24"/>
          <w:lang w:val="en-US"/>
        </w:rPr>
        <w:t xml:space="preserve"> </w:t>
      </w:r>
      <w:r w:rsidRPr="009F34D7">
        <w:rPr>
          <w:sz w:val="24"/>
          <w:szCs w:val="24"/>
          <w:lang w:val="en-US"/>
        </w:rPr>
        <w:t xml:space="preserve">(1) provide accurate regulatory and numbering contact information to the relevant state commission(s) when they request numbers in </w:t>
      </w:r>
      <w:r w:rsidR="00D20C28" w:rsidRPr="009F34D7">
        <w:rPr>
          <w:sz w:val="24"/>
          <w:szCs w:val="24"/>
          <w:lang w:val="en-US"/>
        </w:rPr>
        <w:t>a</w:t>
      </w:r>
      <w:r w:rsidRPr="009F34D7">
        <w:rPr>
          <w:sz w:val="24"/>
          <w:szCs w:val="24"/>
          <w:lang w:val="en-US"/>
        </w:rPr>
        <w:t xml:space="preserve"> state and must update this information when</w:t>
      </w:r>
      <w:r w:rsidR="00D20C28" w:rsidRPr="009F34D7">
        <w:rPr>
          <w:sz w:val="24"/>
          <w:szCs w:val="24"/>
          <w:lang w:val="en-US"/>
        </w:rPr>
        <w:t>ever it becomes outdated</w:t>
      </w:r>
      <w:r w:rsidRPr="009F34D7">
        <w:rPr>
          <w:sz w:val="24"/>
          <w:szCs w:val="24"/>
          <w:lang w:val="en-US"/>
        </w:rPr>
        <w:t>; (2) use their own unique Operating Company Numbers (OCNs) (as opposed to using the OCN</w:t>
      </w:r>
      <w:r w:rsidR="00945259" w:rsidRPr="009F34D7">
        <w:rPr>
          <w:sz w:val="24"/>
          <w:szCs w:val="24"/>
          <w:lang w:val="en-US"/>
        </w:rPr>
        <w:t>s</w:t>
      </w:r>
      <w:r w:rsidRPr="009F34D7">
        <w:rPr>
          <w:sz w:val="24"/>
          <w:szCs w:val="24"/>
          <w:lang w:val="en-US"/>
        </w:rPr>
        <w:t xml:space="preserve"> of their carrier affiliates</w:t>
      </w:r>
      <w:r w:rsidR="00D20C28" w:rsidRPr="009F34D7">
        <w:rPr>
          <w:sz w:val="24"/>
          <w:szCs w:val="24"/>
          <w:lang w:val="en-US"/>
        </w:rPr>
        <w:t xml:space="preserve"> or partners</w:t>
      </w:r>
      <w:r w:rsidRPr="009F34D7">
        <w:rPr>
          <w:sz w:val="24"/>
          <w:szCs w:val="24"/>
          <w:lang w:val="en-US"/>
        </w:rPr>
        <w:t xml:space="preserve">) when obtaining numbers directly from the Numbering Administrators; </w:t>
      </w:r>
      <w:r w:rsidR="007E1DD3" w:rsidRPr="009F34D7">
        <w:rPr>
          <w:sz w:val="24"/>
          <w:szCs w:val="24"/>
          <w:lang w:val="en-US"/>
        </w:rPr>
        <w:t xml:space="preserve">and </w:t>
      </w:r>
      <w:r w:rsidRPr="009F34D7">
        <w:rPr>
          <w:sz w:val="24"/>
          <w:szCs w:val="24"/>
          <w:lang w:val="en-US"/>
        </w:rPr>
        <w:t xml:space="preserve">(3) </w:t>
      </w:r>
      <w:r w:rsidR="007E1DD3" w:rsidRPr="009F34D7">
        <w:rPr>
          <w:sz w:val="24"/>
          <w:szCs w:val="24"/>
          <w:lang w:val="en-US"/>
        </w:rPr>
        <w:t>continue to provide their customers with the ability to access</w:t>
      </w:r>
      <w:r w:rsidR="00625351" w:rsidRPr="009F34D7">
        <w:rPr>
          <w:sz w:val="24"/>
          <w:szCs w:val="24"/>
          <w:lang w:val="en-US"/>
        </w:rPr>
        <w:t xml:space="preserve"> 911 and 711,</w:t>
      </w:r>
      <w:r w:rsidR="007E1DD3" w:rsidRPr="009F34D7">
        <w:rPr>
          <w:sz w:val="24"/>
          <w:szCs w:val="24"/>
          <w:lang w:val="en-US"/>
        </w:rPr>
        <w:t xml:space="preserve"> the Commission</w:t>
      </w:r>
      <w:r w:rsidR="001C586E" w:rsidRPr="009F34D7">
        <w:rPr>
          <w:sz w:val="24"/>
          <w:szCs w:val="24"/>
          <w:lang w:val="en-US"/>
        </w:rPr>
        <w:t>-</w:t>
      </w:r>
      <w:r w:rsidR="007E1DD3" w:rsidRPr="009F34D7">
        <w:rPr>
          <w:sz w:val="24"/>
          <w:szCs w:val="24"/>
          <w:lang w:val="en-US"/>
        </w:rPr>
        <w:t>mandated N11 numbers</w:t>
      </w:r>
      <w:r w:rsidR="00625351" w:rsidRPr="009F34D7">
        <w:rPr>
          <w:sz w:val="24"/>
          <w:szCs w:val="24"/>
          <w:lang w:val="en-US"/>
        </w:rPr>
        <w:t xml:space="preserve"> that interconnected VoIP providers are required to provide regardless of whether they obtain numbers directly or through a numbering partner</w:t>
      </w:r>
      <w:r w:rsidRPr="009F34D7">
        <w:rPr>
          <w:sz w:val="24"/>
          <w:szCs w:val="24"/>
          <w:lang w:val="en-US"/>
        </w:rPr>
        <w:t>.</w:t>
      </w:r>
      <w:r w:rsidR="00625351" w:rsidRPr="009F34D7">
        <w:rPr>
          <w:sz w:val="24"/>
          <w:szCs w:val="24"/>
          <w:lang w:val="en-US"/>
        </w:rPr>
        <w:t xml:space="preserve">  Interconnected VoIP providers who obtain authorization to request numbers directly from the Numbering Administrators are also required to give their customers access to Commission-designated N11 numbers in use in a given rate center where an interconnected VoIP provider has requested numbering resources, to the extent that the provision of these dialing arrangements is technically feasible.  The FCC expects that interconnected VoIP providers will notify consumers and </w:t>
      </w:r>
      <w:r w:rsidR="00625351" w:rsidRPr="009F34D7">
        <w:rPr>
          <w:sz w:val="24"/>
          <w:szCs w:val="24"/>
          <w:lang w:val="en-US"/>
        </w:rPr>
        <w:lastRenderedPageBreak/>
        <w:t>state commissions if they cannot provide access to a particular N11 code due to technical difficulties.</w:t>
      </w:r>
    </w:p>
    <w:p w14:paraId="7EFDB47E" w14:textId="77777777" w:rsidR="0096006A" w:rsidRPr="009F34D7" w:rsidRDefault="00AF6DB2" w:rsidP="009F34D7">
      <w:pPr>
        <w:pStyle w:val="ParaNum"/>
        <w:widowControl/>
        <w:numPr>
          <w:ilvl w:val="0"/>
          <w:numId w:val="0"/>
        </w:numPr>
        <w:spacing w:line="360" w:lineRule="auto"/>
        <w:ind w:firstLine="720"/>
        <w:rPr>
          <w:sz w:val="24"/>
          <w:szCs w:val="24"/>
          <w:lang w:val="en-US"/>
        </w:rPr>
      </w:pPr>
      <w:r w:rsidRPr="009F34D7">
        <w:rPr>
          <w:sz w:val="24"/>
          <w:szCs w:val="24"/>
          <w:lang w:val="en-US"/>
        </w:rPr>
        <w:t>This authorization process is designed to assess the eligibility of interconnected VoIP providers to obt</w:t>
      </w:r>
      <w:r w:rsidR="00EC319C" w:rsidRPr="009F34D7">
        <w:rPr>
          <w:sz w:val="24"/>
          <w:szCs w:val="24"/>
          <w:lang w:val="en-US"/>
        </w:rPr>
        <w:t>ain numbers from the Numbering A</w:t>
      </w:r>
      <w:r w:rsidRPr="009F34D7">
        <w:rPr>
          <w:sz w:val="24"/>
          <w:szCs w:val="24"/>
          <w:lang w:val="en-US"/>
        </w:rPr>
        <w:t xml:space="preserve">dministrators, and to provide a uniform, streamlined process </w:t>
      </w:r>
      <w:r w:rsidR="00EC319C" w:rsidRPr="009F34D7">
        <w:rPr>
          <w:sz w:val="24"/>
          <w:szCs w:val="24"/>
          <w:lang w:val="en-US"/>
        </w:rPr>
        <w:t xml:space="preserve">of review </w:t>
      </w:r>
      <w:r w:rsidRPr="009F34D7">
        <w:rPr>
          <w:sz w:val="24"/>
          <w:szCs w:val="24"/>
          <w:lang w:val="en-US"/>
        </w:rPr>
        <w:t>while simultaneously ensuring that the integrity of our numbering system is not jeopardized.</w:t>
      </w:r>
      <w:r w:rsidR="009F0EBC" w:rsidRPr="009F34D7">
        <w:rPr>
          <w:sz w:val="24"/>
          <w:szCs w:val="24"/>
          <w:lang w:val="en-US"/>
        </w:rPr>
        <w:t xml:space="preserve">  This process will allow interconnected VoIP providers to obtain numbers with minimal burden or delay while also preventing providers from obtaining numbers without first demonstrating that they can deploy and properly utilize </w:t>
      </w:r>
      <w:r w:rsidR="00EC319C" w:rsidRPr="009F34D7">
        <w:rPr>
          <w:sz w:val="24"/>
          <w:szCs w:val="24"/>
          <w:lang w:val="en-US"/>
        </w:rPr>
        <w:t>such</w:t>
      </w:r>
      <w:r w:rsidR="009F0EBC" w:rsidRPr="009F34D7">
        <w:rPr>
          <w:sz w:val="24"/>
          <w:szCs w:val="24"/>
          <w:lang w:val="en-US"/>
        </w:rPr>
        <w:t xml:space="preserve"> resources.  An authorization by </w:t>
      </w:r>
      <w:r w:rsidR="005B02B4" w:rsidRPr="009F34D7">
        <w:rPr>
          <w:sz w:val="24"/>
          <w:szCs w:val="24"/>
          <w:lang w:val="en-US"/>
        </w:rPr>
        <w:t>a state or the Commission is necessary to</w:t>
      </w:r>
      <w:r w:rsidR="009F0EBC" w:rsidRPr="009F34D7">
        <w:rPr>
          <w:sz w:val="24"/>
          <w:szCs w:val="24"/>
          <w:lang w:val="en-US"/>
        </w:rPr>
        <w:t xml:space="preserve"> protect against number exhaust</w:t>
      </w:r>
      <w:r w:rsidR="007E1DD3" w:rsidRPr="009F34D7">
        <w:rPr>
          <w:sz w:val="24"/>
          <w:szCs w:val="24"/>
          <w:lang w:val="en-US"/>
        </w:rPr>
        <w:t xml:space="preserve">, </w:t>
      </w:r>
      <w:r w:rsidR="005B02B4" w:rsidRPr="009F34D7">
        <w:rPr>
          <w:sz w:val="24"/>
          <w:szCs w:val="24"/>
          <w:lang w:val="en-US"/>
        </w:rPr>
        <w:t xml:space="preserve">as well as to ensure competitive neutrality among traditional telecommunications carriers and interconnected VoIP providers in the market for voice services </w:t>
      </w:r>
      <w:r w:rsidR="009F0EBC" w:rsidRPr="009F34D7">
        <w:rPr>
          <w:sz w:val="24"/>
          <w:szCs w:val="24"/>
          <w:lang w:val="en-US"/>
        </w:rPr>
        <w:t xml:space="preserve">by eliminating the unnecessary inefficiencies and associated expenses that have previously been caused by </w:t>
      </w:r>
      <w:r w:rsidR="00EC319C" w:rsidRPr="009F34D7">
        <w:rPr>
          <w:sz w:val="24"/>
          <w:szCs w:val="24"/>
          <w:lang w:val="en-US"/>
        </w:rPr>
        <w:t>requiring</w:t>
      </w:r>
      <w:r w:rsidR="009F0EBC" w:rsidRPr="009F34D7">
        <w:rPr>
          <w:sz w:val="24"/>
          <w:szCs w:val="24"/>
          <w:lang w:val="en-US"/>
        </w:rPr>
        <w:t xml:space="preserve"> interconnected V</w:t>
      </w:r>
      <w:r w:rsidR="00EC319C" w:rsidRPr="009F34D7">
        <w:rPr>
          <w:sz w:val="24"/>
          <w:szCs w:val="24"/>
          <w:lang w:val="en-US"/>
        </w:rPr>
        <w:t>oIP providers to partner with telecommunication</w:t>
      </w:r>
      <w:r w:rsidR="009F0EBC" w:rsidRPr="009F34D7">
        <w:rPr>
          <w:sz w:val="24"/>
          <w:szCs w:val="24"/>
          <w:lang w:val="en-US"/>
        </w:rPr>
        <w:t xml:space="preserve"> carrier</w:t>
      </w:r>
      <w:r w:rsidR="00EC319C" w:rsidRPr="009F34D7">
        <w:rPr>
          <w:sz w:val="24"/>
          <w:szCs w:val="24"/>
          <w:lang w:val="en-US"/>
        </w:rPr>
        <w:t>s</w:t>
      </w:r>
      <w:r w:rsidR="009F0EBC" w:rsidRPr="009F34D7">
        <w:rPr>
          <w:sz w:val="24"/>
          <w:szCs w:val="24"/>
          <w:lang w:val="en-US"/>
        </w:rPr>
        <w:t xml:space="preserve"> in order to obtain telephone numbers</w:t>
      </w:r>
      <w:r w:rsidR="005B02B4" w:rsidRPr="009F34D7">
        <w:rPr>
          <w:sz w:val="24"/>
          <w:szCs w:val="24"/>
          <w:lang w:val="en-US"/>
        </w:rPr>
        <w:t>.</w:t>
      </w:r>
    </w:p>
    <w:p w14:paraId="660237BD" w14:textId="77777777" w:rsidR="00C916FF" w:rsidRPr="00C256AC" w:rsidRDefault="00C916FF" w:rsidP="001D10F3">
      <w:pPr>
        <w:tabs>
          <w:tab w:val="left" w:pos="-720"/>
        </w:tabs>
        <w:suppressAutoHyphens/>
        <w:spacing w:line="240" w:lineRule="atLeast"/>
        <w:ind w:right="240"/>
        <w:rPr>
          <w:rFonts w:cs="Times New Roman"/>
          <w:spacing w:val="-3"/>
          <w:szCs w:val="24"/>
        </w:rPr>
      </w:pPr>
    </w:p>
    <w:p w14:paraId="7E213223" w14:textId="77777777" w:rsidR="001D10F3" w:rsidRPr="00290A55" w:rsidRDefault="000416A1" w:rsidP="001D10F3">
      <w:pPr>
        <w:tabs>
          <w:tab w:val="left" w:pos="-720"/>
        </w:tabs>
        <w:suppressAutoHyphens/>
        <w:spacing w:line="240" w:lineRule="atLeast"/>
        <w:ind w:right="240"/>
        <w:rPr>
          <w:rFonts w:cs="Times New Roman"/>
          <w:spacing w:val="-3"/>
          <w:szCs w:val="24"/>
        </w:rPr>
      </w:pPr>
      <w:r>
        <w:rPr>
          <w:rFonts w:cs="Times New Roman"/>
          <w:spacing w:val="-3"/>
          <w:szCs w:val="24"/>
        </w:rPr>
        <w:tab/>
      </w:r>
      <w:r w:rsidR="001D10F3" w:rsidRPr="00290A55">
        <w:rPr>
          <w:rFonts w:cs="Times New Roman"/>
          <w:spacing w:val="-3"/>
          <w:szCs w:val="24"/>
        </w:rPr>
        <w:t>This information collection does not affect individuals or households; thus, there are no impacts under the Privacy Act.</w:t>
      </w:r>
    </w:p>
    <w:p w14:paraId="5A8D58CE" w14:textId="77777777" w:rsidR="001D10F3" w:rsidRPr="009F34D7" w:rsidRDefault="001D10F3" w:rsidP="001D10F3">
      <w:pPr>
        <w:pStyle w:val="ParaNum"/>
        <w:widowControl/>
        <w:numPr>
          <w:ilvl w:val="0"/>
          <w:numId w:val="0"/>
        </w:numPr>
        <w:spacing w:line="360" w:lineRule="auto"/>
        <w:rPr>
          <w:sz w:val="24"/>
          <w:szCs w:val="24"/>
          <w:lang w:val="en-US"/>
        </w:rPr>
      </w:pPr>
    </w:p>
    <w:p w14:paraId="7B94CCD8" w14:textId="77777777" w:rsidR="00F34B27" w:rsidRPr="009F34D7" w:rsidRDefault="00F34B27" w:rsidP="009F34D7">
      <w:pPr>
        <w:pStyle w:val="ParaNum"/>
        <w:widowControl/>
        <w:numPr>
          <w:ilvl w:val="0"/>
          <w:numId w:val="0"/>
        </w:numPr>
        <w:spacing w:line="360" w:lineRule="auto"/>
        <w:ind w:firstLine="720"/>
        <w:rPr>
          <w:sz w:val="24"/>
          <w:szCs w:val="24"/>
          <w:lang w:val="en-US"/>
        </w:rPr>
      </w:pPr>
      <w:r w:rsidRPr="009F34D7">
        <w:rPr>
          <w:sz w:val="24"/>
          <w:szCs w:val="24"/>
        </w:rPr>
        <w:lastRenderedPageBreak/>
        <w:t>The Commission’s statutory authority for th</w:t>
      </w:r>
      <w:r w:rsidR="00C256AC">
        <w:rPr>
          <w:sz w:val="24"/>
          <w:szCs w:val="24"/>
          <w:lang w:val="en-US"/>
        </w:rPr>
        <w:t xml:space="preserve">is information </w:t>
      </w:r>
      <w:r w:rsidRPr="009F34D7">
        <w:rPr>
          <w:sz w:val="24"/>
          <w:szCs w:val="24"/>
        </w:rPr>
        <w:t xml:space="preserve">collection </w:t>
      </w:r>
      <w:r w:rsidR="00C256AC">
        <w:rPr>
          <w:sz w:val="24"/>
          <w:szCs w:val="24"/>
          <w:lang w:val="en-US"/>
        </w:rPr>
        <w:t xml:space="preserve">is contained in </w:t>
      </w:r>
      <w:r w:rsidR="00285DBB" w:rsidRPr="009F34D7">
        <w:rPr>
          <w:sz w:val="24"/>
          <w:szCs w:val="24"/>
          <w:lang w:val="en-US"/>
        </w:rPr>
        <w:t>se</w:t>
      </w:r>
      <w:proofErr w:type="spellStart"/>
      <w:r w:rsidR="007E1DD3" w:rsidRPr="009F34D7">
        <w:rPr>
          <w:sz w:val="24"/>
          <w:szCs w:val="24"/>
        </w:rPr>
        <w:t>ct</w:t>
      </w:r>
      <w:r w:rsidR="00D96411">
        <w:rPr>
          <w:sz w:val="24"/>
          <w:szCs w:val="24"/>
          <w:lang w:val="en-US"/>
        </w:rPr>
        <w:t>ion</w:t>
      </w:r>
      <w:proofErr w:type="spellEnd"/>
      <w:r w:rsidR="007E1DD3" w:rsidRPr="009F34D7">
        <w:rPr>
          <w:sz w:val="24"/>
          <w:szCs w:val="24"/>
        </w:rPr>
        <w:t xml:space="preserve"> 251(e)(1) </w:t>
      </w:r>
      <w:r w:rsidRPr="009F34D7">
        <w:rPr>
          <w:sz w:val="24"/>
          <w:szCs w:val="24"/>
        </w:rPr>
        <w:t xml:space="preserve">of the </w:t>
      </w:r>
      <w:r w:rsidR="0096006A" w:rsidRPr="009F34D7">
        <w:rPr>
          <w:sz w:val="24"/>
          <w:szCs w:val="24"/>
          <w:lang w:val="en-US"/>
        </w:rPr>
        <w:t>Telecommunications Act of 1996 (1996 Act)</w:t>
      </w:r>
      <w:r w:rsidR="0081493C" w:rsidRPr="009F34D7">
        <w:rPr>
          <w:sz w:val="24"/>
          <w:szCs w:val="24"/>
        </w:rPr>
        <w:t>.</w:t>
      </w:r>
    </w:p>
    <w:p w14:paraId="16837DE5" w14:textId="77777777" w:rsidR="00014485" w:rsidRPr="009F34D7" w:rsidRDefault="0096006A" w:rsidP="009F34D7">
      <w:pPr>
        <w:spacing w:line="360" w:lineRule="auto"/>
        <w:ind w:firstLine="720"/>
        <w:rPr>
          <w:rFonts w:cs="Times New Roman"/>
          <w:szCs w:val="24"/>
        </w:rPr>
      </w:pPr>
      <w:r w:rsidRPr="009F34D7">
        <w:rPr>
          <w:rFonts w:cs="Times New Roman"/>
          <w:szCs w:val="24"/>
        </w:rPr>
        <w:t>Section 251(e)(1) of the 1996 Act, 47 U.S.C. § 251(e)(1), gives the FCC “exclusive jurisdiction” over that portion of the North American Numbering Plan (NANP) that pertains to the United States, and provides that such numbers must be “available on an equitable basis.”  The FCC retains authority to set policy with respect to all facets of numbering administration in the United States.</w:t>
      </w:r>
      <w:r w:rsidRPr="00C256AC">
        <w:rPr>
          <w:rStyle w:val="FootnoteReference"/>
          <w:rFonts w:cs="Times New Roman"/>
          <w:sz w:val="24"/>
          <w:szCs w:val="24"/>
        </w:rPr>
        <w:footnoteReference w:id="2"/>
      </w:r>
      <w:r w:rsidRPr="009F34D7">
        <w:rPr>
          <w:rFonts w:cs="Times New Roman"/>
          <w:szCs w:val="24"/>
        </w:rPr>
        <w:t xml:space="preserve">  The FCC has concluded that its plenary numbering authority allows it to extend numbering-related requirements to interconnected VoIP providers that utilize telephone numbers.</w:t>
      </w:r>
      <w:r w:rsidRPr="00C256AC">
        <w:rPr>
          <w:rStyle w:val="FootnoteReference"/>
          <w:rFonts w:cs="Times New Roman"/>
          <w:sz w:val="24"/>
          <w:szCs w:val="24"/>
        </w:rPr>
        <w:footnoteReference w:id="3"/>
      </w:r>
      <w:r w:rsidRPr="009F34D7">
        <w:rPr>
          <w:rFonts w:cs="Times New Roman"/>
          <w:szCs w:val="24"/>
        </w:rPr>
        <w:t xml:space="preserve">  </w:t>
      </w:r>
      <w:r w:rsidR="007E1DD3" w:rsidRPr="009F34D7">
        <w:rPr>
          <w:rFonts w:cs="Times New Roman"/>
          <w:szCs w:val="24"/>
        </w:rPr>
        <w:t xml:space="preserve">Nothing in section 251(e)(1) limits access to numbers to “telecommunications carriers” or “telecommunications services,” </w:t>
      </w:r>
      <w:r w:rsidR="007E1DD3" w:rsidRPr="009F34D7">
        <w:rPr>
          <w:rFonts w:cs="Times New Roman"/>
          <w:szCs w:val="24"/>
        </w:rPr>
        <w:lastRenderedPageBreak/>
        <w:t xml:space="preserve">and thus in defining the underlying policies regarding access to and use of numbers, the agency concludes that it can provide such access directly to interconnected VoIP providers, </w:t>
      </w:r>
      <w:r w:rsidR="00D20C28" w:rsidRPr="009F34D7">
        <w:rPr>
          <w:rFonts w:cs="Times New Roman"/>
          <w:szCs w:val="24"/>
        </w:rPr>
        <w:t>without regard to whether they are carriers</w:t>
      </w:r>
      <w:r w:rsidR="007E1DD3" w:rsidRPr="009F34D7">
        <w:rPr>
          <w:rFonts w:cs="Times New Roman"/>
          <w:szCs w:val="24"/>
        </w:rPr>
        <w:t xml:space="preserve">.  Moreover, the obligation to ensure that numbers are available on an equitable basis is reasonably understood to include not only how numbers are made available but to whom, and on what terms and conditions.  </w:t>
      </w:r>
    </w:p>
    <w:p w14:paraId="4D8184BF" w14:textId="77777777" w:rsidR="0096006A" w:rsidRPr="009F34D7" w:rsidRDefault="004463C8" w:rsidP="009F34D7">
      <w:pPr>
        <w:spacing w:line="360" w:lineRule="auto"/>
        <w:ind w:firstLine="720"/>
        <w:rPr>
          <w:rFonts w:cs="Times New Roman"/>
          <w:szCs w:val="24"/>
        </w:rPr>
      </w:pPr>
      <w:r w:rsidRPr="009F34D7">
        <w:rPr>
          <w:rFonts w:cs="Times New Roman"/>
          <w:szCs w:val="24"/>
        </w:rPr>
        <w:t xml:space="preserve">Nothing in section 251(e) restricts the Commission’s jurisdiction to telecommunications carriers, and the absence of any express limitation supports our finding that Congress did not intend to limit the Commission’s flexibility to extend direct access to numbers to non-carrier interconnected VoIP providers.  Further, authorizing interconnected VoIP providers to obtain numbers directly from the Numbering Administrators does not conflict with the fact that recovery of the costs of numbering administration is focused on telecommunications carriers under section 251(e)(2).  Nor does authorizing direct access to numbers conflict with the fact that section 251(b)(2) addresses LECs’ obligation to allow customers to port numbers when switching from one telecommunications carrier to another, since section 251(b)(2) is reasonably understood simply as reflecting a requirement that Congress anticipated as necessary to promote competition in local markets, rather than reflecting any inherent Congressional judgment regarding the universe </w:t>
      </w:r>
      <w:r w:rsidRPr="009F34D7">
        <w:rPr>
          <w:rFonts w:cs="Times New Roman"/>
          <w:szCs w:val="24"/>
        </w:rPr>
        <w:lastRenderedPageBreak/>
        <w:t xml:space="preserve">of entities that might have direct access to telephone numbers.  </w:t>
      </w:r>
      <w:r w:rsidR="0096006A" w:rsidRPr="009F34D7">
        <w:rPr>
          <w:rFonts w:cs="Times New Roman"/>
          <w:szCs w:val="24"/>
        </w:rPr>
        <w:t>Thus, the FCC has authority under section 251(e</w:t>
      </w:r>
      <w:proofErr w:type="gramStart"/>
      <w:r w:rsidR="0096006A" w:rsidRPr="009F34D7">
        <w:rPr>
          <w:rFonts w:cs="Times New Roman"/>
          <w:szCs w:val="24"/>
        </w:rPr>
        <w:t>)(</w:t>
      </w:r>
      <w:proofErr w:type="gramEnd"/>
      <w:r w:rsidR="0096006A" w:rsidRPr="009F34D7">
        <w:rPr>
          <w:rFonts w:cs="Times New Roman"/>
          <w:szCs w:val="24"/>
        </w:rPr>
        <w:t>1) to extend to interconnected VoIP providers both the rights and obligations associated with using telephone numbers.</w:t>
      </w:r>
    </w:p>
    <w:p w14:paraId="7CCE62F5" w14:textId="77777777" w:rsidR="008327F4" w:rsidRPr="009F34D7" w:rsidRDefault="001E1B53" w:rsidP="00801053">
      <w:pPr>
        <w:pStyle w:val="CM2"/>
        <w:spacing w:before="211" w:after="173" w:line="360" w:lineRule="auto"/>
        <w:rPr>
          <w:rFonts w:ascii="Times New Roman" w:hAnsi="Times New Roman"/>
        </w:rPr>
      </w:pPr>
      <w:r w:rsidRPr="009F34D7">
        <w:rPr>
          <w:rFonts w:ascii="Times New Roman" w:hAnsi="Times New Roman"/>
          <w:b/>
        </w:rPr>
        <w:t xml:space="preserve">2. </w:t>
      </w:r>
      <w:r w:rsidR="000416A1">
        <w:rPr>
          <w:rFonts w:ascii="Times New Roman" w:hAnsi="Times New Roman"/>
          <w:b/>
        </w:rPr>
        <w:tab/>
      </w:r>
      <w:r w:rsidR="00801053" w:rsidRPr="009F34D7">
        <w:rPr>
          <w:rFonts w:ascii="Times New Roman" w:hAnsi="Times New Roman"/>
        </w:rPr>
        <w:t>The information collected as part of the Numbering Authorization Application will be used by the staff of the Wireline Competition Bureau (Bureau)</w:t>
      </w:r>
      <w:r w:rsidR="00FA6105" w:rsidRPr="009F34D7">
        <w:rPr>
          <w:rFonts w:ascii="Times New Roman" w:hAnsi="Times New Roman"/>
        </w:rPr>
        <w:t xml:space="preserve"> of the FCC</w:t>
      </w:r>
      <w:r w:rsidR="00801053" w:rsidRPr="009F34D7">
        <w:rPr>
          <w:rFonts w:ascii="Times New Roman" w:hAnsi="Times New Roman"/>
        </w:rPr>
        <w:t xml:space="preserve"> to verify that </w:t>
      </w:r>
      <w:r w:rsidR="00D20C28" w:rsidRPr="009F34D7">
        <w:rPr>
          <w:rFonts w:ascii="Times New Roman" w:hAnsi="Times New Roman"/>
        </w:rPr>
        <w:t xml:space="preserve">these applications conform </w:t>
      </w:r>
      <w:r w:rsidR="005250D2" w:rsidRPr="009F34D7">
        <w:rPr>
          <w:rFonts w:ascii="Times New Roman" w:hAnsi="Times New Roman"/>
        </w:rPr>
        <w:t>to</w:t>
      </w:r>
      <w:r w:rsidR="00D20C28" w:rsidRPr="009F34D7">
        <w:rPr>
          <w:rFonts w:ascii="Times New Roman" w:hAnsi="Times New Roman"/>
        </w:rPr>
        <w:t xml:space="preserve"> procedural rules</w:t>
      </w:r>
      <w:r w:rsidR="00801053" w:rsidRPr="009F34D7">
        <w:rPr>
          <w:rFonts w:ascii="Times New Roman" w:hAnsi="Times New Roman"/>
        </w:rPr>
        <w:t xml:space="preserve">.  Thus, this information will help the FCC protect against number exhaust while also promoting competitive neutrality among traditional telecommunications carriers and interconnected VoIP providers by allowing both entities to obtain numbers directly from the Numbering Administrators. </w:t>
      </w:r>
      <w:r w:rsidR="00D20C28" w:rsidRPr="009F34D7">
        <w:rPr>
          <w:rFonts w:ascii="Times New Roman" w:hAnsi="Times New Roman"/>
        </w:rPr>
        <w:t xml:space="preserve"> Bureau staff will also review the information collected as part of the Numbering Authorization Applications to ensure the fitness of the applicants and their principals to administer numbers, ensure that telephone numbers are not stranded, and maintain efficient utilization of numbering resources.</w:t>
      </w:r>
    </w:p>
    <w:p w14:paraId="14B74D76" w14:textId="77777777" w:rsidR="00DB0234" w:rsidRPr="009F34D7" w:rsidRDefault="00801053" w:rsidP="006D1BA2">
      <w:pPr>
        <w:numPr>
          <w:ilvl w:val="0"/>
          <w:numId w:val="5"/>
        </w:numPr>
        <w:spacing w:line="360" w:lineRule="auto"/>
        <w:contextualSpacing/>
        <w:rPr>
          <w:rFonts w:cs="Times New Roman"/>
          <w:szCs w:val="24"/>
        </w:rPr>
      </w:pPr>
      <w:r w:rsidRPr="009F34D7">
        <w:rPr>
          <w:rFonts w:cs="Times New Roman"/>
          <w:szCs w:val="24"/>
        </w:rPr>
        <w:t>Compliance with Number Administration Rules and Guidelines</w:t>
      </w:r>
      <w:r w:rsidR="008327F4" w:rsidRPr="009F34D7">
        <w:rPr>
          <w:rFonts w:cs="Times New Roman"/>
          <w:szCs w:val="24"/>
        </w:rPr>
        <w:t>:</w:t>
      </w:r>
      <w:r w:rsidR="00DB0234" w:rsidRPr="009F34D7">
        <w:rPr>
          <w:rFonts w:cs="Times New Roman"/>
          <w:szCs w:val="24"/>
        </w:rPr>
        <w:t xml:space="preserve"> </w:t>
      </w:r>
      <w:r w:rsidRPr="009F34D7">
        <w:rPr>
          <w:rFonts w:cs="Times New Roman"/>
          <w:szCs w:val="24"/>
        </w:rPr>
        <w:t xml:space="preserve"> Provision of the information required by these rules and guidelines will help </w:t>
      </w:r>
      <w:r w:rsidR="00F42EA8" w:rsidRPr="009F34D7">
        <w:rPr>
          <w:rFonts w:cs="Times New Roman"/>
          <w:szCs w:val="24"/>
        </w:rPr>
        <w:t>alleviate concerns about telephone number exhaust and ensure competitive neutrality among providers of voice services</w:t>
      </w:r>
      <w:r w:rsidRPr="009F34D7">
        <w:rPr>
          <w:rFonts w:cs="Times New Roman"/>
          <w:szCs w:val="24"/>
        </w:rPr>
        <w:t xml:space="preserve">.  </w:t>
      </w:r>
      <w:r w:rsidR="00550743" w:rsidRPr="009F34D7">
        <w:rPr>
          <w:rFonts w:cs="Times New Roman"/>
          <w:szCs w:val="24"/>
        </w:rPr>
        <w:t xml:space="preserve">Requiring interconnected VoIP providers who obtain direct access to numbers to file NRUF reports </w:t>
      </w:r>
      <w:r w:rsidR="00FA6105" w:rsidRPr="009F34D7">
        <w:rPr>
          <w:rFonts w:cs="Times New Roman"/>
          <w:szCs w:val="24"/>
        </w:rPr>
        <w:lastRenderedPageBreak/>
        <w:t xml:space="preserve">with the NANPA </w:t>
      </w:r>
      <w:r w:rsidR="00550743" w:rsidRPr="009F34D7">
        <w:rPr>
          <w:rFonts w:cs="Times New Roman"/>
          <w:szCs w:val="24"/>
        </w:rPr>
        <w:t>will also allow the FCC</w:t>
      </w:r>
      <w:r w:rsidR="00F42EA8" w:rsidRPr="009F34D7">
        <w:rPr>
          <w:rFonts w:cs="Times New Roman"/>
          <w:szCs w:val="24"/>
        </w:rPr>
        <w:t xml:space="preserve"> </w:t>
      </w:r>
      <w:r w:rsidR="00550743" w:rsidRPr="009F34D7">
        <w:rPr>
          <w:rFonts w:cs="Times New Roman"/>
          <w:szCs w:val="24"/>
        </w:rPr>
        <w:t>to better monitor the utilization of numbers to make sure that this limited resource is being deployed and utilized properly.</w:t>
      </w:r>
    </w:p>
    <w:p w14:paraId="57237677" w14:textId="77777777" w:rsidR="00DB0234" w:rsidRPr="009F34D7" w:rsidRDefault="00DB0234" w:rsidP="006D1BA2">
      <w:pPr>
        <w:spacing w:line="360" w:lineRule="auto"/>
        <w:ind w:left="1440"/>
        <w:rPr>
          <w:rFonts w:cs="Times New Roman"/>
          <w:szCs w:val="24"/>
        </w:rPr>
      </w:pPr>
    </w:p>
    <w:p w14:paraId="0684A1D4" w14:textId="77777777" w:rsidR="00C674FD" w:rsidRPr="009F34D7" w:rsidRDefault="00550743" w:rsidP="006D1BA2">
      <w:pPr>
        <w:numPr>
          <w:ilvl w:val="0"/>
          <w:numId w:val="5"/>
        </w:numPr>
        <w:spacing w:line="360" w:lineRule="auto"/>
        <w:contextualSpacing/>
        <w:rPr>
          <w:rFonts w:cs="Times New Roman"/>
          <w:szCs w:val="24"/>
        </w:rPr>
      </w:pPr>
      <w:r w:rsidRPr="009F34D7">
        <w:rPr>
          <w:rFonts w:cs="Times New Roman"/>
          <w:szCs w:val="24"/>
        </w:rPr>
        <w:t>30-Day Notice Requirement</w:t>
      </w:r>
      <w:r w:rsidR="008327F4" w:rsidRPr="009F34D7">
        <w:rPr>
          <w:rFonts w:cs="Times New Roman"/>
          <w:szCs w:val="24"/>
        </w:rPr>
        <w:t xml:space="preserve">:  </w:t>
      </w:r>
      <w:r w:rsidRPr="009F34D7">
        <w:rPr>
          <w:rFonts w:cs="Times New Roman"/>
          <w:szCs w:val="24"/>
        </w:rPr>
        <w:t>Requiring interconnected VoIP providers to file requests for numbers with the relevant state commission(s) at least 30 days prior to requesting numbers from the Numbering Administrators will allow the states to monitor number usage and raise any concerns about the request with the provider, the Commission, an</w:t>
      </w:r>
      <w:r w:rsidR="00FA6105" w:rsidRPr="009F34D7">
        <w:rPr>
          <w:rFonts w:cs="Times New Roman"/>
          <w:szCs w:val="24"/>
        </w:rPr>
        <w:t xml:space="preserve">d the Numbering Administrators.  This notice period will also allow the states to </w:t>
      </w:r>
      <w:r w:rsidRPr="009F34D7">
        <w:rPr>
          <w:rFonts w:cs="Times New Roman"/>
          <w:szCs w:val="24"/>
        </w:rPr>
        <w:t xml:space="preserve">determine whether the request is problematic for any reason, such as a provider’s failure to submit timely NRUF reports or meet the utilization threshold necessary to obtain additional numbers.  This information collection and notice period will also allow state commissions to advise interconnected VoIP providers as to which rate centers have excess blocks of numbers </w:t>
      </w:r>
      <w:r w:rsidR="00EC319C" w:rsidRPr="009F34D7">
        <w:rPr>
          <w:rFonts w:cs="Times New Roman"/>
          <w:szCs w:val="24"/>
        </w:rPr>
        <w:t>available.</w:t>
      </w:r>
      <w:r w:rsidRPr="009F34D7">
        <w:rPr>
          <w:rFonts w:cs="Times New Roman"/>
          <w:szCs w:val="24"/>
        </w:rPr>
        <w:t xml:space="preserve">  </w:t>
      </w:r>
    </w:p>
    <w:p w14:paraId="2940F964" w14:textId="77777777" w:rsidR="008327F4" w:rsidRPr="009F34D7" w:rsidRDefault="008327F4" w:rsidP="006D1BA2">
      <w:pPr>
        <w:pStyle w:val="MediumGrid1-Accent21"/>
        <w:spacing w:line="360" w:lineRule="auto"/>
        <w:ind w:left="1440"/>
        <w:rPr>
          <w:sz w:val="24"/>
        </w:rPr>
      </w:pPr>
    </w:p>
    <w:p w14:paraId="3CAC2DB9" w14:textId="77777777" w:rsidR="008327F4" w:rsidRPr="009F34D7" w:rsidRDefault="00550743" w:rsidP="006D1BA2">
      <w:pPr>
        <w:pStyle w:val="MediumGrid1-Accent21"/>
        <w:numPr>
          <w:ilvl w:val="0"/>
          <w:numId w:val="5"/>
        </w:numPr>
        <w:spacing w:line="360" w:lineRule="auto"/>
        <w:rPr>
          <w:sz w:val="24"/>
        </w:rPr>
      </w:pPr>
      <w:r w:rsidRPr="009F34D7">
        <w:rPr>
          <w:sz w:val="24"/>
        </w:rPr>
        <w:t>Contact Information</w:t>
      </w:r>
      <w:r w:rsidR="008327F4" w:rsidRPr="009F34D7">
        <w:rPr>
          <w:sz w:val="24"/>
        </w:rPr>
        <w:t>:</w:t>
      </w:r>
      <w:r w:rsidR="00B037E1" w:rsidRPr="009F34D7">
        <w:rPr>
          <w:sz w:val="24"/>
        </w:rPr>
        <w:t xml:space="preserve">  </w:t>
      </w:r>
      <w:r w:rsidRPr="009F34D7">
        <w:rPr>
          <w:sz w:val="24"/>
        </w:rPr>
        <w:t xml:space="preserve">This information will allow state commissions to effectively monitor local numbering </w:t>
      </w:r>
      <w:r w:rsidR="00F42EA8" w:rsidRPr="009F34D7">
        <w:rPr>
          <w:sz w:val="24"/>
        </w:rPr>
        <w:t xml:space="preserve">issues, which will, in turn, help the </w:t>
      </w:r>
      <w:r w:rsidR="00F42EA8" w:rsidRPr="009F34D7">
        <w:rPr>
          <w:sz w:val="24"/>
        </w:rPr>
        <w:lastRenderedPageBreak/>
        <w:t>FCC in its overall efforts to conserve numbers.  The provision of this contact information will also allow state commissions to effectively and most readily address matters relating to regulatory compliance, provision of 911 service, and law enforcement</w:t>
      </w:r>
      <w:r w:rsidRPr="009F34D7">
        <w:rPr>
          <w:sz w:val="24"/>
        </w:rPr>
        <w:t>.</w:t>
      </w:r>
      <w:r w:rsidR="0077292F" w:rsidRPr="009F34D7">
        <w:rPr>
          <w:sz w:val="24"/>
        </w:rPr>
        <w:t xml:space="preserve">  </w:t>
      </w:r>
    </w:p>
    <w:p w14:paraId="3462D51E" w14:textId="77777777" w:rsidR="008327F4" w:rsidRPr="009F34D7" w:rsidRDefault="008327F4" w:rsidP="006D1BA2">
      <w:pPr>
        <w:pStyle w:val="MediumGrid1-Accent21"/>
        <w:spacing w:line="360" w:lineRule="auto"/>
        <w:rPr>
          <w:sz w:val="24"/>
        </w:rPr>
      </w:pPr>
    </w:p>
    <w:p w14:paraId="4E96C19B" w14:textId="77777777" w:rsidR="00AE235A" w:rsidRPr="009F34D7" w:rsidRDefault="00550743" w:rsidP="006D1BA2">
      <w:pPr>
        <w:pStyle w:val="MediumGrid1-Accent21"/>
        <w:numPr>
          <w:ilvl w:val="0"/>
          <w:numId w:val="5"/>
        </w:numPr>
        <w:tabs>
          <w:tab w:val="num" w:pos="1440"/>
        </w:tabs>
        <w:spacing w:line="360" w:lineRule="auto"/>
        <w:rPr>
          <w:sz w:val="24"/>
        </w:rPr>
      </w:pPr>
      <w:r w:rsidRPr="009F34D7">
        <w:rPr>
          <w:sz w:val="24"/>
        </w:rPr>
        <w:t>“Facilities Readiness” Requirement</w:t>
      </w:r>
      <w:r w:rsidR="008327F4" w:rsidRPr="009F34D7">
        <w:rPr>
          <w:sz w:val="24"/>
        </w:rPr>
        <w:t>:</w:t>
      </w:r>
      <w:r w:rsidR="001F7C38" w:rsidRPr="009F34D7">
        <w:rPr>
          <w:sz w:val="24"/>
        </w:rPr>
        <w:t xml:space="preserve"> </w:t>
      </w:r>
      <w:r w:rsidR="00AE235A" w:rsidRPr="009F34D7">
        <w:rPr>
          <w:sz w:val="24"/>
        </w:rPr>
        <w:t xml:space="preserve"> </w:t>
      </w:r>
      <w:r w:rsidRPr="009F34D7">
        <w:rPr>
          <w:sz w:val="24"/>
        </w:rPr>
        <w:t xml:space="preserve">This information will allow the FCC to accurately determine whether specific interconnected VoIP providers are capable of providing service within sixty days of the numbering resources activation date.  This in turn will help </w:t>
      </w:r>
      <w:r w:rsidR="00FA6105" w:rsidRPr="009F34D7">
        <w:rPr>
          <w:sz w:val="24"/>
        </w:rPr>
        <w:t>the FCC verify</w:t>
      </w:r>
      <w:r w:rsidRPr="009F34D7">
        <w:rPr>
          <w:sz w:val="24"/>
        </w:rPr>
        <w:t xml:space="preserve"> that providers </w:t>
      </w:r>
      <w:r w:rsidR="00FA6105" w:rsidRPr="009F34D7">
        <w:rPr>
          <w:sz w:val="24"/>
        </w:rPr>
        <w:t xml:space="preserve">are able to </w:t>
      </w:r>
      <w:r w:rsidRPr="009F34D7">
        <w:rPr>
          <w:sz w:val="24"/>
        </w:rPr>
        <w:t xml:space="preserve">deploy and properly use numbers prior to </w:t>
      </w:r>
      <w:r w:rsidR="004D3558" w:rsidRPr="009F34D7">
        <w:rPr>
          <w:sz w:val="24"/>
        </w:rPr>
        <w:t xml:space="preserve">obtaining </w:t>
      </w:r>
      <w:proofErr w:type="gramStart"/>
      <w:r w:rsidR="004D3558" w:rsidRPr="009F34D7">
        <w:rPr>
          <w:sz w:val="24"/>
        </w:rPr>
        <w:t>them</w:t>
      </w:r>
      <w:r w:rsidR="001F7C38" w:rsidRPr="009F34D7">
        <w:rPr>
          <w:sz w:val="24"/>
        </w:rPr>
        <w:t>.</w:t>
      </w:r>
      <w:proofErr w:type="gramEnd"/>
      <w:r w:rsidR="001F7C38" w:rsidRPr="009F34D7">
        <w:rPr>
          <w:sz w:val="24"/>
        </w:rPr>
        <w:t xml:space="preserve">  </w:t>
      </w:r>
    </w:p>
    <w:p w14:paraId="088E2BC2" w14:textId="77777777" w:rsidR="001E7F7C" w:rsidRPr="009F34D7" w:rsidRDefault="001E7F7C" w:rsidP="00285DBB">
      <w:pPr>
        <w:pStyle w:val="MediumGrid1-Accent21"/>
        <w:spacing w:line="360" w:lineRule="auto"/>
        <w:ind w:left="0"/>
        <w:rPr>
          <w:sz w:val="24"/>
        </w:rPr>
      </w:pPr>
    </w:p>
    <w:p w14:paraId="513159CA" w14:textId="77777777" w:rsidR="001E7F7C" w:rsidRPr="009F34D7" w:rsidRDefault="001E7F7C" w:rsidP="006D1BA2">
      <w:pPr>
        <w:pStyle w:val="MediumGrid1-Accent21"/>
        <w:numPr>
          <w:ilvl w:val="0"/>
          <w:numId w:val="5"/>
        </w:numPr>
        <w:tabs>
          <w:tab w:val="num" w:pos="1440"/>
        </w:tabs>
        <w:spacing w:line="360" w:lineRule="auto"/>
        <w:rPr>
          <w:sz w:val="24"/>
        </w:rPr>
      </w:pPr>
      <w:r w:rsidRPr="009F34D7">
        <w:rPr>
          <w:sz w:val="24"/>
        </w:rPr>
        <w:t>Certification of Capacity to Provide Service:  This information will allow the FCC to determine whether the applicant has the requisite technical, managerial, and financial capacity to provide service.  It will also allow the FCC to determine whether the Chief Operating Officer and Chief Technology Officer of an interconnected VoIP provider, or the equiva</w:t>
      </w:r>
      <w:r w:rsidRPr="009F34D7">
        <w:rPr>
          <w:sz w:val="24"/>
        </w:rPr>
        <w:lastRenderedPageBreak/>
        <w:t xml:space="preserve">lent, is being or has been investigated by the Commission or any law enforcement or regulatory agency for failure to comply with any law, rule, or order. </w:t>
      </w:r>
    </w:p>
    <w:p w14:paraId="6D4E6994" w14:textId="77777777" w:rsidR="004A0FD5" w:rsidRPr="00C256AC" w:rsidRDefault="004A0FD5" w:rsidP="004A0FD5">
      <w:pPr>
        <w:pStyle w:val="ListParagraph"/>
        <w:rPr>
          <w:rFonts w:cs="Times New Roman"/>
          <w:szCs w:val="24"/>
        </w:rPr>
      </w:pPr>
    </w:p>
    <w:p w14:paraId="743552BE" w14:textId="77777777" w:rsidR="004A0FD5" w:rsidRPr="009F34D7" w:rsidRDefault="004A0FD5" w:rsidP="006D1BA2">
      <w:pPr>
        <w:pStyle w:val="MediumGrid1-Accent21"/>
        <w:numPr>
          <w:ilvl w:val="0"/>
          <w:numId w:val="5"/>
        </w:numPr>
        <w:tabs>
          <w:tab w:val="num" w:pos="1440"/>
        </w:tabs>
        <w:spacing w:line="360" w:lineRule="auto"/>
        <w:rPr>
          <w:sz w:val="24"/>
        </w:rPr>
      </w:pPr>
      <w:r w:rsidRPr="009F34D7">
        <w:rPr>
          <w:sz w:val="24"/>
        </w:rPr>
        <w:t xml:space="preserve">Certification of Contribution Obligations:  This information will allow the FCC to determine whether applicants are in compliance with their USF, TRS, and LNP contribution obligations, as well as their </w:t>
      </w:r>
      <w:r w:rsidR="00524A6D" w:rsidRPr="009F34D7">
        <w:rPr>
          <w:sz w:val="24"/>
        </w:rPr>
        <w:t>duties</w:t>
      </w:r>
      <w:r w:rsidRPr="009F34D7">
        <w:rPr>
          <w:sz w:val="24"/>
        </w:rPr>
        <w:t xml:space="preserve"> to pay regulatory fees and </w:t>
      </w:r>
      <w:r w:rsidR="00524A6D" w:rsidRPr="009F34D7">
        <w:rPr>
          <w:sz w:val="24"/>
        </w:rPr>
        <w:t>911 obligations.  This will, in turn, help to ensure that these programs are adequately funded.</w:t>
      </w:r>
    </w:p>
    <w:p w14:paraId="3CB42627" w14:textId="77777777" w:rsidR="004A0FD5" w:rsidRPr="00C256AC" w:rsidRDefault="004A0FD5" w:rsidP="004A0FD5">
      <w:pPr>
        <w:pStyle w:val="ListParagraph"/>
        <w:rPr>
          <w:rFonts w:cs="Times New Roman"/>
          <w:szCs w:val="24"/>
        </w:rPr>
      </w:pPr>
    </w:p>
    <w:p w14:paraId="66288BFE" w14:textId="77777777" w:rsidR="004D3558" w:rsidRPr="009F34D7" w:rsidRDefault="004D3558" w:rsidP="006D1BA2">
      <w:pPr>
        <w:pStyle w:val="MediumGrid1-Accent21"/>
        <w:numPr>
          <w:ilvl w:val="0"/>
          <w:numId w:val="5"/>
        </w:numPr>
        <w:tabs>
          <w:tab w:val="num" w:pos="1440"/>
        </w:tabs>
        <w:spacing w:line="360" w:lineRule="auto"/>
        <w:rPr>
          <w:sz w:val="24"/>
        </w:rPr>
      </w:pPr>
      <w:r w:rsidRPr="009F34D7">
        <w:rPr>
          <w:sz w:val="24"/>
        </w:rPr>
        <w:t xml:space="preserve">OCN Requirement:  Requiring interconnected VoIP providers to use their own unique OCNs when obtaining numbers directly from the Numbering Administrators will improve utilization data </w:t>
      </w:r>
      <w:r w:rsidR="00EE79C9" w:rsidRPr="009F34D7">
        <w:rPr>
          <w:sz w:val="24"/>
        </w:rPr>
        <w:t xml:space="preserve">used to predict number exhaust </w:t>
      </w:r>
      <w:r w:rsidRPr="009F34D7">
        <w:rPr>
          <w:sz w:val="24"/>
        </w:rPr>
        <w:t xml:space="preserve">and </w:t>
      </w:r>
      <w:r w:rsidR="00EE79C9" w:rsidRPr="009F34D7">
        <w:rPr>
          <w:sz w:val="24"/>
        </w:rPr>
        <w:t>will enable states to more easily identify the service providers involved when porting issues arise</w:t>
      </w:r>
      <w:r w:rsidRPr="009F34D7">
        <w:rPr>
          <w:sz w:val="24"/>
        </w:rPr>
        <w:t>.</w:t>
      </w:r>
    </w:p>
    <w:p w14:paraId="3C8F89B5" w14:textId="77777777" w:rsidR="003015C9" w:rsidRPr="009F34D7" w:rsidRDefault="001E1B53" w:rsidP="006D1BA2">
      <w:pPr>
        <w:pStyle w:val="CM2"/>
        <w:spacing w:before="211" w:after="173" w:line="360" w:lineRule="auto"/>
        <w:rPr>
          <w:rFonts w:ascii="Times New Roman" w:hAnsi="Times New Roman"/>
        </w:rPr>
      </w:pPr>
      <w:r w:rsidRPr="009F34D7">
        <w:rPr>
          <w:rFonts w:ascii="Times New Roman" w:hAnsi="Times New Roman"/>
          <w:b/>
        </w:rPr>
        <w:t xml:space="preserve">3. </w:t>
      </w:r>
      <w:r w:rsidR="000416A1">
        <w:rPr>
          <w:rFonts w:ascii="Times New Roman" w:hAnsi="Times New Roman"/>
          <w:b/>
        </w:rPr>
        <w:tab/>
      </w:r>
      <w:r w:rsidR="00F7698C" w:rsidRPr="009F34D7">
        <w:rPr>
          <w:rFonts w:ascii="Times New Roman" w:hAnsi="Times New Roman"/>
        </w:rPr>
        <w:t xml:space="preserve">The </w:t>
      </w:r>
      <w:r w:rsidR="00315DDD" w:rsidRPr="009F34D7">
        <w:rPr>
          <w:rFonts w:ascii="Times New Roman" w:hAnsi="Times New Roman"/>
        </w:rPr>
        <w:t>Commission</w:t>
      </w:r>
      <w:r w:rsidR="00B34FFB" w:rsidRPr="009F34D7">
        <w:rPr>
          <w:rFonts w:ascii="Times New Roman" w:hAnsi="Times New Roman"/>
        </w:rPr>
        <w:t xml:space="preserve"> </w:t>
      </w:r>
      <w:r w:rsidR="00F7698C" w:rsidRPr="009F34D7">
        <w:rPr>
          <w:rFonts w:ascii="Times New Roman" w:hAnsi="Times New Roman"/>
        </w:rPr>
        <w:t>permits carriers to file information electronically</w:t>
      </w:r>
      <w:r w:rsidR="00D56262" w:rsidRPr="009F34D7">
        <w:rPr>
          <w:rFonts w:ascii="Times New Roman" w:hAnsi="Times New Roman"/>
        </w:rPr>
        <w:t>.</w:t>
      </w:r>
      <w:r w:rsidR="004D3558" w:rsidRPr="009F34D7">
        <w:rPr>
          <w:rFonts w:ascii="Times New Roman" w:hAnsi="Times New Roman"/>
        </w:rPr>
        <w:t xml:space="preserve">  In order to f</w:t>
      </w:r>
      <w:r w:rsidR="00FA6105" w:rsidRPr="009F34D7">
        <w:rPr>
          <w:rFonts w:ascii="Times New Roman" w:hAnsi="Times New Roman"/>
        </w:rPr>
        <w:t>acilitate electronic filing of</w:t>
      </w:r>
      <w:r w:rsidR="004D3558" w:rsidRPr="009F34D7">
        <w:rPr>
          <w:rFonts w:ascii="Times New Roman" w:hAnsi="Times New Roman"/>
        </w:rPr>
        <w:t xml:space="preserve"> Numbering Authorization Application</w:t>
      </w:r>
      <w:r w:rsidR="00FA6105" w:rsidRPr="009F34D7">
        <w:rPr>
          <w:rFonts w:ascii="Times New Roman" w:hAnsi="Times New Roman"/>
        </w:rPr>
        <w:t>s</w:t>
      </w:r>
      <w:r w:rsidR="004D3558" w:rsidRPr="009F34D7">
        <w:rPr>
          <w:rFonts w:ascii="Times New Roman" w:hAnsi="Times New Roman"/>
        </w:rPr>
        <w:t>, the agency has established within the FCC’s Electronic C</w:t>
      </w:r>
      <w:r w:rsidR="00FD1D93" w:rsidRPr="009F34D7">
        <w:rPr>
          <w:rFonts w:ascii="Times New Roman" w:hAnsi="Times New Roman"/>
        </w:rPr>
        <w:t>omment Filing System (ECFS) a “S</w:t>
      </w:r>
      <w:r w:rsidR="004D3558" w:rsidRPr="009F34D7">
        <w:rPr>
          <w:rFonts w:ascii="Times New Roman" w:hAnsi="Times New Roman"/>
        </w:rPr>
        <w:t xml:space="preserve">ubmit a Non-Docketed Filing” module that facilitates filing of such applications into a single docket </w:t>
      </w:r>
      <w:r w:rsidR="004D3558" w:rsidRPr="009F34D7">
        <w:rPr>
          <w:rFonts w:ascii="Times New Roman" w:hAnsi="Times New Roman"/>
        </w:rPr>
        <w:lastRenderedPageBreak/>
        <w:t xml:space="preserve">where all such applications must be filed. </w:t>
      </w:r>
      <w:r w:rsidR="00B14917" w:rsidRPr="009F34D7">
        <w:rPr>
          <w:rFonts w:ascii="Times New Roman" w:hAnsi="Times New Roman"/>
        </w:rPr>
        <w:t xml:space="preserve"> </w:t>
      </w:r>
      <w:r w:rsidR="00DB2990" w:rsidRPr="009F34D7">
        <w:rPr>
          <w:rFonts w:ascii="Times New Roman" w:hAnsi="Times New Roman"/>
        </w:rPr>
        <w:t xml:space="preserve">All subsequent filings by applicants and interested parties </w:t>
      </w:r>
      <w:r w:rsidR="00B14917" w:rsidRPr="009F34D7">
        <w:rPr>
          <w:rFonts w:ascii="Times New Roman" w:hAnsi="Times New Roman"/>
        </w:rPr>
        <w:t xml:space="preserve">related to an application </w:t>
      </w:r>
      <w:r w:rsidR="00DB2990" w:rsidRPr="009F34D7">
        <w:rPr>
          <w:rFonts w:ascii="Times New Roman" w:hAnsi="Times New Roman"/>
        </w:rPr>
        <w:t>must be submitted via ECFS to the appropriate docket.</w:t>
      </w:r>
      <w:r w:rsidR="00D56262" w:rsidRPr="009F34D7">
        <w:rPr>
          <w:rFonts w:ascii="Times New Roman" w:hAnsi="Times New Roman"/>
        </w:rPr>
        <w:t xml:space="preserve"> </w:t>
      </w:r>
    </w:p>
    <w:p w14:paraId="69A2B6F3" w14:textId="77777777" w:rsidR="00AD4B35" w:rsidRDefault="001E1B53" w:rsidP="00E34125">
      <w:pPr>
        <w:pStyle w:val="CM2"/>
        <w:spacing w:before="211" w:after="173" w:line="360" w:lineRule="auto"/>
        <w:rPr>
          <w:rFonts w:ascii="Times New Roman" w:hAnsi="Times New Roman"/>
        </w:rPr>
      </w:pPr>
      <w:r w:rsidRPr="009F34D7">
        <w:rPr>
          <w:rFonts w:ascii="Times New Roman" w:hAnsi="Times New Roman"/>
          <w:b/>
        </w:rPr>
        <w:t xml:space="preserve">4. </w:t>
      </w:r>
      <w:r w:rsidR="000416A1">
        <w:rPr>
          <w:rFonts w:ascii="Times New Roman" w:hAnsi="Times New Roman"/>
          <w:b/>
        </w:rPr>
        <w:tab/>
      </w:r>
      <w:r w:rsidR="002E5BA1" w:rsidRPr="009F34D7">
        <w:rPr>
          <w:rFonts w:ascii="Times New Roman" w:hAnsi="Times New Roman"/>
        </w:rPr>
        <w:t>For the most part, t</w:t>
      </w:r>
      <w:r w:rsidR="00D56262" w:rsidRPr="009F34D7">
        <w:rPr>
          <w:rFonts w:ascii="Times New Roman" w:hAnsi="Times New Roman"/>
        </w:rPr>
        <w:t xml:space="preserve">he information </w:t>
      </w:r>
      <w:r w:rsidR="001F7C38" w:rsidRPr="009F34D7">
        <w:rPr>
          <w:rFonts w:ascii="Times New Roman" w:hAnsi="Times New Roman"/>
        </w:rPr>
        <w:t>does</w:t>
      </w:r>
      <w:r w:rsidR="00D56262" w:rsidRPr="009F34D7">
        <w:rPr>
          <w:rFonts w:ascii="Times New Roman" w:hAnsi="Times New Roman"/>
        </w:rPr>
        <w:t xml:space="preserve"> not duplicate </w:t>
      </w:r>
      <w:r w:rsidR="000C122E" w:rsidRPr="009F34D7">
        <w:rPr>
          <w:rFonts w:ascii="Times New Roman" w:hAnsi="Times New Roman"/>
        </w:rPr>
        <w:t xml:space="preserve">any </w:t>
      </w:r>
      <w:r w:rsidR="00D56262" w:rsidRPr="009F34D7">
        <w:rPr>
          <w:rFonts w:ascii="Times New Roman" w:hAnsi="Times New Roman"/>
        </w:rPr>
        <w:t>c</w:t>
      </w:r>
      <w:r w:rsidR="000C122E" w:rsidRPr="009F34D7">
        <w:rPr>
          <w:rFonts w:ascii="Times New Roman" w:hAnsi="Times New Roman"/>
        </w:rPr>
        <w:t xml:space="preserve">urrent information collections.  While some </w:t>
      </w:r>
      <w:r w:rsidR="002E5BA1" w:rsidRPr="009F34D7">
        <w:rPr>
          <w:rFonts w:ascii="Times New Roman" w:hAnsi="Times New Roman"/>
        </w:rPr>
        <w:t>of the contact information requested as part of this collection may be duplicated in</w:t>
      </w:r>
      <w:r w:rsidR="000C122E" w:rsidRPr="009F34D7">
        <w:rPr>
          <w:rFonts w:ascii="Times New Roman" w:hAnsi="Times New Roman"/>
        </w:rPr>
        <w:t xml:space="preserve"> FCC Form 499-A or 477 (which </w:t>
      </w:r>
      <w:r w:rsidR="002E5BA1" w:rsidRPr="009F34D7">
        <w:rPr>
          <w:rFonts w:ascii="Times New Roman" w:hAnsi="Times New Roman"/>
        </w:rPr>
        <w:t>some</w:t>
      </w:r>
      <w:r w:rsidR="000C122E" w:rsidRPr="009F34D7">
        <w:rPr>
          <w:rFonts w:ascii="Times New Roman" w:hAnsi="Times New Roman"/>
        </w:rPr>
        <w:t xml:space="preserve"> interconnected VoIP providers already file)</w:t>
      </w:r>
      <w:r w:rsidR="002E5BA1" w:rsidRPr="009F34D7">
        <w:rPr>
          <w:rFonts w:ascii="Times New Roman" w:hAnsi="Times New Roman"/>
        </w:rPr>
        <w:t>, these forms are inadequate</w:t>
      </w:r>
      <w:r w:rsidR="000C122E" w:rsidRPr="009F34D7">
        <w:rPr>
          <w:rFonts w:ascii="Times New Roman" w:hAnsi="Times New Roman"/>
        </w:rPr>
        <w:t xml:space="preserve"> to demonstrate authorization to obtain numbers</w:t>
      </w:r>
      <w:r w:rsidR="002E5BA1" w:rsidRPr="009F34D7">
        <w:rPr>
          <w:rFonts w:ascii="Times New Roman" w:hAnsi="Times New Roman"/>
        </w:rPr>
        <w:t>, in large part because they d</w:t>
      </w:r>
      <w:r w:rsidR="000C122E" w:rsidRPr="009F34D7">
        <w:rPr>
          <w:rFonts w:ascii="Times New Roman" w:hAnsi="Times New Roman"/>
        </w:rPr>
        <w:t>o not demonstrate compl</w:t>
      </w:r>
      <w:r w:rsidR="00CE2D2F" w:rsidRPr="009F34D7">
        <w:rPr>
          <w:rFonts w:ascii="Times New Roman" w:hAnsi="Times New Roman"/>
        </w:rPr>
        <w:t>iance</w:t>
      </w:r>
      <w:r w:rsidR="000C122E" w:rsidRPr="009F34D7">
        <w:rPr>
          <w:rFonts w:ascii="Times New Roman" w:hAnsi="Times New Roman"/>
        </w:rPr>
        <w:t xml:space="preserve"> with the Commission’s rules and specific numbering requirements.  Nor do they reflect that an applicant has the appropriate technical, managerial, and financial capacity to provide service.  Further, from a purely practical perspective, a new interconnected VoIP provider seeking direct access to numbers may not have a Form 477 on file at the time that it seeks to obtain numbers.</w:t>
      </w:r>
      <w:r w:rsidR="00FA6105" w:rsidRPr="009F34D7">
        <w:rPr>
          <w:rFonts w:ascii="Times New Roman" w:hAnsi="Times New Roman"/>
        </w:rPr>
        <w:t xml:space="preserve">  Moreover, since these forms are filed only with the Commission, the contact information contained within them is not currently available to the states, which </w:t>
      </w:r>
    </w:p>
    <w:p w14:paraId="22516C15" w14:textId="77777777" w:rsidR="00AD4B35" w:rsidRDefault="00AD4B35" w:rsidP="00E34125">
      <w:pPr>
        <w:pStyle w:val="CM2"/>
        <w:spacing w:before="211" w:after="173" w:line="360" w:lineRule="auto"/>
        <w:rPr>
          <w:rFonts w:ascii="Times New Roman" w:hAnsi="Times New Roman"/>
        </w:rPr>
      </w:pPr>
    </w:p>
    <w:p w14:paraId="28AC395F" w14:textId="77777777" w:rsidR="0033214A" w:rsidRPr="009F34D7" w:rsidRDefault="00FA6105" w:rsidP="00E34125">
      <w:pPr>
        <w:pStyle w:val="CM2"/>
        <w:spacing w:before="211" w:after="173" w:line="360" w:lineRule="auto"/>
        <w:rPr>
          <w:rFonts w:ascii="Times New Roman" w:hAnsi="Times New Roman"/>
        </w:rPr>
      </w:pPr>
      <w:proofErr w:type="gramStart"/>
      <w:r w:rsidRPr="009F34D7">
        <w:rPr>
          <w:rFonts w:ascii="Times New Roman" w:hAnsi="Times New Roman"/>
        </w:rPr>
        <w:lastRenderedPageBreak/>
        <w:t>will</w:t>
      </w:r>
      <w:proofErr w:type="gramEnd"/>
      <w:r w:rsidRPr="009F34D7">
        <w:rPr>
          <w:rFonts w:ascii="Times New Roman" w:hAnsi="Times New Roman"/>
        </w:rPr>
        <w:t xml:space="preserve"> require such information in order to properly monitor local telecommunications markets.</w:t>
      </w:r>
      <w:r w:rsidR="000C122E" w:rsidRPr="009F34D7">
        <w:rPr>
          <w:rFonts w:ascii="Times New Roman" w:hAnsi="Times New Roman"/>
        </w:rPr>
        <w:t xml:space="preserve">  Thus, these forms are </w:t>
      </w:r>
      <w:r w:rsidR="002E5BA1" w:rsidRPr="009F34D7">
        <w:rPr>
          <w:rFonts w:ascii="Times New Roman" w:hAnsi="Times New Roman"/>
        </w:rPr>
        <w:t>insufficient</w:t>
      </w:r>
      <w:r w:rsidR="000C122E" w:rsidRPr="009F34D7">
        <w:rPr>
          <w:rFonts w:ascii="Times New Roman" w:hAnsi="Times New Roman"/>
        </w:rPr>
        <w:t xml:space="preserve"> to demonstrate authorization </w:t>
      </w:r>
      <w:r w:rsidRPr="009F34D7">
        <w:rPr>
          <w:rFonts w:ascii="Times New Roman" w:hAnsi="Times New Roman"/>
        </w:rPr>
        <w:t xml:space="preserve">on the part of providers </w:t>
      </w:r>
      <w:r w:rsidR="000C122E" w:rsidRPr="009F34D7">
        <w:rPr>
          <w:rFonts w:ascii="Times New Roman" w:hAnsi="Times New Roman"/>
        </w:rPr>
        <w:t>to provide service and obtain numbers directly</w:t>
      </w:r>
      <w:r w:rsidRPr="009F34D7">
        <w:rPr>
          <w:rFonts w:ascii="Times New Roman" w:hAnsi="Times New Roman"/>
        </w:rPr>
        <w:t xml:space="preserve"> from the Numbering Administrators</w:t>
      </w:r>
      <w:r w:rsidR="000C122E" w:rsidRPr="009F34D7">
        <w:rPr>
          <w:rFonts w:ascii="Times New Roman" w:hAnsi="Times New Roman"/>
        </w:rPr>
        <w:t>.</w:t>
      </w:r>
    </w:p>
    <w:p w14:paraId="7221BFE2" w14:textId="77777777" w:rsidR="00D56262" w:rsidRPr="009F34D7" w:rsidRDefault="001E1B53" w:rsidP="00E34125">
      <w:pPr>
        <w:pStyle w:val="ParaNum"/>
        <w:numPr>
          <w:ilvl w:val="0"/>
          <w:numId w:val="0"/>
        </w:numPr>
        <w:spacing w:before="211" w:after="173" w:line="360" w:lineRule="auto"/>
        <w:rPr>
          <w:sz w:val="24"/>
          <w:szCs w:val="24"/>
          <w:lang w:val="en-US"/>
        </w:rPr>
      </w:pPr>
      <w:r w:rsidRPr="009F34D7">
        <w:rPr>
          <w:b/>
          <w:sz w:val="24"/>
          <w:szCs w:val="24"/>
        </w:rPr>
        <w:t xml:space="preserve">5. </w:t>
      </w:r>
      <w:r w:rsidR="0033214A" w:rsidRPr="009F34D7">
        <w:rPr>
          <w:b/>
          <w:sz w:val="24"/>
          <w:szCs w:val="24"/>
        </w:rPr>
        <w:t xml:space="preserve"> </w:t>
      </w:r>
      <w:r w:rsidR="000416A1">
        <w:rPr>
          <w:b/>
          <w:sz w:val="24"/>
          <w:szCs w:val="24"/>
        </w:rPr>
        <w:tab/>
      </w:r>
      <w:r w:rsidR="00E34125" w:rsidRPr="009F34D7">
        <w:rPr>
          <w:sz w:val="24"/>
          <w:szCs w:val="24"/>
          <w:lang w:val="en-US"/>
        </w:rPr>
        <w:t xml:space="preserve">The </w:t>
      </w:r>
      <w:r w:rsidR="00315DDD" w:rsidRPr="009F34D7">
        <w:rPr>
          <w:sz w:val="24"/>
          <w:szCs w:val="24"/>
          <w:lang w:val="en-US"/>
        </w:rPr>
        <w:t xml:space="preserve">Commission is </w:t>
      </w:r>
      <w:r w:rsidR="00C916FF" w:rsidRPr="009F34D7">
        <w:rPr>
          <w:sz w:val="24"/>
          <w:szCs w:val="24"/>
          <w:lang w:val="en-US"/>
        </w:rPr>
        <w:t>t</w:t>
      </w:r>
      <w:r w:rsidR="00315DDD" w:rsidRPr="009F34D7">
        <w:rPr>
          <w:sz w:val="24"/>
          <w:szCs w:val="24"/>
          <w:lang w:val="en-US"/>
        </w:rPr>
        <w:t xml:space="preserve">aking </w:t>
      </w:r>
      <w:r w:rsidR="00E34125" w:rsidRPr="009F34D7">
        <w:rPr>
          <w:sz w:val="24"/>
          <w:szCs w:val="24"/>
          <w:lang w:val="en-US"/>
        </w:rPr>
        <w:t xml:space="preserve">several steps to minimize the impact of the information collection on small businesses and other small entities.  </w:t>
      </w:r>
      <w:r w:rsidR="00E34125" w:rsidRPr="009F34D7">
        <w:rPr>
          <w:sz w:val="24"/>
          <w:szCs w:val="24"/>
        </w:rPr>
        <w:t xml:space="preserve">First, the Report and Order only requires those interconnected VoIP providers seeking direct access to numbers to comply with the applicable </w:t>
      </w:r>
      <w:r w:rsidR="00E34125" w:rsidRPr="009F34D7">
        <w:rPr>
          <w:sz w:val="24"/>
          <w:szCs w:val="24"/>
          <w:lang w:val="en-US"/>
        </w:rPr>
        <w:t>FCC</w:t>
      </w:r>
      <w:r w:rsidR="00E34125" w:rsidRPr="009F34D7">
        <w:rPr>
          <w:sz w:val="24"/>
          <w:szCs w:val="24"/>
        </w:rPr>
        <w:t xml:space="preserve"> rules</w:t>
      </w:r>
      <w:r w:rsidR="00E34125" w:rsidRPr="009F34D7">
        <w:rPr>
          <w:sz w:val="24"/>
          <w:szCs w:val="24"/>
          <w:lang w:val="en-US"/>
        </w:rPr>
        <w:t>, rather than all interconnected VoIP providers</w:t>
      </w:r>
      <w:r w:rsidR="00E34125" w:rsidRPr="009F34D7">
        <w:rPr>
          <w:sz w:val="24"/>
          <w:szCs w:val="24"/>
        </w:rPr>
        <w:t xml:space="preserve">.  </w:t>
      </w:r>
      <w:r w:rsidR="00E34125" w:rsidRPr="009F34D7">
        <w:rPr>
          <w:sz w:val="24"/>
          <w:szCs w:val="24"/>
          <w:lang w:val="en-US"/>
        </w:rPr>
        <w:t xml:space="preserve">And </w:t>
      </w:r>
      <w:r w:rsidR="00051EF1" w:rsidRPr="009F34D7">
        <w:rPr>
          <w:sz w:val="24"/>
          <w:szCs w:val="24"/>
          <w:lang w:val="en-US"/>
        </w:rPr>
        <w:t>although</w:t>
      </w:r>
      <w:r w:rsidR="00E34125" w:rsidRPr="009F34D7">
        <w:rPr>
          <w:sz w:val="24"/>
          <w:szCs w:val="24"/>
        </w:rPr>
        <w:t xml:space="preserve"> </w:t>
      </w:r>
      <w:r w:rsidR="00E34125" w:rsidRPr="009F34D7">
        <w:rPr>
          <w:sz w:val="24"/>
          <w:szCs w:val="24"/>
          <w:lang w:val="en-US"/>
        </w:rPr>
        <w:t>VoIP numbering authorization applicants are required</w:t>
      </w:r>
      <w:r w:rsidR="00E34125" w:rsidRPr="009F34D7">
        <w:rPr>
          <w:sz w:val="24"/>
          <w:szCs w:val="24"/>
        </w:rPr>
        <w:t xml:space="preserve"> to submit specific documentation as a condition of obtaining </w:t>
      </w:r>
      <w:r w:rsidR="00E34125" w:rsidRPr="009F34D7">
        <w:rPr>
          <w:sz w:val="24"/>
          <w:szCs w:val="24"/>
          <w:lang w:val="en-US"/>
        </w:rPr>
        <w:t>FCC</w:t>
      </w:r>
      <w:r w:rsidR="00E34125" w:rsidRPr="009F34D7">
        <w:rPr>
          <w:sz w:val="24"/>
          <w:szCs w:val="24"/>
        </w:rPr>
        <w:t xml:space="preserve"> authorization, the </w:t>
      </w:r>
      <w:r w:rsidR="00E34125" w:rsidRPr="009F34D7">
        <w:rPr>
          <w:sz w:val="24"/>
          <w:szCs w:val="24"/>
          <w:lang w:val="en-US"/>
        </w:rPr>
        <w:t>agency</w:t>
      </w:r>
      <w:r w:rsidR="00E34125" w:rsidRPr="009F34D7">
        <w:rPr>
          <w:sz w:val="24"/>
          <w:szCs w:val="24"/>
        </w:rPr>
        <w:t xml:space="preserve"> has attempted to minimize this burden by streamlining the application process as much as possible.  </w:t>
      </w:r>
      <w:r w:rsidR="00E34125" w:rsidRPr="009F34D7">
        <w:rPr>
          <w:sz w:val="24"/>
          <w:szCs w:val="24"/>
          <w:lang w:val="en-US"/>
        </w:rPr>
        <w:t>In order</w:t>
      </w:r>
      <w:r w:rsidR="00E34125" w:rsidRPr="009F34D7">
        <w:rPr>
          <w:sz w:val="24"/>
          <w:szCs w:val="24"/>
        </w:rPr>
        <w:t xml:space="preserve"> to ease the administrative burden on small entities of producing and submitting authorization application</w:t>
      </w:r>
      <w:r w:rsidR="005121CF" w:rsidRPr="009F34D7">
        <w:rPr>
          <w:sz w:val="24"/>
          <w:szCs w:val="24"/>
          <w:lang w:val="en-US"/>
        </w:rPr>
        <w:t>s</w:t>
      </w:r>
      <w:r w:rsidR="00E34125" w:rsidRPr="009F34D7">
        <w:rPr>
          <w:sz w:val="24"/>
          <w:szCs w:val="24"/>
        </w:rPr>
        <w:t>, the Commission has establish</w:t>
      </w:r>
      <w:r w:rsidR="00E34125" w:rsidRPr="009F34D7">
        <w:rPr>
          <w:sz w:val="24"/>
          <w:szCs w:val="24"/>
          <w:lang w:val="en-US"/>
        </w:rPr>
        <w:t>ed</w:t>
      </w:r>
      <w:r w:rsidR="00E34125" w:rsidRPr="009F34D7">
        <w:rPr>
          <w:sz w:val="24"/>
          <w:szCs w:val="24"/>
        </w:rPr>
        <w:t xml:space="preserve"> a module that facilitates filing of applications </w:t>
      </w:r>
      <w:r w:rsidR="005B7FB9" w:rsidRPr="009F34D7">
        <w:rPr>
          <w:sz w:val="24"/>
          <w:szCs w:val="24"/>
        </w:rPr>
        <w:t>electronically</w:t>
      </w:r>
      <w:r w:rsidR="00CE2D2F" w:rsidRPr="009F34D7">
        <w:rPr>
          <w:sz w:val="24"/>
          <w:szCs w:val="24"/>
          <w:lang w:val="en-US"/>
        </w:rPr>
        <w:t xml:space="preserve"> </w:t>
      </w:r>
      <w:r w:rsidR="00CE2D2F" w:rsidRPr="009F34D7">
        <w:rPr>
          <w:sz w:val="24"/>
          <w:szCs w:val="24"/>
        </w:rPr>
        <w:t>within its own Electronic Comment Filing System</w:t>
      </w:r>
      <w:r w:rsidR="00285DBB" w:rsidRPr="009F34D7">
        <w:rPr>
          <w:sz w:val="24"/>
          <w:szCs w:val="24"/>
          <w:lang w:val="en-US"/>
        </w:rPr>
        <w:t xml:space="preserve"> (ECFS)</w:t>
      </w:r>
      <w:r w:rsidR="00E34125" w:rsidRPr="009F34D7">
        <w:rPr>
          <w:sz w:val="24"/>
          <w:szCs w:val="24"/>
        </w:rPr>
        <w:t>.</w:t>
      </w:r>
      <w:r w:rsidR="001F7C38" w:rsidRPr="009F34D7">
        <w:rPr>
          <w:sz w:val="24"/>
          <w:szCs w:val="24"/>
        </w:rPr>
        <w:t xml:space="preserve">  </w:t>
      </w:r>
    </w:p>
    <w:p w14:paraId="13CB4128" w14:textId="77777777" w:rsidR="00E34125" w:rsidRPr="009F34D7" w:rsidRDefault="001E1B53" w:rsidP="00A46A07">
      <w:pPr>
        <w:pStyle w:val="CM2"/>
        <w:spacing w:before="211" w:after="173" w:line="360" w:lineRule="auto"/>
        <w:rPr>
          <w:rFonts w:ascii="Times New Roman" w:hAnsi="Times New Roman"/>
        </w:rPr>
      </w:pPr>
      <w:r w:rsidRPr="009F34D7">
        <w:rPr>
          <w:rFonts w:ascii="Times New Roman" w:hAnsi="Times New Roman"/>
          <w:b/>
        </w:rPr>
        <w:t xml:space="preserve">6. </w:t>
      </w:r>
      <w:r w:rsidR="000416A1">
        <w:rPr>
          <w:rFonts w:ascii="Times New Roman" w:hAnsi="Times New Roman"/>
          <w:b/>
        </w:rPr>
        <w:tab/>
      </w:r>
      <w:r w:rsidR="00E34125" w:rsidRPr="009F34D7">
        <w:rPr>
          <w:rFonts w:ascii="Times New Roman" w:hAnsi="Times New Roman"/>
        </w:rPr>
        <w:t xml:space="preserve">Without this information the </w:t>
      </w:r>
      <w:r w:rsidR="00051EF1" w:rsidRPr="009F34D7">
        <w:rPr>
          <w:rFonts w:ascii="Times New Roman" w:hAnsi="Times New Roman"/>
        </w:rPr>
        <w:t xml:space="preserve">FCC would not be able to verify that specific interconnected VoIP providers are able to deploy and properly utilize numbering resources, </w:t>
      </w:r>
      <w:r w:rsidR="00051EF1" w:rsidRPr="009F34D7">
        <w:rPr>
          <w:rFonts w:ascii="Times New Roman" w:hAnsi="Times New Roman"/>
        </w:rPr>
        <w:lastRenderedPageBreak/>
        <w:t>or that they have the appropriate technical, managerial, and financial capacity to provide voice service</w:t>
      </w:r>
      <w:r w:rsidR="005121CF" w:rsidRPr="009F34D7">
        <w:rPr>
          <w:rFonts w:ascii="Times New Roman" w:hAnsi="Times New Roman"/>
        </w:rPr>
        <w:t>s</w:t>
      </w:r>
      <w:r w:rsidR="00051EF1" w:rsidRPr="009F34D7">
        <w:rPr>
          <w:rFonts w:ascii="Times New Roman" w:hAnsi="Times New Roman"/>
        </w:rPr>
        <w:t xml:space="preserve">.  As a result, the FCC would not be able to grant these providers authorization to request telephone numbers directly from the Numbering Administrators.  Interconnected VoIP providers would thus be obligated to </w:t>
      </w:r>
      <w:r w:rsidR="005121CF" w:rsidRPr="009F34D7">
        <w:rPr>
          <w:rFonts w:ascii="Times New Roman" w:hAnsi="Times New Roman"/>
        </w:rPr>
        <w:t>continue to partner with</w:t>
      </w:r>
      <w:r w:rsidR="00051EF1" w:rsidRPr="009F34D7">
        <w:rPr>
          <w:rFonts w:ascii="Times New Roman" w:hAnsi="Times New Roman"/>
        </w:rPr>
        <w:t xml:space="preserve"> telecommunications carrier</w:t>
      </w:r>
      <w:r w:rsidR="005121CF" w:rsidRPr="009F34D7">
        <w:rPr>
          <w:rFonts w:ascii="Times New Roman" w:hAnsi="Times New Roman"/>
        </w:rPr>
        <w:t>s</w:t>
      </w:r>
      <w:r w:rsidR="00051EF1" w:rsidRPr="009F34D7">
        <w:rPr>
          <w:rFonts w:ascii="Times New Roman" w:hAnsi="Times New Roman"/>
        </w:rPr>
        <w:t xml:space="preserve"> when seeking numbers, a process which would necessitate unnecessary inefficiencies and associated expenses.  It would also </w:t>
      </w:r>
      <w:r w:rsidR="000B519A" w:rsidRPr="009F34D7">
        <w:rPr>
          <w:rFonts w:ascii="Times New Roman" w:hAnsi="Times New Roman"/>
        </w:rPr>
        <w:t xml:space="preserve">establish </w:t>
      </w:r>
      <w:r w:rsidR="00051EF1" w:rsidRPr="009F34D7">
        <w:rPr>
          <w:rFonts w:ascii="Times New Roman" w:hAnsi="Times New Roman"/>
        </w:rPr>
        <w:t>an unequal playing field as between traditional telecommunications carriers and interconnected VoIP providers in the competitive market for voice services</w:t>
      </w:r>
      <w:r w:rsidR="005121CF" w:rsidRPr="009F34D7">
        <w:rPr>
          <w:rFonts w:ascii="Times New Roman" w:hAnsi="Times New Roman"/>
        </w:rPr>
        <w:t>,</w:t>
      </w:r>
      <w:r w:rsidR="00051EF1" w:rsidRPr="009F34D7">
        <w:rPr>
          <w:rFonts w:ascii="Times New Roman" w:hAnsi="Times New Roman"/>
        </w:rPr>
        <w:t xml:space="preserve"> since only the former would be able to obtain numbers directly from</w:t>
      </w:r>
      <w:r w:rsidR="00404793" w:rsidRPr="009F34D7">
        <w:rPr>
          <w:rFonts w:ascii="Times New Roman" w:hAnsi="Times New Roman"/>
        </w:rPr>
        <w:t xml:space="preserve"> the Numbering Administrators.</w:t>
      </w:r>
    </w:p>
    <w:p w14:paraId="778F5F57" w14:textId="77777777" w:rsidR="000237F8" w:rsidRPr="009F34D7" w:rsidRDefault="001E1B53" w:rsidP="00A46A07">
      <w:pPr>
        <w:pStyle w:val="CM2"/>
        <w:spacing w:before="211" w:after="173" w:line="360" w:lineRule="auto"/>
        <w:rPr>
          <w:rFonts w:ascii="Times New Roman" w:hAnsi="Times New Roman"/>
        </w:rPr>
      </w:pPr>
      <w:r w:rsidRPr="009F34D7">
        <w:rPr>
          <w:rFonts w:ascii="Times New Roman" w:hAnsi="Times New Roman"/>
          <w:b/>
        </w:rPr>
        <w:t xml:space="preserve">7. </w:t>
      </w:r>
      <w:r w:rsidR="000416A1">
        <w:rPr>
          <w:rFonts w:ascii="Times New Roman" w:hAnsi="Times New Roman"/>
          <w:b/>
        </w:rPr>
        <w:tab/>
      </w:r>
      <w:r w:rsidR="001D10F3" w:rsidRPr="009F34D7">
        <w:rPr>
          <w:rFonts w:ascii="Times New Roman" w:hAnsi="Times New Roman"/>
        </w:rPr>
        <w:t>There are n</w:t>
      </w:r>
      <w:r w:rsidR="000237F8" w:rsidRPr="009F34D7">
        <w:rPr>
          <w:rFonts w:ascii="Times New Roman" w:hAnsi="Times New Roman"/>
        </w:rPr>
        <w:t xml:space="preserve">o </w:t>
      </w:r>
      <w:r w:rsidR="0033214A" w:rsidRPr="009F34D7">
        <w:rPr>
          <w:rFonts w:ascii="Times New Roman" w:hAnsi="Times New Roman"/>
        </w:rPr>
        <w:t xml:space="preserve">special circumstances </w:t>
      </w:r>
      <w:r w:rsidR="001D10F3" w:rsidRPr="009F34D7">
        <w:rPr>
          <w:rFonts w:ascii="Times New Roman" w:hAnsi="Times New Roman"/>
        </w:rPr>
        <w:t xml:space="preserve">associated with this </w:t>
      </w:r>
      <w:r w:rsidR="0033214A" w:rsidRPr="009F34D7">
        <w:rPr>
          <w:rFonts w:ascii="Times New Roman" w:hAnsi="Times New Roman"/>
        </w:rPr>
        <w:t>inf</w:t>
      </w:r>
      <w:r w:rsidR="001D10F3" w:rsidRPr="009F34D7">
        <w:rPr>
          <w:rFonts w:ascii="Times New Roman" w:hAnsi="Times New Roman"/>
        </w:rPr>
        <w:t>ormation collection.</w:t>
      </w:r>
    </w:p>
    <w:p w14:paraId="52497534" w14:textId="77777777" w:rsidR="00410EB8" w:rsidRPr="009F34D7" w:rsidRDefault="001E1B53" w:rsidP="00A46A07">
      <w:pPr>
        <w:pStyle w:val="CM2"/>
        <w:spacing w:before="211" w:after="173" w:line="360" w:lineRule="auto"/>
        <w:rPr>
          <w:rFonts w:ascii="Times New Roman" w:hAnsi="Times New Roman"/>
          <w:b/>
        </w:rPr>
      </w:pPr>
      <w:r w:rsidRPr="009F34D7">
        <w:rPr>
          <w:rFonts w:ascii="Times New Roman" w:hAnsi="Times New Roman"/>
          <w:b/>
        </w:rPr>
        <w:t xml:space="preserve">8. </w:t>
      </w:r>
      <w:r w:rsidR="00AD7E3C" w:rsidRPr="009F34D7">
        <w:rPr>
          <w:rFonts w:ascii="Times New Roman" w:hAnsi="Times New Roman"/>
          <w:b/>
        </w:rPr>
        <w:t xml:space="preserve"> </w:t>
      </w:r>
      <w:r w:rsidR="000416A1">
        <w:rPr>
          <w:rFonts w:ascii="Times New Roman" w:hAnsi="Times New Roman"/>
          <w:b/>
        </w:rPr>
        <w:tab/>
      </w:r>
      <w:r w:rsidR="00123D52" w:rsidRPr="009F34D7">
        <w:rPr>
          <w:rFonts w:ascii="Times New Roman" w:hAnsi="Times New Roman"/>
        </w:rPr>
        <w:t>Pursuant to 5 C</w:t>
      </w:r>
      <w:r w:rsidR="00774CBF" w:rsidRPr="009F34D7">
        <w:rPr>
          <w:rFonts w:ascii="Times New Roman" w:hAnsi="Times New Roman"/>
        </w:rPr>
        <w:t>.</w:t>
      </w:r>
      <w:r w:rsidR="00123D52" w:rsidRPr="009F34D7">
        <w:rPr>
          <w:rFonts w:ascii="Times New Roman" w:hAnsi="Times New Roman"/>
        </w:rPr>
        <w:t>F</w:t>
      </w:r>
      <w:r w:rsidR="00774CBF" w:rsidRPr="009F34D7">
        <w:rPr>
          <w:rFonts w:ascii="Times New Roman" w:hAnsi="Times New Roman"/>
        </w:rPr>
        <w:t>.</w:t>
      </w:r>
      <w:r w:rsidR="00123D52" w:rsidRPr="009F34D7">
        <w:rPr>
          <w:rFonts w:ascii="Times New Roman" w:hAnsi="Times New Roman"/>
        </w:rPr>
        <w:t>R</w:t>
      </w:r>
      <w:r w:rsidR="00774CBF" w:rsidRPr="009F34D7">
        <w:rPr>
          <w:rFonts w:ascii="Times New Roman" w:hAnsi="Times New Roman"/>
        </w:rPr>
        <w:t>.</w:t>
      </w:r>
      <w:r w:rsidR="00123D52" w:rsidRPr="009F34D7">
        <w:rPr>
          <w:rFonts w:ascii="Times New Roman" w:hAnsi="Times New Roman"/>
        </w:rPr>
        <w:t xml:space="preserve"> Section 1320.8(d), </w:t>
      </w:r>
      <w:r w:rsidR="0082119E" w:rsidRPr="009F34D7">
        <w:rPr>
          <w:rFonts w:ascii="Times New Roman" w:hAnsi="Times New Roman"/>
        </w:rPr>
        <w:t xml:space="preserve">a 60 day notice was </w:t>
      </w:r>
      <w:r w:rsidR="00123D52" w:rsidRPr="009F34D7">
        <w:rPr>
          <w:rFonts w:ascii="Times New Roman" w:hAnsi="Times New Roman"/>
        </w:rPr>
        <w:t xml:space="preserve">published in the Federal Register on </w:t>
      </w:r>
      <w:r w:rsidR="00A974C6" w:rsidRPr="009F34D7">
        <w:rPr>
          <w:rFonts w:ascii="Times New Roman" w:hAnsi="Times New Roman"/>
        </w:rPr>
        <w:t>July 22</w:t>
      </w:r>
      <w:r w:rsidR="00774CBF" w:rsidRPr="009F34D7">
        <w:rPr>
          <w:rFonts w:ascii="Times New Roman" w:hAnsi="Times New Roman"/>
        </w:rPr>
        <w:t>, 2015</w:t>
      </w:r>
      <w:r w:rsidR="00123D52" w:rsidRPr="009F34D7">
        <w:rPr>
          <w:rFonts w:ascii="Times New Roman" w:hAnsi="Times New Roman"/>
        </w:rPr>
        <w:t xml:space="preserve"> (</w:t>
      </w:r>
      <w:r w:rsidR="00A974C6" w:rsidRPr="009F34D7">
        <w:rPr>
          <w:rFonts w:ascii="Times New Roman" w:hAnsi="Times New Roman"/>
        </w:rPr>
        <w:t xml:space="preserve">80 </w:t>
      </w:r>
      <w:r w:rsidR="00123D52" w:rsidRPr="009F34D7">
        <w:rPr>
          <w:rFonts w:ascii="Times New Roman" w:hAnsi="Times New Roman"/>
        </w:rPr>
        <w:t xml:space="preserve">FR </w:t>
      </w:r>
      <w:r w:rsidR="00A974C6" w:rsidRPr="009F34D7">
        <w:rPr>
          <w:rFonts w:ascii="Times New Roman" w:hAnsi="Times New Roman"/>
        </w:rPr>
        <w:t>43426</w:t>
      </w:r>
      <w:r w:rsidR="00123D52" w:rsidRPr="009F34D7">
        <w:rPr>
          <w:rFonts w:ascii="Times New Roman" w:hAnsi="Times New Roman"/>
        </w:rPr>
        <w:t>)</w:t>
      </w:r>
      <w:r w:rsidR="005D6285" w:rsidRPr="009F34D7">
        <w:rPr>
          <w:rFonts w:ascii="Times New Roman" w:hAnsi="Times New Roman"/>
        </w:rPr>
        <w:t xml:space="preserve"> seeking comments from the public</w:t>
      </w:r>
      <w:r w:rsidR="00123D52" w:rsidRPr="009F34D7">
        <w:rPr>
          <w:rFonts w:ascii="Times New Roman" w:hAnsi="Times New Roman"/>
        </w:rPr>
        <w:t xml:space="preserve">.  </w:t>
      </w:r>
      <w:r w:rsidR="00290A55">
        <w:rPr>
          <w:rFonts w:ascii="Times New Roman" w:hAnsi="Times New Roman"/>
        </w:rPr>
        <w:t>The Commission received o</w:t>
      </w:r>
      <w:r w:rsidR="00A974C6" w:rsidRPr="009F34D7">
        <w:rPr>
          <w:rFonts w:ascii="Times New Roman" w:hAnsi="Times New Roman"/>
        </w:rPr>
        <w:t xml:space="preserve">ne </w:t>
      </w:r>
      <w:r w:rsidR="00290A55" w:rsidRPr="00290A55">
        <w:rPr>
          <w:rFonts w:ascii="Times New Roman" w:hAnsi="Times New Roman"/>
        </w:rPr>
        <w:t xml:space="preserve">comment </w:t>
      </w:r>
      <w:r w:rsidR="00A974C6" w:rsidRPr="009F34D7">
        <w:rPr>
          <w:rFonts w:ascii="Times New Roman" w:hAnsi="Times New Roman"/>
        </w:rPr>
        <w:t>in support of this collection</w:t>
      </w:r>
      <w:r w:rsidR="00694621" w:rsidRPr="009F34D7">
        <w:rPr>
          <w:rFonts w:ascii="Times New Roman" w:hAnsi="Times New Roman"/>
        </w:rPr>
        <w:t xml:space="preserve"> from Vonage Holdings Corporation (Vonage).  Vonage encourages approval of this collection, noting that the burden imposed by the new rules is reasonable and only applies to interconnected VoIP providers that seek Commission authorization to obtain direct access to numbers.  </w:t>
      </w:r>
    </w:p>
    <w:p w14:paraId="67223B9B" w14:textId="77777777" w:rsidR="00A46A07" w:rsidRPr="009F34D7" w:rsidRDefault="001E1B53" w:rsidP="00A46A07">
      <w:pPr>
        <w:pStyle w:val="CM2"/>
        <w:spacing w:before="211" w:after="173" w:line="360" w:lineRule="auto"/>
        <w:rPr>
          <w:rFonts w:ascii="Times New Roman" w:hAnsi="Times New Roman"/>
          <w:b/>
        </w:rPr>
      </w:pPr>
      <w:r w:rsidRPr="009F34D7">
        <w:rPr>
          <w:rFonts w:ascii="Times New Roman" w:hAnsi="Times New Roman"/>
          <w:b/>
        </w:rPr>
        <w:lastRenderedPageBreak/>
        <w:t xml:space="preserve">9. </w:t>
      </w:r>
      <w:r w:rsidR="000416A1">
        <w:rPr>
          <w:rFonts w:ascii="Times New Roman" w:hAnsi="Times New Roman"/>
          <w:b/>
        </w:rPr>
        <w:tab/>
      </w:r>
      <w:r w:rsidR="00A46A07" w:rsidRPr="009F34D7">
        <w:rPr>
          <w:rFonts w:ascii="Times New Roman" w:hAnsi="Times New Roman"/>
        </w:rPr>
        <w:t xml:space="preserve">The </w:t>
      </w:r>
      <w:r w:rsidR="00D842EA" w:rsidRPr="009F34D7">
        <w:rPr>
          <w:rFonts w:ascii="Times New Roman" w:hAnsi="Times New Roman"/>
        </w:rPr>
        <w:t>Commission</w:t>
      </w:r>
      <w:r w:rsidR="00A46A07" w:rsidRPr="009F34D7">
        <w:rPr>
          <w:rFonts w:ascii="Times New Roman" w:hAnsi="Times New Roman"/>
        </w:rPr>
        <w:t xml:space="preserve"> does not anticipate providing any payments or gifts to respondents.</w:t>
      </w:r>
    </w:p>
    <w:p w14:paraId="2755A2D8" w14:textId="77777777" w:rsidR="00AD7E3C" w:rsidRPr="009F34D7" w:rsidRDefault="001E1B53" w:rsidP="00A46A07">
      <w:pPr>
        <w:pStyle w:val="CM2"/>
        <w:spacing w:before="211" w:after="173" w:line="360" w:lineRule="auto"/>
        <w:rPr>
          <w:rFonts w:ascii="Times New Roman" w:hAnsi="Times New Roman"/>
          <w:b/>
        </w:rPr>
      </w:pPr>
      <w:r w:rsidRPr="009F34D7">
        <w:rPr>
          <w:rFonts w:ascii="Times New Roman" w:hAnsi="Times New Roman"/>
          <w:b/>
        </w:rPr>
        <w:t xml:space="preserve">10. </w:t>
      </w:r>
      <w:r w:rsidR="000416A1">
        <w:rPr>
          <w:rFonts w:ascii="Times New Roman" w:hAnsi="Times New Roman"/>
          <w:b/>
        </w:rPr>
        <w:tab/>
      </w:r>
      <w:r w:rsidR="00A46A07" w:rsidRPr="009F34D7">
        <w:rPr>
          <w:rFonts w:ascii="Times New Roman" w:hAnsi="Times New Roman"/>
        </w:rPr>
        <w:t xml:space="preserve">If respondents submit information which respondents believe is confidential, respondents may request confidential treatment of such information pursuant to section 0.459 of the </w:t>
      </w:r>
      <w:r w:rsidR="00B569C2" w:rsidRPr="009F34D7">
        <w:rPr>
          <w:rFonts w:ascii="Times New Roman" w:hAnsi="Times New Roman"/>
        </w:rPr>
        <w:t>FCC’s</w:t>
      </w:r>
      <w:r w:rsidR="00A46A07" w:rsidRPr="009F34D7">
        <w:rPr>
          <w:rFonts w:ascii="Times New Roman" w:hAnsi="Times New Roman"/>
        </w:rPr>
        <w:t xml:space="preserve"> rules, 47 C.F.R. § 0.459. </w:t>
      </w:r>
    </w:p>
    <w:p w14:paraId="1B5503C6" w14:textId="77777777" w:rsidR="00A46A07" w:rsidRPr="009F34D7" w:rsidRDefault="001E1B53" w:rsidP="00A46A07">
      <w:pPr>
        <w:pStyle w:val="CM2"/>
        <w:spacing w:before="211" w:after="173" w:line="360" w:lineRule="auto"/>
        <w:rPr>
          <w:rFonts w:ascii="Times New Roman" w:hAnsi="Times New Roman"/>
          <w:b/>
        </w:rPr>
      </w:pPr>
      <w:r w:rsidRPr="009F34D7">
        <w:rPr>
          <w:rFonts w:ascii="Times New Roman" w:hAnsi="Times New Roman"/>
          <w:b/>
        </w:rPr>
        <w:t xml:space="preserve">11. </w:t>
      </w:r>
      <w:r w:rsidR="000416A1">
        <w:rPr>
          <w:rFonts w:ascii="Times New Roman" w:hAnsi="Times New Roman"/>
          <w:b/>
        </w:rPr>
        <w:tab/>
      </w:r>
      <w:r w:rsidR="00B569C2" w:rsidRPr="009F34D7">
        <w:rPr>
          <w:rFonts w:ascii="Times New Roman" w:hAnsi="Times New Roman"/>
        </w:rPr>
        <w:t>This</w:t>
      </w:r>
      <w:r w:rsidR="00A46A07" w:rsidRPr="009F34D7">
        <w:rPr>
          <w:rFonts w:ascii="Times New Roman" w:hAnsi="Times New Roman"/>
        </w:rPr>
        <w:t xml:space="preserve"> information collection does not address an</w:t>
      </w:r>
      <w:r w:rsidR="00D842EA" w:rsidRPr="009F34D7">
        <w:rPr>
          <w:rFonts w:ascii="Times New Roman" w:hAnsi="Times New Roman"/>
        </w:rPr>
        <w:t xml:space="preserve">y </w:t>
      </w:r>
      <w:r w:rsidR="005D6285" w:rsidRPr="009F34D7">
        <w:rPr>
          <w:rFonts w:ascii="Times New Roman" w:hAnsi="Times New Roman"/>
        </w:rPr>
        <w:t xml:space="preserve">private </w:t>
      </w:r>
      <w:r w:rsidR="00D842EA" w:rsidRPr="009F34D7">
        <w:rPr>
          <w:rFonts w:ascii="Times New Roman" w:hAnsi="Times New Roman"/>
        </w:rPr>
        <w:t>matters of a sensitive nature.</w:t>
      </w:r>
      <w:r w:rsidR="00A46A07" w:rsidRPr="009F34D7">
        <w:rPr>
          <w:rFonts w:ascii="Times New Roman" w:hAnsi="Times New Roman"/>
        </w:rPr>
        <w:t xml:space="preserve"> </w:t>
      </w:r>
    </w:p>
    <w:p w14:paraId="277E8B76" w14:textId="77777777" w:rsidR="00AC4F7E" w:rsidRPr="009F34D7" w:rsidRDefault="001E1B53" w:rsidP="00573615">
      <w:pPr>
        <w:pStyle w:val="CM2"/>
        <w:spacing w:before="211" w:after="173" w:line="360" w:lineRule="auto"/>
        <w:rPr>
          <w:rFonts w:ascii="Times New Roman" w:hAnsi="Times New Roman"/>
        </w:rPr>
      </w:pPr>
      <w:r w:rsidRPr="009F34D7">
        <w:rPr>
          <w:rFonts w:ascii="Times New Roman" w:hAnsi="Times New Roman"/>
          <w:b/>
        </w:rPr>
        <w:t xml:space="preserve">12. </w:t>
      </w:r>
      <w:r w:rsidR="000416A1">
        <w:rPr>
          <w:rFonts w:ascii="Times New Roman" w:hAnsi="Times New Roman"/>
          <w:b/>
        </w:rPr>
        <w:tab/>
      </w:r>
      <w:r w:rsidR="00AC4F7E" w:rsidRPr="009F34D7">
        <w:rPr>
          <w:rFonts w:ascii="Times New Roman" w:hAnsi="Times New Roman"/>
        </w:rPr>
        <w:t xml:space="preserve">Described below are the estimated burden hours associated with each collection of information. </w:t>
      </w:r>
    </w:p>
    <w:p w14:paraId="3CB9011D" w14:textId="77777777" w:rsidR="00D85078" w:rsidRDefault="00EC319C" w:rsidP="00D85078">
      <w:pPr>
        <w:numPr>
          <w:ilvl w:val="0"/>
          <w:numId w:val="6"/>
        </w:numPr>
        <w:spacing w:line="360" w:lineRule="auto"/>
        <w:contextualSpacing/>
        <w:rPr>
          <w:rFonts w:cs="Times New Roman"/>
          <w:szCs w:val="24"/>
        </w:rPr>
      </w:pPr>
      <w:r w:rsidRPr="009F34D7">
        <w:rPr>
          <w:rFonts w:cs="Times New Roman"/>
          <w:szCs w:val="24"/>
        </w:rPr>
        <w:t xml:space="preserve">Numbering Authorization Application:  The potential number of respondents to this information collection is unclear, since the application is strictly voluntary and it is unknown at this time how many interconnected VoIP providers may wish to apply.  </w:t>
      </w:r>
    </w:p>
    <w:p w14:paraId="206C87CF" w14:textId="77777777" w:rsidR="00B6270C" w:rsidRDefault="00B6270C" w:rsidP="009F34D7">
      <w:pPr>
        <w:spacing w:line="360" w:lineRule="auto"/>
        <w:ind w:left="1440"/>
        <w:contextualSpacing/>
        <w:rPr>
          <w:rFonts w:cs="Times New Roman"/>
          <w:szCs w:val="24"/>
        </w:rPr>
      </w:pPr>
    </w:p>
    <w:p w14:paraId="7EA2D49B" w14:textId="77777777" w:rsidR="00D85078" w:rsidRDefault="00D85078" w:rsidP="009F34D7">
      <w:pPr>
        <w:numPr>
          <w:ilvl w:val="0"/>
          <w:numId w:val="9"/>
        </w:numPr>
        <w:spacing w:line="360" w:lineRule="auto"/>
        <w:contextualSpacing/>
        <w:rPr>
          <w:rFonts w:cs="Times New Roman"/>
          <w:szCs w:val="24"/>
        </w:rPr>
      </w:pPr>
      <w:r>
        <w:rPr>
          <w:rFonts w:cs="Times New Roman"/>
          <w:szCs w:val="24"/>
        </w:rPr>
        <w:t xml:space="preserve">The Commission </w:t>
      </w:r>
      <w:r w:rsidR="009C328C" w:rsidRPr="009F34D7">
        <w:rPr>
          <w:rFonts w:cs="Times New Roman"/>
          <w:szCs w:val="24"/>
        </w:rPr>
        <w:t>estimate</w:t>
      </w:r>
      <w:r>
        <w:rPr>
          <w:rFonts w:cs="Times New Roman"/>
          <w:szCs w:val="24"/>
        </w:rPr>
        <w:t>s</w:t>
      </w:r>
      <w:r w:rsidR="009C328C" w:rsidRPr="009F34D7">
        <w:rPr>
          <w:rFonts w:cs="Times New Roman"/>
          <w:szCs w:val="24"/>
        </w:rPr>
        <w:t xml:space="preserve"> that anywhere from five to twenty entities may choose to submit a Numbering Authorization Application, giving </w:t>
      </w:r>
      <w:r w:rsidR="009C328C" w:rsidRPr="009F34D7">
        <w:rPr>
          <w:rFonts w:cs="Times New Roman"/>
          <w:szCs w:val="24"/>
        </w:rPr>
        <w:lastRenderedPageBreak/>
        <w:t xml:space="preserve">us an average of 13 entities (5 + 20 = 25, 25/2 = 12.5, which we round up to 13).  </w:t>
      </w:r>
    </w:p>
    <w:p w14:paraId="47C3384B" w14:textId="77777777" w:rsidR="000C5BDE" w:rsidRDefault="000C5BDE" w:rsidP="009F34D7">
      <w:pPr>
        <w:spacing w:line="360" w:lineRule="auto"/>
        <w:ind w:left="1440"/>
        <w:contextualSpacing/>
        <w:rPr>
          <w:rFonts w:cs="Times New Roman"/>
          <w:szCs w:val="24"/>
        </w:rPr>
      </w:pPr>
    </w:p>
    <w:p w14:paraId="275363FF" w14:textId="77777777" w:rsidR="00D85078" w:rsidRDefault="005F43EB" w:rsidP="009F34D7">
      <w:pPr>
        <w:numPr>
          <w:ilvl w:val="0"/>
          <w:numId w:val="9"/>
        </w:numPr>
        <w:spacing w:line="360" w:lineRule="auto"/>
        <w:contextualSpacing/>
        <w:rPr>
          <w:rFonts w:cs="Times New Roman"/>
          <w:szCs w:val="24"/>
        </w:rPr>
      </w:pPr>
      <w:r w:rsidRPr="009F34D7">
        <w:rPr>
          <w:rFonts w:cs="Times New Roman"/>
          <w:szCs w:val="24"/>
        </w:rPr>
        <w:t xml:space="preserve">To meet the conditions required </w:t>
      </w:r>
      <w:r w:rsidR="009C328C" w:rsidRPr="009F34D7">
        <w:rPr>
          <w:rFonts w:cs="Times New Roman"/>
          <w:szCs w:val="24"/>
        </w:rPr>
        <w:t>by the application</w:t>
      </w:r>
      <w:r w:rsidRPr="009F34D7">
        <w:rPr>
          <w:rFonts w:cs="Times New Roman"/>
          <w:szCs w:val="24"/>
        </w:rPr>
        <w:t xml:space="preserve">, we </w:t>
      </w:r>
      <w:r w:rsidR="00517ACA" w:rsidRPr="009F34D7">
        <w:rPr>
          <w:rFonts w:cs="Times New Roman"/>
          <w:szCs w:val="24"/>
        </w:rPr>
        <w:t>estimate that several professional</w:t>
      </w:r>
      <w:r w:rsidR="00903868" w:rsidRPr="009F34D7">
        <w:rPr>
          <w:rFonts w:cs="Times New Roman"/>
          <w:szCs w:val="24"/>
        </w:rPr>
        <w:t>s</w:t>
      </w:r>
      <w:r w:rsidR="00517ACA" w:rsidRPr="009F34D7">
        <w:rPr>
          <w:rFonts w:cs="Times New Roman"/>
          <w:szCs w:val="24"/>
        </w:rPr>
        <w:t xml:space="preserve"> at the </w:t>
      </w:r>
      <w:r w:rsidR="009C328C" w:rsidRPr="009F34D7">
        <w:rPr>
          <w:rFonts w:cs="Times New Roman"/>
          <w:szCs w:val="24"/>
        </w:rPr>
        <w:t>provider’s</w:t>
      </w:r>
      <w:r w:rsidR="00517ACA" w:rsidRPr="009F34D7">
        <w:rPr>
          <w:rFonts w:cs="Times New Roman"/>
          <w:szCs w:val="24"/>
        </w:rPr>
        <w:t xml:space="preserve"> company, including accountants, information technology specialists, attorneys, and a compliance officer, will participate in the product</w:t>
      </w:r>
      <w:r w:rsidR="009C328C" w:rsidRPr="009F34D7">
        <w:rPr>
          <w:rFonts w:cs="Times New Roman"/>
          <w:szCs w:val="24"/>
        </w:rPr>
        <w:t>ion</w:t>
      </w:r>
      <w:r w:rsidR="00517ACA" w:rsidRPr="009F34D7">
        <w:rPr>
          <w:rFonts w:cs="Times New Roman"/>
          <w:szCs w:val="24"/>
        </w:rPr>
        <w:t xml:space="preserve"> and/or review of the </w:t>
      </w:r>
      <w:r w:rsidR="009C328C" w:rsidRPr="009F34D7">
        <w:rPr>
          <w:rFonts w:cs="Times New Roman"/>
          <w:szCs w:val="24"/>
        </w:rPr>
        <w:t>application</w:t>
      </w:r>
      <w:r w:rsidR="00517ACA" w:rsidRPr="009F34D7">
        <w:rPr>
          <w:rFonts w:cs="Times New Roman"/>
          <w:szCs w:val="24"/>
        </w:rPr>
        <w:t xml:space="preserve">.  </w:t>
      </w:r>
      <w:r w:rsidR="008F5329" w:rsidRPr="009F34D7">
        <w:rPr>
          <w:rFonts w:cs="Times New Roman"/>
          <w:szCs w:val="24"/>
        </w:rPr>
        <w:t xml:space="preserve">We </w:t>
      </w:r>
      <w:r w:rsidR="00B6270C">
        <w:rPr>
          <w:rFonts w:cs="Times New Roman"/>
          <w:szCs w:val="24"/>
        </w:rPr>
        <w:t xml:space="preserve">also </w:t>
      </w:r>
      <w:r w:rsidR="008F5329" w:rsidRPr="009F34D7">
        <w:rPr>
          <w:rFonts w:cs="Times New Roman"/>
          <w:szCs w:val="24"/>
        </w:rPr>
        <w:t xml:space="preserve">estimate a weighted average for the compensation of these professionals will be at a level comparable </w:t>
      </w:r>
      <w:r w:rsidR="00D85078">
        <w:rPr>
          <w:rFonts w:cs="Times New Roman"/>
          <w:szCs w:val="24"/>
        </w:rPr>
        <w:t xml:space="preserve">in pay </w:t>
      </w:r>
      <w:r w:rsidR="008F5329" w:rsidRPr="009F34D7">
        <w:rPr>
          <w:rFonts w:cs="Times New Roman"/>
          <w:szCs w:val="24"/>
        </w:rPr>
        <w:t>to a</w:t>
      </w:r>
      <w:r w:rsidR="00B34FFB" w:rsidRPr="009F34D7">
        <w:rPr>
          <w:rFonts w:cs="Times New Roman"/>
          <w:szCs w:val="24"/>
        </w:rPr>
        <w:t xml:space="preserve"> </w:t>
      </w:r>
      <w:r w:rsidR="00517ACA" w:rsidRPr="009F34D7">
        <w:rPr>
          <w:rFonts w:cs="Times New Roman"/>
          <w:szCs w:val="24"/>
        </w:rPr>
        <w:t>GS 1</w:t>
      </w:r>
      <w:r w:rsidR="00593DE1" w:rsidRPr="009F34D7">
        <w:rPr>
          <w:rFonts w:cs="Times New Roman"/>
          <w:szCs w:val="24"/>
        </w:rPr>
        <w:t>4</w:t>
      </w:r>
      <w:r w:rsidR="00E27EA4" w:rsidRPr="009F34D7">
        <w:rPr>
          <w:rFonts w:cs="Times New Roman"/>
          <w:szCs w:val="24"/>
        </w:rPr>
        <w:t xml:space="preserve"> step 5 ($58.28</w:t>
      </w:r>
      <w:r w:rsidR="00517ACA" w:rsidRPr="009F34D7">
        <w:rPr>
          <w:rFonts w:cs="Times New Roman"/>
          <w:szCs w:val="24"/>
        </w:rPr>
        <w:t>/hour)</w:t>
      </w:r>
      <w:r w:rsidR="00D85078">
        <w:rPr>
          <w:rFonts w:cs="Times New Roman"/>
          <w:szCs w:val="24"/>
        </w:rPr>
        <w:t xml:space="preserve"> using the 2015 General Schedule Pay Table with locality payment for the </w:t>
      </w:r>
      <w:r w:rsidR="006401A6">
        <w:rPr>
          <w:rFonts w:cs="Times New Roman"/>
          <w:szCs w:val="24"/>
        </w:rPr>
        <w:t xml:space="preserve">Washington, D.C., Maryland, </w:t>
      </w:r>
      <w:r w:rsidR="00D85078">
        <w:rPr>
          <w:rFonts w:cs="Times New Roman"/>
          <w:szCs w:val="24"/>
        </w:rPr>
        <w:t xml:space="preserve">Virginia, </w:t>
      </w:r>
      <w:r w:rsidR="007E73D2">
        <w:rPr>
          <w:rFonts w:cs="Times New Roman"/>
          <w:szCs w:val="24"/>
        </w:rPr>
        <w:t>W</w:t>
      </w:r>
      <w:r w:rsidR="00D85078">
        <w:rPr>
          <w:rFonts w:cs="Times New Roman"/>
          <w:szCs w:val="24"/>
        </w:rPr>
        <w:t>est Virginia</w:t>
      </w:r>
      <w:r w:rsidR="007E73D2">
        <w:rPr>
          <w:rFonts w:cs="Times New Roman"/>
          <w:szCs w:val="24"/>
        </w:rPr>
        <w:t xml:space="preserve"> and </w:t>
      </w:r>
      <w:r w:rsidR="00D96411">
        <w:rPr>
          <w:rFonts w:cs="Times New Roman"/>
          <w:szCs w:val="24"/>
        </w:rPr>
        <w:t>Pennsylvania</w:t>
      </w:r>
      <w:r w:rsidR="00517ACA" w:rsidRPr="009F34D7">
        <w:rPr>
          <w:rFonts w:cs="Times New Roman"/>
          <w:szCs w:val="24"/>
        </w:rPr>
        <w:t xml:space="preserve">.  </w:t>
      </w:r>
    </w:p>
    <w:p w14:paraId="453003CE" w14:textId="77777777" w:rsidR="00B6270C" w:rsidRDefault="00B6270C" w:rsidP="009F34D7">
      <w:pPr>
        <w:spacing w:line="360" w:lineRule="auto"/>
        <w:ind w:left="1440"/>
        <w:contextualSpacing/>
        <w:rPr>
          <w:rFonts w:cs="Times New Roman"/>
          <w:szCs w:val="24"/>
        </w:rPr>
      </w:pPr>
    </w:p>
    <w:p w14:paraId="5E0ECB54" w14:textId="77777777" w:rsidR="00C05EC9" w:rsidRPr="009F34D7" w:rsidRDefault="00B6270C" w:rsidP="009F34D7">
      <w:pPr>
        <w:numPr>
          <w:ilvl w:val="0"/>
          <w:numId w:val="9"/>
        </w:numPr>
        <w:spacing w:line="360" w:lineRule="auto"/>
        <w:contextualSpacing/>
        <w:rPr>
          <w:rFonts w:cs="Times New Roman"/>
          <w:szCs w:val="24"/>
        </w:rPr>
      </w:pPr>
      <w:r>
        <w:rPr>
          <w:rFonts w:cs="Times New Roman"/>
          <w:szCs w:val="24"/>
        </w:rPr>
        <w:t xml:space="preserve">The Commission </w:t>
      </w:r>
      <w:r w:rsidR="00517ACA" w:rsidRPr="009F34D7">
        <w:rPr>
          <w:rFonts w:cs="Times New Roman"/>
          <w:szCs w:val="24"/>
        </w:rPr>
        <w:t>estimate</w:t>
      </w:r>
      <w:r>
        <w:rPr>
          <w:rFonts w:cs="Times New Roman"/>
          <w:szCs w:val="24"/>
        </w:rPr>
        <w:t>s</w:t>
      </w:r>
      <w:r w:rsidR="00517ACA" w:rsidRPr="009F34D7">
        <w:rPr>
          <w:rFonts w:cs="Times New Roman"/>
          <w:szCs w:val="24"/>
        </w:rPr>
        <w:t xml:space="preserve"> that it will take </w:t>
      </w:r>
      <w:r w:rsidR="009C328C" w:rsidRPr="009F34D7">
        <w:rPr>
          <w:rFonts w:cs="Times New Roman"/>
          <w:szCs w:val="24"/>
        </w:rPr>
        <w:t>20</w:t>
      </w:r>
      <w:r w:rsidR="00517ACA" w:rsidRPr="009F34D7">
        <w:rPr>
          <w:rFonts w:cs="Times New Roman"/>
          <w:szCs w:val="24"/>
        </w:rPr>
        <w:t xml:space="preserve"> hours to produce the filing per respondent.  The burden pe</w:t>
      </w:r>
      <w:r w:rsidR="009C328C" w:rsidRPr="009F34D7">
        <w:rPr>
          <w:rFonts w:cs="Times New Roman"/>
          <w:szCs w:val="24"/>
        </w:rPr>
        <w:t>r respondent is approximatel</w:t>
      </w:r>
      <w:r w:rsidR="00E27EA4" w:rsidRPr="009F34D7">
        <w:rPr>
          <w:rFonts w:cs="Times New Roman"/>
          <w:szCs w:val="24"/>
        </w:rPr>
        <w:t>y $1,166 ($58.28</w:t>
      </w:r>
      <w:r w:rsidR="009C328C" w:rsidRPr="009F34D7">
        <w:rPr>
          <w:rFonts w:cs="Times New Roman"/>
          <w:szCs w:val="24"/>
        </w:rPr>
        <w:t xml:space="preserve"> x 20</w:t>
      </w:r>
      <w:r w:rsidR="00517ACA" w:rsidRPr="009F34D7">
        <w:rPr>
          <w:rFonts w:cs="Times New Roman"/>
          <w:szCs w:val="24"/>
        </w:rPr>
        <w:t xml:space="preserve"> hours = $</w:t>
      </w:r>
      <w:r w:rsidR="00E27EA4" w:rsidRPr="009F34D7">
        <w:rPr>
          <w:rFonts w:cs="Times New Roman"/>
          <w:szCs w:val="24"/>
        </w:rPr>
        <w:t>1,166</w:t>
      </w:r>
      <w:r w:rsidR="00AA3031" w:rsidRPr="009F34D7">
        <w:rPr>
          <w:rFonts w:cs="Times New Roman"/>
          <w:szCs w:val="24"/>
        </w:rPr>
        <w:t>)</w:t>
      </w:r>
      <w:r w:rsidR="00517ACA" w:rsidRPr="009F34D7">
        <w:rPr>
          <w:rFonts w:cs="Times New Roman"/>
          <w:szCs w:val="24"/>
        </w:rPr>
        <w:t>.  The total industry dollar cost is $</w:t>
      </w:r>
      <w:r w:rsidR="00E27EA4" w:rsidRPr="009F34D7">
        <w:rPr>
          <w:rFonts w:cs="Times New Roman"/>
          <w:szCs w:val="24"/>
        </w:rPr>
        <w:t>15,158</w:t>
      </w:r>
      <w:r w:rsidR="00517ACA" w:rsidRPr="009F34D7">
        <w:rPr>
          <w:rFonts w:cs="Times New Roman"/>
          <w:szCs w:val="24"/>
        </w:rPr>
        <w:t xml:space="preserve"> (</w:t>
      </w:r>
      <w:r w:rsidR="00E27EA4" w:rsidRPr="009F34D7">
        <w:rPr>
          <w:rFonts w:cs="Times New Roman"/>
          <w:szCs w:val="24"/>
        </w:rPr>
        <w:t>13 x $1,166</w:t>
      </w:r>
      <w:r w:rsidR="00517ACA" w:rsidRPr="009F34D7">
        <w:rPr>
          <w:rFonts w:cs="Times New Roman"/>
          <w:szCs w:val="24"/>
        </w:rPr>
        <w:t xml:space="preserve"> = $</w:t>
      </w:r>
      <w:r w:rsidR="00E27EA4" w:rsidRPr="009F34D7">
        <w:rPr>
          <w:rFonts w:cs="Times New Roman"/>
          <w:szCs w:val="24"/>
        </w:rPr>
        <w:t>15,158</w:t>
      </w:r>
      <w:r w:rsidR="00517ACA" w:rsidRPr="009F34D7">
        <w:rPr>
          <w:rFonts w:cs="Times New Roman"/>
          <w:szCs w:val="24"/>
        </w:rPr>
        <w:t xml:space="preserve">).  The total industry burden hours is </w:t>
      </w:r>
      <w:r w:rsidR="002E2F30" w:rsidRPr="009F34D7">
        <w:rPr>
          <w:rFonts w:cs="Times New Roman"/>
          <w:szCs w:val="24"/>
        </w:rPr>
        <w:lastRenderedPageBreak/>
        <w:t>260</w:t>
      </w:r>
      <w:r w:rsidR="00517ACA" w:rsidRPr="009F34D7">
        <w:rPr>
          <w:rFonts w:cs="Times New Roman"/>
          <w:szCs w:val="24"/>
        </w:rPr>
        <w:t xml:space="preserve"> (</w:t>
      </w:r>
      <w:r w:rsidR="002E2F30" w:rsidRPr="009F34D7">
        <w:rPr>
          <w:rFonts w:cs="Times New Roman"/>
          <w:szCs w:val="24"/>
        </w:rPr>
        <w:t>13 x 20</w:t>
      </w:r>
      <w:r w:rsidR="00517ACA" w:rsidRPr="009F34D7">
        <w:rPr>
          <w:rFonts w:cs="Times New Roman"/>
          <w:szCs w:val="24"/>
        </w:rPr>
        <w:t xml:space="preserve"> = </w:t>
      </w:r>
      <w:r w:rsidR="00D466FF" w:rsidRPr="009F34D7">
        <w:rPr>
          <w:rFonts w:cs="Times New Roman"/>
          <w:szCs w:val="24"/>
        </w:rPr>
        <w:t>2</w:t>
      </w:r>
      <w:r w:rsidR="002E2F30" w:rsidRPr="009F34D7">
        <w:rPr>
          <w:rFonts w:cs="Times New Roman"/>
          <w:szCs w:val="24"/>
        </w:rPr>
        <w:t>60).  We note that this application need only be filed once, and will thus not be a recurring industry cost.</w:t>
      </w:r>
    </w:p>
    <w:p w14:paraId="789B3904" w14:textId="77777777" w:rsidR="00C05EC9" w:rsidRPr="009F34D7" w:rsidRDefault="00C05EC9" w:rsidP="00C05EC9">
      <w:pPr>
        <w:ind w:left="1440"/>
        <w:rPr>
          <w:rFonts w:cs="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407"/>
        <w:gridCol w:w="1124"/>
        <w:gridCol w:w="1259"/>
        <w:gridCol w:w="1501"/>
        <w:gridCol w:w="1069"/>
      </w:tblGrid>
      <w:tr w:rsidR="00C05EC9" w:rsidRPr="009F34D7" w14:paraId="04B8421A" w14:textId="77777777" w:rsidTr="004638D2">
        <w:tc>
          <w:tcPr>
            <w:tcW w:w="1579" w:type="dxa"/>
            <w:shd w:val="clear" w:color="auto" w:fill="auto"/>
          </w:tcPr>
          <w:p w14:paraId="75E7570B" w14:textId="77777777" w:rsidR="00C05EC9" w:rsidRPr="009F34D7" w:rsidRDefault="002E2F30" w:rsidP="004638D2">
            <w:pPr>
              <w:rPr>
                <w:rFonts w:cs="Times New Roman"/>
                <w:szCs w:val="24"/>
              </w:rPr>
            </w:pPr>
            <w:r w:rsidRPr="009F34D7">
              <w:rPr>
                <w:rFonts w:cs="Times New Roman"/>
                <w:szCs w:val="24"/>
              </w:rPr>
              <w:t xml:space="preserve">Expected </w:t>
            </w:r>
            <w:r w:rsidR="00C05EC9" w:rsidRPr="009F34D7">
              <w:rPr>
                <w:rFonts w:cs="Times New Roman"/>
                <w:szCs w:val="24"/>
              </w:rPr>
              <w:t xml:space="preserve">Respondents </w:t>
            </w:r>
          </w:p>
        </w:tc>
        <w:tc>
          <w:tcPr>
            <w:tcW w:w="1422" w:type="dxa"/>
            <w:shd w:val="clear" w:color="auto" w:fill="auto"/>
          </w:tcPr>
          <w:p w14:paraId="4703464B" w14:textId="77777777" w:rsidR="00C05EC9" w:rsidRPr="009F34D7" w:rsidRDefault="00E21F7B" w:rsidP="004638D2">
            <w:pPr>
              <w:rPr>
                <w:rFonts w:cs="Times New Roman"/>
                <w:szCs w:val="24"/>
              </w:rPr>
            </w:pPr>
            <w:r w:rsidRPr="009F34D7">
              <w:rPr>
                <w:rFonts w:cs="Times New Roman"/>
                <w:szCs w:val="24"/>
              </w:rPr>
              <w:t>Hours Per R</w:t>
            </w:r>
            <w:r w:rsidR="00C05EC9" w:rsidRPr="009F34D7">
              <w:rPr>
                <w:rFonts w:cs="Times New Roman"/>
                <w:szCs w:val="24"/>
              </w:rPr>
              <w:t>espondent</w:t>
            </w:r>
          </w:p>
        </w:tc>
        <w:tc>
          <w:tcPr>
            <w:tcW w:w="1153" w:type="dxa"/>
            <w:shd w:val="clear" w:color="auto" w:fill="auto"/>
          </w:tcPr>
          <w:p w14:paraId="63AC8A7A" w14:textId="77777777" w:rsidR="00C05EC9" w:rsidRPr="009F34D7" w:rsidRDefault="00E21F7B" w:rsidP="004638D2">
            <w:pPr>
              <w:rPr>
                <w:rFonts w:cs="Times New Roman"/>
                <w:szCs w:val="24"/>
              </w:rPr>
            </w:pPr>
            <w:r w:rsidRPr="009F34D7">
              <w:rPr>
                <w:rFonts w:cs="Times New Roman"/>
                <w:szCs w:val="24"/>
              </w:rPr>
              <w:t>Hours to I</w:t>
            </w:r>
            <w:r w:rsidR="00C05EC9" w:rsidRPr="009F34D7">
              <w:rPr>
                <w:rFonts w:cs="Times New Roman"/>
                <w:szCs w:val="24"/>
              </w:rPr>
              <w:t>ndustry</w:t>
            </w:r>
          </w:p>
        </w:tc>
        <w:tc>
          <w:tcPr>
            <w:tcW w:w="1357" w:type="dxa"/>
            <w:shd w:val="clear" w:color="auto" w:fill="auto"/>
          </w:tcPr>
          <w:p w14:paraId="6D49655A" w14:textId="77777777" w:rsidR="00C05EC9" w:rsidRPr="009F34D7" w:rsidRDefault="00E21F7B" w:rsidP="004638D2">
            <w:pPr>
              <w:rPr>
                <w:rFonts w:cs="Times New Roman"/>
                <w:szCs w:val="24"/>
              </w:rPr>
            </w:pPr>
            <w:r w:rsidRPr="009F34D7">
              <w:rPr>
                <w:rFonts w:cs="Times New Roman"/>
                <w:szCs w:val="24"/>
              </w:rPr>
              <w:t>Hourly S</w:t>
            </w:r>
            <w:r w:rsidR="00C05EC9" w:rsidRPr="009F34D7">
              <w:rPr>
                <w:rFonts w:cs="Times New Roman"/>
                <w:szCs w:val="24"/>
              </w:rPr>
              <w:t>alary</w:t>
            </w:r>
          </w:p>
        </w:tc>
        <w:tc>
          <w:tcPr>
            <w:tcW w:w="1542" w:type="dxa"/>
            <w:shd w:val="clear" w:color="auto" w:fill="auto"/>
          </w:tcPr>
          <w:p w14:paraId="33C21147" w14:textId="77777777" w:rsidR="00C05EC9" w:rsidRPr="009F34D7" w:rsidRDefault="00E21F7B" w:rsidP="004638D2">
            <w:pPr>
              <w:rPr>
                <w:rFonts w:cs="Times New Roman"/>
                <w:szCs w:val="24"/>
              </w:rPr>
            </w:pPr>
            <w:r w:rsidRPr="009F34D7">
              <w:rPr>
                <w:rFonts w:cs="Times New Roman"/>
                <w:szCs w:val="24"/>
              </w:rPr>
              <w:t>$ Cost Per R</w:t>
            </w:r>
            <w:r w:rsidR="00C05EC9" w:rsidRPr="009F34D7">
              <w:rPr>
                <w:rFonts w:cs="Times New Roman"/>
                <w:szCs w:val="24"/>
              </w:rPr>
              <w:t>espondent</w:t>
            </w:r>
          </w:p>
        </w:tc>
        <w:tc>
          <w:tcPr>
            <w:tcW w:w="1083" w:type="dxa"/>
            <w:shd w:val="clear" w:color="auto" w:fill="auto"/>
          </w:tcPr>
          <w:p w14:paraId="371D93B4" w14:textId="77777777" w:rsidR="00C05EC9" w:rsidRPr="009F34D7" w:rsidRDefault="00E21F7B" w:rsidP="004638D2">
            <w:pPr>
              <w:rPr>
                <w:rFonts w:cs="Times New Roman"/>
                <w:szCs w:val="24"/>
              </w:rPr>
            </w:pPr>
            <w:r w:rsidRPr="009F34D7">
              <w:rPr>
                <w:rFonts w:cs="Times New Roman"/>
                <w:szCs w:val="24"/>
              </w:rPr>
              <w:t>$ Cost to I</w:t>
            </w:r>
            <w:r w:rsidR="00C05EC9" w:rsidRPr="009F34D7">
              <w:rPr>
                <w:rFonts w:cs="Times New Roman"/>
                <w:szCs w:val="24"/>
              </w:rPr>
              <w:t xml:space="preserve">ndustry </w:t>
            </w:r>
          </w:p>
        </w:tc>
      </w:tr>
      <w:tr w:rsidR="00C05EC9" w:rsidRPr="009F34D7" w14:paraId="70F3162B" w14:textId="77777777" w:rsidTr="004638D2">
        <w:tc>
          <w:tcPr>
            <w:tcW w:w="1579" w:type="dxa"/>
            <w:shd w:val="clear" w:color="auto" w:fill="auto"/>
          </w:tcPr>
          <w:p w14:paraId="2BCC8D87" w14:textId="77777777" w:rsidR="00C05EC9" w:rsidRPr="009F34D7" w:rsidRDefault="002E2F30" w:rsidP="004638D2">
            <w:pPr>
              <w:rPr>
                <w:rFonts w:cs="Times New Roman"/>
                <w:szCs w:val="24"/>
              </w:rPr>
            </w:pPr>
            <w:r w:rsidRPr="009F34D7">
              <w:rPr>
                <w:rFonts w:cs="Times New Roman"/>
                <w:szCs w:val="24"/>
              </w:rPr>
              <w:t>13</w:t>
            </w:r>
          </w:p>
        </w:tc>
        <w:tc>
          <w:tcPr>
            <w:tcW w:w="1422" w:type="dxa"/>
            <w:shd w:val="clear" w:color="auto" w:fill="auto"/>
          </w:tcPr>
          <w:p w14:paraId="615E42B7" w14:textId="77777777" w:rsidR="00C05EC9" w:rsidRPr="009F34D7" w:rsidRDefault="002E2F30" w:rsidP="004638D2">
            <w:pPr>
              <w:rPr>
                <w:rFonts w:cs="Times New Roman"/>
                <w:szCs w:val="24"/>
              </w:rPr>
            </w:pPr>
            <w:r w:rsidRPr="009F34D7">
              <w:rPr>
                <w:rFonts w:cs="Times New Roman"/>
                <w:szCs w:val="24"/>
              </w:rPr>
              <w:t>20</w:t>
            </w:r>
          </w:p>
        </w:tc>
        <w:tc>
          <w:tcPr>
            <w:tcW w:w="1153" w:type="dxa"/>
            <w:shd w:val="clear" w:color="auto" w:fill="auto"/>
          </w:tcPr>
          <w:p w14:paraId="78325C0A" w14:textId="77777777" w:rsidR="00C05EC9" w:rsidRPr="009F34D7" w:rsidRDefault="002E2F30" w:rsidP="004638D2">
            <w:pPr>
              <w:rPr>
                <w:rFonts w:cs="Times New Roman"/>
                <w:szCs w:val="24"/>
              </w:rPr>
            </w:pPr>
            <w:r w:rsidRPr="009F34D7">
              <w:rPr>
                <w:rFonts w:cs="Times New Roman"/>
                <w:szCs w:val="24"/>
              </w:rPr>
              <w:t>260</w:t>
            </w:r>
          </w:p>
        </w:tc>
        <w:tc>
          <w:tcPr>
            <w:tcW w:w="1357" w:type="dxa"/>
            <w:shd w:val="clear" w:color="auto" w:fill="auto"/>
          </w:tcPr>
          <w:p w14:paraId="3F01EB9C" w14:textId="77777777" w:rsidR="00C05EC9" w:rsidRPr="009F34D7" w:rsidRDefault="007C0269" w:rsidP="004638D2">
            <w:pPr>
              <w:rPr>
                <w:rFonts w:cs="Times New Roman"/>
                <w:szCs w:val="24"/>
              </w:rPr>
            </w:pPr>
            <w:r w:rsidRPr="009F34D7">
              <w:rPr>
                <w:rFonts w:cs="Times New Roman"/>
                <w:szCs w:val="24"/>
              </w:rPr>
              <w:t>$5</w:t>
            </w:r>
            <w:r w:rsidR="00E27EA4" w:rsidRPr="009F34D7">
              <w:rPr>
                <w:rFonts w:cs="Times New Roman"/>
                <w:szCs w:val="24"/>
              </w:rPr>
              <w:t>8.28</w:t>
            </w:r>
          </w:p>
        </w:tc>
        <w:tc>
          <w:tcPr>
            <w:tcW w:w="1542" w:type="dxa"/>
            <w:shd w:val="clear" w:color="auto" w:fill="auto"/>
          </w:tcPr>
          <w:p w14:paraId="47B8A2CD" w14:textId="77777777" w:rsidR="00C05EC9" w:rsidRPr="009F34D7" w:rsidRDefault="00E27EA4" w:rsidP="004638D2">
            <w:pPr>
              <w:rPr>
                <w:rFonts w:cs="Times New Roman"/>
                <w:szCs w:val="24"/>
              </w:rPr>
            </w:pPr>
            <w:r w:rsidRPr="009F34D7">
              <w:rPr>
                <w:rFonts w:cs="Times New Roman"/>
                <w:szCs w:val="24"/>
              </w:rPr>
              <w:t>$1,166</w:t>
            </w:r>
          </w:p>
        </w:tc>
        <w:tc>
          <w:tcPr>
            <w:tcW w:w="1083" w:type="dxa"/>
            <w:shd w:val="clear" w:color="auto" w:fill="auto"/>
          </w:tcPr>
          <w:p w14:paraId="114A783A" w14:textId="77777777" w:rsidR="00C05EC9" w:rsidRPr="009F34D7" w:rsidRDefault="007C0269" w:rsidP="007C0269">
            <w:pPr>
              <w:rPr>
                <w:rFonts w:cs="Times New Roman"/>
                <w:szCs w:val="24"/>
              </w:rPr>
            </w:pPr>
            <w:r w:rsidRPr="009F34D7">
              <w:rPr>
                <w:rFonts w:cs="Times New Roman"/>
                <w:szCs w:val="24"/>
              </w:rPr>
              <w:t>$</w:t>
            </w:r>
            <w:r w:rsidR="00E27EA4" w:rsidRPr="009F34D7">
              <w:rPr>
                <w:rFonts w:cs="Times New Roman"/>
                <w:szCs w:val="24"/>
              </w:rPr>
              <w:t>15,158</w:t>
            </w:r>
          </w:p>
        </w:tc>
      </w:tr>
    </w:tbl>
    <w:p w14:paraId="38A66C4D" w14:textId="77777777" w:rsidR="00C05EC9" w:rsidRPr="009F34D7" w:rsidRDefault="00C05EC9" w:rsidP="00C05EC9">
      <w:pPr>
        <w:rPr>
          <w:rFonts w:cs="Times New Roman"/>
          <w:szCs w:val="24"/>
        </w:rPr>
      </w:pPr>
    </w:p>
    <w:p w14:paraId="6395A967" w14:textId="77777777" w:rsidR="003F6822" w:rsidRDefault="002E2F30" w:rsidP="00DE7E22">
      <w:pPr>
        <w:numPr>
          <w:ilvl w:val="0"/>
          <w:numId w:val="6"/>
        </w:numPr>
        <w:spacing w:line="360" w:lineRule="auto"/>
        <w:rPr>
          <w:rFonts w:cs="Times New Roman"/>
          <w:szCs w:val="24"/>
        </w:rPr>
      </w:pPr>
      <w:r w:rsidRPr="009F34D7">
        <w:rPr>
          <w:rFonts w:cs="Times New Roman"/>
          <w:szCs w:val="24"/>
        </w:rPr>
        <w:t>NRUF Reports</w:t>
      </w:r>
      <w:r w:rsidR="00BE4205" w:rsidRPr="009F34D7">
        <w:rPr>
          <w:rFonts w:cs="Times New Roman"/>
          <w:szCs w:val="24"/>
        </w:rPr>
        <w:t xml:space="preserve">:  </w:t>
      </w:r>
      <w:r w:rsidRPr="009F34D7">
        <w:rPr>
          <w:rFonts w:cs="Times New Roman"/>
          <w:szCs w:val="24"/>
        </w:rPr>
        <w:t>Again, w</w:t>
      </w:r>
      <w:r w:rsidR="008E41A8" w:rsidRPr="009F34D7">
        <w:rPr>
          <w:rFonts w:cs="Times New Roman"/>
          <w:szCs w:val="24"/>
        </w:rPr>
        <w:t xml:space="preserve">e estimate </w:t>
      </w:r>
      <w:r w:rsidRPr="009F34D7">
        <w:rPr>
          <w:rFonts w:cs="Times New Roman"/>
          <w:szCs w:val="24"/>
        </w:rPr>
        <w:t>that roughly 13 interconnected VoIP providers may choose to apply for FCC authorization</w:t>
      </w:r>
      <w:r w:rsidR="008E41A8" w:rsidRPr="009F34D7">
        <w:rPr>
          <w:rFonts w:cs="Times New Roman"/>
          <w:szCs w:val="24"/>
        </w:rPr>
        <w:t xml:space="preserve">.  </w:t>
      </w:r>
      <w:r w:rsidRPr="009F34D7">
        <w:rPr>
          <w:rFonts w:cs="Times New Roman"/>
          <w:szCs w:val="24"/>
        </w:rPr>
        <w:t xml:space="preserve">Should their applications be approved, they will be required to file NRUF Reports </w:t>
      </w:r>
      <w:r w:rsidR="002244E5" w:rsidRPr="009F34D7">
        <w:rPr>
          <w:rFonts w:cs="Times New Roman"/>
          <w:szCs w:val="24"/>
        </w:rPr>
        <w:t xml:space="preserve">with the NANPA </w:t>
      </w:r>
      <w:r w:rsidRPr="009F34D7">
        <w:rPr>
          <w:rFonts w:cs="Times New Roman"/>
          <w:szCs w:val="24"/>
        </w:rPr>
        <w:t xml:space="preserve">twice a year, as a condition of obtaining numbers directly.  To </w:t>
      </w:r>
      <w:r w:rsidR="00E21F7B" w:rsidRPr="009F34D7">
        <w:rPr>
          <w:rFonts w:cs="Times New Roman"/>
          <w:szCs w:val="24"/>
        </w:rPr>
        <w:t>produce</w:t>
      </w:r>
      <w:r w:rsidRPr="009F34D7">
        <w:rPr>
          <w:rFonts w:cs="Times New Roman"/>
          <w:szCs w:val="24"/>
        </w:rPr>
        <w:t xml:space="preserve"> the NRUF Reports on a semi-annual basis</w:t>
      </w:r>
      <w:r w:rsidR="008E41A8" w:rsidRPr="009F34D7">
        <w:rPr>
          <w:rFonts w:cs="Times New Roman"/>
          <w:szCs w:val="24"/>
        </w:rPr>
        <w:t>, several professional</w:t>
      </w:r>
      <w:r w:rsidR="000949D2" w:rsidRPr="009F34D7">
        <w:rPr>
          <w:rFonts w:cs="Times New Roman"/>
          <w:szCs w:val="24"/>
        </w:rPr>
        <w:t>s</w:t>
      </w:r>
      <w:r w:rsidR="008E41A8" w:rsidRPr="009F34D7">
        <w:rPr>
          <w:rFonts w:cs="Times New Roman"/>
          <w:szCs w:val="24"/>
        </w:rPr>
        <w:t xml:space="preserve"> at the carrier’s company, including accountants, information technology specialists, attorneys, engineers, and a compliance officer, will </w:t>
      </w:r>
      <w:r w:rsidRPr="009F34D7">
        <w:rPr>
          <w:rFonts w:cs="Times New Roman"/>
          <w:szCs w:val="24"/>
        </w:rPr>
        <w:t xml:space="preserve">likely </w:t>
      </w:r>
      <w:r w:rsidR="008E41A8" w:rsidRPr="009F34D7">
        <w:rPr>
          <w:rFonts w:cs="Times New Roman"/>
          <w:szCs w:val="24"/>
        </w:rPr>
        <w:t>participate in the product</w:t>
      </w:r>
      <w:r w:rsidRPr="009F34D7">
        <w:rPr>
          <w:rFonts w:cs="Times New Roman"/>
          <w:szCs w:val="24"/>
        </w:rPr>
        <w:t>ion</w:t>
      </w:r>
      <w:r w:rsidR="008E41A8" w:rsidRPr="009F34D7">
        <w:rPr>
          <w:rFonts w:cs="Times New Roman"/>
          <w:szCs w:val="24"/>
        </w:rPr>
        <w:t xml:space="preserve"> and/or review of the filing</w:t>
      </w:r>
      <w:r w:rsidRPr="009F34D7">
        <w:rPr>
          <w:rFonts w:cs="Times New Roman"/>
          <w:szCs w:val="24"/>
        </w:rPr>
        <w:t>s</w:t>
      </w:r>
      <w:r w:rsidR="008E41A8" w:rsidRPr="009F34D7">
        <w:rPr>
          <w:rFonts w:cs="Times New Roman"/>
          <w:szCs w:val="24"/>
        </w:rPr>
        <w:t xml:space="preserve">.  </w:t>
      </w:r>
    </w:p>
    <w:p w14:paraId="7F90AFAD" w14:textId="77777777" w:rsidR="000C5BDE" w:rsidRDefault="000C5BDE" w:rsidP="009F34D7">
      <w:pPr>
        <w:spacing w:line="360" w:lineRule="auto"/>
        <w:ind w:left="1800"/>
        <w:rPr>
          <w:rFonts w:cs="Times New Roman"/>
          <w:szCs w:val="24"/>
        </w:rPr>
      </w:pPr>
    </w:p>
    <w:p w14:paraId="6CB08930" w14:textId="77777777" w:rsidR="003F6822" w:rsidRPr="006401A6" w:rsidRDefault="00EE4692" w:rsidP="009F34D7">
      <w:pPr>
        <w:numPr>
          <w:ilvl w:val="0"/>
          <w:numId w:val="11"/>
        </w:numPr>
        <w:spacing w:line="360" w:lineRule="auto"/>
        <w:rPr>
          <w:rFonts w:cs="Times New Roman"/>
          <w:szCs w:val="24"/>
        </w:rPr>
      </w:pPr>
      <w:r w:rsidRPr="009F34D7">
        <w:rPr>
          <w:rFonts w:cs="Times New Roman"/>
          <w:szCs w:val="24"/>
        </w:rPr>
        <w:t xml:space="preserve">We estimate a weighted average for the compensation of these professionals will be at a level comparable </w:t>
      </w:r>
      <w:r w:rsidR="006401A6">
        <w:rPr>
          <w:rFonts w:cs="Times New Roman"/>
          <w:szCs w:val="24"/>
        </w:rPr>
        <w:t xml:space="preserve">in pay </w:t>
      </w:r>
      <w:r w:rsidRPr="009F34D7">
        <w:rPr>
          <w:rFonts w:cs="Times New Roman"/>
          <w:szCs w:val="24"/>
        </w:rPr>
        <w:t>to a</w:t>
      </w:r>
      <w:r w:rsidR="00B34FFB" w:rsidRPr="009F34D7">
        <w:rPr>
          <w:rFonts w:cs="Times New Roman"/>
          <w:szCs w:val="24"/>
        </w:rPr>
        <w:t xml:space="preserve"> </w:t>
      </w:r>
      <w:r w:rsidR="008E41A8" w:rsidRPr="009F34D7">
        <w:rPr>
          <w:rFonts w:cs="Times New Roman"/>
          <w:szCs w:val="24"/>
        </w:rPr>
        <w:t>GS 14</w:t>
      </w:r>
      <w:r w:rsidR="00C05EC9" w:rsidRPr="009F34D7">
        <w:rPr>
          <w:rFonts w:cs="Times New Roman"/>
          <w:szCs w:val="24"/>
        </w:rPr>
        <w:t xml:space="preserve"> </w:t>
      </w:r>
      <w:r w:rsidR="00E27EA4" w:rsidRPr="009F34D7">
        <w:rPr>
          <w:rFonts w:cs="Times New Roman"/>
          <w:szCs w:val="24"/>
        </w:rPr>
        <w:t xml:space="preserve">step 5 </w:t>
      </w:r>
      <w:r w:rsidR="00E27EA4" w:rsidRPr="009F34D7">
        <w:rPr>
          <w:rFonts w:cs="Times New Roman"/>
          <w:szCs w:val="24"/>
        </w:rPr>
        <w:lastRenderedPageBreak/>
        <w:t>($58.28</w:t>
      </w:r>
      <w:r w:rsidR="008E41A8" w:rsidRPr="009F34D7">
        <w:rPr>
          <w:rFonts w:cs="Times New Roman"/>
          <w:szCs w:val="24"/>
        </w:rPr>
        <w:t>/hour)</w:t>
      </w:r>
      <w:r w:rsidR="006401A6">
        <w:rPr>
          <w:rFonts w:cs="Times New Roman"/>
          <w:szCs w:val="24"/>
        </w:rPr>
        <w:t xml:space="preserve"> using the 2015 General Schedule Pay Table with locality payment for the Washington, D.C., Maryland, Virginia, </w:t>
      </w:r>
      <w:r w:rsidR="007E73D2">
        <w:rPr>
          <w:rFonts w:cs="Times New Roman"/>
          <w:szCs w:val="24"/>
        </w:rPr>
        <w:t xml:space="preserve">West Virginia and </w:t>
      </w:r>
      <w:r w:rsidR="006401A6">
        <w:rPr>
          <w:rFonts w:cs="Times New Roman"/>
          <w:szCs w:val="24"/>
        </w:rPr>
        <w:t>Pennsylvania</w:t>
      </w:r>
      <w:r w:rsidR="007E73D2">
        <w:rPr>
          <w:rFonts w:cs="Times New Roman"/>
          <w:szCs w:val="24"/>
        </w:rPr>
        <w:t>.</w:t>
      </w:r>
    </w:p>
    <w:p w14:paraId="4B8BF4B1" w14:textId="77777777" w:rsidR="003F6822" w:rsidRDefault="003F6822" w:rsidP="009F34D7">
      <w:pPr>
        <w:spacing w:line="360" w:lineRule="auto"/>
        <w:ind w:left="1440"/>
        <w:rPr>
          <w:rFonts w:cs="Times New Roman"/>
          <w:szCs w:val="24"/>
        </w:rPr>
      </w:pPr>
    </w:p>
    <w:p w14:paraId="533706B0" w14:textId="77777777" w:rsidR="00585FE8" w:rsidRDefault="006401A6" w:rsidP="009F34D7">
      <w:pPr>
        <w:numPr>
          <w:ilvl w:val="0"/>
          <w:numId w:val="11"/>
        </w:numPr>
        <w:spacing w:line="360" w:lineRule="auto"/>
        <w:rPr>
          <w:rFonts w:cs="Times New Roman"/>
          <w:szCs w:val="24"/>
        </w:rPr>
      </w:pPr>
      <w:r>
        <w:rPr>
          <w:rFonts w:cs="Times New Roman"/>
          <w:szCs w:val="24"/>
        </w:rPr>
        <w:t xml:space="preserve">The Commission </w:t>
      </w:r>
      <w:r w:rsidR="002E2F30" w:rsidRPr="009F34D7">
        <w:rPr>
          <w:rFonts w:cs="Times New Roman"/>
          <w:szCs w:val="24"/>
        </w:rPr>
        <w:t>estimate</w:t>
      </w:r>
      <w:r>
        <w:rPr>
          <w:rFonts w:cs="Times New Roman"/>
          <w:szCs w:val="24"/>
        </w:rPr>
        <w:t>s</w:t>
      </w:r>
      <w:r w:rsidR="002E2F30" w:rsidRPr="009F34D7">
        <w:rPr>
          <w:rFonts w:cs="Times New Roman"/>
          <w:szCs w:val="24"/>
        </w:rPr>
        <w:t xml:space="preserve"> that it will take 40</w:t>
      </w:r>
      <w:r w:rsidR="008E41A8" w:rsidRPr="009F34D7">
        <w:rPr>
          <w:rFonts w:cs="Times New Roman"/>
          <w:szCs w:val="24"/>
        </w:rPr>
        <w:t xml:space="preserve"> hours to produce the filing per respondent</w:t>
      </w:r>
      <w:r w:rsidR="002E2F30" w:rsidRPr="009F34D7">
        <w:rPr>
          <w:rFonts w:cs="Times New Roman"/>
          <w:szCs w:val="24"/>
        </w:rPr>
        <w:t>, 80 hours per respondent per year to produce both NRUF Reports (40 x 2 = 80 hours per year)</w:t>
      </w:r>
      <w:r w:rsidR="008E41A8" w:rsidRPr="009F34D7">
        <w:rPr>
          <w:rFonts w:cs="Times New Roman"/>
          <w:szCs w:val="24"/>
        </w:rPr>
        <w:t>.  The burden per respondent</w:t>
      </w:r>
      <w:r w:rsidR="002E2F30" w:rsidRPr="009F34D7">
        <w:rPr>
          <w:rFonts w:cs="Times New Roman"/>
          <w:szCs w:val="24"/>
        </w:rPr>
        <w:t xml:space="preserve"> per year</w:t>
      </w:r>
      <w:r w:rsidR="008E41A8" w:rsidRPr="009F34D7">
        <w:rPr>
          <w:rFonts w:cs="Times New Roman"/>
          <w:szCs w:val="24"/>
        </w:rPr>
        <w:t xml:space="preserve"> is ap</w:t>
      </w:r>
      <w:r w:rsidR="00E27EA4" w:rsidRPr="009F34D7">
        <w:rPr>
          <w:rFonts w:cs="Times New Roman"/>
          <w:szCs w:val="24"/>
        </w:rPr>
        <w:t>proximately $4,662 ($58.28</w:t>
      </w:r>
      <w:r w:rsidR="002E2F30" w:rsidRPr="009F34D7">
        <w:rPr>
          <w:rFonts w:cs="Times New Roman"/>
          <w:szCs w:val="24"/>
        </w:rPr>
        <w:t>/hour x 80 hours = $4</w:t>
      </w:r>
      <w:r w:rsidR="00E27EA4" w:rsidRPr="009F34D7">
        <w:rPr>
          <w:rFonts w:cs="Times New Roman"/>
          <w:szCs w:val="24"/>
        </w:rPr>
        <w:t>,662)</w:t>
      </w:r>
      <w:r w:rsidR="008E41A8" w:rsidRPr="009F34D7">
        <w:rPr>
          <w:rFonts w:cs="Times New Roman"/>
          <w:szCs w:val="24"/>
        </w:rPr>
        <w:t xml:space="preserve">.  </w:t>
      </w:r>
    </w:p>
    <w:p w14:paraId="0108665B" w14:textId="77777777" w:rsidR="00585FE8" w:rsidRDefault="00585FE8" w:rsidP="009F34D7">
      <w:pPr>
        <w:pStyle w:val="ListParagraph"/>
        <w:rPr>
          <w:rFonts w:cs="Times New Roman"/>
          <w:szCs w:val="24"/>
        </w:rPr>
      </w:pPr>
    </w:p>
    <w:p w14:paraId="3A4B716C" w14:textId="77777777" w:rsidR="00C05EC9" w:rsidRPr="009F34D7" w:rsidRDefault="008E41A8" w:rsidP="009F34D7">
      <w:pPr>
        <w:numPr>
          <w:ilvl w:val="0"/>
          <w:numId w:val="11"/>
        </w:numPr>
        <w:spacing w:line="360" w:lineRule="auto"/>
        <w:rPr>
          <w:rFonts w:cs="Times New Roman"/>
          <w:szCs w:val="24"/>
        </w:rPr>
      </w:pPr>
      <w:r w:rsidRPr="009F34D7">
        <w:rPr>
          <w:rFonts w:cs="Times New Roman"/>
          <w:szCs w:val="24"/>
        </w:rPr>
        <w:t>The t</w:t>
      </w:r>
      <w:r w:rsidR="002E2F30" w:rsidRPr="009F34D7">
        <w:rPr>
          <w:rFonts w:cs="Times New Roman"/>
          <w:szCs w:val="24"/>
        </w:rPr>
        <w:t>otal indust</w:t>
      </w:r>
      <w:r w:rsidR="00E27EA4" w:rsidRPr="009F34D7">
        <w:rPr>
          <w:rFonts w:cs="Times New Roman"/>
          <w:szCs w:val="24"/>
        </w:rPr>
        <w:t xml:space="preserve">ry dollar cost </w:t>
      </w:r>
      <w:r w:rsidR="00AE7D00">
        <w:rPr>
          <w:rFonts w:cs="Times New Roman"/>
          <w:szCs w:val="24"/>
        </w:rPr>
        <w:t xml:space="preserve">is approximately </w:t>
      </w:r>
      <w:r w:rsidR="00E27EA4" w:rsidRPr="009F34D7">
        <w:rPr>
          <w:rFonts w:cs="Times New Roman"/>
          <w:szCs w:val="24"/>
        </w:rPr>
        <w:t>$60,606</w:t>
      </w:r>
      <w:r w:rsidR="002E2F30" w:rsidRPr="009F34D7">
        <w:rPr>
          <w:rFonts w:cs="Times New Roman"/>
          <w:szCs w:val="24"/>
        </w:rPr>
        <w:t xml:space="preserve"> (13</w:t>
      </w:r>
      <w:r w:rsidRPr="009F34D7">
        <w:rPr>
          <w:rFonts w:cs="Times New Roman"/>
          <w:szCs w:val="24"/>
        </w:rPr>
        <w:t xml:space="preserve"> </w:t>
      </w:r>
      <w:r w:rsidR="002E2F30" w:rsidRPr="009F34D7">
        <w:rPr>
          <w:rFonts w:cs="Times New Roman"/>
          <w:szCs w:val="24"/>
        </w:rPr>
        <w:t>respondents x $4</w:t>
      </w:r>
      <w:r w:rsidR="00E27EA4" w:rsidRPr="009F34D7">
        <w:rPr>
          <w:rFonts w:cs="Times New Roman"/>
          <w:szCs w:val="24"/>
        </w:rPr>
        <w:t>,662</w:t>
      </w:r>
      <w:r w:rsidRPr="009F34D7">
        <w:rPr>
          <w:rFonts w:cs="Times New Roman"/>
          <w:szCs w:val="24"/>
        </w:rPr>
        <w:t xml:space="preserve"> per </w:t>
      </w:r>
      <w:r w:rsidR="00E27EA4" w:rsidRPr="009F34D7">
        <w:rPr>
          <w:rFonts w:cs="Times New Roman"/>
          <w:szCs w:val="24"/>
        </w:rPr>
        <w:t>respondent = $60,606</w:t>
      </w:r>
      <w:r w:rsidRPr="009F34D7">
        <w:rPr>
          <w:rFonts w:cs="Times New Roman"/>
          <w:szCs w:val="24"/>
        </w:rPr>
        <w:t>).  The total industry burd</w:t>
      </w:r>
      <w:r w:rsidR="002E2F30" w:rsidRPr="009F34D7">
        <w:rPr>
          <w:rFonts w:cs="Times New Roman"/>
          <w:szCs w:val="24"/>
        </w:rPr>
        <w:t xml:space="preserve">en hours is </w:t>
      </w:r>
      <w:r w:rsidR="0098035B" w:rsidRPr="009F34D7">
        <w:rPr>
          <w:rFonts w:cs="Times New Roman"/>
          <w:szCs w:val="24"/>
        </w:rPr>
        <w:t>1,040</w:t>
      </w:r>
      <w:r w:rsidR="002E2F30" w:rsidRPr="009F34D7">
        <w:rPr>
          <w:rFonts w:cs="Times New Roman"/>
          <w:szCs w:val="24"/>
        </w:rPr>
        <w:t xml:space="preserve"> (13 x </w:t>
      </w:r>
      <w:r w:rsidR="0098035B" w:rsidRPr="009F34D7">
        <w:rPr>
          <w:rFonts w:cs="Times New Roman"/>
          <w:szCs w:val="24"/>
        </w:rPr>
        <w:t>8</w:t>
      </w:r>
      <w:r w:rsidR="002E2F30" w:rsidRPr="009F34D7">
        <w:rPr>
          <w:rFonts w:cs="Times New Roman"/>
          <w:szCs w:val="24"/>
        </w:rPr>
        <w:t xml:space="preserve">0 = </w:t>
      </w:r>
      <w:r w:rsidR="0098035B" w:rsidRPr="009F34D7">
        <w:rPr>
          <w:rFonts w:cs="Times New Roman"/>
          <w:szCs w:val="24"/>
        </w:rPr>
        <w:t>1,04</w:t>
      </w:r>
      <w:r w:rsidR="009A036C" w:rsidRPr="009F34D7">
        <w:rPr>
          <w:rFonts w:cs="Times New Roman"/>
          <w:szCs w:val="24"/>
        </w:rPr>
        <w:t xml:space="preserve">0). We expect these burden hours to decrease once </w:t>
      </w:r>
      <w:r w:rsidR="002E2F30" w:rsidRPr="009F34D7">
        <w:rPr>
          <w:rFonts w:cs="Times New Roman"/>
          <w:szCs w:val="24"/>
        </w:rPr>
        <w:t>interconnected VoIP providers</w:t>
      </w:r>
      <w:r w:rsidR="009A036C" w:rsidRPr="009F34D7">
        <w:rPr>
          <w:rFonts w:cs="Times New Roman"/>
          <w:szCs w:val="24"/>
        </w:rPr>
        <w:t xml:space="preserve"> implement their compliance plans.</w:t>
      </w:r>
    </w:p>
    <w:p w14:paraId="7B4B1732" w14:textId="77777777" w:rsidR="00C05EC9" w:rsidRPr="009F34D7" w:rsidRDefault="00C05EC9" w:rsidP="00C05EC9">
      <w:pPr>
        <w:rPr>
          <w:rFonts w:cs="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407"/>
        <w:gridCol w:w="1124"/>
        <w:gridCol w:w="1259"/>
        <w:gridCol w:w="1501"/>
        <w:gridCol w:w="1069"/>
      </w:tblGrid>
      <w:tr w:rsidR="00E21F7B" w:rsidRPr="009F34D7" w14:paraId="3D875942" w14:textId="77777777" w:rsidTr="001D73B6">
        <w:tc>
          <w:tcPr>
            <w:tcW w:w="1579" w:type="dxa"/>
            <w:shd w:val="clear" w:color="auto" w:fill="auto"/>
          </w:tcPr>
          <w:p w14:paraId="0AC5D21A" w14:textId="77777777" w:rsidR="00E21F7B" w:rsidRPr="009F34D7" w:rsidRDefault="00E21F7B" w:rsidP="001D73B6">
            <w:pPr>
              <w:rPr>
                <w:rFonts w:cs="Times New Roman"/>
                <w:szCs w:val="24"/>
              </w:rPr>
            </w:pPr>
            <w:r w:rsidRPr="009F34D7">
              <w:rPr>
                <w:rFonts w:cs="Times New Roman"/>
                <w:szCs w:val="24"/>
              </w:rPr>
              <w:t xml:space="preserve">Expected Respondents </w:t>
            </w:r>
          </w:p>
        </w:tc>
        <w:tc>
          <w:tcPr>
            <w:tcW w:w="1422" w:type="dxa"/>
            <w:shd w:val="clear" w:color="auto" w:fill="auto"/>
          </w:tcPr>
          <w:p w14:paraId="6219E983" w14:textId="77777777" w:rsidR="00E21F7B" w:rsidRPr="009F34D7" w:rsidRDefault="00E21F7B" w:rsidP="001D73B6">
            <w:pPr>
              <w:rPr>
                <w:rFonts w:cs="Times New Roman"/>
                <w:szCs w:val="24"/>
              </w:rPr>
            </w:pPr>
            <w:r w:rsidRPr="009F34D7">
              <w:rPr>
                <w:rFonts w:cs="Times New Roman"/>
                <w:szCs w:val="24"/>
              </w:rPr>
              <w:t>Hours Per Respondent</w:t>
            </w:r>
          </w:p>
        </w:tc>
        <w:tc>
          <w:tcPr>
            <w:tcW w:w="1153" w:type="dxa"/>
            <w:shd w:val="clear" w:color="auto" w:fill="auto"/>
          </w:tcPr>
          <w:p w14:paraId="17203E07" w14:textId="77777777" w:rsidR="00E21F7B" w:rsidRPr="009F34D7" w:rsidRDefault="00E21F7B" w:rsidP="001D73B6">
            <w:pPr>
              <w:rPr>
                <w:rFonts w:cs="Times New Roman"/>
                <w:szCs w:val="24"/>
              </w:rPr>
            </w:pPr>
            <w:r w:rsidRPr="009F34D7">
              <w:rPr>
                <w:rFonts w:cs="Times New Roman"/>
                <w:szCs w:val="24"/>
              </w:rPr>
              <w:t>Hours to Industry</w:t>
            </w:r>
          </w:p>
        </w:tc>
        <w:tc>
          <w:tcPr>
            <w:tcW w:w="1357" w:type="dxa"/>
            <w:shd w:val="clear" w:color="auto" w:fill="auto"/>
          </w:tcPr>
          <w:p w14:paraId="4AF85A8C" w14:textId="77777777" w:rsidR="00E21F7B" w:rsidRPr="009F34D7" w:rsidRDefault="00E21F7B" w:rsidP="001D73B6">
            <w:pPr>
              <w:rPr>
                <w:rFonts w:cs="Times New Roman"/>
                <w:szCs w:val="24"/>
              </w:rPr>
            </w:pPr>
            <w:r w:rsidRPr="009F34D7">
              <w:rPr>
                <w:rFonts w:cs="Times New Roman"/>
                <w:szCs w:val="24"/>
              </w:rPr>
              <w:t>Hourly Salary</w:t>
            </w:r>
          </w:p>
        </w:tc>
        <w:tc>
          <w:tcPr>
            <w:tcW w:w="1542" w:type="dxa"/>
            <w:shd w:val="clear" w:color="auto" w:fill="auto"/>
          </w:tcPr>
          <w:p w14:paraId="34B69C0E" w14:textId="77777777" w:rsidR="00E21F7B" w:rsidRPr="009F34D7" w:rsidRDefault="00E21F7B" w:rsidP="001D73B6">
            <w:pPr>
              <w:rPr>
                <w:rFonts w:cs="Times New Roman"/>
                <w:szCs w:val="24"/>
              </w:rPr>
            </w:pPr>
            <w:r w:rsidRPr="009F34D7">
              <w:rPr>
                <w:rFonts w:cs="Times New Roman"/>
                <w:szCs w:val="24"/>
              </w:rPr>
              <w:t>$ Cost Per Respondent</w:t>
            </w:r>
          </w:p>
        </w:tc>
        <w:tc>
          <w:tcPr>
            <w:tcW w:w="1083" w:type="dxa"/>
            <w:shd w:val="clear" w:color="auto" w:fill="auto"/>
          </w:tcPr>
          <w:p w14:paraId="5C8D8DD7" w14:textId="77777777" w:rsidR="00E21F7B" w:rsidRPr="009F34D7" w:rsidRDefault="00E21F7B" w:rsidP="001D73B6">
            <w:pPr>
              <w:rPr>
                <w:rFonts w:cs="Times New Roman"/>
                <w:szCs w:val="24"/>
              </w:rPr>
            </w:pPr>
            <w:r w:rsidRPr="009F34D7">
              <w:rPr>
                <w:rFonts w:cs="Times New Roman"/>
                <w:szCs w:val="24"/>
              </w:rPr>
              <w:t xml:space="preserve">$ Cost to Industry </w:t>
            </w:r>
          </w:p>
        </w:tc>
      </w:tr>
      <w:tr w:rsidR="00C05EC9" w:rsidRPr="009F34D7" w14:paraId="652855C5" w14:textId="77777777" w:rsidTr="004638D2">
        <w:tc>
          <w:tcPr>
            <w:tcW w:w="1579" w:type="dxa"/>
            <w:shd w:val="clear" w:color="auto" w:fill="auto"/>
          </w:tcPr>
          <w:p w14:paraId="0C77FEE3" w14:textId="77777777" w:rsidR="00C05EC9" w:rsidRPr="009F34D7" w:rsidRDefault="00A03A79" w:rsidP="004638D2">
            <w:pPr>
              <w:rPr>
                <w:rFonts w:cs="Times New Roman"/>
                <w:szCs w:val="24"/>
              </w:rPr>
            </w:pPr>
            <w:r w:rsidRPr="009F34D7">
              <w:rPr>
                <w:rFonts w:cs="Times New Roman"/>
                <w:szCs w:val="24"/>
              </w:rPr>
              <w:t>1</w:t>
            </w:r>
            <w:r w:rsidR="002E2F30" w:rsidRPr="009F34D7">
              <w:rPr>
                <w:rFonts w:cs="Times New Roman"/>
                <w:szCs w:val="24"/>
              </w:rPr>
              <w:t>3</w:t>
            </w:r>
          </w:p>
        </w:tc>
        <w:tc>
          <w:tcPr>
            <w:tcW w:w="1422" w:type="dxa"/>
            <w:shd w:val="clear" w:color="auto" w:fill="auto"/>
          </w:tcPr>
          <w:p w14:paraId="727A0FFF" w14:textId="77777777" w:rsidR="00C05EC9" w:rsidRPr="009F34D7" w:rsidRDefault="0098035B" w:rsidP="004638D2">
            <w:pPr>
              <w:rPr>
                <w:rFonts w:cs="Times New Roman"/>
                <w:szCs w:val="24"/>
              </w:rPr>
            </w:pPr>
            <w:r w:rsidRPr="009F34D7">
              <w:rPr>
                <w:rFonts w:cs="Times New Roman"/>
                <w:szCs w:val="24"/>
              </w:rPr>
              <w:t>8</w:t>
            </w:r>
            <w:r w:rsidR="002E2F30" w:rsidRPr="009F34D7">
              <w:rPr>
                <w:rFonts w:cs="Times New Roman"/>
                <w:szCs w:val="24"/>
              </w:rPr>
              <w:t>0</w:t>
            </w:r>
          </w:p>
        </w:tc>
        <w:tc>
          <w:tcPr>
            <w:tcW w:w="1153" w:type="dxa"/>
            <w:shd w:val="clear" w:color="auto" w:fill="auto"/>
          </w:tcPr>
          <w:p w14:paraId="4FC4990E" w14:textId="77777777" w:rsidR="00C05EC9" w:rsidRPr="009F34D7" w:rsidRDefault="0098035B" w:rsidP="004638D2">
            <w:pPr>
              <w:rPr>
                <w:rFonts w:cs="Times New Roman"/>
                <w:szCs w:val="24"/>
              </w:rPr>
            </w:pPr>
            <w:r w:rsidRPr="009F34D7">
              <w:rPr>
                <w:rFonts w:cs="Times New Roman"/>
                <w:szCs w:val="24"/>
              </w:rPr>
              <w:t>1,04</w:t>
            </w:r>
            <w:r w:rsidR="00A03A79" w:rsidRPr="009F34D7">
              <w:rPr>
                <w:rFonts w:cs="Times New Roman"/>
                <w:szCs w:val="24"/>
              </w:rPr>
              <w:t>0</w:t>
            </w:r>
          </w:p>
        </w:tc>
        <w:tc>
          <w:tcPr>
            <w:tcW w:w="1357" w:type="dxa"/>
            <w:shd w:val="clear" w:color="auto" w:fill="auto"/>
          </w:tcPr>
          <w:p w14:paraId="44308BD2" w14:textId="77777777" w:rsidR="00C05EC9" w:rsidRPr="009F34D7" w:rsidRDefault="00A03A79" w:rsidP="004638D2">
            <w:pPr>
              <w:rPr>
                <w:rFonts w:cs="Times New Roman"/>
                <w:szCs w:val="24"/>
              </w:rPr>
            </w:pPr>
            <w:r w:rsidRPr="009F34D7">
              <w:rPr>
                <w:rFonts w:cs="Times New Roman"/>
                <w:szCs w:val="24"/>
              </w:rPr>
              <w:t>$5</w:t>
            </w:r>
            <w:r w:rsidR="00E27EA4" w:rsidRPr="009F34D7">
              <w:rPr>
                <w:rFonts w:cs="Times New Roman"/>
                <w:szCs w:val="24"/>
              </w:rPr>
              <w:t>8.28</w:t>
            </w:r>
          </w:p>
        </w:tc>
        <w:tc>
          <w:tcPr>
            <w:tcW w:w="1542" w:type="dxa"/>
            <w:shd w:val="clear" w:color="auto" w:fill="auto"/>
          </w:tcPr>
          <w:p w14:paraId="1570DA0C" w14:textId="77777777" w:rsidR="00C05EC9" w:rsidRPr="009F34D7" w:rsidRDefault="0098035B" w:rsidP="004638D2">
            <w:pPr>
              <w:rPr>
                <w:rFonts w:cs="Times New Roman"/>
                <w:szCs w:val="24"/>
              </w:rPr>
            </w:pPr>
            <w:r w:rsidRPr="009F34D7">
              <w:rPr>
                <w:rFonts w:cs="Times New Roman"/>
                <w:szCs w:val="24"/>
              </w:rPr>
              <w:t>$4</w:t>
            </w:r>
            <w:r w:rsidR="00E27EA4" w:rsidRPr="009F34D7">
              <w:rPr>
                <w:rFonts w:cs="Times New Roman"/>
                <w:szCs w:val="24"/>
              </w:rPr>
              <w:t>,662</w:t>
            </w:r>
          </w:p>
        </w:tc>
        <w:tc>
          <w:tcPr>
            <w:tcW w:w="1083" w:type="dxa"/>
            <w:shd w:val="clear" w:color="auto" w:fill="auto"/>
          </w:tcPr>
          <w:p w14:paraId="2569C146" w14:textId="77777777" w:rsidR="00C05EC9" w:rsidRPr="009F34D7" w:rsidRDefault="00E27EA4" w:rsidP="004638D2">
            <w:pPr>
              <w:rPr>
                <w:rFonts w:cs="Times New Roman"/>
                <w:szCs w:val="24"/>
              </w:rPr>
            </w:pPr>
            <w:r w:rsidRPr="009F34D7">
              <w:rPr>
                <w:rFonts w:cs="Times New Roman"/>
                <w:szCs w:val="24"/>
              </w:rPr>
              <w:t>$60,606</w:t>
            </w:r>
          </w:p>
        </w:tc>
      </w:tr>
    </w:tbl>
    <w:p w14:paraId="576F615F" w14:textId="77777777" w:rsidR="00AC4F7E" w:rsidRPr="009F34D7" w:rsidRDefault="00AC4F7E" w:rsidP="00AC4F7E">
      <w:pPr>
        <w:pStyle w:val="MediumGrid1-Accent21"/>
        <w:ind w:left="1440"/>
        <w:rPr>
          <w:sz w:val="24"/>
        </w:rPr>
      </w:pPr>
    </w:p>
    <w:p w14:paraId="66F76E8C" w14:textId="77777777" w:rsidR="00585FE8" w:rsidRDefault="00E21F7B" w:rsidP="00585FE8">
      <w:pPr>
        <w:pStyle w:val="MediumGrid1-Accent21"/>
        <w:numPr>
          <w:ilvl w:val="0"/>
          <w:numId w:val="6"/>
        </w:numPr>
        <w:spacing w:line="360" w:lineRule="auto"/>
        <w:rPr>
          <w:sz w:val="24"/>
        </w:rPr>
      </w:pPr>
      <w:r w:rsidRPr="009F34D7">
        <w:rPr>
          <w:sz w:val="24"/>
        </w:rPr>
        <w:t>30-Day</w:t>
      </w:r>
      <w:r w:rsidR="0098035B" w:rsidRPr="009F34D7">
        <w:rPr>
          <w:sz w:val="24"/>
        </w:rPr>
        <w:t xml:space="preserve"> Notice </w:t>
      </w:r>
      <w:r w:rsidRPr="009F34D7">
        <w:rPr>
          <w:sz w:val="24"/>
        </w:rPr>
        <w:t>Requirement</w:t>
      </w:r>
      <w:r w:rsidR="00B077BF" w:rsidRPr="009F34D7">
        <w:rPr>
          <w:sz w:val="24"/>
        </w:rPr>
        <w:t xml:space="preserve">:  </w:t>
      </w:r>
      <w:r w:rsidR="0098035B" w:rsidRPr="009F34D7">
        <w:rPr>
          <w:sz w:val="24"/>
        </w:rPr>
        <w:t>We estimate th</w:t>
      </w:r>
      <w:r w:rsidR="00AD4B35">
        <w:rPr>
          <w:sz w:val="24"/>
        </w:rPr>
        <w:t>at approximately</w:t>
      </w:r>
      <w:r w:rsidR="0098035B" w:rsidRPr="009F34D7">
        <w:rPr>
          <w:sz w:val="24"/>
        </w:rPr>
        <w:t xml:space="preserve"> 13 interconnected VoIP providers may choose to apply for FCC authorization</w:t>
      </w:r>
      <w:r w:rsidR="00C40175" w:rsidRPr="009F34D7">
        <w:rPr>
          <w:sz w:val="24"/>
        </w:rPr>
        <w:t>.</w:t>
      </w:r>
      <w:r w:rsidR="0098035B" w:rsidRPr="009F34D7">
        <w:rPr>
          <w:sz w:val="24"/>
        </w:rPr>
        <w:t xml:space="preserve">  Should their applications be approved, they will be required to file requests for numbers with the relevant state commission(s) at least 30 days prior to requesting numbers from the Numbering Administrators.</w:t>
      </w:r>
      <w:r w:rsidRPr="009F34D7">
        <w:rPr>
          <w:sz w:val="24"/>
        </w:rPr>
        <w:t>  To meet this condition</w:t>
      </w:r>
      <w:r w:rsidR="0098035B" w:rsidRPr="009F34D7">
        <w:rPr>
          <w:sz w:val="24"/>
        </w:rPr>
        <w:t>,</w:t>
      </w:r>
      <w:r w:rsidR="00C40175" w:rsidRPr="009F34D7">
        <w:rPr>
          <w:sz w:val="24"/>
        </w:rPr>
        <w:t xml:space="preserve"> several professionals at the carrier’s company</w:t>
      </w:r>
      <w:r w:rsidR="0098035B" w:rsidRPr="009F34D7">
        <w:rPr>
          <w:sz w:val="24"/>
        </w:rPr>
        <w:t>,</w:t>
      </w:r>
      <w:r w:rsidR="00F416CA" w:rsidRPr="009F34D7">
        <w:rPr>
          <w:sz w:val="24"/>
        </w:rPr>
        <w:t xml:space="preserve"> including attorneys, information technology specialists, and </w:t>
      </w:r>
      <w:r w:rsidR="000148F5" w:rsidRPr="009F34D7">
        <w:rPr>
          <w:sz w:val="24"/>
        </w:rPr>
        <w:t xml:space="preserve">a </w:t>
      </w:r>
      <w:r w:rsidR="00F416CA" w:rsidRPr="009F34D7">
        <w:rPr>
          <w:sz w:val="24"/>
        </w:rPr>
        <w:t xml:space="preserve">compliance </w:t>
      </w:r>
      <w:r w:rsidR="00593DE1" w:rsidRPr="009F34D7">
        <w:rPr>
          <w:sz w:val="24"/>
        </w:rPr>
        <w:t>officer</w:t>
      </w:r>
      <w:r w:rsidR="0098035B" w:rsidRPr="009F34D7">
        <w:rPr>
          <w:sz w:val="24"/>
        </w:rPr>
        <w:t>,</w:t>
      </w:r>
      <w:r w:rsidR="00593DE1" w:rsidRPr="009F34D7">
        <w:rPr>
          <w:sz w:val="24"/>
        </w:rPr>
        <w:t xml:space="preserve"> </w:t>
      </w:r>
      <w:r w:rsidR="0098035B" w:rsidRPr="009F34D7">
        <w:rPr>
          <w:sz w:val="24"/>
        </w:rPr>
        <w:t>may</w:t>
      </w:r>
      <w:r w:rsidR="00C40175" w:rsidRPr="009F34D7">
        <w:rPr>
          <w:sz w:val="24"/>
        </w:rPr>
        <w:t xml:space="preserve"> participate in the production and/or review of the filing.  </w:t>
      </w:r>
    </w:p>
    <w:p w14:paraId="3D58E66C" w14:textId="77777777" w:rsidR="00585FE8" w:rsidRDefault="00585FE8" w:rsidP="009F34D7">
      <w:pPr>
        <w:pStyle w:val="MediumGrid1-Accent21"/>
        <w:spacing w:line="360" w:lineRule="auto"/>
        <w:ind w:left="1440"/>
        <w:rPr>
          <w:sz w:val="24"/>
        </w:rPr>
      </w:pPr>
    </w:p>
    <w:p w14:paraId="168C96DA" w14:textId="77777777" w:rsidR="007E73D2" w:rsidRDefault="006401A6" w:rsidP="009F34D7">
      <w:pPr>
        <w:pStyle w:val="MediumGrid1-Accent21"/>
        <w:numPr>
          <w:ilvl w:val="1"/>
          <w:numId w:val="6"/>
        </w:numPr>
        <w:spacing w:line="360" w:lineRule="auto"/>
        <w:rPr>
          <w:sz w:val="24"/>
        </w:rPr>
      </w:pPr>
      <w:r>
        <w:rPr>
          <w:sz w:val="24"/>
        </w:rPr>
        <w:t xml:space="preserve">The Commission </w:t>
      </w:r>
      <w:r w:rsidR="00F416CA" w:rsidRPr="009F34D7">
        <w:rPr>
          <w:sz w:val="24"/>
        </w:rPr>
        <w:t>estimate</w:t>
      </w:r>
      <w:r>
        <w:rPr>
          <w:sz w:val="24"/>
        </w:rPr>
        <w:t>s</w:t>
      </w:r>
      <w:r w:rsidR="00F416CA" w:rsidRPr="009F34D7">
        <w:rPr>
          <w:sz w:val="24"/>
        </w:rPr>
        <w:t xml:space="preserve"> a weighted average for the compensation of these professionals will be at a le</w:t>
      </w:r>
      <w:r w:rsidR="00E27EA4" w:rsidRPr="009F34D7">
        <w:rPr>
          <w:sz w:val="24"/>
        </w:rPr>
        <w:t xml:space="preserve">vel comparable </w:t>
      </w:r>
      <w:r w:rsidR="007E73D2">
        <w:rPr>
          <w:sz w:val="24"/>
        </w:rPr>
        <w:t xml:space="preserve">in pay </w:t>
      </w:r>
      <w:r w:rsidR="00E27EA4" w:rsidRPr="009F34D7">
        <w:rPr>
          <w:sz w:val="24"/>
        </w:rPr>
        <w:t>to a GS 14 step 5 ($58.28</w:t>
      </w:r>
      <w:r w:rsidR="00F416CA" w:rsidRPr="009F34D7">
        <w:rPr>
          <w:sz w:val="24"/>
        </w:rPr>
        <w:t>/hour)</w:t>
      </w:r>
      <w:r w:rsidR="007E73D2">
        <w:rPr>
          <w:sz w:val="24"/>
        </w:rPr>
        <w:t xml:space="preserve"> using the 2015 General Schedule Pay Table with locality payment for the Washington, D.C., Maryland, Virginia, West Virginia and Pennsylvania</w:t>
      </w:r>
      <w:r w:rsidR="00F416CA" w:rsidRPr="009F34D7">
        <w:rPr>
          <w:sz w:val="24"/>
        </w:rPr>
        <w:t>.</w:t>
      </w:r>
    </w:p>
    <w:p w14:paraId="2A83E5F7" w14:textId="77777777" w:rsidR="00585FE8" w:rsidRDefault="00F416CA" w:rsidP="009F34D7">
      <w:pPr>
        <w:pStyle w:val="MediumGrid1-Accent21"/>
        <w:spacing w:line="360" w:lineRule="auto"/>
        <w:ind w:left="2160"/>
        <w:rPr>
          <w:sz w:val="24"/>
        </w:rPr>
      </w:pPr>
      <w:r w:rsidRPr="009F34D7">
        <w:rPr>
          <w:sz w:val="24"/>
        </w:rPr>
        <w:t xml:space="preserve">  </w:t>
      </w:r>
    </w:p>
    <w:p w14:paraId="2119F41F" w14:textId="77777777" w:rsidR="00585FE8" w:rsidRDefault="0098035B" w:rsidP="009F34D7">
      <w:pPr>
        <w:pStyle w:val="MediumGrid1-Accent21"/>
        <w:numPr>
          <w:ilvl w:val="1"/>
          <w:numId w:val="6"/>
        </w:numPr>
        <w:spacing w:line="360" w:lineRule="auto"/>
        <w:rPr>
          <w:sz w:val="24"/>
        </w:rPr>
      </w:pPr>
      <w:r w:rsidRPr="009F34D7">
        <w:rPr>
          <w:sz w:val="24"/>
        </w:rPr>
        <w:t xml:space="preserve">We </w:t>
      </w:r>
      <w:r w:rsidR="006401A6">
        <w:rPr>
          <w:sz w:val="24"/>
        </w:rPr>
        <w:t xml:space="preserve">also </w:t>
      </w:r>
      <w:r w:rsidRPr="009F34D7">
        <w:rPr>
          <w:sz w:val="24"/>
        </w:rPr>
        <w:t>estimate it will take no more than 10</w:t>
      </w:r>
      <w:r w:rsidR="002C1E87" w:rsidRPr="009F34D7">
        <w:rPr>
          <w:sz w:val="24"/>
        </w:rPr>
        <w:t xml:space="preserve"> hours </w:t>
      </w:r>
      <w:r w:rsidRPr="009F34D7">
        <w:rPr>
          <w:sz w:val="24"/>
        </w:rPr>
        <w:t xml:space="preserve">annually </w:t>
      </w:r>
      <w:r w:rsidR="002C1E87" w:rsidRPr="009F34D7">
        <w:rPr>
          <w:sz w:val="24"/>
        </w:rPr>
        <w:t>to produce the filing per respondent</w:t>
      </w:r>
      <w:r w:rsidRPr="009F34D7">
        <w:rPr>
          <w:sz w:val="24"/>
        </w:rPr>
        <w:t xml:space="preserve">.  Since the numbering requests </w:t>
      </w:r>
      <w:r w:rsidRPr="009F34D7">
        <w:rPr>
          <w:sz w:val="24"/>
        </w:rPr>
        <w:lastRenderedPageBreak/>
        <w:t>sent to the state commissions will largely contain the same information as whatever numbering request the respondent intends to transmit to the Numbering Administrators, they will not require many hours to prepare independent of the requests intended for the Administrators</w:t>
      </w:r>
      <w:r w:rsidR="002C1E87" w:rsidRPr="009F34D7">
        <w:rPr>
          <w:sz w:val="24"/>
        </w:rPr>
        <w:t>.  The burden pe</w:t>
      </w:r>
      <w:r w:rsidRPr="009F34D7">
        <w:rPr>
          <w:sz w:val="24"/>
        </w:rPr>
        <w:t xml:space="preserve">r </w:t>
      </w:r>
      <w:r w:rsidR="00E27EA4" w:rsidRPr="009F34D7">
        <w:rPr>
          <w:sz w:val="24"/>
        </w:rPr>
        <w:t>respondent is approximately $583 ($58.28 x 10 hours = $583</w:t>
      </w:r>
      <w:r w:rsidR="002C1E87" w:rsidRPr="009F34D7">
        <w:rPr>
          <w:sz w:val="24"/>
        </w:rPr>
        <w:t xml:space="preserve">). </w:t>
      </w:r>
    </w:p>
    <w:p w14:paraId="7BB7165C" w14:textId="77777777" w:rsidR="00585FE8" w:rsidRDefault="002C1E87" w:rsidP="009F34D7">
      <w:pPr>
        <w:pStyle w:val="MediumGrid1-Accent21"/>
        <w:spacing w:line="360" w:lineRule="auto"/>
        <w:ind w:left="2160"/>
        <w:rPr>
          <w:sz w:val="24"/>
        </w:rPr>
      </w:pPr>
      <w:r w:rsidRPr="009F34D7">
        <w:rPr>
          <w:sz w:val="24"/>
        </w:rPr>
        <w:t xml:space="preserve"> </w:t>
      </w:r>
    </w:p>
    <w:p w14:paraId="39E1C41A" w14:textId="77777777" w:rsidR="001E0387" w:rsidRPr="009F34D7" w:rsidRDefault="006401A6" w:rsidP="009F34D7">
      <w:pPr>
        <w:pStyle w:val="MediumGrid1-Accent21"/>
        <w:numPr>
          <w:ilvl w:val="1"/>
          <w:numId w:val="6"/>
        </w:numPr>
        <w:spacing w:line="360" w:lineRule="auto"/>
        <w:rPr>
          <w:sz w:val="24"/>
        </w:rPr>
      </w:pPr>
      <w:r>
        <w:rPr>
          <w:sz w:val="24"/>
        </w:rPr>
        <w:t xml:space="preserve">The total </w:t>
      </w:r>
      <w:r w:rsidR="0098035B" w:rsidRPr="009F34D7">
        <w:rPr>
          <w:sz w:val="24"/>
        </w:rPr>
        <w:t>industry d</w:t>
      </w:r>
      <w:r w:rsidR="00E27EA4" w:rsidRPr="009F34D7">
        <w:rPr>
          <w:sz w:val="24"/>
        </w:rPr>
        <w:t>ollar cost is $7,759 (13 x $583 = $7,579</w:t>
      </w:r>
      <w:r w:rsidR="002C1E87" w:rsidRPr="009F34D7">
        <w:rPr>
          <w:sz w:val="24"/>
        </w:rPr>
        <w:t>).  The to</w:t>
      </w:r>
      <w:r w:rsidR="0098035B" w:rsidRPr="009F34D7">
        <w:rPr>
          <w:sz w:val="24"/>
        </w:rPr>
        <w:t xml:space="preserve">tal industry burden hours </w:t>
      </w:r>
      <w:r w:rsidR="005B7FB9" w:rsidRPr="009F34D7">
        <w:rPr>
          <w:sz w:val="24"/>
        </w:rPr>
        <w:t xml:space="preserve">are </w:t>
      </w:r>
      <w:r w:rsidR="0098035B" w:rsidRPr="009F34D7">
        <w:rPr>
          <w:sz w:val="24"/>
        </w:rPr>
        <w:t>130 (13 x 10 = 130</w:t>
      </w:r>
      <w:r w:rsidR="002C1E87" w:rsidRPr="009F34D7">
        <w:rPr>
          <w:sz w:val="24"/>
        </w:rPr>
        <w:t>).</w:t>
      </w:r>
    </w:p>
    <w:p w14:paraId="252CFCE1" w14:textId="77777777" w:rsidR="001830CD" w:rsidRPr="009F34D7" w:rsidRDefault="001830CD" w:rsidP="001830CD">
      <w:pPr>
        <w:pStyle w:val="MediumGrid1-Accent21"/>
        <w:ind w:left="1440"/>
        <w:rPr>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407"/>
        <w:gridCol w:w="1124"/>
        <w:gridCol w:w="1259"/>
        <w:gridCol w:w="1501"/>
        <w:gridCol w:w="1069"/>
      </w:tblGrid>
      <w:tr w:rsidR="00E21F7B" w:rsidRPr="009F34D7" w14:paraId="230A1F8E" w14:textId="77777777" w:rsidTr="001D73B6">
        <w:tc>
          <w:tcPr>
            <w:tcW w:w="1579" w:type="dxa"/>
            <w:shd w:val="clear" w:color="auto" w:fill="auto"/>
          </w:tcPr>
          <w:p w14:paraId="49EDF8A3" w14:textId="77777777" w:rsidR="00E21F7B" w:rsidRPr="009F34D7" w:rsidRDefault="00E21F7B" w:rsidP="001D73B6">
            <w:pPr>
              <w:rPr>
                <w:rFonts w:cs="Times New Roman"/>
                <w:szCs w:val="24"/>
              </w:rPr>
            </w:pPr>
            <w:r w:rsidRPr="009F34D7">
              <w:rPr>
                <w:rFonts w:cs="Times New Roman"/>
                <w:szCs w:val="24"/>
              </w:rPr>
              <w:t xml:space="preserve">Expected Respondents </w:t>
            </w:r>
          </w:p>
        </w:tc>
        <w:tc>
          <w:tcPr>
            <w:tcW w:w="1422" w:type="dxa"/>
            <w:shd w:val="clear" w:color="auto" w:fill="auto"/>
          </w:tcPr>
          <w:p w14:paraId="49686832" w14:textId="77777777" w:rsidR="00E21F7B" w:rsidRPr="009F34D7" w:rsidRDefault="00E21F7B" w:rsidP="001D73B6">
            <w:pPr>
              <w:rPr>
                <w:rFonts w:cs="Times New Roman"/>
                <w:szCs w:val="24"/>
              </w:rPr>
            </w:pPr>
            <w:r w:rsidRPr="009F34D7">
              <w:rPr>
                <w:rFonts w:cs="Times New Roman"/>
                <w:szCs w:val="24"/>
              </w:rPr>
              <w:t>Hours Per Respondent</w:t>
            </w:r>
          </w:p>
        </w:tc>
        <w:tc>
          <w:tcPr>
            <w:tcW w:w="1153" w:type="dxa"/>
            <w:shd w:val="clear" w:color="auto" w:fill="auto"/>
          </w:tcPr>
          <w:p w14:paraId="45721DFB" w14:textId="77777777" w:rsidR="00E21F7B" w:rsidRPr="009F34D7" w:rsidRDefault="00E21F7B" w:rsidP="001D73B6">
            <w:pPr>
              <w:rPr>
                <w:rFonts w:cs="Times New Roman"/>
                <w:szCs w:val="24"/>
              </w:rPr>
            </w:pPr>
            <w:r w:rsidRPr="009F34D7">
              <w:rPr>
                <w:rFonts w:cs="Times New Roman"/>
                <w:szCs w:val="24"/>
              </w:rPr>
              <w:t>Hours to Industry</w:t>
            </w:r>
          </w:p>
        </w:tc>
        <w:tc>
          <w:tcPr>
            <w:tcW w:w="1357" w:type="dxa"/>
            <w:shd w:val="clear" w:color="auto" w:fill="auto"/>
          </w:tcPr>
          <w:p w14:paraId="45F4FB87" w14:textId="77777777" w:rsidR="00E21F7B" w:rsidRPr="009F34D7" w:rsidRDefault="00E21F7B" w:rsidP="001D73B6">
            <w:pPr>
              <w:rPr>
                <w:rFonts w:cs="Times New Roman"/>
                <w:szCs w:val="24"/>
              </w:rPr>
            </w:pPr>
            <w:r w:rsidRPr="009F34D7">
              <w:rPr>
                <w:rFonts w:cs="Times New Roman"/>
                <w:szCs w:val="24"/>
              </w:rPr>
              <w:t>Hourly Salary</w:t>
            </w:r>
          </w:p>
        </w:tc>
        <w:tc>
          <w:tcPr>
            <w:tcW w:w="1542" w:type="dxa"/>
            <w:shd w:val="clear" w:color="auto" w:fill="auto"/>
          </w:tcPr>
          <w:p w14:paraId="62623F9C" w14:textId="77777777" w:rsidR="00E21F7B" w:rsidRPr="009F34D7" w:rsidRDefault="00E21F7B" w:rsidP="001D73B6">
            <w:pPr>
              <w:rPr>
                <w:rFonts w:cs="Times New Roman"/>
                <w:szCs w:val="24"/>
              </w:rPr>
            </w:pPr>
            <w:r w:rsidRPr="009F34D7">
              <w:rPr>
                <w:rFonts w:cs="Times New Roman"/>
                <w:szCs w:val="24"/>
              </w:rPr>
              <w:t>$ Cost Per Respondent</w:t>
            </w:r>
          </w:p>
        </w:tc>
        <w:tc>
          <w:tcPr>
            <w:tcW w:w="1083" w:type="dxa"/>
            <w:shd w:val="clear" w:color="auto" w:fill="auto"/>
          </w:tcPr>
          <w:p w14:paraId="6E2F2E24" w14:textId="77777777" w:rsidR="00E21F7B" w:rsidRPr="009F34D7" w:rsidRDefault="00E21F7B" w:rsidP="001D73B6">
            <w:pPr>
              <w:rPr>
                <w:rFonts w:cs="Times New Roman"/>
                <w:szCs w:val="24"/>
              </w:rPr>
            </w:pPr>
            <w:r w:rsidRPr="009F34D7">
              <w:rPr>
                <w:rFonts w:cs="Times New Roman"/>
                <w:szCs w:val="24"/>
              </w:rPr>
              <w:t xml:space="preserve">$ Cost to Industry </w:t>
            </w:r>
          </w:p>
        </w:tc>
      </w:tr>
      <w:tr w:rsidR="001830CD" w:rsidRPr="009F34D7" w14:paraId="3E1F9B3A" w14:textId="77777777" w:rsidTr="00EF6637">
        <w:trPr>
          <w:trHeight w:val="278"/>
        </w:trPr>
        <w:tc>
          <w:tcPr>
            <w:tcW w:w="1579" w:type="dxa"/>
            <w:shd w:val="clear" w:color="auto" w:fill="auto"/>
          </w:tcPr>
          <w:p w14:paraId="56694375" w14:textId="77777777" w:rsidR="001830CD" w:rsidRPr="009F34D7" w:rsidRDefault="0098035B" w:rsidP="00094AF2">
            <w:pPr>
              <w:pStyle w:val="MediumGrid1-Accent21"/>
              <w:ind w:left="0"/>
              <w:rPr>
                <w:sz w:val="24"/>
              </w:rPr>
            </w:pPr>
            <w:r w:rsidRPr="009F34D7">
              <w:rPr>
                <w:sz w:val="24"/>
              </w:rPr>
              <w:t>13</w:t>
            </w:r>
          </w:p>
        </w:tc>
        <w:tc>
          <w:tcPr>
            <w:tcW w:w="1422" w:type="dxa"/>
            <w:shd w:val="clear" w:color="auto" w:fill="auto"/>
          </w:tcPr>
          <w:p w14:paraId="1F4DB42D" w14:textId="77777777" w:rsidR="001830CD" w:rsidRPr="009F34D7" w:rsidRDefault="0098035B" w:rsidP="00094AF2">
            <w:pPr>
              <w:pStyle w:val="MediumGrid1-Accent21"/>
              <w:ind w:left="0"/>
              <w:rPr>
                <w:sz w:val="24"/>
              </w:rPr>
            </w:pPr>
            <w:r w:rsidRPr="009F34D7">
              <w:rPr>
                <w:sz w:val="24"/>
              </w:rPr>
              <w:t>10</w:t>
            </w:r>
          </w:p>
        </w:tc>
        <w:tc>
          <w:tcPr>
            <w:tcW w:w="1153" w:type="dxa"/>
            <w:shd w:val="clear" w:color="auto" w:fill="auto"/>
          </w:tcPr>
          <w:p w14:paraId="0305DF91" w14:textId="77777777" w:rsidR="001830CD" w:rsidRPr="009F34D7" w:rsidRDefault="0098035B" w:rsidP="00094AF2">
            <w:pPr>
              <w:pStyle w:val="MediumGrid1-Accent21"/>
              <w:ind w:left="0"/>
              <w:rPr>
                <w:sz w:val="24"/>
              </w:rPr>
            </w:pPr>
            <w:r w:rsidRPr="009F34D7">
              <w:rPr>
                <w:sz w:val="24"/>
              </w:rPr>
              <w:t>130</w:t>
            </w:r>
          </w:p>
        </w:tc>
        <w:tc>
          <w:tcPr>
            <w:tcW w:w="1357" w:type="dxa"/>
            <w:shd w:val="clear" w:color="auto" w:fill="auto"/>
          </w:tcPr>
          <w:p w14:paraId="135E8084" w14:textId="77777777" w:rsidR="001830CD" w:rsidRPr="009F34D7" w:rsidRDefault="00C40175" w:rsidP="003F0340">
            <w:pPr>
              <w:pStyle w:val="MediumGrid1-Accent21"/>
              <w:ind w:left="0"/>
              <w:rPr>
                <w:sz w:val="24"/>
              </w:rPr>
            </w:pPr>
            <w:r w:rsidRPr="009F34D7">
              <w:rPr>
                <w:sz w:val="24"/>
              </w:rPr>
              <w:t>$</w:t>
            </w:r>
            <w:r w:rsidR="003F0340" w:rsidRPr="009F34D7">
              <w:rPr>
                <w:sz w:val="24"/>
              </w:rPr>
              <w:t>5</w:t>
            </w:r>
            <w:r w:rsidR="00E27EA4" w:rsidRPr="009F34D7">
              <w:rPr>
                <w:sz w:val="24"/>
              </w:rPr>
              <w:t>8.28</w:t>
            </w:r>
          </w:p>
        </w:tc>
        <w:tc>
          <w:tcPr>
            <w:tcW w:w="1542" w:type="dxa"/>
            <w:shd w:val="clear" w:color="auto" w:fill="auto"/>
          </w:tcPr>
          <w:p w14:paraId="2B74FC55" w14:textId="77777777" w:rsidR="001830CD" w:rsidRPr="009F34D7" w:rsidRDefault="00C40175" w:rsidP="00207A7E">
            <w:pPr>
              <w:pStyle w:val="MediumGrid1-Accent21"/>
              <w:ind w:left="0"/>
              <w:rPr>
                <w:sz w:val="24"/>
              </w:rPr>
            </w:pPr>
            <w:r w:rsidRPr="009F34D7">
              <w:rPr>
                <w:sz w:val="24"/>
              </w:rPr>
              <w:t>$</w:t>
            </w:r>
            <w:r w:rsidR="00E27EA4" w:rsidRPr="009F34D7">
              <w:rPr>
                <w:sz w:val="24"/>
              </w:rPr>
              <w:t>583</w:t>
            </w:r>
          </w:p>
        </w:tc>
        <w:tc>
          <w:tcPr>
            <w:tcW w:w="1083" w:type="dxa"/>
            <w:shd w:val="clear" w:color="auto" w:fill="auto"/>
          </w:tcPr>
          <w:p w14:paraId="42011216" w14:textId="77777777" w:rsidR="001830CD" w:rsidRPr="009F34D7" w:rsidRDefault="00C40175" w:rsidP="000F50AB">
            <w:pPr>
              <w:pStyle w:val="MediumGrid1-Accent21"/>
              <w:ind w:left="0"/>
              <w:rPr>
                <w:sz w:val="24"/>
              </w:rPr>
            </w:pPr>
            <w:r w:rsidRPr="009F34D7">
              <w:rPr>
                <w:sz w:val="24"/>
              </w:rPr>
              <w:t>$</w:t>
            </w:r>
            <w:r w:rsidR="00E27EA4" w:rsidRPr="009F34D7">
              <w:rPr>
                <w:sz w:val="24"/>
              </w:rPr>
              <w:t>7,579</w:t>
            </w:r>
          </w:p>
        </w:tc>
      </w:tr>
    </w:tbl>
    <w:p w14:paraId="5D92D39D" w14:textId="77777777" w:rsidR="00F7698C" w:rsidRPr="009F34D7" w:rsidRDefault="00F7698C" w:rsidP="00F7698C">
      <w:pPr>
        <w:pStyle w:val="MediumGrid1-Accent21"/>
        <w:ind w:left="0"/>
        <w:rPr>
          <w:sz w:val="24"/>
        </w:rPr>
      </w:pPr>
    </w:p>
    <w:p w14:paraId="64CD1C2E" w14:textId="77777777" w:rsidR="00585FE8" w:rsidRDefault="005B7FB9" w:rsidP="00285DBB">
      <w:pPr>
        <w:pStyle w:val="MediumGrid1-Accent21"/>
        <w:numPr>
          <w:ilvl w:val="0"/>
          <w:numId w:val="6"/>
        </w:numPr>
        <w:tabs>
          <w:tab w:val="left" w:pos="1440"/>
        </w:tabs>
        <w:spacing w:line="360" w:lineRule="auto"/>
        <w:rPr>
          <w:sz w:val="24"/>
        </w:rPr>
      </w:pPr>
      <w:r w:rsidRPr="009F34D7">
        <w:rPr>
          <w:sz w:val="24"/>
        </w:rPr>
        <w:t xml:space="preserve">Contact Information to States:  We estimate that roughly 13 interconnected VoIP providers may choose to apply for FCC authorization.  Should their applications be approved, they will be required to file accurate regulatory and numbering contact information </w:t>
      </w:r>
      <w:r w:rsidR="008F21EC" w:rsidRPr="009F34D7">
        <w:rPr>
          <w:sz w:val="24"/>
        </w:rPr>
        <w:t>with</w:t>
      </w:r>
      <w:r w:rsidRPr="009F34D7">
        <w:rPr>
          <w:sz w:val="24"/>
        </w:rPr>
        <w:t xml:space="preserve"> the state commis</w:t>
      </w:r>
      <w:r w:rsidRPr="009F34D7">
        <w:rPr>
          <w:sz w:val="24"/>
        </w:rPr>
        <w:lastRenderedPageBreak/>
        <w:t xml:space="preserve">sion when they request numbers in that state, and to update this information whenever it becomes outdated.  To meet this condition, several professionals at the carrier’s company, including attorneys and a compliance officer, may participate in the production and/or review of the filing.  </w:t>
      </w:r>
    </w:p>
    <w:p w14:paraId="2BBEEB00" w14:textId="77777777" w:rsidR="000C5BDE" w:rsidRDefault="000C5BDE" w:rsidP="009F34D7">
      <w:pPr>
        <w:pStyle w:val="MediumGrid1-Accent21"/>
        <w:tabs>
          <w:tab w:val="left" w:pos="1440"/>
        </w:tabs>
        <w:spacing w:line="360" w:lineRule="auto"/>
        <w:ind w:left="2160"/>
        <w:rPr>
          <w:sz w:val="24"/>
        </w:rPr>
      </w:pPr>
    </w:p>
    <w:p w14:paraId="564A341E" w14:textId="77777777" w:rsidR="002A21BB" w:rsidRDefault="00AE7D00" w:rsidP="009F34D7">
      <w:pPr>
        <w:pStyle w:val="MediumGrid1-Accent21"/>
        <w:numPr>
          <w:ilvl w:val="1"/>
          <w:numId w:val="6"/>
        </w:numPr>
        <w:tabs>
          <w:tab w:val="left" w:pos="1440"/>
        </w:tabs>
        <w:spacing w:line="360" w:lineRule="auto"/>
        <w:rPr>
          <w:sz w:val="24"/>
        </w:rPr>
      </w:pPr>
      <w:r>
        <w:rPr>
          <w:sz w:val="24"/>
        </w:rPr>
        <w:t xml:space="preserve">The Commission </w:t>
      </w:r>
      <w:r w:rsidR="005B7FB9" w:rsidRPr="009F34D7">
        <w:rPr>
          <w:sz w:val="24"/>
        </w:rPr>
        <w:t>estimate</w:t>
      </w:r>
      <w:r>
        <w:rPr>
          <w:sz w:val="24"/>
        </w:rPr>
        <w:t>s</w:t>
      </w:r>
      <w:r w:rsidR="005B7FB9" w:rsidRPr="009F34D7">
        <w:rPr>
          <w:sz w:val="24"/>
        </w:rPr>
        <w:t xml:space="preserve"> a weighted average for the compensation of these professionals will be at a le</w:t>
      </w:r>
      <w:r w:rsidR="00E27EA4" w:rsidRPr="009F34D7">
        <w:rPr>
          <w:sz w:val="24"/>
        </w:rPr>
        <w:t xml:space="preserve">vel comparable </w:t>
      </w:r>
      <w:r w:rsidR="002257BE">
        <w:rPr>
          <w:sz w:val="24"/>
        </w:rPr>
        <w:t xml:space="preserve">in pay </w:t>
      </w:r>
      <w:r w:rsidR="00E27EA4" w:rsidRPr="009F34D7">
        <w:rPr>
          <w:sz w:val="24"/>
        </w:rPr>
        <w:t>to a GS 14 step 5 ($58.28</w:t>
      </w:r>
      <w:r w:rsidR="005B7FB9" w:rsidRPr="009F34D7">
        <w:rPr>
          <w:sz w:val="24"/>
        </w:rPr>
        <w:t>/hour)</w:t>
      </w:r>
      <w:r w:rsidR="002257BE">
        <w:rPr>
          <w:sz w:val="24"/>
        </w:rPr>
        <w:t xml:space="preserve"> using the</w:t>
      </w:r>
      <w:r>
        <w:rPr>
          <w:sz w:val="24"/>
        </w:rPr>
        <w:t xml:space="preserve"> 2015 General Schedule Pay Table with locality payment for the Washington, D.C., Maryland, Virginia, West Virginia and </w:t>
      </w:r>
      <w:r w:rsidR="00D96411">
        <w:rPr>
          <w:sz w:val="24"/>
        </w:rPr>
        <w:t>Pennsylvania</w:t>
      </w:r>
      <w:r w:rsidR="005B7FB9" w:rsidRPr="009F34D7">
        <w:rPr>
          <w:sz w:val="24"/>
        </w:rPr>
        <w:t xml:space="preserve">.  </w:t>
      </w:r>
    </w:p>
    <w:p w14:paraId="77BE49EC" w14:textId="77777777" w:rsidR="002A21BB" w:rsidRDefault="002A21BB" w:rsidP="009F34D7">
      <w:pPr>
        <w:pStyle w:val="MediumGrid1-Accent21"/>
        <w:tabs>
          <w:tab w:val="left" w:pos="1440"/>
        </w:tabs>
        <w:spacing w:line="360" w:lineRule="auto"/>
        <w:ind w:left="2160"/>
        <w:rPr>
          <w:sz w:val="24"/>
        </w:rPr>
      </w:pPr>
    </w:p>
    <w:p w14:paraId="5A26D992" w14:textId="77777777" w:rsidR="002A21BB" w:rsidRDefault="005B7FB9" w:rsidP="009F34D7">
      <w:pPr>
        <w:pStyle w:val="MediumGrid1-Accent21"/>
        <w:numPr>
          <w:ilvl w:val="1"/>
          <w:numId w:val="6"/>
        </w:numPr>
        <w:tabs>
          <w:tab w:val="left" w:pos="1440"/>
        </w:tabs>
        <w:spacing w:line="360" w:lineRule="auto"/>
        <w:rPr>
          <w:sz w:val="24"/>
        </w:rPr>
      </w:pPr>
      <w:r w:rsidRPr="009F34D7">
        <w:rPr>
          <w:sz w:val="24"/>
        </w:rPr>
        <w:t>We estimate it will take no more than 10 hours annually to produce the filing per respondent.  Since only contact information is required to be submitted as a part of this requirement, the</w:t>
      </w:r>
      <w:r w:rsidR="008F21EC" w:rsidRPr="009F34D7">
        <w:rPr>
          <w:sz w:val="24"/>
        </w:rPr>
        <w:t>se</w:t>
      </w:r>
      <w:r w:rsidRPr="009F34D7">
        <w:rPr>
          <w:sz w:val="24"/>
        </w:rPr>
        <w:t xml:space="preserve"> filings will not </w:t>
      </w:r>
      <w:r w:rsidR="008F21EC" w:rsidRPr="009F34D7">
        <w:rPr>
          <w:sz w:val="24"/>
        </w:rPr>
        <w:t>require</w:t>
      </w:r>
      <w:r w:rsidRPr="009F34D7">
        <w:rPr>
          <w:sz w:val="24"/>
        </w:rPr>
        <w:t xml:space="preserve"> many hours to prepare.  The burden per </w:t>
      </w:r>
      <w:r w:rsidR="00E27EA4" w:rsidRPr="009F34D7">
        <w:rPr>
          <w:sz w:val="24"/>
        </w:rPr>
        <w:t>respondent is approximately $583 ($58.28 x 10 hours = $583</w:t>
      </w:r>
      <w:r w:rsidRPr="009F34D7">
        <w:rPr>
          <w:sz w:val="24"/>
        </w:rPr>
        <w:t xml:space="preserve">).  </w:t>
      </w:r>
    </w:p>
    <w:p w14:paraId="1F75932D" w14:textId="77777777" w:rsidR="002A21BB" w:rsidRDefault="002A21BB" w:rsidP="009F34D7">
      <w:pPr>
        <w:pStyle w:val="MediumGrid1-Accent21"/>
        <w:tabs>
          <w:tab w:val="left" w:pos="1440"/>
        </w:tabs>
        <w:spacing w:line="360" w:lineRule="auto"/>
        <w:ind w:left="0"/>
        <w:rPr>
          <w:sz w:val="24"/>
        </w:rPr>
      </w:pPr>
    </w:p>
    <w:p w14:paraId="7C9BF6B7" w14:textId="77777777" w:rsidR="005B7FB9" w:rsidRPr="009F34D7" w:rsidRDefault="005B7FB9" w:rsidP="009F34D7">
      <w:pPr>
        <w:pStyle w:val="MediumGrid1-Accent21"/>
        <w:numPr>
          <w:ilvl w:val="1"/>
          <w:numId w:val="6"/>
        </w:numPr>
        <w:tabs>
          <w:tab w:val="left" w:pos="1440"/>
        </w:tabs>
        <w:spacing w:line="360" w:lineRule="auto"/>
        <w:rPr>
          <w:sz w:val="24"/>
        </w:rPr>
      </w:pPr>
      <w:r w:rsidRPr="009F34D7">
        <w:rPr>
          <w:sz w:val="24"/>
        </w:rPr>
        <w:lastRenderedPageBreak/>
        <w:t>The total industry d</w:t>
      </w:r>
      <w:r w:rsidR="007F17B8" w:rsidRPr="009F34D7">
        <w:rPr>
          <w:sz w:val="24"/>
        </w:rPr>
        <w:t>ollar cost is $7,579 (13 x $583 = $7,579</w:t>
      </w:r>
      <w:r w:rsidRPr="009F34D7">
        <w:rPr>
          <w:sz w:val="24"/>
        </w:rPr>
        <w:t>).  The total industry burden hours are 130 (13 x 10 = 130).</w:t>
      </w:r>
    </w:p>
    <w:p w14:paraId="0654D4BA" w14:textId="77777777" w:rsidR="005B7FB9" w:rsidRPr="009F34D7" w:rsidRDefault="005B7FB9" w:rsidP="00285DBB">
      <w:pPr>
        <w:pStyle w:val="MediumGrid1-Accent21"/>
        <w:tabs>
          <w:tab w:val="left" w:pos="1440"/>
        </w:tabs>
        <w:ind w:left="1440"/>
        <w:rPr>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407"/>
        <w:gridCol w:w="1124"/>
        <w:gridCol w:w="1259"/>
        <w:gridCol w:w="1501"/>
        <w:gridCol w:w="1069"/>
      </w:tblGrid>
      <w:tr w:rsidR="005B7FB9" w:rsidRPr="009F34D7" w14:paraId="2D3CF27C" w14:textId="77777777" w:rsidTr="005B7FB9">
        <w:tc>
          <w:tcPr>
            <w:tcW w:w="1579" w:type="dxa"/>
            <w:shd w:val="clear" w:color="auto" w:fill="auto"/>
          </w:tcPr>
          <w:p w14:paraId="7F719BFD" w14:textId="77777777" w:rsidR="005B7FB9" w:rsidRPr="009F34D7" w:rsidRDefault="005B7FB9" w:rsidP="005B7FB9">
            <w:pPr>
              <w:rPr>
                <w:rFonts w:cs="Times New Roman"/>
                <w:szCs w:val="24"/>
              </w:rPr>
            </w:pPr>
            <w:r w:rsidRPr="009F34D7">
              <w:rPr>
                <w:rFonts w:cs="Times New Roman"/>
                <w:szCs w:val="24"/>
              </w:rPr>
              <w:t xml:space="preserve">Expected Respondents </w:t>
            </w:r>
          </w:p>
        </w:tc>
        <w:tc>
          <w:tcPr>
            <w:tcW w:w="1422" w:type="dxa"/>
            <w:shd w:val="clear" w:color="auto" w:fill="auto"/>
          </w:tcPr>
          <w:p w14:paraId="447A307F" w14:textId="77777777" w:rsidR="005B7FB9" w:rsidRPr="009F34D7" w:rsidRDefault="005B7FB9" w:rsidP="005B7FB9">
            <w:pPr>
              <w:rPr>
                <w:rFonts w:cs="Times New Roman"/>
                <w:szCs w:val="24"/>
              </w:rPr>
            </w:pPr>
            <w:r w:rsidRPr="009F34D7">
              <w:rPr>
                <w:rFonts w:cs="Times New Roman"/>
                <w:szCs w:val="24"/>
              </w:rPr>
              <w:t>Hours Per Respondent</w:t>
            </w:r>
          </w:p>
        </w:tc>
        <w:tc>
          <w:tcPr>
            <w:tcW w:w="1153" w:type="dxa"/>
            <w:shd w:val="clear" w:color="auto" w:fill="auto"/>
          </w:tcPr>
          <w:p w14:paraId="1EA34E15" w14:textId="77777777" w:rsidR="005B7FB9" w:rsidRPr="009F34D7" w:rsidRDefault="005B7FB9" w:rsidP="005B7FB9">
            <w:pPr>
              <w:rPr>
                <w:rFonts w:cs="Times New Roman"/>
                <w:szCs w:val="24"/>
              </w:rPr>
            </w:pPr>
            <w:r w:rsidRPr="009F34D7">
              <w:rPr>
                <w:rFonts w:cs="Times New Roman"/>
                <w:szCs w:val="24"/>
              </w:rPr>
              <w:t>Hours to Industry</w:t>
            </w:r>
          </w:p>
        </w:tc>
        <w:tc>
          <w:tcPr>
            <w:tcW w:w="1357" w:type="dxa"/>
            <w:shd w:val="clear" w:color="auto" w:fill="auto"/>
          </w:tcPr>
          <w:p w14:paraId="79F73C37" w14:textId="77777777" w:rsidR="005B7FB9" w:rsidRPr="009F34D7" w:rsidRDefault="005B7FB9" w:rsidP="005B7FB9">
            <w:pPr>
              <w:rPr>
                <w:rFonts w:cs="Times New Roman"/>
                <w:szCs w:val="24"/>
              </w:rPr>
            </w:pPr>
            <w:r w:rsidRPr="009F34D7">
              <w:rPr>
                <w:rFonts w:cs="Times New Roman"/>
                <w:szCs w:val="24"/>
              </w:rPr>
              <w:t>Hourly Salary</w:t>
            </w:r>
          </w:p>
        </w:tc>
        <w:tc>
          <w:tcPr>
            <w:tcW w:w="1542" w:type="dxa"/>
            <w:shd w:val="clear" w:color="auto" w:fill="auto"/>
          </w:tcPr>
          <w:p w14:paraId="1CCDF9DA" w14:textId="77777777" w:rsidR="005B7FB9" w:rsidRPr="009F34D7" w:rsidRDefault="005B7FB9" w:rsidP="005B7FB9">
            <w:pPr>
              <w:rPr>
                <w:rFonts w:cs="Times New Roman"/>
                <w:szCs w:val="24"/>
              </w:rPr>
            </w:pPr>
            <w:r w:rsidRPr="009F34D7">
              <w:rPr>
                <w:rFonts w:cs="Times New Roman"/>
                <w:szCs w:val="24"/>
              </w:rPr>
              <w:t>$ Cost Per Respondent</w:t>
            </w:r>
          </w:p>
        </w:tc>
        <w:tc>
          <w:tcPr>
            <w:tcW w:w="1083" w:type="dxa"/>
            <w:shd w:val="clear" w:color="auto" w:fill="auto"/>
          </w:tcPr>
          <w:p w14:paraId="24F6DB04" w14:textId="77777777" w:rsidR="005B7FB9" w:rsidRPr="009F34D7" w:rsidRDefault="005B7FB9" w:rsidP="005B7FB9">
            <w:pPr>
              <w:rPr>
                <w:rFonts w:cs="Times New Roman"/>
                <w:szCs w:val="24"/>
              </w:rPr>
            </w:pPr>
            <w:r w:rsidRPr="009F34D7">
              <w:rPr>
                <w:rFonts w:cs="Times New Roman"/>
                <w:szCs w:val="24"/>
              </w:rPr>
              <w:t xml:space="preserve">$ Cost to Industry </w:t>
            </w:r>
          </w:p>
        </w:tc>
      </w:tr>
      <w:tr w:rsidR="005B7FB9" w:rsidRPr="009F34D7" w14:paraId="2E3AFBEF" w14:textId="77777777" w:rsidTr="005B7FB9">
        <w:trPr>
          <w:trHeight w:val="278"/>
        </w:trPr>
        <w:tc>
          <w:tcPr>
            <w:tcW w:w="1579" w:type="dxa"/>
            <w:shd w:val="clear" w:color="auto" w:fill="auto"/>
          </w:tcPr>
          <w:p w14:paraId="162F4435" w14:textId="77777777" w:rsidR="005B7FB9" w:rsidRPr="009F34D7" w:rsidRDefault="005B7FB9" w:rsidP="005B7FB9">
            <w:pPr>
              <w:pStyle w:val="MediumGrid1-Accent21"/>
              <w:ind w:left="0"/>
              <w:rPr>
                <w:sz w:val="24"/>
              </w:rPr>
            </w:pPr>
            <w:r w:rsidRPr="009F34D7">
              <w:rPr>
                <w:sz w:val="24"/>
              </w:rPr>
              <w:t>13</w:t>
            </w:r>
          </w:p>
        </w:tc>
        <w:tc>
          <w:tcPr>
            <w:tcW w:w="1422" w:type="dxa"/>
            <w:shd w:val="clear" w:color="auto" w:fill="auto"/>
          </w:tcPr>
          <w:p w14:paraId="2E5871D5" w14:textId="77777777" w:rsidR="005B7FB9" w:rsidRPr="009F34D7" w:rsidRDefault="005B7FB9" w:rsidP="005B7FB9">
            <w:pPr>
              <w:pStyle w:val="MediumGrid1-Accent21"/>
              <w:ind w:left="0"/>
              <w:rPr>
                <w:sz w:val="24"/>
              </w:rPr>
            </w:pPr>
            <w:r w:rsidRPr="009F34D7">
              <w:rPr>
                <w:sz w:val="24"/>
              </w:rPr>
              <w:t>10</w:t>
            </w:r>
          </w:p>
        </w:tc>
        <w:tc>
          <w:tcPr>
            <w:tcW w:w="1153" w:type="dxa"/>
            <w:shd w:val="clear" w:color="auto" w:fill="auto"/>
          </w:tcPr>
          <w:p w14:paraId="1213C449" w14:textId="77777777" w:rsidR="005B7FB9" w:rsidRPr="009F34D7" w:rsidRDefault="005B7FB9" w:rsidP="005B7FB9">
            <w:pPr>
              <w:pStyle w:val="MediumGrid1-Accent21"/>
              <w:ind w:left="0"/>
              <w:rPr>
                <w:sz w:val="24"/>
              </w:rPr>
            </w:pPr>
            <w:r w:rsidRPr="009F34D7">
              <w:rPr>
                <w:sz w:val="24"/>
              </w:rPr>
              <w:t>130</w:t>
            </w:r>
          </w:p>
        </w:tc>
        <w:tc>
          <w:tcPr>
            <w:tcW w:w="1357" w:type="dxa"/>
            <w:shd w:val="clear" w:color="auto" w:fill="auto"/>
          </w:tcPr>
          <w:p w14:paraId="1B5DD813" w14:textId="77777777" w:rsidR="005B7FB9" w:rsidRPr="009F34D7" w:rsidRDefault="007F17B8" w:rsidP="005B7FB9">
            <w:pPr>
              <w:pStyle w:val="MediumGrid1-Accent21"/>
              <w:ind w:left="0"/>
              <w:rPr>
                <w:sz w:val="24"/>
              </w:rPr>
            </w:pPr>
            <w:r w:rsidRPr="009F34D7">
              <w:rPr>
                <w:sz w:val="24"/>
              </w:rPr>
              <w:t>$58.28</w:t>
            </w:r>
          </w:p>
        </w:tc>
        <w:tc>
          <w:tcPr>
            <w:tcW w:w="1542" w:type="dxa"/>
            <w:shd w:val="clear" w:color="auto" w:fill="auto"/>
          </w:tcPr>
          <w:p w14:paraId="7A37032D" w14:textId="77777777" w:rsidR="005B7FB9" w:rsidRPr="009F34D7" w:rsidRDefault="005B7FB9" w:rsidP="005B7FB9">
            <w:pPr>
              <w:pStyle w:val="MediumGrid1-Accent21"/>
              <w:ind w:left="0"/>
              <w:rPr>
                <w:sz w:val="24"/>
              </w:rPr>
            </w:pPr>
            <w:r w:rsidRPr="009F34D7">
              <w:rPr>
                <w:sz w:val="24"/>
              </w:rPr>
              <w:t>$</w:t>
            </w:r>
            <w:r w:rsidR="007F17B8" w:rsidRPr="009F34D7">
              <w:rPr>
                <w:sz w:val="24"/>
              </w:rPr>
              <w:t>583</w:t>
            </w:r>
          </w:p>
        </w:tc>
        <w:tc>
          <w:tcPr>
            <w:tcW w:w="1083" w:type="dxa"/>
            <w:shd w:val="clear" w:color="auto" w:fill="auto"/>
          </w:tcPr>
          <w:p w14:paraId="2B81D0FB" w14:textId="77777777" w:rsidR="005B7FB9" w:rsidRPr="009F34D7" w:rsidRDefault="005B7FB9" w:rsidP="005B7FB9">
            <w:pPr>
              <w:pStyle w:val="MediumGrid1-Accent21"/>
              <w:ind w:left="0"/>
              <w:rPr>
                <w:sz w:val="24"/>
              </w:rPr>
            </w:pPr>
            <w:r w:rsidRPr="009F34D7">
              <w:rPr>
                <w:sz w:val="24"/>
              </w:rPr>
              <w:t>$</w:t>
            </w:r>
            <w:r w:rsidR="007F17B8" w:rsidRPr="009F34D7">
              <w:rPr>
                <w:sz w:val="24"/>
              </w:rPr>
              <w:t>7,579</w:t>
            </w:r>
          </w:p>
        </w:tc>
      </w:tr>
    </w:tbl>
    <w:p w14:paraId="27DFD5FE" w14:textId="77777777" w:rsidR="00586A69" w:rsidRPr="009F34D7" w:rsidRDefault="00586A69" w:rsidP="00285DBB">
      <w:pPr>
        <w:pStyle w:val="MediumGrid1-Accent21"/>
        <w:tabs>
          <w:tab w:val="left" w:pos="1440"/>
        </w:tabs>
        <w:spacing w:line="360" w:lineRule="auto"/>
        <w:ind w:left="0"/>
        <w:rPr>
          <w:sz w:val="24"/>
        </w:rPr>
      </w:pPr>
    </w:p>
    <w:p w14:paraId="512146C4" w14:textId="77777777" w:rsidR="00F7698C" w:rsidRPr="009D7A4C" w:rsidRDefault="009F34D7" w:rsidP="00F7698C">
      <w:pPr>
        <w:pStyle w:val="MediumGrid1-Accent21"/>
        <w:ind w:left="0"/>
        <w:rPr>
          <w:b/>
          <w:sz w:val="24"/>
        </w:rPr>
      </w:pPr>
      <w:r w:rsidRPr="009D7A4C">
        <w:rPr>
          <w:b/>
          <w:sz w:val="24"/>
        </w:rPr>
        <w:t>Grand Total of Information Collection Requirements</w:t>
      </w:r>
      <w:r w:rsidR="009D7A4C">
        <w:rPr>
          <w:b/>
          <w:sz w:val="24"/>
        </w:rPr>
        <w:t xml:space="preserve"> contained in this collection</w:t>
      </w:r>
      <w:r w:rsidR="00F7698C" w:rsidRPr="009D7A4C">
        <w:rPr>
          <w:b/>
          <w:sz w:val="24"/>
        </w:rPr>
        <w:t>:</w:t>
      </w:r>
    </w:p>
    <w:p w14:paraId="04A4B0B6" w14:textId="77777777" w:rsidR="00F7698C" w:rsidRPr="009F34D7" w:rsidRDefault="00F7698C" w:rsidP="00F7698C">
      <w:pPr>
        <w:pStyle w:val="MediumGrid1-Accent21"/>
        <w:ind w:left="0"/>
        <w:rPr>
          <w:sz w:val="24"/>
        </w:rPr>
      </w:pPr>
    </w:p>
    <w:p w14:paraId="3D1BF1FC" w14:textId="77777777" w:rsidR="00F7698C" w:rsidRPr="009F34D7" w:rsidRDefault="00F7698C" w:rsidP="00F7698C">
      <w:pPr>
        <w:pStyle w:val="MediumGrid1-Accent21"/>
        <w:ind w:left="0"/>
        <w:rPr>
          <w:sz w:val="24"/>
        </w:rPr>
      </w:pPr>
    </w:p>
    <w:tbl>
      <w:tblPr>
        <w:tblW w:w="8100" w:type="dxa"/>
        <w:tblInd w:w="738" w:type="dxa"/>
        <w:tblCellMar>
          <w:left w:w="0" w:type="dxa"/>
          <w:right w:w="0" w:type="dxa"/>
        </w:tblCellMar>
        <w:tblLook w:val="04A0" w:firstRow="1" w:lastRow="0" w:firstColumn="1" w:lastColumn="0" w:noHBand="0" w:noVBand="1"/>
      </w:tblPr>
      <w:tblGrid>
        <w:gridCol w:w="1550"/>
        <w:gridCol w:w="1513"/>
        <w:gridCol w:w="1350"/>
        <w:gridCol w:w="1176"/>
        <w:gridCol w:w="1350"/>
        <w:gridCol w:w="1161"/>
      </w:tblGrid>
      <w:tr w:rsidR="00207A7E" w:rsidRPr="009F34D7" w14:paraId="253EF3B9" w14:textId="77777777" w:rsidTr="0098035B">
        <w:tc>
          <w:tcPr>
            <w:tcW w:w="14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1F2F67" w14:textId="77777777" w:rsidR="00207A7E" w:rsidRDefault="003E1D1C">
            <w:pPr>
              <w:rPr>
                <w:rFonts w:eastAsia="Calibri" w:cs="Times New Roman"/>
                <w:szCs w:val="24"/>
              </w:rPr>
            </w:pPr>
            <w:r>
              <w:rPr>
                <w:rFonts w:eastAsia="Calibri" w:cs="Times New Roman"/>
                <w:szCs w:val="24"/>
              </w:rPr>
              <w:t xml:space="preserve">Information </w:t>
            </w:r>
          </w:p>
          <w:p w14:paraId="6B6A80F8" w14:textId="77777777" w:rsidR="003E1D1C" w:rsidRDefault="003E1D1C">
            <w:pPr>
              <w:rPr>
                <w:rFonts w:eastAsia="Calibri" w:cs="Times New Roman"/>
                <w:szCs w:val="24"/>
              </w:rPr>
            </w:pPr>
            <w:r>
              <w:rPr>
                <w:rFonts w:eastAsia="Calibri" w:cs="Times New Roman"/>
                <w:szCs w:val="24"/>
              </w:rPr>
              <w:t xml:space="preserve">Collection </w:t>
            </w:r>
          </w:p>
          <w:p w14:paraId="6FE2A25A" w14:textId="77777777" w:rsidR="003E1D1C" w:rsidRPr="009F34D7" w:rsidRDefault="003E1D1C">
            <w:pPr>
              <w:rPr>
                <w:rFonts w:eastAsia="Calibri" w:cs="Times New Roman"/>
                <w:szCs w:val="24"/>
              </w:rPr>
            </w:pPr>
            <w:r>
              <w:rPr>
                <w:rFonts w:eastAsia="Calibri" w:cs="Times New Roman"/>
                <w:szCs w:val="24"/>
              </w:rPr>
              <w:t>Requirements</w:t>
            </w:r>
          </w:p>
        </w:tc>
        <w:tc>
          <w:tcPr>
            <w:tcW w:w="15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7B4510" w14:textId="77777777" w:rsidR="00207A7E" w:rsidRPr="009F34D7" w:rsidRDefault="0002407E">
            <w:pPr>
              <w:rPr>
                <w:rFonts w:eastAsia="Calibri" w:cs="Times New Roman"/>
                <w:szCs w:val="24"/>
              </w:rPr>
            </w:pPr>
            <w:r w:rsidRPr="009F34D7">
              <w:rPr>
                <w:rFonts w:cs="Times New Roman"/>
                <w:szCs w:val="24"/>
              </w:rPr>
              <w:t>Respondents</w:t>
            </w:r>
            <w:r w:rsidR="00207A7E" w:rsidRPr="009F34D7">
              <w:rPr>
                <w:rFonts w:cs="Times New Roman"/>
                <w:szCs w:val="24"/>
              </w:rPr>
              <w:t xml:space="preserve"> </w:t>
            </w:r>
          </w:p>
        </w:tc>
        <w:tc>
          <w:tcPr>
            <w:tcW w:w="12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156614" w14:textId="77777777" w:rsidR="00207A7E" w:rsidRPr="009F34D7" w:rsidRDefault="00E21F7B">
            <w:pPr>
              <w:rPr>
                <w:rFonts w:eastAsia="Calibri" w:cs="Times New Roman"/>
                <w:szCs w:val="24"/>
              </w:rPr>
            </w:pPr>
            <w:r w:rsidRPr="009F34D7">
              <w:rPr>
                <w:rFonts w:cs="Times New Roman"/>
                <w:szCs w:val="24"/>
              </w:rPr>
              <w:t>Hours Per R</w:t>
            </w:r>
            <w:r w:rsidR="00207A7E" w:rsidRPr="009F34D7">
              <w:rPr>
                <w:rFonts w:cs="Times New Roman"/>
                <w:szCs w:val="24"/>
              </w:rPr>
              <w:t>espondent</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FA035B" w14:textId="77777777" w:rsidR="00207A7E" w:rsidRPr="009F34D7" w:rsidRDefault="00E21F7B">
            <w:pPr>
              <w:rPr>
                <w:rFonts w:eastAsia="Calibri" w:cs="Times New Roman"/>
                <w:szCs w:val="24"/>
              </w:rPr>
            </w:pPr>
            <w:r w:rsidRPr="009F34D7">
              <w:rPr>
                <w:rFonts w:cs="Times New Roman"/>
                <w:szCs w:val="24"/>
              </w:rPr>
              <w:t>Hours to I</w:t>
            </w:r>
            <w:r w:rsidR="00207A7E" w:rsidRPr="009F34D7">
              <w:rPr>
                <w:rFonts w:cs="Times New Roman"/>
                <w:szCs w:val="24"/>
              </w:rPr>
              <w:t>ndustry</w:t>
            </w:r>
          </w:p>
        </w:tc>
        <w:tc>
          <w:tcPr>
            <w:tcW w:w="1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5F77B9" w14:textId="77777777" w:rsidR="00207A7E" w:rsidRPr="009F34D7" w:rsidRDefault="00E21F7B">
            <w:pPr>
              <w:rPr>
                <w:rFonts w:eastAsia="Calibri" w:cs="Times New Roman"/>
                <w:szCs w:val="24"/>
              </w:rPr>
            </w:pPr>
            <w:r w:rsidRPr="009F34D7">
              <w:rPr>
                <w:rFonts w:cs="Times New Roman"/>
                <w:szCs w:val="24"/>
              </w:rPr>
              <w:t>$ Cost Per R</w:t>
            </w:r>
            <w:r w:rsidR="00207A7E" w:rsidRPr="009F34D7">
              <w:rPr>
                <w:rFonts w:cs="Times New Roman"/>
                <w:szCs w:val="24"/>
              </w:rPr>
              <w:t>espondent</w:t>
            </w:r>
          </w:p>
        </w:tc>
        <w:tc>
          <w:tcPr>
            <w:tcW w:w="12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80E0DB" w14:textId="77777777" w:rsidR="00207A7E" w:rsidRPr="009F34D7" w:rsidRDefault="00E21F7B">
            <w:pPr>
              <w:rPr>
                <w:rFonts w:eastAsia="Calibri" w:cs="Times New Roman"/>
                <w:szCs w:val="24"/>
              </w:rPr>
            </w:pPr>
            <w:r w:rsidRPr="009F34D7">
              <w:rPr>
                <w:rFonts w:cs="Times New Roman"/>
                <w:szCs w:val="24"/>
              </w:rPr>
              <w:t>$ Cost to I</w:t>
            </w:r>
            <w:r w:rsidR="00207A7E" w:rsidRPr="009F34D7">
              <w:rPr>
                <w:rFonts w:cs="Times New Roman"/>
                <w:szCs w:val="24"/>
              </w:rPr>
              <w:t xml:space="preserve">ndustry </w:t>
            </w:r>
          </w:p>
        </w:tc>
      </w:tr>
      <w:tr w:rsidR="00207A7E" w:rsidRPr="009F34D7" w14:paraId="027C1972" w14:textId="77777777" w:rsidTr="0098035B">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8C298" w14:textId="77777777" w:rsidR="00207A7E" w:rsidRPr="009F34D7" w:rsidRDefault="003E1D1C">
            <w:pPr>
              <w:rPr>
                <w:rFonts w:eastAsia="Calibri" w:cs="Times New Roman"/>
                <w:szCs w:val="24"/>
              </w:rPr>
            </w:pPr>
            <w:proofErr w:type="spellStart"/>
            <w:r>
              <w:rPr>
                <w:rFonts w:cs="Times New Roman"/>
                <w:szCs w:val="24"/>
              </w:rPr>
              <w:t>a.</w:t>
            </w:r>
            <w:r w:rsidR="0098035B" w:rsidRPr="009F34D7">
              <w:rPr>
                <w:rFonts w:cs="Times New Roman"/>
                <w:szCs w:val="24"/>
              </w:rPr>
              <w:t>Numbering</w:t>
            </w:r>
            <w:proofErr w:type="spellEnd"/>
            <w:r w:rsidR="0098035B" w:rsidRPr="009F34D7">
              <w:rPr>
                <w:rFonts w:cs="Times New Roman"/>
                <w:szCs w:val="24"/>
              </w:rPr>
              <w:t xml:space="preserve"> Authorization Application</w:t>
            </w:r>
          </w:p>
        </w:tc>
        <w:tc>
          <w:tcPr>
            <w:tcW w:w="1553" w:type="dxa"/>
            <w:tcBorders>
              <w:top w:val="nil"/>
              <w:left w:val="nil"/>
              <w:bottom w:val="single" w:sz="8" w:space="0" w:color="auto"/>
              <w:right w:val="single" w:sz="8" w:space="0" w:color="auto"/>
            </w:tcBorders>
            <w:tcMar>
              <w:top w:w="0" w:type="dxa"/>
              <w:left w:w="108" w:type="dxa"/>
              <w:bottom w:w="0" w:type="dxa"/>
              <w:right w:w="108" w:type="dxa"/>
            </w:tcMar>
          </w:tcPr>
          <w:p w14:paraId="7FEE2F82" w14:textId="77777777" w:rsidR="00207A7E" w:rsidRPr="009F34D7" w:rsidRDefault="0098035B">
            <w:pPr>
              <w:rPr>
                <w:rFonts w:eastAsia="Calibri" w:cs="Times New Roman"/>
                <w:szCs w:val="24"/>
              </w:rPr>
            </w:pPr>
            <w:r w:rsidRPr="009F34D7">
              <w:rPr>
                <w:rFonts w:eastAsia="Calibri" w:cs="Times New Roman"/>
                <w:szCs w:val="24"/>
              </w:rPr>
              <w:t>13</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6FA19CD0" w14:textId="77777777" w:rsidR="00207A7E" w:rsidRPr="009F34D7" w:rsidRDefault="0098035B">
            <w:pPr>
              <w:rPr>
                <w:rFonts w:eastAsia="Calibri" w:cs="Times New Roman"/>
                <w:szCs w:val="24"/>
              </w:rPr>
            </w:pPr>
            <w:r w:rsidRPr="009F34D7">
              <w:rPr>
                <w:rFonts w:eastAsia="Calibri" w:cs="Times New Roman"/>
                <w:szCs w:val="24"/>
              </w:rPr>
              <w:t>20</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2609CAE1" w14:textId="77777777" w:rsidR="00207A7E" w:rsidRPr="009F34D7" w:rsidRDefault="0098035B">
            <w:pPr>
              <w:rPr>
                <w:rFonts w:eastAsia="Calibri" w:cs="Times New Roman"/>
                <w:szCs w:val="24"/>
              </w:rPr>
            </w:pPr>
            <w:r w:rsidRPr="009F34D7">
              <w:rPr>
                <w:rFonts w:eastAsia="Calibri" w:cs="Times New Roman"/>
                <w:szCs w:val="24"/>
              </w:rPr>
              <w:t>260</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60B8E231" w14:textId="77777777" w:rsidR="00207A7E" w:rsidRPr="009F34D7" w:rsidRDefault="00207A7E" w:rsidP="0098035B">
            <w:pPr>
              <w:rPr>
                <w:rFonts w:eastAsia="Calibri" w:cs="Times New Roman"/>
                <w:szCs w:val="24"/>
              </w:rPr>
            </w:pPr>
            <w:r w:rsidRPr="009F34D7">
              <w:rPr>
                <w:rFonts w:eastAsia="Calibri" w:cs="Times New Roman"/>
                <w:szCs w:val="24"/>
              </w:rPr>
              <w:t>$</w:t>
            </w:r>
            <w:r w:rsidR="007F17B8" w:rsidRPr="009F34D7">
              <w:rPr>
                <w:rFonts w:eastAsia="Calibri" w:cs="Times New Roman"/>
                <w:szCs w:val="24"/>
              </w:rPr>
              <w:t>1,166</w:t>
            </w:r>
          </w:p>
        </w:tc>
        <w:tc>
          <w:tcPr>
            <w:tcW w:w="1243" w:type="dxa"/>
            <w:tcBorders>
              <w:top w:val="nil"/>
              <w:left w:val="nil"/>
              <w:bottom w:val="single" w:sz="8" w:space="0" w:color="auto"/>
              <w:right w:val="single" w:sz="8" w:space="0" w:color="auto"/>
            </w:tcBorders>
            <w:tcMar>
              <w:top w:w="0" w:type="dxa"/>
              <w:left w:w="108" w:type="dxa"/>
              <w:bottom w:w="0" w:type="dxa"/>
              <w:right w:w="108" w:type="dxa"/>
            </w:tcMar>
          </w:tcPr>
          <w:p w14:paraId="2FCA6471" w14:textId="77777777" w:rsidR="00207A7E" w:rsidRPr="009F34D7" w:rsidRDefault="00207A7E">
            <w:pPr>
              <w:rPr>
                <w:rFonts w:eastAsia="Calibri" w:cs="Times New Roman"/>
                <w:szCs w:val="24"/>
              </w:rPr>
            </w:pPr>
            <w:r w:rsidRPr="009F34D7">
              <w:rPr>
                <w:rFonts w:eastAsia="Calibri" w:cs="Times New Roman"/>
                <w:szCs w:val="24"/>
              </w:rPr>
              <w:t>$</w:t>
            </w:r>
            <w:r w:rsidR="007F17B8" w:rsidRPr="009F34D7">
              <w:rPr>
                <w:rFonts w:eastAsia="Calibri" w:cs="Times New Roman"/>
                <w:szCs w:val="24"/>
              </w:rPr>
              <w:t>15,158</w:t>
            </w:r>
          </w:p>
        </w:tc>
      </w:tr>
      <w:tr w:rsidR="00207A7E" w:rsidRPr="009F34D7" w14:paraId="471A1BEE" w14:textId="77777777" w:rsidTr="0098035B">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E8EE72" w14:textId="77777777" w:rsidR="00207A7E" w:rsidRPr="009F34D7" w:rsidRDefault="003E1D1C">
            <w:pPr>
              <w:rPr>
                <w:rFonts w:eastAsia="Calibri" w:cs="Times New Roman"/>
                <w:szCs w:val="24"/>
              </w:rPr>
            </w:pPr>
            <w:proofErr w:type="spellStart"/>
            <w:r>
              <w:rPr>
                <w:rFonts w:cs="Times New Roman"/>
                <w:szCs w:val="24"/>
              </w:rPr>
              <w:t>b.</w:t>
            </w:r>
            <w:r w:rsidR="0098035B" w:rsidRPr="009F34D7">
              <w:rPr>
                <w:rFonts w:cs="Times New Roman"/>
                <w:szCs w:val="24"/>
              </w:rPr>
              <w:t>NRUF</w:t>
            </w:r>
            <w:proofErr w:type="spellEnd"/>
            <w:r w:rsidR="0098035B" w:rsidRPr="009F34D7">
              <w:rPr>
                <w:rFonts w:cs="Times New Roman"/>
                <w:szCs w:val="24"/>
              </w:rPr>
              <w:t xml:space="preserve"> Reports</w:t>
            </w:r>
            <w:r w:rsidR="0098035B" w:rsidRPr="009F34D7">
              <w:rPr>
                <w:rFonts w:eastAsia="Calibri" w:cs="Times New Roman"/>
                <w:szCs w:val="24"/>
              </w:rPr>
              <w:t xml:space="preserve"> </w:t>
            </w:r>
          </w:p>
        </w:tc>
        <w:tc>
          <w:tcPr>
            <w:tcW w:w="1553" w:type="dxa"/>
            <w:tcBorders>
              <w:top w:val="nil"/>
              <w:left w:val="nil"/>
              <w:bottom w:val="single" w:sz="8" w:space="0" w:color="auto"/>
              <w:right w:val="single" w:sz="8" w:space="0" w:color="auto"/>
            </w:tcBorders>
            <w:tcMar>
              <w:top w:w="0" w:type="dxa"/>
              <w:left w:w="108" w:type="dxa"/>
              <w:bottom w:w="0" w:type="dxa"/>
              <w:right w:w="108" w:type="dxa"/>
            </w:tcMar>
          </w:tcPr>
          <w:p w14:paraId="1C1088EC" w14:textId="77777777" w:rsidR="00207A7E" w:rsidRPr="009F34D7" w:rsidRDefault="0098035B">
            <w:pPr>
              <w:rPr>
                <w:rFonts w:eastAsia="Calibri" w:cs="Times New Roman"/>
                <w:szCs w:val="24"/>
              </w:rPr>
            </w:pPr>
            <w:r w:rsidRPr="009F34D7">
              <w:rPr>
                <w:rFonts w:eastAsia="Calibri" w:cs="Times New Roman"/>
                <w:szCs w:val="24"/>
              </w:rPr>
              <w:t>13</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416199BB" w14:textId="77777777" w:rsidR="00207A7E" w:rsidRPr="009F34D7" w:rsidRDefault="0098035B">
            <w:pPr>
              <w:rPr>
                <w:rFonts w:eastAsia="Calibri" w:cs="Times New Roman"/>
                <w:szCs w:val="24"/>
              </w:rPr>
            </w:pPr>
            <w:r w:rsidRPr="009F34D7">
              <w:rPr>
                <w:rFonts w:eastAsia="Calibri" w:cs="Times New Roman"/>
                <w:szCs w:val="24"/>
              </w:rPr>
              <w:t>80</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58536629" w14:textId="77777777" w:rsidR="00207A7E" w:rsidRPr="009F34D7" w:rsidRDefault="0098035B">
            <w:pPr>
              <w:rPr>
                <w:rFonts w:eastAsia="Calibri" w:cs="Times New Roman"/>
                <w:szCs w:val="24"/>
              </w:rPr>
            </w:pPr>
            <w:r w:rsidRPr="009F34D7">
              <w:rPr>
                <w:rFonts w:cs="Times New Roman"/>
                <w:szCs w:val="24"/>
              </w:rPr>
              <w:t>1,040</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12831AD3" w14:textId="77777777" w:rsidR="00207A7E" w:rsidRPr="009F34D7" w:rsidRDefault="0098035B">
            <w:pPr>
              <w:rPr>
                <w:rFonts w:eastAsia="Calibri" w:cs="Times New Roman"/>
                <w:szCs w:val="24"/>
              </w:rPr>
            </w:pPr>
            <w:r w:rsidRPr="009F34D7">
              <w:rPr>
                <w:rFonts w:cs="Times New Roman"/>
                <w:szCs w:val="24"/>
              </w:rPr>
              <w:t>$4</w:t>
            </w:r>
            <w:r w:rsidR="007F17B8" w:rsidRPr="009F34D7">
              <w:rPr>
                <w:rFonts w:cs="Times New Roman"/>
                <w:szCs w:val="24"/>
              </w:rPr>
              <w:t>,662</w:t>
            </w:r>
          </w:p>
        </w:tc>
        <w:tc>
          <w:tcPr>
            <w:tcW w:w="1243" w:type="dxa"/>
            <w:tcBorders>
              <w:top w:val="nil"/>
              <w:left w:val="nil"/>
              <w:bottom w:val="single" w:sz="8" w:space="0" w:color="auto"/>
              <w:right w:val="single" w:sz="8" w:space="0" w:color="auto"/>
            </w:tcBorders>
            <w:tcMar>
              <w:top w:w="0" w:type="dxa"/>
              <w:left w:w="108" w:type="dxa"/>
              <w:bottom w:w="0" w:type="dxa"/>
              <w:right w:w="108" w:type="dxa"/>
            </w:tcMar>
          </w:tcPr>
          <w:p w14:paraId="4AA8C1A8" w14:textId="77777777" w:rsidR="00207A7E" w:rsidRPr="009F34D7" w:rsidRDefault="007F17B8">
            <w:pPr>
              <w:rPr>
                <w:rFonts w:eastAsia="Calibri" w:cs="Times New Roman"/>
                <w:szCs w:val="24"/>
              </w:rPr>
            </w:pPr>
            <w:r w:rsidRPr="009F34D7">
              <w:rPr>
                <w:rFonts w:cs="Times New Roman"/>
                <w:szCs w:val="24"/>
              </w:rPr>
              <w:t>$60,606</w:t>
            </w:r>
          </w:p>
        </w:tc>
      </w:tr>
      <w:tr w:rsidR="00207A7E" w:rsidRPr="009F34D7" w14:paraId="58C1F641" w14:textId="77777777" w:rsidTr="0098035B">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E4164" w14:textId="77777777" w:rsidR="00207A7E" w:rsidRPr="009F34D7" w:rsidRDefault="003E1D1C" w:rsidP="00E21F7B">
            <w:pPr>
              <w:rPr>
                <w:rFonts w:eastAsia="Calibri" w:cs="Times New Roman"/>
                <w:szCs w:val="24"/>
              </w:rPr>
            </w:pPr>
            <w:r>
              <w:rPr>
                <w:rFonts w:cs="Times New Roman"/>
                <w:szCs w:val="24"/>
              </w:rPr>
              <w:t xml:space="preserve">c. </w:t>
            </w:r>
            <w:r w:rsidR="00E21F7B" w:rsidRPr="009F34D7">
              <w:rPr>
                <w:rFonts w:cs="Times New Roman"/>
                <w:szCs w:val="24"/>
              </w:rPr>
              <w:t>30-Day</w:t>
            </w:r>
            <w:r w:rsidR="0098035B" w:rsidRPr="009F34D7">
              <w:rPr>
                <w:rFonts w:cs="Times New Roman"/>
                <w:szCs w:val="24"/>
              </w:rPr>
              <w:t xml:space="preserve"> Notice </w:t>
            </w:r>
            <w:r w:rsidR="00E21F7B" w:rsidRPr="009F34D7">
              <w:rPr>
                <w:rFonts w:cs="Times New Roman"/>
                <w:szCs w:val="24"/>
              </w:rPr>
              <w:t>Requirement</w:t>
            </w:r>
          </w:p>
        </w:tc>
        <w:tc>
          <w:tcPr>
            <w:tcW w:w="1553" w:type="dxa"/>
            <w:tcBorders>
              <w:top w:val="nil"/>
              <w:left w:val="nil"/>
              <w:bottom w:val="single" w:sz="8" w:space="0" w:color="auto"/>
              <w:right w:val="single" w:sz="8" w:space="0" w:color="auto"/>
            </w:tcBorders>
            <w:tcMar>
              <w:top w:w="0" w:type="dxa"/>
              <w:left w:w="108" w:type="dxa"/>
              <w:bottom w:w="0" w:type="dxa"/>
              <w:right w:w="108" w:type="dxa"/>
            </w:tcMar>
          </w:tcPr>
          <w:p w14:paraId="6B0F818D" w14:textId="77777777" w:rsidR="00207A7E" w:rsidRPr="009F34D7" w:rsidRDefault="0098035B">
            <w:pPr>
              <w:rPr>
                <w:rFonts w:eastAsia="Calibri" w:cs="Times New Roman"/>
                <w:szCs w:val="24"/>
              </w:rPr>
            </w:pPr>
            <w:r w:rsidRPr="009F34D7">
              <w:rPr>
                <w:rFonts w:eastAsia="Calibri" w:cs="Times New Roman"/>
                <w:szCs w:val="24"/>
              </w:rPr>
              <w:t>13</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4CE9F176" w14:textId="77777777" w:rsidR="00207A7E" w:rsidRPr="009F34D7" w:rsidRDefault="0098035B">
            <w:pPr>
              <w:rPr>
                <w:rFonts w:eastAsia="Calibri" w:cs="Times New Roman"/>
                <w:szCs w:val="24"/>
              </w:rPr>
            </w:pPr>
            <w:r w:rsidRPr="009F34D7">
              <w:rPr>
                <w:rFonts w:eastAsia="Calibri" w:cs="Times New Roman"/>
                <w:szCs w:val="24"/>
              </w:rPr>
              <w:t>10</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45E123CB" w14:textId="77777777" w:rsidR="00207A7E" w:rsidRPr="009F34D7" w:rsidRDefault="0098035B">
            <w:pPr>
              <w:rPr>
                <w:rFonts w:eastAsia="Calibri" w:cs="Times New Roman"/>
                <w:szCs w:val="24"/>
              </w:rPr>
            </w:pPr>
            <w:r w:rsidRPr="009F34D7">
              <w:rPr>
                <w:rFonts w:cs="Times New Roman"/>
                <w:szCs w:val="24"/>
              </w:rPr>
              <w:t>130</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6926FA1C" w14:textId="77777777" w:rsidR="00207A7E" w:rsidRPr="009F34D7" w:rsidRDefault="0098035B">
            <w:pPr>
              <w:rPr>
                <w:rFonts w:eastAsia="Calibri" w:cs="Times New Roman"/>
                <w:szCs w:val="24"/>
              </w:rPr>
            </w:pPr>
            <w:r w:rsidRPr="009F34D7">
              <w:rPr>
                <w:rFonts w:cs="Times New Roman"/>
                <w:szCs w:val="24"/>
              </w:rPr>
              <w:t>$5</w:t>
            </w:r>
            <w:r w:rsidR="007F17B8" w:rsidRPr="009F34D7">
              <w:rPr>
                <w:rFonts w:cs="Times New Roman"/>
                <w:szCs w:val="24"/>
              </w:rPr>
              <w:t>83</w:t>
            </w:r>
          </w:p>
        </w:tc>
        <w:tc>
          <w:tcPr>
            <w:tcW w:w="1243" w:type="dxa"/>
            <w:tcBorders>
              <w:top w:val="nil"/>
              <w:left w:val="nil"/>
              <w:bottom w:val="single" w:sz="8" w:space="0" w:color="auto"/>
              <w:right w:val="single" w:sz="8" w:space="0" w:color="auto"/>
            </w:tcBorders>
            <w:tcMar>
              <w:top w:w="0" w:type="dxa"/>
              <w:left w:w="108" w:type="dxa"/>
              <w:bottom w:w="0" w:type="dxa"/>
              <w:right w:w="108" w:type="dxa"/>
            </w:tcMar>
          </w:tcPr>
          <w:p w14:paraId="1755FC6F" w14:textId="77777777" w:rsidR="00207A7E" w:rsidRPr="009F34D7" w:rsidRDefault="007F17B8">
            <w:pPr>
              <w:rPr>
                <w:rFonts w:eastAsia="Calibri" w:cs="Times New Roman"/>
                <w:szCs w:val="24"/>
              </w:rPr>
            </w:pPr>
            <w:r w:rsidRPr="009F34D7">
              <w:rPr>
                <w:rFonts w:cs="Times New Roman"/>
                <w:szCs w:val="24"/>
              </w:rPr>
              <w:t>$7,579</w:t>
            </w:r>
          </w:p>
        </w:tc>
      </w:tr>
      <w:tr w:rsidR="008F21EC" w:rsidRPr="009F34D7" w14:paraId="3DBD753C" w14:textId="77777777" w:rsidTr="0098035B">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1103D7" w14:textId="77777777" w:rsidR="008F21EC" w:rsidRPr="009F34D7" w:rsidRDefault="003E1D1C" w:rsidP="00E21F7B">
            <w:pPr>
              <w:rPr>
                <w:rFonts w:cs="Times New Roman"/>
                <w:szCs w:val="24"/>
              </w:rPr>
            </w:pPr>
            <w:r>
              <w:rPr>
                <w:rFonts w:cs="Times New Roman"/>
                <w:szCs w:val="24"/>
              </w:rPr>
              <w:t xml:space="preserve">d. </w:t>
            </w:r>
            <w:r w:rsidR="008F21EC" w:rsidRPr="009F34D7">
              <w:rPr>
                <w:rFonts w:cs="Times New Roman"/>
                <w:szCs w:val="24"/>
              </w:rPr>
              <w:t>Contact Information to States</w:t>
            </w:r>
          </w:p>
        </w:tc>
        <w:tc>
          <w:tcPr>
            <w:tcW w:w="1553" w:type="dxa"/>
            <w:tcBorders>
              <w:top w:val="nil"/>
              <w:left w:val="nil"/>
              <w:bottom w:val="single" w:sz="8" w:space="0" w:color="auto"/>
              <w:right w:val="single" w:sz="8" w:space="0" w:color="auto"/>
            </w:tcBorders>
            <w:tcMar>
              <w:top w:w="0" w:type="dxa"/>
              <w:left w:w="108" w:type="dxa"/>
              <w:bottom w:w="0" w:type="dxa"/>
              <w:right w:w="108" w:type="dxa"/>
            </w:tcMar>
          </w:tcPr>
          <w:p w14:paraId="3BCD1BFC" w14:textId="77777777" w:rsidR="008F21EC" w:rsidRPr="009F34D7" w:rsidRDefault="008F21EC">
            <w:pPr>
              <w:rPr>
                <w:rFonts w:eastAsia="Calibri" w:cs="Times New Roman"/>
                <w:szCs w:val="24"/>
              </w:rPr>
            </w:pPr>
            <w:r w:rsidRPr="009F34D7">
              <w:rPr>
                <w:rFonts w:eastAsia="Calibri" w:cs="Times New Roman"/>
                <w:szCs w:val="24"/>
              </w:rPr>
              <w:t>13</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46B753F6" w14:textId="77777777" w:rsidR="008F21EC" w:rsidRPr="009F34D7" w:rsidRDefault="008F21EC">
            <w:pPr>
              <w:rPr>
                <w:rFonts w:eastAsia="Calibri" w:cs="Times New Roman"/>
                <w:szCs w:val="24"/>
              </w:rPr>
            </w:pPr>
            <w:r w:rsidRPr="009F34D7">
              <w:rPr>
                <w:rFonts w:eastAsia="Calibri" w:cs="Times New Roman"/>
                <w:szCs w:val="24"/>
              </w:rPr>
              <w:t>10</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021CCDCD" w14:textId="77777777" w:rsidR="008F21EC" w:rsidRPr="009F34D7" w:rsidRDefault="008F21EC">
            <w:pPr>
              <w:rPr>
                <w:rFonts w:cs="Times New Roman"/>
                <w:szCs w:val="24"/>
              </w:rPr>
            </w:pPr>
            <w:r w:rsidRPr="009F34D7">
              <w:rPr>
                <w:rFonts w:cs="Times New Roman"/>
                <w:szCs w:val="24"/>
              </w:rPr>
              <w:t>130</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260FE540" w14:textId="77777777" w:rsidR="008F21EC" w:rsidRPr="009F34D7" w:rsidRDefault="007F17B8">
            <w:pPr>
              <w:rPr>
                <w:rFonts w:cs="Times New Roman"/>
                <w:szCs w:val="24"/>
              </w:rPr>
            </w:pPr>
            <w:r w:rsidRPr="009F34D7">
              <w:rPr>
                <w:rFonts w:cs="Times New Roman"/>
                <w:szCs w:val="24"/>
              </w:rPr>
              <w:t>$583</w:t>
            </w:r>
          </w:p>
        </w:tc>
        <w:tc>
          <w:tcPr>
            <w:tcW w:w="1243" w:type="dxa"/>
            <w:tcBorders>
              <w:top w:val="nil"/>
              <w:left w:val="nil"/>
              <w:bottom w:val="single" w:sz="8" w:space="0" w:color="auto"/>
              <w:right w:val="single" w:sz="8" w:space="0" w:color="auto"/>
            </w:tcBorders>
            <w:tcMar>
              <w:top w:w="0" w:type="dxa"/>
              <w:left w:w="108" w:type="dxa"/>
              <w:bottom w:w="0" w:type="dxa"/>
              <w:right w:w="108" w:type="dxa"/>
            </w:tcMar>
          </w:tcPr>
          <w:p w14:paraId="4ADA8F6F" w14:textId="77777777" w:rsidR="008F21EC" w:rsidRPr="009F34D7" w:rsidRDefault="007F17B8">
            <w:pPr>
              <w:rPr>
                <w:rFonts w:cs="Times New Roman"/>
                <w:szCs w:val="24"/>
              </w:rPr>
            </w:pPr>
            <w:r w:rsidRPr="009F34D7">
              <w:rPr>
                <w:rFonts w:cs="Times New Roman"/>
                <w:szCs w:val="24"/>
              </w:rPr>
              <w:t>$7,579</w:t>
            </w:r>
          </w:p>
        </w:tc>
      </w:tr>
      <w:tr w:rsidR="00207A7E" w:rsidRPr="009F34D7" w14:paraId="6EBDF89F" w14:textId="77777777" w:rsidTr="0098035B">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74575" w14:textId="77777777" w:rsidR="00207A7E" w:rsidRPr="009F34D7" w:rsidRDefault="00207A7E">
            <w:pPr>
              <w:rPr>
                <w:rFonts w:eastAsia="Calibri" w:cs="Times New Roman"/>
                <w:szCs w:val="24"/>
              </w:rPr>
            </w:pPr>
            <w:r w:rsidRPr="009F34D7">
              <w:rPr>
                <w:rFonts w:cs="Times New Roman"/>
                <w:szCs w:val="24"/>
              </w:rPr>
              <w:t>Totals (</w:t>
            </w:r>
            <w:r w:rsidRPr="009F34D7">
              <w:rPr>
                <w:rFonts w:cs="Times New Roman"/>
                <w:i/>
                <w:iCs/>
                <w:szCs w:val="24"/>
              </w:rPr>
              <w:t>in bold</w:t>
            </w:r>
            <w:r w:rsidRPr="009F34D7">
              <w:rPr>
                <w:rFonts w:cs="Times New Roman"/>
                <w:szCs w:val="24"/>
              </w:rPr>
              <w:t>)</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14:paraId="514057FE" w14:textId="77777777" w:rsidR="00207A7E" w:rsidRPr="009F34D7" w:rsidRDefault="0098035B">
            <w:pPr>
              <w:rPr>
                <w:rFonts w:cs="Times New Roman"/>
                <w:b/>
                <w:szCs w:val="24"/>
              </w:rPr>
            </w:pPr>
            <w:r w:rsidRPr="009F34D7">
              <w:rPr>
                <w:rFonts w:cs="Times New Roman"/>
                <w:b/>
                <w:szCs w:val="24"/>
              </w:rPr>
              <w:t>13</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2C7C97D9" w14:textId="77777777" w:rsidR="00207A7E" w:rsidRPr="009F34D7" w:rsidRDefault="0002407E">
            <w:pPr>
              <w:rPr>
                <w:rFonts w:eastAsia="Calibri" w:cs="Times New Roman"/>
                <w:b/>
                <w:szCs w:val="24"/>
              </w:rPr>
            </w:pPr>
            <w:r w:rsidRPr="009F34D7">
              <w:rPr>
                <w:rFonts w:eastAsia="Calibri" w:cs="Times New Roman"/>
                <w:b/>
                <w:szCs w:val="24"/>
              </w:rPr>
              <w:t>1</w:t>
            </w:r>
            <w:r w:rsidR="008F21EC" w:rsidRPr="009F34D7">
              <w:rPr>
                <w:rFonts w:eastAsia="Calibri" w:cs="Times New Roman"/>
                <w:b/>
                <w:szCs w:val="24"/>
              </w:rPr>
              <w:t>20</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42DA1AE0" w14:textId="77777777" w:rsidR="00207A7E" w:rsidRPr="009F34D7" w:rsidRDefault="0002407E">
            <w:pPr>
              <w:rPr>
                <w:rFonts w:eastAsia="Calibri" w:cs="Times New Roman"/>
                <w:b/>
                <w:szCs w:val="24"/>
              </w:rPr>
            </w:pPr>
            <w:r w:rsidRPr="009F34D7">
              <w:rPr>
                <w:rFonts w:eastAsia="Calibri" w:cs="Times New Roman"/>
                <w:b/>
                <w:szCs w:val="24"/>
              </w:rPr>
              <w:t>1</w:t>
            </w:r>
            <w:r w:rsidR="00207A7E" w:rsidRPr="009F34D7">
              <w:rPr>
                <w:rFonts w:eastAsia="Calibri" w:cs="Times New Roman"/>
                <w:b/>
                <w:szCs w:val="24"/>
              </w:rPr>
              <w:t>,</w:t>
            </w:r>
            <w:r w:rsidR="008F21EC" w:rsidRPr="009F34D7">
              <w:rPr>
                <w:rFonts w:eastAsia="Calibri" w:cs="Times New Roman"/>
                <w:b/>
                <w:szCs w:val="24"/>
              </w:rPr>
              <w:t>56</w:t>
            </w:r>
            <w:r w:rsidRPr="009F34D7">
              <w:rPr>
                <w:rFonts w:eastAsia="Calibri" w:cs="Times New Roman"/>
                <w:b/>
                <w:szCs w:val="24"/>
              </w:rPr>
              <w:t>0</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4445E24F" w14:textId="77777777" w:rsidR="00207A7E" w:rsidRPr="009F34D7" w:rsidRDefault="00207A7E" w:rsidP="00F60CFE">
            <w:pPr>
              <w:rPr>
                <w:rFonts w:eastAsia="Calibri" w:cs="Times New Roman"/>
                <w:b/>
                <w:szCs w:val="24"/>
              </w:rPr>
            </w:pPr>
            <w:r w:rsidRPr="009F34D7">
              <w:rPr>
                <w:rFonts w:eastAsia="Calibri" w:cs="Times New Roman"/>
                <w:b/>
                <w:szCs w:val="24"/>
              </w:rPr>
              <w:t>$</w:t>
            </w:r>
            <w:r w:rsidR="008F21EC" w:rsidRPr="009F34D7">
              <w:rPr>
                <w:rFonts w:eastAsia="Calibri" w:cs="Times New Roman"/>
                <w:b/>
                <w:szCs w:val="24"/>
              </w:rPr>
              <w:t>6</w:t>
            </w:r>
            <w:r w:rsidR="0002407E" w:rsidRPr="009F34D7">
              <w:rPr>
                <w:rFonts w:eastAsia="Calibri" w:cs="Times New Roman"/>
                <w:b/>
                <w:szCs w:val="24"/>
              </w:rPr>
              <w:t>,</w:t>
            </w:r>
            <w:r w:rsidR="007F17B8" w:rsidRPr="009F34D7">
              <w:rPr>
                <w:rFonts w:eastAsia="Calibri" w:cs="Times New Roman"/>
                <w:b/>
                <w:szCs w:val="24"/>
              </w:rPr>
              <w:t>994</w:t>
            </w:r>
          </w:p>
        </w:tc>
        <w:tc>
          <w:tcPr>
            <w:tcW w:w="1243" w:type="dxa"/>
            <w:tcBorders>
              <w:top w:val="nil"/>
              <w:left w:val="nil"/>
              <w:bottom w:val="single" w:sz="8" w:space="0" w:color="auto"/>
              <w:right w:val="single" w:sz="8" w:space="0" w:color="auto"/>
            </w:tcBorders>
            <w:tcMar>
              <w:top w:w="0" w:type="dxa"/>
              <w:left w:w="108" w:type="dxa"/>
              <w:bottom w:w="0" w:type="dxa"/>
              <w:right w:w="108" w:type="dxa"/>
            </w:tcMar>
          </w:tcPr>
          <w:p w14:paraId="4807CFDC" w14:textId="77777777" w:rsidR="00207A7E" w:rsidRPr="009F34D7" w:rsidRDefault="00207A7E" w:rsidP="00F60CFE">
            <w:pPr>
              <w:rPr>
                <w:rFonts w:eastAsia="Calibri" w:cs="Times New Roman"/>
                <w:b/>
                <w:szCs w:val="24"/>
              </w:rPr>
            </w:pPr>
            <w:r w:rsidRPr="009F34D7">
              <w:rPr>
                <w:rFonts w:eastAsia="Calibri" w:cs="Times New Roman"/>
                <w:b/>
                <w:szCs w:val="24"/>
              </w:rPr>
              <w:t>$</w:t>
            </w:r>
            <w:r w:rsidR="007F17B8" w:rsidRPr="009F34D7">
              <w:rPr>
                <w:rFonts w:eastAsia="Calibri" w:cs="Times New Roman"/>
                <w:b/>
                <w:szCs w:val="24"/>
              </w:rPr>
              <w:t>90,922</w:t>
            </w:r>
          </w:p>
        </w:tc>
      </w:tr>
    </w:tbl>
    <w:p w14:paraId="08F7D377" w14:textId="77777777" w:rsidR="00AC76E0" w:rsidRPr="009F34D7" w:rsidRDefault="00AC76E0" w:rsidP="00DE7E22">
      <w:pPr>
        <w:pStyle w:val="CM2"/>
        <w:spacing w:before="211" w:after="173" w:line="360" w:lineRule="auto"/>
        <w:rPr>
          <w:rFonts w:ascii="Times New Roman" w:hAnsi="Times New Roman"/>
          <w:b/>
        </w:rPr>
      </w:pPr>
    </w:p>
    <w:p w14:paraId="26783EB2" w14:textId="77777777" w:rsidR="00AC76E0" w:rsidRPr="00C256AC" w:rsidRDefault="001E1B53" w:rsidP="00AC76E0">
      <w:pPr>
        <w:rPr>
          <w:rFonts w:cs="Times New Roman"/>
          <w:szCs w:val="24"/>
        </w:rPr>
      </w:pPr>
      <w:r w:rsidRPr="009F34D7">
        <w:rPr>
          <w:rFonts w:cs="Times New Roman"/>
          <w:b/>
          <w:szCs w:val="24"/>
        </w:rPr>
        <w:t xml:space="preserve">13. </w:t>
      </w:r>
      <w:r w:rsidR="00315DDD" w:rsidRPr="009F34D7">
        <w:rPr>
          <w:rFonts w:cs="Times New Roman"/>
          <w:b/>
          <w:szCs w:val="24"/>
        </w:rPr>
        <w:t xml:space="preserve"> </w:t>
      </w:r>
      <w:r w:rsidR="000416A1">
        <w:rPr>
          <w:rFonts w:cs="Times New Roman"/>
          <w:b/>
          <w:szCs w:val="24"/>
        </w:rPr>
        <w:tab/>
      </w:r>
      <w:r w:rsidR="00AC76E0" w:rsidRPr="00C256AC">
        <w:rPr>
          <w:rFonts w:cs="Times New Roman"/>
          <w:szCs w:val="24"/>
        </w:rPr>
        <w:t>There are no outside costs to the respondent:</w:t>
      </w:r>
    </w:p>
    <w:p w14:paraId="6E09EA8F" w14:textId="77777777" w:rsidR="00AC76E0" w:rsidRPr="00290A55" w:rsidRDefault="00AC76E0" w:rsidP="00AC76E0">
      <w:pPr>
        <w:rPr>
          <w:rFonts w:cs="Times New Roman"/>
          <w:szCs w:val="24"/>
        </w:rPr>
      </w:pPr>
    </w:p>
    <w:p w14:paraId="0D785D20" w14:textId="77777777" w:rsidR="00AC76E0" w:rsidRPr="00290A55" w:rsidRDefault="00AC76E0" w:rsidP="00E915A7">
      <w:pPr>
        <w:ind w:firstLine="720"/>
        <w:rPr>
          <w:rFonts w:cs="Times New Roman"/>
          <w:szCs w:val="24"/>
        </w:rPr>
      </w:pPr>
      <w:proofErr w:type="gramStart"/>
      <w:r w:rsidRPr="00290A55">
        <w:rPr>
          <w:rFonts w:cs="Times New Roman"/>
          <w:szCs w:val="24"/>
        </w:rPr>
        <w:t>a.  There</w:t>
      </w:r>
      <w:proofErr w:type="gramEnd"/>
      <w:r w:rsidRPr="00290A55">
        <w:rPr>
          <w:rFonts w:cs="Times New Roman"/>
          <w:szCs w:val="24"/>
        </w:rPr>
        <w:t xml:space="preserve"> are no capital or start-up costs.</w:t>
      </w:r>
    </w:p>
    <w:p w14:paraId="5D993AC3" w14:textId="77777777" w:rsidR="00AC76E0" w:rsidRPr="00290A55" w:rsidRDefault="00AC76E0" w:rsidP="00E915A7">
      <w:pPr>
        <w:ind w:firstLine="720"/>
        <w:rPr>
          <w:rFonts w:cs="Times New Roman"/>
          <w:szCs w:val="24"/>
        </w:rPr>
      </w:pPr>
      <w:proofErr w:type="gramStart"/>
      <w:r w:rsidRPr="00290A55">
        <w:rPr>
          <w:rFonts w:cs="Times New Roman"/>
          <w:szCs w:val="24"/>
        </w:rPr>
        <w:t>b.  There</w:t>
      </w:r>
      <w:proofErr w:type="gramEnd"/>
      <w:r w:rsidRPr="00290A55">
        <w:rPr>
          <w:rFonts w:cs="Times New Roman"/>
          <w:szCs w:val="24"/>
        </w:rPr>
        <w:t xml:space="preserve"> are no operational or maintenance costs. </w:t>
      </w:r>
    </w:p>
    <w:p w14:paraId="5A703623" w14:textId="77777777" w:rsidR="001E0387" w:rsidRDefault="001E0387" w:rsidP="00DE7E22">
      <w:pPr>
        <w:spacing w:before="211" w:after="173" w:line="360" w:lineRule="auto"/>
        <w:contextualSpacing/>
        <w:rPr>
          <w:rFonts w:cs="Times New Roman"/>
          <w:b/>
          <w:szCs w:val="24"/>
        </w:rPr>
      </w:pPr>
    </w:p>
    <w:p w14:paraId="7A2D7CCB" w14:textId="77777777" w:rsidR="00C340CB" w:rsidRPr="009F34D7" w:rsidRDefault="00C340CB" w:rsidP="00DE7E22">
      <w:pPr>
        <w:spacing w:before="211" w:after="173" w:line="360" w:lineRule="auto"/>
        <w:contextualSpacing/>
        <w:rPr>
          <w:rFonts w:cs="Times New Roman"/>
          <w:b/>
          <w:szCs w:val="24"/>
        </w:rPr>
      </w:pPr>
    </w:p>
    <w:p w14:paraId="1DD9BAC1" w14:textId="77777777" w:rsidR="002244E5" w:rsidRPr="009F34D7" w:rsidRDefault="001E1B53" w:rsidP="00DE7E22">
      <w:pPr>
        <w:spacing w:before="211" w:after="173" w:line="360" w:lineRule="auto"/>
        <w:contextualSpacing/>
        <w:rPr>
          <w:rFonts w:cs="Times New Roman"/>
          <w:szCs w:val="24"/>
        </w:rPr>
      </w:pPr>
      <w:r w:rsidRPr="009F34D7">
        <w:rPr>
          <w:rFonts w:cs="Times New Roman"/>
          <w:b/>
          <w:szCs w:val="24"/>
        </w:rPr>
        <w:t xml:space="preserve">14. </w:t>
      </w:r>
      <w:r w:rsidR="000416A1">
        <w:rPr>
          <w:rFonts w:cs="Times New Roman"/>
          <w:b/>
          <w:szCs w:val="24"/>
        </w:rPr>
        <w:tab/>
      </w:r>
      <w:r w:rsidR="002244E5" w:rsidRPr="00C256AC">
        <w:rPr>
          <w:rFonts w:cs="Times New Roman"/>
          <w:szCs w:val="24"/>
        </w:rPr>
        <w:t>W</w:t>
      </w:r>
      <w:r w:rsidR="002244E5" w:rsidRPr="009F34D7">
        <w:rPr>
          <w:rFonts w:cs="Times New Roman"/>
          <w:szCs w:val="24"/>
        </w:rPr>
        <w:t xml:space="preserve">e estimate that roughly 13 interconnected VoIP providers may choose to apply for FCC authorization.  </w:t>
      </w:r>
      <w:r w:rsidR="00DE7E22" w:rsidRPr="009F34D7">
        <w:rPr>
          <w:rFonts w:cs="Times New Roman"/>
          <w:szCs w:val="24"/>
        </w:rPr>
        <w:t xml:space="preserve">We further </w:t>
      </w:r>
      <w:r w:rsidR="002244E5" w:rsidRPr="009F34D7">
        <w:rPr>
          <w:rFonts w:cs="Times New Roman"/>
          <w:szCs w:val="24"/>
        </w:rPr>
        <w:t xml:space="preserve">estimate that </w:t>
      </w:r>
      <w:r w:rsidR="00DE7E22" w:rsidRPr="009F34D7">
        <w:rPr>
          <w:rFonts w:cs="Times New Roman"/>
          <w:szCs w:val="24"/>
        </w:rPr>
        <w:t>two attorneys will be needed to review the applications</w:t>
      </w:r>
      <w:r w:rsidR="002244E5" w:rsidRPr="009F34D7">
        <w:rPr>
          <w:rFonts w:cs="Times New Roman"/>
          <w:szCs w:val="24"/>
        </w:rPr>
        <w:t xml:space="preserve">.  We </w:t>
      </w:r>
      <w:r w:rsidR="00586A69">
        <w:rPr>
          <w:rFonts w:cs="Times New Roman"/>
          <w:szCs w:val="24"/>
        </w:rPr>
        <w:t xml:space="preserve">also </w:t>
      </w:r>
      <w:r w:rsidR="002244E5" w:rsidRPr="009F34D7">
        <w:rPr>
          <w:rFonts w:cs="Times New Roman"/>
          <w:szCs w:val="24"/>
        </w:rPr>
        <w:t xml:space="preserve">estimate a weighted average for the compensation of these professionals will be at a level </w:t>
      </w:r>
      <w:r w:rsidR="00DE7E22" w:rsidRPr="009F34D7">
        <w:rPr>
          <w:rFonts w:cs="Times New Roman"/>
          <w:szCs w:val="24"/>
        </w:rPr>
        <w:t>of</w:t>
      </w:r>
      <w:r w:rsidR="002244E5" w:rsidRPr="009F34D7">
        <w:rPr>
          <w:rFonts w:cs="Times New Roman"/>
          <w:szCs w:val="24"/>
        </w:rPr>
        <w:t xml:space="preserve"> a GS 14 step </w:t>
      </w:r>
      <w:r w:rsidR="0038615F" w:rsidRPr="009F34D7">
        <w:rPr>
          <w:rFonts w:cs="Times New Roman"/>
          <w:szCs w:val="24"/>
        </w:rPr>
        <w:t>5 ($58.28</w:t>
      </w:r>
      <w:r w:rsidR="002244E5" w:rsidRPr="009F34D7">
        <w:rPr>
          <w:rFonts w:cs="Times New Roman"/>
          <w:szCs w:val="24"/>
        </w:rPr>
        <w:t xml:space="preserve">/hour).  We estimate that it will take </w:t>
      </w:r>
      <w:r w:rsidR="00D96411">
        <w:rPr>
          <w:rFonts w:cs="Times New Roman"/>
          <w:szCs w:val="24"/>
        </w:rPr>
        <w:t xml:space="preserve">5 hours for each attorney or </w:t>
      </w:r>
      <w:r w:rsidR="00DE7E22" w:rsidRPr="009F34D7">
        <w:rPr>
          <w:rFonts w:cs="Times New Roman"/>
          <w:szCs w:val="24"/>
        </w:rPr>
        <w:t>10</w:t>
      </w:r>
      <w:r w:rsidR="002244E5" w:rsidRPr="009F34D7">
        <w:rPr>
          <w:rFonts w:cs="Times New Roman"/>
          <w:szCs w:val="24"/>
        </w:rPr>
        <w:t xml:space="preserve"> hours to </w:t>
      </w:r>
      <w:r w:rsidR="00DE7E22" w:rsidRPr="009F34D7">
        <w:rPr>
          <w:rFonts w:cs="Times New Roman"/>
          <w:szCs w:val="24"/>
        </w:rPr>
        <w:t>review each application</w:t>
      </w:r>
      <w:r w:rsidR="002244E5" w:rsidRPr="009F34D7">
        <w:rPr>
          <w:rFonts w:cs="Times New Roman"/>
          <w:szCs w:val="24"/>
        </w:rPr>
        <w:t xml:space="preserve">.  </w:t>
      </w:r>
      <w:r w:rsidR="002244E5" w:rsidRPr="00AD4B35">
        <w:rPr>
          <w:rFonts w:cs="Times New Roman"/>
          <w:szCs w:val="24"/>
        </w:rPr>
        <w:t xml:space="preserve">The burden per </w:t>
      </w:r>
      <w:r w:rsidR="00DE7E22" w:rsidRPr="00AD4B35">
        <w:rPr>
          <w:rFonts w:cs="Times New Roman"/>
          <w:szCs w:val="24"/>
        </w:rPr>
        <w:t>application</w:t>
      </w:r>
      <w:r w:rsidR="002244E5" w:rsidRPr="00AD4B35">
        <w:rPr>
          <w:rFonts w:cs="Times New Roman"/>
          <w:szCs w:val="24"/>
        </w:rPr>
        <w:t xml:space="preserve"> is </w:t>
      </w:r>
      <w:r w:rsidR="00DE7E22" w:rsidRPr="00AD4B35">
        <w:rPr>
          <w:rFonts w:cs="Times New Roman"/>
          <w:szCs w:val="24"/>
        </w:rPr>
        <w:t xml:space="preserve">thus </w:t>
      </w:r>
      <w:r w:rsidR="002244E5" w:rsidRPr="00AD4B35">
        <w:rPr>
          <w:rFonts w:cs="Times New Roman"/>
          <w:szCs w:val="24"/>
        </w:rPr>
        <w:t>approximately $</w:t>
      </w:r>
      <w:r w:rsidR="00DE7E22" w:rsidRPr="00AD4B35">
        <w:rPr>
          <w:rFonts w:cs="Times New Roman"/>
          <w:szCs w:val="24"/>
        </w:rPr>
        <w:t>5</w:t>
      </w:r>
      <w:r w:rsidR="0038615F" w:rsidRPr="00AD4B35">
        <w:rPr>
          <w:rFonts w:cs="Times New Roman"/>
          <w:szCs w:val="24"/>
        </w:rPr>
        <w:t>83 ($58.28</w:t>
      </w:r>
      <w:r w:rsidR="002244E5" w:rsidRPr="00AD4B35">
        <w:rPr>
          <w:rFonts w:cs="Times New Roman"/>
          <w:szCs w:val="24"/>
        </w:rPr>
        <w:t xml:space="preserve"> x </w:t>
      </w:r>
      <w:r w:rsidR="00D96411" w:rsidRPr="00AD4B35">
        <w:rPr>
          <w:rFonts w:cs="Times New Roman"/>
          <w:szCs w:val="24"/>
        </w:rPr>
        <w:t>2 attorneys x 5</w:t>
      </w:r>
      <w:r w:rsidR="002244E5" w:rsidRPr="00AD4B35">
        <w:rPr>
          <w:rFonts w:cs="Times New Roman"/>
          <w:szCs w:val="24"/>
        </w:rPr>
        <w:t xml:space="preserve"> hours = $</w:t>
      </w:r>
      <w:r w:rsidR="00DE7E22" w:rsidRPr="00AD4B35">
        <w:rPr>
          <w:rFonts w:cs="Times New Roman"/>
          <w:szCs w:val="24"/>
        </w:rPr>
        <w:t>5</w:t>
      </w:r>
      <w:r w:rsidR="0038615F" w:rsidRPr="00AD4B35">
        <w:rPr>
          <w:rFonts w:cs="Times New Roman"/>
          <w:szCs w:val="24"/>
        </w:rPr>
        <w:t>83</w:t>
      </w:r>
      <w:r w:rsidR="002244E5" w:rsidRPr="00AD4B35">
        <w:rPr>
          <w:rFonts w:cs="Times New Roman"/>
          <w:szCs w:val="24"/>
        </w:rPr>
        <w:t>).  The total dollar cost is $</w:t>
      </w:r>
      <w:r w:rsidR="0038615F" w:rsidRPr="00AD4B35">
        <w:rPr>
          <w:rFonts w:cs="Times New Roman"/>
          <w:szCs w:val="24"/>
        </w:rPr>
        <w:t>7,</w:t>
      </w:r>
      <w:r w:rsidR="00DB3B77" w:rsidRPr="00AD4B35">
        <w:rPr>
          <w:rFonts w:cs="Times New Roman"/>
          <w:szCs w:val="24"/>
        </w:rPr>
        <w:t>579</w:t>
      </w:r>
      <w:r w:rsidR="002244E5" w:rsidRPr="00AD4B35">
        <w:rPr>
          <w:rFonts w:cs="Times New Roman"/>
          <w:szCs w:val="24"/>
        </w:rPr>
        <w:t xml:space="preserve"> (13 x $</w:t>
      </w:r>
      <w:r w:rsidR="00DE7E22" w:rsidRPr="00AD4B35">
        <w:rPr>
          <w:rFonts w:cs="Times New Roman"/>
          <w:szCs w:val="24"/>
        </w:rPr>
        <w:t>5</w:t>
      </w:r>
      <w:r w:rsidR="0038615F" w:rsidRPr="00AD4B35">
        <w:rPr>
          <w:rFonts w:cs="Times New Roman"/>
          <w:szCs w:val="24"/>
        </w:rPr>
        <w:t>83</w:t>
      </w:r>
      <w:r w:rsidR="002244E5" w:rsidRPr="00AD4B35">
        <w:rPr>
          <w:rFonts w:cs="Times New Roman"/>
          <w:szCs w:val="24"/>
        </w:rPr>
        <w:t xml:space="preserve"> = $</w:t>
      </w:r>
      <w:r w:rsidR="00DB3B77" w:rsidRPr="00AD4B35">
        <w:rPr>
          <w:rFonts w:cs="Times New Roman"/>
          <w:szCs w:val="24"/>
        </w:rPr>
        <w:t>7</w:t>
      </w:r>
      <w:r w:rsidR="002244E5" w:rsidRPr="00AD4B35">
        <w:rPr>
          <w:rFonts w:cs="Times New Roman"/>
          <w:szCs w:val="24"/>
        </w:rPr>
        <w:t>,</w:t>
      </w:r>
      <w:r w:rsidR="00DE7E22" w:rsidRPr="00AD4B35">
        <w:rPr>
          <w:rFonts w:cs="Times New Roman"/>
          <w:szCs w:val="24"/>
        </w:rPr>
        <w:t>5</w:t>
      </w:r>
      <w:r w:rsidR="00DB3B77" w:rsidRPr="00AD4B35">
        <w:rPr>
          <w:rFonts w:cs="Times New Roman"/>
          <w:szCs w:val="24"/>
        </w:rPr>
        <w:t>79</w:t>
      </w:r>
      <w:r w:rsidR="002244E5" w:rsidRPr="00AD4B35">
        <w:rPr>
          <w:rFonts w:cs="Times New Roman"/>
          <w:szCs w:val="24"/>
        </w:rPr>
        <w:t xml:space="preserve">).  The total burden hours is </w:t>
      </w:r>
      <w:r w:rsidR="00DE7E22" w:rsidRPr="00AD4B35">
        <w:rPr>
          <w:rFonts w:cs="Times New Roman"/>
          <w:szCs w:val="24"/>
        </w:rPr>
        <w:t>13</w:t>
      </w:r>
      <w:r w:rsidR="002244E5" w:rsidRPr="00AD4B35">
        <w:rPr>
          <w:rFonts w:cs="Times New Roman"/>
          <w:szCs w:val="24"/>
        </w:rPr>
        <w:t xml:space="preserve">0 (13 x </w:t>
      </w:r>
      <w:r w:rsidR="00D96411" w:rsidRPr="00AD4B35">
        <w:rPr>
          <w:rFonts w:cs="Times New Roman"/>
          <w:szCs w:val="24"/>
        </w:rPr>
        <w:t>2 x 5</w:t>
      </w:r>
      <w:r w:rsidR="002244E5" w:rsidRPr="00AD4B35">
        <w:rPr>
          <w:rFonts w:cs="Times New Roman"/>
          <w:szCs w:val="24"/>
        </w:rPr>
        <w:t xml:space="preserve"> = </w:t>
      </w:r>
      <w:r w:rsidR="00DE7E22" w:rsidRPr="00AD4B35">
        <w:rPr>
          <w:rFonts w:cs="Times New Roman"/>
          <w:szCs w:val="24"/>
        </w:rPr>
        <w:t>130</w:t>
      </w:r>
      <w:r w:rsidR="002244E5" w:rsidRPr="00AD4B35">
        <w:rPr>
          <w:rFonts w:cs="Times New Roman"/>
          <w:szCs w:val="24"/>
        </w:rPr>
        <w:t xml:space="preserve">).  We note that this application need only be filed once, and will thus not be a recurring </w:t>
      </w:r>
      <w:r w:rsidR="00DE7E22" w:rsidRPr="00AD4B35">
        <w:rPr>
          <w:rFonts w:cs="Times New Roman"/>
          <w:szCs w:val="24"/>
        </w:rPr>
        <w:t>government</w:t>
      </w:r>
      <w:r w:rsidR="002244E5" w:rsidRPr="00AD4B35">
        <w:rPr>
          <w:rFonts w:cs="Times New Roman"/>
          <w:szCs w:val="24"/>
        </w:rPr>
        <w:t xml:space="preserve"> cost.</w:t>
      </w:r>
    </w:p>
    <w:p w14:paraId="44DE3004" w14:textId="77777777" w:rsidR="002244E5" w:rsidRPr="009F34D7" w:rsidRDefault="002244E5" w:rsidP="002244E5">
      <w:pPr>
        <w:ind w:left="1440"/>
        <w:rPr>
          <w:rFonts w:cs="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389"/>
        <w:gridCol w:w="991"/>
        <w:gridCol w:w="1144"/>
        <w:gridCol w:w="1453"/>
        <w:gridCol w:w="1416"/>
      </w:tblGrid>
      <w:tr w:rsidR="00DE7E22" w:rsidRPr="009F34D7" w14:paraId="403B7C30" w14:textId="77777777" w:rsidTr="002F71C5">
        <w:tc>
          <w:tcPr>
            <w:tcW w:w="1579" w:type="dxa"/>
            <w:shd w:val="clear" w:color="auto" w:fill="auto"/>
          </w:tcPr>
          <w:p w14:paraId="1AE4E23F" w14:textId="77777777" w:rsidR="002244E5" w:rsidRPr="009F34D7" w:rsidRDefault="002244E5" w:rsidP="002F71C5">
            <w:pPr>
              <w:rPr>
                <w:rFonts w:cs="Times New Roman"/>
                <w:szCs w:val="24"/>
              </w:rPr>
            </w:pPr>
            <w:r w:rsidRPr="009F34D7">
              <w:rPr>
                <w:rFonts w:cs="Times New Roman"/>
                <w:szCs w:val="24"/>
              </w:rPr>
              <w:t xml:space="preserve">Expected Respondents </w:t>
            </w:r>
          </w:p>
        </w:tc>
        <w:tc>
          <w:tcPr>
            <w:tcW w:w="1422" w:type="dxa"/>
            <w:shd w:val="clear" w:color="auto" w:fill="auto"/>
          </w:tcPr>
          <w:p w14:paraId="59C847BA" w14:textId="77777777" w:rsidR="002244E5" w:rsidRPr="009F34D7" w:rsidRDefault="002244E5" w:rsidP="00DE7E22">
            <w:pPr>
              <w:rPr>
                <w:rFonts w:cs="Times New Roman"/>
                <w:szCs w:val="24"/>
              </w:rPr>
            </w:pPr>
            <w:r w:rsidRPr="009F34D7">
              <w:rPr>
                <w:rFonts w:cs="Times New Roman"/>
                <w:szCs w:val="24"/>
              </w:rPr>
              <w:t xml:space="preserve">Hours </w:t>
            </w:r>
            <w:r w:rsidR="00DE7E22" w:rsidRPr="009F34D7">
              <w:rPr>
                <w:rFonts w:cs="Times New Roman"/>
                <w:szCs w:val="24"/>
              </w:rPr>
              <w:t>P</w:t>
            </w:r>
            <w:r w:rsidRPr="009F34D7">
              <w:rPr>
                <w:rFonts w:cs="Times New Roman"/>
                <w:szCs w:val="24"/>
              </w:rPr>
              <w:t xml:space="preserve">er </w:t>
            </w:r>
            <w:r w:rsidR="00DE7E22" w:rsidRPr="009F34D7">
              <w:rPr>
                <w:rFonts w:cs="Times New Roman"/>
                <w:szCs w:val="24"/>
              </w:rPr>
              <w:t>Application</w:t>
            </w:r>
          </w:p>
        </w:tc>
        <w:tc>
          <w:tcPr>
            <w:tcW w:w="1153" w:type="dxa"/>
            <w:shd w:val="clear" w:color="auto" w:fill="auto"/>
          </w:tcPr>
          <w:p w14:paraId="7374974A" w14:textId="77777777" w:rsidR="002244E5" w:rsidRPr="009F34D7" w:rsidRDefault="00DE7E22" w:rsidP="002F71C5">
            <w:pPr>
              <w:rPr>
                <w:rFonts w:cs="Times New Roman"/>
                <w:szCs w:val="24"/>
              </w:rPr>
            </w:pPr>
            <w:r w:rsidRPr="009F34D7">
              <w:rPr>
                <w:rFonts w:cs="Times New Roman"/>
                <w:szCs w:val="24"/>
              </w:rPr>
              <w:t>Total Hours</w:t>
            </w:r>
          </w:p>
        </w:tc>
        <w:tc>
          <w:tcPr>
            <w:tcW w:w="1357" w:type="dxa"/>
            <w:shd w:val="clear" w:color="auto" w:fill="auto"/>
          </w:tcPr>
          <w:p w14:paraId="5ADCE13A" w14:textId="77777777" w:rsidR="002244E5" w:rsidRPr="009F34D7" w:rsidRDefault="00DE7E22" w:rsidP="002F71C5">
            <w:pPr>
              <w:rPr>
                <w:rFonts w:cs="Times New Roman"/>
                <w:szCs w:val="24"/>
              </w:rPr>
            </w:pPr>
            <w:r w:rsidRPr="009F34D7">
              <w:rPr>
                <w:rFonts w:cs="Times New Roman"/>
                <w:szCs w:val="24"/>
              </w:rPr>
              <w:t>Hourly S</w:t>
            </w:r>
            <w:r w:rsidR="002244E5" w:rsidRPr="009F34D7">
              <w:rPr>
                <w:rFonts w:cs="Times New Roman"/>
                <w:szCs w:val="24"/>
              </w:rPr>
              <w:t>alary</w:t>
            </w:r>
          </w:p>
        </w:tc>
        <w:tc>
          <w:tcPr>
            <w:tcW w:w="1542" w:type="dxa"/>
            <w:shd w:val="clear" w:color="auto" w:fill="auto"/>
          </w:tcPr>
          <w:p w14:paraId="66B944E9" w14:textId="77777777" w:rsidR="002244E5" w:rsidRPr="009F34D7" w:rsidRDefault="00DE7E22" w:rsidP="00DE7E22">
            <w:pPr>
              <w:rPr>
                <w:rFonts w:cs="Times New Roman"/>
                <w:szCs w:val="24"/>
              </w:rPr>
            </w:pPr>
            <w:r w:rsidRPr="009F34D7">
              <w:rPr>
                <w:rFonts w:cs="Times New Roman"/>
                <w:szCs w:val="24"/>
              </w:rPr>
              <w:t>$ Cost Per Application</w:t>
            </w:r>
          </w:p>
        </w:tc>
        <w:tc>
          <w:tcPr>
            <w:tcW w:w="1083" w:type="dxa"/>
            <w:shd w:val="clear" w:color="auto" w:fill="auto"/>
          </w:tcPr>
          <w:p w14:paraId="6C958C7D" w14:textId="77777777" w:rsidR="002244E5" w:rsidRPr="009F34D7" w:rsidRDefault="00DE7E22" w:rsidP="00DE7E22">
            <w:pPr>
              <w:rPr>
                <w:rFonts w:cs="Times New Roman"/>
                <w:szCs w:val="24"/>
              </w:rPr>
            </w:pPr>
            <w:r w:rsidRPr="009F34D7">
              <w:rPr>
                <w:rFonts w:cs="Times New Roman"/>
                <w:szCs w:val="24"/>
              </w:rPr>
              <w:t>Total $ C</w:t>
            </w:r>
            <w:r w:rsidR="002244E5" w:rsidRPr="009F34D7">
              <w:rPr>
                <w:rFonts w:cs="Times New Roman"/>
                <w:szCs w:val="24"/>
              </w:rPr>
              <w:t xml:space="preserve">ost to </w:t>
            </w:r>
            <w:r w:rsidRPr="009F34D7">
              <w:rPr>
                <w:rFonts w:cs="Times New Roman"/>
                <w:szCs w:val="24"/>
              </w:rPr>
              <w:t>Government</w:t>
            </w:r>
            <w:r w:rsidR="002244E5" w:rsidRPr="009F34D7">
              <w:rPr>
                <w:rFonts w:cs="Times New Roman"/>
                <w:szCs w:val="24"/>
              </w:rPr>
              <w:t xml:space="preserve"> </w:t>
            </w:r>
          </w:p>
        </w:tc>
      </w:tr>
      <w:tr w:rsidR="00DE7E22" w:rsidRPr="009F34D7" w14:paraId="20C89696" w14:textId="77777777" w:rsidTr="002F71C5">
        <w:tc>
          <w:tcPr>
            <w:tcW w:w="1579" w:type="dxa"/>
            <w:shd w:val="clear" w:color="auto" w:fill="auto"/>
          </w:tcPr>
          <w:p w14:paraId="4518231D" w14:textId="77777777" w:rsidR="002244E5" w:rsidRPr="009F34D7" w:rsidRDefault="002244E5" w:rsidP="002F71C5">
            <w:pPr>
              <w:rPr>
                <w:rFonts w:cs="Times New Roman"/>
                <w:szCs w:val="24"/>
              </w:rPr>
            </w:pPr>
            <w:r w:rsidRPr="009F34D7">
              <w:rPr>
                <w:rFonts w:cs="Times New Roman"/>
                <w:szCs w:val="24"/>
              </w:rPr>
              <w:t>13</w:t>
            </w:r>
          </w:p>
        </w:tc>
        <w:tc>
          <w:tcPr>
            <w:tcW w:w="1422" w:type="dxa"/>
            <w:shd w:val="clear" w:color="auto" w:fill="auto"/>
          </w:tcPr>
          <w:p w14:paraId="4A07FC08" w14:textId="77777777" w:rsidR="002244E5" w:rsidRPr="009F34D7" w:rsidRDefault="00DE7E22" w:rsidP="002F71C5">
            <w:pPr>
              <w:rPr>
                <w:rFonts w:cs="Times New Roman"/>
                <w:szCs w:val="24"/>
              </w:rPr>
            </w:pPr>
            <w:r w:rsidRPr="009F34D7">
              <w:rPr>
                <w:rFonts w:cs="Times New Roman"/>
                <w:szCs w:val="24"/>
              </w:rPr>
              <w:t>1</w:t>
            </w:r>
            <w:r w:rsidR="002244E5" w:rsidRPr="009F34D7">
              <w:rPr>
                <w:rFonts w:cs="Times New Roman"/>
                <w:szCs w:val="24"/>
              </w:rPr>
              <w:t>0</w:t>
            </w:r>
            <w:r w:rsidR="00D96411">
              <w:rPr>
                <w:rFonts w:cs="Times New Roman"/>
                <w:szCs w:val="24"/>
              </w:rPr>
              <w:t xml:space="preserve"> </w:t>
            </w:r>
          </w:p>
        </w:tc>
        <w:tc>
          <w:tcPr>
            <w:tcW w:w="1153" w:type="dxa"/>
            <w:shd w:val="clear" w:color="auto" w:fill="auto"/>
          </w:tcPr>
          <w:p w14:paraId="2F5C9959" w14:textId="77777777" w:rsidR="002244E5" w:rsidRPr="009F34D7" w:rsidRDefault="00DE7E22" w:rsidP="002F71C5">
            <w:pPr>
              <w:rPr>
                <w:rFonts w:cs="Times New Roman"/>
                <w:szCs w:val="24"/>
              </w:rPr>
            </w:pPr>
            <w:r w:rsidRPr="009F34D7">
              <w:rPr>
                <w:rFonts w:cs="Times New Roman"/>
                <w:szCs w:val="24"/>
              </w:rPr>
              <w:t>13</w:t>
            </w:r>
            <w:r w:rsidR="002244E5" w:rsidRPr="009F34D7">
              <w:rPr>
                <w:rFonts w:cs="Times New Roman"/>
                <w:szCs w:val="24"/>
              </w:rPr>
              <w:t>0</w:t>
            </w:r>
          </w:p>
        </w:tc>
        <w:tc>
          <w:tcPr>
            <w:tcW w:w="1357" w:type="dxa"/>
            <w:shd w:val="clear" w:color="auto" w:fill="auto"/>
          </w:tcPr>
          <w:p w14:paraId="0E73A807" w14:textId="77777777" w:rsidR="002244E5" w:rsidRPr="009F34D7" w:rsidRDefault="00DB3B77" w:rsidP="002F71C5">
            <w:pPr>
              <w:rPr>
                <w:rFonts w:cs="Times New Roman"/>
                <w:szCs w:val="24"/>
              </w:rPr>
            </w:pPr>
            <w:r w:rsidRPr="009F34D7">
              <w:rPr>
                <w:rFonts w:cs="Times New Roman"/>
                <w:szCs w:val="24"/>
              </w:rPr>
              <w:t>$58.28</w:t>
            </w:r>
          </w:p>
        </w:tc>
        <w:tc>
          <w:tcPr>
            <w:tcW w:w="1542" w:type="dxa"/>
            <w:shd w:val="clear" w:color="auto" w:fill="auto"/>
          </w:tcPr>
          <w:p w14:paraId="0601CCF8" w14:textId="77777777" w:rsidR="002244E5" w:rsidRPr="009F34D7" w:rsidRDefault="002244E5" w:rsidP="002F71C5">
            <w:pPr>
              <w:rPr>
                <w:rFonts w:cs="Times New Roman"/>
                <w:szCs w:val="24"/>
              </w:rPr>
            </w:pPr>
            <w:r w:rsidRPr="009F34D7">
              <w:rPr>
                <w:rFonts w:cs="Times New Roman"/>
                <w:szCs w:val="24"/>
              </w:rPr>
              <w:t>$</w:t>
            </w:r>
            <w:r w:rsidR="00DB3B77" w:rsidRPr="009F34D7">
              <w:rPr>
                <w:rFonts w:cs="Times New Roman"/>
                <w:szCs w:val="24"/>
              </w:rPr>
              <w:t>583</w:t>
            </w:r>
          </w:p>
        </w:tc>
        <w:tc>
          <w:tcPr>
            <w:tcW w:w="1083" w:type="dxa"/>
            <w:shd w:val="clear" w:color="auto" w:fill="auto"/>
          </w:tcPr>
          <w:p w14:paraId="0E20F0F5" w14:textId="77777777" w:rsidR="002244E5" w:rsidRPr="009F34D7" w:rsidRDefault="002244E5" w:rsidP="002F71C5">
            <w:pPr>
              <w:rPr>
                <w:rFonts w:cs="Times New Roman"/>
                <w:szCs w:val="24"/>
              </w:rPr>
            </w:pPr>
            <w:r w:rsidRPr="009F34D7">
              <w:rPr>
                <w:rFonts w:cs="Times New Roman"/>
                <w:szCs w:val="24"/>
              </w:rPr>
              <w:t>$</w:t>
            </w:r>
            <w:r w:rsidR="00DB3B77" w:rsidRPr="009F34D7">
              <w:rPr>
                <w:rFonts w:cs="Times New Roman"/>
                <w:szCs w:val="24"/>
              </w:rPr>
              <w:t>7,579</w:t>
            </w:r>
          </w:p>
        </w:tc>
      </w:tr>
    </w:tbl>
    <w:p w14:paraId="4A45B914" w14:textId="77777777" w:rsidR="001E0387" w:rsidRPr="009F34D7" w:rsidRDefault="001E0387" w:rsidP="009F34D7">
      <w:pPr>
        <w:pStyle w:val="Default"/>
        <w:rPr>
          <w:rFonts w:ascii="Times New Roman" w:hAnsi="Times New Roman" w:cs="Times New Roman"/>
          <w:szCs w:val="24"/>
        </w:rPr>
      </w:pPr>
    </w:p>
    <w:p w14:paraId="6FDA2422" w14:textId="25CA937C" w:rsidR="001E1B53" w:rsidRPr="009F34D7" w:rsidRDefault="001E1B53" w:rsidP="00DE7E22">
      <w:pPr>
        <w:pStyle w:val="CM21"/>
        <w:spacing w:before="211" w:after="173" w:line="360" w:lineRule="auto"/>
        <w:ind w:right="173"/>
        <w:rPr>
          <w:rFonts w:ascii="Times New Roman" w:hAnsi="Times New Roman"/>
        </w:rPr>
      </w:pPr>
      <w:r w:rsidRPr="009F34D7">
        <w:rPr>
          <w:rFonts w:ascii="Times New Roman" w:hAnsi="Times New Roman"/>
          <w:b/>
        </w:rPr>
        <w:lastRenderedPageBreak/>
        <w:t>15</w:t>
      </w:r>
      <w:r w:rsidRPr="009F34D7">
        <w:rPr>
          <w:rFonts w:ascii="Times New Roman" w:hAnsi="Times New Roman"/>
        </w:rPr>
        <w:t xml:space="preserve">. </w:t>
      </w:r>
      <w:r w:rsidR="000416A1">
        <w:rPr>
          <w:rFonts w:ascii="Times New Roman" w:hAnsi="Times New Roman"/>
        </w:rPr>
        <w:tab/>
      </w:r>
      <w:r w:rsidR="000162C5" w:rsidRPr="000162C5">
        <w:rPr>
          <w:rFonts w:ascii="Times New Roman" w:hAnsi="Times New Roman"/>
        </w:rPr>
        <w:t xml:space="preserve">This is a new information collection resulting in a program change (increase). This increase in the </w:t>
      </w:r>
      <w:r w:rsidR="000162C5">
        <w:rPr>
          <w:rFonts w:ascii="Times New Roman" w:hAnsi="Times New Roman"/>
        </w:rPr>
        <w:t xml:space="preserve">total </w:t>
      </w:r>
      <w:r w:rsidR="000162C5" w:rsidRPr="000162C5">
        <w:rPr>
          <w:rFonts w:ascii="Times New Roman" w:hAnsi="Times New Roman"/>
        </w:rPr>
        <w:t xml:space="preserve">number of respondents of 13, </w:t>
      </w:r>
      <w:r w:rsidR="000162C5">
        <w:rPr>
          <w:rFonts w:ascii="Times New Roman" w:hAnsi="Times New Roman"/>
        </w:rPr>
        <w:t xml:space="preserve">total </w:t>
      </w:r>
      <w:r w:rsidR="000162C5" w:rsidRPr="000162C5">
        <w:rPr>
          <w:rFonts w:ascii="Times New Roman" w:hAnsi="Times New Roman"/>
        </w:rPr>
        <w:t xml:space="preserve">number of responses 13, and total annual burden hours of 1,560 will be added to OMB's Active Inventory. </w:t>
      </w:r>
    </w:p>
    <w:p w14:paraId="1EA90D76" w14:textId="77777777" w:rsidR="007E460E" w:rsidRPr="009F34D7" w:rsidRDefault="001E1B53" w:rsidP="00DE7E22">
      <w:pPr>
        <w:pStyle w:val="CM21"/>
        <w:spacing w:before="211" w:after="173" w:line="360" w:lineRule="auto"/>
        <w:ind w:right="178"/>
        <w:rPr>
          <w:rFonts w:ascii="Times New Roman" w:hAnsi="Times New Roman"/>
        </w:rPr>
      </w:pPr>
      <w:r w:rsidRPr="009F34D7">
        <w:rPr>
          <w:rFonts w:ascii="Times New Roman" w:hAnsi="Times New Roman"/>
          <w:b/>
        </w:rPr>
        <w:t>16.</w:t>
      </w:r>
      <w:r w:rsidR="000416A1">
        <w:rPr>
          <w:rFonts w:ascii="Times New Roman" w:hAnsi="Times New Roman"/>
          <w:b/>
        </w:rPr>
        <w:tab/>
      </w:r>
      <w:r w:rsidR="00573615" w:rsidRPr="009F34D7">
        <w:rPr>
          <w:rFonts w:ascii="Times New Roman" w:hAnsi="Times New Roman"/>
          <w:b/>
        </w:rPr>
        <w:t xml:space="preserve"> </w:t>
      </w:r>
      <w:r w:rsidR="00573615" w:rsidRPr="009F34D7">
        <w:rPr>
          <w:rFonts w:ascii="Times New Roman" w:hAnsi="Times New Roman"/>
        </w:rPr>
        <w:t>The Commission is not planning on publishing the results</w:t>
      </w:r>
      <w:r w:rsidR="00C96B61" w:rsidRPr="009F34D7">
        <w:rPr>
          <w:rFonts w:ascii="Times New Roman" w:hAnsi="Times New Roman"/>
        </w:rPr>
        <w:t xml:space="preserve"> of this information collection</w:t>
      </w:r>
      <w:r w:rsidR="00573615" w:rsidRPr="009F34D7">
        <w:rPr>
          <w:rFonts w:ascii="Times New Roman" w:hAnsi="Times New Roman"/>
        </w:rPr>
        <w:t>.  Information filed by the respondents will be publicly available.</w:t>
      </w:r>
    </w:p>
    <w:p w14:paraId="56762AED" w14:textId="77777777" w:rsidR="001E1B53" w:rsidRPr="009F34D7" w:rsidRDefault="001E1B53" w:rsidP="00DE7E22">
      <w:pPr>
        <w:pStyle w:val="CM21"/>
        <w:spacing w:before="211" w:after="173" w:line="360" w:lineRule="auto"/>
        <w:ind w:right="178"/>
        <w:rPr>
          <w:rFonts w:ascii="Times New Roman" w:hAnsi="Times New Roman"/>
        </w:rPr>
      </w:pPr>
      <w:r w:rsidRPr="009F34D7">
        <w:rPr>
          <w:rFonts w:ascii="Times New Roman" w:hAnsi="Times New Roman"/>
          <w:b/>
        </w:rPr>
        <w:t>17</w:t>
      </w:r>
      <w:r w:rsidRPr="009F34D7">
        <w:rPr>
          <w:rFonts w:ascii="Times New Roman" w:hAnsi="Times New Roman"/>
        </w:rPr>
        <w:t xml:space="preserve">. </w:t>
      </w:r>
      <w:r w:rsidR="000416A1">
        <w:rPr>
          <w:rFonts w:ascii="Times New Roman" w:hAnsi="Times New Roman"/>
        </w:rPr>
        <w:tab/>
      </w:r>
      <w:r w:rsidR="00573615" w:rsidRPr="009F34D7">
        <w:rPr>
          <w:rFonts w:ascii="Times New Roman" w:hAnsi="Times New Roman"/>
        </w:rPr>
        <w:t xml:space="preserve">The </w:t>
      </w:r>
      <w:r w:rsidR="000A74D9" w:rsidRPr="009F34D7">
        <w:rPr>
          <w:rFonts w:ascii="Times New Roman" w:hAnsi="Times New Roman"/>
        </w:rPr>
        <w:t>Commission</w:t>
      </w:r>
      <w:r w:rsidR="00573615" w:rsidRPr="009F34D7">
        <w:rPr>
          <w:rFonts w:ascii="Times New Roman" w:hAnsi="Times New Roman"/>
        </w:rPr>
        <w:t xml:space="preserve"> is not seeking approval to not display </w:t>
      </w:r>
      <w:r w:rsidR="00C96B61" w:rsidRPr="009F34D7">
        <w:rPr>
          <w:rFonts w:ascii="Times New Roman" w:hAnsi="Times New Roman"/>
        </w:rPr>
        <w:t>the expiration date for</w:t>
      </w:r>
      <w:r w:rsidR="00573615" w:rsidRPr="009F34D7">
        <w:rPr>
          <w:rFonts w:ascii="Times New Roman" w:hAnsi="Times New Roman"/>
        </w:rPr>
        <w:t xml:space="preserve"> OMB </w:t>
      </w:r>
      <w:r w:rsidR="00C96B61" w:rsidRPr="009F34D7">
        <w:rPr>
          <w:rFonts w:ascii="Times New Roman" w:hAnsi="Times New Roman"/>
        </w:rPr>
        <w:t>approval of this information collection</w:t>
      </w:r>
      <w:r w:rsidR="00573615" w:rsidRPr="009F34D7">
        <w:rPr>
          <w:rFonts w:ascii="Times New Roman" w:hAnsi="Times New Roman"/>
        </w:rPr>
        <w:t>.</w:t>
      </w:r>
    </w:p>
    <w:p w14:paraId="0E59B5BF" w14:textId="77777777" w:rsidR="00573615" w:rsidRPr="009F34D7" w:rsidRDefault="001E1B53" w:rsidP="00DE7E22">
      <w:pPr>
        <w:pStyle w:val="CM21"/>
        <w:spacing w:before="211" w:after="173" w:line="360" w:lineRule="auto"/>
        <w:ind w:right="178"/>
        <w:rPr>
          <w:rFonts w:ascii="Times New Roman" w:hAnsi="Times New Roman"/>
        </w:rPr>
      </w:pPr>
      <w:r w:rsidRPr="009F34D7">
        <w:rPr>
          <w:rFonts w:ascii="Times New Roman" w:hAnsi="Times New Roman"/>
          <w:b/>
        </w:rPr>
        <w:t>18</w:t>
      </w:r>
      <w:r w:rsidRPr="009F34D7">
        <w:rPr>
          <w:rFonts w:ascii="Times New Roman" w:hAnsi="Times New Roman"/>
        </w:rPr>
        <w:t xml:space="preserve">. </w:t>
      </w:r>
      <w:r w:rsidR="000416A1">
        <w:rPr>
          <w:rFonts w:ascii="Times New Roman" w:hAnsi="Times New Roman"/>
        </w:rPr>
        <w:tab/>
      </w:r>
      <w:r w:rsidR="00573615" w:rsidRPr="009F34D7">
        <w:rPr>
          <w:rFonts w:ascii="Times New Roman" w:hAnsi="Times New Roman"/>
        </w:rPr>
        <w:t>There are no exceptions to the Certification Statement.</w:t>
      </w:r>
    </w:p>
    <w:p w14:paraId="229E063A" w14:textId="77777777" w:rsidR="006D1BA2" w:rsidRPr="009F34D7" w:rsidRDefault="006D1BA2" w:rsidP="00DE7E22">
      <w:pPr>
        <w:pStyle w:val="Default"/>
        <w:spacing w:before="211" w:after="173"/>
        <w:rPr>
          <w:rFonts w:ascii="Times New Roman" w:hAnsi="Times New Roman" w:cs="Times New Roman"/>
          <w:b/>
          <w:szCs w:val="24"/>
          <w:u w:val="single"/>
        </w:rPr>
      </w:pPr>
      <w:r w:rsidRPr="009F34D7">
        <w:rPr>
          <w:rFonts w:ascii="Times New Roman" w:hAnsi="Times New Roman" w:cs="Times New Roman"/>
          <w:b/>
          <w:szCs w:val="24"/>
          <w:u w:val="single"/>
        </w:rPr>
        <w:t>B. Collections of Information Employing Statistical Methods:</w:t>
      </w:r>
    </w:p>
    <w:p w14:paraId="2361AE7F" w14:textId="77777777" w:rsidR="006D1BA2" w:rsidRPr="009F34D7" w:rsidRDefault="006D1BA2" w:rsidP="009F34D7">
      <w:pPr>
        <w:pStyle w:val="Default"/>
        <w:spacing w:before="211" w:after="173" w:line="360" w:lineRule="auto"/>
        <w:ind w:firstLine="720"/>
        <w:rPr>
          <w:rFonts w:ascii="Times New Roman" w:hAnsi="Times New Roman" w:cs="Times New Roman"/>
          <w:szCs w:val="24"/>
        </w:rPr>
      </w:pPr>
      <w:r w:rsidRPr="009F34D7">
        <w:rPr>
          <w:rFonts w:ascii="Times New Roman" w:hAnsi="Times New Roman" w:cs="Times New Roman"/>
          <w:szCs w:val="24"/>
        </w:rPr>
        <w:t>The Commission does not</w:t>
      </w:r>
      <w:r w:rsidR="00AA5C29" w:rsidRPr="009F34D7">
        <w:rPr>
          <w:rFonts w:ascii="Times New Roman" w:hAnsi="Times New Roman" w:cs="Times New Roman"/>
          <w:szCs w:val="24"/>
        </w:rPr>
        <w:t xml:space="preserve"> anticipate that the collection</w:t>
      </w:r>
      <w:r w:rsidRPr="009F34D7">
        <w:rPr>
          <w:rFonts w:ascii="Times New Roman" w:hAnsi="Times New Roman" w:cs="Times New Roman"/>
          <w:szCs w:val="24"/>
        </w:rPr>
        <w:t xml:space="preserve"> of information will employ statistical methods.</w:t>
      </w:r>
    </w:p>
    <w:sectPr w:rsidR="006D1BA2" w:rsidRPr="009F34D7" w:rsidSect="001E1B53">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8568F" w14:textId="77777777" w:rsidR="00997919" w:rsidRDefault="00997919" w:rsidP="00D12872">
      <w:r>
        <w:separator/>
      </w:r>
    </w:p>
  </w:endnote>
  <w:endnote w:type="continuationSeparator" w:id="0">
    <w:p w14:paraId="2A78173E" w14:textId="77777777" w:rsidR="00997919" w:rsidRDefault="00997919" w:rsidP="00D1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Bold">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562E7" w14:textId="77777777" w:rsidR="005B7FB9" w:rsidRDefault="005B7FB9">
    <w:pPr>
      <w:pStyle w:val="Footer"/>
      <w:jc w:val="center"/>
    </w:pPr>
    <w:r>
      <w:fldChar w:fldCharType="begin"/>
    </w:r>
    <w:r>
      <w:instrText xml:space="preserve"> PAGE   \* MERGEFORMAT </w:instrText>
    </w:r>
    <w:r>
      <w:fldChar w:fldCharType="separate"/>
    </w:r>
    <w:r w:rsidR="00C3657D">
      <w:rPr>
        <w:noProof/>
      </w:rPr>
      <w:t>14</w:t>
    </w:r>
    <w:r>
      <w:rPr>
        <w:noProof/>
      </w:rPr>
      <w:fldChar w:fldCharType="end"/>
    </w:r>
  </w:p>
  <w:p w14:paraId="2C102C95" w14:textId="77777777" w:rsidR="005B7FB9" w:rsidRDefault="005B7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5A78F" w14:textId="77777777" w:rsidR="00997919" w:rsidRDefault="00997919" w:rsidP="00D12872">
      <w:r>
        <w:separator/>
      </w:r>
    </w:p>
  </w:footnote>
  <w:footnote w:type="continuationSeparator" w:id="0">
    <w:p w14:paraId="26D22459" w14:textId="77777777" w:rsidR="00997919" w:rsidRDefault="00997919" w:rsidP="00D12872">
      <w:r>
        <w:continuationSeparator/>
      </w:r>
    </w:p>
  </w:footnote>
  <w:footnote w:id="1">
    <w:p w14:paraId="17FB4CFB" w14:textId="77777777" w:rsidR="005B7FB9" w:rsidRPr="003F1A30" w:rsidRDefault="005B7FB9">
      <w:pPr>
        <w:pStyle w:val="FootnoteText"/>
      </w:pPr>
      <w:r>
        <w:rPr>
          <w:rStyle w:val="FootnoteReference"/>
        </w:rPr>
        <w:footnoteRef/>
      </w:r>
      <w:r>
        <w:t xml:space="preserve"> </w:t>
      </w:r>
      <w:r w:rsidRPr="009F34D7">
        <w:rPr>
          <w:i/>
          <w:sz w:val="22"/>
          <w:szCs w:val="22"/>
        </w:rPr>
        <w:t xml:space="preserve">Numbering Policies for Modern Communications; IP-Enabled Services; Telephone Number Requirements for IP-Enabled Services Providers; Telephone Number Portability; Developing a Unified </w:t>
      </w:r>
      <w:proofErr w:type="spellStart"/>
      <w:r w:rsidRPr="009F34D7">
        <w:rPr>
          <w:i/>
          <w:sz w:val="22"/>
          <w:szCs w:val="22"/>
        </w:rPr>
        <w:t>Intercarrier</w:t>
      </w:r>
      <w:proofErr w:type="spellEnd"/>
      <w:r w:rsidRPr="009F34D7">
        <w:rPr>
          <w:i/>
          <w:sz w:val="22"/>
          <w:szCs w:val="22"/>
        </w:rPr>
        <w:t xml:space="preserve"> Compensation Regime; Connect America Fund; Numbering Resource Optimization</w:t>
      </w:r>
      <w:r w:rsidRPr="009F34D7">
        <w:rPr>
          <w:sz w:val="22"/>
          <w:szCs w:val="22"/>
        </w:rPr>
        <w:t xml:space="preserve">, WC Docket Nos. 13-97, 04-36, 07-243, 10-90, CC Docket Nos. 95-116, 01-92, 99-200, Report and Order, </w:t>
      </w:r>
      <w:r w:rsidR="00007CFA" w:rsidRPr="009F34D7">
        <w:rPr>
          <w:sz w:val="22"/>
          <w:szCs w:val="22"/>
        </w:rPr>
        <w:t>FCC 15-70</w:t>
      </w:r>
      <w:r w:rsidRPr="009F34D7">
        <w:rPr>
          <w:sz w:val="22"/>
          <w:szCs w:val="22"/>
        </w:rPr>
        <w:t xml:space="preserve"> (</w:t>
      </w:r>
      <w:r w:rsidR="00007CFA" w:rsidRPr="009F34D7">
        <w:rPr>
          <w:sz w:val="22"/>
          <w:szCs w:val="22"/>
        </w:rPr>
        <w:t>rel.</w:t>
      </w:r>
      <w:r w:rsidRPr="009F34D7">
        <w:rPr>
          <w:sz w:val="22"/>
          <w:szCs w:val="22"/>
        </w:rPr>
        <w:t xml:space="preserve"> </w:t>
      </w:r>
      <w:r w:rsidR="00007CFA" w:rsidRPr="009F34D7">
        <w:rPr>
          <w:sz w:val="22"/>
          <w:szCs w:val="22"/>
        </w:rPr>
        <w:t xml:space="preserve">June 22, </w:t>
      </w:r>
      <w:r w:rsidRPr="009F34D7">
        <w:rPr>
          <w:sz w:val="22"/>
          <w:szCs w:val="22"/>
        </w:rPr>
        <w:t>2015) (</w:t>
      </w:r>
      <w:r w:rsidRPr="009F34D7">
        <w:rPr>
          <w:i/>
          <w:sz w:val="22"/>
          <w:szCs w:val="22"/>
        </w:rPr>
        <w:t>Direct Access Report and Order</w:t>
      </w:r>
      <w:r w:rsidRPr="009F34D7">
        <w:rPr>
          <w:sz w:val="22"/>
          <w:szCs w:val="22"/>
        </w:rPr>
        <w:t>).</w:t>
      </w:r>
    </w:p>
  </w:footnote>
  <w:footnote w:id="2">
    <w:p w14:paraId="1EC50A2F" w14:textId="77777777" w:rsidR="005B7FB9" w:rsidRDefault="005B7FB9">
      <w:pPr>
        <w:pStyle w:val="FootnoteText"/>
      </w:pPr>
      <w:r>
        <w:rPr>
          <w:rStyle w:val="FootnoteReference"/>
        </w:rPr>
        <w:footnoteRef/>
      </w:r>
      <w:r>
        <w:t xml:space="preserve"> </w:t>
      </w:r>
      <w:r w:rsidRPr="00587145">
        <w:rPr>
          <w:i/>
        </w:rPr>
        <w:t>Implementation of the Local Competition Provisions of the Telecommunications Act of 1996</w:t>
      </w:r>
      <w:r>
        <w:rPr>
          <w:i/>
        </w:rPr>
        <w:t>;</w:t>
      </w:r>
      <w:r w:rsidRPr="00587145">
        <w:rPr>
          <w:i/>
        </w:rPr>
        <w:t xml:space="preserve"> Interconnection Between Local Exchange Carriers and Commercial Mobile Radio Service Providers</w:t>
      </w:r>
      <w:r>
        <w:rPr>
          <w:i/>
        </w:rPr>
        <w:t>;</w:t>
      </w:r>
      <w:r w:rsidRPr="00587145">
        <w:rPr>
          <w:i/>
        </w:rPr>
        <w:t xml:space="preserve"> Area Code Relief Plan for Dallas and Houston, Ordered by the Public Utility Commission of Texas</w:t>
      </w:r>
      <w:r>
        <w:rPr>
          <w:i/>
        </w:rPr>
        <w:t>;</w:t>
      </w:r>
      <w:r w:rsidRPr="00587145">
        <w:rPr>
          <w:i/>
        </w:rPr>
        <w:t xml:space="preserve"> Administration of the North American Numbering Plan</w:t>
      </w:r>
      <w:r>
        <w:rPr>
          <w:i/>
        </w:rPr>
        <w:t>;</w:t>
      </w:r>
      <w:r w:rsidRPr="00587145">
        <w:rPr>
          <w:i/>
        </w:rPr>
        <w:t xml:space="preserve"> Proposed 708 Relief Plan and 630 Numbering Plan Area Code by Ameritech-Illinois</w:t>
      </w:r>
      <w:r w:rsidRPr="00587145">
        <w:t>, CC Docket No</w:t>
      </w:r>
      <w:r>
        <w:t>s</w:t>
      </w:r>
      <w:r w:rsidRPr="00587145">
        <w:t>. 96-98, 95-185,</w:t>
      </w:r>
      <w:r>
        <w:t xml:space="preserve"> 92-185,</w:t>
      </w:r>
      <w:r w:rsidRPr="00587145">
        <w:t xml:space="preserve"> NSD File No. 96-8, IAD File No. 94-102, Second Report and Order and Memorandum Opinion and Order, 11 FCC </w:t>
      </w:r>
      <w:proofErr w:type="spellStart"/>
      <w:r w:rsidRPr="00587145">
        <w:t>Rcd</w:t>
      </w:r>
      <w:proofErr w:type="spellEnd"/>
      <w:r w:rsidRPr="00587145">
        <w:t xml:space="preserve"> 19392, 19512, para. 271 (1996) (explaining that by retaining exclusive jurisdiction over numbering policy the Commission preserves its ability to act flexibly and expeditiously).</w:t>
      </w:r>
    </w:p>
  </w:footnote>
  <w:footnote w:id="3">
    <w:p w14:paraId="08246E1E" w14:textId="77777777" w:rsidR="005B7FB9" w:rsidRDefault="005B7FB9">
      <w:pPr>
        <w:pStyle w:val="FootnoteText"/>
      </w:pPr>
      <w:r>
        <w:rPr>
          <w:rStyle w:val="FootnoteReference"/>
        </w:rPr>
        <w:footnoteRef/>
      </w:r>
      <w:r>
        <w:t xml:space="preserve"> </w:t>
      </w:r>
      <w:r>
        <w:rPr>
          <w:i/>
          <w:iCs/>
        </w:rPr>
        <w:t>IP-Enabled Services; E911 Requirements for IP-Enabled Service Providers</w:t>
      </w:r>
      <w:r>
        <w:t xml:space="preserve">, WC Docket Nos. 04-36, 05-196, First Report and Order and Notice of Proposed Rulemaking, 20 FCC </w:t>
      </w:r>
      <w:proofErr w:type="spellStart"/>
      <w:r>
        <w:t>Rcd</w:t>
      </w:r>
      <w:proofErr w:type="spellEnd"/>
      <w:r>
        <w:t xml:space="preserve"> 10245, 10265, para. 33 (2005) (</w:t>
      </w:r>
      <w:r>
        <w:rPr>
          <w:i/>
          <w:iCs/>
        </w:rPr>
        <w:t>VoIP 911 Order</w:t>
      </w:r>
      <w:r>
        <w:t xml:space="preserve">) </w:t>
      </w:r>
      <w:r w:rsidRPr="00587145">
        <w:t>(relying on the Commission’s plenary authority over U.S. NANP numbers, particularly Congress’ direction to use that authority regarding 911, to impose 911 obligations on interconnected VoIP providers, given interconnected VoIP providers’ use of NANP numbers to provide service)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F542A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F7E00"/>
    <w:multiLevelType w:val="hybridMultilevel"/>
    <w:tmpl w:val="8676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B2AAF"/>
    <w:multiLevelType w:val="hybridMultilevel"/>
    <w:tmpl w:val="DF9CF0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A23ECB"/>
    <w:multiLevelType w:val="hybridMultilevel"/>
    <w:tmpl w:val="DF9CF0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425DAB"/>
    <w:multiLevelType w:val="hybridMultilevel"/>
    <w:tmpl w:val="4AD8C6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F4A08AF"/>
    <w:multiLevelType w:val="hybridMultilevel"/>
    <w:tmpl w:val="85D4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A16CC"/>
    <w:multiLevelType w:val="hybridMultilevel"/>
    <w:tmpl w:val="99ACF9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8" w15:restartNumberingAfterBreak="0">
    <w:nsid w:val="627A20B4"/>
    <w:multiLevelType w:val="hybridMultilevel"/>
    <w:tmpl w:val="6BFAEAC8"/>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990BB4"/>
    <w:multiLevelType w:val="hybridMultilevel"/>
    <w:tmpl w:val="DF9CF0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3B65264"/>
    <w:multiLevelType w:val="multilevel"/>
    <w:tmpl w:val="84286B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1"/>
  </w:num>
  <w:num w:numId="3">
    <w:abstractNumId w:val="0"/>
  </w:num>
  <w:num w:numId="4">
    <w:abstractNumId w:val="3"/>
  </w:num>
  <w:num w:numId="5">
    <w:abstractNumId w:val="2"/>
  </w:num>
  <w:num w:numId="6">
    <w:abstractNumId w:val="8"/>
  </w:num>
  <w:num w:numId="7">
    <w:abstractNumId w:val="7"/>
  </w:num>
  <w:num w:numId="8">
    <w:abstractNumId w:val="9"/>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53"/>
    <w:rsid w:val="00007CFA"/>
    <w:rsid w:val="000101C4"/>
    <w:rsid w:val="00014485"/>
    <w:rsid w:val="000148F5"/>
    <w:rsid w:val="00015025"/>
    <w:rsid w:val="000162C5"/>
    <w:rsid w:val="00022103"/>
    <w:rsid w:val="000237F8"/>
    <w:rsid w:val="0002407E"/>
    <w:rsid w:val="00024516"/>
    <w:rsid w:val="00025B00"/>
    <w:rsid w:val="00025BC6"/>
    <w:rsid w:val="00032250"/>
    <w:rsid w:val="00036557"/>
    <w:rsid w:val="0003799A"/>
    <w:rsid w:val="000416A1"/>
    <w:rsid w:val="00051EF1"/>
    <w:rsid w:val="0006282A"/>
    <w:rsid w:val="00074DC1"/>
    <w:rsid w:val="00083C73"/>
    <w:rsid w:val="00084A27"/>
    <w:rsid w:val="000949D2"/>
    <w:rsid w:val="00094AF2"/>
    <w:rsid w:val="000A2034"/>
    <w:rsid w:val="000A21BF"/>
    <w:rsid w:val="000A2267"/>
    <w:rsid w:val="000A33A6"/>
    <w:rsid w:val="000A74D9"/>
    <w:rsid w:val="000B07CA"/>
    <w:rsid w:val="000B519A"/>
    <w:rsid w:val="000B6690"/>
    <w:rsid w:val="000C122E"/>
    <w:rsid w:val="000C5BDE"/>
    <w:rsid w:val="000D50F7"/>
    <w:rsid w:val="000D5A2D"/>
    <w:rsid w:val="000D7AE2"/>
    <w:rsid w:val="000E0D96"/>
    <w:rsid w:val="000E5148"/>
    <w:rsid w:val="000E53CF"/>
    <w:rsid w:val="000F50AB"/>
    <w:rsid w:val="001040AC"/>
    <w:rsid w:val="00123D52"/>
    <w:rsid w:val="001830CD"/>
    <w:rsid w:val="00186149"/>
    <w:rsid w:val="001A78A1"/>
    <w:rsid w:val="001C35E1"/>
    <w:rsid w:val="001C586E"/>
    <w:rsid w:val="001C66B7"/>
    <w:rsid w:val="001D10F3"/>
    <w:rsid w:val="001D3D47"/>
    <w:rsid w:val="001D4694"/>
    <w:rsid w:val="001D73B6"/>
    <w:rsid w:val="001E0387"/>
    <w:rsid w:val="001E1B53"/>
    <w:rsid w:val="001E4B9B"/>
    <w:rsid w:val="001E7F7C"/>
    <w:rsid w:val="001F7C38"/>
    <w:rsid w:val="0020443A"/>
    <w:rsid w:val="002044AF"/>
    <w:rsid w:val="00207A7E"/>
    <w:rsid w:val="00207F59"/>
    <w:rsid w:val="00210C6A"/>
    <w:rsid w:val="0021414F"/>
    <w:rsid w:val="00214514"/>
    <w:rsid w:val="002244E5"/>
    <w:rsid w:val="002257BE"/>
    <w:rsid w:val="00236049"/>
    <w:rsid w:val="002363CF"/>
    <w:rsid w:val="00247721"/>
    <w:rsid w:val="00260F4C"/>
    <w:rsid w:val="00285AA4"/>
    <w:rsid w:val="00285DBB"/>
    <w:rsid w:val="00286ACB"/>
    <w:rsid w:val="00290A55"/>
    <w:rsid w:val="0029334B"/>
    <w:rsid w:val="002A21BB"/>
    <w:rsid w:val="002B15F0"/>
    <w:rsid w:val="002C1E87"/>
    <w:rsid w:val="002D4189"/>
    <w:rsid w:val="002E1B10"/>
    <w:rsid w:val="002E2F30"/>
    <w:rsid w:val="002E5BA1"/>
    <w:rsid w:val="002E6593"/>
    <w:rsid w:val="002F71C5"/>
    <w:rsid w:val="003015C9"/>
    <w:rsid w:val="00304D0E"/>
    <w:rsid w:val="00306FA2"/>
    <w:rsid w:val="00310784"/>
    <w:rsid w:val="00311335"/>
    <w:rsid w:val="003113EA"/>
    <w:rsid w:val="00312217"/>
    <w:rsid w:val="00315DDD"/>
    <w:rsid w:val="00317B28"/>
    <w:rsid w:val="00330310"/>
    <w:rsid w:val="0033214A"/>
    <w:rsid w:val="00335E13"/>
    <w:rsid w:val="00347948"/>
    <w:rsid w:val="0036530B"/>
    <w:rsid w:val="00373F8F"/>
    <w:rsid w:val="003811CE"/>
    <w:rsid w:val="0038615F"/>
    <w:rsid w:val="003C6554"/>
    <w:rsid w:val="003E1D1C"/>
    <w:rsid w:val="003E725C"/>
    <w:rsid w:val="003F0340"/>
    <w:rsid w:val="003F19E7"/>
    <w:rsid w:val="003F1A30"/>
    <w:rsid w:val="003F6822"/>
    <w:rsid w:val="003F7D47"/>
    <w:rsid w:val="004018D2"/>
    <w:rsid w:val="00404793"/>
    <w:rsid w:val="00404F39"/>
    <w:rsid w:val="00410EB8"/>
    <w:rsid w:val="004403C6"/>
    <w:rsid w:val="004463C8"/>
    <w:rsid w:val="0044740E"/>
    <w:rsid w:val="004601F6"/>
    <w:rsid w:val="004625C0"/>
    <w:rsid w:val="004638D2"/>
    <w:rsid w:val="00464754"/>
    <w:rsid w:val="004825E9"/>
    <w:rsid w:val="00493C2D"/>
    <w:rsid w:val="004A0FD5"/>
    <w:rsid w:val="004A3884"/>
    <w:rsid w:val="004A5CFC"/>
    <w:rsid w:val="004B31B1"/>
    <w:rsid w:val="004B3A9C"/>
    <w:rsid w:val="004B7A36"/>
    <w:rsid w:val="004C5062"/>
    <w:rsid w:val="004D2FD1"/>
    <w:rsid w:val="004D34DC"/>
    <w:rsid w:val="004D3558"/>
    <w:rsid w:val="004D4F0C"/>
    <w:rsid w:val="004E4B48"/>
    <w:rsid w:val="004E6FA6"/>
    <w:rsid w:val="00500707"/>
    <w:rsid w:val="005009C8"/>
    <w:rsid w:val="00502560"/>
    <w:rsid w:val="005100D6"/>
    <w:rsid w:val="005108CB"/>
    <w:rsid w:val="005121CF"/>
    <w:rsid w:val="00517ACA"/>
    <w:rsid w:val="00521614"/>
    <w:rsid w:val="0052362A"/>
    <w:rsid w:val="00524A6D"/>
    <w:rsid w:val="005250D2"/>
    <w:rsid w:val="00550743"/>
    <w:rsid w:val="00566097"/>
    <w:rsid w:val="00573615"/>
    <w:rsid w:val="00581E92"/>
    <w:rsid w:val="00583A01"/>
    <w:rsid w:val="00585FE8"/>
    <w:rsid w:val="00586690"/>
    <w:rsid w:val="00586A69"/>
    <w:rsid w:val="00593DE1"/>
    <w:rsid w:val="00596FC0"/>
    <w:rsid w:val="005A15D5"/>
    <w:rsid w:val="005A2FAD"/>
    <w:rsid w:val="005A4E54"/>
    <w:rsid w:val="005A540A"/>
    <w:rsid w:val="005A6F90"/>
    <w:rsid w:val="005B02B4"/>
    <w:rsid w:val="005B2F2A"/>
    <w:rsid w:val="005B5BB9"/>
    <w:rsid w:val="005B7FB9"/>
    <w:rsid w:val="005D6285"/>
    <w:rsid w:val="005D7F27"/>
    <w:rsid w:val="005F01E0"/>
    <w:rsid w:val="005F0E3B"/>
    <w:rsid w:val="005F43EB"/>
    <w:rsid w:val="005F7117"/>
    <w:rsid w:val="00606295"/>
    <w:rsid w:val="00606405"/>
    <w:rsid w:val="006128EB"/>
    <w:rsid w:val="00620F9C"/>
    <w:rsid w:val="0062308A"/>
    <w:rsid w:val="00623872"/>
    <w:rsid w:val="00625351"/>
    <w:rsid w:val="00630CC5"/>
    <w:rsid w:val="006333AB"/>
    <w:rsid w:val="006401A6"/>
    <w:rsid w:val="00640BC6"/>
    <w:rsid w:val="0065157B"/>
    <w:rsid w:val="00665D3F"/>
    <w:rsid w:val="00671CD4"/>
    <w:rsid w:val="0068181A"/>
    <w:rsid w:val="006840A8"/>
    <w:rsid w:val="00686BDC"/>
    <w:rsid w:val="0069139B"/>
    <w:rsid w:val="00694621"/>
    <w:rsid w:val="00696A01"/>
    <w:rsid w:val="006B4AC9"/>
    <w:rsid w:val="006D1BA2"/>
    <w:rsid w:val="006F7B20"/>
    <w:rsid w:val="00706330"/>
    <w:rsid w:val="007309F5"/>
    <w:rsid w:val="00743B4E"/>
    <w:rsid w:val="00757C12"/>
    <w:rsid w:val="0077292F"/>
    <w:rsid w:val="00774CBF"/>
    <w:rsid w:val="007963DE"/>
    <w:rsid w:val="00797474"/>
    <w:rsid w:val="007A5D26"/>
    <w:rsid w:val="007B5DB1"/>
    <w:rsid w:val="007C0269"/>
    <w:rsid w:val="007C0638"/>
    <w:rsid w:val="007C107E"/>
    <w:rsid w:val="007C6C8C"/>
    <w:rsid w:val="007D562C"/>
    <w:rsid w:val="007D5DB4"/>
    <w:rsid w:val="007E1DD3"/>
    <w:rsid w:val="007E460E"/>
    <w:rsid w:val="007E73D2"/>
    <w:rsid w:val="007F17B8"/>
    <w:rsid w:val="00801053"/>
    <w:rsid w:val="00804029"/>
    <w:rsid w:val="0081493C"/>
    <w:rsid w:val="00817F82"/>
    <w:rsid w:val="0082119E"/>
    <w:rsid w:val="00821D43"/>
    <w:rsid w:val="008232C1"/>
    <w:rsid w:val="00824148"/>
    <w:rsid w:val="008327F4"/>
    <w:rsid w:val="0083368E"/>
    <w:rsid w:val="00845237"/>
    <w:rsid w:val="008476FB"/>
    <w:rsid w:val="0085530F"/>
    <w:rsid w:val="00856B6A"/>
    <w:rsid w:val="0085775C"/>
    <w:rsid w:val="00865E02"/>
    <w:rsid w:val="0087767B"/>
    <w:rsid w:val="00881E00"/>
    <w:rsid w:val="008A2B79"/>
    <w:rsid w:val="008E41A8"/>
    <w:rsid w:val="008F14DF"/>
    <w:rsid w:val="008F21EC"/>
    <w:rsid w:val="008F5329"/>
    <w:rsid w:val="0090254A"/>
    <w:rsid w:val="00903868"/>
    <w:rsid w:val="0092143D"/>
    <w:rsid w:val="00923676"/>
    <w:rsid w:val="00927965"/>
    <w:rsid w:val="00936AB0"/>
    <w:rsid w:val="0094208B"/>
    <w:rsid w:val="00942A00"/>
    <w:rsid w:val="00945259"/>
    <w:rsid w:val="009452DE"/>
    <w:rsid w:val="0096006A"/>
    <w:rsid w:val="00972F1F"/>
    <w:rsid w:val="0098035B"/>
    <w:rsid w:val="0098591E"/>
    <w:rsid w:val="00997919"/>
    <w:rsid w:val="009A036C"/>
    <w:rsid w:val="009A1911"/>
    <w:rsid w:val="009A2703"/>
    <w:rsid w:val="009B4794"/>
    <w:rsid w:val="009C328C"/>
    <w:rsid w:val="009D1482"/>
    <w:rsid w:val="009D4C36"/>
    <w:rsid w:val="009D6400"/>
    <w:rsid w:val="009D7A4C"/>
    <w:rsid w:val="009F0EBC"/>
    <w:rsid w:val="009F2E03"/>
    <w:rsid w:val="009F34D7"/>
    <w:rsid w:val="009F62A8"/>
    <w:rsid w:val="00A002E7"/>
    <w:rsid w:val="00A00C29"/>
    <w:rsid w:val="00A01C1D"/>
    <w:rsid w:val="00A021CA"/>
    <w:rsid w:val="00A03A79"/>
    <w:rsid w:val="00A06D26"/>
    <w:rsid w:val="00A1504F"/>
    <w:rsid w:val="00A46A07"/>
    <w:rsid w:val="00A52E52"/>
    <w:rsid w:val="00A53C46"/>
    <w:rsid w:val="00A556BE"/>
    <w:rsid w:val="00A617C0"/>
    <w:rsid w:val="00A61BDC"/>
    <w:rsid w:val="00A64641"/>
    <w:rsid w:val="00A730FE"/>
    <w:rsid w:val="00A77FE0"/>
    <w:rsid w:val="00A94091"/>
    <w:rsid w:val="00A974C6"/>
    <w:rsid w:val="00AA3031"/>
    <w:rsid w:val="00AA5BCD"/>
    <w:rsid w:val="00AA5C29"/>
    <w:rsid w:val="00AB2645"/>
    <w:rsid w:val="00AB4C8E"/>
    <w:rsid w:val="00AB4E8B"/>
    <w:rsid w:val="00AC098D"/>
    <w:rsid w:val="00AC4F7E"/>
    <w:rsid w:val="00AC6C3A"/>
    <w:rsid w:val="00AC76E0"/>
    <w:rsid w:val="00AD4B35"/>
    <w:rsid w:val="00AD7E3C"/>
    <w:rsid w:val="00AE235A"/>
    <w:rsid w:val="00AE3303"/>
    <w:rsid w:val="00AE7D00"/>
    <w:rsid w:val="00AF326C"/>
    <w:rsid w:val="00AF5344"/>
    <w:rsid w:val="00AF6DB2"/>
    <w:rsid w:val="00B02498"/>
    <w:rsid w:val="00B037E1"/>
    <w:rsid w:val="00B077BF"/>
    <w:rsid w:val="00B14917"/>
    <w:rsid w:val="00B25E12"/>
    <w:rsid w:val="00B34FFB"/>
    <w:rsid w:val="00B3720C"/>
    <w:rsid w:val="00B458D2"/>
    <w:rsid w:val="00B5615D"/>
    <w:rsid w:val="00B569C2"/>
    <w:rsid w:val="00B61D3A"/>
    <w:rsid w:val="00B6270C"/>
    <w:rsid w:val="00B62CC2"/>
    <w:rsid w:val="00B6749E"/>
    <w:rsid w:val="00B93DA8"/>
    <w:rsid w:val="00BB0A76"/>
    <w:rsid w:val="00BB31EE"/>
    <w:rsid w:val="00BB3D68"/>
    <w:rsid w:val="00BB642E"/>
    <w:rsid w:val="00BC3E7F"/>
    <w:rsid w:val="00BC70C6"/>
    <w:rsid w:val="00BD3BC0"/>
    <w:rsid w:val="00BD3C6B"/>
    <w:rsid w:val="00BE4205"/>
    <w:rsid w:val="00BE6B74"/>
    <w:rsid w:val="00C02FCE"/>
    <w:rsid w:val="00C05473"/>
    <w:rsid w:val="00C05EC9"/>
    <w:rsid w:val="00C14FF1"/>
    <w:rsid w:val="00C256AC"/>
    <w:rsid w:val="00C306F7"/>
    <w:rsid w:val="00C340CB"/>
    <w:rsid w:val="00C3657D"/>
    <w:rsid w:val="00C40175"/>
    <w:rsid w:val="00C402D6"/>
    <w:rsid w:val="00C40DFB"/>
    <w:rsid w:val="00C53C4D"/>
    <w:rsid w:val="00C5428F"/>
    <w:rsid w:val="00C55B20"/>
    <w:rsid w:val="00C56A54"/>
    <w:rsid w:val="00C61E9C"/>
    <w:rsid w:val="00C66E94"/>
    <w:rsid w:val="00C674FD"/>
    <w:rsid w:val="00C711A0"/>
    <w:rsid w:val="00C74F33"/>
    <w:rsid w:val="00C77197"/>
    <w:rsid w:val="00C877F2"/>
    <w:rsid w:val="00C90BE1"/>
    <w:rsid w:val="00C916FF"/>
    <w:rsid w:val="00C95F4F"/>
    <w:rsid w:val="00C967E0"/>
    <w:rsid w:val="00C96B61"/>
    <w:rsid w:val="00CA4018"/>
    <w:rsid w:val="00CA7A0F"/>
    <w:rsid w:val="00CB451D"/>
    <w:rsid w:val="00CC4AE2"/>
    <w:rsid w:val="00CD7078"/>
    <w:rsid w:val="00CE2D2F"/>
    <w:rsid w:val="00CE7B91"/>
    <w:rsid w:val="00CF1363"/>
    <w:rsid w:val="00CF2E54"/>
    <w:rsid w:val="00D05883"/>
    <w:rsid w:val="00D075B2"/>
    <w:rsid w:val="00D11E15"/>
    <w:rsid w:val="00D12872"/>
    <w:rsid w:val="00D13224"/>
    <w:rsid w:val="00D15666"/>
    <w:rsid w:val="00D20708"/>
    <w:rsid w:val="00D20C28"/>
    <w:rsid w:val="00D25D02"/>
    <w:rsid w:val="00D4265F"/>
    <w:rsid w:val="00D466FF"/>
    <w:rsid w:val="00D4774C"/>
    <w:rsid w:val="00D53F86"/>
    <w:rsid w:val="00D56262"/>
    <w:rsid w:val="00D62FB8"/>
    <w:rsid w:val="00D819CE"/>
    <w:rsid w:val="00D842EA"/>
    <w:rsid w:val="00D85078"/>
    <w:rsid w:val="00D96411"/>
    <w:rsid w:val="00DA43E7"/>
    <w:rsid w:val="00DA53E6"/>
    <w:rsid w:val="00DB0234"/>
    <w:rsid w:val="00DB2990"/>
    <w:rsid w:val="00DB3349"/>
    <w:rsid w:val="00DB3B77"/>
    <w:rsid w:val="00DB64A4"/>
    <w:rsid w:val="00DC7D5E"/>
    <w:rsid w:val="00DE1E6E"/>
    <w:rsid w:val="00DE7E22"/>
    <w:rsid w:val="00DF6FCC"/>
    <w:rsid w:val="00E07341"/>
    <w:rsid w:val="00E21E1C"/>
    <w:rsid w:val="00E21F7B"/>
    <w:rsid w:val="00E255E9"/>
    <w:rsid w:val="00E27EA4"/>
    <w:rsid w:val="00E34125"/>
    <w:rsid w:val="00E35C14"/>
    <w:rsid w:val="00E36501"/>
    <w:rsid w:val="00E46474"/>
    <w:rsid w:val="00E46DBF"/>
    <w:rsid w:val="00E66E05"/>
    <w:rsid w:val="00E74E1D"/>
    <w:rsid w:val="00E859A7"/>
    <w:rsid w:val="00E85ABB"/>
    <w:rsid w:val="00E915A7"/>
    <w:rsid w:val="00E97493"/>
    <w:rsid w:val="00E97B74"/>
    <w:rsid w:val="00EC304D"/>
    <w:rsid w:val="00EC319C"/>
    <w:rsid w:val="00EC3572"/>
    <w:rsid w:val="00EC38CC"/>
    <w:rsid w:val="00EC7B9F"/>
    <w:rsid w:val="00ED04E7"/>
    <w:rsid w:val="00ED65EA"/>
    <w:rsid w:val="00EE4692"/>
    <w:rsid w:val="00EE79C9"/>
    <w:rsid w:val="00EF6637"/>
    <w:rsid w:val="00EF71F0"/>
    <w:rsid w:val="00F04541"/>
    <w:rsid w:val="00F07FB5"/>
    <w:rsid w:val="00F14CA6"/>
    <w:rsid w:val="00F16114"/>
    <w:rsid w:val="00F17545"/>
    <w:rsid w:val="00F2518A"/>
    <w:rsid w:val="00F34B27"/>
    <w:rsid w:val="00F35C2A"/>
    <w:rsid w:val="00F416CA"/>
    <w:rsid w:val="00F42EA8"/>
    <w:rsid w:val="00F56000"/>
    <w:rsid w:val="00F60CFE"/>
    <w:rsid w:val="00F66729"/>
    <w:rsid w:val="00F7698C"/>
    <w:rsid w:val="00F84F08"/>
    <w:rsid w:val="00F85156"/>
    <w:rsid w:val="00FA6105"/>
    <w:rsid w:val="00FA7C3C"/>
    <w:rsid w:val="00FB0382"/>
    <w:rsid w:val="00FB4B77"/>
    <w:rsid w:val="00FB555C"/>
    <w:rsid w:val="00FB7404"/>
    <w:rsid w:val="00FD1D93"/>
    <w:rsid w:val="00FE112A"/>
    <w:rsid w:val="00FE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4F821"/>
  <w15:chartTrackingRefBased/>
  <w15:docId w15:val="{08506569-21B8-4A02-A16E-FFA816FB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rialNarrow,Bold"/>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1B53"/>
    <w:pPr>
      <w:autoSpaceDE w:val="0"/>
      <w:autoSpaceDN w:val="0"/>
      <w:adjustRightInd w:val="0"/>
    </w:pPr>
    <w:rPr>
      <w:rFonts w:ascii="ArialNarrow,Bold" w:hAnsi="ArialNarrow,Bold"/>
      <w:sz w:val="24"/>
    </w:rPr>
  </w:style>
  <w:style w:type="paragraph" w:customStyle="1" w:styleId="CM1">
    <w:name w:val="CM1"/>
    <w:basedOn w:val="Default"/>
    <w:next w:val="Default"/>
    <w:rsid w:val="001E1B53"/>
    <w:rPr>
      <w:rFonts w:cs="Times New Roman"/>
      <w:szCs w:val="24"/>
    </w:rPr>
  </w:style>
  <w:style w:type="paragraph" w:customStyle="1" w:styleId="CM2">
    <w:name w:val="CM2"/>
    <w:basedOn w:val="Default"/>
    <w:next w:val="Default"/>
    <w:rsid w:val="001E1B53"/>
    <w:pPr>
      <w:spacing w:line="211" w:lineRule="auto"/>
    </w:pPr>
    <w:rPr>
      <w:rFonts w:cs="Times New Roman"/>
      <w:szCs w:val="24"/>
    </w:rPr>
  </w:style>
  <w:style w:type="paragraph" w:customStyle="1" w:styleId="CM8">
    <w:name w:val="CM8"/>
    <w:basedOn w:val="Default"/>
    <w:next w:val="Default"/>
    <w:rsid w:val="001E1B53"/>
    <w:pPr>
      <w:spacing w:line="211" w:lineRule="auto"/>
    </w:pPr>
    <w:rPr>
      <w:rFonts w:cs="Times New Roman"/>
      <w:szCs w:val="24"/>
    </w:rPr>
  </w:style>
  <w:style w:type="paragraph" w:customStyle="1" w:styleId="CM9">
    <w:name w:val="CM9"/>
    <w:basedOn w:val="Default"/>
    <w:next w:val="Default"/>
    <w:rsid w:val="001E1B53"/>
    <w:pPr>
      <w:spacing w:line="211" w:lineRule="auto"/>
    </w:pPr>
    <w:rPr>
      <w:rFonts w:cs="Times New Roman"/>
      <w:szCs w:val="24"/>
    </w:rPr>
  </w:style>
  <w:style w:type="paragraph" w:customStyle="1" w:styleId="CM5">
    <w:name w:val="CM5"/>
    <w:basedOn w:val="Default"/>
    <w:next w:val="Default"/>
    <w:rsid w:val="001E1B53"/>
    <w:pPr>
      <w:spacing w:line="216" w:lineRule="auto"/>
    </w:pPr>
    <w:rPr>
      <w:rFonts w:cs="Times New Roman"/>
      <w:szCs w:val="24"/>
    </w:rPr>
  </w:style>
  <w:style w:type="paragraph" w:customStyle="1" w:styleId="CM12">
    <w:name w:val="CM12"/>
    <w:basedOn w:val="Default"/>
    <w:next w:val="Default"/>
    <w:rsid w:val="001E1B53"/>
    <w:pPr>
      <w:spacing w:line="211" w:lineRule="auto"/>
    </w:pPr>
    <w:rPr>
      <w:rFonts w:cs="Times New Roman"/>
      <w:szCs w:val="24"/>
    </w:rPr>
  </w:style>
  <w:style w:type="paragraph" w:customStyle="1" w:styleId="CM13">
    <w:name w:val="CM13"/>
    <w:basedOn w:val="Default"/>
    <w:next w:val="Default"/>
    <w:rsid w:val="001E1B53"/>
    <w:pPr>
      <w:spacing w:line="211" w:lineRule="auto"/>
    </w:pPr>
    <w:rPr>
      <w:rFonts w:cs="Times New Roman"/>
      <w:szCs w:val="24"/>
    </w:rPr>
  </w:style>
  <w:style w:type="paragraph" w:customStyle="1" w:styleId="CM14">
    <w:name w:val="CM14"/>
    <w:basedOn w:val="Default"/>
    <w:next w:val="Default"/>
    <w:rsid w:val="001E1B53"/>
    <w:pPr>
      <w:spacing w:line="260" w:lineRule="auto"/>
    </w:pPr>
    <w:rPr>
      <w:rFonts w:cs="Times New Roman"/>
      <w:szCs w:val="24"/>
    </w:rPr>
  </w:style>
  <w:style w:type="paragraph" w:customStyle="1" w:styleId="CM15">
    <w:name w:val="CM15"/>
    <w:basedOn w:val="Default"/>
    <w:next w:val="Default"/>
    <w:rsid w:val="001E1B53"/>
    <w:pPr>
      <w:spacing w:line="260" w:lineRule="auto"/>
    </w:pPr>
    <w:rPr>
      <w:rFonts w:cs="Times New Roman"/>
      <w:szCs w:val="24"/>
    </w:rPr>
  </w:style>
  <w:style w:type="paragraph" w:customStyle="1" w:styleId="CM16">
    <w:name w:val="CM16"/>
    <w:basedOn w:val="Default"/>
    <w:next w:val="Default"/>
    <w:rsid w:val="001E1B53"/>
    <w:pPr>
      <w:spacing w:line="260" w:lineRule="auto"/>
    </w:pPr>
    <w:rPr>
      <w:rFonts w:cs="Times New Roman"/>
      <w:szCs w:val="24"/>
    </w:rPr>
  </w:style>
  <w:style w:type="paragraph" w:customStyle="1" w:styleId="CM17">
    <w:name w:val="CM17"/>
    <w:basedOn w:val="Default"/>
    <w:next w:val="Default"/>
    <w:rsid w:val="001E1B53"/>
    <w:pPr>
      <w:spacing w:line="260" w:lineRule="auto"/>
    </w:pPr>
    <w:rPr>
      <w:rFonts w:cs="Times New Roman"/>
      <w:szCs w:val="24"/>
    </w:rPr>
  </w:style>
  <w:style w:type="paragraph" w:customStyle="1" w:styleId="CM18">
    <w:name w:val="CM18"/>
    <w:basedOn w:val="Default"/>
    <w:next w:val="Default"/>
    <w:rsid w:val="001E1B53"/>
    <w:pPr>
      <w:spacing w:line="260" w:lineRule="auto"/>
    </w:pPr>
    <w:rPr>
      <w:rFonts w:cs="Times New Roman"/>
      <w:szCs w:val="24"/>
    </w:rPr>
  </w:style>
  <w:style w:type="paragraph" w:customStyle="1" w:styleId="CM21">
    <w:name w:val="CM21"/>
    <w:basedOn w:val="Default"/>
    <w:next w:val="Default"/>
    <w:rsid w:val="001E1B53"/>
    <w:pPr>
      <w:spacing w:line="211" w:lineRule="auto"/>
    </w:pPr>
    <w:rPr>
      <w:rFonts w:cs="Times New Roman"/>
      <w:szCs w:val="24"/>
    </w:rPr>
  </w:style>
  <w:style w:type="paragraph" w:styleId="BalloonText">
    <w:name w:val="Balloon Text"/>
    <w:basedOn w:val="Normal"/>
    <w:link w:val="BalloonTextChar"/>
    <w:rsid w:val="00F34B27"/>
    <w:rPr>
      <w:rFonts w:ascii="Tahoma" w:hAnsi="Tahoma" w:cs="Times New Roman"/>
      <w:sz w:val="16"/>
      <w:szCs w:val="16"/>
      <w:lang w:val="x-none" w:eastAsia="x-none"/>
    </w:rPr>
  </w:style>
  <w:style w:type="character" w:customStyle="1" w:styleId="BalloonTextChar">
    <w:name w:val="Balloon Text Char"/>
    <w:link w:val="BalloonText"/>
    <w:rsid w:val="00F34B27"/>
    <w:rPr>
      <w:rFonts w:ascii="Tahoma" w:hAnsi="Tahoma" w:cs="Tahoma"/>
      <w:sz w:val="16"/>
      <w:szCs w:val="16"/>
    </w:rPr>
  </w:style>
  <w:style w:type="paragraph" w:customStyle="1" w:styleId="MediumGrid1-Accent21">
    <w:name w:val="Medium Grid 1 - Accent 21"/>
    <w:basedOn w:val="Normal"/>
    <w:uiPriority w:val="34"/>
    <w:qFormat/>
    <w:rsid w:val="00F34B27"/>
    <w:pPr>
      <w:ind w:left="720"/>
      <w:contextualSpacing/>
    </w:pPr>
    <w:rPr>
      <w:rFonts w:cs="Times New Roman"/>
      <w:sz w:val="22"/>
      <w:szCs w:val="24"/>
    </w:rPr>
  </w:style>
  <w:style w:type="paragraph" w:customStyle="1" w:styleId="ParaNum">
    <w:name w:val="ParaNum"/>
    <w:basedOn w:val="Normal"/>
    <w:link w:val="ParaNumChar"/>
    <w:rsid w:val="00D12872"/>
    <w:pPr>
      <w:widowControl w:val="0"/>
      <w:numPr>
        <w:numId w:val="7"/>
      </w:numPr>
      <w:tabs>
        <w:tab w:val="clear" w:pos="1080"/>
        <w:tab w:val="num" w:pos="1440"/>
      </w:tabs>
      <w:spacing w:after="120"/>
    </w:pPr>
    <w:rPr>
      <w:rFonts w:cs="Times New Roman"/>
      <w:snapToGrid w:val="0"/>
      <w:kern w:val="28"/>
      <w:sz w:val="22"/>
      <w:lang w:val="x-none" w:eastAsia="x-none"/>
    </w:rPr>
  </w:style>
  <w:style w:type="paragraph" w:styleId="FootnoteText">
    <w:name w:val="footnote text"/>
    <w:aliases w:val="Footnote Text Char1,Footnote Text Char Char,Footnote Text Char2 Char Char,Footnote Text Char3 Char1 Char Char,Footnote Text Char2 Char1 Char1 Char Char,Footnote Text Char3 Char1 Char Char Char Char,Footnote Text Char2,fn,f,fn Char2 Char"/>
    <w:link w:val="FootnoteTextChar"/>
    <w:uiPriority w:val="99"/>
    <w:rsid w:val="00D12872"/>
    <w:pPr>
      <w:spacing w:after="120"/>
    </w:pPr>
    <w:rPr>
      <w:rFonts w:cs="Times New Roman"/>
    </w:rPr>
  </w:style>
  <w:style w:type="character" w:customStyle="1" w:styleId="FootnoteTextChar">
    <w:name w:val="Footnote Text Char"/>
    <w:aliases w:val="Footnote Text Char1 Char,Footnote Text Char Char Char,Footnote Text Char2 Char Char Char,Footnote Text Char3 Char1 Char Char Char,Footnote Text Char2 Char1 Char1 Char Char Char,Footnote Text Char3 Char1 Char Char Char Char Char,f Char"/>
    <w:link w:val="FootnoteText"/>
    <w:uiPriority w:val="99"/>
    <w:rsid w:val="00D12872"/>
    <w:rPr>
      <w:rFonts w:cs="Times New Roman"/>
      <w:lang w:val="en-US" w:eastAsia="en-US" w:bidi="ar-SA"/>
    </w:rPr>
  </w:style>
  <w:style w:type="character" w:styleId="FootnoteReference">
    <w:name w:val="footnote reference"/>
    <w:aliases w:val="Appel note de bas de p,Style 12,(NECG) Footnote Reference,Style 124,o,fr,Style 3,Style 13,FR,Style 17,Style 6,Footnote Reference/,Style 7,Style 4,Style 34,Style 9,Footnote Reference1"/>
    <w:rsid w:val="00D12872"/>
    <w:rPr>
      <w:rFonts w:ascii="Times New Roman" w:hAnsi="Times New Roman"/>
      <w:dstrike w:val="0"/>
      <w:color w:val="auto"/>
      <w:sz w:val="22"/>
      <w:vertAlign w:val="superscript"/>
    </w:rPr>
  </w:style>
  <w:style w:type="character" w:customStyle="1" w:styleId="ParaNumChar">
    <w:name w:val="ParaNum Char"/>
    <w:link w:val="ParaNum"/>
    <w:rsid w:val="00D12872"/>
    <w:rPr>
      <w:rFonts w:cs="Times New Roman"/>
      <w:snapToGrid w:val="0"/>
      <w:kern w:val="28"/>
      <w:sz w:val="22"/>
    </w:rPr>
  </w:style>
  <w:style w:type="paragraph" w:styleId="TOC7">
    <w:name w:val="toc 7"/>
    <w:basedOn w:val="Normal"/>
    <w:next w:val="Normal"/>
    <w:autoRedefine/>
    <w:rsid w:val="00AE235A"/>
    <w:pPr>
      <w:widowControl w:val="0"/>
      <w:tabs>
        <w:tab w:val="left" w:pos="2520"/>
        <w:tab w:val="right" w:leader="dot" w:pos="9360"/>
      </w:tabs>
      <w:suppressAutoHyphens/>
      <w:ind w:left="2520" w:hanging="360"/>
    </w:pPr>
    <w:rPr>
      <w:rFonts w:cs="Times New Roman"/>
      <w:noProof/>
      <w:snapToGrid w:val="0"/>
      <w:kern w:val="28"/>
      <w:sz w:val="22"/>
    </w:rPr>
  </w:style>
  <w:style w:type="table" w:styleId="TableGrid">
    <w:name w:val="Table Grid"/>
    <w:basedOn w:val="TableNormal"/>
    <w:rsid w:val="0020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2362A"/>
    <w:rPr>
      <w:sz w:val="16"/>
      <w:szCs w:val="16"/>
    </w:rPr>
  </w:style>
  <w:style w:type="paragraph" w:styleId="CommentText">
    <w:name w:val="annotation text"/>
    <w:basedOn w:val="Normal"/>
    <w:link w:val="CommentTextChar"/>
    <w:rsid w:val="0052362A"/>
    <w:rPr>
      <w:sz w:val="20"/>
    </w:rPr>
  </w:style>
  <w:style w:type="character" w:customStyle="1" w:styleId="CommentTextChar">
    <w:name w:val="Comment Text Char"/>
    <w:basedOn w:val="DefaultParagraphFont"/>
    <w:link w:val="CommentText"/>
    <w:rsid w:val="0052362A"/>
  </w:style>
  <w:style w:type="paragraph" w:styleId="CommentSubject">
    <w:name w:val="annotation subject"/>
    <w:basedOn w:val="CommentText"/>
    <w:next w:val="CommentText"/>
    <w:link w:val="CommentSubjectChar"/>
    <w:rsid w:val="0052362A"/>
    <w:rPr>
      <w:b/>
      <w:bCs/>
    </w:rPr>
  </w:style>
  <w:style w:type="character" w:customStyle="1" w:styleId="CommentSubjectChar">
    <w:name w:val="Comment Subject Char"/>
    <w:link w:val="CommentSubject"/>
    <w:rsid w:val="0052362A"/>
    <w:rPr>
      <w:b/>
      <w:bCs/>
    </w:rPr>
  </w:style>
  <w:style w:type="paragraph" w:styleId="Header">
    <w:name w:val="header"/>
    <w:basedOn w:val="Normal"/>
    <w:link w:val="HeaderChar"/>
    <w:rsid w:val="004B31B1"/>
    <w:pPr>
      <w:tabs>
        <w:tab w:val="center" w:pos="4680"/>
        <w:tab w:val="right" w:pos="9360"/>
      </w:tabs>
    </w:pPr>
  </w:style>
  <w:style w:type="character" w:customStyle="1" w:styleId="HeaderChar">
    <w:name w:val="Header Char"/>
    <w:link w:val="Header"/>
    <w:rsid w:val="004B31B1"/>
    <w:rPr>
      <w:sz w:val="24"/>
    </w:rPr>
  </w:style>
  <w:style w:type="paragraph" w:styleId="Footer">
    <w:name w:val="footer"/>
    <w:basedOn w:val="Normal"/>
    <w:link w:val="FooterChar"/>
    <w:uiPriority w:val="99"/>
    <w:rsid w:val="004B31B1"/>
    <w:pPr>
      <w:tabs>
        <w:tab w:val="center" w:pos="4680"/>
        <w:tab w:val="right" w:pos="9360"/>
      </w:tabs>
    </w:pPr>
  </w:style>
  <w:style w:type="character" w:customStyle="1" w:styleId="FooterChar">
    <w:name w:val="Footer Char"/>
    <w:link w:val="Footer"/>
    <w:uiPriority w:val="99"/>
    <w:rsid w:val="004B31B1"/>
    <w:rPr>
      <w:sz w:val="24"/>
    </w:rPr>
  </w:style>
  <w:style w:type="character" w:customStyle="1" w:styleId="apple-converted-space">
    <w:name w:val="apple-converted-space"/>
    <w:rsid w:val="007D5DB4"/>
  </w:style>
  <w:style w:type="paragraph" w:customStyle="1" w:styleId="ColorfulList-Accent11">
    <w:name w:val="Colorful List - Accent 11"/>
    <w:basedOn w:val="Normal"/>
    <w:uiPriority w:val="34"/>
    <w:qFormat/>
    <w:rsid w:val="004D3558"/>
    <w:pPr>
      <w:ind w:left="720"/>
    </w:pPr>
  </w:style>
  <w:style w:type="paragraph" w:styleId="ListParagraph">
    <w:name w:val="List Paragraph"/>
    <w:basedOn w:val="Normal"/>
    <w:uiPriority w:val="34"/>
    <w:qFormat/>
    <w:rsid w:val="004A0F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39467">
      <w:bodyDiv w:val="1"/>
      <w:marLeft w:val="0"/>
      <w:marRight w:val="0"/>
      <w:marTop w:val="0"/>
      <w:marBottom w:val="0"/>
      <w:divBdr>
        <w:top w:val="none" w:sz="0" w:space="0" w:color="auto"/>
        <w:left w:val="none" w:sz="0" w:space="0" w:color="auto"/>
        <w:bottom w:val="none" w:sz="0" w:space="0" w:color="auto"/>
        <w:right w:val="none" w:sz="0" w:space="0" w:color="auto"/>
      </w:divBdr>
    </w:div>
    <w:div w:id="93193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0C14-5065-4A8B-8CB2-40DEA7F7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3866</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Instructions For Completing OMB Form 83-I</vt:lpstr>
    </vt:vector>
  </TitlesOfParts>
  <Company>Federal Communications Commission</Company>
  <LinksUpToDate>false</LinksUpToDate>
  <CharactersWithSpaces>25948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OMB Form 83-I</dc:title>
  <dc:subject/>
  <dc:creator>judy boley</dc:creator>
  <cp:keywords/>
  <cp:lastModifiedBy>Nicole Ongele</cp:lastModifiedBy>
  <cp:revision>3</cp:revision>
  <cp:lastPrinted>2013-09-11T21:30:00Z</cp:lastPrinted>
  <dcterms:created xsi:type="dcterms:W3CDTF">2015-11-09T14:24:00Z</dcterms:created>
  <dcterms:modified xsi:type="dcterms:W3CDTF">2015-11-09T14:30:00Z</dcterms:modified>
</cp:coreProperties>
</file>