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C8F" w:rsidRPr="007E3749" w:rsidRDefault="001C6C8F" w:rsidP="001C6C8F">
      <w:pPr>
        <w:pStyle w:val="Heading1"/>
      </w:pPr>
      <w:bookmarkStart w:id="0" w:name="_GoBack"/>
      <w:bookmarkEnd w:id="0"/>
      <w:r w:rsidRPr="007E3749">
        <w:t>Section B</w:t>
      </w:r>
    </w:p>
    <w:p w:rsidR="001C6C8F" w:rsidRDefault="001C6C8F" w:rsidP="001C6C8F">
      <w:pPr>
        <w:pStyle w:val="Heading3"/>
        <w:spacing w:before="0" w:beforeAutospacing="0" w:after="0" w:afterAutospacing="0"/>
        <w:jc w:val="both"/>
        <w:rPr>
          <w:rFonts w:ascii="Times New Roman" w:hAnsi="Times New Roman"/>
        </w:rPr>
      </w:pPr>
    </w:p>
    <w:p w:rsidR="001C6C8F" w:rsidRPr="00477625" w:rsidRDefault="001C6C8F" w:rsidP="001C6C8F">
      <w:pPr>
        <w:pStyle w:val="Heading3"/>
        <w:spacing w:before="0" w:beforeAutospacing="0" w:after="0" w:afterAutospacing="0"/>
        <w:jc w:val="both"/>
        <w:rPr>
          <w:rFonts w:ascii="Times New Roman" w:hAnsi="Times New Roman"/>
        </w:rPr>
      </w:pPr>
      <w:r w:rsidRPr="00477625">
        <w:rPr>
          <w:rFonts w:ascii="Times New Roman" w:hAnsi="Times New Roman"/>
        </w:rPr>
        <w:t>Introduction</w:t>
      </w:r>
    </w:p>
    <w:p w:rsidR="001C6C8F" w:rsidRPr="00477625" w:rsidRDefault="001C6C8F" w:rsidP="001C6C8F">
      <w:pPr>
        <w:pStyle w:val="Heading3"/>
        <w:spacing w:before="0" w:beforeAutospacing="0" w:after="0" w:afterAutospacing="0"/>
        <w:jc w:val="both"/>
        <w:rPr>
          <w:rFonts w:ascii="Times New Roman" w:hAnsi="Times New Roman"/>
        </w:rPr>
      </w:pPr>
    </w:p>
    <w:p w:rsidR="001C6C8F" w:rsidRPr="00477625" w:rsidRDefault="001C6C8F" w:rsidP="001C6C8F">
      <w:pPr>
        <w:pStyle w:val="NormalWeb"/>
        <w:spacing w:before="0" w:beforeAutospacing="0" w:after="0" w:afterAutospacing="0"/>
        <w:jc w:val="both"/>
        <w:rPr>
          <w:sz w:val="22"/>
          <w:szCs w:val="22"/>
        </w:rPr>
      </w:pPr>
      <w:r w:rsidRPr="00477625">
        <w:rPr>
          <w:sz w:val="22"/>
          <w:szCs w:val="22"/>
        </w:rPr>
        <w:t xml:space="preserve">This data collection will be a census of the universe of </w:t>
      </w:r>
      <w:r>
        <w:rPr>
          <w:sz w:val="22"/>
          <w:szCs w:val="22"/>
        </w:rPr>
        <w:t xml:space="preserve">Targeted, Institute and Phase II </w:t>
      </w:r>
      <w:r w:rsidRPr="00477625">
        <w:rPr>
          <w:sz w:val="22"/>
          <w:szCs w:val="22"/>
        </w:rPr>
        <w:t>projects that NSF currently funds and anticipates funding through the MSP program</w:t>
      </w:r>
      <w:r w:rsidRPr="00B03F01">
        <w:rPr>
          <w:sz w:val="22"/>
          <w:szCs w:val="22"/>
        </w:rPr>
        <w:t xml:space="preserve">. </w:t>
      </w:r>
      <w:r>
        <w:rPr>
          <w:sz w:val="22"/>
          <w:szCs w:val="22"/>
        </w:rPr>
        <w:t>Forty-nine</w:t>
      </w:r>
      <w:r w:rsidRPr="00B03F01">
        <w:rPr>
          <w:sz w:val="22"/>
          <w:szCs w:val="22"/>
        </w:rPr>
        <w:t xml:space="preserve"> awards (</w:t>
      </w:r>
      <w:r>
        <w:rPr>
          <w:sz w:val="22"/>
          <w:szCs w:val="22"/>
        </w:rPr>
        <w:t>37</w:t>
      </w:r>
      <w:r w:rsidRPr="00B03F01">
        <w:rPr>
          <w:sz w:val="22"/>
          <w:szCs w:val="22"/>
        </w:rPr>
        <w:t xml:space="preserve"> Targeted and Phase II partnership awards and 1</w:t>
      </w:r>
      <w:r>
        <w:rPr>
          <w:sz w:val="22"/>
          <w:szCs w:val="22"/>
        </w:rPr>
        <w:t>2</w:t>
      </w:r>
      <w:r w:rsidRPr="00B03F01">
        <w:rPr>
          <w:sz w:val="22"/>
          <w:szCs w:val="22"/>
        </w:rPr>
        <w:t xml:space="preserve"> Institute awards) will be surveyed. Responding on behalf of these awardees during the 20</w:t>
      </w:r>
      <w:r>
        <w:rPr>
          <w:sz w:val="22"/>
          <w:szCs w:val="22"/>
        </w:rPr>
        <w:t>13–14</w:t>
      </w:r>
      <w:r w:rsidRPr="00B03F01">
        <w:rPr>
          <w:sz w:val="22"/>
          <w:szCs w:val="22"/>
        </w:rPr>
        <w:t xml:space="preserve"> school year will be an estimated </w:t>
      </w:r>
      <w:r>
        <w:rPr>
          <w:sz w:val="22"/>
          <w:szCs w:val="22"/>
        </w:rPr>
        <w:t>1,936</w:t>
      </w:r>
      <w:r w:rsidRPr="00B03F01">
        <w:rPr>
          <w:sz w:val="22"/>
          <w:szCs w:val="22"/>
        </w:rPr>
        <w:t xml:space="preserve"> respondents who come from the following categories</w:t>
      </w:r>
      <w:r w:rsidRPr="00477625">
        <w:rPr>
          <w:sz w:val="22"/>
          <w:szCs w:val="22"/>
        </w:rPr>
        <w:t xml:space="preserve">: PIs for partnership awards, K-12 school districts, IHE partners, </w:t>
      </w:r>
      <w:r>
        <w:rPr>
          <w:sz w:val="22"/>
          <w:szCs w:val="22"/>
        </w:rPr>
        <w:t xml:space="preserve">and </w:t>
      </w:r>
      <w:r w:rsidRPr="00477625">
        <w:rPr>
          <w:sz w:val="22"/>
          <w:szCs w:val="22"/>
        </w:rPr>
        <w:t xml:space="preserve">IHE participants. </w:t>
      </w:r>
    </w:p>
    <w:p w:rsidR="001C6C8F" w:rsidRDefault="001C6C8F" w:rsidP="001C6C8F">
      <w:pPr>
        <w:pStyle w:val="NormalWeb"/>
        <w:spacing w:before="0" w:beforeAutospacing="0" w:after="0" w:afterAutospacing="0"/>
        <w:jc w:val="both"/>
        <w:rPr>
          <w:sz w:val="22"/>
          <w:szCs w:val="22"/>
        </w:rPr>
      </w:pPr>
    </w:p>
    <w:p w:rsidR="001C6C8F" w:rsidRPr="00477625" w:rsidRDefault="001C6C8F" w:rsidP="001C6C8F">
      <w:pPr>
        <w:pStyle w:val="NormalWeb"/>
        <w:spacing w:before="0" w:beforeAutospacing="0" w:after="0" w:afterAutospacing="0"/>
        <w:jc w:val="both"/>
        <w:rPr>
          <w:sz w:val="22"/>
          <w:szCs w:val="22"/>
        </w:rPr>
      </w:pPr>
    </w:p>
    <w:p w:rsidR="001C6C8F" w:rsidRPr="00477625" w:rsidRDefault="001C6C8F" w:rsidP="001C6C8F">
      <w:pPr>
        <w:pStyle w:val="Heading3"/>
        <w:spacing w:before="0" w:beforeAutospacing="0" w:after="0" w:afterAutospacing="0"/>
        <w:jc w:val="both"/>
        <w:rPr>
          <w:rFonts w:ascii="Times New Roman" w:hAnsi="Times New Roman"/>
        </w:rPr>
      </w:pPr>
      <w:r w:rsidRPr="00477625">
        <w:rPr>
          <w:rFonts w:ascii="Times New Roman" w:hAnsi="Times New Roman"/>
        </w:rPr>
        <w:t>B.1.</w:t>
      </w:r>
      <w:r>
        <w:rPr>
          <w:rFonts w:ascii="Times New Roman" w:hAnsi="Times New Roman"/>
        </w:rPr>
        <w:tab/>
      </w:r>
      <w:r w:rsidRPr="00477625">
        <w:rPr>
          <w:rFonts w:ascii="Times New Roman" w:hAnsi="Times New Roman"/>
        </w:rPr>
        <w:t>Respondent Universe and Sampling Methods</w:t>
      </w:r>
    </w:p>
    <w:p w:rsidR="001C6C8F" w:rsidRPr="00477625" w:rsidRDefault="001C6C8F" w:rsidP="001C6C8F">
      <w:pPr>
        <w:pStyle w:val="Heading3"/>
        <w:spacing w:before="0" w:beforeAutospacing="0" w:after="0" w:afterAutospacing="0"/>
        <w:jc w:val="both"/>
        <w:rPr>
          <w:rFonts w:ascii="Times New Roman" w:hAnsi="Times New Roman"/>
        </w:rPr>
      </w:pPr>
    </w:p>
    <w:p w:rsidR="001C6C8F" w:rsidRPr="00477625" w:rsidRDefault="001C6C8F" w:rsidP="001C6C8F">
      <w:pPr>
        <w:pStyle w:val="NormalWeb"/>
        <w:spacing w:before="0" w:beforeAutospacing="0" w:after="0" w:afterAutospacing="0"/>
        <w:jc w:val="both"/>
        <w:rPr>
          <w:sz w:val="22"/>
          <w:szCs w:val="22"/>
        </w:rPr>
      </w:pPr>
      <w:r w:rsidRPr="00477625">
        <w:rPr>
          <w:sz w:val="22"/>
          <w:szCs w:val="22"/>
        </w:rPr>
        <w:t xml:space="preserve">At the time of this submission, the universe of </w:t>
      </w:r>
      <w:r>
        <w:rPr>
          <w:sz w:val="22"/>
          <w:szCs w:val="22"/>
        </w:rPr>
        <w:t>Comprehensive, Targeted, Phase II and Institute</w:t>
      </w:r>
      <w:r w:rsidRPr="00477625">
        <w:rPr>
          <w:sz w:val="22"/>
          <w:szCs w:val="22"/>
        </w:rPr>
        <w:t xml:space="preserve"> projects consists of </w:t>
      </w:r>
      <w:r>
        <w:rPr>
          <w:sz w:val="22"/>
          <w:szCs w:val="22"/>
        </w:rPr>
        <w:t>49</w:t>
      </w:r>
      <w:r w:rsidRPr="00477625">
        <w:rPr>
          <w:sz w:val="22"/>
          <w:szCs w:val="22"/>
        </w:rPr>
        <w:t xml:space="preserve"> MSP awards</w:t>
      </w:r>
      <w:r>
        <w:rPr>
          <w:sz w:val="22"/>
          <w:szCs w:val="22"/>
        </w:rPr>
        <w:t xml:space="preserve"> – 37</w:t>
      </w:r>
      <w:r w:rsidRPr="00477625">
        <w:rPr>
          <w:sz w:val="22"/>
          <w:szCs w:val="22"/>
        </w:rPr>
        <w:t xml:space="preserve"> Targeted</w:t>
      </w:r>
      <w:r>
        <w:rPr>
          <w:sz w:val="22"/>
          <w:szCs w:val="22"/>
        </w:rPr>
        <w:t xml:space="preserve"> and Phase II</w:t>
      </w:r>
      <w:r w:rsidRPr="00477625">
        <w:rPr>
          <w:sz w:val="22"/>
          <w:szCs w:val="22"/>
        </w:rPr>
        <w:t xml:space="preserve"> partnership awards, </w:t>
      </w:r>
      <w:r>
        <w:rPr>
          <w:sz w:val="22"/>
          <w:szCs w:val="22"/>
        </w:rPr>
        <w:t>and 12</w:t>
      </w:r>
      <w:r w:rsidRPr="00477625">
        <w:rPr>
          <w:sz w:val="22"/>
          <w:szCs w:val="22"/>
        </w:rPr>
        <w:t xml:space="preserve"> Institute awards. All of these projects are being included in the monitoring system.</w:t>
      </w:r>
      <w:r>
        <w:rPr>
          <w:sz w:val="22"/>
          <w:szCs w:val="22"/>
        </w:rPr>
        <w:t xml:space="preserve"> </w:t>
      </w:r>
    </w:p>
    <w:p w:rsidR="001C6C8F" w:rsidRPr="00477625" w:rsidRDefault="001C6C8F" w:rsidP="001C6C8F">
      <w:pPr>
        <w:pStyle w:val="NormalWeb"/>
        <w:spacing w:before="0" w:beforeAutospacing="0" w:after="0" w:afterAutospacing="0"/>
        <w:jc w:val="both"/>
        <w:rPr>
          <w:sz w:val="22"/>
          <w:szCs w:val="22"/>
        </w:rPr>
      </w:pPr>
    </w:p>
    <w:p w:rsidR="001C6C8F" w:rsidRPr="00BB7D5A" w:rsidRDefault="001C6C8F" w:rsidP="001C6C8F">
      <w:pPr>
        <w:pStyle w:val="NormalWeb"/>
        <w:spacing w:before="0" w:beforeAutospacing="0" w:after="0" w:afterAutospacing="0"/>
        <w:jc w:val="both"/>
        <w:rPr>
          <w:sz w:val="22"/>
          <w:szCs w:val="22"/>
        </w:rPr>
      </w:pPr>
      <w:r w:rsidRPr="00BB7D5A">
        <w:rPr>
          <w:sz w:val="22"/>
          <w:szCs w:val="22"/>
        </w:rPr>
        <w:t xml:space="preserve">Similarly, all </w:t>
      </w:r>
      <w:r>
        <w:rPr>
          <w:sz w:val="22"/>
          <w:szCs w:val="22"/>
        </w:rPr>
        <w:t>386</w:t>
      </w:r>
      <w:r w:rsidRPr="00BB7D5A">
        <w:rPr>
          <w:sz w:val="22"/>
          <w:szCs w:val="22"/>
        </w:rPr>
        <w:t xml:space="preserve"> IHE participants, </w:t>
      </w:r>
      <w:r>
        <w:rPr>
          <w:sz w:val="22"/>
          <w:szCs w:val="22"/>
        </w:rPr>
        <w:t>84</w:t>
      </w:r>
      <w:r w:rsidRPr="00BB7D5A">
        <w:rPr>
          <w:sz w:val="22"/>
          <w:szCs w:val="22"/>
        </w:rPr>
        <w:t xml:space="preserve"> IHE partners, and all </w:t>
      </w:r>
      <w:r>
        <w:rPr>
          <w:sz w:val="22"/>
          <w:szCs w:val="22"/>
        </w:rPr>
        <w:t>277</w:t>
      </w:r>
      <w:r w:rsidRPr="00BB7D5A">
        <w:rPr>
          <w:sz w:val="22"/>
          <w:szCs w:val="22"/>
        </w:rPr>
        <w:t xml:space="preserve"> K-12 school districts of Targeted</w:t>
      </w:r>
      <w:r>
        <w:rPr>
          <w:sz w:val="22"/>
          <w:szCs w:val="22"/>
        </w:rPr>
        <w:t xml:space="preserve"> and Phase II</w:t>
      </w:r>
      <w:r w:rsidRPr="00BB7D5A">
        <w:rPr>
          <w:sz w:val="22"/>
          <w:szCs w:val="22"/>
        </w:rPr>
        <w:t xml:space="preserve"> projects are included, as are all </w:t>
      </w:r>
      <w:r>
        <w:rPr>
          <w:sz w:val="22"/>
          <w:szCs w:val="22"/>
        </w:rPr>
        <w:t>116</w:t>
      </w:r>
      <w:r w:rsidRPr="00BB7D5A">
        <w:rPr>
          <w:sz w:val="22"/>
          <w:szCs w:val="22"/>
        </w:rPr>
        <w:t xml:space="preserve"> IHE participants in Institute Projects and </w:t>
      </w:r>
      <w:r>
        <w:rPr>
          <w:sz w:val="22"/>
          <w:szCs w:val="22"/>
        </w:rPr>
        <w:t>947</w:t>
      </w:r>
      <w:r w:rsidRPr="00BB7D5A">
        <w:rPr>
          <w:sz w:val="22"/>
          <w:szCs w:val="22"/>
        </w:rPr>
        <w:t xml:space="preserve"> K-12 participants in Institute Projects. Since the full universe for each of the populations of interest is included, no statistical sampling will be used. Chart </w:t>
      </w:r>
      <w:r>
        <w:rPr>
          <w:sz w:val="22"/>
          <w:szCs w:val="22"/>
        </w:rPr>
        <w:t>8</w:t>
      </w:r>
      <w:r w:rsidRPr="00BB7D5A">
        <w:rPr>
          <w:sz w:val="22"/>
          <w:szCs w:val="22"/>
        </w:rPr>
        <w:t xml:space="preserve"> summarizes the universe and sample information.</w:t>
      </w:r>
    </w:p>
    <w:p w:rsidR="001C6C8F" w:rsidRPr="00BB7D5A" w:rsidRDefault="001C6C8F" w:rsidP="001C6C8F">
      <w:pPr>
        <w:pStyle w:val="NormalWeb"/>
        <w:spacing w:before="0" w:beforeAutospacing="0" w:after="0" w:afterAutospacing="0"/>
        <w:jc w:val="both"/>
        <w:rPr>
          <w:sz w:val="22"/>
          <w:szCs w:val="22"/>
        </w:rPr>
      </w:pPr>
    </w:p>
    <w:p w:rsidR="001C6C8F" w:rsidRPr="007E3749" w:rsidRDefault="001C6C8F" w:rsidP="001C6C8F">
      <w:pPr>
        <w:pStyle w:val="NormalWeb"/>
        <w:spacing w:before="0" w:beforeAutospacing="0" w:after="120" w:afterAutospacing="0"/>
        <w:rPr>
          <w:b/>
          <w:bCs/>
          <w:sz w:val="22"/>
          <w:szCs w:val="22"/>
        </w:rPr>
      </w:pPr>
      <w:r w:rsidRPr="007E3749">
        <w:rPr>
          <w:b/>
        </w:rPr>
        <w:t>Chart 8.—Size of Universe and Sample</w:t>
      </w:r>
    </w:p>
    <w:tbl>
      <w:tblPr>
        <w:tblW w:w="0" w:type="auto"/>
        <w:tblBorders>
          <w:top w:val="single" w:sz="4" w:space="0" w:color="000000"/>
          <w:left w:val="single" w:sz="4" w:space="0" w:color="000000"/>
          <w:bottom w:val="single" w:sz="4" w:space="0" w:color="000000"/>
          <w:right w:val="single" w:sz="4" w:space="0" w:color="000000"/>
        </w:tblBorders>
        <w:tblCellMar>
          <w:left w:w="0" w:type="dxa"/>
          <w:right w:w="0" w:type="dxa"/>
        </w:tblCellMar>
        <w:tblLook w:val="0000" w:firstRow="0" w:lastRow="0" w:firstColumn="0" w:lastColumn="0" w:noHBand="0" w:noVBand="0"/>
      </w:tblPr>
      <w:tblGrid>
        <w:gridCol w:w="3599"/>
        <w:gridCol w:w="3683"/>
        <w:gridCol w:w="989"/>
        <w:gridCol w:w="1079"/>
      </w:tblGrid>
      <w:tr w:rsidR="001C6C8F" w:rsidRPr="00477625" w:rsidTr="00C06F4F">
        <w:tc>
          <w:tcPr>
            <w:tcW w:w="3605" w:type="dxa"/>
            <w:tcBorders>
              <w:top w:val="single" w:sz="4" w:space="0" w:color="000000"/>
              <w:bottom w:val="single" w:sz="4" w:space="0" w:color="000000"/>
              <w:right w:val="single" w:sz="4" w:space="0" w:color="000000"/>
            </w:tcBorders>
            <w:shd w:val="clear" w:color="auto" w:fill="auto"/>
            <w:vAlign w:val="center"/>
          </w:tcPr>
          <w:p w:rsidR="001C6C8F" w:rsidRPr="005517D2" w:rsidRDefault="001C6C8F" w:rsidP="00C06F4F">
            <w:pPr>
              <w:pStyle w:val="NormalWeb"/>
              <w:spacing w:before="60" w:beforeAutospacing="0" w:after="60" w:afterAutospacing="0"/>
              <w:jc w:val="center"/>
              <w:rPr>
                <w:b/>
                <w:sz w:val="20"/>
                <w:szCs w:val="20"/>
              </w:rPr>
            </w:pPr>
            <w:r w:rsidRPr="005517D2">
              <w:rPr>
                <w:b/>
                <w:sz w:val="20"/>
                <w:szCs w:val="20"/>
              </w:rPr>
              <w:t>Survey</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C8F" w:rsidRPr="005517D2" w:rsidRDefault="001C6C8F" w:rsidP="00C06F4F">
            <w:pPr>
              <w:pStyle w:val="NormalWeb"/>
              <w:spacing w:before="60" w:beforeAutospacing="0" w:after="60" w:afterAutospacing="0"/>
              <w:jc w:val="center"/>
              <w:rPr>
                <w:b/>
                <w:sz w:val="20"/>
                <w:szCs w:val="20"/>
              </w:rPr>
            </w:pPr>
            <w:r w:rsidRPr="005517D2">
              <w:rPr>
                <w:b/>
                <w:sz w:val="20"/>
                <w:szCs w:val="20"/>
              </w:rPr>
              <w:t>Population</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C8F" w:rsidRPr="005517D2" w:rsidRDefault="001C6C8F" w:rsidP="00C06F4F">
            <w:pPr>
              <w:pStyle w:val="NormalWeb"/>
              <w:spacing w:before="60" w:beforeAutospacing="0" w:after="60" w:afterAutospacing="0"/>
              <w:jc w:val="center"/>
              <w:rPr>
                <w:b/>
                <w:sz w:val="20"/>
                <w:szCs w:val="20"/>
              </w:rPr>
            </w:pPr>
            <w:r w:rsidRPr="005517D2">
              <w:rPr>
                <w:b/>
                <w:sz w:val="20"/>
                <w:szCs w:val="20"/>
              </w:rPr>
              <w:t>Universe Size</w:t>
            </w:r>
          </w:p>
        </w:tc>
        <w:tc>
          <w:tcPr>
            <w:tcW w:w="1080" w:type="dxa"/>
            <w:tcBorders>
              <w:top w:val="single" w:sz="4" w:space="0" w:color="000000"/>
              <w:left w:val="single" w:sz="4" w:space="0" w:color="000000"/>
              <w:bottom w:val="single" w:sz="4" w:space="0" w:color="000000"/>
            </w:tcBorders>
            <w:shd w:val="clear" w:color="auto" w:fill="auto"/>
            <w:vAlign w:val="center"/>
          </w:tcPr>
          <w:p w:rsidR="001C6C8F" w:rsidRPr="005517D2" w:rsidRDefault="001C6C8F" w:rsidP="00C06F4F">
            <w:pPr>
              <w:pStyle w:val="NormalWeb"/>
              <w:spacing w:before="60" w:beforeAutospacing="0" w:after="60" w:afterAutospacing="0"/>
              <w:jc w:val="center"/>
              <w:rPr>
                <w:b/>
                <w:sz w:val="20"/>
                <w:szCs w:val="20"/>
              </w:rPr>
            </w:pPr>
            <w:r w:rsidRPr="005517D2">
              <w:rPr>
                <w:b/>
                <w:sz w:val="20"/>
                <w:szCs w:val="20"/>
              </w:rPr>
              <w:t xml:space="preserve">Sample </w:t>
            </w:r>
            <w:r w:rsidRPr="005517D2">
              <w:rPr>
                <w:b/>
                <w:sz w:val="20"/>
                <w:szCs w:val="20"/>
              </w:rPr>
              <w:br/>
              <w:t>Size</w:t>
            </w:r>
          </w:p>
        </w:tc>
      </w:tr>
      <w:tr w:rsidR="001C6C8F" w:rsidRPr="00477625" w:rsidTr="00C06F4F">
        <w:tc>
          <w:tcPr>
            <w:tcW w:w="3605" w:type="dxa"/>
            <w:tcBorders>
              <w:top w:val="single" w:sz="4" w:space="0" w:color="000000"/>
              <w:bottom w:val="single" w:sz="4" w:space="0" w:color="000000"/>
              <w:right w:val="single" w:sz="4" w:space="0" w:color="000000"/>
            </w:tcBorders>
            <w:shd w:val="clear" w:color="auto" w:fill="auto"/>
            <w:vAlign w:val="center"/>
          </w:tcPr>
          <w:p w:rsidR="001C6C8F" w:rsidRPr="005517D2" w:rsidRDefault="001C6C8F" w:rsidP="00C06F4F">
            <w:pPr>
              <w:pStyle w:val="NormalWeb"/>
              <w:spacing w:before="60" w:beforeAutospacing="0" w:after="60" w:afterAutospacing="0"/>
              <w:rPr>
                <w:sz w:val="20"/>
                <w:szCs w:val="20"/>
              </w:rPr>
            </w:pPr>
            <w:r w:rsidRPr="005517D2">
              <w:rPr>
                <w:sz w:val="20"/>
                <w:szCs w:val="20"/>
              </w:rPr>
              <w:t>Annual Survey for Comprehensive and Targeted Projects</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C8F" w:rsidRPr="005517D2" w:rsidRDefault="001C6C8F" w:rsidP="00C06F4F">
            <w:pPr>
              <w:pStyle w:val="NormalWeb"/>
              <w:spacing w:before="60" w:beforeAutospacing="0" w:after="60" w:afterAutospacing="0"/>
              <w:rPr>
                <w:sz w:val="20"/>
                <w:szCs w:val="20"/>
              </w:rPr>
            </w:pPr>
            <w:r w:rsidRPr="005517D2">
              <w:rPr>
                <w:sz w:val="20"/>
                <w:szCs w:val="20"/>
              </w:rPr>
              <w:t>PIs for Comprehensive, Targeted, and Phase II awards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C8F" w:rsidRPr="005517D2" w:rsidRDefault="001C6C8F" w:rsidP="00C06F4F">
            <w:pPr>
              <w:spacing w:before="60" w:after="60"/>
              <w:jc w:val="right"/>
              <w:rPr>
                <w:rFonts w:ascii="Times New Roman" w:hAnsi="Times New Roman"/>
              </w:rPr>
            </w:pPr>
            <w:r w:rsidRPr="005517D2">
              <w:rPr>
                <w:rFonts w:ascii="Times New Roman" w:hAnsi="Times New Roman"/>
              </w:rPr>
              <w:t>37</w:t>
            </w:r>
          </w:p>
        </w:tc>
        <w:tc>
          <w:tcPr>
            <w:tcW w:w="1080" w:type="dxa"/>
            <w:tcBorders>
              <w:top w:val="single" w:sz="4" w:space="0" w:color="000000"/>
              <w:left w:val="single" w:sz="4" w:space="0" w:color="000000"/>
              <w:bottom w:val="single" w:sz="4" w:space="0" w:color="000000"/>
            </w:tcBorders>
            <w:shd w:val="clear" w:color="auto" w:fill="auto"/>
            <w:vAlign w:val="center"/>
          </w:tcPr>
          <w:p w:rsidR="001C6C8F" w:rsidRPr="005517D2" w:rsidRDefault="001C6C8F" w:rsidP="00C06F4F">
            <w:pPr>
              <w:spacing w:before="60" w:after="60"/>
              <w:jc w:val="right"/>
              <w:rPr>
                <w:rFonts w:ascii="Times New Roman" w:hAnsi="Times New Roman"/>
              </w:rPr>
            </w:pPr>
            <w:r w:rsidRPr="005517D2">
              <w:rPr>
                <w:rFonts w:ascii="Times New Roman" w:hAnsi="Times New Roman"/>
              </w:rPr>
              <w:t>37</w:t>
            </w:r>
          </w:p>
        </w:tc>
      </w:tr>
      <w:tr w:rsidR="001C6C8F" w:rsidRPr="00477625" w:rsidTr="00C06F4F">
        <w:tc>
          <w:tcPr>
            <w:tcW w:w="3605" w:type="dxa"/>
            <w:tcBorders>
              <w:top w:val="single" w:sz="4" w:space="0" w:color="000000"/>
              <w:bottom w:val="single" w:sz="4" w:space="0" w:color="000000"/>
              <w:right w:val="single" w:sz="4" w:space="0" w:color="000000"/>
            </w:tcBorders>
            <w:shd w:val="clear" w:color="auto" w:fill="auto"/>
            <w:vAlign w:val="center"/>
          </w:tcPr>
          <w:p w:rsidR="001C6C8F" w:rsidRPr="005517D2" w:rsidRDefault="001C6C8F" w:rsidP="00C06F4F">
            <w:pPr>
              <w:pStyle w:val="NormalWeb"/>
              <w:spacing w:before="60" w:beforeAutospacing="0" w:after="60" w:afterAutospacing="0"/>
              <w:rPr>
                <w:sz w:val="20"/>
                <w:szCs w:val="20"/>
              </w:rPr>
            </w:pPr>
            <w:r w:rsidRPr="005517D2">
              <w:rPr>
                <w:sz w:val="20"/>
                <w:szCs w:val="20"/>
              </w:rPr>
              <w:t>Annual IHE Participant Survey for Comprehensive and Targeted MSPs</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C8F" w:rsidRPr="005517D2" w:rsidRDefault="001C6C8F" w:rsidP="00C06F4F">
            <w:pPr>
              <w:pStyle w:val="NormalWeb"/>
              <w:spacing w:before="60" w:beforeAutospacing="0" w:after="60" w:afterAutospacing="0"/>
              <w:rPr>
                <w:sz w:val="20"/>
                <w:szCs w:val="20"/>
              </w:rPr>
            </w:pPr>
            <w:r w:rsidRPr="005517D2">
              <w:rPr>
                <w:sz w:val="20"/>
                <w:szCs w:val="20"/>
              </w:rPr>
              <w:t>IHE participants for Comprehensive, Targeted, and Phase II MSPs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C8F" w:rsidRPr="005517D2" w:rsidRDefault="001C6C8F" w:rsidP="00C06F4F">
            <w:pPr>
              <w:spacing w:before="60" w:after="60"/>
              <w:jc w:val="right"/>
              <w:rPr>
                <w:rFonts w:ascii="Times New Roman" w:hAnsi="Times New Roman"/>
              </w:rPr>
            </w:pPr>
            <w:r w:rsidRPr="005517D2">
              <w:rPr>
                <w:rFonts w:ascii="Times New Roman" w:hAnsi="Times New Roman"/>
              </w:rPr>
              <w:t>386</w:t>
            </w:r>
          </w:p>
        </w:tc>
        <w:tc>
          <w:tcPr>
            <w:tcW w:w="1080" w:type="dxa"/>
            <w:tcBorders>
              <w:top w:val="single" w:sz="4" w:space="0" w:color="000000"/>
              <w:left w:val="single" w:sz="4" w:space="0" w:color="000000"/>
              <w:bottom w:val="single" w:sz="4" w:space="0" w:color="000000"/>
            </w:tcBorders>
            <w:shd w:val="clear" w:color="auto" w:fill="auto"/>
            <w:vAlign w:val="center"/>
          </w:tcPr>
          <w:p w:rsidR="001C6C8F" w:rsidRPr="005517D2" w:rsidRDefault="001C6C8F" w:rsidP="00C06F4F">
            <w:pPr>
              <w:spacing w:before="60" w:after="60"/>
              <w:jc w:val="right"/>
              <w:rPr>
                <w:rFonts w:ascii="Times New Roman" w:hAnsi="Times New Roman"/>
              </w:rPr>
            </w:pPr>
            <w:r w:rsidRPr="005517D2">
              <w:rPr>
                <w:rFonts w:ascii="Times New Roman" w:hAnsi="Times New Roman"/>
              </w:rPr>
              <w:t>386</w:t>
            </w:r>
          </w:p>
        </w:tc>
      </w:tr>
      <w:tr w:rsidR="001C6C8F" w:rsidRPr="00477625" w:rsidTr="00C06F4F">
        <w:tc>
          <w:tcPr>
            <w:tcW w:w="3605" w:type="dxa"/>
            <w:tcBorders>
              <w:top w:val="single" w:sz="4" w:space="0" w:color="000000"/>
              <w:bottom w:val="single" w:sz="4" w:space="0" w:color="000000"/>
              <w:right w:val="single" w:sz="4" w:space="0" w:color="000000"/>
            </w:tcBorders>
            <w:shd w:val="clear" w:color="auto" w:fill="auto"/>
            <w:vAlign w:val="center"/>
          </w:tcPr>
          <w:p w:rsidR="001C6C8F" w:rsidRPr="005517D2" w:rsidRDefault="001C6C8F" w:rsidP="00C06F4F">
            <w:pPr>
              <w:pStyle w:val="NormalWeb"/>
              <w:spacing w:before="60" w:beforeAutospacing="0" w:after="60" w:afterAutospacing="0"/>
              <w:rPr>
                <w:sz w:val="20"/>
                <w:szCs w:val="20"/>
              </w:rPr>
            </w:pPr>
            <w:r w:rsidRPr="005517D2">
              <w:rPr>
                <w:sz w:val="20"/>
                <w:szCs w:val="20"/>
              </w:rPr>
              <w:t>Annual Institution of Higher Education Survey</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C8F" w:rsidRPr="005517D2" w:rsidRDefault="001C6C8F" w:rsidP="00C06F4F">
            <w:pPr>
              <w:pStyle w:val="NormalWeb"/>
              <w:spacing w:before="60" w:beforeAutospacing="0" w:after="60" w:afterAutospacing="0"/>
              <w:rPr>
                <w:sz w:val="20"/>
                <w:szCs w:val="20"/>
              </w:rPr>
            </w:pPr>
            <w:r w:rsidRPr="005517D2">
              <w:rPr>
                <w:sz w:val="20"/>
                <w:szCs w:val="20"/>
              </w:rPr>
              <w:t>IHE partners of Comprehensive, Targeted, and Phase II MSPs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C8F" w:rsidRPr="005517D2" w:rsidRDefault="001C6C8F" w:rsidP="00C06F4F">
            <w:pPr>
              <w:spacing w:before="60" w:after="60"/>
              <w:jc w:val="right"/>
              <w:rPr>
                <w:rFonts w:ascii="Times New Roman" w:hAnsi="Times New Roman"/>
              </w:rPr>
            </w:pPr>
            <w:r w:rsidRPr="005517D2">
              <w:rPr>
                <w:rFonts w:ascii="Times New Roman" w:hAnsi="Times New Roman"/>
              </w:rPr>
              <w:t>84</w:t>
            </w:r>
          </w:p>
        </w:tc>
        <w:tc>
          <w:tcPr>
            <w:tcW w:w="1080" w:type="dxa"/>
            <w:tcBorders>
              <w:top w:val="single" w:sz="4" w:space="0" w:color="000000"/>
              <w:left w:val="single" w:sz="4" w:space="0" w:color="000000"/>
              <w:bottom w:val="single" w:sz="4" w:space="0" w:color="000000"/>
            </w:tcBorders>
            <w:shd w:val="clear" w:color="auto" w:fill="auto"/>
            <w:vAlign w:val="center"/>
          </w:tcPr>
          <w:p w:rsidR="001C6C8F" w:rsidRPr="005517D2" w:rsidRDefault="001C6C8F" w:rsidP="00C06F4F">
            <w:pPr>
              <w:spacing w:before="60" w:after="60"/>
              <w:jc w:val="right"/>
              <w:rPr>
                <w:rFonts w:ascii="Times New Roman" w:hAnsi="Times New Roman"/>
              </w:rPr>
            </w:pPr>
            <w:r w:rsidRPr="005517D2">
              <w:rPr>
                <w:rFonts w:ascii="Times New Roman" w:hAnsi="Times New Roman"/>
              </w:rPr>
              <w:t>84</w:t>
            </w:r>
          </w:p>
        </w:tc>
      </w:tr>
      <w:tr w:rsidR="001C6C8F" w:rsidRPr="00477625" w:rsidTr="00C06F4F">
        <w:tc>
          <w:tcPr>
            <w:tcW w:w="3605" w:type="dxa"/>
            <w:tcBorders>
              <w:top w:val="single" w:sz="4" w:space="0" w:color="000000"/>
              <w:bottom w:val="single" w:sz="4" w:space="0" w:color="000000"/>
              <w:right w:val="single" w:sz="4" w:space="0" w:color="000000"/>
            </w:tcBorders>
            <w:shd w:val="clear" w:color="auto" w:fill="auto"/>
            <w:vAlign w:val="center"/>
          </w:tcPr>
          <w:p w:rsidR="001C6C8F" w:rsidRPr="005517D2" w:rsidRDefault="001C6C8F" w:rsidP="00C06F4F">
            <w:pPr>
              <w:pStyle w:val="NormalWeb"/>
              <w:spacing w:before="60" w:beforeAutospacing="0" w:after="60" w:afterAutospacing="0"/>
              <w:rPr>
                <w:sz w:val="20"/>
                <w:szCs w:val="20"/>
              </w:rPr>
            </w:pPr>
            <w:r w:rsidRPr="005517D2">
              <w:rPr>
                <w:sz w:val="20"/>
                <w:szCs w:val="20"/>
              </w:rPr>
              <w:t xml:space="preserve">Annual K-12 District Survey </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C8F" w:rsidRPr="005517D2" w:rsidRDefault="001C6C8F" w:rsidP="00C06F4F">
            <w:pPr>
              <w:pStyle w:val="NormalWeb"/>
              <w:spacing w:before="60" w:beforeAutospacing="0" w:after="60" w:afterAutospacing="0"/>
              <w:rPr>
                <w:sz w:val="20"/>
                <w:szCs w:val="20"/>
              </w:rPr>
            </w:pPr>
            <w:r w:rsidRPr="005517D2">
              <w:rPr>
                <w:sz w:val="20"/>
                <w:szCs w:val="20"/>
              </w:rPr>
              <w:t>School district partners of Comprehensive, Targeted, and Phase II MSPs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C8F" w:rsidRPr="005517D2" w:rsidRDefault="001C6C8F" w:rsidP="00C06F4F">
            <w:pPr>
              <w:spacing w:before="60" w:after="60"/>
              <w:jc w:val="right"/>
              <w:rPr>
                <w:rFonts w:ascii="Times New Roman" w:hAnsi="Times New Roman"/>
              </w:rPr>
            </w:pPr>
            <w:r w:rsidRPr="005517D2">
              <w:rPr>
                <w:rFonts w:ascii="Times New Roman" w:hAnsi="Times New Roman"/>
              </w:rPr>
              <w:t>277</w:t>
            </w:r>
          </w:p>
        </w:tc>
        <w:tc>
          <w:tcPr>
            <w:tcW w:w="1080" w:type="dxa"/>
            <w:tcBorders>
              <w:top w:val="single" w:sz="4" w:space="0" w:color="000000"/>
              <w:left w:val="single" w:sz="4" w:space="0" w:color="000000"/>
              <w:bottom w:val="single" w:sz="4" w:space="0" w:color="000000"/>
            </w:tcBorders>
            <w:shd w:val="clear" w:color="auto" w:fill="auto"/>
            <w:vAlign w:val="center"/>
          </w:tcPr>
          <w:p w:rsidR="001C6C8F" w:rsidRPr="005517D2" w:rsidRDefault="001C6C8F" w:rsidP="00C06F4F">
            <w:pPr>
              <w:spacing w:before="60" w:after="60"/>
              <w:jc w:val="right"/>
              <w:rPr>
                <w:rFonts w:ascii="Times New Roman" w:hAnsi="Times New Roman"/>
              </w:rPr>
            </w:pPr>
            <w:r w:rsidRPr="005517D2">
              <w:rPr>
                <w:rFonts w:ascii="Times New Roman" w:hAnsi="Times New Roman"/>
              </w:rPr>
              <w:t>277</w:t>
            </w:r>
          </w:p>
        </w:tc>
      </w:tr>
      <w:tr w:rsidR="001C6C8F" w:rsidRPr="00477625" w:rsidTr="00C06F4F">
        <w:tc>
          <w:tcPr>
            <w:tcW w:w="3605" w:type="dxa"/>
            <w:tcBorders>
              <w:top w:val="single" w:sz="4" w:space="0" w:color="000000"/>
              <w:bottom w:val="single" w:sz="4" w:space="0" w:color="000000"/>
              <w:right w:val="single" w:sz="4" w:space="0" w:color="000000"/>
            </w:tcBorders>
            <w:shd w:val="clear" w:color="auto" w:fill="auto"/>
            <w:vAlign w:val="center"/>
          </w:tcPr>
          <w:p w:rsidR="001C6C8F" w:rsidRPr="005517D2" w:rsidRDefault="001C6C8F" w:rsidP="00C06F4F">
            <w:pPr>
              <w:pStyle w:val="NormalWeb"/>
              <w:spacing w:before="60" w:beforeAutospacing="0" w:after="60" w:afterAutospacing="0"/>
              <w:rPr>
                <w:sz w:val="20"/>
                <w:szCs w:val="20"/>
              </w:rPr>
            </w:pPr>
            <w:r w:rsidRPr="005517D2">
              <w:rPr>
                <w:sz w:val="20"/>
                <w:szCs w:val="20"/>
              </w:rPr>
              <w:t>Annual Survey for Institute Projects</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C8F" w:rsidRPr="005517D2" w:rsidRDefault="001C6C8F" w:rsidP="00C06F4F">
            <w:pPr>
              <w:pStyle w:val="NormalWeb"/>
              <w:spacing w:before="60" w:beforeAutospacing="0" w:after="60" w:afterAutospacing="0"/>
              <w:rPr>
                <w:sz w:val="20"/>
                <w:szCs w:val="20"/>
              </w:rPr>
            </w:pPr>
            <w:r w:rsidRPr="005517D2">
              <w:rPr>
                <w:sz w:val="20"/>
                <w:szCs w:val="20"/>
              </w:rPr>
              <w:t>PIs for Institute awards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C8F" w:rsidRPr="005517D2" w:rsidRDefault="001C6C8F" w:rsidP="00C06F4F">
            <w:pPr>
              <w:spacing w:before="60" w:after="60"/>
              <w:jc w:val="right"/>
              <w:rPr>
                <w:rFonts w:ascii="Times New Roman" w:hAnsi="Times New Roman"/>
              </w:rPr>
            </w:pPr>
            <w:r w:rsidRPr="005517D2">
              <w:rPr>
                <w:rFonts w:ascii="Times New Roman" w:hAnsi="Times New Roman"/>
              </w:rPr>
              <w:t>12</w:t>
            </w:r>
          </w:p>
        </w:tc>
        <w:tc>
          <w:tcPr>
            <w:tcW w:w="1080" w:type="dxa"/>
            <w:tcBorders>
              <w:top w:val="single" w:sz="4" w:space="0" w:color="000000"/>
              <w:left w:val="single" w:sz="4" w:space="0" w:color="000000"/>
              <w:bottom w:val="single" w:sz="4" w:space="0" w:color="000000"/>
            </w:tcBorders>
            <w:shd w:val="clear" w:color="auto" w:fill="auto"/>
            <w:vAlign w:val="center"/>
          </w:tcPr>
          <w:p w:rsidR="001C6C8F" w:rsidRPr="005517D2" w:rsidRDefault="001C6C8F" w:rsidP="00C06F4F">
            <w:pPr>
              <w:spacing w:before="60" w:after="60"/>
              <w:jc w:val="right"/>
              <w:rPr>
                <w:rFonts w:ascii="Times New Roman" w:hAnsi="Times New Roman"/>
              </w:rPr>
            </w:pPr>
            <w:r w:rsidRPr="005517D2">
              <w:rPr>
                <w:rFonts w:ascii="Times New Roman" w:hAnsi="Times New Roman"/>
              </w:rPr>
              <w:t>12</w:t>
            </w:r>
          </w:p>
        </w:tc>
      </w:tr>
      <w:tr w:rsidR="001C6C8F" w:rsidRPr="00477625" w:rsidTr="00C06F4F">
        <w:tc>
          <w:tcPr>
            <w:tcW w:w="3605" w:type="dxa"/>
            <w:tcBorders>
              <w:top w:val="single" w:sz="4" w:space="0" w:color="000000"/>
              <w:bottom w:val="single" w:sz="4" w:space="0" w:color="000000"/>
              <w:right w:val="single" w:sz="4" w:space="0" w:color="000000"/>
            </w:tcBorders>
            <w:shd w:val="clear" w:color="auto" w:fill="auto"/>
            <w:vAlign w:val="center"/>
          </w:tcPr>
          <w:p w:rsidR="001C6C8F" w:rsidRPr="005517D2" w:rsidRDefault="001C6C8F" w:rsidP="00C06F4F">
            <w:pPr>
              <w:pStyle w:val="NormalWeb"/>
              <w:spacing w:before="60" w:beforeAutospacing="0" w:after="60" w:afterAutospacing="0"/>
              <w:rPr>
                <w:sz w:val="20"/>
                <w:szCs w:val="20"/>
              </w:rPr>
            </w:pPr>
            <w:r w:rsidRPr="005517D2">
              <w:rPr>
                <w:sz w:val="20"/>
                <w:szCs w:val="20"/>
              </w:rPr>
              <w:t>Annual IHE Participant Survey for Institute MSPs</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C8F" w:rsidRPr="005517D2" w:rsidRDefault="001C6C8F" w:rsidP="00C06F4F">
            <w:pPr>
              <w:pStyle w:val="NormalWeb"/>
              <w:spacing w:before="60" w:beforeAutospacing="0" w:after="60" w:afterAutospacing="0"/>
              <w:rPr>
                <w:sz w:val="20"/>
                <w:szCs w:val="20"/>
              </w:rPr>
            </w:pPr>
            <w:r w:rsidRPr="005517D2">
              <w:rPr>
                <w:sz w:val="20"/>
                <w:szCs w:val="20"/>
              </w:rPr>
              <w:t>IHE participants for Institute MSPs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C8F" w:rsidRPr="005517D2" w:rsidRDefault="001C6C8F" w:rsidP="00C06F4F">
            <w:pPr>
              <w:spacing w:before="60" w:after="60"/>
              <w:jc w:val="right"/>
              <w:rPr>
                <w:rFonts w:ascii="Times New Roman" w:hAnsi="Times New Roman"/>
              </w:rPr>
            </w:pPr>
            <w:r w:rsidRPr="005517D2">
              <w:rPr>
                <w:rFonts w:ascii="Times New Roman" w:hAnsi="Times New Roman"/>
              </w:rPr>
              <w:t>116</w:t>
            </w:r>
          </w:p>
        </w:tc>
        <w:tc>
          <w:tcPr>
            <w:tcW w:w="1080" w:type="dxa"/>
            <w:tcBorders>
              <w:top w:val="single" w:sz="4" w:space="0" w:color="000000"/>
              <w:left w:val="single" w:sz="4" w:space="0" w:color="000000"/>
              <w:bottom w:val="single" w:sz="4" w:space="0" w:color="000000"/>
            </w:tcBorders>
            <w:shd w:val="clear" w:color="auto" w:fill="auto"/>
            <w:vAlign w:val="center"/>
          </w:tcPr>
          <w:p w:rsidR="001C6C8F" w:rsidRPr="005517D2" w:rsidRDefault="001C6C8F" w:rsidP="00C06F4F">
            <w:pPr>
              <w:spacing w:before="60" w:after="60"/>
              <w:jc w:val="right"/>
              <w:rPr>
                <w:rFonts w:ascii="Times New Roman" w:hAnsi="Times New Roman"/>
              </w:rPr>
            </w:pPr>
            <w:r w:rsidRPr="005517D2">
              <w:rPr>
                <w:rFonts w:ascii="Times New Roman" w:hAnsi="Times New Roman"/>
              </w:rPr>
              <w:t>116</w:t>
            </w:r>
          </w:p>
        </w:tc>
      </w:tr>
      <w:tr w:rsidR="001C6C8F" w:rsidRPr="00477625" w:rsidTr="00C06F4F">
        <w:tc>
          <w:tcPr>
            <w:tcW w:w="3605" w:type="dxa"/>
            <w:tcBorders>
              <w:top w:val="single" w:sz="4" w:space="0" w:color="000000"/>
              <w:bottom w:val="single" w:sz="4" w:space="0" w:color="000000"/>
              <w:right w:val="single" w:sz="4" w:space="0" w:color="000000"/>
            </w:tcBorders>
            <w:shd w:val="clear" w:color="auto" w:fill="auto"/>
            <w:vAlign w:val="center"/>
          </w:tcPr>
          <w:p w:rsidR="001C6C8F" w:rsidRPr="005517D2" w:rsidRDefault="001C6C8F" w:rsidP="00C06F4F">
            <w:pPr>
              <w:spacing w:before="60" w:after="60"/>
              <w:rPr>
                <w:rFonts w:ascii="Times New Roman" w:eastAsia="Times New Roman" w:hAnsi="Times New Roman"/>
              </w:rPr>
            </w:pPr>
            <w:r w:rsidRPr="005517D2">
              <w:rPr>
                <w:rFonts w:ascii="Times New Roman" w:eastAsia="Times New Roman" w:hAnsi="Times New Roman"/>
              </w:rPr>
              <w:t>Initial Survey for K-12 MSP Institute Participants</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C8F" w:rsidRPr="005517D2" w:rsidRDefault="001C6C8F" w:rsidP="00C06F4F">
            <w:pPr>
              <w:pStyle w:val="NormalWeb"/>
              <w:spacing w:before="60" w:beforeAutospacing="0" w:after="60" w:afterAutospacing="0"/>
              <w:rPr>
                <w:sz w:val="20"/>
                <w:szCs w:val="20"/>
              </w:rPr>
            </w:pPr>
            <w:r w:rsidRPr="005517D2">
              <w:rPr>
                <w:sz w:val="20"/>
                <w:szCs w:val="20"/>
              </w:rPr>
              <w:t>K-12 Participants of Institute MSPs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C8F" w:rsidRPr="005517D2" w:rsidRDefault="001C6C8F" w:rsidP="00C06F4F">
            <w:pPr>
              <w:spacing w:before="60" w:after="60"/>
              <w:jc w:val="right"/>
              <w:rPr>
                <w:rFonts w:ascii="Times New Roman" w:hAnsi="Times New Roman"/>
              </w:rPr>
            </w:pPr>
            <w:r w:rsidRPr="005517D2">
              <w:rPr>
                <w:rFonts w:ascii="Times New Roman" w:hAnsi="Times New Roman"/>
              </w:rPr>
              <w:t>77</w:t>
            </w:r>
          </w:p>
        </w:tc>
        <w:tc>
          <w:tcPr>
            <w:tcW w:w="1080" w:type="dxa"/>
            <w:tcBorders>
              <w:top w:val="single" w:sz="4" w:space="0" w:color="000000"/>
              <w:left w:val="single" w:sz="4" w:space="0" w:color="000000"/>
              <w:bottom w:val="single" w:sz="4" w:space="0" w:color="000000"/>
            </w:tcBorders>
            <w:shd w:val="clear" w:color="auto" w:fill="auto"/>
            <w:vAlign w:val="center"/>
          </w:tcPr>
          <w:p w:rsidR="001C6C8F" w:rsidRPr="005517D2" w:rsidRDefault="001C6C8F" w:rsidP="00C06F4F">
            <w:pPr>
              <w:spacing w:before="60" w:after="60"/>
              <w:jc w:val="right"/>
              <w:rPr>
                <w:rFonts w:ascii="Times New Roman" w:hAnsi="Times New Roman"/>
              </w:rPr>
            </w:pPr>
            <w:r w:rsidRPr="005517D2">
              <w:rPr>
                <w:rFonts w:ascii="Times New Roman" w:hAnsi="Times New Roman"/>
              </w:rPr>
              <w:t>77</w:t>
            </w:r>
          </w:p>
        </w:tc>
      </w:tr>
      <w:tr w:rsidR="001C6C8F" w:rsidRPr="00477625" w:rsidTr="00C06F4F">
        <w:tc>
          <w:tcPr>
            <w:tcW w:w="3605" w:type="dxa"/>
            <w:tcBorders>
              <w:top w:val="single" w:sz="4" w:space="0" w:color="000000"/>
              <w:bottom w:val="single" w:sz="4" w:space="0" w:color="000000"/>
              <w:right w:val="single" w:sz="4" w:space="0" w:color="000000"/>
            </w:tcBorders>
            <w:shd w:val="clear" w:color="auto" w:fill="auto"/>
            <w:vAlign w:val="center"/>
          </w:tcPr>
          <w:p w:rsidR="001C6C8F" w:rsidRPr="005517D2" w:rsidRDefault="001C6C8F" w:rsidP="00C06F4F">
            <w:pPr>
              <w:spacing w:before="60" w:after="60"/>
              <w:rPr>
                <w:rFonts w:ascii="Times New Roman" w:eastAsia="Times New Roman" w:hAnsi="Times New Roman"/>
              </w:rPr>
            </w:pPr>
            <w:r w:rsidRPr="005517D2">
              <w:rPr>
                <w:rFonts w:ascii="Times New Roman" w:eastAsia="Times New Roman" w:hAnsi="Times New Roman"/>
              </w:rPr>
              <w:t>Annual Survey for MSP Institute K-12 Participants</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C8F" w:rsidRPr="005517D2" w:rsidRDefault="001C6C8F" w:rsidP="00C06F4F">
            <w:pPr>
              <w:pStyle w:val="NormalWeb"/>
              <w:spacing w:before="60" w:beforeAutospacing="0" w:after="60" w:afterAutospacing="0"/>
              <w:rPr>
                <w:sz w:val="20"/>
                <w:szCs w:val="20"/>
              </w:rPr>
            </w:pPr>
            <w:r w:rsidRPr="005517D2">
              <w:rPr>
                <w:sz w:val="20"/>
                <w:szCs w:val="20"/>
              </w:rPr>
              <w:t>K-12 Participants of Institute MSPs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C8F" w:rsidRPr="005517D2" w:rsidRDefault="001C6C8F" w:rsidP="00C06F4F">
            <w:pPr>
              <w:spacing w:before="60" w:after="60"/>
              <w:jc w:val="right"/>
              <w:rPr>
                <w:rFonts w:ascii="Times New Roman" w:hAnsi="Times New Roman"/>
              </w:rPr>
            </w:pPr>
            <w:r w:rsidRPr="005517D2">
              <w:rPr>
                <w:rFonts w:ascii="Times New Roman" w:hAnsi="Times New Roman"/>
              </w:rPr>
              <w:t>947</w:t>
            </w:r>
          </w:p>
        </w:tc>
        <w:tc>
          <w:tcPr>
            <w:tcW w:w="1080" w:type="dxa"/>
            <w:tcBorders>
              <w:top w:val="single" w:sz="4" w:space="0" w:color="000000"/>
              <w:left w:val="single" w:sz="4" w:space="0" w:color="000000"/>
              <w:bottom w:val="single" w:sz="4" w:space="0" w:color="000000"/>
            </w:tcBorders>
            <w:shd w:val="clear" w:color="auto" w:fill="auto"/>
            <w:vAlign w:val="center"/>
          </w:tcPr>
          <w:p w:rsidR="001C6C8F" w:rsidRPr="005517D2" w:rsidRDefault="001C6C8F" w:rsidP="00C06F4F">
            <w:pPr>
              <w:spacing w:before="60" w:after="60"/>
              <w:jc w:val="right"/>
              <w:rPr>
                <w:rFonts w:ascii="Times New Roman" w:hAnsi="Times New Roman"/>
              </w:rPr>
            </w:pPr>
            <w:r w:rsidRPr="005517D2">
              <w:rPr>
                <w:rFonts w:ascii="Times New Roman" w:hAnsi="Times New Roman"/>
              </w:rPr>
              <w:t>947</w:t>
            </w:r>
          </w:p>
        </w:tc>
      </w:tr>
      <w:tr w:rsidR="001C6C8F" w:rsidRPr="00477625" w:rsidTr="00C06F4F">
        <w:tc>
          <w:tcPr>
            <w:tcW w:w="7295" w:type="dxa"/>
            <w:gridSpan w:val="2"/>
            <w:tcBorders>
              <w:top w:val="single" w:sz="4" w:space="0" w:color="000000"/>
              <w:bottom w:val="single" w:sz="4" w:space="0" w:color="000000"/>
              <w:right w:val="single" w:sz="4" w:space="0" w:color="000000"/>
            </w:tcBorders>
            <w:shd w:val="clear" w:color="auto" w:fill="auto"/>
            <w:vAlign w:val="center"/>
          </w:tcPr>
          <w:p w:rsidR="001C6C8F" w:rsidRPr="005517D2" w:rsidRDefault="001C6C8F" w:rsidP="00C06F4F">
            <w:pPr>
              <w:pStyle w:val="NormalWeb"/>
              <w:spacing w:before="60" w:beforeAutospacing="0" w:after="60" w:afterAutospacing="0"/>
              <w:rPr>
                <w:b/>
                <w:sz w:val="20"/>
                <w:szCs w:val="20"/>
              </w:rPr>
            </w:pPr>
            <w:r w:rsidRPr="005517D2">
              <w:rPr>
                <w:b/>
                <w:sz w:val="20"/>
                <w:szCs w:val="20"/>
              </w:rPr>
              <w:t>Total</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C8F" w:rsidRPr="005517D2" w:rsidRDefault="001C6C8F" w:rsidP="00C06F4F">
            <w:pPr>
              <w:pStyle w:val="NormalWeb"/>
              <w:spacing w:before="60" w:beforeAutospacing="0" w:after="60" w:afterAutospacing="0"/>
              <w:jc w:val="right"/>
              <w:rPr>
                <w:b/>
                <w:sz w:val="20"/>
                <w:szCs w:val="20"/>
              </w:rPr>
            </w:pPr>
            <w:r w:rsidRPr="005517D2">
              <w:rPr>
                <w:b/>
                <w:bCs/>
                <w:sz w:val="20"/>
                <w:szCs w:val="20"/>
              </w:rPr>
              <w:t>1,936</w:t>
            </w:r>
          </w:p>
        </w:tc>
        <w:tc>
          <w:tcPr>
            <w:tcW w:w="1080" w:type="dxa"/>
            <w:tcBorders>
              <w:top w:val="single" w:sz="4" w:space="0" w:color="000000"/>
              <w:left w:val="single" w:sz="4" w:space="0" w:color="000000"/>
              <w:bottom w:val="single" w:sz="4" w:space="0" w:color="000000"/>
            </w:tcBorders>
            <w:shd w:val="clear" w:color="auto" w:fill="auto"/>
            <w:vAlign w:val="center"/>
          </w:tcPr>
          <w:p w:rsidR="001C6C8F" w:rsidRPr="005517D2" w:rsidRDefault="001C6C8F" w:rsidP="00C06F4F">
            <w:pPr>
              <w:spacing w:before="60" w:after="60"/>
              <w:jc w:val="right"/>
              <w:rPr>
                <w:rFonts w:ascii="Times New Roman" w:hAnsi="Times New Roman"/>
                <w:b/>
                <w:bCs/>
              </w:rPr>
            </w:pPr>
            <w:r w:rsidRPr="005517D2">
              <w:rPr>
                <w:rFonts w:ascii="Times New Roman" w:hAnsi="Times New Roman"/>
                <w:b/>
              </w:rPr>
              <w:t>1,936</w:t>
            </w:r>
          </w:p>
        </w:tc>
      </w:tr>
    </w:tbl>
    <w:p w:rsidR="001C6C8F" w:rsidRPr="00477625" w:rsidRDefault="001C6C8F" w:rsidP="001C6C8F">
      <w:pPr>
        <w:pStyle w:val="NormalWeb"/>
        <w:spacing w:before="0" w:beforeAutospacing="0" w:after="0" w:afterAutospacing="0"/>
        <w:rPr>
          <w:sz w:val="22"/>
          <w:szCs w:val="22"/>
        </w:rPr>
      </w:pPr>
      <w:r w:rsidRPr="00477625">
        <w:rPr>
          <w:sz w:val="22"/>
          <w:szCs w:val="22"/>
        </w:rPr>
        <w:t> </w:t>
      </w:r>
    </w:p>
    <w:p w:rsidR="001C6C8F" w:rsidRPr="00BB7D5A" w:rsidRDefault="001C6C8F" w:rsidP="001C6C8F">
      <w:pPr>
        <w:pStyle w:val="NormalWeb"/>
        <w:spacing w:before="0" w:beforeAutospacing="0" w:after="0" w:afterAutospacing="0"/>
        <w:rPr>
          <w:sz w:val="22"/>
          <w:szCs w:val="22"/>
        </w:rPr>
      </w:pPr>
    </w:p>
    <w:p w:rsidR="001C6C8F" w:rsidRPr="00BB7D5A" w:rsidRDefault="001C6C8F" w:rsidP="001C6C8F">
      <w:pPr>
        <w:pStyle w:val="NormalWeb"/>
        <w:spacing w:before="0" w:beforeAutospacing="0" w:after="0" w:afterAutospacing="0"/>
        <w:rPr>
          <w:sz w:val="22"/>
          <w:szCs w:val="22"/>
        </w:rPr>
      </w:pPr>
      <w:r w:rsidRPr="00BB7D5A">
        <w:rPr>
          <w:sz w:val="22"/>
          <w:szCs w:val="22"/>
        </w:rPr>
        <w:lastRenderedPageBreak/>
        <w:t>With the exception on the IHE and K-12 participant surveys, we expect the response rate will be 100 percent.</w:t>
      </w:r>
      <w:r>
        <w:rPr>
          <w:sz w:val="22"/>
          <w:szCs w:val="22"/>
        </w:rPr>
        <w:t xml:space="preserve"> </w:t>
      </w:r>
      <w:r w:rsidRPr="00BB7D5A">
        <w:rPr>
          <w:sz w:val="22"/>
          <w:szCs w:val="22"/>
        </w:rPr>
        <w:t>Based on our experience in previous years, we anticipate that the response rates for the IHE and K-12 participant surveys will be approximately 80 percent.</w:t>
      </w:r>
    </w:p>
    <w:p w:rsidR="001C6C8F" w:rsidRPr="00BB7D5A" w:rsidRDefault="001C6C8F" w:rsidP="001C6C8F">
      <w:pPr>
        <w:pStyle w:val="NormalWeb"/>
        <w:spacing w:before="0" w:beforeAutospacing="0" w:after="0" w:afterAutospacing="0"/>
        <w:rPr>
          <w:sz w:val="22"/>
          <w:szCs w:val="22"/>
        </w:rPr>
      </w:pPr>
    </w:p>
    <w:p w:rsidR="001C6C8F" w:rsidRPr="00477625" w:rsidRDefault="001C6C8F" w:rsidP="001C6C8F">
      <w:pPr>
        <w:pStyle w:val="Heading3"/>
        <w:spacing w:before="0" w:beforeAutospacing="0" w:after="0" w:afterAutospacing="0"/>
        <w:jc w:val="both"/>
        <w:rPr>
          <w:rFonts w:ascii="Times New Roman" w:hAnsi="Times New Roman"/>
        </w:rPr>
      </w:pPr>
      <w:r w:rsidRPr="00477625">
        <w:rPr>
          <w:rFonts w:ascii="Times New Roman" w:hAnsi="Times New Roman"/>
        </w:rPr>
        <w:t>B.2.</w:t>
      </w:r>
      <w:r>
        <w:rPr>
          <w:rFonts w:ascii="Times New Roman" w:hAnsi="Times New Roman"/>
        </w:rPr>
        <w:tab/>
      </w:r>
      <w:r w:rsidRPr="00477625">
        <w:rPr>
          <w:rFonts w:ascii="Times New Roman" w:hAnsi="Times New Roman"/>
        </w:rPr>
        <w:t xml:space="preserve">Information Collection Procedures/Limitations of the </w:t>
      </w:r>
      <w:r>
        <w:rPr>
          <w:rFonts w:ascii="Times New Roman" w:hAnsi="Times New Roman"/>
        </w:rPr>
        <w:t>Descriptive Reports</w:t>
      </w:r>
    </w:p>
    <w:p w:rsidR="001C6C8F" w:rsidRPr="00477625" w:rsidRDefault="001C6C8F" w:rsidP="001C6C8F">
      <w:pPr>
        <w:pStyle w:val="Heading3"/>
        <w:spacing w:before="0" w:beforeAutospacing="0" w:after="0" w:afterAutospacing="0"/>
        <w:jc w:val="both"/>
        <w:rPr>
          <w:rFonts w:ascii="Times New Roman" w:hAnsi="Times New Roman"/>
        </w:rPr>
      </w:pPr>
    </w:p>
    <w:p w:rsidR="001C6C8F" w:rsidRDefault="001C6C8F" w:rsidP="001C6C8F">
      <w:pPr>
        <w:pStyle w:val="NormalWeb"/>
        <w:spacing w:before="0" w:beforeAutospacing="0" w:after="0" w:afterAutospacing="0"/>
        <w:jc w:val="both"/>
        <w:rPr>
          <w:sz w:val="22"/>
          <w:szCs w:val="22"/>
        </w:rPr>
      </w:pPr>
      <w:r w:rsidRPr="00300B96">
        <w:rPr>
          <w:sz w:val="22"/>
          <w:szCs w:val="22"/>
        </w:rPr>
        <w:t xml:space="preserve">This proposed monitoring system involves </w:t>
      </w:r>
      <w:r>
        <w:rPr>
          <w:sz w:val="22"/>
          <w:szCs w:val="22"/>
        </w:rPr>
        <w:t xml:space="preserve">eight </w:t>
      </w:r>
      <w:r w:rsidRPr="00300B96">
        <w:rPr>
          <w:sz w:val="22"/>
          <w:szCs w:val="22"/>
        </w:rPr>
        <w:t>Web-based surveys, all of which have already been approved for data collection.</w:t>
      </w:r>
      <w:r>
        <w:rPr>
          <w:sz w:val="22"/>
          <w:szCs w:val="22"/>
        </w:rPr>
        <w:t xml:space="preserve"> </w:t>
      </w:r>
      <w:r w:rsidRPr="00300B96">
        <w:rPr>
          <w:sz w:val="22"/>
          <w:szCs w:val="22"/>
        </w:rPr>
        <w:t xml:space="preserve">These are the surveys for PIs of Comprehensive and Targeted partnership awards, IHE participants in Comprehensive and Targeted partnerships awards, IHE partners, </w:t>
      </w:r>
      <w:r>
        <w:rPr>
          <w:sz w:val="22"/>
          <w:szCs w:val="22"/>
        </w:rPr>
        <w:t xml:space="preserve">and </w:t>
      </w:r>
      <w:r w:rsidRPr="00300B96">
        <w:rPr>
          <w:sz w:val="22"/>
          <w:szCs w:val="22"/>
        </w:rPr>
        <w:t xml:space="preserve">K-12 school districts. </w:t>
      </w:r>
      <w:r>
        <w:rPr>
          <w:sz w:val="22"/>
          <w:szCs w:val="22"/>
        </w:rPr>
        <w:t>This submission</w:t>
      </w:r>
      <w:r w:rsidRPr="00300B96">
        <w:rPr>
          <w:sz w:val="22"/>
          <w:szCs w:val="22"/>
        </w:rPr>
        <w:t xml:space="preserve"> request</w:t>
      </w:r>
      <w:r>
        <w:rPr>
          <w:sz w:val="22"/>
          <w:szCs w:val="22"/>
        </w:rPr>
        <w:t>s</w:t>
      </w:r>
      <w:r w:rsidRPr="00300B96">
        <w:rPr>
          <w:sz w:val="22"/>
          <w:szCs w:val="22"/>
        </w:rPr>
        <w:t xml:space="preserve"> clearance to conduct these surveys </w:t>
      </w:r>
      <w:r>
        <w:rPr>
          <w:sz w:val="22"/>
          <w:szCs w:val="22"/>
        </w:rPr>
        <w:t>for the 2015–16 through the 2018–19 collection cycles.</w:t>
      </w:r>
    </w:p>
    <w:p w:rsidR="001C6C8F" w:rsidRPr="00300B96" w:rsidRDefault="001C6C8F" w:rsidP="001C6C8F">
      <w:pPr>
        <w:pStyle w:val="NormalWeb"/>
        <w:spacing w:before="0" w:beforeAutospacing="0" w:after="0" w:afterAutospacing="0"/>
        <w:jc w:val="both"/>
        <w:rPr>
          <w:sz w:val="22"/>
          <w:szCs w:val="22"/>
        </w:rPr>
      </w:pPr>
    </w:p>
    <w:p w:rsidR="001C6C8F" w:rsidRPr="00300B96" w:rsidRDefault="001C6C8F" w:rsidP="001C6C8F">
      <w:pPr>
        <w:pStyle w:val="NormalWeb"/>
        <w:spacing w:before="0" w:beforeAutospacing="0" w:after="0" w:afterAutospacing="0"/>
        <w:jc w:val="both"/>
        <w:rPr>
          <w:sz w:val="22"/>
          <w:szCs w:val="22"/>
        </w:rPr>
      </w:pPr>
      <w:r w:rsidRPr="00300B96">
        <w:rPr>
          <w:sz w:val="22"/>
          <w:szCs w:val="22"/>
        </w:rPr>
        <w:t>NSF understands that in the absence of longitudinal data for both control and experimental groups, that it is not possible to conclusively attribute changes in student achievement (e.g., course completion, performance on accountability assessments) to the MSP program and has not and will not attribute observed changes to the program. The system is, therefore, intended to obtain descriptive information about the MSP projects and their participants in the project. Given that the MSP Management Information System is designed as a monitoring system, this limitation is to be expected.</w:t>
      </w:r>
      <w:r>
        <w:rPr>
          <w:sz w:val="22"/>
          <w:szCs w:val="22"/>
        </w:rPr>
        <w:t xml:space="preserve"> Information collected will be used as a data source for the program evaluation.</w:t>
      </w:r>
    </w:p>
    <w:p w:rsidR="001C6C8F" w:rsidRPr="00300B96" w:rsidRDefault="001C6C8F" w:rsidP="001C6C8F">
      <w:pPr>
        <w:pStyle w:val="NormalWeb"/>
        <w:spacing w:before="0" w:beforeAutospacing="0" w:after="0" w:afterAutospacing="0"/>
        <w:jc w:val="both"/>
        <w:rPr>
          <w:sz w:val="22"/>
          <w:szCs w:val="22"/>
        </w:rPr>
      </w:pPr>
    </w:p>
    <w:p w:rsidR="001C6C8F" w:rsidRPr="00512EC8" w:rsidRDefault="001C6C8F" w:rsidP="001C6C8F">
      <w:pPr>
        <w:pStyle w:val="NormalWeb"/>
        <w:spacing w:before="0" w:beforeAutospacing="0" w:after="0" w:afterAutospacing="0"/>
        <w:jc w:val="both"/>
        <w:rPr>
          <w:sz w:val="22"/>
          <w:szCs w:val="22"/>
        </w:rPr>
      </w:pPr>
      <w:r w:rsidRPr="00300B96">
        <w:rPr>
          <w:sz w:val="22"/>
          <w:szCs w:val="22"/>
        </w:rPr>
        <w:t>A second limitation is that the system requests that projects provide annual narrative information on the implementation and impact of individual activities. Because this represents self-reported assessments of project impact, additional information may be needed to assess whether these improvements actually occurred. Nonetheless, as part of the ongoing monitoring process, these self-reported findings can be used to help NSF staff and independent evaluators identify potentially promising practices that warrant further study. In addition, to the extent possible, these narratives will be examined during the validation process to assess whether additional information is needed to reinforce projects</w:t>
      </w:r>
      <w:r>
        <w:rPr>
          <w:sz w:val="22"/>
          <w:szCs w:val="22"/>
        </w:rPr>
        <w:t>’</w:t>
      </w:r>
      <w:r w:rsidRPr="00300B96">
        <w:rPr>
          <w:sz w:val="22"/>
          <w:szCs w:val="22"/>
        </w:rPr>
        <w:t xml:space="preserve"> claims of success.</w:t>
      </w:r>
      <w:r>
        <w:rPr>
          <w:sz w:val="22"/>
          <w:szCs w:val="22"/>
        </w:rPr>
        <w:t xml:space="preserve"> </w:t>
      </w:r>
    </w:p>
    <w:p w:rsidR="001C6C8F" w:rsidRPr="00477625" w:rsidRDefault="001C6C8F" w:rsidP="001C6C8F">
      <w:pPr>
        <w:pStyle w:val="NormalWeb"/>
        <w:spacing w:before="0" w:beforeAutospacing="0" w:after="0" w:afterAutospacing="0"/>
        <w:jc w:val="both"/>
        <w:rPr>
          <w:sz w:val="22"/>
          <w:szCs w:val="22"/>
        </w:rPr>
      </w:pPr>
    </w:p>
    <w:p w:rsidR="001C6C8F" w:rsidRPr="00477625" w:rsidRDefault="001C6C8F" w:rsidP="001C6C8F">
      <w:pPr>
        <w:pStyle w:val="Heading3"/>
        <w:spacing w:before="0" w:beforeAutospacing="0" w:after="0" w:afterAutospacing="0"/>
        <w:jc w:val="both"/>
        <w:rPr>
          <w:rFonts w:ascii="Times New Roman" w:hAnsi="Times New Roman"/>
        </w:rPr>
      </w:pPr>
      <w:r w:rsidRPr="00477625">
        <w:rPr>
          <w:rFonts w:ascii="Times New Roman" w:hAnsi="Times New Roman"/>
        </w:rPr>
        <w:t>B.2.1.</w:t>
      </w:r>
      <w:r>
        <w:rPr>
          <w:rFonts w:ascii="Times New Roman" w:hAnsi="Times New Roman"/>
        </w:rPr>
        <w:tab/>
      </w:r>
      <w:r w:rsidRPr="00477625">
        <w:rPr>
          <w:rFonts w:ascii="Times New Roman" w:hAnsi="Times New Roman"/>
        </w:rPr>
        <w:t>Statistical Methodology for Stratification and Sample Selection</w:t>
      </w:r>
    </w:p>
    <w:p w:rsidR="001C6C8F" w:rsidRPr="00477625" w:rsidRDefault="001C6C8F" w:rsidP="001C6C8F">
      <w:pPr>
        <w:pStyle w:val="Heading3"/>
        <w:spacing w:before="0" w:beforeAutospacing="0" w:after="0" w:afterAutospacing="0"/>
        <w:jc w:val="both"/>
        <w:rPr>
          <w:rFonts w:ascii="Times New Roman" w:hAnsi="Times New Roman"/>
        </w:rPr>
      </w:pPr>
    </w:p>
    <w:p w:rsidR="001C6C8F" w:rsidRPr="00477625" w:rsidRDefault="001C6C8F" w:rsidP="001C6C8F">
      <w:pPr>
        <w:pStyle w:val="NormalWeb"/>
        <w:spacing w:before="0" w:beforeAutospacing="0" w:after="0" w:afterAutospacing="0"/>
        <w:jc w:val="both"/>
        <w:rPr>
          <w:sz w:val="22"/>
          <w:szCs w:val="22"/>
        </w:rPr>
      </w:pPr>
      <w:r w:rsidRPr="00477625">
        <w:rPr>
          <w:sz w:val="22"/>
          <w:szCs w:val="22"/>
        </w:rPr>
        <w:t xml:space="preserve">This study is a census of all MSP projects and all participants within projects. No sampling methodology will be employed for respondent selection. </w:t>
      </w:r>
    </w:p>
    <w:p w:rsidR="001C6C8F" w:rsidRPr="00477625" w:rsidRDefault="001C6C8F" w:rsidP="001C6C8F">
      <w:pPr>
        <w:pStyle w:val="NormalWeb"/>
        <w:spacing w:before="0" w:beforeAutospacing="0" w:after="0" w:afterAutospacing="0"/>
        <w:jc w:val="both"/>
        <w:rPr>
          <w:sz w:val="22"/>
          <w:szCs w:val="22"/>
        </w:rPr>
      </w:pPr>
    </w:p>
    <w:p w:rsidR="001C6C8F" w:rsidRPr="00477625" w:rsidRDefault="001C6C8F" w:rsidP="001C6C8F">
      <w:pPr>
        <w:pStyle w:val="Heading3"/>
        <w:spacing w:before="0" w:beforeAutospacing="0" w:after="0" w:afterAutospacing="0"/>
        <w:jc w:val="both"/>
        <w:rPr>
          <w:rFonts w:ascii="Times New Roman" w:hAnsi="Times New Roman"/>
        </w:rPr>
      </w:pPr>
      <w:r w:rsidRPr="00477625">
        <w:rPr>
          <w:rFonts w:ascii="Times New Roman" w:hAnsi="Times New Roman"/>
        </w:rPr>
        <w:t>B.2.2.</w:t>
      </w:r>
      <w:r>
        <w:rPr>
          <w:rFonts w:ascii="Times New Roman" w:hAnsi="Times New Roman"/>
        </w:rPr>
        <w:tab/>
      </w:r>
      <w:r w:rsidRPr="00477625">
        <w:rPr>
          <w:rFonts w:ascii="Times New Roman" w:hAnsi="Times New Roman"/>
        </w:rPr>
        <w:t>Estimation Procedure</w:t>
      </w:r>
    </w:p>
    <w:p w:rsidR="001C6C8F" w:rsidRPr="00477625" w:rsidRDefault="001C6C8F" w:rsidP="001C6C8F">
      <w:pPr>
        <w:pStyle w:val="Heading3"/>
        <w:spacing w:before="0" w:beforeAutospacing="0" w:after="0" w:afterAutospacing="0"/>
        <w:jc w:val="both"/>
        <w:rPr>
          <w:rFonts w:ascii="Times New Roman" w:hAnsi="Times New Roman"/>
        </w:rPr>
      </w:pPr>
    </w:p>
    <w:p w:rsidR="001C6C8F" w:rsidRPr="00477625" w:rsidRDefault="001C6C8F" w:rsidP="001C6C8F">
      <w:pPr>
        <w:jc w:val="both"/>
        <w:rPr>
          <w:rFonts w:ascii="Times New Roman" w:hAnsi="Times New Roman"/>
          <w:sz w:val="22"/>
          <w:szCs w:val="22"/>
        </w:rPr>
      </w:pPr>
      <w:r w:rsidRPr="00477625">
        <w:rPr>
          <w:rFonts w:ascii="Times New Roman" w:hAnsi="Times New Roman"/>
          <w:sz w:val="22"/>
          <w:szCs w:val="22"/>
        </w:rPr>
        <w:t>Not Applicable</w:t>
      </w:r>
    </w:p>
    <w:p w:rsidR="001C6C8F" w:rsidRPr="00477625" w:rsidRDefault="001C6C8F" w:rsidP="001C6C8F">
      <w:pPr>
        <w:jc w:val="both"/>
        <w:rPr>
          <w:rFonts w:ascii="Times New Roman" w:hAnsi="Times New Roman"/>
          <w:sz w:val="22"/>
          <w:szCs w:val="22"/>
        </w:rPr>
      </w:pPr>
    </w:p>
    <w:p w:rsidR="001C6C8F" w:rsidRPr="00477625" w:rsidRDefault="001C6C8F" w:rsidP="001C6C8F">
      <w:pPr>
        <w:pStyle w:val="Heading3"/>
        <w:spacing w:before="0" w:beforeAutospacing="0" w:after="0" w:afterAutospacing="0"/>
        <w:jc w:val="both"/>
        <w:rPr>
          <w:rFonts w:ascii="Times New Roman" w:hAnsi="Times New Roman"/>
        </w:rPr>
      </w:pPr>
      <w:r w:rsidRPr="00477625">
        <w:rPr>
          <w:rFonts w:ascii="Times New Roman" w:hAnsi="Times New Roman"/>
        </w:rPr>
        <w:t>B.2.3.</w:t>
      </w:r>
      <w:r>
        <w:rPr>
          <w:rFonts w:ascii="Times New Roman" w:hAnsi="Times New Roman"/>
        </w:rPr>
        <w:tab/>
      </w:r>
      <w:r w:rsidRPr="00477625">
        <w:rPr>
          <w:rFonts w:ascii="Times New Roman" w:hAnsi="Times New Roman"/>
        </w:rPr>
        <w:t>Degree of Accuracy Needed for the Purpose Described in the Justification</w:t>
      </w:r>
    </w:p>
    <w:p w:rsidR="001C6C8F" w:rsidRPr="00477625" w:rsidRDefault="001C6C8F" w:rsidP="001C6C8F">
      <w:pPr>
        <w:pStyle w:val="Heading3"/>
        <w:spacing w:before="0" w:beforeAutospacing="0" w:after="0" w:afterAutospacing="0"/>
        <w:jc w:val="both"/>
        <w:rPr>
          <w:rFonts w:ascii="Times New Roman" w:hAnsi="Times New Roman"/>
        </w:rPr>
      </w:pPr>
    </w:p>
    <w:p w:rsidR="001C6C8F" w:rsidRPr="00477625" w:rsidRDefault="001C6C8F" w:rsidP="001C6C8F">
      <w:pPr>
        <w:jc w:val="both"/>
        <w:rPr>
          <w:rFonts w:ascii="Times New Roman" w:hAnsi="Times New Roman"/>
          <w:sz w:val="22"/>
          <w:szCs w:val="22"/>
        </w:rPr>
      </w:pPr>
      <w:r w:rsidRPr="00477625">
        <w:rPr>
          <w:rFonts w:ascii="Times New Roman" w:hAnsi="Times New Roman"/>
          <w:sz w:val="22"/>
          <w:szCs w:val="22"/>
        </w:rPr>
        <w:t>Not Applicable</w:t>
      </w:r>
    </w:p>
    <w:p w:rsidR="001C6C8F" w:rsidRPr="00477625" w:rsidRDefault="001C6C8F" w:rsidP="001C6C8F">
      <w:pPr>
        <w:jc w:val="both"/>
        <w:rPr>
          <w:rFonts w:ascii="Times New Roman" w:hAnsi="Times New Roman"/>
          <w:sz w:val="22"/>
          <w:szCs w:val="22"/>
        </w:rPr>
      </w:pPr>
    </w:p>
    <w:p w:rsidR="001C6C8F" w:rsidRPr="00477625" w:rsidRDefault="001C6C8F" w:rsidP="001C6C8F">
      <w:pPr>
        <w:pStyle w:val="Heading3"/>
        <w:spacing w:before="0" w:beforeAutospacing="0" w:after="0" w:afterAutospacing="0"/>
        <w:jc w:val="both"/>
        <w:rPr>
          <w:rFonts w:ascii="Times New Roman" w:hAnsi="Times New Roman"/>
        </w:rPr>
      </w:pPr>
      <w:r w:rsidRPr="00477625">
        <w:rPr>
          <w:rFonts w:ascii="Times New Roman" w:hAnsi="Times New Roman"/>
        </w:rPr>
        <w:t>B.2.4.</w:t>
      </w:r>
      <w:r>
        <w:rPr>
          <w:rFonts w:ascii="Times New Roman" w:hAnsi="Times New Roman"/>
        </w:rPr>
        <w:tab/>
      </w:r>
      <w:r w:rsidRPr="00477625">
        <w:rPr>
          <w:rFonts w:ascii="Times New Roman" w:hAnsi="Times New Roman"/>
        </w:rPr>
        <w:t>Unusual Problems Requiring Specialized Sampling Procedures</w:t>
      </w:r>
    </w:p>
    <w:p w:rsidR="001C6C8F" w:rsidRPr="00477625" w:rsidRDefault="001C6C8F" w:rsidP="001C6C8F">
      <w:pPr>
        <w:pStyle w:val="Heading3"/>
        <w:spacing w:before="0" w:beforeAutospacing="0" w:after="0" w:afterAutospacing="0"/>
        <w:jc w:val="both"/>
        <w:rPr>
          <w:rFonts w:ascii="Times New Roman" w:hAnsi="Times New Roman"/>
        </w:rPr>
      </w:pPr>
    </w:p>
    <w:p w:rsidR="001C6C8F" w:rsidRPr="00477625" w:rsidRDefault="001C6C8F" w:rsidP="001C6C8F">
      <w:pPr>
        <w:jc w:val="both"/>
        <w:rPr>
          <w:rFonts w:ascii="Times New Roman" w:hAnsi="Times New Roman"/>
          <w:sz w:val="22"/>
          <w:szCs w:val="22"/>
        </w:rPr>
      </w:pPr>
      <w:r w:rsidRPr="00477625">
        <w:rPr>
          <w:rFonts w:ascii="Times New Roman" w:hAnsi="Times New Roman"/>
          <w:sz w:val="22"/>
          <w:szCs w:val="22"/>
        </w:rPr>
        <w:t>Not Applicable</w:t>
      </w:r>
    </w:p>
    <w:p w:rsidR="001C6C8F" w:rsidRPr="00477625" w:rsidRDefault="001C6C8F" w:rsidP="001C6C8F">
      <w:pPr>
        <w:jc w:val="both"/>
        <w:rPr>
          <w:rFonts w:ascii="Times New Roman" w:hAnsi="Times New Roman"/>
          <w:sz w:val="22"/>
          <w:szCs w:val="22"/>
        </w:rPr>
      </w:pPr>
    </w:p>
    <w:p w:rsidR="001C6C8F" w:rsidRPr="00477625" w:rsidRDefault="001C6C8F" w:rsidP="001C6C8F">
      <w:pPr>
        <w:pStyle w:val="Heading3"/>
        <w:spacing w:before="0" w:beforeAutospacing="0" w:after="0" w:afterAutospacing="0"/>
        <w:jc w:val="both"/>
        <w:rPr>
          <w:rFonts w:ascii="Times New Roman" w:hAnsi="Times New Roman"/>
        </w:rPr>
      </w:pPr>
      <w:r w:rsidRPr="00477625">
        <w:rPr>
          <w:rFonts w:ascii="Times New Roman" w:hAnsi="Times New Roman"/>
        </w:rPr>
        <w:t>B.2.5.</w:t>
      </w:r>
      <w:r>
        <w:rPr>
          <w:rFonts w:ascii="Times New Roman" w:hAnsi="Times New Roman"/>
        </w:rPr>
        <w:tab/>
      </w:r>
      <w:r w:rsidRPr="00477625">
        <w:rPr>
          <w:rFonts w:ascii="Times New Roman" w:hAnsi="Times New Roman"/>
        </w:rPr>
        <w:t>Use of Periodic (Less Frequent Than Annual) Data Collection Cycles</w:t>
      </w:r>
    </w:p>
    <w:p w:rsidR="001C6C8F" w:rsidRPr="00477625" w:rsidRDefault="001C6C8F" w:rsidP="001C6C8F">
      <w:pPr>
        <w:pStyle w:val="Heading3"/>
        <w:spacing w:before="0" w:beforeAutospacing="0" w:after="0" w:afterAutospacing="0"/>
        <w:jc w:val="both"/>
        <w:rPr>
          <w:rFonts w:ascii="Times New Roman" w:hAnsi="Times New Roman"/>
        </w:rPr>
      </w:pPr>
    </w:p>
    <w:p w:rsidR="001C6C8F" w:rsidRPr="00477625" w:rsidRDefault="001C6C8F" w:rsidP="001C6C8F">
      <w:pPr>
        <w:jc w:val="both"/>
        <w:rPr>
          <w:rFonts w:ascii="Times New Roman" w:hAnsi="Times New Roman"/>
          <w:sz w:val="22"/>
          <w:szCs w:val="22"/>
        </w:rPr>
      </w:pPr>
      <w:r w:rsidRPr="00477625">
        <w:rPr>
          <w:rFonts w:ascii="Times New Roman" w:hAnsi="Times New Roman"/>
          <w:sz w:val="22"/>
          <w:szCs w:val="22"/>
        </w:rPr>
        <w:t>Not Applicable</w:t>
      </w:r>
    </w:p>
    <w:p w:rsidR="001C6C8F" w:rsidRPr="00477625" w:rsidRDefault="001C6C8F" w:rsidP="001C6C8F">
      <w:pPr>
        <w:jc w:val="both"/>
        <w:rPr>
          <w:rFonts w:ascii="Times New Roman" w:hAnsi="Times New Roman"/>
          <w:sz w:val="22"/>
          <w:szCs w:val="22"/>
        </w:rPr>
      </w:pPr>
    </w:p>
    <w:p w:rsidR="001C6C8F" w:rsidRDefault="001C6C8F" w:rsidP="001C6C8F">
      <w:pPr>
        <w:rPr>
          <w:rFonts w:ascii="Times New Roman" w:hAnsi="Times New Roman"/>
          <w:b/>
          <w:bCs/>
          <w:sz w:val="22"/>
          <w:szCs w:val="22"/>
        </w:rPr>
      </w:pPr>
      <w:r>
        <w:rPr>
          <w:rFonts w:ascii="Times New Roman" w:hAnsi="Times New Roman"/>
        </w:rPr>
        <w:br w:type="page"/>
      </w:r>
    </w:p>
    <w:p w:rsidR="001C6C8F" w:rsidRPr="00477625" w:rsidRDefault="001C6C8F" w:rsidP="001C6C8F">
      <w:pPr>
        <w:pStyle w:val="Heading3"/>
        <w:spacing w:before="0" w:beforeAutospacing="0" w:after="0" w:afterAutospacing="0"/>
        <w:jc w:val="both"/>
        <w:rPr>
          <w:rFonts w:ascii="Times New Roman" w:hAnsi="Times New Roman"/>
        </w:rPr>
      </w:pPr>
      <w:r w:rsidRPr="00477625">
        <w:rPr>
          <w:rFonts w:ascii="Times New Roman" w:hAnsi="Times New Roman"/>
        </w:rPr>
        <w:lastRenderedPageBreak/>
        <w:t>B.3.</w:t>
      </w:r>
      <w:r>
        <w:rPr>
          <w:rFonts w:ascii="Times New Roman" w:hAnsi="Times New Roman"/>
        </w:rPr>
        <w:tab/>
      </w:r>
      <w:r w:rsidRPr="00477625">
        <w:rPr>
          <w:rFonts w:ascii="Times New Roman" w:hAnsi="Times New Roman"/>
        </w:rPr>
        <w:t>Methods for Maximizing the Response Rate and Addressing Issues of Nonresponse</w:t>
      </w:r>
    </w:p>
    <w:p w:rsidR="001C6C8F" w:rsidRPr="00477625" w:rsidRDefault="001C6C8F" w:rsidP="001C6C8F">
      <w:pPr>
        <w:pStyle w:val="Heading3"/>
        <w:spacing w:before="0" w:beforeAutospacing="0" w:after="0" w:afterAutospacing="0"/>
        <w:jc w:val="both"/>
        <w:rPr>
          <w:rFonts w:ascii="Times New Roman" w:hAnsi="Times New Roman"/>
        </w:rPr>
      </w:pPr>
    </w:p>
    <w:p w:rsidR="001C6C8F" w:rsidRDefault="001C6C8F" w:rsidP="001C6C8F">
      <w:pPr>
        <w:pStyle w:val="NormalWeb"/>
        <w:spacing w:before="0" w:beforeAutospacing="0" w:after="0" w:afterAutospacing="0"/>
        <w:jc w:val="both"/>
        <w:rPr>
          <w:sz w:val="22"/>
          <w:szCs w:val="22"/>
        </w:rPr>
      </w:pPr>
      <w:r w:rsidRPr="006E0996">
        <w:rPr>
          <w:sz w:val="22"/>
          <w:szCs w:val="22"/>
        </w:rPr>
        <w:t xml:space="preserve">Data collected for the online monitoring information system are considered part of NSF administrative </w:t>
      </w:r>
      <w:r w:rsidRPr="00303B0F">
        <w:rPr>
          <w:sz w:val="22"/>
          <w:szCs w:val="22"/>
        </w:rPr>
        <w:t>requirements for awardees and therefore need to be completed in order for projects to maintain current funding levels. Therefore, we anticipate a response rate of 100 percent for each survey cycle for most of the surveys.</w:t>
      </w:r>
      <w:r>
        <w:rPr>
          <w:sz w:val="22"/>
          <w:szCs w:val="22"/>
        </w:rPr>
        <w:t xml:space="preserve"> </w:t>
      </w:r>
      <w:r w:rsidRPr="00303B0F">
        <w:rPr>
          <w:sz w:val="22"/>
          <w:szCs w:val="22"/>
        </w:rPr>
        <w:t xml:space="preserve">The exceptions are the IHE Participant Survey (where we achieved a response rate of </w:t>
      </w:r>
      <w:r>
        <w:rPr>
          <w:sz w:val="22"/>
          <w:szCs w:val="22"/>
        </w:rPr>
        <w:t>83.4</w:t>
      </w:r>
      <w:r w:rsidRPr="00303B0F">
        <w:rPr>
          <w:sz w:val="22"/>
          <w:szCs w:val="22"/>
        </w:rPr>
        <w:t xml:space="preserve">percent of Comprehensive and Targeted MSP participants and </w:t>
      </w:r>
      <w:r>
        <w:rPr>
          <w:sz w:val="22"/>
          <w:szCs w:val="22"/>
        </w:rPr>
        <w:t>84.5</w:t>
      </w:r>
      <w:r w:rsidRPr="00303B0F">
        <w:rPr>
          <w:sz w:val="22"/>
          <w:szCs w:val="22"/>
        </w:rPr>
        <w:t xml:space="preserve"> percent of Institute MSP participants for the 20</w:t>
      </w:r>
      <w:r>
        <w:rPr>
          <w:sz w:val="22"/>
          <w:szCs w:val="22"/>
        </w:rPr>
        <w:t>13–14</w:t>
      </w:r>
      <w:r w:rsidRPr="00303B0F">
        <w:rPr>
          <w:sz w:val="22"/>
          <w:szCs w:val="22"/>
        </w:rPr>
        <w:t xml:space="preserve"> collection cycle) and the Annual Survey for MSP Institute K-12 Participants (where we achieved a response rate of </w:t>
      </w:r>
      <w:r>
        <w:rPr>
          <w:sz w:val="22"/>
          <w:szCs w:val="22"/>
        </w:rPr>
        <w:t>83.4</w:t>
      </w:r>
      <w:r w:rsidRPr="00303B0F">
        <w:rPr>
          <w:sz w:val="22"/>
          <w:szCs w:val="22"/>
        </w:rPr>
        <w:t xml:space="preserve"> percent).</w:t>
      </w:r>
    </w:p>
    <w:p w:rsidR="001C6C8F" w:rsidRDefault="001C6C8F" w:rsidP="001C6C8F">
      <w:pPr>
        <w:pStyle w:val="NormalWeb"/>
        <w:spacing w:before="0" w:beforeAutospacing="0" w:after="0" w:afterAutospacing="0"/>
        <w:jc w:val="both"/>
        <w:rPr>
          <w:sz w:val="22"/>
          <w:szCs w:val="22"/>
        </w:rPr>
      </w:pPr>
    </w:p>
    <w:p w:rsidR="001C6C8F" w:rsidRPr="00477625" w:rsidRDefault="001C6C8F" w:rsidP="001C6C8F">
      <w:pPr>
        <w:pStyle w:val="NormalWeb"/>
        <w:spacing w:before="0" w:beforeAutospacing="0" w:after="0" w:afterAutospacing="0"/>
        <w:jc w:val="both"/>
        <w:rPr>
          <w:sz w:val="22"/>
          <w:szCs w:val="22"/>
        </w:rPr>
      </w:pPr>
      <w:r w:rsidRPr="00477625">
        <w:rPr>
          <w:sz w:val="22"/>
          <w:szCs w:val="22"/>
        </w:rPr>
        <w:t>Each MSP project</w:t>
      </w:r>
      <w:r>
        <w:rPr>
          <w:sz w:val="22"/>
          <w:szCs w:val="22"/>
        </w:rPr>
        <w:t>’</w:t>
      </w:r>
      <w:r w:rsidRPr="00477625">
        <w:rPr>
          <w:sz w:val="22"/>
          <w:szCs w:val="22"/>
        </w:rPr>
        <w:t>s PI will be responsible for ensuring that individual data are obtained from partners and participants in project activities (i.e., K-12 school districts, IHE partners, and IHE participants of the Comprehensive and Targeted MSP projects and the IHE participants of the Institute MSP projects). Each PI will have access to an up-to-date list located on the Web site that will indicate who still needs to respond to the survey.</w:t>
      </w:r>
    </w:p>
    <w:p w:rsidR="001C6C8F" w:rsidRPr="00477625" w:rsidRDefault="001C6C8F" w:rsidP="001C6C8F">
      <w:pPr>
        <w:pStyle w:val="NormalWeb"/>
        <w:spacing w:before="0" w:beforeAutospacing="0" w:after="0" w:afterAutospacing="0"/>
        <w:jc w:val="both"/>
        <w:rPr>
          <w:sz w:val="22"/>
          <w:szCs w:val="22"/>
        </w:rPr>
      </w:pPr>
    </w:p>
    <w:p w:rsidR="001C6C8F" w:rsidRPr="00AA20BC" w:rsidRDefault="001C6C8F" w:rsidP="001C6C8F">
      <w:pPr>
        <w:pStyle w:val="NormalWeb"/>
        <w:spacing w:before="0" w:beforeAutospacing="0" w:after="0" w:afterAutospacing="0"/>
        <w:jc w:val="both"/>
        <w:rPr>
          <w:sz w:val="22"/>
          <w:szCs w:val="22"/>
        </w:rPr>
      </w:pPr>
      <w:r w:rsidRPr="00477625">
        <w:rPr>
          <w:sz w:val="22"/>
          <w:szCs w:val="22"/>
        </w:rPr>
        <w:t>PIs will be provided with several types of assistance to ensure that they understand the importance of the data collection effort, their responsibilities for providing the data, and the technical aspects of data submission.</w:t>
      </w:r>
      <w:r>
        <w:rPr>
          <w:sz w:val="22"/>
          <w:szCs w:val="22"/>
        </w:rPr>
        <w:t xml:space="preserve"> For example, t</w:t>
      </w:r>
      <w:r w:rsidRPr="00AA20BC">
        <w:rPr>
          <w:sz w:val="22"/>
          <w:szCs w:val="22"/>
        </w:rPr>
        <w:t>hroughout the data collection cycle, Westat will provide respondents with online and telephone support to help them navigate the web site and address specific content issues.</w:t>
      </w:r>
      <w:r>
        <w:rPr>
          <w:sz w:val="22"/>
          <w:szCs w:val="22"/>
        </w:rPr>
        <w:t xml:space="preserve"> The “Home” screen of each survey</w:t>
      </w:r>
      <w:r w:rsidRPr="009E5371">
        <w:rPr>
          <w:sz w:val="22"/>
          <w:szCs w:val="22"/>
        </w:rPr>
        <w:t xml:space="preserve"> provides names and contact information of contractor staff to contact with questions and comments. </w:t>
      </w:r>
      <w:r>
        <w:rPr>
          <w:sz w:val="22"/>
          <w:szCs w:val="22"/>
        </w:rPr>
        <w:t>Text throughout the online surveys provides</w:t>
      </w:r>
      <w:r w:rsidRPr="00477625">
        <w:rPr>
          <w:sz w:val="22"/>
          <w:szCs w:val="22"/>
        </w:rPr>
        <w:t xml:space="preserve"> </w:t>
      </w:r>
      <w:r>
        <w:rPr>
          <w:sz w:val="22"/>
          <w:szCs w:val="22"/>
        </w:rPr>
        <w:t xml:space="preserve">screen-specific </w:t>
      </w:r>
      <w:r w:rsidRPr="00477625">
        <w:rPr>
          <w:sz w:val="22"/>
          <w:szCs w:val="22"/>
        </w:rPr>
        <w:t xml:space="preserve">instructions, definitions, and guidelines for </w:t>
      </w:r>
      <w:r>
        <w:rPr>
          <w:sz w:val="22"/>
          <w:szCs w:val="22"/>
        </w:rPr>
        <w:t xml:space="preserve">survey </w:t>
      </w:r>
      <w:r w:rsidRPr="00477625">
        <w:rPr>
          <w:sz w:val="22"/>
          <w:szCs w:val="22"/>
        </w:rPr>
        <w:t xml:space="preserve">completion. </w:t>
      </w:r>
      <w:r>
        <w:rPr>
          <w:sz w:val="22"/>
          <w:szCs w:val="22"/>
        </w:rPr>
        <w:t>A “Help” screen, accessible from any point in the surveys,</w:t>
      </w:r>
      <w:r w:rsidRPr="00477625">
        <w:rPr>
          <w:sz w:val="22"/>
          <w:szCs w:val="22"/>
        </w:rPr>
        <w:t xml:space="preserve"> </w:t>
      </w:r>
      <w:r>
        <w:rPr>
          <w:sz w:val="22"/>
          <w:szCs w:val="22"/>
        </w:rPr>
        <w:t xml:space="preserve">provides navigational instructions and answers frequently asked questions. </w:t>
      </w:r>
      <w:r w:rsidRPr="00AA20BC">
        <w:rPr>
          <w:sz w:val="22"/>
          <w:szCs w:val="22"/>
        </w:rPr>
        <w:t>As the due dates for data collection approach, Westat will monitor the response patterns of individual projects to identify respondents that need additional prompting and/or assistance. Issues regarding item non-response will be handled through the Web-based system, which requires that all mandatory items be completed as a condition of final submittal to NSF.</w:t>
      </w:r>
      <w:r>
        <w:rPr>
          <w:sz w:val="22"/>
          <w:szCs w:val="22"/>
        </w:rPr>
        <w:t xml:space="preserve"> </w:t>
      </w:r>
      <w:r w:rsidRPr="009E5371">
        <w:rPr>
          <w:sz w:val="22"/>
          <w:szCs w:val="22"/>
        </w:rPr>
        <w:t xml:space="preserve"> In addition, follow-up letters or emails are used to remind each project of the data collection. The letters are found in Attachment J</w:t>
      </w:r>
      <w:r>
        <w:rPr>
          <w:sz w:val="22"/>
          <w:szCs w:val="22"/>
        </w:rPr>
        <w:t>.</w:t>
      </w:r>
    </w:p>
    <w:p w:rsidR="001C6C8F" w:rsidRPr="00AA20BC" w:rsidRDefault="001C6C8F" w:rsidP="001C6C8F">
      <w:pPr>
        <w:pStyle w:val="NormalWeb"/>
        <w:spacing w:before="0" w:beforeAutospacing="0" w:after="0" w:afterAutospacing="0"/>
        <w:jc w:val="both"/>
        <w:rPr>
          <w:sz w:val="22"/>
          <w:szCs w:val="22"/>
        </w:rPr>
      </w:pPr>
    </w:p>
    <w:p w:rsidR="001C6C8F" w:rsidRDefault="001C6C8F" w:rsidP="001C6C8F">
      <w:pPr>
        <w:pStyle w:val="NormalWeb"/>
        <w:spacing w:before="0" w:beforeAutospacing="0" w:after="0" w:afterAutospacing="0"/>
        <w:jc w:val="both"/>
        <w:rPr>
          <w:sz w:val="22"/>
          <w:szCs w:val="22"/>
        </w:rPr>
      </w:pPr>
      <w:r w:rsidRPr="00AA20BC">
        <w:rPr>
          <w:sz w:val="22"/>
          <w:szCs w:val="22"/>
        </w:rPr>
        <w:t>We believe that estimate</w:t>
      </w:r>
      <w:r>
        <w:rPr>
          <w:sz w:val="22"/>
          <w:szCs w:val="22"/>
        </w:rPr>
        <w:t>s</w:t>
      </w:r>
      <w:r w:rsidRPr="00AA20BC">
        <w:rPr>
          <w:sz w:val="22"/>
          <w:szCs w:val="22"/>
        </w:rPr>
        <w:t xml:space="preserve"> of a 100 percent response rate for the Partnership Project Surveys</w:t>
      </w:r>
      <w:r>
        <w:rPr>
          <w:sz w:val="22"/>
          <w:szCs w:val="22"/>
        </w:rPr>
        <w:t>, IHE Partner Survey</w:t>
      </w:r>
      <w:r w:rsidRPr="00AA20BC">
        <w:rPr>
          <w:sz w:val="22"/>
          <w:szCs w:val="22"/>
        </w:rPr>
        <w:t>,</w:t>
      </w:r>
      <w:r>
        <w:rPr>
          <w:sz w:val="22"/>
          <w:szCs w:val="22"/>
        </w:rPr>
        <w:t xml:space="preserve"> and Initial K-12 Participant Survey,</w:t>
      </w:r>
      <w:r w:rsidRPr="00AA20BC">
        <w:rPr>
          <w:sz w:val="22"/>
          <w:szCs w:val="22"/>
        </w:rPr>
        <w:t xml:space="preserve"> and </w:t>
      </w:r>
      <w:r>
        <w:rPr>
          <w:sz w:val="22"/>
          <w:szCs w:val="22"/>
        </w:rPr>
        <w:t xml:space="preserve">an </w:t>
      </w:r>
      <w:r w:rsidRPr="00C327D5">
        <w:rPr>
          <w:sz w:val="22"/>
          <w:szCs w:val="22"/>
        </w:rPr>
        <w:t>8</w:t>
      </w:r>
      <w:r>
        <w:rPr>
          <w:sz w:val="22"/>
          <w:szCs w:val="22"/>
        </w:rPr>
        <w:t>0</w:t>
      </w:r>
      <w:r w:rsidRPr="00AA20BC">
        <w:rPr>
          <w:sz w:val="22"/>
          <w:szCs w:val="22"/>
        </w:rPr>
        <w:t xml:space="preserve"> percent or higher response rate for the IHE Participant Surveys, Annual K-12 Participant Survey, and K-12 District Survey, are consistent with the results from the previous data collection cycles.</w:t>
      </w:r>
      <w:r>
        <w:rPr>
          <w:sz w:val="22"/>
          <w:szCs w:val="22"/>
        </w:rPr>
        <w:t xml:space="preserve"> </w:t>
      </w:r>
      <w:r w:rsidRPr="00AA20BC">
        <w:rPr>
          <w:sz w:val="22"/>
          <w:szCs w:val="22"/>
        </w:rPr>
        <w:t xml:space="preserve">These results are presented in Chart </w:t>
      </w:r>
      <w:r>
        <w:rPr>
          <w:sz w:val="22"/>
          <w:szCs w:val="22"/>
        </w:rPr>
        <w:t>9</w:t>
      </w:r>
      <w:r w:rsidRPr="00AA20BC">
        <w:rPr>
          <w:sz w:val="22"/>
          <w:szCs w:val="22"/>
        </w:rPr>
        <w:t>.</w:t>
      </w:r>
    </w:p>
    <w:p w:rsidR="001C6C8F" w:rsidRDefault="001C6C8F" w:rsidP="001C6C8F">
      <w:pPr>
        <w:pStyle w:val="NormalWeb"/>
        <w:spacing w:before="0" w:beforeAutospacing="0" w:after="0" w:afterAutospacing="0"/>
        <w:jc w:val="both"/>
        <w:rPr>
          <w:sz w:val="22"/>
          <w:szCs w:val="22"/>
        </w:rPr>
      </w:pPr>
    </w:p>
    <w:p w:rsidR="001C6C8F" w:rsidRDefault="001C6C8F" w:rsidP="001C6C8F">
      <w:pPr>
        <w:rPr>
          <w:rFonts w:ascii="Times New Roman" w:eastAsia="Times New Roman" w:hAnsi="Times New Roman"/>
          <w:b/>
          <w:bCs/>
          <w:sz w:val="22"/>
          <w:szCs w:val="22"/>
        </w:rPr>
      </w:pPr>
      <w:r>
        <w:rPr>
          <w:b/>
          <w:bCs/>
          <w:sz w:val="22"/>
          <w:szCs w:val="22"/>
        </w:rPr>
        <w:br w:type="page"/>
      </w:r>
    </w:p>
    <w:p w:rsidR="001C6C8F" w:rsidRPr="00477625" w:rsidRDefault="001C6C8F" w:rsidP="001C6C8F">
      <w:pPr>
        <w:pStyle w:val="NormalWeb"/>
        <w:spacing w:before="0" w:beforeAutospacing="0" w:after="120" w:afterAutospacing="0"/>
        <w:ind w:left="1026" w:hanging="1026"/>
        <w:jc w:val="both"/>
        <w:rPr>
          <w:sz w:val="22"/>
          <w:szCs w:val="22"/>
        </w:rPr>
      </w:pPr>
      <w:r w:rsidRPr="00477625">
        <w:rPr>
          <w:b/>
          <w:bCs/>
          <w:sz w:val="22"/>
          <w:szCs w:val="22"/>
        </w:rPr>
        <w:lastRenderedPageBreak/>
        <w:t xml:space="preserve">Chart </w:t>
      </w:r>
      <w:r>
        <w:rPr>
          <w:b/>
          <w:bCs/>
          <w:sz w:val="22"/>
          <w:szCs w:val="22"/>
        </w:rPr>
        <w:t>9</w:t>
      </w:r>
      <w:r w:rsidRPr="00477625">
        <w:rPr>
          <w:b/>
          <w:bCs/>
          <w:sz w:val="22"/>
          <w:szCs w:val="22"/>
        </w:rPr>
        <w:t>.</w:t>
      </w:r>
      <w:r>
        <w:rPr>
          <w:b/>
          <w:bCs/>
          <w:sz w:val="22"/>
          <w:szCs w:val="22"/>
        </w:rPr>
        <w:t>—</w:t>
      </w:r>
      <w:r w:rsidRPr="00477625">
        <w:rPr>
          <w:b/>
          <w:bCs/>
          <w:sz w:val="22"/>
          <w:szCs w:val="22"/>
        </w:rPr>
        <w:t>Actual Response Rates for First Data Collection Cycle and Expected Response Rates for Future Cycles</w:t>
      </w:r>
    </w:p>
    <w:tbl>
      <w:tblPr>
        <w:tblW w:w="91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8"/>
        <w:gridCol w:w="4126"/>
        <w:gridCol w:w="1898"/>
        <w:gridCol w:w="1898"/>
      </w:tblGrid>
      <w:tr w:rsidR="001C6C8F" w:rsidRPr="00477625" w:rsidTr="00C06F4F">
        <w:trPr>
          <w:tblCellSpacing w:w="0" w:type="dxa"/>
        </w:trPr>
        <w:tc>
          <w:tcPr>
            <w:tcW w:w="1268" w:type="dxa"/>
            <w:shd w:val="clear" w:color="auto" w:fill="auto"/>
            <w:vAlign w:val="bottom"/>
          </w:tcPr>
          <w:p w:rsidR="001C6C8F" w:rsidRPr="005517D2" w:rsidRDefault="001C6C8F" w:rsidP="00C06F4F">
            <w:pPr>
              <w:pStyle w:val="NormalWeb"/>
              <w:spacing w:before="0" w:beforeAutospacing="0" w:after="0" w:afterAutospacing="0"/>
              <w:jc w:val="center"/>
              <w:rPr>
                <w:sz w:val="20"/>
                <w:szCs w:val="20"/>
              </w:rPr>
            </w:pPr>
            <w:r w:rsidRPr="005517D2">
              <w:rPr>
                <w:b/>
                <w:bCs/>
                <w:sz w:val="20"/>
                <w:szCs w:val="20"/>
              </w:rPr>
              <w:t>Attachment</w:t>
            </w:r>
          </w:p>
        </w:tc>
        <w:tc>
          <w:tcPr>
            <w:tcW w:w="4126" w:type="dxa"/>
            <w:shd w:val="clear" w:color="auto" w:fill="auto"/>
            <w:vAlign w:val="bottom"/>
          </w:tcPr>
          <w:p w:rsidR="001C6C8F" w:rsidRPr="005517D2" w:rsidRDefault="001C6C8F" w:rsidP="00C06F4F">
            <w:pPr>
              <w:pStyle w:val="NormalWeb"/>
              <w:spacing w:before="0" w:beforeAutospacing="0" w:after="0" w:afterAutospacing="0"/>
              <w:jc w:val="center"/>
              <w:rPr>
                <w:sz w:val="20"/>
                <w:szCs w:val="20"/>
              </w:rPr>
            </w:pPr>
            <w:r w:rsidRPr="005517D2">
              <w:rPr>
                <w:b/>
                <w:bCs/>
                <w:sz w:val="20"/>
                <w:szCs w:val="20"/>
              </w:rPr>
              <w:t>Collection title</w:t>
            </w:r>
          </w:p>
        </w:tc>
        <w:tc>
          <w:tcPr>
            <w:tcW w:w="1898" w:type="dxa"/>
            <w:shd w:val="clear" w:color="auto" w:fill="auto"/>
            <w:vAlign w:val="bottom"/>
          </w:tcPr>
          <w:p w:rsidR="001C6C8F" w:rsidRPr="005517D2" w:rsidRDefault="001C6C8F" w:rsidP="00C06F4F">
            <w:pPr>
              <w:pStyle w:val="NormalWeb"/>
              <w:spacing w:before="0" w:beforeAutospacing="0" w:after="0" w:afterAutospacing="0"/>
              <w:jc w:val="center"/>
              <w:rPr>
                <w:sz w:val="20"/>
                <w:szCs w:val="20"/>
              </w:rPr>
            </w:pPr>
            <w:r w:rsidRPr="005517D2">
              <w:rPr>
                <w:b/>
                <w:bCs/>
                <w:sz w:val="20"/>
                <w:szCs w:val="20"/>
              </w:rPr>
              <w:t>Response Rate for 20</w:t>
            </w:r>
            <w:r>
              <w:rPr>
                <w:b/>
                <w:bCs/>
                <w:sz w:val="20"/>
                <w:szCs w:val="20"/>
              </w:rPr>
              <w:t>13–14</w:t>
            </w:r>
            <w:r w:rsidRPr="005517D2">
              <w:rPr>
                <w:b/>
                <w:bCs/>
                <w:sz w:val="20"/>
                <w:szCs w:val="20"/>
              </w:rPr>
              <w:t xml:space="preserve"> collection cycle </w:t>
            </w:r>
          </w:p>
        </w:tc>
        <w:tc>
          <w:tcPr>
            <w:tcW w:w="1898" w:type="dxa"/>
            <w:shd w:val="clear" w:color="auto" w:fill="auto"/>
            <w:vAlign w:val="bottom"/>
          </w:tcPr>
          <w:p w:rsidR="001C6C8F" w:rsidRPr="005517D2" w:rsidRDefault="001C6C8F" w:rsidP="00C06F4F">
            <w:pPr>
              <w:pStyle w:val="NormalWeb"/>
              <w:spacing w:before="0" w:beforeAutospacing="0" w:after="0" w:afterAutospacing="0"/>
              <w:jc w:val="center"/>
              <w:rPr>
                <w:sz w:val="20"/>
                <w:szCs w:val="20"/>
              </w:rPr>
            </w:pPr>
            <w:r w:rsidRPr="005517D2">
              <w:rPr>
                <w:b/>
                <w:bCs/>
                <w:sz w:val="20"/>
                <w:szCs w:val="20"/>
              </w:rPr>
              <w:t>Expected Response Rate for 20</w:t>
            </w:r>
            <w:r>
              <w:rPr>
                <w:b/>
                <w:bCs/>
                <w:sz w:val="20"/>
                <w:szCs w:val="20"/>
              </w:rPr>
              <w:t>15–16</w:t>
            </w:r>
            <w:r w:rsidRPr="005517D2">
              <w:rPr>
                <w:b/>
                <w:bCs/>
                <w:sz w:val="20"/>
                <w:szCs w:val="20"/>
              </w:rPr>
              <w:t xml:space="preserve"> collection cycle</w:t>
            </w:r>
          </w:p>
        </w:tc>
      </w:tr>
      <w:tr w:rsidR="001C6C8F" w:rsidRPr="00477625" w:rsidTr="00C06F4F">
        <w:trPr>
          <w:tblCellSpacing w:w="0" w:type="dxa"/>
        </w:trPr>
        <w:tc>
          <w:tcPr>
            <w:tcW w:w="1268" w:type="dxa"/>
            <w:shd w:val="clear" w:color="auto" w:fill="auto"/>
            <w:vAlign w:val="bottom"/>
          </w:tcPr>
          <w:p w:rsidR="001C6C8F" w:rsidRPr="005517D2" w:rsidRDefault="001C6C8F" w:rsidP="00C06F4F">
            <w:pPr>
              <w:pStyle w:val="NormalWeb"/>
              <w:spacing w:before="60" w:beforeAutospacing="0" w:after="60" w:afterAutospacing="0"/>
              <w:jc w:val="center"/>
              <w:rPr>
                <w:sz w:val="20"/>
                <w:szCs w:val="20"/>
              </w:rPr>
            </w:pPr>
            <w:r w:rsidRPr="005517D2">
              <w:rPr>
                <w:b/>
                <w:bCs/>
                <w:sz w:val="20"/>
                <w:szCs w:val="20"/>
              </w:rPr>
              <w:t>A</w:t>
            </w:r>
          </w:p>
        </w:tc>
        <w:tc>
          <w:tcPr>
            <w:tcW w:w="4126" w:type="dxa"/>
            <w:shd w:val="clear" w:color="auto" w:fill="auto"/>
            <w:vAlign w:val="bottom"/>
          </w:tcPr>
          <w:p w:rsidR="001C6C8F" w:rsidRPr="005517D2" w:rsidRDefault="001C6C8F" w:rsidP="00C06F4F">
            <w:pPr>
              <w:pStyle w:val="NormalWeb"/>
              <w:spacing w:before="60" w:beforeAutospacing="0" w:after="60" w:afterAutospacing="0"/>
              <w:rPr>
                <w:sz w:val="20"/>
                <w:szCs w:val="20"/>
              </w:rPr>
            </w:pPr>
            <w:r w:rsidRPr="005517D2">
              <w:rPr>
                <w:sz w:val="20"/>
                <w:szCs w:val="20"/>
              </w:rPr>
              <w:t xml:space="preserve">Annual Survey for Comprehensive and Targeted Partnership Projects </w:t>
            </w:r>
          </w:p>
        </w:tc>
        <w:tc>
          <w:tcPr>
            <w:tcW w:w="1898" w:type="dxa"/>
            <w:shd w:val="clear" w:color="auto" w:fill="auto"/>
            <w:vAlign w:val="bottom"/>
          </w:tcPr>
          <w:p w:rsidR="001C6C8F" w:rsidRPr="005517D2" w:rsidRDefault="001C6C8F" w:rsidP="00C06F4F">
            <w:pPr>
              <w:pStyle w:val="NormalWeb"/>
              <w:spacing w:before="60" w:beforeAutospacing="0" w:after="60" w:afterAutospacing="0"/>
              <w:jc w:val="center"/>
              <w:rPr>
                <w:sz w:val="20"/>
                <w:szCs w:val="20"/>
              </w:rPr>
            </w:pPr>
            <w:r w:rsidRPr="005517D2">
              <w:rPr>
                <w:sz w:val="20"/>
                <w:szCs w:val="20"/>
              </w:rPr>
              <w:t>100 percent</w:t>
            </w:r>
          </w:p>
        </w:tc>
        <w:tc>
          <w:tcPr>
            <w:tcW w:w="1898" w:type="dxa"/>
            <w:shd w:val="clear" w:color="auto" w:fill="auto"/>
            <w:vAlign w:val="bottom"/>
          </w:tcPr>
          <w:p w:rsidR="001C6C8F" w:rsidRPr="005517D2" w:rsidRDefault="001C6C8F" w:rsidP="00C06F4F">
            <w:pPr>
              <w:pStyle w:val="NormalWeb"/>
              <w:spacing w:before="60" w:beforeAutospacing="0" w:after="60" w:afterAutospacing="0"/>
              <w:jc w:val="center"/>
              <w:rPr>
                <w:sz w:val="20"/>
                <w:szCs w:val="20"/>
              </w:rPr>
            </w:pPr>
            <w:r w:rsidRPr="005517D2">
              <w:rPr>
                <w:sz w:val="20"/>
                <w:szCs w:val="20"/>
              </w:rPr>
              <w:t>100 percent</w:t>
            </w:r>
          </w:p>
        </w:tc>
      </w:tr>
      <w:tr w:rsidR="001C6C8F" w:rsidRPr="00477625" w:rsidTr="00C06F4F">
        <w:trPr>
          <w:tblCellSpacing w:w="0" w:type="dxa"/>
        </w:trPr>
        <w:tc>
          <w:tcPr>
            <w:tcW w:w="1268" w:type="dxa"/>
            <w:shd w:val="clear" w:color="auto" w:fill="auto"/>
            <w:vAlign w:val="bottom"/>
          </w:tcPr>
          <w:p w:rsidR="001C6C8F" w:rsidRPr="005517D2" w:rsidRDefault="001C6C8F" w:rsidP="00C06F4F">
            <w:pPr>
              <w:pStyle w:val="NormalWeb"/>
              <w:spacing w:before="60" w:beforeAutospacing="0" w:after="60" w:afterAutospacing="0"/>
              <w:jc w:val="center"/>
              <w:rPr>
                <w:sz w:val="20"/>
                <w:szCs w:val="20"/>
              </w:rPr>
            </w:pPr>
            <w:r w:rsidRPr="005517D2">
              <w:rPr>
                <w:b/>
                <w:bCs/>
                <w:sz w:val="20"/>
                <w:szCs w:val="20"/>
              </w:rPr>
              <w:t>B</w:t>
            </w:r>
          </w:p>
        </w:tc>
        <w:tc>
          <w:tcPr>
            <w:tcW w:w="4126" w:type="dxa"/>
            <w:shd w:val="clear" w:color="auto" w:fill="auto"/>
            <w:vAlign w:val="bottom"/>
          </w:tcPr>
          <w:p w:rsidR="001C6C8F" w:rsidRPr="005517D2" w:rsidRDefault="001C6C8F" w:rsidP="00C06F4F">
            <w:pPr>
              <w:pStyle w:val="NormalWeb"/>
              <w:spacing w:before="60" w:beforeAutospacing="0" w:after="60" w:afterAutospacing="0"/>
              <w:rPr>
                <w:sz w:val="20"/>
                <w:szCs w:val="20"/>
              </w:rPr>
            </w:pPr>
            <w:r w:rsidRPr="005517D2">
              <w:rPr>
                <w:sz w:val="20"/>
                <w:szCs w:val="20"/>
              </w:rPr>
              <w:t xml:space="preserve">Annual IHE Participant Survey for Comprehensive and Targeted MSPs </w:t>
            </w:r>
          </w:p>
        </w:tc>
        <w:tc>
          <w:tcPr>
            <w:tcW w:w="1898" w:type="dxa"/>
            <w:shd w:val="clear" w:color="auto" w:fill="auto"/>
            <w:noWrap/>
            <w:vAlign w:val="bottom"/>
          </w:tcPr>
          <w:p w:rsidR="001C6C8F" w:rsidRPr="005517D2" w:rsidRDefault="001C6C8F" w:rsidP="00C06F4F">
            <w:pPr>
              <w:pStyle w:val="NormalWeb"/>
              <w:spacing w:before="60" w:beforeAutospacing="0" w:after="60" w:afterAutospacing="0"/>
              <w:jc w:val="center"/>
              <w:rPr>
                <w:sz w:val="20"/>
                <w:szCs w:val="20"/>
              </w:rPr>
            </w:pPr>
            <w:r w:rsidRPr="005517D2">
              <w:rPr>
                <w:sz w:val="20"/>
                <w:szCs w:val="20"/>
              </w:rPr>
              <w:t>83.4 percent</w:t>
            </w:r>
          </w:p>
        </w:tc>
        <w:tc>
          <w:tcPr>
            <w:tcW w:w="1898" w:type="dxa"/>
            <w:shd w:val="clear" w:color="auto" w:fill="auto"/>
            <w:vAlign w:val="bottom"/>
          </w:tcPr>
          <w:p w:rsidR="001C6C8F" w:rsidRPr="005517D2" w:rsidRDefault="001C6C8F" w:rsidP="00C06F4F">
            <w:pPr>
              <w:pStyle w:val="NormalWeb"/>
              <w:spacing w:before="60" w:beforeAutospacing="0" w:after="60" w:afterAutospacing="0"/>
              <w:jc w:val="center"/>
              <w:rPr>
                <w:sz w:val="20"/>
                <w:szCs w:val="20"/>
              </w:rPr>
            </w:pPr>
            <w:r w:rsidRPr="005517D2">
              <w:rPr>
                <w:sz w:val="20"/>
                <w:szCs w:val="20"/>
              </w:rPr>
              <w:t>80 percent or higher</w:t>
            </w:r>
          </w:p>
        </w:tc>
      </w:tr>
      <w:tr w:rsidR="001C6C8F" w:rsidRPr="00477625" w:rsidTr="00C06F4F">
        <w:trPr>
          <w:tblCellSpacing w:w="0" w:type="dxa"/>
        </w:trPr>
        <w:tc>
          <w:tcPr>
            <w:tcW w:w="1268" w:type="dxa"/>
            <w:shd w:val="clear" w:color="auto" w:fill="auto"/>
            <w:vAlign w:val="bottom"/>
          </w:tcPr>
          <w:p w:rsidR="001C6C8F" w:rsidRPr="005517D2" w:rsidRDefault="001C6C8F" w:rsidP="00C06F4F">
            <w:pPr>
              <w:pStyle w:val="NormalWeb"/>
              <w:spacing w:before="60" w:beforeAutospacing="0" w:after="60" w:afterAutospacing="0"/>
              <w:jc w:val="center"/>
              <w:rPr>
                <w:sz w:val="20"/>
                <w:szCs w:val="20"/>
              </w:rPr>
            </w:pPr>
            <w:r w:rsidRPr="005517D2">
              <w:rPr>
                <w:b/>
                <w:bCs/>
                <w:sz w:val="20"/>
                <w:szCs w:val="20"/>
              </w:rPr>
              <w:t>C</w:t>
            </w:r>
          </w:p>
        </w:tc>
        <w:tc>
          <w:tcPr>
            <w:tcW w:w="4126" w:type="dxa"/>
            <w:shd w:val="clear" w:color="auto" w:fill="auto"/>
            <w:vAlign w:val="bottom"/>
          </w:tcPr>
          <w:p w:rsidR="001C6C8F" w:rsidRPr="005517D2" w:rsidRDefault="001C6C8F" w:rsidP="00C06F4F">
            <w:pPr>
              <w:pStyle w:val="NormalWeb"/>
              <w:spacing w:before="60" w:beforeAutospacing="0" w:after="60" w:afterAutospacing="0"/>
              <w:rPr>
                <w:sz w:val="20"/>
                <w:szCs w:val="20"/>
              </w:rPr>
            </w:pPr>
            <w:r w:rsidRPr="005517D2">
              <w:rPr>
                <w:sz w:val="20"/>
                <w:szCs w:val="20"/>
              </w:rPr>
              <w:t>Annual Institution of Higher Education Survey</w:t>
            </w:r>
          </w:p>
        </w:tc>
        <w:tc>
          <w:tcPr>
            <w:tcW w:w="1898" w:type="dxa"/>
            <w:shd w:val="clear" w:color="auto" w:fill="auto"/>
            <w:noWrap/>
            <w:vAlign w:val="bottom"/>
          </w:tcPr>
          <w:p w:rsidR="001C6C8F" w:rsidRPr="005517D2" w:rsidRDefault="001C6C8F" w:rsidP="00C06F4F">
            <w:pPr>
              <w:pStyle w:val="NormalWeb"/>
              <w:spacing w:before="60" w:beforeAutospacing="0" w:after="60" w:afterAutospacing="0"/>
              <w:jc w:val="center"/>
              <w:rPr>
                <w:sz w:val="20"/>
                <w:szCs w:val="20"/>
              </w:rPr>
            </w:pPr>
            <w:r w:rsidRPr="005517D2">
              <w:rPr>
                <w:sz w:val="20"/>
                <w:szCs w:val="20"/>
              </w:rPr>
              <w:t>90.5 percent</w:t>
            </w:r>
          </w:p>
        </w:tc>
        <w:tc>
          <w:tcPr>
            <w:tcW w:w="1898" w:type="dxa"/>
            <w:shd w:val="clear" w:color="auto" w:fill="auto"/>
            <w:vAlign w:val="bottom"/>
          </w:tcPr>
          <w:p w:rsidR="001C6C8F" w:rsidRPr="005517D2" w:rsidRDefault="001C6C8F" w:rsidP="00C06F4F">
            <w:pPr>
              <w:pStyle w:val="NormalWeb"/>
              <w:spacing w:before="60" w:beforeAutospacing="0" w:after="60" w:afterAutospacing="0"/>
              <w:jc w:val="center"/>
              <w:rPr>
                <w:sz w:val="20"/>
                <w:szCs w:val="20"/>
              </w:rPr>
            </w:pPr>
            <w:r w:rsidRPr="005517D2">
              <w:rPr>
                <w:sz w:val="20"/>
                <w:szCs w:val="20"/>
              </w:rPr>
              <w:t>100 percent</w:t>
            </w:r>
          </w:p>
        </w:tc>
      </w:tr>
      <w:tr w:rsidR="001C6C8F" w:rsidRPr="00477625" w:rsidTr="00C06F4F">
        <w:trPr>
          <w:tblCellSpacing w:w="0" w:type="dxa"/>
        </w:trPr>
        <w:tc>
          <w:tcPr>
            <w:tcW w:w="1268" w:type="dxa"/>
            <w:shd w:val="clear" w:color="auto" w:fill="auto"/>
            <w:vAlign w:val="bottom"/>
          </w:tcPr>
          <w:p w:rsidR="001C6C8F" w:rsidRPr="005517D2" w:rsidRDefault="001C6C8F" w:rsidP="00C06F4F">
            <w:pPr>
              <w:pStyle w:val="NormalWeb"/>
              <w:spacing w:before="60" w:beforeAutospacing="0" w:after="60" w:afterAutospacing="0"/>
              <w:jc w:val="center"/>
              <w:rPr>
                <w:sz w:val="20"/>
                <w:szCs w:val="20"/>
              </w:rPr>
            </w:pPr>
            <w:r w:rsidRPr="005517D2">
              <w:rPr>
                <w:b/>
                <w:bCs/>
                <w:sz w:val="20"/>
                <w:szCs w:val="20"/>
              </w:rPr>
              <w:t>D</w:t>
            </w:r>
          </w:p>
        </w:tc>
        <w:tc>
          <w:tcPr>
            <w:tcW w:w="4126" w:type="dxa"/>
            <w:shd w:val="clear" w:color="auto" w:fill="auto"/>
            <w:vAlign w:val="bottom"/>
          </w:tcPr>
          <w:p w:rsidR="001C6C8F" w:rsidRPr="005517D2" w:rsidRDefault="001C6C8F" w:rsidP="00C06F4F">
            <w:pPr>
              <w:pStyle w:val="NormalWeb"/>
              <w:spacing w:before="60" w:beforeAutospacing="0" w:after="60" w:afterAutospacing="0"/>
              <w:rPr>
                <w:sz w:val="20"/>
                <w:szCs w:val="20"/>
              </w:rPr>
            </w:pPr>
            <w:r w:rsidRPr="005517D2">
              <w:rPr>
                <w:sz w:val="20"/>
                <w:szCs w:val="20"/>
              </w:rPr>
              <w:t>Annual K-12 District Survey</w:t>
            </w:r>
          </w:p>
        </w:tc>
        <w:tc>
          <w:tcPr>
            <w:tcW w:w="1898" w:type="dxa"/>
            <w:shd w:val="clear" w:color="auto" w:fill="auto"/>
            <w:noWrap/>
            <w:vAlign w:val="bottom"/>
          </w:tcPr>
          <w:p w:rsidR="001C6C8F" w:rsidRPr="005517D2" w:rsidRDefault="001C6C8F" w:rsidP="00C06F4F">
            <w:pPr>
              <w:pStyle w:val="NormalWeb"/>
              <w:spacing w:before="60" w:beforeAutospacing="0" w:after="60" w:afterAutospacing="0"/>
              <w:jc w:val="center"/>
              <w:rPr>
                <w:sz w:val="20"/>
                <w:szCs w:val="20"/>
              </w:rPr>
            </w:pPr>
            <w:r w:rsidRPr="005517D2">
              <w:rPr>
                <w:sz w:val="20"/>
                <w:szCs w:val="20"/>
              </w:rPr>
              <w:t>83.4 percent</w:t>
            </w:r>
          </w:p>
        </w:tc>
        <w:tc>
          <w:tcPr>
            <w:tcW w:w="1898" w:type="dxa"/>
            <w:shd w:val="clear" w:color="auto" w:fill="auto"/>
            <w:vAlign w:val="bottom"/>
          </w:tcPr>
          <w:p w:rsidR="001C6C8F" w:rsidRPr="005517D2" w:rsidRDefault="001C6C8F" w:rsidP="00C06F4F">
            <w:pPr>
              <w:pStyle w:val="NormalWeb"/>
              <w:spacing w:before="60" w:beforeAutospacing="0" w:after="60" w:afterAutospacing="0"/>
              <w:jc w:val="center"/>
              <w:rPr>
                <w:sz w:val="20"/>
                <w:szCs w:val="20"/>
              </w:rPr>
            </w:pPr>
            <w:r w:rsidRPr="005517D2">
              <w:rPr>
                <w:sz w:val="20"/>
                <w:szCs w:val="20"/>
              </w:rPr>
              <w:t>80 percent or higher</w:t>
            </w:r>
          </w:p>
        </w:tc>
      </w:tr>
      <w:tr w:rsidR="001C6C8F" w:rsidRPr="00477625" w:rsidTr="00C06F4F">
        <w:trPr>
          <w:tblCellSpacing w:w="0" w:type="dxa"/>
        </w:trPr>
        <w:tc>
          <w:tcPr>
            <w:tcW w:w="1268" w:type="dxa"/>
            <w:shd w:val="clear" w:color="auto" w:fill="auto"/>
            <w:vAlign w:val="bottom"/>
          </w:tcPr>
          <w:p w:rsidR="001C6C8F" w:rsidRPr="005517D2" w:rsidRDefault="001C6C8F" w:rsidP="00C06F4F">
            <w:pPr>
              <w:pStyle w:val="NormalWeb"/>
              <w:spacing w:before="60" w:beforeAutospacing="0" w:after="60" w:afterAutospacing="0"/>
              <w:jc w:val="center"/>
              <w:rPr>
                <w:sz w:val="20"/>
                <w:szCs w:val="20"/>
              </w:rPr>
            </w:pPr>
            <w:r w:rsidRPr="005517D2">
              <w:rPr>
                <w:b/>
                <w:bCs/>
                <w:sz w:val="20"/>
                <w:szCs w:val="20"/>
              </w:rPr>
              <w:t>E</w:t>
            </w:r>
          </w:p>
        </w:tc>
        <w:tc>
          <w:tcPr>
            <w:tcW w:w="4126" w:type="dxa"/>
            <w:shd w:val="clear" w:color="auto" w:fill="auto"/>
            <w:vAlign w:val="bottom"/>
          </w:tcPr>
          <w:p w:rsidR="001C6C8F" w:rsidRPr="005517D2" w:rsidRDefault="001C6C8F" w:rsidP="00C06F4F">
            <w:pPr>
              <w:pStyle w:val="NormalWeb"/>
              <w:spacing w:before="60" w:beforeAutospacing="0" w:after="60" w:afterAutospacing="0"/>
              <w:rPr>
                <w:sz w:val="20"/>
                <w:szCs w:val="20"/>
              </w:rPr>
            </w:pPr>
            <w:r w:rsidRPr="005517D2">
              <w:rPr>
                <w:sz w:val="20"/>
                <w:szCs w:val="20"/>
              </w:rPr>
              <w:t>Annual Survey for Institute Partnership Projects</w:t>
            </w:r>
          </w:p>
        </w:tc>
        <w:tc>
          <w:tcPr>
            <w:tcW w:w="1898" w:type="dxa"/>
            <w:shd w:val="clear" w:color="auto" w:fill="auto"/>
            <w:vAlign w:val="bottom"/>
          </w:tcPr>
          <w:p w:rsidR="001C6C8F" w:rsidRPr="005517D2" w:rsidRDefault="001C6C8F" w:rsidP="00C06F4F">
            <w:pPr>
              <w:pStyle w:val="NormalWeb"/>
              <w:spacing w:before="60" w:beforeAutospacing="0" w:after="60" w:afterAutospacing="0"/>
              <w:jc w:val="center"/>
              <w:rPr>
                <w:sz w:val="20"/>
                <w:szCs w:val="20"/>
              </w:rPr>
            </w:pPr>
            <w:r w:rsidRPr="005517D2">
              <w:rPr>
                <w:sz w:val="20"/>
                <w:szCs w:val="20"/>
              </w:rPr>
              <w:t>91.7 percent</w:t>
            </w:r>
          </w:p>
        </w:tc>
        <w:tc>
          <w:tcPr>
            <w:tcW w:w="1898" w:type="dxa"/>
            <w:shd w:val="clear" w:color="auto" w:fill="auto"/>
            <w:vAlign w:val="bottom"/>
          </w:tcPr>
          <w:p w:rsidR="001C6C8F" w:rsidRPr="005517D2" w:rsidRDefault="001C6C8F" w:rsidP="00C06F4F">
            <w:pPr>
              <w:pStyle w:val="NormalWeb"/>
              <w:spacing w:before="60" w:beforeAutospacing="0" w:after="60" w:afterAutospacing="0"/>
              <w:jc w:val="center"/>
              <w:rPr>
                <w:sz w:val="20"/>
                <w:szCs w:val="20"/>
              </w:rPr>
            </w:pPr>
            <w:r w:rsidRPr="005517D2">
              <w:rPr>
                <w:sz w:val="20"/>
                <w:szCs w:val="20"/>
              </w:rPr>
              <w:t>100 percent</w:t>
            </w:r>
          </w:p>
        </w:tc>
      </w:tr>
      <w:tr w:rsidR="001C6C8F" w:rsidRPr="00477625" w:rsidTr="00C06F4F">
        <w:trPr>
          <w:tblCellSpacing w:w="0" w:type="dxa"/>
        </w:trPr>
        <w:tc>
          <w:tcPr>
            <w:tcW w:w="1268" w:type="dxa"/>
            <w:shd w:val="clear" w:color="auto" w:fill="auto"/>
            <w:vAlign w:val="bottom"/>
          </w:tcPr>
          <w:p w:rsidR="001C6C8F" w:rsidRPr="005517D2" w:rsidRDefault="001C6C8F" w:rsidP="00C06F4F">
            <w:pPr>
              <w:pStyle w:val="NormalWeb"/>
              <w:spacing w:before="60" w:beforeAutospacing="0" w:after="60" w:afterAutospacing="0"/>
              <w:jc w:val="center"/>
              <w:rPr>
                <w:sz w:val="20"/>
                <w:szCs w:val="20"/>
              </w:rPr>
            </w:pPr>
            <w:r w:rsidRPr="005517D2">
              <w:rPr>
                <w:b/>
                <w:bCs/>
                <w:sz w:val="20"/>
                <w:szCs w:val="20"/>
              </w:rPr>
              <w:t>F</w:t>
            </w:r>
          </w:p>
        </w:tc>
        <w:tc>
          <w:tcPr>
            <w:tcW w:w="4126" w:type="dxa"/>
            <w:shd w:val="clear" w:color="auto" w:fill="auto"/>
            <w:vAlign w:val="bottom"/>
          </w:tcPr>
          <w:p w:rsidR="001C6C8F" w:rsidRPr="005517D2" w:rsidRDefault="001C6C8F" w:rsidP="00C06F4F">
            <w:pPr>
              <w:pStyle w:val="NormalWeb"/>
              <w:spacing w:before="60" w:beforeAutospacing="0" w:after="60" w:afterAutospacing="0"/>
              <w:rPr>
                <w:sz w:val="20"/>
                <w:szCs w:val="20"/>
              </w:rPr>
            </w:pPr>
            <w:r w:rsidRPr="005517D2">
              <w:rPr>
                <w:sz w:val="20"/>
                <w:szCs w:val="20"/>
              </w:rPr>
              <w:t>Annual IHE Participant Survey for Institute MSPs</w:t>
            </w:r>
          </w:p>
        </w:tc>
        <w:tc>
          <w:tcPr>
            <w:tcW w:w="1898" w:type="dxa"/>
            <w:shd w:val="clear" w:color="auto" w:fill="auto"/>
            <w:vAlign w:val="bottom"/>
          </w:tcPr>
          <w:p w:rsidR="001C6C8F" w:rsidRPr="005517D2" w:rsidRDefault="001C6C8F" w:rsidP="00C06F4F">
            <w:pPr>
              <w:pStyle w:val="NormalWeb"/>
              <w:spacing w:before="60" w:beforeAutospacing="0" w:after="60" w:afterAutospacing="0"/>
              <w:jc w:val="center"/>
              <w:rPr>
                <w:sz w:val="20"/>
                <w:szCs w:val="20"/>
              </w:rPr>
            </w:pPr>
            <w:r w:rsidRPr="005517D2">
              <w:rPr>
                <w:sz w:val="20"/>
                <w:szCs w:val="20"/>
              </w:rPr>
              <w:t>84.5 percent</w:t>
            </w:r>
          </w:p>
        </w:tc>
        <w:tc>
          <w:tcPr>
            <w:tcW w:w="1898" w:type="dxa"/>
            <w:shd w:val="clear" w:color="auto" w:fill="auto"/>
            <w:vAlign w:val="bottom"/>
          </w:tcPr>
          <w:p w:rsidR="001C6C8F" w:rsidRPr="005517D2" w:rsidRDefault="001C6C8F" w:rsidP="00C06F4F">
            <w:pPr>
              <w:pStyle w:val="NormalWeb"/>
              <w:spacing w:before="60" w:beforeAutospacing="0" w:after="60" w:afterAutospacing="0"/>
              <w:jc w:val="center"/>
              <w:rPr>
                <w:sz w:val="20"/>
                <w:szCs w:val="20"/>
              </w:rPr>
            </w:pPr>
            <w:r w:rsidRPr="005517D2">
              <w:rPr>
                <w:sz w:val="20"/>
                <w:szCs w:val="20"/>
              </w:rPr>
              <w:t>80 percent or higher</w:t>
            </w:r>
          </w:p>
        </w:tc>
      </w:tr>
      <w:tr w:rsidR="001C6C8F" w:rsidRPr="00477625" w:rsidTr="00C06F4F">
        <w:trPr>
          <w:tblCellSpacing w:w="0" w:type="dxa"/>
        </w:trPr>
        <w:tc>
          <w:tcPr>
            <w:tcW w:w="1268" w:type="dxa"/>
            <w:shd w:val="clear" w:color="auto" w:fill="auto"/>
            <w:vAlign w:val="bottom"/>
          </w:tcPr>
          <w:p w:rsidR="001C6C8F" w:rsidRPr="005517D2" w:rsidRDefault="001C6C8F" w:rsidP="00C06F4F">
            <w:pPr>
              <w:pStyle w:val="NormalWeb"/>
              <w:spacing w:before="60" w:beforeAutospacing="0" w:after="60" w:afterAutospacing="0"/>
              <w:jc w:val="center"/>
              <w:rPr>
                <w:b/>
                <w:bCs/>
                <w:sz w:val="20"/>
                <w:szCs w:val="20"/>
              </w:rPr>
            </w:pPr>
            <w:r w:rsidRPr="005517D2">
              <w:rPr>
                <w:b/>
                <w:bCs/>
                <w:sz w:val="20"/>
                <w:szCs w:val="20"/>
              </w:rPr>
              <w:t>G</w:t>
            </w:r>
          </w:p>
        </w:tc>
        <w:tc>
          <w:tcPr>
            <w:tcW w:w="4126" w:type="dxa"/>
            <w:shd w:val="clear" w:color="auto" w:fill="auto"/>
            <w:vAlign w:val="center"/>
          </w:tcPr>
          <w:p w:rsidR="001C6C8F" w:rsidRPr="005517D2" w:rsidRDefault="001C6C8F" w:rsidP="00C06F4F">
            <w:pPr>
              <w:spacing w:before="60" w:after="60"/>
              <w:rPr>
                <w:rFonts w:ascii="Times New Roman" w:eastAsia="Times New Roman" w:hAnsi="Times New Roman"/>
              </w:rPr>
            </w:pPr>
            <w:r w:rsidRPr="005517D2">
              <w:rPr>
                <w:rFonts w:ascii="Times New Roman" w:eastAsia="Times New Roman" w:hAnsi="Times New Roman"/>
              </w:rPr>
              <w:t>Initial Survey for K-12 MSP Institute Participants</w:t>
            </w:r>
          </w:p>
        </w:tc>
        <w:tc>
          <w:tcPr>
            <w:tcW w:w="1898" w:type="dxa"/>
            <w:shd w:val="clear" w:color="auto" w:fill="auto"/>
            <w:vAlign w:val="bottom"/>
          </w:tcPr>
          <w:p w:rsidR="001C6C8F" w:rsidRPr="005517D2" w:rsidRDefault="001C6C8F" w:rsidP="00C06F4F">
            <w:pPr>
              <w:pStyle w:val="NormalWeb"/>
              <w:spacing w:before="60" w:beforeAutospacing="0" w:after="60" w:afterAutospacing="0"/>
              <w:jc w:val="center"/>
              <w:rPr>
                <w:sz w:val="20"/>
                <w:szCs w:val="20"/>
              </w:rPr>
            </w:pPr>
            <w:r w:rsidRPr="005517D2">
              <w:rPr>
                <w:sz w:val="20"/>
                <w:szCs w:val="20"/>
              </w:rPr>
              <w:t>42.9 percent</w:t>
            </w:r>
          </w:p>
        </w:tc>
        <w:tc>
          <w:tcPr>
            <w:tcW w:w="1898" w:type="dxa"/>
            <w:shd w:val="clear" w:color="auto" w:fill="auto"/>
            <w:vAlign w:val="bottom"/>
          </w:tcPr>
          <w:p w:rsidR="001C6C8F" w:rsidRPr="005517D2" w:rsidRDefault="001C6C8F" w:rsidP="00C06F4F">
            <w:pPr>
              <w:pStyle w:val="NormalWeb"/>
              <w:spacing w:before="60" w:beforeAutospacing="0" w:after="60" w:afterAutospacing="0"/>
              <w:jc w:val="center"/>
              <w:rPr>
                <w:sz w:val="20"/>
                <w:szCs w:val="20"/>
              </w:rPr>
            </w:pPr>
            <w:r w:rsidRPr="005517D2">
              <w:rPr>
                <w:sz w:val="20"/>
                <w:szCs w:val="20"/>
              </w:rPr>
              <w:t>100 percent</w:t>
            </w:r>
          </w:p>
        </w:tc>
      </w:tr>
      <w:tr w:rsidR="001C6C8F" w:rsidRPr="00477625" w:rsidTr="00C06F4F">
        <w:trPr>
          <w:tblCellSpacing w:w="0" w:type="dxa"/>
        </w:trPr>
        <w:tc>
          <w:tcPr>
            <w:tcW w:w="1268" w:type="dxa"/>
            <w:shd w:val="clear" w:color="auto" w:fill="auto"/>
            <w:vAlign w:val="bottom"/>
          </w:tcPr>
          <w:p w:rsidR="001C6C8F" w:rsidRPr="005517D2" w:rsidRDefault="001C6C8F" w:rsidP="00C06F4F">
            <w:pPr>
              <w:pStyle w:val="NormalWeb"/>
              <w:spacing w:before="60" w:beforeAutospacing="0" w:after="60" w:afterAutospacing="0"/>
              <w:jc w:val="center"/>
              <w:rPr>
                <w:b/>
                <w:bCs/>
                <w:sz w:val="20"/>
                <w:szCs w:val="20"/>
              </w:rPr>
            </w:pPr>
            <w:r w:rsidRPr="005517D2">
              <w:rPr>
                <w:b/>
                <w:bCs/>
                <w:sz w:val="20"/>
                <w:szCs w:val="20"/>
              </w:rPr>
              <w:t>H</w:t>
            </w:r>
          </w:p>
        </w:tc>
        <w:tc>
          <w:tcPr>
            <w:tcW w:w="4126" w:type="dxa"/>
            <w:shd w:val="clear" w:color="auto" w:fill="auto"/>
            <w:vAlign w:val="center"/>
          </w:tcPr>
          <w:p w:rsidR="001C6C8F" w:rsidRPr="005517D2" w:rsidRDefault="001C6C8F" w:rsidP="00C06F4F">
            <w:pPr>
              <w:spacing w:before="60" w:after="60"/>
              <w:rPr>
                <w:rFonts w:ascii="Times New Roman" w:eastAsia="Times New Roman" w:hAnsi="Times New Roman"/>
              </w:rPr>
            </w:pPr>
            <w:r w:rsidRPr="005517D2">
              <w:rPr>
                <w:rFonts w:ascii="Times New Roman" w:eastAsia="Times New Roman" w:hAnsi="Times New Roman"/>
              </w:rPr>
              <w:t>Annual Survey for MSP Institute K-12 Participants</w:t>
            </w:r>
          </w:p>
        </w:tc>
        <w:tc>
          <w:tcPr>
            <w:tcW w:w="1898" w:type="dxa"/>
            <w:shd w:val="clear" w:color="auto" w:fill="auto"/>
            <w:vAlign w:val="bottom"/>
          </w:tcPr>
          <w:p w:rsidR="001C6C8F" w:rsidRPr="005517D2" w:rsidRDefault="001C6C8F" w:rsidP="00C06F4F">
            <w:pPr>
              <w:pStyle w:val="NormalWeb"/>
              <w:spacing w:before="60" w:beforeAutospacing="0" w:after="60" w:afterAutospacing="0"/>
              <w:jc w:val="center"/>
              <w:rPr>
                <w:sz w:val="20"/>
                <w:szCs w:val="20"/>
              </w:rPr>
            </w:pPr>
            <w:r w:rsidRPr="005517D2">
              <w:rPr>
                <w:sz w:val="20"/>
                <w:szCs w:val="20"/>
              </w:rPr>
              <w:t>66.6 percent</w:t>
            </w:r>
          </w:p>
        </w:tc>
        <w:tc>
          <w:tcPr>
            <w:tcW w:w="1898" w:type="dxa"/>
            <w:shd w:val="clear" w:color="auto" w:fill="auto"/>
            <w:vAlign w:val="bottom"/>
          </w:tcPr>
          <w:p w:rsidR="001C6C8F" w:rsidRPr="005517D2" w:rsidRDefault="001C6C8F" w:rsidP="00C06F4F">
            <w:pPr>
              <w:pStyle w:val="NormalWeb"/>
              <w:spacing w:before="60" w:beforeAutospacing="0" w:after="60" w:afterAutospacing="0"/>
              <w:jc w:val="center"/>
              <w:rPr>
                <w:sz w:val="20"/>
                <w:szCs w:val="20"/>
              </w:rPr>
            </w:pPr>
            <w:r w:rsidRPr="005517D2">
              <w:rPr>
                <w:sz w:val="20"/>
                <w:szCs w:val="20"/>
              </w:rPr>
              <w:t>80 percent or higher</w:t>
            </w:r>
          </w:p>
        </w:tc>
      </w:tr>
    </w:tbl>
    <w:p w:rsidR="001C6C8F" w:rsidRPr="00477625" w:rsidRDefault="001C6C8F" w:rsidP="001C6C8F">
      <w:pPr>
        <w:pStyle w:val="NormalWeb"/>
        <w:spacing w:before="0" w:beforeAutospacing="0" w:after="0" w:afterAutospacing="0"/>
        <w:rPr>
          <w:sz w:val="22"/>
          <w:szCs w:val="22"/>
        </w:rPr>
      </w:pPr>
      <w:r w:rsidRPr="00477625">
        <w:rPr>
          <w:sz w:val="22"/>
          <w:szCs w:val="22"/>
        </w:rPr>
        <w:t> </w:t>
      </w:r>
    </w:p>
    <w:p w:rsidR="001C6C8F" w:rsidRPr="00477625" w:rsidRDefault="001C6C8F" w:rsidP="001C6C8F">
      <w:pPr>
        <w:pStyle w:val="NormalWeb"/>
        <w:spacing w:before="0" w:beforeAutospacing="0" w:after="0" w:afterAutospacing="0"/>
        <w:rPr>
          <w:sz w:val="22"/>
          <w:szCs w:val="22"/>
        </w:rPr>
      </w:pPr>
    </w:p>
    <w:p w:rsidR="001C6C8F" w:rsidRPr="00477625" w:rsidRDefault="001C6C8F" w:rsidP="001C6C8F">
      <w:pPr>
        <w:pStyle w:val="Heading3"/>
        <w:spacing w:before="0" w:beforeAutospacing="0" w:after="0" w:afterAutospacing="0"/>
        <w:jc w:val="both"/>
        <w:rPr>
          <w:rFonts w:ascii="Times New Roman" w:hAnsi="Times New Roman"/>
        </w:rPr>
      </w:pPr>
      <w:r w:rsidRPr="00477625">
        <w:rPr>
          <w:rFonts w:ascii="Times New Roman" w:hAnsi="Times New Roman"/>
        </w:rPr>
        <w:t>B.4.</w:t>
      </w:r>
      <w:r>
        <w:rPr>
          <w:rFonts w:ascii="Times New Roman" w:hAnsi="Times New Roman"/>
        </w:rPr>
        <w:tab/>
      </w:r>
      <w:r w:rsidRPr="00477625">
        <w:rPr>
          <w:rFonts w:ascii="Times New Roman" w:hAnsi="Times New Roman"/>
        </w:rPr>
        <w:t>Tests of Procedures or Methods</w:t>
      </w:r>
    </w:p>
    <w:p w:rsidR="001C6C8F" w:rsidRPr="00477625" w:rsidRDefault="001C6C8F" w:rsidP="001C6C8F">
      <w:pPr>
        <w:pStyle w:val="Heading3"/>
        <w:spacing w:before="0" w:beforeAutospacing="0" w:after="0" w:afterAutospacing="0"/>
        <w:jc w:val="both"/>
        <w:rPr>
          <w:rFonts w:ascii="Times New Roman" w:hAnsi="Times New Roman"/>
        </w:rPr>
      </w:pPr>
    </w:p>
    <w:p w:rsidR="001C6C8F" w:rsidRPr="00477625" w:rsidRDefault="001C6C8F" w:rsidP="001C6C8F">
      <w:pPr>
        <w:pStyle w:val="NormalWeb"/>
        <w:spacing w:before="0" w:beforeAutospacing="0" w:after="0" w:afterAutospacing="0"/>
        <w:jc w:val="both"/>
        <w:rPr>
          <w:sz w:val="22"/>
          <w:szCs w:val="22"/>
        </w:rPr>
      </w:pPr>
      <w:r w:rsidRPr="00477625">
        <w:rPr>
          <w:sz w:val="22"/>
          <w:szCs w:val="22"/>
        </w:rPr>
        <w:t xml:space="preserve">This data collection system has been in operation for the past </w:t>
      </w:r>
      <w:r>
        <w:rPr>
          <w:sz w:val="22"/>
          <w:szCs w:val="22"/>
        </w:rPr>
        <w:t xml:space="preserve">11 </w:t>
      </w:r>
      <w:r w:rsidRPr="00477625">
        <w:rPr>
          <w:sz w:val="22"/>
          <w:szCs w:val="22"/>
        </w:rPr>
        <w:t>year</w:t>
      </w:r>
      <w:r>
        <w:rPr>
          <w:sz w:val="22"/>
          <w:szCs w:val="22"/>
        </w:rPr>
        <w:t>s</w:t>
      </w:r>
      <w:r w:rsidRPr="00477625">
        <w:rPr>
          <w:sz w:val="22"/>
          <w:szCs w:val="22"/>
        </w:rPr>
        <w:t xml:space="preserve"> and any problems that may have arisen with system procedures have been handled during this time, providing a thorough test of the system</w:t>
      </w:r>
      <w:r>
        <w:rPr>
          <w:sz w:val="22"/>
          <w:szCs w:val="22"/>
        </w:rPr>
        <w:t>’</w:t>
      </w:r>
      <w:r w:rsidRPr="00477625">
        <w:rPr>
          <w:sz w:val="22"/>
          <w:szCs w:val="22"/>
        </w:rPr>
        <w:t xml:space="preserve">s success. Prior to being opened to respondents, the web instruments used were extensively tested by Westat programmers and beta-testers to ensure that the programming was properly implemented; the system will be tested again by Westat programmers before </w:t>
      </w:r>
      <w:r>
        <w:rPr>
          <w:sz w:val="22"/>
          <w:szCs w:val="22"/>
        </w:rPr>
        <w:t>each subsequent</w:t>
      </w:r>
      <w:r w:rsidRPr="00477625">
        <w:rPr>
          <w:sz w:val="22"/>
          <w:szCs w:val="22"/>
        </w:rPr>
        <w:t xml:space="preserve"> year of data collection begins. </w:t>
      </w:r>
    </w:p>
    <w:p w:rsidR="001C6C8F" w:rsidRDefault="001C6C8F" w:rsidP="001C6C8F">
      <w:pPr>
        <w:rPr>
          <w:rFonts w:ascii="Times New Roman" w:eastAsia="Times New Roman" w:hAnsi="Times New Roman"/>
          <w:sz w:val="22"/>
          <w:szCs w:val="22"/>
        </w:rPr>
      </w:pPr>
    </w:p>
    <w:p w:rsidR="001C6C8F" w:rsidRPr="00477625" w:rsidRDefault="001C6C8F" w:rsidP="001C6C8F">
      <w:pPr>
        <w:pStyle w:val="Heading3"/>
        <w:spacing w:before="0" w:beforeAutospacing="0" w:after="0" w:afterAutospacing="0"/>
        <w:jc w:val="both"/>
        <w:rPr>
          <w:rFonts w:ascii="Times New Roman" w:hAnsi="Times New Roman"/>
        </w:rPr>
      </w:pPr>
      <w:r w:rsidRPr="00477625">
        <w:rPr>
          <w:rFonts w:ascii="Times New Roman" w:hAnsi="Times New Roman"/>
        </w:rPr>
        <w:t>B.5.</w:t>
      </w:r>
      <w:r>
        <w:rPr>
          <w:rFonts w:ascii="Times New Roman" w:hAnsi="Times New Roman"/>
        </w:rPr>
        <w:tab/>
      </w:r>
      <w:r w:rsidRPr="00477625">
        <w:rPr>
          <w:rFonts w:ascii="Times New Roman" w:hAnsi="Times New Roman"/>
        </w:rPr>
        <w:t>Names and Telephone Numbers of Individuals Consulted</w:t>
      </w:r>
    </w:p>
    <w:p w:rsidR="001C6C8F" w:rsidRPr="00477625" w:rsidRDefault="001C6C8F" w:rsidP="001C6C8F">
      <w:pPr>
        <w:pStyle w:val="Heading3"/>
        <w:spacing w:before="0" w:beforeAutospacing="0" w:after="0" w:afterAutospacing="0"/>
        <w:jc w:val="both"/>
        <w:rPr>
          <w:rFonts w:ascii="Times New Roman" w:hAnsi="Times New Roman"/>
        </w:rPr>
      </w:pPr>
    </w:p>
    <w:p w:rsidR="001C6C8F" w:rsidRPr="00477625" w:rsidRDefault="001C6C8F" w:rsidP="001C6C8F">
      <w:pPr>
        <w:pStyle w:val="NormalWeb"/>
        <w:spacing w:before="0" w:beforeAutospacing="0" w:after="0" w:afterAutospacing="0"/>
        <w:jc w:val="both"/>
        <w:rPr>
          <w:sz w:val="22"/>
          <w:szCs w:val="22"/>
        </w:rPr>
      </w:pPr>
      <w:r w:rsidRPr="00477625">
        <w:rPr>
          <w:b/>
          <w:bCs/>
          <w:sz w:val="22"/>
          <w:szCs w:val="22"/>
        </w:rPr>
        <w:t xml:space="preserve">Agency Unit </w:t>
      </w:r>
    </w:p>
    <w:p w:rsidR="001C6C8F" w:rsidRPr="00477625" w:rsidRDefault="001C6C8F" w:rsidP="001C6C8F">
      <w:pPr>
        <w:pStyle w:val="NormalWeb"/>
        <w:spacing w:before="0" w:beforeAutospacing="0" w:after="0" w:afterAutospacing="0"/>
        <w:jc w:val="both"/>
        <w:rPr>
          <w:sz w:val="22"/>
          <w:szCs w:val="22"/>
        </w:rPr>
      </w:pPr>
    </w:p>
    <w:p w:rsidR="001C6C8F" w:rsidRPr="00477625" w:rsidRDefault="001C6C8F" w:rsidP="001C6C8F">
      <w:pPr>
        <w:pStyle w:val="NormalWeb"/>
        <w:spacing w:before="0" w:beforeAutospacing="0" w:after="0" w:afterAutospacing="0"/>
        <w:jc w:val="both"/>
        <w:rPr>
          <w:sz w:val="22"/>
          <w:szCs w:val="22"/>
        </w:rPr>
      </w:pPr>
      <w:r>
        <w:rPr>
          <w:sz w:val="22"/>
          <w:szCs w:val="22"/>
        </w:rPr>
        <w:t>Kathleen Bergin, (703) 292-5171</w:t>
      </w:r>
    </w:p>
    <w:p w:rsidR="001C6C8F" w:rsidRPr="00477625" w:rsidRDefault="001C6C8F" w:rsidP="001C6C8F">
      <w:pPr>
        <w:pStyle w:val="NormalWeb"/>
        <w:spacing w:before="0" w:beforeAutospacing="0" w:after="0" w:afterAutospacing="0"/>
        <w:jc w:val="both"/>
        <w:rPr>
          <w:sz w:val="22"/>
          <w:szCs w:val="22"/>
        </w:rPr>
      </w:pPr>
    </w:p>
    <w:p w:rsidR="001C6C8F" w:rsidRPr="00477625" w:rsidRDefault="001C6C8F" w:rsidP="001C6C8F">
      <w:pPr>
        <w:pStyle w:val="NormalWeb"/>
        <w:spacing w:before="0" w:beforeAutospacing="0" w:after="0" w:afterAutospacing="0"/>
        <w:jc w:val="both"/>
        <w:rPr>
          <w:sz w:val="22"/>
          <w:szCs w:val="22"/>
        </w:rPr>
      </w:pPr>
      <w:r w:rsidRPr="00477625">
        <w:rPr>
          <w:sz w:val="22"/>
          <w:szCs w:val="22"/>
        </w:rPr>
        <w:t>Philis Hauser, NSF, 703-292-5104</w:t>
      </w:r>
    </w:p>
    <w:p w:rsidR="001C6C8F" w:rsidRPr="00477625" w:rsidRDefault="001C6C8F" w:rsidP="001C6C8F">
      <w:pPr>
        <w:pStyle w:val="NormalWeb"/>
        <w:spacing w:before="0" w:beforeAutospacing="0" w:after="0" w:afterAutospacing="0"/>
        <w:jc w:val="both"/>
        <w:rPr>
          <w:sz w:val="22"/>
          <w:szCs w:val="22"/>
        </w:rPr>
      </w:pPr>
    </w:p>
    <w:p w:rsidR="001C6C8F" w:rsidRPr="00477625" w:rsidRDefault="001C6C8F" w:rsidP="001C6C8F">
      <w:pPr>
        <w:pStyle w:val="NormalWeb"/>
        <w:spacing w:before="0" w:beforeAutospacing="0" w:after="0" w:afterAutospacing="0"/>
        <w:jc w:val="both"/>
        <w:rPr>
          <w:sz w:val="22"/>
          <w:szCs w:val="22"/>
        </w:rPr>
      </w:pPr>
      <w:r w:rsidRPr="00477625">
        <w:rPr>
          <w:b/>
          <w:bCs/>
          <w:sz w:val="22"/>
          <w:szCs w:val="22"/>
        </w:rPr>
        <w:t> </w:t>
      </w:r>
    </w:p>
    <w:p w:rsidR="001C6C8F" w:rsidRPr="00477625" w:rsidRDefault="001C6C8F" w:rsidP="001C6C8F">
      <w:pPr>
        <w:pStyle w:val="NormalWeb"/>
        <w:spacing w:before="0" w:beforeAutospacing="0" w:after="0" w:afterAutospacing="0"/>
        <w:jc w:val="both"/>
        <w:rPr>
          <w:sz w:val="22"/>
          <w:szCs w:val="22"/>
        </w:rPr>
      </w:pPr>
    </w:p>
    <w:p w:rsidR="001C6C8F" w:rsidRPr="00477625" w:rsidRDefault="001C6C8F" w:rsidP="001C6C8F">
      <w:pPr>
        <w:pStyle w:val="NormalWeb"/>
        <w:spacing w:before="0" w:beforeAutospacing="0" w:after="0" w:afterAutospacing="0"/>
        <w:jc w:val="both"/>
        <w:rPr>
          <w:sz w:val="22"/>
          <w:szCs w:val="22"/>
        </w:rPr>
      </w:pPr>
      <w:r w:rsidRPr="00477625">
        <w:rPr>
          <w:b/>
          <w:bCs/>
          <w:sz w:val="22"/>
          <w:szCs w:val="22"/>
        </w:rPr>
        <w:t xml:space="preserve">Contractor </w:t>
      </w:r>
    </w:p>
    <w:p w:rsidR="001C6C8F" w:rsidRPr="00477625" w:rsidRDefault="001C6C8F" w:rsidP="001C6C8F">
      <w:pPr>
        <w:pStyle w:val="NormalWeb"/>
        <w:spacing w:before="0" w:beforeAutospacing="0" w:after="0" w:afterAutospacing="0"/>
        <w:jc w:val="both"/>
        <w:rPr>
          <w:sz w:val="22"/>
          <w:szCs w:val="22"/>
        </w:rPr>
      </w:pPr>
    </w:p>
    <w:p w:rsidR="001C6C8F" w:rsidRPr="00477625" w:rsidRDefault="001C6C8F" w:rsidP="001C6C8F">
      <w:pPr>
        <w:pStyle w:val="NormalWeb"/>
        <w:spacing w:before="0" w:beforeAutospacing="0" w:after="0" w:afterAutospacing="0"/>
        <w:jc w:val="both"/>
        <w:rPr>
          <w:sz w:val="22"/>
          <w:szCs w:val="22"/>
        </w:rPr>
      </w:pPr>
      <w:r w:rsidRPr="00477625">
        <w:rPr>
          <w:sz w:val="22"/>
          <w:szCs w:val="22"/>
        </w:rPr>
        <w:t>Joy Frechtling, Westat, 301-517-4006</w:t>
      </w:r>
    </w:p>
    <w:p w:rsidR="001C6C8F" w:rsidRPr="00477625" w:rsidRDefault="001C6C8F" w:rsidP="001C6C8F">
      <w:pPr>
        <w:pStyle w:val="NormalWeb"/>
        <w:spacing w:before="0" w:beforeAutospacing="0" w:after="0" w:afterAutospacing="0"/>
        <w:jc w:val="both"/>
        <w:rPr>
          <w:sz w:val="22"/>
          <w:szCs w:val="22"/>
        </w:rPr>
      </w:pPr>
    </w:p>
    <w:p w:rsidR="001C6C8F" w:rsidRPr="00477625" w:rsidRDefault="001C6C8F" w:rsidP="001C6C8F">
      <w:pPr>
        <w:pStyle w:val="NormalWeb"/>
        <w:spacing w:before="0" w:beforeAutospacing="0" w:after="0" w:afterAutospacing="0"/>
        <w:jc w:val="both"/>
        <w:rPr>
          <w:sz w:val="22"/>
          <w:szCs w:val="22"/>
        </w:rPr>
      </w:pPr>
      <w:r w:rsidRPr="00477625">
        <w:rPr>
          <w:sz w:val="22"/>
          <w:szCs w:val="22"/>
        </w:rPr>
        <w:t xml:space="preserve">Westat will be responsible for data collection and analysis under the direction of Gary Silverstein, </w:t>
      </w:r>
      <w:r>
        <w:rPr>
          <w:sz w:val="22"/>
          <w:szCs w:val="22"/>
        </w:rPr>
        <w:br/>
      </w:r>
      <w:r w:rsidRPr="00477625">
        <w:rPr>
          <w:sz w:val="22"/>
          <w:szCs w:val="22"/>
        </w:rPr>
        <w:t>301-251-2244.</w:t>
      </w:r>
    </w:p>
    <w:p w:rsidR="004A6DF4" w:rsidRDefault="004A6DF4"/>
    <w:sectPr w:rsidR="004A6DF4" w:rsidSect="007E3749">
      <w:footerReference w:type="default" r:id="rId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749" w:rsidRPr="007E3749" w:rsidRDefault="001C6C8F" w:rsidP="007E3749">
    <w:pPr>
      <w:pStyle w:val="Footer"/>
      <w:jc w:val="center"/>
      <w:rPr>
        <w:rFonts w:ascii="Times New Roman" w:hAnsi="Times New Roman"/>
        <w:sz w:val="22"/>
        <w:szCs w:val="22"/>
      </w:rPr>
    </w:pPr>
    <w:r w:rsidRPr="007E3749">
      <w:rPr>
        <w:rFonts w:ascii="Times New Roman" w:hAnsi="Times New Roman"/>
        <w:sz w:val="22"/>
        <w:szCs w:val="22"/>
      </w:rPr>
      <w:fldChar w:fldCharType="begin"/>
    </w:r>
    <w:r w:rsidRPr="007E3749">
      <w:rPr>
        <w:rFonts w:ascii="Times New Roman" w:hAnsi="Times New Roman"/>
        <w:sz w:val="22"/>
        <w:szCs w:val="22"/>
      </w:rPr>
      <w:instrText xml:space="preserve"> PAGE   \* MERGEFORMAT </w:instrText>
    </w:r>
    <w:r w:rsidRPr="007E3749">
      <w:rPr>
        <w:rFonts w:ascii="Times New Roman" w:hAnsi="Times New Roman"/>
        <w:sz w:val="22"/>
        <w:szCs w:val="22"/>
      </w:rPr>
      <w:fldChar w:fldCharType="separate"/>
    </w:r>
    <w:r>
      <w:rPr>
        <w:rFonts w:ascii="Times New Roman" w:hAnsi="Times New Roman"/>
        <w:noProof/>
        <w:sz w:val="22"/>
        <w:szCs w:val="22"/>
      </w:rPr>
      <w:t>1</w:t>
    </w:r>
    <w:r w:rsidRPr="007E3749">
      <w:rPr>
        <w:rFonts w:ascii="Times New Roman" w:hAnsi="Times New Roman"/>
        <w:noProof/>
        <w:sz w:val="22"/>
        <w:szCs w:val="2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8F"/>
    <w:rsid w:val="001C6C8F"/>
    <w:rsid w:val="004A6DF4"/>
    <w:rsid w:val="008A5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57B73-609B-4BCA-83B3-D5594E15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C8F"/>
    <w:pPr>
      <w:spacing w:after="0" w:line="240" w:lineRule="auto"/>
    </w:pPr>
    <w:rPr>
      <w:rFonts w:ascii="Verdana" w:eastAsia="Verdana" w:hAnsi="Verdana" w:cs="Times New Roman"/>
      <w:sz w:val="20"/>
      <w:szCs w:val="20"/>
    </w:rPr>
  </w:style>
  <w:style w:type="paragraph" w:styleId="Heading1">
    <w:name w:val="heading 1"/>
    <w:basedOn w:val="Normal"/>
    <w:link w:val="Heading1Char"/>
    <w:qFormat/>
    <w:rsid w:val="001C6C8F"/>
    <w:pPr>
      <w:spacing w:before="100" w:beforeAutospacing="1" w:after="100" w:afterAutospacing="1"/>
      <w:jc w:val="center"/>
      <w:outlineLvl w:val="0"/>
    </w:pPr>
    <w:rPr>
      <w:b/>
      <w:bCs/>
      <w:kern w:val="36"/>
      <w:sz w:val="28"/>
      <w:szCs w:val="28"/>
    </w:rPr>
  </w:style>
  <w:style w:type="paragraph" w:styleId="Heading3">
    <w:name w:val="heading 3"/>
    <w:basedOn w:val="Normal"/>
    <w:link w:val="Heading3Char"/>
    <w:qFormat/>
    <w:rsid w:val="001C6C8F"/>
    <w:pPr>
      <w:spacing w:before="100" w:beforeAutospacing="1" w:after="100" w:afterAutospacing="1"/>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6C8F"/>
    <w:rPr>
      <w:rFonts w:ascii="Verdana" w:eastAsia="Verdana" w:hAnsi="Verdana" w:cs="Times New Roman"/>
      <w:b/>
      <w:bCs/>
      <w:kern w:val="36"/>
      <w:sz w:val="28"/>
      <w:szCs w:val="28"/>
    </w:rPr>
  </w:style>
  <w:style w:type="character" w:customStyle="1" w:styleId="Heading3Char">
    <w:name w:val="Heading 3 Char"/>
    <w:basedOn w:val="DefaultParagraphFont"/>
    <w:link w:val="Heading3"/>
    <w:rsid w:val="001C6C8F"/>
    <w:rPr>
      <w:rFonts w:ascii="Verdana" w:eastAsia="Verdana" w:hAnsi="Verdana" w:cs="Times New Roman"/>
      <w:b/>
      <w:bCs/>
    </w:rPr>
  </w:style>
  <w:style w:type="paragraph" w:styleId="NormalWeb">
    <w:name w:val="Normal (Web)"/>
    <w:basedOn w:val="Normal"/>
    <w:rsid w:val="001C6C8F"/>
    <w:pPr>
      <w:spacing w:before="100" w:beforeAutospacing="1" w:after="100" w:afterAutospacing="1"/>
    </w:pPr>
    <w:rPr>
      <w:rFonts w:ascii="Times New Roman" w:eastAsia="Times New Roman" w:hAnsi="Times New Roman"/>
      <w:sz w:val="24"/>
      <w:szCs w:val="24"/>
    </w:rPr>
  </w:style>
  <w:style w:type="paragraph" w:styleId="Footer">
    <w:name w:val="footer"/>
    <w:basedOn w:val="Normal"/>
    <w:link w:val="FooterChar"/>
    <w:uiPriority w:val="99"/>
    <w:rsid w:val="001C6C8F"/>
    <w:pPr>
      <w:tabs>
        <w:tab w:val="center" w:pos="4680"/>
        <w:tab w:val="right" w:pos="9360"/>
      </w:tabs>
    </w:pPr>
  </w:style>
  <w:style w:type="character" w:customStyle="1" w:styleId="FooterChar">
    <w:name w:val="Footer Char"/>
    <w:basedOn w:val="DefaultParagraphFont"/>
    <w:link w:val="Footer"/>
    <w:uiPriority w:val="99"/>
    <w:rsid w:val="001C6C8F"/>
    <w:rPr>
      <w:rFonts w:ascii="Verdana" w:eastAsia="Verdana"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Plimpton, Suzanne H.</dc:creator>
  <cp:keywords/>
  <dc:description/>
  <cp:lastModifiedBy>Plimpton, Suzanne H.</cp:lastModifiedBy>
  <cp:revision>1</cp:revision>
  <dcterms:created xsi:type="dcterms:W3CDTF">2015-10-15T19:30:00Z</dcterms:created>
  <dcterms:modified xsi:type="dcterms:W3CDTF">2015-10-15T19:31:00Z</dcterms:modified>
</cp:coreProperties>
</file>