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8216B" w14:textId="77777777" w:rsidR="00D434E8" w:rsidRDefault="006126E2" w:rsidP="00D434E8">
      <w:pPr>
        <w:pStyle w:val="Heading1"/>
      </w:pPr>
      <w:bookmarkStart w:id="0" w:name="_GoBack"/>
      <w:bookmarkEnd w:id="0"/>
      <w:r w:rsidRPr="00D434E8">
        <w:t xml:space="preserve"> </w:t>
      </w:r>
      <w:r w:rsidR="00D434E8">
        <w:t xml:space="preserve">FINAL SUPPORTING STATEMENT </w:t>
      </w:r>
    </w:p>
    <w:p w14:paraId="1866CA5C" w14:textId="77777777" w:rsidR="00D434E8" w:rsidRDefault="00D434E8" w:rsidP="00D434E8">
      <w:pPr>
        <w:pStyle w:val="Heading1"/>
      </w:pPr>
      <w:r>
        <w:t xml:space="preserve">FOR </w:t>
      </w:r>
    </w:p>
    <w:p w14:paraId="3A6DDFA6" w14:textId="72CDC423" w:rsidR="00D434E8" w:rsidRDefault="00D434E8" w:rsidP="000D1212">
      <w:pPr>
        <w:tabs>
          <w:tab w:val="center" w:pos="4830"/>
        </w:tabs>
        <w:ind w:left="0" w:firstLine="0"/>
        <w:jc w:val="center"/>
      </w:pPr>
      <w:r>
        <w:t>10 CFR PART 60</w:t>
      </w:r>
    </w:p>
    <w:p w14:paraId="2429ADEF" w14:textId="6C5C14BD" w:rsidR="00D434E8" w:rsidRDefault="00D434E8" w:rsidP="000D1212">
      <w:pPr>
        <w:tabs>
          <w:tab w:val="center" w:pos="4830"/>
        </w:tabs>
        <w:ind w:left="0" w:firstLine="0"/>
        <w:jc w:val="center"/>
      </w:pPr>
      <w:r>
        <w:t>DISPOSAL OF HIGH-LEVEL RADIOACTIVE WASTES IN GEOLOGIC REPOSITORIES</w:t>
      </w:r>
    </w:p>
    <w:p w14:paraId="6E02805D" w14:textId="16FF0784" w:rsidR="00D434E8" w:rsidRDefault="00D434E8" w:rsidP="000D1212">
      <w:pPr>
        <w:tabs>
          <w:tab w:val="center" w:pos="4830"/>
        </w:tabs>
        <w:ind w:left="0" w:firstLine="0"/>
        <w:jc w:val="center"/>
      </w:pPr>
      <w:r>
        <w:t>(3150-0127)</w:t>
      </w:r>
    </w:p>
    <w:p w14:paraId="7103681E" w14:textId="50D0018F" w:rsidR="00D434E8" w:rsidRDefault="00D434E8" w:rsidP="000D1212">
      <w:pPr>
        <w:spacing w:after="0" w:line="259" w:lineRule="auto"/>
        <w:ind w:left="150" w:firstLine="0"/>
        <w:jc w:val="center"/>
      </w:pPr>
    </w:p>
    <w:p w14:paraId="2ABE3C50" w14:textId="77777777" w:rsidR="00D434E8" w:rsidRDefault="00D434E8" w:rsidP="00D434E8">
      <w:pPr>
        <w:pStyle w:val="Heading1"/>
      </w:pPr>
      <w:r>
        <w:t xml:space="preserve">EXTENSION  </w:t>
      </w:r>
    </w:p>
    <w:p w14:paraId="5F1C94D0" w14:textId="77777777" w:rsidR="00D434E8" w:rsidRDefault="00D434E8" w:rsidP="00D434E8">
      <w:pPr>
        <w:spacing w:after="0" w:line="259" w:lineRule="auto"/>
        <w:ind w:left="5165" w:firstLine="0"/>
        <w:jc w:val="center"/>
      </w:pPr>
      <w:r>
        <w:t xml:space="preserve"> </w:t>
      </w:r>
    </w:p>
    <w:p w14:paraId="6685E1E7" w14:textId="77777777" w:rsidR="00D434E8" w:rsidRDefault="00D434E8" w:rsidP="00D434E8">
      <w:pPr>
        <w:spacing w:after="0" w:line="259" w:lineRule="auto"/>
        <w:ind w:left="150" w:firstLine="0"/>
      </w:pPr>
      <w:r>
        <w:t xml:space="preserve"> </w:t>
      </w:r>
    </w:p>
    <w:p w14:paraId="39383BCD" w14:textId="77777777" w:rsidR="00D434E8" w:rsidRDefault="00D434E8" w:rsidP="00D434E8">
      <w:pPr>
        <w:pStyle w:val="Heading2"/>
      </w:pPr>
      <w:r>
        <w:t>Description of the Information Collection</w:t>
      </w:r>
      <w:r>
        <w:rPr>
          <w:u w:val="none"/>
        </w:rPr>
        <w:t xml:space="preserve"> </w:t>
      </w:r>
    </w:p>
    <w:p w14:paraId="3D5AFBFE" w14:textId="77777777" w:rsidR="00D434E8" w:rsidRDefault="00D434E8" w:rsidP="00D434E8">
      <w:pPr>
        <w:spacing w:after="0" w:line="259" w:lineRule="auto"/>
        <w:ind w:left="150" w:firstLine="0"/>
      </w:pPr>
      <w:r>
        <w:t xml:space="preserve"> </w:t>
      </w:r>
    </w:p>
    <w:p w14:paraId="668214EA" w14:textId="77777777" w:rsidR="00D434E8" w:rsidRDefault="00D434E8" w:rsidP="00D434E8">
      <w:pPr>
        <w:ind w:left="160" w:right="88"/>
      </w:pPr>
      <w:r>
        <w:t xml:space="preserve">NRC regulations pertaining to the disposal of high-level waste radioactive wastes in geologic repositories in 10 CFR Part 60 require States and affected Indian Tribes to submit certain information to the NRC if they: (1) request consultation with the NRC staff with respect to an area that has been approved by the President for site characterization, as provided in §60.62, or (2) wish to participate in license reviews, as provided in §60.63.  Any person representing a State or affected Indian Tribe must also submit a statement of the basis of his or her authority to act in such representative capacity (§60.65). </w:t>
      </w:r>
    </w:p>
    <w:p w14:paraId="27694673" w14:textId="77777777" w:rsidR="00D434E8" w:rsidRDefault="00D434E8" w:rsidP="00D434E8">
      <w:pPr>
        <w:spacing w:after="0" w:line="259" w:lineRule="auto"/>
        <w:ind w:left="150" w:firstLine="0"/>
      </w:pPr>
      <w:r>
        <w:t xml:space="preserve"> </w:t>
      </w:r>
    </w:p>
    <w:p w14:paraId="0CC083C5" w14:textId="77777777" w:rsidR="00D434E8" w:rsidRDefault="00D434E8" w:rsidP="00D434E8">
      <w:pPr>
        <w:ind w:left="160" w:right="88"/>
      </w:pPr>
      <w:r>
        <w:t xml:space="preserve">In the past three years, there were no reported burden hours and cost for the information collection requirements under Part 60.  All of the reported burden hours and cost for the information collection requirements for disposal of high-level radioactive wastes in a geologic repository over the past three years pertained to the U.S. Department of Energy’s proposed high-level waste site at Yucca Mountain, Nevada, and no other sites.  Geologic disposal at Yucca Mountain is regulated under 10 CFR Part 63 (66 FR 55792, November 2, 2001).  The 10 CFR Part 60 was also revised in November 2, 2001, and states at §60.1 that the regulations in 10 CFR Part 60 do not apply to the licensing of a geologic repository at Yucca Mountain.  All of the information collection requirements pertaining to Yucca Mountain were included in 10 CFR Part 63, and were approved by the Office of Management and Budget under control number 3150-0199 (§63.8).  The information collection burden for 10 CFR Part 63 was estimated at 121 hours per response, on average.  The approved information collection requirements contained in 10 CFR Part 63 appear in §§63.62, 63.63, and 63.65.   </w:t>
      </w:r>
    </w:p>
    <w:p w14:paraId="508BD5D0" w14:textId="77777777" w:rsidR="00D434E8" w:rsidRDefault="00D434E8" w:rsidP="00D434E8">
      <w:pPr>
        <w:spacing w:after="0" w:line="259" w:lineRule="auto"/>
        <w:ind w:left="150" w:firstLine="0"/>
      </w:pPr>
      <w:r>
        <w:t xml:space="preserve"> </w:t>
      </w:r>
    </w:p>
    <w:p w14:paraId="1F965DB6" w14:textId="77777777" w:rsidR="00D434E8" w:rsidRDefault="00D434E8" w:rsidP="00D434E8">
      <w:pPr>
        <w:tabs>
          <w:tab w:val="center" w:pos="1325"/>
        </w:tabs>
        <w:spacing w:line="249" w:lineRule="auto"/>
        <w:ind w:left="0" w:firstLine="0"/>
      </w:pPr>
      <w:r>
        <w:t xml:space="preserve">  A. </w:t>
      </w:r>
      <w:r>
        <w:tab/>
      </w:r>
      <w:r>
        <w:rPr>
          <w:u w:val="single" w:color="000000"/>
        </w:rPr>
        <w:t>Justification</w:t>
      </w:r>
      <w:r>
        <w:t xml:space="preserve"> </w:t>
      </w:r>
    </w:p>
    <w:p w14:paraId="6695DE17" w14:textId="77777777" w:rsidR="00D434E8" w:rsidRDefault="00D434E8" w:rsidP="00D434E8">
      <w:pPr>
        <w:spacing w:after="0" w:line="259" w:lineRule="auto"/>
        <w:ind w:left="150" w:firstLine="0"/>
      </w:pPr>
      <w:r>
        <w:t xml:space="preserve"> </w:t>
      </w:r>
    </w:p>
    <w:p w14:paraId="1E76036E" w14:textId="77777777" w:rsidR="00D434E8" w:rsidRDefault="00D434E8" w:rsidP="00D434E8">
      <w:pPr>
        <w:pStyle w:val="Heading2"/>
        <w:ind w:left="745"/>
      </w:pPr>
      <w:r>
        <w:rPr>
          <w:u w:val="none"/>
        </w:rPr>
        <w:t xml:space="preserve">1.   </w:t>
      </w:r>
      <w:r>
        <w:t>Need for and Practical Utility of the Collection of Information</w:t>
      </w:r>
      <w:r>
        <w:rPr>
          <w:u w:val="none"/>
        </w:rPr>
        <w:t xml:space="preserve"> </w:t>
      </w:r>
    </w:p>
    <w:p w14:paraId="306E5C18" w14:textId="77777777" w:rsidR="00D434E8" w:rsidRDefault="00D434E8" w:rsidP="00D434E8">
      <w:pPr>
        <w:spacing w:after="0" w:line="259" w:lineRule="auto"/>
        <w:ind w:left="1110" w:firstLine="0"/>
      </w:pPr>
      <w:r>
        <w:t xml:space="preserve"> </w:t>
      </w:r>
    </w:p>
    <w:p w14:paraId="14CFC2FD" w14:textId="77777777" w:rsidR="00D434E8" w:rsidRDefault="00D434E8" w:rsidP="00D434E8">
      <w:pPr>
        <w:ind w:left="1110" w:right="88"/>
      </w:pPr>
      <w:r>
        <w:t xml:space="preserve">The Nuclear Waste Policy Act of 1982 (NWPA), as amended, and 10 CFR Part 60 contain detailed provisions for the participation of States and affected Indian Tribes in the process of siting and developing a high-level radioactive waste geologic repository.  The NRC must follow many formal procedures and detailed schedules in meeting its responsibilities under the NWPA and Part 60, as described in its adjudicatory rules in 10 CFR Part 2.  Part 60 does not require States and Indian Tribes to submit any proposals.  This is strictly voluntary on their part, and only if they desire to do so would the information in question be required of them.  The Director of the Office of Nuclear Materials Safety and Safeguards must have complete </w:t>
      </w:r>
      <w:r>
        <w:lastRenderedPageBreak/>
        <w:t xml:space="preserve">information on State and Indian Tribal plans for participation in order to accommodate State and Tribal plans for participation while at the same time following mandated procedures and schedules.  In addition, where State and Tribal proposals for participation involve requests for funding, the justification for such requests must be documented in order to assure appropriate uses of funds. </w:t>
      </w:r>
    </w:p>
    <w:p w14:paraId="01781538" w14:textId="77777777" w:rsidR="00D434E8" w:rsidRDefault="00D434E8" w:rsidP="00D434E8">
      <w:pPr>
        <w:spacing w:after="0" w:line="259" w:lineRule="auto"/>
        <w:ind w:left="1110" w:firstLine="0"/>
      </w:pPr>
      <w:r>
        <w:t xml:space="preserve"> </w:t>
      </w:r>
    </w:p>
    <w:p w14:paraId="76D2A662" w14:textId="77777777" w:rsidR="00D434E8" w:rsidRDefault="00D434E8" w:rsidP="00D434E8">
      <w:pPr>
        <w:ind w:left="1110" w:right="88"/>
      </w:pPr>
      <w:r>
        <w:rPr>
          <w:u w:val="single" w:color="000000"/>
        </w:rPr>
        <w:t>Section 60.62</w:t>
      </w:r>
      <w:r>
        <w:t xml:space="preserve"> states that whenever an area has been approved by the President for site characterization, and upon request of a State or an affected Indian Tribe, the Director of the Nuclear Regulatory Commission's Office of Nuclear Material Safety and Safeguards shall make NRC staff available to consult with representatives of such States and Tribes.  Section 60.62 also states that requests for consultation shall be made in writing to the Director.  The States and Tribes would be required to submit information about what services they need, and for what purpose the services are needed, but only if they wish to obtain NRC consultation services. </w:t>
      </w:r>
    </w:p>
    <w:p w14:paraId="0A4601C8" w14:textId="77777777" w:rsidR="00D434E8" w:rsidRDefault="00D434E8" w:rsidP="00D434E8">
      <w:pPr>
        <w:spacing w:after="0" w:line="259" w:lineRule="auto"/>
        <w:ind w:left="150" w:firstLine="0"/>
      </w:pPr>
      <w:r>
        <w:t xml:space="preserve"> </w:t>
      </w:r>
    </w:p>
    <w:p w14:paraId="3ABEFE31" w14:textId="77777777" w:rsidR="00D434E8" w:rsidRDefault="00D434E8" w:rsidP="00D434E8">
      <w:pPr>
        <w:ind w:left="1110" w:right="88"/>
      </w:pPr>
      <w:r>
        <w:t xml:space="preserve">Making NRC staff available for consultation with representatives of States and affected Indian Tribes represents a potentially major commitment of NRC resources.  The Director must have a sufficient basis for approving this commitment of resources.  A written request for consultation is the minimum requirement which could provide a sufficient basis for the commitment of NRC resources. </w:t>
      </w:r>
    </w:p>
    <w:p w14:paraId="4C2A81E8" w14:textId="77777777" w:rsidR="00D434E8" w:rsidRDefault="00D434E8" w:rsidP="00D434E8">
      <w:pPr>
        <w:spacing w:after="0" w:line="259" w:lineRule="auto"/>
        <w:ind w:left="150" w:firstLine="0"/>
      </w:pPr>
      <w:r>
        <w:t xml:space="preserve"> </w:t>
      </w:r>
    </w:p>
    <w:p w14:paraId="15C66E89" w14:textId="77777777" w:rsidR="00D434E8" w:rsidRDefault="00D434E8" w:rsidP="00D434E8">
      <w:pPr>
        <w:ind w:left="1110" w:right="88"/>
      </w:pPr>
      <w:r>
        <w:rPr>
          <w:u w:val="single" w:color="000000"/>
        </w:rPr>
        <w:t>Section 60.63(b)</w:t>
      </w:r>
      <w:r>
        <w:t xml:space="preserve"> states that whenever an area has been approved by the President for site characterization, a State or an affected Indian Tribe may submit to the Director a proposal to facilitate its participation in the review of a site characterization plan and/or license application.  The proposal shall contain a description and schedule of how the State or affected Indian Tribe wishes to participate in the review, or what services or activities the State or affected Indian Tribe wishes NRC to carry out, and how the services or activities proposed to be carried out by NRC would contribute to such participation.   </w:t>
      </w:r>
    </w:p>
    <w:p w14:paraId="788B3BA8" w14:textId="77777777" w:rsidR="00D434E8" w:rsidRDefault="00D434E8" w:rsidP="00D434E8">
      <w:pPr>
        <w:spacing w:after="0" w:line="259" w:lineRule="auto"/>
        <w:ind w:left="150" w:firstLine="0"/>
      </w:pPr>
      <w:r>
        <w:t xml:space="preserve"> </w:t>
      </w:r>
    </w:p>
    <w:p w14:paraId="107C9D96" w14:textId="77777777" w:rsidR="00D434E8" w:rsidRDefault="00D434E8" w:rsidP="00D434E8">
      <w:pPr>
        <w:ind w:left="1110" w:right="88"/>
      </w:pPr>
      <w:r>
        <w:t xml:space="preserve">The Director of the Office of Nuclear Materials Safety and Safeguards shall arrange for a meeting between the representatives of the State or affected Indian Tribe and the NRC staff to discuss any proposal submitted under paragraph (b) of this section, with a view to identifying any modifications that may contribute to the effective participation by such State or Tribe. </w:t>
      </w:r>
    </w:p>
    <w:p w14:paraId="17B63938" w14:textId="77777777" w:rsidR="00D434E8" w:rsidRDefault="00D434E8" w:rsidP="00D434E8">
      <w:pPr>
        <w:spacing w:after="0" w:line="259" w:lineRule="auto"/>
        <w:ind w:left="750" w:firstLine="0"/>
      </w:pPr>
      <w:r>
        <w:t xml:space="preserve"> </w:t>
      </w:r>
    </w:p>
    <w:p w14:paraId="44BDD5E3" w14:textId="77777777" w:rsidR="00D434E8" w:rsidRDefault="00D434E8" w:rsidP="00D434E8">
      <w:pPr>
        <w:ind w:left="1110" w:right="88"/>
      </w:pPr>
      <w:r>
        <w:t xml:space="preserve">Subject to the availability of funds, the Director shall approve all or any part of a proposal, as it may be modified through the meeting described above, if it is determined that the proposed activities: (1) are suitable in light of the type and magnitude of impacts which the State or affected Indian Tribe may bear and (2) will enhance communications between NRC and the State or affected Indian Tribe, make a productive and timely contribution to the license review; and are authorized by law.  The Director will advise the State or affected Indian Tribe whether its proposal has been accepted or denied, and if all or any part of proposal is denied, the Director shall state the reason for the denial. </w:t>
      </w:r>
    </w:p>
    <w:p w14:paraId="41C33650" w14:textId="77777777" w:rsidR="00D434E8" w:rsidRDefault="00D434E8" w:rsidP="00D434E8">
      <w:pPr>
        <w:spacing w:after="0" w:line="259" w:lineRule="auto"/>
        <w:ind w:left="150" w:firstLine="0"/>
      </w:pPr>
      <w:r>
        <w:t xml:space="preserve">  </w:t>
      </w:r>
    </w:p>
    <w:p w14:paraId="79077486" w14:textId="77777777" w:rsidR="00D434E8" w:rsidRDefault="00D434E8" w:rsidP="00D434E8">
      <w:pPr>
        <w:ind w:left="1110" w:right="88"/>
      </w:pPr>
      <w:r>
        <w:rPr>
          <w:u w:val="single" w:color="000000"/>
        </w:rPr>
        <w:lastRenderedPageBreak/>
        <w:t>Section 60.65</w:t>
      </w:r>
      <w:r>
        <w:t xml:space="preserve"> states that any person who acts under this subpart (Subpart C) as a representative for a State (or for the Governor or legislature thereof) or for an affected Indian Tribe shall include in his request or other submission, or at the request of the Commission, a statement of the basis of his authority to act in such representative capacity. </w:t>
      </w:r>
    </w:p>
    <w:p w14:paraId="2E0E343D" w14:textId="77777777" w:rsidR="00D434E8" w:rsidRDefault="00D434E8" w:rsidP="00D434E8">
      <w:pPr>
        <w:spacing w:after="0" w:line="259" w:lineRule="auto"/>
        <w:ind w:left="150" w:firstLine="0"/>
      </w:pPr>
      <w:r>
        <w:t xml:space="preserve"> </w:t>
      </w:r>
    </w:p>
    <w:p w14:paraId="71F6CFDD" w14:textId="77777777" w:rsidR="00D434E8" w:rsidRDefault="00D434E8" w:rsidP="00D434E8">
      <w:pPr>
        <w:ind w:left="1110" w:right="88"/>
      </w:pPr>
      <w:r>
        <w:t xml:space="preserve">Such a statement is necessary to assure the NRC that representatives for the States and affected Indian Tribes have the authority to represent the States or Indian Tribes in dealings with the NRC. </w:t>
      </w:r>
    </w:p>
    <w:p w14:paraId="24914AF8" w14:textId="77777777" w:rsidR="00D434E8" w:rsidRDefault="00D434E8" w:rsidP="00D434E8">
      <w:pPr>
        <w:spacing w:after="0" w:line="259" w:lineRule="auto"/>
        <w:ind w:left="1110" w:firstLine="0"/>
      </w:pPr>
      <w:r>
        <w:t xml:space="preserve"> </w:t>
      </w:r>
    </w:p>
    <w:p w14:paraId="74F5E555" w14:textId="77777777" w:rsidR="00D434E8" w:rsidRDefault="00D434E8" w:rsidP="00D434E8">
      <w:pPr>
        <w:pStyle w:val="Heading2"/>
        <w:ind w:left="745"/>
      </w:pPr>
      <w:r>
        <w:rPr>
          <w:u w:val="none"/>
        </w:rPr>
        <w:t xml:space="preserve">2.   </w:t>
      </w:r>
      <w:r>
        <w:t>Agency Use of Information</w:t>
      </w:r>
      <w:r>
        <w:rPr>
          <w:u w:val="none"/>
        </w:rPr>
        <w:t xml:space="preserve"> </w:t>
      </w:r>
    </w:p>
    <w:p w14:paraId="186BD489" w14:textId="77777777" w:rsidR="00D434E8" w:rsidRDefault="00D434E8" w:rsidP="00D434E8">
      <w:pPr>
        <w:spacing w:after="0" w:line="259" w:lineRule="auto"/>
        <w:ind w:left="870" w:firstLine="0"/>
      </w:pPr>
      <w:r>
        <w:t xml:space="preserve"> </w:t>
      </w:r>
    </w:p>
    <w:p w14:paraId="7BC5398C" w14:textId="77777777" w:rsidR="00D434E8" w:rsidRDefault="00D434E8" w:rsidP="00D434E8">
      <w:pPr>
        <w:ind w:left="1110" w:right="88"/>
      </w:pPr>
      <w:r>
        <w:t xml:space="preserve">The information requested will be reported to the Director of the Office of Nuclear Material Safety and Safeguards, who has programmatic responsibility for NRC’s high-level radioactive waste program.  It will be used by him or her to implement requirements for States and Indian Tribes to participate in the siting and development of high-level radioactive waste geologic repositories.  It will also help the Director determine, for example, whether activities proposed by the State or affected Indian Tribe would enhance communications, would contribute to the license review in a timely and productive manner and would be authorized by law.  The Director has established a process for State, local government, and affected Indian Tribe participation.  Staff resources are available to assure that reported information is used in a timely and useful fashion.  NRC usually sets a timeframe for review and action on funding requests of 60 days. </w:t>
      </w:r>
    </w:p>
    <w:p w14:paraId="583DAF63" w14:textId="77777777" w:rsidR="00D434E8" w:rsidRDefault="00D434E8" w:rsidP="00D434E8">
      <w:pPr>
        <w:spacing w:after="0" w:line="259" w:lineRule="auto"/>
        <w:ind w:left="150" w:firstLine="0"/>
      </w:pPr>
      <w:r>
        <w:t xml:space="preserve"> </w:t>
      </w:r>
    </w:p>
    <w:p w14:paraId="517E48CC" w14:textId="77777777" w:rsidR="00D434E8" w:rsidRDefault="00D434E8" w:rsidP="00D434E8">
      <w:pPr>
        <w:pStyle w:val="Heading2"/>
        <w:ind w:left="745"/>
      </w:pPr>
      <w:r>
        <w:rPr>
          <w:u w:val="none"/>
        </w:rPr>
        <w:t xml:space="preserve">3.   </w:t>
      </w:r>
      <w:r>
        <w:t>Reduction of Burden through Information Technology</w:t>
      </w:r>
      <w:r>
        <w:rPr>
          <w:u w:val="none"/>
        </w:rPr>
        <w:t xml:space="preserve"> </w:t>
      </w:r>
    </w:p>
    <w:p w14:paraId="74BBA029" w14:textId="77777777" w:rsidR="00D434E8" w:rsidRDefault="00D434E8" w:rsidP="00D434E8">
      <w:pPr>
        <w:spacing w:after="0" w:line="259" w:lineRule="auto"/>
        <w:ind w:left="1110" w:firstLine="0"/>
      </w:pPr>
      <w:r>
        <w:rPr>
          <w:b/>
          <w:color w:val="FF0000"/>
        </w:rPr>
        <w:t xml:space="preserve"> </w:t>
      </w:r>
    </w:p>
    <w:p w14:paraId="5CFC2DDE" w14:textId="77777777" w:rsidR="00D434E8" w:rsidRDefault="00D434E8" w:rsidP="00D434E8">
      <w:pPr>
        <w:ind w:left="1110" w:right="88"/>
      </w:pPr>
      <w: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approximately 50</w:t>
      </w:r>
      <w:r>
        <w:rPr>
          <w:b/>
        </w:rPr>
        <w:t>%</w:t>
      </w:r>
      <w:r>
        <w:t xml:space="preserve"> of the potential responses are filed electronically.   </w:t>
      </w:r>
    </w:p>
    <w:p w14:paraId="517889EB" w14:textId="77777777" w:rsidR="00D434E8" w:rsidRDefault="00D434E8" w:rsidP="00D434E8">
      <w:pPr>
        <w:spacing w:after="0" w:line="259" w:lineRule="auto"/>
        <w:ind w:left="870" w:firstLine="0"/>
      </w:pPr>
      <w:r>
        <w:t xml:space="preserve"> </w:t>
      </w:r>
    </w:p>
    <w:p w14:paraId="184FE845" w14:textId="77777777" w:rsidR="00D434E8" w:rsidRDefault="00D434E8" w:rsidP="00D434E8">
      <w:pPr>
        <w:pStyle w:val="Heading2"/>
        <w:ind w:left="745"/>
      </w:pPr>
      <w:r>
        <w:rPr>
          <w:u w:val="none"/>
        </w:rPr>
        <w:t xml:space="preserve">4.   </w:t>
      </w:r>
      <w:r>
        <w:t>Effort to Identify Duplication and Use Similar Information</w:t>
      </w:r>
      <w:r>
        <w:rPr>
          <w:u w:val="none"/>
        </w:rPr>
        <w:t xml:space="preserve"> </w:t>
      </w:r>
    </w:p>
    <w:p w14:paraId="4C8E681F" w14:textId="77777777" w:rsidR="00D434E8" w:rsidRDefault="00D434E8" w:rsidP="00D434E8">
      <w:pPr>
        <w:spacing w:after="0" w:line="259" w:lineRule="auto"/>
        <w:ind w:left="1110" w:firstLine="0"/>
      </w:pPr>
      <w:r>
        <w:rPr>
          <w:b/>
          <w:color w:val="FF0000"/>
        </w:rPr>
        <w:t xml:space="preserve"> </w:t>
      </w:r>
    </w:p>
    <w:p w14:paraId="0E3D4AED" w14:textId="77777777" w:rsidR="00D434E8" w:rsidRDefault="00D434E8" w:rsidP="00D434E8">
      <w:pPr>
        <w:ind w:left="1110" w:right="88"/>
      </w:pPr>
      <w:r>
        <w:t xml:space="preserve">No sources of similar information are available.  There is no duplication of requirements.  NRC has in place an ongoing program to examine all information collections with the goal of eliminating all duplication and/or unnecessary information collections. </w:t>
      </w:r>
    </w:p>
    <w:p w14:paraId="60701B85" w14:textId="77777777" w:rsidR="00EF3F4D" w:rsidRDefault="00EF3F4D" w:rsidP="00D434E8">
      <w:pPr>
        <w:ind w:left="1110" w:right="88"/>
      </w:pPr>
    </w:p>
    <w:p w14:paraId="47DCAAB6" w14:textId="77777777" w:rsidR="00EF3F4D" w:rsidRDefault="00EF3F4D" w:rsidP="00D434E8">
      <w:pPr>
        <w:ind w:left="1110" w:right="88"/>
      </w:pPr>
    </w:p>
    <w:p w14:paraId="778DE972" w14:textId="77777777" w:rsidR="00D434E8" w:rsidRDefault="00D434E8" w:rsidP="00D434E8">
      <w:pPr>
        <w:spacing w:after="0" w:line="259" w:lineRule="auto"/>
        <w:ind w:left="150" w:firstLine="0"/>
      </w:pPr>
      <w:r>
        <w:t xml:space="preserve"> </w:t>
      </w:r>
    </w:p>
    <w:p w14:paraId="1A41B8BF" w14:textId="77777777" w:rsidR="00D434E8" w:rsidRDefault="00D434E8" w:rsidP="00D434E8">
      <w:pPr>
        <w:pStyle w:val="Heading2"/>
        <w:ind w:left="745"/>
      </w:pPr>
      <w:r>
        <w:rPr>
          <w:u w:val="none"/>
        </w:rPr>
        <w:lastRenderedPageBreak/>
        <w:t xml:space="preserve">5.   </w:t>
      </w:r>
      <w:r>
        <w:t>Effort to Reduce Small Business Burden</w:t>
      </w:r>
      <w:r>
        <w:rPr>
          <w:u w:val="none"/>
        </w:rPr>
        <w:t xml:space="preserve"> </w:t>
      </w:r>
    </w:p>
    <w:p w14:paraId="66593474" w14:textId="77777777" w:rsidR="00D434E8" w:rsidRDefault="00D434E8" w:rsidP="00D434E8">
      <w:pPr>
        <w:spacing w:after="0" w:line="259" w:lineRule="auto"/>
        <w:ind w:left="150" w:firstLine="0"/>
      </w:pPr>
      <w:r>
        <w:t xml:space="preserve"> </w:t>
      </w:r>
    </w:p>
    <w:p w14:paraId="073E2168" w14:textId="77777777" w:rsidR="00D434E8" w:rsidRDefault="00D434E8" w:rsidP="00D434E8">
      <w:pPr>
        <w:ind w:left="1110" w:right="88"/>
      </w:pPr>
      <w:r>
        <w:t xml:space="preserve">No small businesses are affected by the information collection requirements, but some Indian Tribes could be considered small entities.  The NRC staff’s established program to provide information exchange with States and Tribes would provide such Tribes with assistance in preparation of the requested information. </w:t>
      </w:r>
    </w:p>
    <w:p w14:paraId="75944F65" w14:textId="77777777" w:rsidR="00D434E8" w:rsidRDefault="00D434E8" w:rsidP="00D434E8">
      <w:pPr>
        <w:spacing w:after="0" w:line="259" w:lineRule="auto"/>
        <w:ind w:left="150" w:firstLine="0"/>
      </w:pPr>
      <w:r>
        <w:t xml:space="preserve"> </w:t>
      </w:r>
    </w:p>
    <w:p w14:paraId="55B6D3DF" w14:textId="77777777" w:rsidR="00D434E8" w:rsidRDefault="00D434E8" w:rsidP="00D434E8">
      <w:pPr>
        <w:pStyle w:val="Heading2"/>
        <w:ind w:left="1095" w:hanging="360"/>
      </w:pPr>
      <w:r>
        <w:rPr>
          <w:u w:val="none"/>
        </w:rPr>
        <w:t xml:space="preserve">6.   </w:t>
      </w:r>
      <w:r>
        <w:t>Consequences to Federal Program or Policy Activities if the Collection is Not</w:t>
      </w:r>
      <w:r>
        <w:rPr>
          <w:u w:val="none"/>
        </w:rPr>
        <w:t xml:space="preserve"> </w:t>
      </w:r>
      <w:r>
        <w:t>Conducted or is Conducted Less Frequently</w:t>
      </w:r>
      <w:r>
        <w:rPr>
          <w:u w:val="none"/>
        </w:rPr>
        <w:t xml:space="preserve"> </w:t>
      </w:r>
    </w:p>
    <w:p w14:paraId="61EAE75A" w14:textId="77777777" w:rsidR="00D434E8" w:rsidRDefault="00D434E8" w:rsidP="00D434E8">
      <w:pPr>
        <w:spacing w:after="0" w:line="259" w:lineRule="auto"/>
        <w:ind w:left="150" w:firstLine="0"/>
      </w:pPr>
      <w:r>
        <w:t xml:space="preserve"> </w:t>
      </w:r>
    </w:p>
    <w:p w14:paraId="0BBA63A1" w14:textId="77777777" w:rsidR="00D434E8" w:rsidRDefault="00D434E8" w:rsidP="00D434E8">
      <w:pPr>
        <w:ind w:left="1110" w:right="88"/>
      </w:pPr>
      <w:r>
        <w:t xml:space="preserve">If the collection is not conducted, the NRC will not have information that will enable the Director to carry out requirements for States and affected Indian Tribes to participate in the siting and development of high-level radioactive waste geologic repositories.  </w:t>
      </w:r>
    </w:p>
    <w:p w14:paraId="088CDB9A" w14:textId="77777777" w:rsidR="00D434E8" w:rsidRDefault="00D434E8" w:rsidP="00D434E8">
      <w:pPr>
        <w:spacing w:after="0" w:line="259" w:lineRule="auto"/>
        <w:ind w:left="150" w:firstLine="0"/>
      </w:pPr>
      <w:r>
        <w:t xml:space="preserve"> </w:t>
      </w:r>
    </w:p>
    <w:p w14:paraId="1ED15AB2" w14:textId="77777777" w:rsidR="00D434E8" w:rsidRDefault="00D434E8" w:rsidP="00D434E8">
      <w:pPr>
        <w:spacing w:line="249" w:lineRule="auto"/>
        <w:ind w:left="745"/>
      </w:pPr>
      <w:r>
        <w:t xml:space="preserve">7.   </w:t>
      </w:r>
      <w:r>
        <w:rPr>
          <w:u w:val="single" w:color="000000"/>
        </w:rPr>
        <w:t>Circumstances Which Justify Variations from OMB Guidelines</w:t>
      </w:r>
      <w:r>
        <w:t xml:space="preserve"> </w:t>
      </w:r>
    </w:p>
    <w:p w14:paraId="60911788" w14:textId="77777777" w:rsidR="00D434E8" w:rsidRDefault="00D434E8" w:rsidP="00D434E8">
      <w:pPr>
        <w:spacing w:after="0" w:line="259" w:lineRule="auto"/>
        <w:ind w:left="150" w:firstLine="0"/>
      </w:pPr>
      <w:r>
        <w:t xml:space="preserve"> </w:t>
      </w:r>
    </w:p>
    <w:p w14:paraId="3940B770" w14:textId="77777777" w:rsidR="00D434E8" w:rsidRDefault="00D434E8" w:rsidP="00D434E8">
      <w:pPr>
        <w:ind w:left="1110" w:right="88"/>
      </w:pPr>
      <w:r>
        <w:t xml:space="preserve">There are no variations from OMB guidelines.  </w:t>
      </w:r>
    </w:p>
    <w:p w14:paraId="02CA2745" w14:textId="77777777" w:rsidR="00D434E8" w:rsidRDefault="00D434E8" w:rsidP="00D434E8">
      <w:pPr>
        <w:spacing w:after="0" w:line="259" w:lineRule="auto"/>
        <w:ind w:left="150" w:firstLine="0"/>
      </w:pPr>
      <w:r>
        <w:t xml:space="preserve"> </w:t>
      </w:r>
    </w:p>
    <w:p w14:paraId="205144E8" w14:textId="77777777" w:rsidR="00D434E8" w:rsidRDefault="00D434E8" w:rsidP="00D434E8">
      <w:pPr>
        <w:pStyle w:val="Heading2"/>
        <w:ind w:left="745"/>
      </w:pPr>
      <w:r>
        <w:rPr>
          <w:u w:val="none"/>
        </w:rPr>
        <w:t xml:space="preserve">8.   </w:t>
      </w:r>
      <w:r>
        <w:t>Consultations outside NRC</w:t>
      </w:r>
      <w:r>
        <w:rPr>
          <w:u w:val="none"/>
        </w:rPr>
        <w:t xml:space="preserve"> </w:t>
      </w:r>
    </w:p>
    <w:p w14:paraId="68CD2CA8" w14:textId="77777777" w:rsidR="00D434E8" w:rsidRDefault="00D434E8" w:rsidP="00D434E8">
      <w:pPr>
        <w:spacing w:after="0" w:line="259" w:lineRule="auto"/>
        <w:ind w:left="150" w:firstLine="0"/>
      </w:pPr>
      <w:r>
        <w:t xml:space="preserve"> </w:t>
      </w:r>
    </w:p>
    <w:p w14:paraId="2237189A" w14:textId="77777777" w:rsidR="00D434E8" w:rsidRDefault="00D434E8" w:rsidP="00D434E8">
      <w:pPr>
        <w:spacing w:after="0" w:line="259" w:lineRule="auto"/>
        <w:ind w:left="1110" w:firstLine="0"/>
      </w:pPr>
      <w:r>
        <w:t xml:space="preserve">Opportunity for public comment on the information collection requirements for this clearance package was published in the Federal Register on May 19, 2015 (80 FR 28714).  </w:t>
      </w:r>
      <w:r w:rsidR="00727D95">
        <w:t>One comment was received.</w:t>
      </w:r>
    </w:p>
    <w:p w14:paraId="36B7912E" w14:textId="77777777" w:rsidR="00D434E8" w:rsidRDefault="00D434E8" w:rsidP="00D434E8">
      <w:pPr>
        <w:spacing w:after="0" w:line="259" w:lineRule="auto"/>
        <w:ind w:left="1110" w:firstLine="0"/>
      </w:pPr>
    </w:p>
    <w:p w14:paraId="3B496542" w14:textId="56B4735D" w:rsidR="00D434E8" w:rsidRDefault="00D434E8" w:rsidP="00D434E8">
      <w:pPr>
        <w:spacing w:after="0" w:line="259" w:lineRule="auto"/>
        <w:ind w:left="1110" w:firstLine="0"/>
      </w:pPr>
      <w:r>
        <w:t xml:space="preserve">Currently, there are no licensing actions for high-level radioactive waste repository sites under 10 CFR Part 60, and </w:t>
      </w:r>
      <w:r w:rsidR="00B77EA7">
        <w:t>the likelihood of a licensing action</w:t>
      </w:r>
      <w:r>
        <w:t xml:space="preserve"> over the next th</w:t>
      </w:r>
      <w:r w:rsidR="00B77EA7">
        <w:t>ree years is low.  T</w:t>
      </w:r>
      <w:r>
        <w:t>herefore, no further public consultation was performed for this clearance.</w:t>
      </w:r>
    </w:p>
    <w:p w14:paraId="09BE5CC3" w14:textId="77777777" w:rsidR="00D434E8" w:rsidRDefault="00D434E8" w:rsidP="00D434E8">
      <w:pPr>
        <w:spacing w:after="0" w:line="259" w:lineRule="auto"/>
        <w:ind w:left="1110" w:firstLine="0"/>
      </w:pPr>
    </w:p>
    <w:p w14:paraId="66F958C3" w14:textId="77777777" w:rsidR="00D434E8" w:rsidRDefault="00D434E8" w:rsidP="00D434E8">
      <w:pPr>
        <w:spacing w:after="0" w:line="259" w:lineRule="auto"/>
        <w:ind w:left="1109" w:firstLine="0"/>
      </w:pPr>
      <w:r>
        <w:t>One commenter submitted comments during the public comment period.</w:t>
      </w:r>
    </w:p>
    <w:p w14:paraId="06CF2C53" w14:textId="77777777" w:rsidR="00D434E8" w:rsidRDefault="00D434E8" w:rsidP="00D434E8">
      <w:pPr>
        <w:rPr>
          <w:u w:val="single"/>
        </w:rPr>
      </w:pPr>
    </w:p>
    <w:p w14:paraId="54E42CD1" w14:textId="77777777" w:rsidR="00D434E8" w:rsidRDefault="00D434E8" w:rsidP="00D434E8">
      <w:pPr>
        <w:ind w:left="1123" w:hanging="14"/>
        <w:rPr>
          <w:rFonts w:eastAsiaTheme="minorHAnsi"/>
          <w:color w:val="auto"/>
        </w:rPr>
      </w:pPr>
      <w:r>
        <w:rPr>
          <w:u w:val="single"/>
        </w:rPr>
        <w:t>Comment</w:t>
      </w:r>
      <w:r>
        <w:t>:  One commenter stated that: (1) the affected States and Indian Tribes should not be required to submit a proposal requesting information and assistance; (2) the assistance and information should also be made available to local governments; and (3) the hourly rate of $279.00 used for estimating the cost of the information collection is excessive.</w:t>
      </w:r>
    </w:p>
    <w:p w14:paraId="50981E66" w14:textId="77777777" w:rsidR="00D434E8" w:rsidRDefault="00D434E8" w:rsidP="00D434E8">
      <w:pPr>
        <w:spacing w:after="0"/>
        <w:ind w:left="1123" w:hanging="14"/>
        <w:rPr>
          <w:u w:val="single"/>
        </w:rPr>
      </w:pPr>
    </w:p>
    <w:p w14:paraId="76D30C0A" w14:textId="77777777" w:rsidR="00D434E8" w:rsidRDefault="00D434E8" w:rsidP="00D434E8">
      <w:pPr>
        <w:spacing w:after="0"/>
        <w:ind w:left="1123" w:hanging="14"/>
      </w:pPr>
      <w:r>
        <w:rPr>
          <w:u w:val="single"/>
        </w:rPr>
        <w:t>Response</w:t>
      </w:r>
      <w:r>
        <w:t xml:space="preserve">:  The NRC is committed to strong public outreach and makes information available through its public website, which includes access to the NRC’s Agencywide Documents Access and Management System (ADAMS).  The NRC website also has a link to high-level radioactive waste disposal information.  Important NRC documents related to the high-level radioactive waste program also are distributed to the relevant States, Affected Units of Local Government, Indian Tribes and other stakeholders.  Further, the NRC has conducted public meetings with respect to its responsibilities as the regulator of geological disposal of high-level radioactive waste at a proposed repository at Yucca Mountain, including meeting with local units of government, state representative and Indian Tribes.  NRC expects to continue such activities consistent with the direction of the national program for geological disposal and NRC’s regulatory authority and funding.  </w:t>
      </w:r>
    </w:p>
    <w:p w14:paraId="1981C56F" w14:textId="77777777" w:rsidR="00D434E8" w:rsidRDefault="00D434E8" w:rsidP="00D434E8">
      <w:pPr>
        <w:spacing w:after="0"/>
      </w:pPr>
    </w:p>
    <w:p w14:paraId="227FF916" w14:textId="77777777" w:rsidR="00D434E8" w:rsidRDefault="00D434E8" w:rsidP="00D434E8">
      <w:pPr>
        <w:spacing w:after="0"/>
        <w:ind w:left="1123" w:hanging="14"/>
      </w:pPr>
      <w:r>
        <w:t xml:space="preserve">The information collection associated with 10 CFR Part 60 requires States and Indian Tribes to submit certain information to the NRC </w:t>
      </w:r>
      <w:r w:rsidRPr="0048094F">
        <w:rPr>
          <w:i/>
        </w:rPr>
        <w:t xml:space="preserve">if they </w:t>
      </w:r>
      <w:r>
        <w:rPr>
          <w:i/>
        </w:rPr>
        <w:t>request consultation</w:t>
      </w:r>
      <w:r>
        <w:t xml:space="preserve"> with the NRC staff concerning the review of a potential repository site, or wish to participate in a license application review for a potential repository.  As explained in the Justification portion of this Supporting Statement (Item 1 above), Part 60 does not require States and Indian Tribes to submit any proposals.  This is strictly voluntary on their part, and only if they desire to do so would the information in question be required of them.  The Director of the Office of Nuclear Materials Safety and Safeguards must have sufficient information on State and Indian Tribal plans for participation in order to accommodate State and Tribal plans for participation while at the same time following mandated procedures and schedules.  In addition, where State and Tribal proposals for participation involve requests for funding, the justification for such requests must be documented in order to assure appropriate uses of funds.  </w:t>
      </w:r>
    </w:p>
    <w:p w14:paraId="22837897" w14:textId="77777777" w:rsidR="00D434E8" w:rsidRDefault="00D434E8" w:rsidP="00D434E8">
      <w:pPr>
        <w:spacing w:after="0"/>
      </w:pPr>
    </w:p>
    <w:p w14:paraId="28B60A28" w14:textId="77777777" w:rsidR="00D434E8" w:rsidRDefault="00D434E8" w:rsidP="00D434E8">
      <w:pPr>
        <w:spacing w:after="0"/>
        <w:ind w:left="1123" w:hanging="14"/>
      </w:pPr>
      <w:r>
        <w:t xml:space="preserve">The commenter also requested that NRC information and assistance should be made available to local governments.  The NRC regulations for Yucca Mountain, Nevada at 10 CFR 63.62, 63.63, and 63.65 includes local units of government along with the State of Nevada and Indian Tribes (66 FR 55802; November 2, 2001).  The Commission explained when it proposed a new, separate part of its regulations at 10 CFR Part 63 that: (1) the existing generic requirements at 10 CFR Part 60 would remain intact and in place, if needed, for sites other than Yucca Mountain, and (2) the Commission assumes it would be afforded adequate time and resources in future years to amend its generic regulations for any additional repository site that might be authorized (64 FR 8643; February 22, 1999).  Future revisions to Part 60 could consider the inclusion of local units of government as suggested by the commenter and consistent with the regulations at 10 CFR Part 63. </w:t>
      </w:r>
    </w:p>
    <w:p w14:paraId="6AB05714" w14:textId="77777777" w:rsidR="00D434E8" w:rsidRDefault="00D434E8" w:rsidP="00D434E8">
      <w:pPr>
        <w:spacing w:after="0"/>
      </w:pPr>
    </w:p>
    <w:p w14:paraId="0A097D1A" w14:textId="77777777" w:rsidR="00D434E8" w:rsidRDefault="00D434E8" w:rsidP="00D434E8">
      <w:pPr>
        <w:spacing w:after="0"/>
        <w:ind w:left="1123" w:hanging="14"/>
      </w:pPr>
      <w:r>
        <w:t xml:space="preserve">The NRC has a formal process by which it determines the hourly rate it charges its applicants and licensees.  Over the past 40 years, the NRC (and earlier, as the Atomic Energy Commission, the NRC’s predecessor agency) has assessed and continues to assess fees to applicants and licensees to recover part of the cost of its regulatory program. The NRC’s cost recovery principles for fee regulation are governed by two major statutes: (1) The Independent Offices Appropriations Act of 1952 (IOAA) (31 U.S.C. 483 (a)); and (2) The Omnibus Budget Reconciliation Act of 1990, as amended (OBRA) (42 U.S.C. 2214). The NRC is required each year under OBRA to recover approximately 90 percent of its budget authority, not including amounts appropriated for Waste Incidental to Reprocessing (WIR), the Nuclear Waste Fund (NWF), generic homeland security activities, and Inspector General (IG) services for the Defense Nuclear Facilities Safety Board (DNFSB).  The NRC’s hourly rate is derived by dividing the sum of recoverable budgeted resources for: (1) Mission direct program salaries and benefits; (2) mission-indirect program support; and (3) agency overhead or indirect costs—which includes corporate support, office support, and the IG.  Thus, the hourly rate calculation represents salaries as well as employee benefits and other costs.  The most recent NRC fee rule determination of the hourly rate calculation was published in the Federal Register on June 30, 2015 (80 FR 37432) and provides further details for this calculation.   </w:t>
      </w:r>
    </w:p>
    <w:p w14:paraId="2910F1F7" w14:textId="77777777" w:rsidR="00D434E8" w:rsidRDefault="00D434E8" w:rsidP="00D434E8">
      <w:pPr>
        <w:spacing w:after="0"/>
      </w:pPr>
    </w:p>
    <w:p w14:paraId="0A1F47F5" w14:textId="77777777" w:rsidR="00D434E8" w:rsidRDefault="00D434E8" w:rsidP="00D434E8">
      <w:pPr>
        <w:spacing w:line="249" w:lineRule="auto"/>
        <w:ind w:left="745"/>
      </w:pPr>
      <w:r>
        <w:t xml:space="preserve">9.   </w:t>
      </w:r>
      <w:r>
        <w:rPr>
          <w:u w:val="single" w:color="000000"/>
        </w:rPr>
        <w:t>Payment or Gift to Respondents</w:t>
      </w:r>
      <w:r>
        <w:t xml:space="preserve"> </w:t>
      </w:r>
    </w:p>
    <w:p w14:paraId="6D183075" w14:textId="77777777" w:rsidR="00D434E8" w:rsidRDefault="00D434E8" w:rsidP="00D434E8">
      <w:pPr>
        <w:spacing w:after="0" w:line="259" w:lineRule="auto"/>
        <w:ind w:left="150" w:firstLine="0"/>
      </w:pPr>
      <w:r>
        <w:t xml:space="preserve"> </w:t>
      </w:r>
    </w:p>
    <w:p w14:paraId="5407EA05" w14:textId="77777777" w:rsidR="00D434E8" w:rsidRDefault="00D434E8" w:rsidP="00D434E8">
      <w:pPr>
        <w:ind w:left="1110" w:right="88"/>
      </w:pPr>
      <w:r>
        <w:t xml:space="preserve">Not applicable. </w:t>
      </w:r>
    </w:p>
    <w:p w14:paraId="4EA9A2D9" w14:textId="77777777" w:rsidR="00D434E8" w:rsidRDefault="00D434E8" w:rsidP="00D434E8">
      <w:pPr>
        <w:spacing w:after="0" w:line="259" w:lineRule="auto"/>
        <w:ind w:left="150" w:firstLine="0"/>
      </w:pPr>
      <w:r>
        <w:t xml:space="preserve"> `</w:t>
      </w:r>
    </w:p>
    <w:p w14:paraId="5CD94149" w14:textId="77777777" w:rsidR="00D434E8" w:rsidRDefault="00D434E8" w:rsidP="00D434E8">
      <w:pPr>
        <w:pStyle w:val="Heading2"/>
        <w:ind w:left="745"/>
      </w:pPr>
      <w:r>
        <w:rPr>
          <w:u w:val="none"/>
        </w:rPr>
        <w:t xml:space="preserve">10. </w:t>
      </w:r>
      <w:r>
        <w:t>Confidentiality of Information</w:t>
      </w:r>
      <w:r>
        <w:rPr>
          <w:u w:val="none"/>
        </w:rPr>
        <w:t xml:space="preserve"> </w:t>
      </w:r>
    </w:p>
    <w:p w14:paraId="15AA8149" w14:textId="77777777" w:rsidR="00D434E8" w:rsidRDefault="00D434E8" w:rsidP="00D434E8">
      <w:pPr>
        <w:spacing w:after="0" w:line="259" w:lineRule="auto"/>
        <w:ind w:left="150" w:firstLine="0"/>
      </w:pPr>
      <w:r>
        <w:t xml:space="preserve"> </w:t>
      </w:r>
    </w:p>
    <w:p w14:paraId="492E9959" w14:textId="77777777" w:rsidR="00D434E8" w:rsidRDefault="00D434E8" w:rsidP="00D434E8">
      <w:pPr>
        <w:ind w:left="1110" w:right="88"/>
      </w:pPr>
      <w:r>
        <w:t xml:space="preserve">Confidential and proprietary information is protected in accordance with NRC regulations at 10 CFR 9.17(a) and 10 CFR 2.390(b).  However, no information considered confidential or proprietary is requested.  </w:t>
      </w:r>
    </w:p>
    <w:p w14:paraId="1BBDBE48" w14:textId="77777777" w:rsidR="00D434E8" w:rsidRDefault="00D434E8" w:rsidP="00D434E8">
      <w:pPr>
        <w:spacing w:after="0" w:line="259" w:lineRule="auto"/>
        <w:ind w:left="150" w:firstLine="0"/>
      </w:pPr>
      <w:r>
        <w:t xml:space="preserve"> </w:t>
      </w:r>
    </w:p>
    <w:p w14:paraId="5939868E" w14:textId="77777777" w:rsidR="00D434E8" w:rsidRDefault="00D434E8" w:rsidP="00D434E8">
      <w:pPr>
        <w:spacing w:line="249" w:lineRule="auto"/>
        <w:ind w:left="745"/>
      </w:pPr>
      <w:r>
        <w:t xml:space="preserve">11. </w:t>
      </w:r>
      <w:r w:rsidRPr="00D434E8">
        <w:rPr>
          <w:u w:val="single"/>
        </w:rPr>
        <w:t xml:space="preserve">Justification for </w:t>
      </w:r>
      <w:r>
        <w:rPr>
          <w:u w:val="single" w:color="000000"/>
        </w:rPr>
        <w:t>Sensitive Questions</w:t>
      </w:r>
      <w:r>
        <w:t xml:space="preserve"> </w:t>
      </w:r>
    </w:p>
    <w:p w14:paraId="0EEBCA7C" w14:textId="77777777" w:rsidR="00D434E8" w:rsidRDefault="00D434E8" w:rsidP="00D434E8">
      <w:pPr>
        <w:spacing w:after="0" w:line="259" w:lineRule="auto"/>
        <w:ind w:left="150" w:firstLine="0"/>
      </w:pPr>
      <w:r>
        <w:t xml:space="preserve"> </w:t>
      </w:r>
    </w:p>
    <w:p w14:paraId="06C3A2CF" w14:textId="77777777" w:rsidR="00D434E8" w:rsidRDefault="00D434E8" w:rsidP="00D434E8">
      <w:pPr>
        <w:ind w:left="1110" w:right="88"/>
      </w:pPr>
      <w:r>
        <w:t xml:space="preserve">None. </w:t>
      </w:r>
    </w:p>
    <w:p w14:paraId="1A4995AD" w14:textId="77777777" w:rsidR="00D434E8" w:rsidRDefault="00D434E8" w:rsidP="00D434E8">
      <w:pPr>
        <w:spacing w:after="0" w:line="259" w:lineRule="auto"/>
        <w:ind w:left="150" w:firstLine="0"/>
      </w:pPr>
      <w:r>
        <w:t xml:space="preserve"> </w:t>
      </w:r>
    </w:p>
    <w:p w14:paraId="13FFC359" w14:textId="77777777" w:rsidR="00D434E8" w:rsidRDefault="00D434E8" w:rsidP="00D434E8">
      <w:pPr>
        <w:pStyle w:val="Heading2"/>
        <w:ind w:left="745"/>
      </w:pPr>
      <w:r>
        <w:rPr>
          <w:u w:val="none"/>
        </w:rPr>
        <w:t xml:space="preserve">12. </w:t>
      </w:r>
      <w:r>
        <w:t>Estimated Burden and Burden Hour Cost</w:t>
      </w:r>
      <w:r>
        <w:rPr>
          <w:u w:val="none"/>
        </w:rPr>
        <w:t xml:space="preserve">  </w:t>
      </w:r>
    </w:p>
    <w:p w14:paraId="55F5FB55" w14:textId="77777777" w:rsidR="00D434E8" w:rsidRDefault="00D434E8" w:rsidP="00D434E8">
      <w:pPr>
        <w:spacing w:after="0" w:line="259" w:lineRule="auto"/>
        <w:ind w:left="1950" w:firstLine="0"/>
      </w:pPr>
      <w:r>
        <w:t xml:space="preserve"> </w:t>
      </w:r>
    </w:p>
    <w:p w14:paraId="58B7C917" w14:textId="0C58059E" w:rsidR="00D434E8" w:rsidRDefault="00EF3F4D" w:rsidP="00D434E8">
      <w:pPr>
        <w:ind w:left="1110" w:right="88"/>
      </w:pPr>
      <w:r>
        <w:t>T</w:t>
      </w:r>
      <w:r w:rsidR="00AD669D">
        <w:t>he likeli</w:t>
      </w:r>
      <w:r>
        <w:t xml:space="preserve">hood that </w:t>
      </w:r>
      <w:r w:rsidR="00AD669D">
        <w:t xml:space="preserve">a licensing action </w:t>
      </w:r>
      <w:r w:rsidR="00D434E8">
        <w:t>pertaining to high-level radioactive waste repository sites under 10 CFR Part 60 during the next three years</w:t>
      </w:r>
      <w:r w:rsidR="00AD669D">
        <w:t xml:space="preserve"> is low</w:t>
      </w:r>
      <w:r w:rsidR="00D434E8">
        <w:t xml:space="preserve">.  However, if </w:t>
      </w:r>
      <w:r w:rsidR="00CC0FB4">
        <w:t>the one estimated request was</w:t>
      </w:r>
      <w:r w:rsidR="00D434E8">
        <w:t xml:space="preserve"> submitted, the total anticipated burden and costs to one respondent is estimated at 121 hours, or $33,759 (121 x $279 per hour).  Burden and costs are broken out as follows: </w:t>
      </w:r>
    </w:p>
    <w:p w14:paraId="1DAA4FB3" w14:textId="77777777" w:rsidR="00D434E8" w:rsidRDefault="00D434E8" w:rsidP="00D434E8">
      <w:pPr>
        <w:spacing w:after="0" w:line="259" w:lineRule="auto"/>
        <w:ind w:left="150" w:firstLine="0"/>
      </w:pPr>
      <w:r>
        <w:t xml:space="preserve"> </w:t>
      </w:r>
    </w:p>
    <w:tbl>
      <w:tblPr>
        <w:tblStyle w:val="TableGrid"/>
        <w:tblW w:w="9900" w:type="dxa"/>
        <w:tblInd w:w="-120" w:type="dxa"/>
        <w:tblCellMar>
          <w:left w:w="120" w:type="dxa"/>
          <w:bottom w:w="67" w:type="dxa"/>
          <w:right w:w="115" w:type="dxa"/>
        </w:tblCellMar>
        <w:tblLook w:val="04A0" w:firstRow="1" w:lastRow="0" w:firstColumn="1" w:lastColumn="0" w:noHBand="0" w:noVBand="1"/>
      </w:tblPr>
      <w:tblGrid>
        <w:gridCol w:w="1170"/>
        <w:gridCol w:w="1620"/>
        <w:gridCol w:w="1620"/>
        <w:gridCol w:w="1440"/>
        <w:gridCol w:w="1440"/>
        <w:gridCol w:w="1260"/>
        <w:gridCol w:w="1350"/>
      </w:tblGrid>
      <w:tr w:rsidR="00D434E8" w14:paraId="2F16611E" w14:textId="77777777" w:rsidTr="00D52453">
        <w:trPr>
          <w:trHeight w:val="724"/>
        </w:trPr>
        <w:tc>
          <w:tcPr>
            <w:tcW w:w="1170" w:type="dxa"/>
            <w:tcBorders>
              <w:top w:val="single" w:sz="7" w:space="0" w:color="000000"/>
              <w:left w:val="single" w:sz="7" w:space="0" w:color="000000"/>
              <w:bottom w:val="single" w:sz="7" w:space="0" w:color="000000"/>
              <w:right w:val="single" w:sz="7" w:space="0" w:color="000000"/>
            </w:tcBorders>
            <w:vAlign w:val="bottom"/>
          </w:tcPr>
          <w:p w14:paraId="29C03F6D" w14:textId="77777777" w:rsidR="00D434E8" w:rsidRDefault="00D434E8" w:rsidP="00D52453">
            <w:pPr>
              <w:spacing w:before="120" w:after="120" w:line="259" w:lineRule="auto"/>
              <w:ind w:left="0" w:firstLine="0"/>
            </w:pPr>
            <w:r>
              <w:t>Section</w:t>
            </w:r>
          </w:p>
        </w:tc>
        <w:tc>
          <w:tcPr>
            <w:tcW w:w="1620" w:type="dxa"/>
            <w:tcBorders>
              <w:top w:val="single" w:sz="7" w:space="0" w:color="000000"/>
              <w:left w:val="single" w:sz="7" w:space="0" w:color="000000"/>
              <w:bottom w:val="single" w:sz="7" w:space="0" w:color="000000"/>
              <w:right w:val="single" w:sz="7" w:space="0" w:color="000000"/>
            </w:tcBorders>
          </w:tcPr>
          <w:p w14:paraId="4F4DF151" w14:textId="77777777" w:rsidR="00D434E8" w:rsidRDefault="00D434E8" w:rsidP="00D52453">
            <w:pPr>
              <w:spacing w:before="120" w:after="120" w:line="259" w:lineRule="auto"/>
              <w:ind w:left="0" w:firstLine="0"/>
            </w:pPr>
            <w:r>
              <w:t>No. of Respondents</w:t>
            </w:r>
          </w:p>
        </w:tc>
        <w:tc>
          <w:tcPr>
            <w:tcW w:w="1620" w:type="dxa"/>
            <w:tcBorders>
              <w:top w:val="single" w:sz="7" w:space="0" w:color="000000"/>
              <w:left w:val="single" w:sz="7" w:space="0" w:color="000000"/>
              <w:bottom w:val="single" w:sz="7" w:space="0" w:color="000000"/>
              <w:right w:val="single" w:sz="7" w:space="0" w:color="000000"/>
            </w:tcBorders>
          </w:tcPr>
          <w:p w14:paraId="7C2F9D85" w14:textId="77777777" w:rsidR="00D434E8" w:rsidRDefault="00D434E8" w:rsidP="00D52453">
            <w:pPr>
              <w:spacing w:before="120" w:after="120" w:line="259" w:lineRule="auto"/>
              <w:ind w:left="0" w:firstLine="0"/>
            </w:pPr>
            <w:r>
              <w:t>Frequency of Response</w:t>
            </w:r>
          </w:p>
        </w:tc>
        <w:tc>
          <w:tcPr>
            <w:tcW w:w="1440" w:type="dxa"/>
            <w:tcBorders>
              <w:top w:val="single" w:sz="7" w:space="0" w:color="000000"/>
              <w:left w:val="single" w:sz="7" w:space="0" w:color="000000"/>
              <w:bottom w:val="single" w:sz="7" w:space="0" w:color="000000"/>
              <w:right w:val="single" w:sz="7" w:space="0" w:color="000000"/>
            </w:tcBorders>
          </w:tcPr>
          <w:p w14:paraId="49BAE323" w14:textId="77777777" w:rsidR="00D434E8" w:rsidRDefault="00D434E8" w:rsidP="00D52453">
            <w:pPr>
              <w:spacing w:before="120" w:after="120" w:line="259" w:lineRule="auto"/>
              <w:ind w:left="0" w:firstLine="0"/>
            </w:pPr>
            <w:r>
              <w:t>Annual Responses</w:t>
            </w:r>
          </w:p>
        </w:tc>
        <w:tc>
          <w:tcPr>
            <w:tcW w:w="1440" w:type="dxa"/>
            <w:tcBorders>
              <w:top w:val="single" w:sz="7" w:space="0" w:color="000000"/>
              <w:left w:val="single" w:sz="7" w:space="0" w:color="000000"/>
              <w:bottom w:val="single" w:sz="7" w:space="0" w:color="000000"/>
              <w:right w:val="single" w:sz="7" w:space="0" w:color="000000"/>
            </w:tcBorders>
          </w:tcPr>
          <w:p w14:paraId="21A89E3E" w14:textId="77777777" w:rsidR="00D434E8" w:rsidRDefault="00D434E8" w:rsidP="00D52453">
            <w:pPr>
              <w:spacing w:before="120" w:after="120" w:line="259" w:lineRule="auto"/>
              <w:ind w:left="0" w:firstLine="0"/>
            </w:pPr>
            <w:r>
              <w:t>Burden Per Response</w:t>
            </w:r>
          </w:p>
        </w:tc>
        <w:tc>
          <w:tcPr>
            <w:tcW w:w="1260" w:type="dxa"/>
            <w:tcBorders>
              <w:top w:val="single" w:sz="7" w:space="0" w:color="000000"/>
              <w:left w:val="single" w:sz="7" w:space="0" w:color="000000"/>
              <w:bottom w:val="single" w:sz="7" w:space="0" w:color="000000"/>
              <w:right w:val="single" w:sz="7" w:space="0" w:color="000000"/>
            </w:tcBorders>
          </w:tcPr>
          <w:p w14:paraId="5CCB72E9" w14:textId="77777777" w:rsidR="00D434E8" w:rsidRDefault="00D434E8" w:rsidP="00D52453">
            <w:pPr>
              <w:spacing w:before="120" w:after="120" w:line="259" w:lineRule="auto"/>
              <w:ind w:left="0" w:firstLine="0"/>
            </w:pPr>
            <w:r>
              <w:t>Annual Burden</w:t>
            </w:r>
            <w:r>
              <w:rPr>
                <w:sz w:val="24"/>
              </w:rPr>
              <w:t xml:space="preserve"> </w:t>
            </w:r>
          </w:p>
        </w:tc>
        <w:tc>
          <w:tcPr>
            <w:tcW w:w="1350" w:type="dxa"/>
            <w:tcBorders>
              <w:top w:val="single" w:sz="7" w:space="0" w:color="000000"/>
              <w:left w:val="single" w:sz="7" w:space="0" w:color="000000"/>
              <w:bottom w:val="single" w:sz="7" w:space="0" w:color="000000"/>
              <w:right w:val="single" w:sz="7" w:space="0" w:color="000000"/>
            </w:tcBorders>
          </w:tcPr>
          <w:p w14:paraId="04042BF1" w14:textId="77777777" w:rsidR="00D434E8" w:rsidRDefault="00D434E8" w:rsidP="00D52453">
            <w:pPr>
              <w:spacing w:before="120" w:after="120" w:line="259" w:lineRule="auto"/>
              <w:ind w:left="0" w:firstLine="0"/>
            </w:pPr>
            <w:r>
              <w:t>Annual Cost</w:t>
            </w:r>
            <w:r>
              <w:rPr>
                <w:sz w:val="24"/>
              </w:rPr>
              <w:t xml:space="preserve"> </w:t>
            </w:r>
          </w:p>
        </w:tc>
      </w:tr>
      <w:tr w:rsidR="00D434E8" w14:paraId="54E57F0F" w14:textId="77777777" w:rsidTr="00D52453">
        <w:trPr>
          <w:trHeight w:val="448"/>
        </w:trPr>
        <w:tc>
          <w:tcPr>
            <w:tcW w:w="1170" w:type="dxa"/>
            <w:tcBorders>
              <w:top w:val="single" w:sz="7" w:space="0" w:color="000000"/>
              <w:left w:val="single" w:sz="7" w:space="0" w:color="000000"/>
              <w:bottom w:val="single" w:sz="7" w:space="0" w:color="000000"/>
              <w:right w:val="single" w:sz="7" w:space="0" w:color="000000"/>
            </w:tcBorders>
          </w:tcPr>
          <w:p w14:paraId="089887F4" w14:textId="77777777" w:rsidR="00D434E8" w:rsidRDefault="00D434E8" w:rsidP="00D52453">
            <w:pPr>
              <w:spacing w:before="120" w:after="120" w:line="259" w:lineRule="auto"/>
              <w:ind w:left="0" w:firstLine="0"/>
            </w:pPr>
            <w:r>
              <w:rPr>
                <w:sz w:val="24"/>
              </w:rPr>
              <w:t xml:space="preserve"> </w:t>
            </w:r>
            <w:r>
              <w:t>60.62</w:t>
            </w:r>
            <w:r>
              <w:rPr>
                <w:sz w:val="24"/>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5EA45D20" w14:textId="77777777" w:rsidR="00D434E8" w:rsidRDefault="00D434E8" w:rsidP="00D52453">
            <w:pPr>
              <w:spacing w:before="120" w:after="120" w:line="259" w:lineRule="auto"/>
              <w:ind w:left="0" w:firstLine="0"/>
            </w:pPr>
            <w:r>
              <w:rPr>
                <w:sz w:val="24"/>
              </w:rPr>
              <w:t xml:space="preserve"> </w:t>
            </w:r>
            <w:r>
              <w:t xml:space="preserve">        1</w:t>
            </w:r>
            <w:r>
              <w:rPr>
                <w:sz w:val="24"/>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62958B62" w14:textId="77777777" w:rsidR="00D434E8" w:rsidRDefault="00D434E8" w:rsidP="00D52453">
            <w:pPr>
              <w:spacing w:before="120" w:after="120" w:line="259" w:lineRule="auto"/>
              <w:ind w:left="0" w:firstLine="0"/>
            </w:pPr>
            <w:r>
              <w:rPr>
                <w:sz w:val="24"/>
              </w:rPr>
              <w:t xml:space="preserve"> </w:t>
            </w:r>
            <w:r>
              <w:t>Once only</w:t>
            </w:r>
            <w:r>
              <w:rPr>
                <w:sz w:val="24"/>
              </w:rPr>
              <w:t xml:space="preserve"> </w:t>
            </w:r>
          </w:p>
        </w:tc>
        <w:tc>
          <w:tcPr>
            <w:tcW w:w="1440" w:type="dxa"/>
            <w:tcBorders>
              <w:top w:val="single" w:sz="7" w:space="0" w:color="000000"/>
              <w:left w:val="single" w:sz="7" w:space="0" w:color="000000"/>
              <w:bottom w:val="single" w:sz="7" w:space="0" w:color="000000"/>
              <w:right w:val="single" w:sz="7" w:space="0" w:color="000000"/>
            </w:tcBorders>
            <w:vAlign w:val="bottom"/>
          </w:tcPr>
          <w:p w14:paraId="1E112AFC" w14:textId="77777777" w:rsidR="00D434E8" w:rsidRDefault="00D434E8" w:rsidP="00D52453">
            <w:pPr>
              <w:spacing w:before="120" w:after="120" w:line="259" w:lineRule="auto"/>
              <w:ind w:left="0" w:firstLine="0"/>
            </w:pPr>
            <w:r>
              <w:t xml:space="preserve">       1</w:t>
            </w:r>
            <w:r>
              <w:rPr>
                <w:sz w:val="24"/>
              </w:rPr>
              <w:t xml:space="preserve"> </w:t>
            </w:r>
          </w:p>
        </w:tc>
        <w:tc>
          <w:tcPr>
            <w:tcW w:w="1440" w:type="dxa"/>
            <w:tcBorders>
              <w:top w:val="single" w:sz="7" w:space="0" w:color="000000"/>
              <w:left w:val="single" w:sz="7" w:space="0" w:color="000000"/>
              <w:bottom w:val="single" w:sz="7" w:space="0" w:color="000000"/>
              <w:right w:val="single" w:sz="7" w:space="0" w:color="000000"/>
            </w:tcBorders>
            <w:vAlign w:val="bottom"/>
          </w:tcPr>
          <w:p w14:paraId="13AACD1B" w14:textId="77777777" w:rsidR="00D434E8" w:rsidRDefault="00D434E8" w:rsidP="00D52453">
            <w:pPr>
              <w:spacing w:before="120" w:after="120" w:line="259" w:lineRule="auto"/>
              <w:ind w:left="0" w:firstLine="0"/>
            </w:pPr>
            <w:r>
              <w:t xml:space="preserve">       0</w:t>
            </w:r>
            <w:r>
              <w:rPr>
                <w:sz w:val="24"/>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1A8B4A32" w14:textId="77777777" w:rsidR="00D434E8" w:rsidRDefault="00D434E8" w:rsidP="00D52453">
            <w:pPr>
              <w:spacing w:before="120" w:after="120" w:line="259" w:lineRule="auto"/>
              <w:ind w:left="0" w:firstLine="0"/>
            </w:pPr>
            <w:r>
              <w:rPr>
                <w:sz w:val="24"/>
              </w:rPr>
              <w:t xml:space="preserve"> </w:t>
            </w:r>
            <w:r>
              <w:t xml:space="preserve">      40</w:t>
            </w:r>
            <w:r>
              <w:rPr>
                <w:sz w:val="24"/>
              </w:rPr>
              <w:t xml:space="preserve"> </w:t>
            </w:r>
          </w:p>
        </w:tc>
        <w:tc>
          <w:tcPr>
            <w:tcW w:w="1350" w:type="dxa"/>
            <w:tcBorders>
              <w:top w:val="single" w:sz="7" w:space="0" w:color="000000"/>
              <w:left w:val="single" w:sz="7" w:space="0" w:color="000000"/>
              <w:bottom w:val="single" w:sz="7" w:space="0" w:color="000000"/>
              <w:right w:val="single" w:sz="7" w:space="0" w:color="000000"/>
            </w:tcBorders>
            <w:vAlign w:val="bottom"/>
          </w:tcPr>
          <w:p w14:paraId="6CAA1B48" w14:textId="77777777" w:rsidR="00D434E8" w:rsidRDefault="00D434E8" w:rsidP="00D52453">
            <w:pPr>
              <w:spacing w:before="120" w:after="120" w:line="259" w:lineRule="auto"/>
              <w:ind w:left="0" w:firstLine="0"/>
            </w:pPr>
            <w:r>
              <w:t>$ 11,160</w:t>
            </w:r>
            <w:r>
              <w:rPr>
                <w:sz w:val="24"/>
              </w:rPr>
              <w:t xml:space="preserve"> </w:t>
            </w:r>
          </w:p>
        </w:tc>
      </w:tr>
      <w:tr w:rsidR="00D434E8" w14:paraId="7BE909B1" w14:textId="77777777" w:rsidTr="00D52453">
        <w:trPr>
          <w:trHeight w:val="449"/>
        </w:trPr>
        <w:tc>
          <w:tcPr>
            <w:tcW w:w="1170" w:type="dxa"/>
            <w:tcBorders>
              <w:top w:val="single" w:sz="7" w:space="0" w:color="000000"/>
              <w:left w:val="single" w:sz="7" w:space="0" w:color="000000"/>
              <w:bottom w:val="single" w:sz="7" w:space="0" w:color="000000"/>
              <w:right w:val="single" w:sz="7" w:space="0" w:color="000000"/>
            </w:tcBorders>
          </w:tcPr>
          <w:p w14:paraId="03483D7E" w14:textId="77777777" w:rsidR="00D434E8" w:rsidRDefault="00D434E8" w:rsidP="00D52453">
            <w:pPr>
              <w:spacing w:before="120" w:after="120" w:line="259" w:lineRule="auto"/>
              <w:ind w:left="0" w:firstLine="0"/>
            </w:pPr>
            <w:r>
              <w:rPr>
                <w:sz w:val="24"/>
              </w:rPr>
              <w:t xml:space="preserve"> </w:t>
            </w:r>
            <w:r>
              <w:t>60.63</w:t>
            </w:r>
            <w:r>
              <w:rPr>
                <w:sz w:val="24"/>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056BB27D" w14:textId="77777777" w:rsidR="00D434E8" w:rsidRDefault="00D434E8" w:rsidP="00D52453">
            <w:pPr>
              <w:spacing w:before="120" w:after="120" w:line="259" w:lineRule="auto"/>
              <w:ind w:left="0" w:firstLine="0"/>
            </w:pPr>
            <w:r>
              <w:rPr>
                <w:sz w:val="24"/>
              </w:rPr>
              <w:t xml:space="preserve"> </w:t>
            </w:r>
            <w:r>
              <w:t xml:space="preserve">        1</w:t>
            </w:r>
            <w:r>
              <w:rPr>
                <w:sz w:val="24"/>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0FAB233B" w14:textId="77777777" w:rsidR="00D434E8" w:rsidRDefault="00D434E8" w:rsidP="00D52453">
            <w:pPr>
              <w:spacing w:before="120" w:after="120" w:line="259" w:lineRule="auto"/>
              <w:ind w:left="0" w:firstLine="0"/>
            </w:pPr>
            <w:r>
              <w:rPr>
                <w:sz w:val="24"/>
              </w:rPr>
              <w:t xml:space="preserve"> </w:t>
            </w:r>
            <w:r>
              <w:t>Once only</w:t>
            </w:r>
            <w:r>
              <w:rPr>
                <w:sz w:val="24"/>
              </w:rPr>
              <w:t xml:space="preserve"> </w:t>
            </w:r>
          </w:p>
        </w:tc>
        <w:tc>
          <w:tcPr>
            <w:tcW w:w="1440" w:type="dxa"/>
            <w:tcBorders>
              <w:top w:val="single" w:sz="7" w:space="0" w:color="000000"/>
              <w:left w:val="single" w:sz="7" w:space="0" w:color="000000"/>
              <w:bottom w:val="single" w:sz="7" w:space="0" w:color="000000"/>
              <w:right w:val="single" w:sz="7" w:space="0" w:color="000000"/>
            </w:tcBorders>
            <w:vAlign w:val="bottom"/>
          </w:tcPr>
          <w:p w14:paraId="33735349" w14:textId="77777777" w:rsidR="00D434E8" w:rsidRDefault="00D434E8" w:rsidP="00D52453">
            <w:pPr>
              <w:spacing w:before="120" w:after="120" w:line="259" w:lineRule="auto"/>
              <w:ind w:left="0" w:firstLine="0"/>
            </w:pPr>
            <w:r>
              <w:t xml:space="preserve">       1</w:t>
            </w:r>
            <w:r>
              <w:rPr>
                <w:sz w:val="24"/>
              </w:rPr>
              <w:t xml:space="preserve"> </w:t>
            </w:r>
          </w:p>
        </w:tc>
        <w:tc>
          <w:tcPr>
            <w:tcW w:w="1440" w:type="dxa"/>
            <w:tcBorders>
              <w:top w:val="single" w:sz="7" w:space="0" w:color="000000"/>
              <w:left w:val="single" w:sz="7" w:space="0" w:color="000000"/>
              <w:bottom w:val="single" w:sz="7" w:space="0" w:color="000000"/>
              <w:right w:val="single" w:sz="7" w:space="0" w:color="000000"/>
            </w:tcBorders>
            <w:vAlign w:val="bottom"/>
          </w:tcPr>
          <w:p w14:paraId="6A4EDF56" w14:textId="77777777" w:rsidR="00D434E8" w:rsidRDefault="00D434E8" w:rsidP="00D52453">
            <w:pPr>
              <w:spacing w:before="120" w:after="120" w:line="259" w:lineRule="auto"/>
              <w:ind w:left="0" w:firstLine="0"/>
            </w:pPr>
            <w:r>
              <w:t xml:space="preserve">       80</w:t>
            </w:r>
            <w:r>
              <w:rPr>
                <w:sz w:val="24"/>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6EDAD732" w14:textId="77777777" w:rsidR="00D434E8" w:rsidRDefault="00D434E8" w:rsidP="00D52453">
            <w:pPr>
              <w:spacing w:before="120" w:after="120" w:line="259" w:lineRule="auto"/>
              <w:ind w:left="0" w:firstLine="0"/>
            </w:pPr>
            <w:r>
              <w:rPr>
                <w:sz w:val="24"/>
              </w:rPr>
              <w:t xml:space="preserve"> </w:t>
            </w:r>
            <w:r>
              <w:t xml:space="preserve">      80</w:t>
            </w:r>
            <w:r>
              <w:rPr>
                <w:sz w:val="24"/>
              </w:rPr>
              <w:t xml:space="preserve"> </w:t>
            </w:r>
          </w:p>
        </w:tc>
        <w:tc>
          <w:tcPr>
            <w:tcW w:w="1350" w:type="dxa"/>
            <w:tcBorders>
              <w:top w:val="single" w:sz="7" w:space="0" w:color="000000"/>
              <w:left w:val="single" w:sz="7" w:space="0" w:color="000000"/>
              <w:bottom w:val="single" w:sz="7" w:space="0" w:color="000000"/>
              <w:right w:val="single" w:sz="7" w:space="0" w:color="000000"/>
            </w:tcBorders>
            <w:vAlign w:val="bottom"/>
          </w:tcPr>
          <w:p w14:paraId="5C7E7F5D" w14:textId="77777777" w:rsidR="00D434E8" w:rsidRDefault="00D434E8" w:rsidP="00D52453">
            <w:pPr>
              <w:spacing w:before="120" w:after="120" w:line="259" w:lineRule="auto"/>
              <w:ind w:left="0" w:firstLine="0"/>
            </w:pPr>
            <w:r>
              <w:t>$ 22,320</w:t>
            </w:r>
            <w:r>
              <w:rPr>
                <w:sz w:val="24"/>
              </w:rPr>
              <w:t xml:space="preserve"> </w:t>
            </w:r>
          </w:p>
        </w:tc>
      </w:tr>
      <w:tr w:rsidR="00D434E8" w14:paraId="69C45EEA" w14:textId="77777777" w:rsidTr="00D52453">
        <w:trPr>
          <w:trHeight w:val="448"/>
        </w:trPr>
        <w:tc>
          <w:tcPr>
            <w:tcW w:w="1170" w:type="dxa"/>
            <w:tcBorders>
              <w:top w:val="single" w:sz="7" w:space="0" w:color="000000"/>
              <w:left w:val="single" w:sz="7" w:space="0" w:color="000000"/>
              <w:bottom w:val="single" w:sz="7" w:space="0" w:color="000000"/>
              <w:right w:val="single" w:sz="7" w:space="0" w:color="000000"/>
            </w:tcBorders>
          </w:tcPr>
          <w:p w14:paraId="3625D59F" w14:textId="77777777" w:rsidR="00D434E8" w:rsidRDefault="00D434E8" w:rsidP="00D52453">
            <w:pPr>
              <w:spacing w:before="120" w:after="120" w:line="259" w:lineRule="auto"/>
              <w:ind w:left="0" w:firstLine="0"/>
            </w:pPr>
            <w:r>
              <w:rPr>
                <w:sz w:val="24"/>
              </w:rPr>
              <w:t xml:space="preserve"> </w:t>
            </w:r>
            <w:r>
              <w:t>60.65</w:t>
            </w:r>
            <w:r>
              <w:rPr>
                <w:sz w:val="24"/>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6480F439" w14:textId="77777777" w:rsidR="00D434E8" w:rsidRDefault="00D434E8" w:rsidP="00D52453">
            <w:pPr>
              <w:spacing w:before="120" w:after="120" w:line="259" w:lineRule="auto"/>
              <w:ind w:left="0" w:firstLine="0"/>
            </w:pPr>
            <w:r>
              <w:rPr>
                <w:sz w:val="24"/>
              </w:rPr>
              <w:t xml:space="preserve"> </w:t>
            </w:r>
            <w:r>
              <w:t xml:space="preserve">        1</w:t>
            </w:r>
            <w:r>
              <w:rPr>
                <w:sz w:val="24"/>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42262924" w14:textId="77777777" w:rsidR="00D434E8" w:rsidRDefault="00D434E8" w:rsidP="00D52453">
            <w:pPr>
              <w:spacing w:before="120" w:after="120" w:line="259" w:lineRule="auto"/>
              <w:ind w:left="0" w:firstLine="0"/>
            </w:pPr>
            <w:r>
              <w:rPr>
                <w:sz w:val="24"/>
              </w:rPr>
              <w:t xml:space="preserve"> </w:t>
            </w:r>
            <w:r>
              <w:t>Once only</w:t>
            </w:r>
            <w:r>
              <w:rPr>
                <w:sz w:val="24"/>
              </w:rPr>
              <w:t xml:space="preserve"> </w:t>
            </w:r>
          </w:p>
        </w:tc>
        <w:tc>
          <w:tcPr>
            <w:tcW w:w="1440" w:type="dxa"/>
            <w:tcBorders>
              <w:top w:val="single" w:sz="7" w:space="0" w:color="000000"/>
              <w:left w:val="single" w:sz="7" w:space="0" w:color="000000"/>
              <w:bottom w:val="single" w:sz="7" w:space="0" w:color="000000"/>
              <w:right w:val="single" w:sz="7" w:space="0" w:color="000000"/>
            </w:tcBorders>
            <w:vAlign w:val="bottom"/>
          </w:tcPr>
          <w:p w14:paraId="4D051C46" w14:textId="77777777" w:rsidR="00D434E8" w:rsidRDefault="00D434E8" w:rsidP="00D52453">
            <w:pPr>
              <w:spacing w:before="120" w:after="120" w:line="259" w:lineRule="auto"/>
              <w:ind w:left="0" w:firstLine="0"/>
            </w:pPr>
            <w:r>
              <w:t xml:space="preserve">       1</w:t>
            </w:r>
            <w:r>
              <w:rPr>
                <w:sz w:val="24"/>
              </w:rPr>
              <w:t xml:space="preserve"> </w:t>
            </w:r>
          </w:p>
        </w:tc>
        <w:tc>
          <w:tcPr>
            <w:tcW w:w="1440" w:type="dxa"/>
            <w:tcBorders>
              <w:top w:val="single" w:sz="7" w:space="0" w:color="000000"/>
              <w:left w:val="single" w:sz="7" w:space="0" w:color="000000"/>
              <w:bottom w:val="single" w:sz="7" w:space="0" w:color="000000"/>
              <w:right w:val="single" w:sz="7" w:space="0" w:color="000000"/>
            </w:tcBorders>
            <w:vAlign w:val="bottom"/>
          </w:tcPr>
          <w:p w14:paraId="581A8D3C" w14:textId="77777777" w:rsidR="00D434E8" w:rsidRDefault="00D434E8" w:rsidP="00D52453">
            <w:pPr>
              <w:spacing w:before="120" w:after="120" w:line="259" w:lineRule="auto"/>
              <w:ind w:left="0" w:firstLine="0"/>
            </w:pPr>
            <w:r>
              <w:t xml:space="preserve">         1</w:t>
            </w:r>
            <w:r>
              <w:rPr>
                <w:sz w:val="24"/>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0DA90E8B" w14:textId="77777777" w:rsidR="00D434E8" w:rsidRDefault="00D434E8" w:rsidP="00D52453">
            <w:pPr>
              <w:spacing w:before="120" w:after="120" w:line="259" w:lineRule="auto"/>
              <w:ind w:left="0" w:firstLine="0"/>
            </w:pPr>
            <w:r>
              <w:rPr>
                <w:sz w:val="24"/>
              </w:rPr>
              <w:t xml:space="preserve"> </w:t>
            </w:r>
            <w:r>
              <w:t xml:space="preserve">         1</w:t>
            </w:r>
            <w:r>
              <w:rPr>
                <w:sz w:val="24"/>
              </w:rPr>
              <w:t xml:space="preserve"> </w:t>
            </w:r>
          </w:p>
        </w:tc>
        <w:tc>
          <w:tcPr>
            <w:tcW w:w="1350" w:type="dxa"/>
            <w:tcBorders>
              <w:top w:val="single" w:sz="7" w:space="0" w:color="000000"/>
              <w:left w:val="single" w:sz="7" w:space="0" w:color="000000"/>
              <w:bottom w:val="single" w:sz="7" w:space="0" w:color="000000"/>
              <w:right w:val="single" w:sz="7" w:space="0" w:color="000000"/>
            </w:tcBorders>
            <w:vAlign w:val="bottom"/>
          </w:tcPr>
          <w:p w14:paraId="299F9282" w14:textId="77777777" w:rsidR="00D434E8" w:rsidRDefault="00D434E8" w:rsidP="00D52453">
            <w:pPr>
              <w:spacing w:before="120" w:after="120" w:line="259" w:lineRule="auto"/>
              <w:ind w:left="0" w:firstLine="0"/>
            </w:pPr>
            <w:r>
              <w:t>$      279</w:t>
            </w:r>
            <w:r>
              <w:rPr>
                <w:sz w:val="24"/>
              </w:rPr>
              <w:t xml:space="preserve"> </w:t>
            </w:r>
          </w:p>
        </w:tc>
      </w:tr>
      <w:tr w:rsidR="00D434E8" w14:paraId="7F82D49C" w14:textId="77777777" w:rsidTr="00D52453">
        <w:trPr>
          <w:trHeight w:val="472"/>
        </w:trPr>
        <w:tc>
          <w:tcPr>
            <w:tcW w:w="1170" w:type="dxa"/>
            <w:tcBorders>
              <w:top w:val="single" w:sz="7" w:space="0" w:color="000000"/>
              <w:left w:val="single" w:sz="7" w:space="0" w:color="000000"/>
              <w:bottom w:val="single" w:sz="7" w:space="0" w:color="000000"/>
              <w:right w:val="single" w:sz="7" w:space="0" w:color="000000"/>
            </w:tcBorders>
          </w:tcPr>
          <w:p w14:paraId="2D7A211C" w14:textId="77777777" w:rsidR="00D434E8" w:rsidRDefault="00D434E8" w:rsidP="00D52453">
            <w:pPr>
              <w:spacing w:before="120" w:after="120" w:line="259" w:lineRule="auto"/>
              <w:ind w:left="0" w:firstLine="0"/>
            </w:pPr>
            <w:r>
              <w:rPr>
                <w:sz w:val="24"/>
              </w:rPr>
              <w:t xml:space="preserve"> </w:t>
            </w:r>
            <w:r>
              <w:t>Total</w:t>
            </w:r>
            <w:r>
              <w:rPr>
                <w:sz w:val="24"/>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4154EA71" w14:textId="77777777" w:rsidR="00D434E8" w:rsidRDefault="00D434E8" w:rsidP="00D52453">
            <w:pPr>
              <w:spacing w:before="120" w:after="120" w:line="259" w:lineRule="auto"/>
              <w:ind w:left="0" w:firstLine="0"/>
            </w:pPr>
            <w:r>
              <w:rPr>
                <w:sz w:val="24"/>
              </w:rPr>
              <w:t xml:space="preserve"> </w:t>
            </w:r>
            <w:r>
              <w:t xml:space="preserve">       </w:t>
            </w:r>
            <w:r>
              <w:rPr>
                <w:sz w:val="24"/>
              </w:rPr>
              <w:t xml:space="preserve"> </w:t>
            </w:r>
          </w:p>
        </w:tc>
        <w:tc>
          <w:tcPr>
            <w:tcW w:w="1620" w:type="dxa"/>
            <w:tcBorders>
              <w:top w:val="single" w:sz="7" w:space="0" w:color="000000"/>
              <w:left w:val="single" w:sz="7" w:space="0" w:color="000000"/>
              <w:bottom w:val="single" w:sz="7" w:space="0" w:color="000000"/>
              <w:right w:val="single" w:sz="7" w:space="0" w:color="000000"/>
            </w:tcBorders>
          </w:tcPr>
          <w:p w14:paraId="71B2BE86" w14:textId="77777777" w:rsidR="00D434E8" w:rsidRDefault="00D434E8" w:rsidP="00D52453">
            <w:pPr>
              <w:spacing w:before="120" w:after="120" w:line="259" w:lineRule="auto"/>
              <w:ind w:left="0" w:firstLine="0"/>
            </w:pPr>
            <w:r>
              <w:rPr>
                <w:sz w:val="24"/>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714413D6" w14:textId="77777777" w:rsidR="00D434E8" w:rsidRDefault="00D434E8" w:rsidP="00D52453">
            <w:pPr>
              <w:spacing w:before="120" w:after="120" w:line="259" w:lineRule="auto"/>
              <w:ind w:left="0" w:firstLine="0"/>
            </w:pPr>
            <w:r>
              <w:t xml:space="preserve">       3</w:t>
            </w:r>
            <w:r>
              <w:rPr>
                <w:sz w:val="24"/>
              </w:rPr>
              <w:t xml:space="preserve"> </w:t>
            </w:r>
          </w:p>
        </w:tc>
        <w:tc>
          <w:tcPr>
            <w:tcW w:w="1440" w:type="dxa"/>
            <w:tcBorders>
              <w:top w:val="single" w:sz="7" w:space="0" w:color="000000"/>
              <w:left w:val="single" w:sz="7" w:space="0" w:color="000000"/>
              <w:bottom w:val="single" w:sz="7" w:space="0" w:color="000000"/>
              <w:right w:val="single" w:sz="7" w:space="0" w:color="000000"/>
            </w:tcBorders>
          </w:tcPr>
          <w:p w14:paraId="5BB9EE01" w14:textId="77777777" w:rsidR="00D434E8" w:rsidRDefault="00D434E8" w:rsidP="00D52453">
            <w:pPr>
              <w:spacing w:before="120" w:after="120" w:line="259" w:lineRule="auto"/>
              <w:ind w:left="0" w:firstLine="0"/>
            </w:pPr>
            <w:r>
              <w:t xml:space="preserve">     121</w:t>
            </w:r>
            <w:r>
              <w:rPr>
                <w:sz w:val="24"/>
              </w:rPr>
              <w:t xml:space="preserve"> </w:t>
            </w:r>
          </w:p>
        </w:tc>
        <w:tc>
          <w:tcPr>
            <w:tcW w:w="1260" w:type="dxa"/>
            <w:tcBorders>
              <w:top w:val="single" w:sz="7" w:space="0" w:color="000000"/>
              <w:left w:val="single" w:sz="7" w:space="0" w:color="000000"/>
              <w:bottom w:val="single" w:sz="7" w:space="0" w:color="000000"/>
              <w:right w:val="single" w:sz="7" w:space="0" w:color="000000"/>
            </w:tcBorders>
          </w:tcPr>
          <w:p w14:paraId="06EC808C" w14:textId="77777777" w:rsidR="00D434E8" w:rsidRDefault="00D434E8" w:rsidP="00D52453">
            <w:pPr>
              <w:spacing w:before="120" w:after="120" w:line="259" w:lineRule="auto"/>
              <w:ind w:left="0" w:right="413" w:firstLine="0"/>
            </w:pPr>
            <w:r>
              <w:rPr>
                <w:sz w:val="24"/>
              </w:rPr>
              <w:t xml:space="preserve"> </w:t>
            </w:r>
            <w:r>
              <w:t xml:space="preserve">  121</w:t>
            </w:r>
            <w:r>
              <w:rPr>
                <w:sz w:val="24"/>
              </w:rPr>
              <w:t xml:space="preserve"> </w:t>
            </w:r>
          </w:p>
        </w:tc>
        <w:tc>
          <w:tcPr>
            <w:tcW w:w="1350" w:type="dxa"/>
            <w:tcBorders>
              <w:top w:val="single" w:sz="7" w:space="0" w:color="000000"/>
              <w:left w:val="single" w:sz="7" w:space="0" w:color="000000"/>
              <w:bottom w:val="single" w:sz="7" w:space="0" w:color="000000"/>
              <w:right w:val="single" w:sz="7" w:space="0" w:color="000000"/>
            </w:tcBorders>
          </w:tcPr>
          <w:p w14:paraId="3A0C28B7" w14:textId="77777777" w:rsidR="00D434E8" w:rsidRDefault="00D434E8" w:rsidP="00D52453">
            <w:pPr>
              <w:spacing w:before="120" w:after="120" w:line="259" w:lineRule="auto"/>
              <w:ind w:left="0" w:firstLine="0"/>
            </w:pPr>
            <w:r>
              <w:t>$ 33,759</w:t>
            </w:r>
            <w:r>
              <w:rPr>
                <w:sz w:val="24"/>
              </w:rPr>
              <w:t xml:space="preserve"> </w:t>
            </w:r>
          </w:p>
        </w:tc>
      </w:tr>
    </w:tbl>
    <w:p w14:paraId="59236699" w14:textId="77777777" w:rsidR="00D434E8" w:rsidRDefault="00D434E8" w:rsidP="00D434E8">
      <w:pPr>
        <w:spacing w:after="0" w:line="259" w:lineRule="auto"/>
        <w:ind w:left="870" w:firstLine="0"/>
      </w:pPr>
      <w:r>
        <w:t xml:space="preserve"> </w:t>
      </w:r>
    </w:p>
    <w:p w14:paraId="3E23D439" w14:textId="77777777" w:rsidR="00D434E8" w:rsidRDefault="00D434E8" w:rsidP="00D434E8">
      <w:pPr>
        <w:spacing w:line="249" w:lineRule="auto"/>
        <w:ind w:left="745"/>
      </w:pPr>
    </w:p>
    <w:p w14:paraId="7F9163F9" w14:textId="77777777" w:rsidR="00D434E8" w:rsidRDefault="00D434E8" w:rsidP="00D434E8">
      <w:pPr>
        <w:spacing w:line="249" w:lineRule="auto"/>
        <w:ind w:left="745"/>
      </w:pPr>
      <w:r>
        <w:t xml:space="preserve">13. </w:t>
      </w:r>
      <w:r>
        <w:rPr>
          <w:u w:val="single" w:color="000000"/>
        </w:rPr>
        <w:t>Estimate of Other Additional Costs</w:t>
      </w:r>
      <w:r>
        <w:t xml:space="preserve">  </w:t>
      </w:r>
    </w:p>
    <w:p w14:paraId="07B53C6D" w14:textId="77777777" w:rsidR="00D434E8" w:rsidRDefault="00D434E8" w:rsidP="00D434E8">
      <w:pPr>
        <w:spacing w:after="0" w:line="259" w:lineRule="auto"/>
        <w:ind w:left="1110" w:firstLine="0"/>
      </w:pPr>
      <w:r>
        <w:t xml:space="preserve"> </w:t>
      </w:r>
    </w:p>
    <w:p w14:paraId="4EDBC38A" w14:textId="77777777" w:rsidR="00D434E8" w:rsidRDefault="00D434E8" w:rsidP="00D434E8">
      <w:pPr>
        <w:ind w:left="1110" w:right="88"/>
      </w:pPr>
      <w:r>
        <w:t xml:space="preserve">There are no additional costs. </w:t>
      </w:r>
    </w:p>
    <w:p w14:paraId="5FE969D6" w14:textId="77777777" w:rsidR="00D434E8" w:rsidRDefault="00D434E8" w:rsidP="00D434E8">
      <w:pPr>
        <w:spacing w:after="0" w:line="259" w:lineRule="auto"/>
        <w:ind w:left="1410" w:firstLine="0"/>
      </w:pPr>
      <w:r>
        <w:t xml:space="preserve"> </w:t>
      </w:r>
    </w:p>
    <w:p w14:paraId="188E1561" w14:textId="77777777" w:rsidR="00D434E8" w:rsidRDefault="00D434E8" w:rsidP="00D434E8">
      <w:pPr>
        <w:pStyle w:val="Heading2"/>
        <w:ind w:left="745"/>
      </w:pPr>
      <w:r>
        <w:rPr>
          <w:u w:val="none"/>
        </w:rPr>
        <w:t xml:space="preserve">14. </w:t>
      </w:r>
      <w:r>
        <w:t>Estimated Annualized Cost to the Federal Government</w:t>
      </w:r>
      <w:r>
        <w:rPr>
          <w:u w:val="none"/>
        </w:rPr>
        <w:t xml:space="preserve">    </w:t>
      </w:r>
    </w:p>
    <w:p w14:paraId="1DD6ED87" w14:textId="77777777" w:rsidR="00D434E8" w:rsidRDefault="00D434E8" w:rsidP="00D434E8">
      <w:pPr>
        <w:spacing w:after="0" w:line="259" w:lineRule="auto"/>
        <w:ind w:left="150" w:firstLine="0"/>
      </w:pPr>
      <w:r>
        <w:t xml:space="preserve"> </w:t>
      </w:r>
    </w:p>
    <w:p w14:paraId="59630BDD" w14:textId="6D780A02" w:rsidR="00D434E8" w:rsidRDefault="00965CFC" w:rsidP="00D434E8">
      <w:pPr>
        <w:ind w:left="1110"/>
      </w:pPr>
      <w:r>
        <w:t xml:space="preserve">Currently, the likelihood that a licensing action pertaining to high-level radioactive waste repository sites under 10 CFR Part 60 during the next three years is low. </w:t>
      </w:r>
      <w:r w:rsidR="00D434E8">
        <w:t xml:space="preserve">  However, if requests were submitted, the following costs are anticipated:</w:t>
      </w:r>
      <w:r w:rsidR="00D434E8">
        <w:rPr>
          <w:b/>
        </w:rPr>
        <w:t xml:space="preserve"> </w:t>
      </w:r>
    </w:p>
    <w:p w14:paraId="47CB037D" w14:textId="77777777" w:rsidR="00D434E8" w:rsidRDefault="00D434E8" w:rsidP="00D434E8">
      <w:pPr>
        <w:spacing w:after="0" w:line="259" w:lineRule="auto"/>
        <w:ind w:left="150" w:firstLine="0"/>
      </w:pPr>
      <w:r>
        <w:rPr>
          <w:b/>
        </w:rPr>
        <w:t xml:space="preserve"> </w:t>
      </w:r>
    </w:p>
    <w:p w14:paraId="5251A2F5" w14:textId="77777777" w:rsidR="00D434E8" w:rsidRDefault="00D434E8" w:rsidP="00D434E8">
      <w:pPr>
        <w:ind w:left="1110" w:right="88"/>
      </w:pPr>
      <w:r>
        <w:t xml:space="preserve">Section 60.62 involves NRC staff review of requests for consultation.  This should require no more than 40 hours of staff time per response.  At $279 per hour for staff time, this would be $11,160 per respondent.  The total for one response is $11,160. </w:t>
      </w:r>
    </w:p>
    <w:p w14:paraId="20E574F6" w14:textId="77777777" w:rsidR="00D434E8" w:rsidRDefault="00D434E8" w:rsidP="00D434E8">
      <w:pPr>
        <w:spacing w:after="0" w:line="259" w:lineRule="auto"/>
        <w:ind w:left="150" w:firstLine="0"/>
      </w:pPr>
      <w:r>
        <w:t xml:space="preserve"> </w:t>
      </w:r>
    </w:p>
    <w:p w14:paraId="1DC4C0AF" w14:textId="77777777" w:rsidR="00D434E8" w:rsidRDefault="00D434E8" w:rsidP="00D434E8">
      <w:pPr>
        <w:ind w:left="1110" w:right="88"/>
      </w:pPr>
      <w:r>
        <w:t xml:space="preserve">Section 60.63 involves NRC staff review of proposals for participation in site review and licensing procedures.  This should require no more than 80 hours of staff time per response.  At $279 per hour, this would be $22,320 per respondent.  The total for one response is $22,320. </w:t>
      </w:r>
    </w:p>
    <w:p w14:paraId="2020BFB6" w14:textId="77777777" w:rsidR="00D434E8" w:rsidRDefault="00D434E8" w:rsidP="00D434E8">
      <w:pPr>
        <w:spacing w:after="0" w:line="259" w:lineRule="auto"/>
        <w:ind w:left="1110" w:firstLine="0"/>
      </w:pPr>
      <w:r>
        <w:t xml:space="preserve"> </w:t>
      </w:r>
    </w:p>
    <w:p w14:paraId="23675D32" w14:textId="77777777" w:rsidR="00D434E8" w:rsidRDefault="00D434E8" w:rsidP="00D434E8">
      <w:pPr>
        <w:ind w:left="1110" w:right="88"/>
      </w:pPr>
      <w:r>
        <w:t xml:space="preserve">Section 60.65 involves NRC staff review of the statement of representation.  This should require no more than one hour of staff time per response.  At $279 per hour, this would be $279 per response.  The total for one response is $279. </w:t>
      </w:r>
    </w:p>
    <w:p w14:paraId="4F6F03DB" w14:textId="77777777" w:rsidR="00D434E8" w:rsidRDefault="00D434E8" w:rsidP="00D434E8">
      <w:pPr>
        <w:spacing w:after="0" w:line="259" w:lineRule="auto"/>
        <w:ind w:left="1110" w:firstLine="0"/>
      </w:pPr>
      <w:r>
        <w:t xml:space="preserve"> </w:t>
      </w:r>
    </w:p>
    <w:p w14:paraId="70F3C757" w14:textId="77777777" w:rsidR="00D434E8" w:rsidRDefault="00D434E8" w:rsidP="00D434E8">
      <w:pPr>
        <w:ind w:left="1110" w:right="88"/>
      </w:pPr>
      <w:r>
        <w:t xml:space="preserve">Total cost to the government is $33,759 (121 hours x $279 per hour).  Costs are not anticipated to be recurrent and thus cannot reasonably be annualized.  Rather, all costs are likely to be incurred within a year or two following selection of a repository site or submittal of a license application.  These costs are fully recovered by NRC through appropriations from the Nuclear Waste Fund established by the Department of Energy pursuant to the Nuclear Waste Policy Act of 1982. </w:t>
      </w:r>
    </w:p>
    <w:p w14:paraId="53334C31" w14:textId="77777777" w:rsidR="00D434E8" w:rsidRDefault="00D434E8" w:rsidP="00D434E8">
      <w:pPr>
        <w:spacing w:after="0" w:line="259" w:lineRule="auto"/>
        <w:ind w:left="1110" w:firstLine="0"/>
      </w:pPr>
      <w:r>
        <w:t xml:space="preserve"> </w:t>
      </w:r>
    </w:p>
    <w:p w14:paraId="71FEC9BE" w14:textId="77777777" w:rsidR="00D434E8" w:rsidRDefault="00D434E8" w:rsidP="00D434E8">
      <w:pPr>
        <w:pStyle w:val="Heading2"/>
        <w:ind w:left="745"/>
      </w:pPr>
      <w:r>
        <w:rPr>
          <w:u w:val="none"/>
        </w:rPr>
        <w:t xml:space="preserve">15. </w:t>
      </w:r>
      <w:r>
        <w:t>Reasons for Change in Burden or Cost</w:t>
      </w:r>
      <w:r>
        <w:rPr>
          <w:u w:val="none"/>
        </w:rPr>
        <w:t xml:space="preserve">  </w:t>
      </w:r>
    </w:p>
    <w:p w14:paraId="568E64F9" w14:textId="77777777" w:rsidR="00D434E8" w:rsidRDefault="00D434E8" w:rsidP="00D434E8">
      <w:pPr>
        <w:spacing w:after="0" w:line="259" w:lineRule="auto"/>
        <w:ind w:left="150" w:firstLine="0"/>
      </w:pPr>
      <w:r>
        <w:t xml:space="preserve"> </w:t>
      </w:r>
    </w:p>
    <w:p w14:paraId="2FC4947A" w14:textId="77777777" w:rsidR="00D434E8" w:rsidRDefault="00D434E8" w:rsidP="00D434E8">
      <w:pPr>
        <w:ind w:left="1110" w:right="88"/>
      </w:pPr>
      <w:r>
        <w:t xml:space="preserve">There is no change in the overall burden.  However, cost estimates have changed since the last clearance resulting in an increase in the fee per hour from $274 to $279. </w:t>
      </w:r>
    </w:p>
    <w:p w14:paraId="2380D501" w14:textId="77777777" w:rsidR="00D434E8" w:rsidRDefault="00D434E8" w:rsidP="00D434E8">
      <w:pPr>
        <w:spacing w:after="0" w:line="259" w:lineRule="auto"/>
        <w:ind w:left="150" w:firstLine="0"/>
      </w:pPr>
      <w:r>
        <w:t xml:space="preserve"> </w:t>
      </w:r>
    </w:p>
    <w:p w14:paraId="2078422F" w14:textId="77777777" w:rsidR="00D434E8" w:rsidRDefault="00D434E8" w:rsidP="00D434E8">
      <w:pPr>
        <w:spacing w:line="249" w:lineRule="auto"/>
        <w:ind w:left="745"/>
      </w:pPr>
      <w:r>
        <w:t xml:space="preserve">16. </w:t>
      </w:r>
      <w:r>
        <w:rPr>
          <w:u w:val="single" w:color="000000"/>
        </w:rPr>
        <w:t>Publication for Statistical Use</w:t>
      </w:r>
      <w:r>
        <w:t xml:space="preserve"> </w:t>
      </w:r>
    </w:p>
    <w:p w14:paraId="408FCF1B" w14:textId="77777777" w:rsidR="00D434E8" w:rsidRDefault="00D434E8" w:rsidP="00D434E8">
      <w:pPr>
        <w:spacing w:after="0" w:line="259" w:lineRule="auto"/>
        <w:ind w:left="150" w:firstLine="0"/>
      </w:pPr>
      <w:r>
        <w:t xml:space="preserve"> </w:t>
      </w:r>
    </w:p>
    <w:p w14:paraId="680903F7" w14:textId="77777777" w:rsidR="00D434E8" w:rsidRDefault="00D434E8" w:rsidP="00D434E8">
      <w:pPr>
        <w:ind w:left="1110" w:right="88"/>
      </w:pPr>
      <w:r>
        <w:t xml:space="preserve">None. </w:t>
      </w:r>
    </w:p>
    <w:p w14:paraId="3CEA0DAC" w14:textId="77777777" w:rsidR="00D434E8" w:rsidRDefault="00D434E8" w:rsidP="00D434E8">
      <w:pPr>
        <w:spacing w:after="0" w:line="259" w:lineRule="auto"/>
        <w:ind w:left="150" w:firstLine="0"/>
      </w:pPr>
      <w:r>
        <w:t xml:space="preserve"> </w:t>
      </w:r>
    </w:p>
    <w:p w14:paraId="7A1B4B62" w14:textId="77777777" w:rsidR="00D434E8" w:rsidRDefault="00D434E8" w:rsidP="00D434E8">
      <w:pPr>
        <w:pStyle w:val="Heading2"/>
        <w:ind w:left="745"/>
      </w:pPr>
      <w:r>
        <w:rPr>
          <w:u w:val="none"/>
        </w:rPr>
        <w:t xml:space="preserve">17. </w:t>
      </w:r>
      <w:r>
        <w:t>Reason for Not Displaying the Expiration Date</w:t>
      </w:r>
      <w:r>
        <w:rPr>
          <w:u w:val="none"/>
        </w:rPr>
        <w:t xml:space="preserve"> </w:t>
      </w:r>
    </w:p>
    <w:p w14:paraId="0427EEE2" w14:textId="77777777" w:rsidR="00D434E8" w:rsidRDefault="00D434E8" w:rsidP="00D434E8">
      <w:pPr>
        <w:spacing w:after="0" w:line="259" w:lineRule="auto"/>
        <w:ind w:left="150" w:firstLine="0"/>
      </w:pPr>
      <w:r>
        <w:t xml:space="preserve"> </w:t>
      </w:r>
    </w:p>
    <w:p w14:paraId="0B040662" w14:textId="77777777" w:rsidR="00D434E8" w:rsidRDefault="00D434E8" w:rsidP="00D434E8">
      <w:pPr>
        <w:ind w:left="1110" w:right="88"/>
      </w:pPr>
      <w:r>
        <w:t xml:space="preserve">The requirement is contained in a regulation.  Amending the Code of Federal Regulations to display information that, in an annual publication, could become obsolete would be unduly burdensome and too difficult to keep current. </w:t>
      </w:r>
    </w:p>
    <w:p w14:paraId="34758C82" w14:textId="77777777" w:rsidR="00D434E8" w:rsidRDefault="00D434E8" w:rsidP="00D434E8">
      <w:pPr>
        <w:spacing w:after="0" w:line="259" w:lineRule="auto"/>
        <w:ind w:left="150" w:firstLine="0"/>
      </w:pPr>
      <w:r>
        <w:t xml:space="preserve"> </w:t>
      </w:r>
    </w:p>
    <w:p w14:paraId="1C9C25D4" w14:textId="77777777" w:rsidR="00D434E8" w:rsidRDefault="00D434E8" w:rsidP="00D434E8">
      <w:pPr>
        <w:spacing w:line="249" w:lineRule="auto"/>
        <w:ind w:left="745"/>
      </w:pPr>
      <w:r>
        <w:t xml:space="preserve">18. </w:t>
      </w:r>
      <w:r>
        <w:rPr>
          <w:u w:val="single" w:color="000000"/>
        </w:rPr>
        <w:t>Exceptions to the Certification Statement</w:t>
      </w:r>
      <w:r>
        <w:t xml:space="preserve"> </w:t>
      </w:r>
    </w:p>
    <w:p w14:paraId="2D63FE3F" w14:textId="77777777" w:rsidR="00D434E8" w:rsidRDefault="00D434E8" w:rsidP="00D434E8">
      <w:pPr>
        <w:spacing w:after="0" w:line="259" w:lineRule="auto"/>
        <w:ind w:left="150" w:firstLine="0"/>
      </w:pPr>
      <w:r>
        <w:t xml:space="preserve"> </w:t>
      </w:r>
    </w:p>
    <w:p w14:paraId="701D949F" w14:textId="77777777" w:rsidR="00D434E8" w:rsidRDefault="00D434E8" w:rsidP="00D434E8">
      <w:pPr>
        <w:ind w:left="1110" w:right="88"/>
      </w:pPr>
      <w:r>
        <w:t xml:space="preserve">There are no exceptions. </w:t>
      </w:r>
    </w:p>
    <w:p w14:paraId="39DB7A85" w14:textId="77777777" w:rsidR="00D434E8" w:rsidRDefault="00D434E8" w:rsidP="00D434E8">
      <w:pPr>
        <w:spacing w:after="0" w:line="259" w:lineRule="auto"/>
        <w:ind w:left="150" w:firstLine="0"/>
      </w:pPr>
      <w:r>
        <w:t xml:space="preserve"> </w:t>
      </w:r>
    </w:p>
    <w:p w14:paraId="33F80361" w14:textId="77777777" w:rsidR="00D434E8" w:rsidRDefault="00D434E8" w:rsidP="00D434E8">
      <w:pPr>
        <w:pStyle w:val="Heading2"/>
        <w:tabs>
          <w:tab w:val="center" w:pos="3570"/>
        </w:tabs>
        <w:ind w:left="0" w:firstLine="0"/>
      </w:pPr>
      <w:r>
        <w:rPr>
          <w:u w:val="none"/>
        </w:rPr>
        <w:t xml:space="preserve">        B. </w:t>
      </w:r>
      <w:r>
        <w:rPr>
          <w:u w:val="none"/>
        </w:rPr>
        <w:tab/>
        <w:t xml:space="preserve">     </w:t>
      </w:r>
      <w:r>
        <w:t>Collection of Information Employing Statistical Methods</w:t>
      </w:r>
      <w:r>
        <w:rPr>
          <w:u w:val="none"/>
        </w:rPr>
        <w:t xml:space="preserve"> </w:t>
      </w:r>
    </w:p>
    <w:p w14:paraId="4CA66985" w14:textId="77777777" w:rsidR="00D434E8" w:rsidRDefault="00D434E8" w:rsidP="00D434E8">
      <w:pPr>
        <w:spacing w:after="0" w:line="259" w:lineRule="auto"/>
        <w:ind w:left="150" w:firstLine="0"/>
      </w:pPr>
      <w:r>
        <w:t xml:space="preserve"> </w:t>
      </w:r>
    </w:p>
    <w:p w14:paraId="272ADF85" w14:textId="77777777" w:rsidR="00D434E8" w:rsidRDefault="00D434E8" w:rsidP="00D434E8">
      <w:pPr>
        <w:ind w:left="880" w:right="88"/>
      </w:pPr>
      <w:r>
        <w:t xml:space="preserve">   Statistical methods are not used in this collection of information. </w:t>
      </w:r>
    </w:p>
    <w:p w14:paraId="32CDC0BE" w14:textId="77777777" w:rsidR="00D434E8" w:rsidRDefault="00D434E8" w:rsidP="00D434E8">
      <w:pPr>
        <w:ind w:left="880" w:right="88"/>
      </w:pPr>
    </w:p>
    <w:p w14:paraId="1A68012F" w14:textId="77777777" w:rsidR="00D434E8" w:rsidRDefault="00D434E8" w:rsidP="00D434E8">
      <w:pPr>
        <w:spacing w:after="0" w:line="259" w:lineRule="auto"/>
        <w:ind w:left="150" w:firstLine="0"/>
      </w:pPr>
      <w:r>
        <w:t xml:space="preserve"> </w:t>
      </w:r>
    </w:p>
    <w:p w14:paraId="2302187B" w14:textId="77777777" w:rsidR="00D434E8" w:rsidRDefault="00D434E8" w:rsidP="00D434E8">
      <w:pPr>
        <w:spacing w:after="249" w:line="259" w:lineRule="auto"/>
        <w:ind w:left="150" w:firstLine="0"/>
      </w:pPr>
      <w:r>
        <w:t xml:space="preserve"> </w:t>
      </w:r>
    </w:p>
    <w:p w14:paraId="2271E733" w14:textId="77777777" w:rsidR="00D434E8" w:rsidRDefault="00D434E8" w:rsidP="00D434E8">
      <w:pPr>
        <w:spacing w:after="0" w:line="259" w:lineRule="auto"/>
        <w:ind w:left="150" w:firstLine="0"/>
      </w:pPr>
      <w:r>
        <w:rPr>
          <w:rFonts w:ascii="Times New Roman" w:eastAsia="Times New Roman" w:hAnsi="Times New Roman" w:cs="Times New Roman"/>
          <w:sz w:val="24"/>
        </w:rPr>
        <w:t xml:space="preserve"> </w:t>
      </w:r>
    </w:p>
    <w:p w14:paraId="06BF5211" w14:textId="77777777" w:rsidR="00DA168B" w:rsidRPr="00D434E8" w:rsidRDefault="00DA168B" w:rsidP="00D434E8"/>
    <w:sectPr w:rsidR="00DA168B" w:rsidRPr="00D434E8" w:rsidSect="00C76542">
      <w:footerReference w:type="even" r:id="rId6"/>
      <w:footerReference w:type="default" r:id="rId7"/>
      <w:footerReference w:type="first" r:id="rId8"/>
      <w:pgSz w:w="12240" w:h="15840" w:code="1"/>
      <w:pgMar w:top="1483" w:right="1354" w:bottom="1987" w:left="1296"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1091D" w14:textId="77777777" w:rsidR="000D1212" w:rsidRDefault="000D1212">
      <w:pPr>
        <w:spacing w:after="0" w:line="240" w:lineRule="auto"/>
      </w:pPr>
      <w:r>
        <w:separator/>
      </w:r>
    </w:p>
  </w:endnote>
  <w:endnote w:type="continuationSeparator" w:id="0">
    <w:p w14:paraId="5B74A057" w14:textId="77777777" w:rsidR="000D1212" w:rsidRDefault="000D1212">
      <w:pPr>
        <w:spacing w:after="0" w:line="240" w:lineRule="auto"/>
      </w:pPr>
      <w:r>
        <w:continuationSeparator/>
      </w:r>
    </w:p>
  </w:endnote>
  <w:endnote w:type="continuationNotice" w:id="1">
    <w:p w14:paraId="53AA3CC1" w14:textId="77777777" w:rsidR="000D1212" w:rsidRDefault="000D1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C150A" w14:textId="77777777" w:rsidR="00C76542" w:rsidRDefault="00C76542">
    <w:pPr>
      <w:spacing w:after="0" w:line="259" w:lineRule="auto"/>
      <w:ind w:left="150" w:firstLine="0"/>
    </w:pPr>
    <w:r>
      <w:rPr>
        <w:rFonts w:ascii="Times New Roman" w:eastAsia="Times New Roman" w:hAnsi="Times New Roman" w:cs="Times New Roman"/>
        <w:sz w:val="24"/>
      </w:rPr>
      <w:t xml:space="preserve"> </w:t>
    </w:r>
  </w:p>
  <w:p w14:paraId="6E8009AE" w14:textId="77777777" w:rsidR="00C76542" w:rsidRDefault="00C76542">
    <w:pPr>
      <w:tabs>
        <w:tab w:val="center" w:pos="4831"/>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E4280" w14:textId="77777777" w:rsidR="00C76542" w:rsidRDefault="00C76542">
    <w:pPr>
      <w:spacing w:after="0" w:line="259" w:lineRule="auto"/>
      <w:ind w:left="150" w:firstLine="0"/>
    </w:pPr>
    <w:r>
      <w:rPr>
        <w:rFonts w:ascii="Times New Roman" w:eastAsia="Times New Roman" w:hAnsi="Times New Roman" w:cs="Times New Roman"/>
        <w:sz w:val="24"/>
      </w:rPr>
      <w:t xml:space="preserve"> </w:t>
    </w:r>
  </w:p>
  <w:p w14:paraId="1229F4C8" w14:textId="77777777" w:rsidR="00C76542" w:rsidRDefault="00C76542">
    <w:pPr>
      <w:tabs>
        <w:tab w:val="center" w:pos="4831"/>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EC6DFC" w:rsidRPr="00EC6DFC">
      <w:rPr>
        <w:noProof/>
        <w:sz w:val="24"/>
      </w:rPr>
      <w:t>2</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BFFA" w14:textId="77777777" w:rsidR="00C76542" w:rsidRDefault="00C76542">
    <w:pPr>
      <w:spacing w:after="0" w:line="259" w:lineRule="auto"/>
      <w:ind w:left="150" w:firstLine="0"/>
    </w:pPr>
    <w:r>
      <w:rPr>
        <w:rFonts w:ascii="Times New Roman" w:eastAsia="Times New Roman" w:hAnsi="Times New Roman" w:cs="Times New Roman"/>
        <w:sz w:val="24"/>
      </w:rPr>
      <w:t xml:space="preserve"> </w:t>
    </w:r>
  </w:p>
  <w:p w14:paraId="2F938A9A" w14:textId="77777777" w:rsidR="00C76542" w:rsidRDefault="00C76542">
    <w:pPr>
      <w:tabs>
        <w:tab w:val="center" w:pos="4831"/>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BE6A3" w14:textId="77777777" w:rsidR="000D1212" w:rsidRDefault="000D1212">
      <w:pPr>
        <w:spacing w:after="0" w:line="240" w:lineRule="auto"/>
      </w:pPr>
      <w:r>
        <w:separator/>
      </w:r>
    </w:p>
  </w:footnote>
  <w:footnote w:type="continuationSeparator" w:id="0">
    <w:p w14:paraId="29184D00" w14:textId="77777777" w:rsidR="000D1212" w:rsidRDefault="000D1212">
      <w:pPr>
        <w:spacing w:after="0" w:line="240" w:lineRule="auto"/>
      </w:pPr>
      <w:r>
        <w:continuationSeparator/>
      </w:r>
    </w:p>
  </w:footnote>
  <w:footnote w:type="continuationNotice" w:id="1">
    <w:p w14:paraId="5D595AFB" w14:textId="77777777" w:rsidR="000D1212" w:rsidRDefault="000D121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8B"/>
    <w:rsid w:val="000A1BD8"/>
    <w:rsid w:val="000A379A"/>
    <w:rsid w:val="000D1212"/>
    <w:rsid w:val="00112666"/>
    <w:rsid w:val="001669BB"/>
    <w:rsid w:val="001878B5"/>
    <w:rsid w:val="00251EB3"/>
    <w:rsid w:val="002549B0"/>
    <w:rsid w:val="0029408C"/>
    <w:rsid w:val="002A3FF2"/>
    <w:rsid w:val="003B4A53"/>
    <w:rsid w:val="0048094F"/>
    <w:rsid w:val="004E6397"/>
    <w:rsid w:val="00530881"/>
    <w:rsid w:val="005D443F"/>
    <w:rsid w:val="005E1333"/>
    <w:rsid w:val="006126E2"/>
    <w:rsid w:val="00674304"/>
    <w:rsid w:val="006857A3"/>
    <w:rsid w:val="006D01DB"/>
    <w:rsid w:val="006F5BC6"/>
    <w:rsid w:val="00723902"/>
    <w:rsid w:val="00727D95"/>
    <w:rsid w:val="007922C5"/>
    <w:rsid w:val="007A589D"/>
    <w:rsid w:val="007D412C"/>
    <w:rsid w:val="007E76A2"/>
    <w:rsid w:val="008269EA"/>
    <w:rsid w:val="008824C5"/>
    <w:rsid w:val="008C6803"/>
    <w:rsid w:val="00930C42"/>
    <w:rsid w:val="00965CFC"/>
    <w:rsid w:val="009672DE"/>
    <w:rsid w:val="00990D70"/>
    <w:rsid w:val="00A20F98"/>
    <w:rsid w:val="00AD669D"/>
    <w:rsid w:val="00B3174D"/>
    <w:rsid w:val="00B77EA7"/>
    <w:rsid w:val="00BA773A"/>
    <w:rsid w:val="00C76542"/>
    <w:rsid w:val="00CC0FB4"/>
    <w:rsid w:val="00D2587C"/>
    <w:rsid w:val="00D434E8"/>
    <w:rsid w:val="00DA168B"/>
    <w:rsid w:val="00DA54AB"/>
    <w:rsid w:val="00EC6DFC"/>
    <w:rsid w:val="00EF3F4D"/>
    <w:rsid w:val="00F13094"/>
    <w:rsid w:val="00F23553"/>
    <w:rsid w:val="00F3065E"/>
    <w:rsid w:val="00F72B03"/>
    <w:rsid w:val="00F8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FBCBB-6DB0-4C90-B6F9-8FDA075E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73" w:hanging="10"/>
      <w:jc w:val="center"/>
      <w:outlineLvl w:val="0"/>
    </w:pPr>
    <w:rPr>
      <w:rFonts w:ascii="Arial" w:eastAsia="Arial" w:hAnsi="Arial" w:cs="Arial"/>
      <w:color w:val="000000"/>
    </w:rPr>
  </w:style>
  <w:style w:type="paragraph" w:styleId="Heading2">
    <w:name w:val="heading 2"/>
    <w:next w:val="Normal"/>
    <w:link w:val="Heading2Char"/>
    <w:uiPriority w:val="9"/>
    <w:unhideWhenUsed/>
    <w:qFormat/>
    <w:pPr>
      <w:keepNext/>
      <w:keepLines/>
      <w:spacing w:after="4" w:line="249" w:lineRule="auto"/>
      <w:ind w:left="16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4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2C"/>
    <w:rPr>
      <w:rFonts w:ascii="Segoe UI" w:eastAsia="Arial" w:hAnsi="Segoe UI" w:cs="Segoe UI"/>
      <w:color w:val="000000"/>
      <w:sz w:val="18"/>
      <w:szCs w:val="18"/>
    </w:rPr>
  </w:style>
  <w:style w:type="paragraph" w:styleId="Header">
    <w:name w:val="header"/>
    <w:basedOn w:val="Normal"/>
    <w:link w:val="HeaderChar"/>
    <w:uiPriority w:val="99"/>
    <w:unhideWhenUsed/>
    <w:rsid w:val="00C7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54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2752</Words>
  <Characters>15691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McCartin, Timothy</dc:creator>
  <cp:lastModifiedBy>Majeed, Fajr</cp:lastModifiedBy>
  <cp:revision>2</cp:revision>
  <cp:lastPrinted>2015-08-18T13:48:00Z</cp:lastPrinted>
  <dcterms:created xsi:type="dcterms:W3CDTF">2016-06-06T12:40:00Z</dcterms:created>
  <dcterms:modified xsi:type="dcterms:W3CDTF">2016-06-06T12:40:00Z</dcterms:modified>
</cp:coreProperties>
</file>