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A0" w:rsidRPr="005B5BA0" w:rsidRDefault="005B5BA0" w:rsidP="005B5BA0">
      <w:pPr>
        <w:spacing w:after="0" w:line="240" w:lineRule="auto"/>
        <w:rPr>
          <w:b/>
        </w:rPr>
      </w:pPr>
      <w:r w:rsidRPr="005B5BA0">
        <w:rPr>
          <w:b/>
        </w:rPr>
        <w:t>Supporting Statement B. Collections of Information Employing Statistical Methods</w:t>
      </w:r>
    </w:p>
    <w:p w:rsidR="005B5BA0" w:rsidRDefault="005B5BA0" w:rsidP="005B5BA0">
      <w:pPr>
        <w:spacing w:after="0" w:line="240" w:lineRule="auto"/>
      </w:pPr>
    </w:p>
    <w:p w:rsidR="005B5BA0" w:rsidRDefault="005B5BA0" w:rsidP="005B5BA0">
      <w:pPr>
        <w:spacing w:after="0" w:line="240" w:lineRule="auto"/>
      </w:pPr>
      <w:r>
        <w:t xml:space="preserve">The agency should be prepared to justify its decision not to use statistical methods in any case where such methods might reduce burden or improve accuracy of results. </w:t>
      </w:r>
    </w:p>
    <w:p w:rsidR="005B5BA0" w:rsidRDefault="005B5BA0" w:rsidP="005B5BA0">
      <w:pPr>
        <w:spacing w:after="0" w:line="240" w:lineRule="auto"/>
      </w:pPr>
    </w:p>
    <w:p w:rsidR="005B5BA0" w:rsidRDefault="005B5BA0" w:rsidP="005B5BA0">
      <w:pPr>
        <w:spacing w:after="0" w:line="240" w:lineRule="auto"/>
      </w:pPr>
      <w: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5B5618" w:rsidRDefault="005B5618" w:rsidP="005B5BA0">
      <w:pPr>
        <w:spacing w:after="0" w:line="240" w:lineRule="auto"/>
      </w:pPr>
    </w:p>
    <w:p w:rsidR="005B5618" w:rsidRDefault="005B5618" w:rsidP="005B5618">
      <w:pPr>
        <w:spacing w:after="0" w:line="240" w:lineRule="auto"/>
        <w:ind w:left="720"/>
      </w:pPr>
      <w:r>
        <w:t xml:space="preserve">- </w:t>
      </w:r>
      <w:r w:rsidR="00113D5B">
        <w:t xml:space="preserve"> </w:t>
      </w:r>
      <w:r>
        <w:t>The universe of potential respondent</w:t>
      </w:r>
      <w:r w:rsidR="001F1CCD">
        <w:t>s</w:t>
      </w:r>
      <w:r>
        <w:t xml:space="preserve"> for this study include all the recreational users of TVA reservoirs that access </w:t>
      </w:r>
      <w:r w:rsidR="001F1CCD">
        <w:t xml:space="preserve">water areas either </w:t>
      </w:r>
      <w:r>
        <w:t xml:space="preserve">through </w:t>
      </w:r>
      <w:r w:rsidR="001F1CCD">
        <w:t xml:space="preserve">the </w:t>
      </w:r>
      <w:r>
        <w:t xml:space="preserve">public access areas or </w:t>
      </w:r>
      <w:r w:rsidR="001F1CCD">
        <w:t xml:space="preserve">directly </w:t>
      </w:r>
      <w:r>
        <w:t xml:space="preserve">from </w:t>
      </w:r>
      <w:r w:rsidR="001F1CCD">
        <w:t xml:space="preserve">their own </w:t>
      </w:r>
      <w:r>
        <w:t xml:space="preserve">private properties </w:t>
      </w:r>
      <w:r w:rsidR="001F1CCD">
        <w:t xml:space="preserve">located </w:t>
      </w:r>
      <w:r>
        <w:t xml:space="preserve">along the shoreline. Since the primary objective of this study is to find out that number of total users, we currently do not have data on total estimate of potential respondent universe. </w:t>
      </w:r>
    </w:p>
    <w:p w:rsidR="001F1CCD" w:rsidRDefault="001F1CCD" w:rsidP="005B5618">
      <w:pPr>
        <w:spacing w:after="0" w:line="240" w:lineRule="auto"/>
        <w:ind w:left="720"/>
      </w:pPr>
      <w:r>
        <w:t xml:space="preserve">We however know that a total of </w:t>
      </w:r>
      <w:r w:rsidR="00D62FB0">
        <w:t xml:space="preserve">10,416 </w:t>
      </w:r>
      <w:bookmarkStart w:id="0" w:name="_GoBack"/>
      <w:bookmarkEnd w:id="0"/>
      <w:r>
        <w:t xml:space="preserve">26A permit holders (property owners) reside along the shorelines of three reservoirs where the study will take place. From that, we will draw </w:t>
      </w:r>
      <w:r w:rsidR="005B5618">
        <w:t>a random sample of 1</w:t>
      </w:r>
      <w:r>
        <w:t>,</w:t>
      </w:r>
      <w:r w:rsidR="005B5618">
        <w:t xml:space="preserve">000 </w:t>
      </w:r>
      <w:r>
        <w:t>to conduct the property owners’ survey</w:t>
      </w:r>
      <w:r w:rsidR="005B5618">
        <w:t xml:space="preserve">. </w:t>
      </w:r>
    </w:p>
    <w:p w:rsidR="005B5618" w:rsidRDefault="005B5618" w:rsidP="005B5618">
      <w:pPr>
        <w:spacing w:after="0" w:line="240" w:lineRule="auto"/>
        <w:ind w:left="720"/>
      </w:pPr>
      <w:r>
        <w:t xml:space="preserve">Since the data has not been collected yet, actual response rate is not known. However, we expect about </w:t>
      </w:r>
      <w:r w:rsidR="005D6149">
        <w:t>5</w:t>
      </w:r>
      <w:r>
        <w:t>0-</w:t>
      </w:r>
      <w:r w:rsidR="005D6149">
        <w:t>60</w:t>
      </w:r>
      <w:r>
        <w:t>% response rate in case of property owners survey, and over 90% response in case of on-site survey.</w:t>
      </w:r>
    </w:p>
    <w:p w:rsidR="00D62FB0" w:rsidRDefault="00D62FB0" w:rsidP="00651BE9">
      <w:pPr>
        <w:spacing w:after="0" w:line="240" w:lineRule="auto"/>
        <w:ind w:left="720"/>
      </w:pPr>
    </w:p>
    <w:tbl>
      <w:tblPr>
        <w:tblStyle w:val="TableGrid"/>
        <w:tblW w:w="9494" w:type="dxa"/>
        <w:tblInd w:w="4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2"/>
        <w:gridCol w:w="2497"/>
        <w:gridCol w:w="2395"/>
        <w:gridCol w:w="2440"/>
      </w:tblGrid>
      <w:tr w:rsidR="00D62FB0" w:rsidTr="007275E5">
        <w:trPr>
          <w:trHeight w:val="452"/>
        </w:trPr>
        <w:tc>
          <w:tcPr>
            <w:tcW w:w="9494" w:type="dxa"/>
            <w:gridSpan w:val="4"/>
            <w:tcBorders>
              <w:top w:val="nil"/>
              <w:left w:val="nil"/>
              <w:bottom w:val="single" w:sz="4" w:space="0" w:color="auto"/>
              <w:right w:val="nil"/>
            </w:tcBorders>
            <w:hideMark/>
          </w:tcPr>
          <w:p w:rsidR="00D62FB0" w:rsidRDefault="00D62FB0">
            <w:r>
              <w:t>Table: Population, needed sample size, and number of contacts to be targeted by reservoir for the shoreline property owners’ survey.</w:t>
            </w:r>
          </w:p>
        </w:tc>
      </w:tr>
      <w:tr w:rsidR="00D62FB0" w:rsidTr="007275E5">
        <w:trPr>
          <w:trHeight w:val="231"/>
        </w:trPr>
        <w:tc>
          <w:tcPr>
            <w:tcW w:w="2162" w:type="dxa"/>
            <w:tcBorders>
              <w:top w:val="single" w:sz="4" w:space="0" w:color="auto"/>
              <w:left w:val="nil"/>
              <w:bottom w:val="single" w:sz="4" w:space="0" w:color="auto"/>
              <w:right w:val="nil"/>
            </w:tcBorders>
            <w:hideMark/>
          </w:tcPr>
          <w:p w:rsidR="00D62FB0" w:rsidRDefault="00D62FB0">
            <w:r>
              <w:t>Reservoir</w:t>
            </w:r>
          </w:p>
        </w:tc>
        <w:tc>
          <w:tcPr>
            <w:tcW w:w="2497" w:type="dxa"/>
            <w:tcBorders>
              <w:top w:val="single" w:sz="4" w:space="0" w:color="auto"/>
              <w:left w:val="nil"/>
              <w:bottom w:val="single" w:sz="4" w:space="0" w:color="auto"/>
              <w:right w:val="nil"/>
            </w:tcBorders>
            <w:hideMark/>
          </w:tcPr>
          <w:p w:rsidR="00D62FB0" w:rsidRDefault="00D62FB0">
            <w:pPr>
              <w:jc w:val="center"/>
            </w:pPr>
            <w:r>
              <w:t>Population</w:t>
            </w:r>
          </w:p>
        </w:tc>
        <w:tc>
          <w:tcPr>
            <w:tcW w:w="2395" w:type="dxa"/>
            <w:tcBorders>
              <w:top w:val="single" w:sz="4" w:space="0" w:color="auto"/>
              <w:left w:val="nil"/>
              <w:bottom w:val="single" w:sz="4" w:space="0" w:color="auto"/>
              <w:right w:val="nil"/>
            </w:tcBorders>
            <w:hideMark/>
          </w:tcPr>
          <w:p w:rsidR="00D62FB0" w:rsidRDefault="00D62FB0">
            <w:pPr>
              <w:jc w:val="center"/>
            </w:pPr>
            <w:r>
              <w:t>Sample size needed</w:t>
            </w:r>
          </w:p>
        </w:tc>
        <w:tc>
          <w:tcPr>
            <w:tcW w:w="2440" w:type="dxa"/>
            <w:tcBorders>
              <w:top w:val="single" w:sz="4" w:space="0" w:color="auto"/>
              <w:left w:val="nil"/>
              <w:bottom w:val="single" w:sz="4" w:space="0" w:color="auto"/>
              <w:right w:val="nil"/>
            </w:tcBorders>
            <w:hideMark/>
          </w:tcPr>
          <w:p w:rsidR="00D62FB0" w:rsidRDefault="00D62FB0">
            <w:pPr>
              <w:jc w:val="center"/>
            </w:pPr>
            <w:r>
              <w:t>Targeted contacts</w:t>
            </w:r>
            <w:r>
              <w:sym w:font="Symbol" w:char="F02A"/>
            </w:r>
          </w:p>
        </w:tc>
      </w:tr>
      <w:tr w:rsidR="00D62FB0" w:rsidTr="007275E5">
        <w:trPr>
          <w:trHeight w:val="222"/>
        </w:trPr>
        <w:tc>
          <w:tcPr>
            <w:tcW w:w="2162" w:type="dxa"/>
            <w:tcBorders>
              <w:top w:val="single" w:sz="4" w:space="0" w:color="auto"/>
              <w:left w:val="nil"/>
              <w:bottom w:val="single" w:sz="4" w:space="0" w:color="auto"/>
              <w:right w:val="nil"/>
            </w:tcBorders>
            <w:hideMark/>
          </w:tcPr>
          <w:p w:rsidR="00D62FB0" w:rsidRDefault="00D62FB0">
            <w:r>
              <w:t>Watts Bar</w:t>
            </w:r>
          </w:p>
        </w:tc>
        <w:tc>
          <w:tcPr>
            <w:tcW w:w="2497" w:type="dxa"/>
            <w:tcBorders>
              <w:top w:val="single" w:sz="4" w:space="0" w:color="auto"/>
              <w:left w:val="nil"/>
              <w:bottom w:val="single" w:sz="4" w:space="0" w:color="auto"/>
              <w:right w:val="nil"/>
            </w:tcBorders>
            <w:hideMark/>
          </w:tcPr>
          <w:p w:rsidR="00D62FB0" w:rsidRDefault="00D62FB0">
            <w:pPr>
              <w:jc w:val="center"/>
            </w:pPr>
            <w:r>
              <w:t>5,096</w:t>
            </w:r>
          </w:p>
        </w:tc>
        <w:tc>
          <w:tcPr>
            <w:tcW w:w="2395" w:type="dxa"/>
            <w:tcBorders>
              <w:top w:val="single" w:sz="4" w:space="0" w:color="auto"/>
              <w:left w:val="nil"/>
              <w:bottom w:val="single" w:sz="4" w:space="0" w:color="auto"/>
              <w:right w:val="nil"/>
            </w:tcBorders>
            <w:hideMark/>
          </w:tcPr>
          <w:p w:rsidR="00D62FB0" w:rsidRDefault="00D62FB0">
            <w:pPr>
              <w:jc w:val="center"/>
            </w:pPr>
            <w:r>
              <w:t>357</w:t>
            </w:r>
          </w:p>
        </w:tc>
        <w:tc>
          <w:tcPr>
            <w:tcW w:w="2440" w:type="dxa"/>
            <w:tcBorders>
              <w:top w:val="single" w:sz="4" w:space="0" w:color="auto"/>
              <w:left w:val="nil"/>
              <w:bottom w:val="single" w:sz="4" w:space="0" w:color="auto"/>
              <w:right w:val="nil"/>
            </w:tcBorders>
            <w:hideMark/>
          </w:tcPr>
          <w:p w:rsidR="00D62FB0" w:rsidRDefault="00D62FB0">
            <w:pPr>
              <w:jc w:val="center"/>
            </w:pPr>
            <w:r>
              <w:t>714</w:t>
            </w:r>
          </w:p>
        </w:tc>
      </w:tr>
      <w:tr w:rsidR="00D62FB0" w:rsidTr="007275E5">
        <w:trPr>
          <w:trHeight w:val="222"/>
        </w:trPr>
        <w:tc>
          <w:tcPr>
            <w:tcW w:w="2162" w:type="dxa"/>
            <w:tcBorders>
              <w:top w:val="single" w:sz="4" w:space="0" w:color="auto"/>
              <w:left w:val="nil"/>
              <w:bottom w:val="single" w:sz="4" w:space="0" w:color="auto"/>
              <w:right w:val="nil"/>
            </w:tcBorders>
            <w:hideMark/>
          </w:tcPr>
          <w:p w:rsidR="00D62FB0" w:rsidRDefault="00D62FB0">
            <w:r>
              <w:t>Norris</w:t>
            </w:r>
          </w:p>
        </w:tc>
        <w:tc>
          <w:tcPr>
            <w:tcW w:w="2497" w:type="dxa"/>
            <w:tcBorders>
              <w:top w:val="single" w:sz="4" w:space="0" w:color="auto"/>
              <w:left w:val="nil"/>
              <w:bottom w:val="single" w:sz="4" w:space="0" w:color="auto"/>
              <w:right w:val="nil"/>
            </w:tcBorders>
            <w:hideMark/>
          </w:tcPr>
          <w:p w:rsidR="00D62FB0" w:rsidRDefault="00D62FB0">
            <w:pPr>
              <w:jc w:val="center"/>
            </w:pPr>
            <w:r>
              <w:t>2,479</w:t>
            </w:r>
          </w:p>
        </w:tc>
        <w:tc>
          <w:tcPr>
            <w:tcW w:w="2395" w:type="dxa"/>
            <w:tcBorders>
              <w:top w:val="single" w:sz="4" w:space="0" w:color="auto"/>
              <w:left w:val="nil"/>
              <w:bottom w:val="single" w:sz="4" w:space="0" w:color="auto"/>
              <w:right w:val="nil"/>
            </w:tcBorders>
            <w:hideMark/>
          </w:tcPr>
          <w:p w:rsidR="00D62FB0" w:rsidRDefault="00D62FB0">
            <w:pPr>
              <w:jc w:val="center"/>
            </w:pPr>
            <w:r>
              <w:t>333</w:t>
            </w:r>
          </w:p>
        </w:tc>
        <w:tc>
          <w:tcPr>
            <w:tcW w:w="2440" w:type="dxa"/>
            <w:tcBorders>
              <w:top w:val="single" w:sz="4" w:space="0" w:color="auto"/>
              <w:left w:val="nil"/>
              <w:bottom w:val="single" w:sz="4" w:space="0" w:color="auto"/>
              <w:right w:val="nil"/>
            </w:tcBorders>
            <w:hideMark/>
          </w:tcPr>
          <w:p w:rsidR="00D62FB0" w:rsidRDefault="00D62FB0">
            <w:pPr>
              <w:jc w:val="center"/>
            </w:pPr>
            <w:r>
              <w:t>666</w:t>
            </w:r>
          </w:p>
        </w:tc>
      </w:tr>
      <w:tr w:rsidR="00D62FB0" w:rsidTr="007275E5">
        <w:trPr>
          <w:trHeight w:val="222"/>
        </w:trPr>
        <w:tc>
          <w:tcPr>
            <w:tcW w:w="2162" w:type="dxa"/>
            <w:tcBorders>
              <w:top w:val="single" w:sz="4" w:space="0" w:color="auto"/>
              <w:left w:val="nil"/>
              <w:bottom w:val="single" w:sz="4" w:space="0" w:color="auto"/>
              <w:right w:val="nil"/>
            </w:tcBorders>
            <w:hideMark/>
          </w:tcPr>
          <w:p w:rsidR="00D62FB0" w:rsidRDefault="00D62FB0">
            <w:r>
              <w:t>Chickamauga</w:t>
            </w:r>
          </w:p>
        </w:tc>
        <w:tc>
          <w:tcPr>
            <w:tcW w:w="2497" w:type="dxa"/>
            <w:tcBorders>
              <w:top w:val="single" w:sz="4" w:space="0" w:color="auto"/>
              <w:left w:val="nil"/>
              <w:bottom w:val="single" w:sz="4" w:space="0" w:color="auto"/>
              <w:right w:val="nil"/>
            </w:tcBorders>
            <w:hideMark/>
          </w:tcPr>
          <w:p w:rsidR="00D62FB0" w:rsidRDefault="00D62FB0">
            <w:pPr>
              <w:jc w:val="center"/>
            </w:pPr>
            <w:r>
              <w:t>2,841</w:t>
            </w:r>
          </w:p>
        </w:tc>
        <w:tc>
          <w:tcPr>
            <w:tcW w:w="2395" w:type="dxa"/>
            <w:tcBorders>
              <w:top w:val="single" w:sz="4" w:space="0" w:color="auto"/>
              <w:left w:val="nil"/>
              <w:bottom w:val="single" w:sz="4" w:space="0" w:color="auto"/>
              <w:right w:val="nil"/>
            </w:tcBorders>
            <w:hideMark/>
          </w:tcPr>
          <w:p w:rsidR="00D62FB0" w:rsidRDefault="00D62FB0">
            <w:pPr>
              <w:jc w:val="center"/>
            </w:pPr>
            <w:r>
              <w:t>339</w:t>
            </w:r>
          </w:p>
        </w:tc>
        <w:tc>
          <w:tcPr>
            <w:tcW w:w="2440" w:type="dxa"/>
            <w:tcBorders>
              <w:top w:val="single" w:sz="4" w:space="0" w:color="auto"/>
              <w:left w:val="nil"/>
              <w:bottom w:val="single" w:sz="4" w:space="0" w:color="auto"/>
              <w:right w:val="nil"/>
            </w:tcBorders>
            <w:hideMark/>
          </w:tcPr>
          <w:p w:rsidR="00D62FB0" w:rsidRDefault="00D62FB0">
            <w:pPr>
              <w:jc w:val="center"/>
            </w:pPr>
            <w:r>
              <w:t>678</w:t>
            </w:r>
          </w:p>
        </w:tc>
      </w:tr>
      <w:tr w:rsidR="00D62FB0" w:rsidTr="007275E5">
        <w:trPr>
          <w:trHeight w:val="222"/>
        </w:trPr>
        <w:tc>
          <w:tcPr>
            <w:tcW w:w="2162" w:type="dxa"/>
            <w:tcBorders>
              <w:top w:val="single" w:sz="4" w:space="0" w:color="auto"/>
              <w:left w:val="nil"/>
              <w:bottom w:val="single" w:sz="4" w:space="0" w:color="auto"/>
              <w:right w:val="nil"/>
            </w:tcBorders>
            <w:hideMark/>
          </w:tcPr>
          <w:p w:rsidR="00D62FB0" w:rsidRDefault="00D62FB0">
            <w:pPr>
              <w:rPr>
                <w:i/>
              </w:rPr>
            </w:pPr>
            <w:r>
              <w:rPr>
                <w:i/>
              </w:rPr>
              <w:t>Total</w:t>
            </w:r>
          </w:p>
        </w:tc>
        <w:tc>
          <w:tcPr>
            <w:tcW w:w="2497" w:type="dxa"/>
            <w:tcBorders>
              <w:top w:val="single" w:sz="4" w:space="0" w:color="auto"/>
              <w:left w:val="nil"/>
              <w:bottom w:val="single" w:sz="4" w:space="0" w:color="auto"/>
              <w:right w:val="nil"/>
            </w:tcBorders>
            <w:hideMark/>
          </w:tcPr>
          <w:p w:rsidR="00D62FB0" w:rsidRDefault="00D62FB0">
            <w:pPr>
              <w:jc w:val="center"/>
              <w:rPr>
                <w:i/>
              </w:rPr>
            </w:pPr>
            <w:r>
              <w:rPr>
                <w:i/>
              </w:rPr>
              <w:t>10,416</w:t>
            </w:r>
          </w:p>
        </w:tc>
        <w:tc>
          <w:tcPr>
            <w:tcW w:w="2395" w:type="dxa"/>
            <w:tcBorders>
              <w:top w:val="single" w:sz="4" w:space="0" w:color="auto"/>
              <w:left w:val="nil"/>
              <w:bottom w:val="single" w:sz="4" w:space="0" w:color="auto"/>
              <w:right w:val="nil"/>
            </w:tcBorders>
            <w:hideMark/>
          </w:tcPr>
          <w:p w:rsidR="00D62FB0" w:rsidRDefault="00D62FB0">
            <w:pPr>
              <w:jc w:val="center"/>
              <w:rPr>
                <w:i/>
              </w:rPr>
            </w:pPr>
            <w:r>
              <w:rPr>
                <w:i/>
              </w:rPr>
              <w:t>1,029</w:t>
            </w:r>
          </w:p>
        </w:tc>
        <w:tc>
          <w:tcPr>
            <w:tcW w:w="2440" w:type="dxa"/>
            <w:tcBorders>
              <w:top w:val="single" w:sz="4" w:space="0" w:color="auto"/>
              <w:left w:val="nil"/>
              <w:bottom w:val="single" w:sz="4" w:space="0" w:color="auto"/>
              <w:right w:val="nil"/>
            </w:tcBorders>
            <w:hideMark/>
          </w:tcPr>
          <w:p w:rsidR="00D62FB0" w:rsidRDefault="00D62FB0">
            <w:pPr>
              <w:jc w:val="center"/>
              <w:rPr>
                <w:i/>
              </w:rPr>
            </w:pPr>
            <w:r>
              <w:rPr>
                <w:i/>
              </w:rPr>
              <w:t>2,058</w:t>
            </w:r>
          </w:p>
        </w:tc>
      </w:tr>
      <w:tr w:rsidR="00D62FB0" w:rsidTr="007275E5">
        <w:trPr>
          <w:trHeight w:val="684"/>
        </w:trPr>
        <w:tc>
          <w:tcPr>
            <w:tcW w:w="9494" w:type="dxa"/>
            <w:gridSpan w:val="4"/>
            <w:tcBorders>
              <w:top w:val="single" w:sz="4" w:space="0" w:color="auto"/>
              <w:left w:val="nil"/>
              <w:bottom w:val="nil"/>
              <w:right w:val="nil"/>
            </w:tcBorders>
            <w:hideMark/>
          </w:tcPr>
          <w:p w:rsidR="00D62FB0" w:rsidRDefault="00D62FB0">
            <w:pPr>
              <w:rPr>
                <w:i/>
              </w:rPr>
            </w:pPr>
            <w:r>
              <w:rPr>
                <w:i/>
              </w:rPr>
              <w:sym w:font="Symbol" w:char="F02A"/>
            </w:r>
            <w:r>
              <w:rPr>
                <w:i/>
              </w:rPr>
              <w:t xml:space="preserve"> Targeted contacts estimated according to the assumption of roughly 50% response rate. Previous surveys conducted by TVA at Norris (in 2007) and Chickamauga (in 2009) had 59% and 56% response rates.</w:t>
            </w:r>
          </w:p>
        </w:tc>
      </w:tr>
    </w:tbl>
    <w:p w:rsidR="00D62FB0" w:rsidRDefault="00D62FB0" w:rsidP="00651BE9">
      <w:pPr>
        <w:spacing w:after="0" w:line="240" w:lineRule="auto"/>
        <w:ind w:left="720"/>
      </w:pPr>
    </w:p>
    <w:p w:rsidR="00186733" w:rsidRDefault="00186733" w:rsidP="005B5BA0">
      <w:pPr>
        <w:spacing w:after="0" w:line="240" w:lineRule="auto"/>
      </w:pPr>
    </w:p>
    <w:p w:rsidR="005B5BA0" w:rsidRDefault="005B5BA0" w:rsidP="005B5BA0">
      <w:pPr>
        <w:spacing w:after="0" w:line="240" w:lineRule="auto"/>
      </w:pPr>
      <w:r>
        <w:t xml:space="preserve">2. </w:t>
      </w:r>
      <w:r w:rsidR="00F00847">
        <w:t xml:space="preserve"> </w:t>
      </w:r>
      <w:r>
        <w:t>Describe the procedures for the collection of information including:</w:t>
      </w:r>
    </w:p>
    <w:p w:rsidR="005B5BA0" w:rsidRDefault="005B5BA0" w:rsidP="005B5BA0">
      <w:pPr>
        <w:spacing w:after="0" w:line="240" w:lineRule="auto"/>
      </w:pPr>
      <w:r>
        <w:t>* Statistical methodology for stratification and sample selection,</w:t>
      </w:r>
    </w:p>
    <w:p w:rsidR="005B5BA0" w:rsidRDefault="005B5BA0" w:rsidP="005B5BA0">
      <w:pPr>
        <w:spacing w:after="0" w:line="240" w:lineRule="auto"/>
      </w:pPr>
      <w:r>
        <w:t>* Estimation procedure,</w:t>
      </w:r>
    </w:p>
    <w:p w:rsidR="005B5BA0" w:rsidRDefault="005B5BA0" w:rsidP="005B5BA0">
      <w:pPr>
        <w:spacing w:after="0" w:line="240" w:lineRule="auto"/>
      </w:pPr>
      <w:r>
        <w:t>* Degree of accuracy needed for the purpose described in the justification,</w:t>
      </w:r>
    </w:p>
    <w:p w:rsidR="005B5BA0" w:rsidRDefault="005B5BA0" w:rsidP="005B5BA0">
      <w:pPr>
        <w:spacing w:after="0" w:line="240" w:lineRule="auto"/>
      </w:pPr>
      <w:r>
        <w:t>* Unusual problems requiring specialized sampling procedures, and</w:t>
      </w:r>
    </w:p>
    <w:p w:rsidR="005B5BA0" w:rsidRDefault="005B5BA0" w:rsidP="005B5BA0">
      <w:pPr>
        <w:spacing w:after="0" w:line="240" w:lineRule="auto"/>
      </w:pPr>
      <w:r>
        <w:t>* Any use of periodic (less frequent than annual) data collection cycles to reduce burden.</w:t>
      </w:r>
    </w:p>
    <w:p w:rsidR="006B6D1E" w:rsidRDefault="006B6D1E" w:rsidP="005B5BA0">
      <w:pPr>
        <w:spacing w:after="0" w:line="240" w:lineRule="auto"/>
      </w:pPr>
    </w:p>
    <w:p w:rsidR="006B6D1E" w:rsidRDefault="005D6149" w:rsidP="005B5BA0">
      <w:pPr>
        <w:spacing w:after="0" w:line="240" w:lineRule="auto"/>
      </w:pPr>
      <w:r>
        <w:tab/>
      </w:r>
      <w:r w:rsidR="00113D5B">
        <w:t xml:space="preserve">-  For </w:t>
      </w:r>
      <w:r w:rsidR="006B6D1E" w:rsidRPr="005B5618">
        <w:t xml:space="preserve">the general recreation users that access </w:t>
      </w:r>
      <w:r w:rsidR="006B6D1E">
        <w:t xml:space="preserve">water areas </w:t>
      </w:r>
      <w:r w:rsidR="006B6D1E" w:rsidRPr="005B5618">
        <w:t xml:space="preserve">from public </w:t>
      </w:r>
      <w:r w:rsidR="006B6D1E">
        <w:t xml:space="preserve">access-points (marinas, </w:t>
      </w:r>
      <w:r>
        <w:tab/>
      </w:r>
      <w:r w:rsidR="006B6D1E">
        <w:t>fishing piers, boat ramps etc.)</w:t>
      </w:r>
      <w:r w:rsidR="006B6D1E" w:rsidRPr="005B5618">
        <w:t xml:space="preserve">, a stratified random sampling approach will be adopted. All the </w:t>
      </w:r>
      <w:r>
        <w:tab/>
      </w:r>
      <w:r w:rsidR="006B6D1E" w:rsidRPr="005B5618">
        <w:t xml:space="preserve">access </w:t>
      </w:r>
      <w:r w:rsidR="006B6D1E">
        <w:t xml:space="preserve">points </w:t>
      </w:r>
      <w:r w:rsidR="006B6D1E" w:rsidRPr="005B5618">
        <w:t xml:space="preserve">in </w:t>
      </w:r>
      <w:r w:rsidR="006B6D1E">
        <w:t>study area</w:t>
      </w:r>
      <w:r w:rsidR="006B6D1E" w:rsidRPr="005B5618">
        <w:t xml:space="preserve"> will be classified into “low” and “high” use areas based upon a </w:t>
      </w:r>
      <w:r>
        <w:lastRenderedPageBreak/>
        <w:tab/>
      </w:r>
      <w:r w:rsidR="006B6D1E">
        <w:t xml:space="preserve">preliminary </w:t>
      </w:r>
      <w:r w:rsidR="006B6D1E" w:rsidRPr="005B5618">
        <w:t xml:space="preserve">discussion with TVA staffs familiar with </w:t>
      </w:r>
      <w:r w:rsidR="006B6D1E">
        <w:t xml:space="preserve">local </w:t>
      </w:r>
      <w:r w:rsidR="006B6D1E" w:rsidRPr="005B5618">
        <w:t>use</w:t>
      </w:r>
      <w:r w:rsidR="006B6D1E">
        <w:t>rs flow</w:t>
      </w:r>
      <w:r w:rsidR="006B6D1E" w:rsidRPr="005B5618">
        <w:t xml:space="preserve">. Then, available sampling </w:t>
      </w:r>
      <w:r>
        <w:tab/>
      </w:r>
      <w:r w:rsidR="006B6D1E" w:rsidRPr="005B5618">
        <w:t xml:space="preserve">hours will be allocated to those strata to count the number of visitors (and party size) exiting the </w:t>
      </w:r>
      <w:r>
        <w:tab/>
      </w:r>
      <w:r w:rsidR="006B6D1E" w:rsidRPr="005B5618">
        <w:t xml:space="preserve">site during a particular sampling period. Mean </w:t>
      </w:r>
      <w:r w:rsidR="00D91004">
        <w:t>p</w:t>
      </w:r>
      <w:r w:rsidR="006B6D1E" w:rsidRPr="005B5618">
        <w:t xml:space="preserve">arty size and number of parties will be </w:t>
      </w:r>
      <w:r w:rsidR="00D91004">
        <w:tab/>
      </w:r>
      <w:r w:rsidR="006B6D1E" w:rsidRPr="005B5618">
        <w:t xml:space="preserve">combined to get the average use statistics for respective sampling strata, and then to the </w:t>
      </w:r>
      <w:r w:rsidR="00D91004">
        <w:tab/>
      </w:r>
      <w:r w:rsidR="006B6D1E" w:rsidRPr="005B5618">
        <w:t xml:space="preserve">particular reservoir. Resulting use statistics </w:t>
      </w:r>
      <w:r w:rsidR="006B6D1E">
        <w:t xml:space="preserve">from this user survey </w:t>
      </w:r>
      <w:r w:rsidR="006B6D1E" w:rsidRPr="005B5618">
        <w:t xml:space="preserve">will be combined with data </w:t>
      </w:r>
      <w:r w:rsidR="00D91004">
        <w:tab/>
      </w:r>
      <w:r w:rsidR="006B6D1E" w:rsidRPr="005B5618">
        <w:t>collected from property owner</w:t>
      </w:r>
      <w:r w:rsidR="006B6D1E">
        <w:t>s</w:t>
      </w:r>
      <w:r w:rsidR="006B6D1E" w:rsidRPr="005B5618">
        <w:t xml:space="preserve">’ survey of the corresponding reservoir. </w:t>
      </w:r>
      <w:r w:rsidR="006B6D1E">
        <w:t xml:space="preserve">Once the data is </w:t>
      </w:r>
      <w:r w:rsidR="00D91004">
        <w:tab/>
      </w:r>
      <w:r w:rsidR="006B6D1E">
        <w:t xml:space="preserve">aggregated at the reservoir level for three reservoirs being studied, mean statistics </w:t>
      </w:r>
      <w:r w:rsidR="006B6D1E" w:rsidRPr="005B5618">
        <w:t xml:space="preserve">will be </w:t>
      </w:r>
      <w:r w:rsidR="00D91004">
        <w:tab/>
      </w:r>
      <w:r w:rsidR="006B6D1E">
        <w:t xml:space="preserve">generated in terms of </w:t>
      </w:r>
      <w:r w:rsidR="006B6D1E" w:rsidRPr="005B5618">
        <w:t xml:space="preserve">per-shoreline mile and per-surface-area units. </w:t>
      </w:r>
      <w:r w:rsidR="006B6D1E">
        <w:t xml:space="preserve">This will finally </w:t>
      </w:r>
      <w:r w:rsidR="006B6D1E" w:rsidRPr="005B5618">
        <w:t xml:space="preserve">be </w:t>
      </w:r>
      <w:r w:rsidR="00D91004">
        <w:tab/>
      </w:r>
      <w:r w:rsidR="006B6D1E" w:rsidRPr="005B5618">
        <w:t xml:space="preserve">combined with the total shoreline miles and surface areas of </w:t>
      </w:r>
      <w:r w:rsidR="006B6D1E">
        <w:t xml:space="preserve">the </w:t>
      </w:r>
      <w:r w:rsidR="006B6D1E" w:rsidRPr="005B5618">
        <w:t xml:space="preserve">entire reservoir system to </w:t>
      </w:r>
      <w:r w:rsidR="00D91004">
        <w:tab/>
      </w:r>
      <w:r w:rsidR="006B6D1E" w:rsidRPr="005B5618">
        <w:t>extrapolate the use stat</w:t>
      </w:r>
      <w:r w:rsidR="006B6D1E">
        <w:t xml:space="preserve">istics to the entire </w:t>
      </w:r>
      <w:r w:rsidR="006B6D1E" w:rsidRPr="005B5618">
        <w:t xml:space="preserve">system. </w:t>
      </w:r>
      <w:r w:rsidR="006B6D1E">
        <w:t>A s</w:t>
      </w:r>
      <w:r w:rsidR="006B6D1E" w:rsidRPr="005B5618">
        <w:t xml:space="preserve">imilar procedure will be followed for </w:t>
      </w:r>
      <w:r w:rsidR="00D91004">
        <w:tab/>
      </w:r>
      <w:r w:rsidR="006B6D1E" w:rsidRPr="005B5618">
        <w:t xml:space="preserve">calculating mean expenditure per-surface acres and per-shoreline miles of select reservoir and </w:t>
      </w:r>
      <w:r w:rsidR="00D91004">
        <w:tab/>
      </w:r>
      <w:r w:rsidR="006B6D1E" w:rsidRPr="005B5618">
        <w:t>finally extrapolating it to the entire reservoir system.</w:t>
      </w:r>
    </w:p>
    <w:p w:rsidR="00F00847" w:rsidRDefault="00F00847" w:rsidP="005B5BA0">
      <w:pPr>
        <w:spacing w:after="0" w:line="240" w:lineRule="auto"/>
      </w:pPr>
    </w:p>
    <w:p w:rsidR="00F00847" w:rsidRDefault="00F00847" w:rsidP="00F00847">
      <w:pPr>
        <w:spacing w:after="0" w:line="240" w:lineRule="auto"/>
      </w:pPr>
      <w: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00847" w:rsidRDefault="00F00847" w:rsidP="00F00847">
      <w:pPr>
        <w:spacing w:after="0" w:line="240" w:lineRule="auto"/>
        <w:ind w:left="720"/>
        <w:contextualSpacing/>
      </w:pPr>
      <w:r>
        <w:t xml:space="preserve">-  </w:t>
      </w:r>
      <w:r w:rsidRPr="005B5618">
        <w:t>TVA will send a reminder to property owners survey participants as the address will be available for those</w:t>
      </w:r>
      <w:r>
        <w:t xml:space="preserve"> contacts (from 26A permits)</w:t>
      </w:r>
      <w:r w:rsidRPr="005B5618">
        <w:t xml:space="preserve">. However, the address will not be known for general recreation users contacted on-site and </w:t>
      </w:r>
      <w:r>
        <w:t xml:space="preserve">therefore </w:t>
      </w:r>
      <w:r w:rsidRPr="005B5618">
        <w:t xml:space="preserve">cannot be reminded further to increase </w:t>
      </w:r>
      <w:r>
        <w:t>the response</w:t>
      </w:r>
      <w:r w:rsidRPr="005B5618">
        <w:t>.</w:t>
      </w:r>
      <w:r>
        <w:t xml:space="preserve"> Respondents of both surveys will be provided with a convenient self-addressed pre-paid envelope to mail back the survey. In case we noticed low-response rate among certain strata (e.g. low use area), we will adopt a standard method of post-stratification weighting to balance the sample.</w:t>
      </w:r>
    </w:p>
    <w:p w:rsidR="00F00847" w:rsidRDefault="00F00847" w:rsidP="00F00847">
      <w:pPr>
        <w:spacing w:after="0" w:line="240" w:lineRule="auto"/>
        <w:ind w:left="720"/>
        <w:contextualSpacing/>
      </w:pPr>
    </w:p>
    <w:p w:rsidR="00F00847" w:rsidRDefault="00F00847" w:rsidP="00F00847">
      <w:pPr>
        <w:spacing w:after="0" w:line="240" w:lineRule="auto"/>
      </w:pPr>
      <w: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F00847" w:rsidRDefault="00F00847">
      <w:pPr>
        <w:spacing w:after="0" w:line="240" w:lineRule="auto"/>
        <w:ind w:left="720"/>
        <w:contextualSpacing/>
      </w:pPr>
      <w:r>
        <w:t xml:space="preserve">-  There is no tests of procedure or methods to be conducted. Methods/procedures to be followed are widely used in recreation surveys already </w:t>
      </w:r>
      <w:r w:rsidR="0006292F">
        <w:t xml:space="preserve">(for example, please see </w:t>
      </w:r>
      <w:proofErr w:type="spellStart"/>
      <w:r w:rsidR="0006292F">
        <w:t>Vaske</w:t>
      </w:r>
      <w:proofErr w:type="spellEnd"/>
      <w:r w:rsidR="0006292F">
        <w:t xml:space="preserve">, </w:t>
      </w:r>
      <w:r>
        <w:t>J. 2008. Survey Research and Analysis. Venture Publishers).</w:t>
      </w:r>
    </w:p>
    <w:p w:rsidR="00F00847" w:rsidRDefault="00F00847">
      <w:pPr>
        <w:spacing w:after="0" w:line="240" w:lineRule="auto"/>
        <w:ind w:left="720"/>
        <w:contextualSpacing/>
      </w:pPr>
    </w:p>
    <w:p w:rsidR="00F00847" w:rsidRDefault="00F00847" w:rsidP="00F00847">
      <w:pPr>
        <w:spacing w:after="0" w:line="240" w:lineRule="auto"/>
      </w:pPr>
      <w:r>
        <w:t>5.  Provide the name and telephone number of individuals consulted on statistical aspects of the design and the name of the agency unit, contractor(s), grantee(s), or other person(s) who will actually collect and/or analyze the information for the agency.</w:t>
      </w:r>
    </w:p>
    <w:p w:rsidR="00F00847" w:rsidRPr="005B5618" w:rsidRDefault="00F00847" w:rsidP="00F00847">
      <w:pPr>
        <w:spacing w:after="0" w:line="240" w:lineRule="auto"/>
        <w:ind w:left="720"/>
        <w:contextualSpacing/>
      </w:pPr>
      <w:r>
        <w:t>-  Dr. Neelam C. Poudyal (grantee, University of Tennessee), Tel: 865-974-8771; Email: npoudyal@utk.edu</w:t>
      </w:r>
    </w:p>
    <w:p w:rsidR="00F00847" w:rsidRPr="005B5618" w:rsidRDefault="00F00847" w:rsidP="007275E5">
      <w:pPr>
        <w:spacing w:after="0" w:line="240" w:lineRule="auto"/>
        <w:contextualSpacing/>
      </w:pPr>
    </w:p>
    <w:p w:rsidR="006B757E" w:rsidRDefault="006B757E">
      <w:pPr>
        <w:spacing w:after="0" w:line="240" w:lineRule="auto"/>
      </w:pPr>
    </w:p>
    <w:sectPr w:rsidR="006B757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99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7146"/>
    <w:multiLevelType w:val="hybridMultilevel"/>
    <w:tmpl w:val="950C8718"/>
    <w:lvl w:ilvl="0" w:tplc="881061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udyal, Neelam Chandra">
    <w15:presenceInfo w15:providerId="AD" w15:userId="S-1-5-21-1126177620-2786831117-424237298-276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A0"/>
    <w:rsid w:val="0006292F"/>
    <w:rsid w:val="00076C3C"/>
    <w:rsid w:val="00113D5B"/>
    <w:rsid w:val="00186733"/>
    <w:rsid w:val="001F1CCD"/>
    <w:rsid w:val="003F4993"/>
    <w:rsid w:val="00427D19"/>
    <w:rsid w:val="004E43A5"/>
    <w:rsid w:val="005B5618"/>
    <w:rsid w:val="005B5BA0"/>
    <w:rsid w:val="005D6149"/>
    <w:rsid w:val="00651BE9"/>
    <w:rsid w:val="006B6D1E"/>
    <w:rsid w:val="006B757E"/>
    <w:rsid w:val="007275E5"/>
    <w:rsid w:val="007D0C9C"/>
    <w:rsid w:val="007D1DD2"/>
    <w:rsid w:val="00836562"/>
    <w:rsid w:val="009D5DDB"/>
    <w:rsid w:val="00B12AE3"/>
    <w:rsid w:val="00B211D8"/>
    <w:rsid w:val="00BD2E0D"/>
    <w:rsid w:val="00D62FB0"/>
    <w:rsid w:val="00D91004"/>
    <w:rsid w:val="00E709A8"/>
    <w:rsid w:val="00F00847"/>
    <w:rsid w:val="00F1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9A8"/>
    <w:pPr>
      <w:ind w:left="720"/>
      <w:contextualSpacing/>
    </w:pPr>
  </w:style>
  <w:style w:type="paragraph" w:styleId="BalloonText">
    <w:name w:val="Balloon Text"/>
    <w:basedOn w:val="Normal"/>
    <w:link w:val="BalloonTextChar"/>
    <w:uiPriority w:val="99"/>
    <w:semiHidden/>
    <w:unhideWhenUsed/>
    <w:rsid w:val="005B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618"/>
    <w:rPr>
      <w:rFonts w:ascii="Segoe UI" w:hAnsi="Segoe UI" w:cs="Segoe UI"/>
      <w:sz w:val="18"/>
      <w:szCs w:val="18"/>
    </w:rPr>
  </w:style>
  <w:style w:type="character" w:styleId="CommentReference">
    <w:name w:val="annotation reference"/>
    <w:basedOn w:val="DefaultParagraphFont"/>
    <w:uiPriority w:val="99"/>
    <w:semiHidden/>
    <w:unhideWhenUsed/>
    <w:rsid w:val="00427D19"/>
    <w:rPr>
      <w:sz w:val="16"/>
      <w:szCs w:val="16"/>
    </w:rPr>
  </w:style>
  <w:style w:type="paragraph" w:styleId="CommentText">
    <w:name w:val="annotation text"/>
    <w:basedOn w:val="Normal"/>
    <w:link w:val="CommentTextChar"/>
    <w:uiPriority w:val="99"/>
    <w:semiHidden/>
    <w:unhideWhenUsed/>
    <w:rsid w:val="00427D19"/>
    <w:pPr>
      <w:spacing w:line="240" w:lineRule="auto"/>
    </w:pPr>
    <w:rPr>
      <w:sz w:val="20"/>
      <w:szCs w:val="20"/>
    </w:rPr>
  </w:style>
  <w:style w:type="character" w:customStyle="1" w:styleId="CommentTextChar">
    <w:name w:val="Comment Text Char"/>
    <w:basedOn w:val="DefaultParagraphFont"/>
    <w:link w:val="CommentText"/>
    <w:uiPriority w:val="99"/>
    <w:semiHidden/>
    <w:rsid w:val="00427D19"/>
    <w:rPr>
      <w:sz w:val="20"/>
      <w:szCs w:val="20"/>
    </w:rPr>
  </w:style>
  <w:style w:type="paragraph" w:styleId="CommentSubject">
    <w:name w:val="annotation subject"/>
    <w:basedOn w:val="CommentText"/>
    <w:next w:val="CommentText"/>
    <w:link w:val="CommentSubjectChar"/>
    <w:uiPriority w:val="99"/>
    <w:semiHidden/>
    <w:unhideWhenUsed/>
    <w:rsid w:val="00427D19"/>
    <w:rPr>
      <w:b/>
      <w:bCs/>
    </w:rPr>
  </w:style>
  <w:style w:type="character" w:customStyle="1" w:styleId="CommentSubjectChar">
    <w:name w:val="Comment Subject Char"/>
    <w:basedOn w:val="CommentTextChar"/>
    <w:link w:val="CommentSubject"/>
    <w:uiPriority w:val="99"/>
    <w:semiHidden/>
    <w:rsid w:val="00427D19"/>
    <w:rPr>
      <w:b/>
      <w:bCs/>
      <w:sz w:val="20"/>
      <w:szCs w:val="20"/>
    </w:rPr>
  </w:style>
  <w:style w:type="table" w:styleId="TableGrid">
    <w:name w:val="Table Grid"/>
    <w:basedOn w:val="TableNormal"/>
    <w:uiPriority w:val="39"/>
    <w:rsid w:val="00D62F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29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9A8"/>
    <w:pPr>
      <w:ind w:left="720"/>
      <w:contextualSpacing/>
    </w:pPr>
  </w:style>
  <w:style w:type="paragraph" w:styleId="BalloonText">
    <w:name w:val="Balloon Text"/>
    <w:basedOn w:val="Normal"/>
    <w:link w:val="BalloonTextChar"/>
    <w:uiPriority w:val="99"/>
    <w:semiHidden/>
    <w:unhideWhenUsed/>
    <w:rsid w:val="005B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618"/>
    <w:rPr>
      <w:rFonts w:ascii="Segoe UI" w:hAnsi="Segoe UI" w:cs="Segoe UI"/>
      <w:sz w:val="18"/>
      <w:szCs w:val="18"/>
    </w:rPr>
  </w:style>
  <w:style w:type="character" w:styleId="CommentReference">
    <w:name w:val="annotation reference"/>
    <w:basedOn w:val="DefaultParagraphFont"/>
    <w:uiPriority w:val="99"/>
    <w:semiHidden/>
    <w:unhideWhenUsed/>
    <w:rsid w:val="00427D19"/>
    <w:rPr>
      <w:sz w:val="16"/>
      <w:szCs w:val="16"/>
    </w:rPr>
  </w:style>
  <w:style w:type="paragraph" w:styleId="CommentText">
    <w:name w:val="annotation text"/>
    <w:basedOn w:val="Normal"/>
    <w:link w:val="CommentTextChar"/>
    <w:uiPriority w:val="99"/>
    <w:semiHidden/>
    <w:unhideWhenUsed/>
    <w:rsid w:val="00427D19"/>
    <w:pPr>
      <w:spacing w:line="240" w:lineRule="auto"/>
    </w:pPr>
    <w:rPr>
      <w:sz w:val="20"/>
      <w:szCs w:val="20"/>
    </w:rPr>
  </w:style>
  <w:style w:type="character" w:customStyle="1" w:styleId="CommentTextChar">
    <w:name w:val="Comment Text Char"/>
    <w:basedOn w:val="DefaultParagraphFont"/>
    <w:link w:val="CommentText"/>
    <w:uiPriority w:val="99"/>
    <w:semiHidden/>
    <w:rsid w:val="00427D19"/>
    <w:rPr>
      <w:sz w:val="20"/>
      <w:szCs w:val="20"/>
    </w:rPr>
  </w:style>
  <w:style w:type="paragraph" w:styleId="CommentSubject">
    <w:name w:val="annotation subject"/>
    <w:basedOn w:val="CommentText"/>
    <w:next w:val="CommentText"/>
    <w:link w:val="CommentSubjectChar"/>
    <w:uiPriority w:val="99"/>
    <w:semiHidden/>
    <w:unhideWhenUsed/>
    <w:rsid w:val="00427D19"/>
    <w:rPr>
      <w:b/>
      <w:bCs/>
    </w:rPr>
  </w:style>
  <w:style w:type="character" w:customStyle="1" w:styleId="CommentSubjectChar">
    <w:name w:val="Comment Subject Char"/>
    <w:basedOn w:val="CommentTextChar"/>
    <w:link w:val="CommentSubject"/>
    <w:uiPriority w:val="99"/>
    <w:semiHidden/>
    <w:rsid w:val="00427D19"/>
    <w:rPr>
      <w:b/>
      <w:bCs/>
      <w:sz w:val="20"/>
      <w:szCs w:val="20"/>
    </w:rPr>
  </w:style>
  <w:style w:type="table" w:styleId="TableGrid">
    <w:name w:val="Table Grid"/>
    <w:basedOn w:val="TableNormal"/>
    <w:uiPriority w:val="39"/>
    <w:rsid w:val="00D62F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2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4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3CEF-C7C5-4098-92AA-A68FC5C4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aesander</cp:lastModifiedBy>
  <cp:revision>3</cp:revision>
  <cp:lastPrinted>2016-01-27T20:28:00Z</cp:lastPrinted>
  <dcterms:created xsi:type="dcterms:W3CDTF">2016-02-02T15:20:00Z</dcterms:created>
  <dcterms:modified xsi:type="dcterms:W3CDTF">2016-02-10T00:28:00Z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TVA's OMB Submissions</vt:lpwstr>
  </property>
  <property fmtid="{D5CDD505-2E9C-101B-9397-08002B2CF9AE}" pid="4" name="_AuthorEmail">
    <vt:lpwstr>jgfouse@tva.gov</vt:lpwstr>
  </property>
  <property fmtid="{D5CDD505-2E9C-101B-9397-08002B2CF9AE}" pid="5" name="_AuthorEmailDisplayName">
    <vt:lpwstr>Fouse, Jerry G</vt:lpwstr>
  </property>
  <property fmtid="{D5CDD505-2E9C-101B-9397-08002B2CF9AE}" pid="6" name="_AdHocReviewCycleID">
    <vt:i4>1210911672</vt:i4>
  </property>
  <property fmtid="{D5CDD505-2E9C-101B-9397-08002B2CF9AE}" pid="7" name="_ReviewingToolsShownOnce">
    <vt:lpwstr/>
  </property>
</Properties>
</file>