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A9" w:rsidRDefault="00AC7BA9" w:rsidP="00AC7BA9">
      <w:pPr>
        <w:jc w:val="center"/>
        <w:outlineLvl w:val="0"/>
        <w:rPr>
          <w:b/>
          <w:sz w:val="24"/>
          <w:szCs w:val="24"/>
        </w:rPr>
      </w:pPr>
      <w:bookmarkStart w:id="0" w:name="_GoBack"/>
      <w:r w:rsidRPr="0001291E">
        <w:rPr>
          <w:b/>
          <w:sz w:val="24"/>
          <w:szCs w:val="24"/>
        </w:rPr>
        <w:t xml:space="preserve">Appendix </w:t>
      </w:r>
      <w:r>
        <w:rPr>
          <w:b/>
          <w:sz w:val="24"/>
          <w:szCs w:val="24"/>
        </w:rPr>
        <w:t>3</w:t>
      </w:r>
      <w:r w:rsidRPr="0001291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EFNEP</w:t>
      </w:r>
      <w:r w:rsidRPr="00CF2B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Annual Cost to NIFA</w:t>
      </w:r>
    </w:p>
    <w:bookmarkEnd w:id="0"/>
    <w:p w:rsidR="00AC7BA9" w:rsidRDefault="00AC7BA9" w:rsidP="00AC7BA9"/>
    <w:tbl>
      <w:tblPr>
        <w:tblW w:w="10080" w:type="dxa"/>
        <w:tblInd w:w="8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6120"/>
        <w:gridCol w:w="1260"/>
        <w:gridCol w:w="900"/>
        <w:gridCol w:w="1800"/>
        <w:tblGridChange w:id="1">
          <w:tblGrid>
            <w:gridCol w:w="6120"/>
            <w:gridCol w:w="1260"/>
            <w:gridCol w:w="900"/>
            <w:gridCol w:w="1800"/>
          </w:tblGrid>
        </w:tblGridChange>
      </w:tblGrid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120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26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90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800" w:type="dxa"/>
            <w:tcBorders>
              <w:top w:val="double" w:sz="9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Reviewing, providing feedback to states and verifying data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center"/>
          </w:tcPr>
          <w:p w:rsidR="00AC7BA9" w:rsidRPr="00D76132" w:rsidDel="00674C6B" w:rsidRDefault="00AC7BA9" w:rsidP="00B66953">
            <w:pPr>
              <w:numPr>
                <w:ilvl w:val="12"/>
                <w:numId w:val="0"/>
              </w:numPr>
              <w:spacing w:before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$7,714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Aggregating state and territory </w:t>
            </w:r>
            <w:smartTag w:uri="urn:schemas-microsoft-com:office:smarttags" w:element="PersonName">
              <w:r>
                <w:rPr>
                  <w:sz w:val="24"/>
                  <w:szCs w:val="24"/>
                </w:rPr>
                <w:t>electronic</w:t>
              </w:r>
            </w:smartTag>
            <w:r>
              <w:rPr>
                <w:sz w:val="24"/>
                <w:szCs w:val="24"/>
              </w:rPr>
              <w:t xml:space="preserve"> enrollment reports into regional and national report.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/>
              <w:jc w:val="center"/>
              <w:rPr>
                <w:sz w:val="24"/>
                <w:szCs w:val="24"/>
              </w:rPr>
            </w:pPr>
          </w:p>
          <w:p w:rsidR="00AC7BA9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/>
              <w:jc w:val="center"/>
              <w:rPr>
                <w:sz w:val="24"/>
                <w:szCs w:val="24"/>
              </w:rPr>
            </w:pPr>
          </w:p>
          <w:p w:rsidR="00AC7BA9" w:rsidRPr="00D76132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/>
              <w:jc w:val="center"/>
              <w:rPr>
                <w:sz w:val="24"/>
                <w:szCs w:val="24"/>
              </w:rPr>
            </w:pPr>
          </w:p>
          <w:p w:rsidR="00AC7BA9" w:rsidRPr="00D76132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$3946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charts and graphs, enrollment summaries for use in several annual publications.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$5740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annual report for website.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$2870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Analyzing, evaluating, summarizing and/or reporting on the collected information.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 w:rsidRPr="00D76132">
              <w:rPr>
                <w:sz w:val="24"/>
                <w:szCs w:val="24"/>
              </w:rPr>
              <w:t xml:space="preserve">GS </w:t>
            </w:r>
            <w:r>
              <w:rPr>
                <w:sz w:val="24"/>
                <w:szCs w:val="24"/>
              </w:rPr>
              <w:t>15/12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$18976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nil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Printing of 1,500 copies of EFNEP 2010 Impact Report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double" w:sz="9" w:space="0" w:color="000000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$490</w:t>
            </w:r>
          </w:p>
        </w:tc>
      </w:tr>
      <w:tr w:rsidR="00AC7BA9" w:rsidTr="00B669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0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nil"/>
            </w:tcBorders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  <w:vAlign w:val="center"/>
          </w:tcPr>
          <w:p w:rsidR="00AC7BA9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nil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AC7BA9" w:rsidRPr="00D76132" w:rsidRDefault="00AC7BA9" w:rsidP="00B66953">
            <w:pPr>
              <w:numPr>
                <w:ilvl w:val="12"/>
                <w:numId w:val="0"/>
              </w:numPr>
              <w:spacing w:before="98" w:after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$51,217</w:t>
            </w:r>
          </w:p>
        </w:tc>
      </w:tr>
    </w:tbl>
    <w:p w:rsidR="00AC7BA9" w:rsidRDefault="00AC7BA9" w:rsidP="00AC7BA9">
      <w:pPr>
        <w:rPr>
          <w:sz w:val="24"/>
          <w:szCs w:val="24"/>
        </w:rPr>
      </w:pPr>
    </w:p>
    <w:p w:rsidR="006D343E" w:rsidRDefault="00AC7BA9" w:rsidP="00AC7BA9">
      <w:r>
        <w:rPr>
          <w:sz w:val="24"/>
          <w:szCs w:val="24"/>
        </w:rPr>
        <w:t>Cost</w:t>
      </w:r>
      <w:r w:rsidRPr="0013062B">
        <w:rPr>
          <w:sz w:val="24"/>
          <w:szCs w:val="24"/>
        </w:rPr>
        <w:t xml:space="preserve"> estimates </w:t>
      </w:r>
      <w:r>
        <w:rPr>
          <w:sz w:val="24"/>
          <w:szCs w:val="24"/>
        </w:rPr>
        <w:t xml:space="preserve">to NIFA </w:t>
      </w:r>
      <w:r w:rsidRPr="0013062B">
        <w:rPr>
          <w:sz w:val="24"/>
          <w:szCs w:val="24"/>
        </w:rPr>
        <w:t xml:space="preserve">are reflective of the previous version of the data collection system. </w:t>
      </w:r>
      <w:r>
        <w:rPr>
          <w:sz w:val="24"/>
          <w:szCs w:val="24"/>
        </w:rPr>
        <w:t>Hours were updated based on the addition of the University of the District of Columbia to the EFNEP program.  This increased the number of institutions from 74 to 75.</w:t>
      </w:r>
    </w:p>
    <w:sectPr w:rsidR="006D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A9"/>
    <w:rsid w:val="006D343E"/>
    <w:rsid w:val="00A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USDA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Gidel Mendez</dc:creator>
  <cp:lastModifiedBy>Gidel Mendez</cp:lastModifiedBy>
  <cp:revision>1</cp:revision>
  <dcterms:created xsi:type="dcterms:W3CDTF">2012-07-31T13:00:00Z</dcterms:created>
  <dcterms:modified xsi:type="dcterms:W3CDTF">2012-07-31T13:00:00Z</dcterms:modified>
</cp:coreProperties>
</file>