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AF37E0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9F227F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2A0027">
        <w:rPr>
          <w:sz w:val="24"/>
          <w:szCs w:val="24"/>
        </w:rPr>
        <w:t xml:space="preserve">establishments generating grain by-products in the </w:t>
      </w:r>
      <w:r w:rsidR="009F227F">
        <w:rPr>
          <w:sz w:val="24"/>
          <w:szCs w:val="24"/>
        </w:rPr>
        <w:t>wet</w:t>
      </w:r>
      <w:r w:rsidR="00FB40FB" w:rsidRPr="002A0027">
        <w:rPr>
          <w:sz w:val="24"/>
          <w:szCs w:val="24"/>
        </w:rPr>
        <w:t xml:space="preserve"> mill process of ethanol production</w:t>
      </w:r>
      <w:r w:rsidR="003B54FF" w:rsidRPr="002A0027">
        <w:rPr>
          <w:sz w:val="24"/>
          <w:szCs w:val="24"/>
        </w:rPr>
        <w:t xml:space="preserve"> each year through the </w:t>
      </w:r>
      <w:r w:rsidR="002A0027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9F227F">
        <w:rPr>
          <w:sz w:val="24"/>
          <w:szCs w:val="24"/>
        </w:rPr>
        <w:t>Wet</w:t>
      </w:r>
      <w:r w:rsidR="002A0027">
        <w:rPr>
          <w:sz w:val="24"/>
          <w:szCs w:val="24"/>
        </w:rPr>
        <w:t xml:space="preserve"> Mill Producers of Ethanol survey</w:t>
      </w:r>
      <w:r w:rsidR="003B54FF" w:rsidRPr="002A0027">
        <w:rPr>
          <w:sz w:val="24"/>
          <w:szCs w:val="24"/>
        </w:rPr>
        <w:t xml:space="preserve">. </w:t>
      </w:r>
    </w:p>
    <w:p w:rsidR="00E5728C" w:rsidRPr="0061759B" w:rsidRDefault="0068621B" w:rsidP="009F227F">
      <w:pPr>
        <w:autoSpaceDE w:val="0"/>
        <w:autoSpaceDN w:val="0"/>
        <w:adjustRightInd w:val="0"/>
        <w:rPr>
          <w:sz w:val="24"/>
          <w:szCs w:val="24"/>
        </w:rPr>
      </w:pPr>
      <w:r w:rsidRPr="00522E5E">
        <w:rPr>
          <w:sz w:val="24"/>
          <w:szCs w:val="24"/>
        </w:rPr>
        <w:t>Response to this survey is required by law (Title 7, U.S. Code).</w:t>
      </w:r>
      <w:r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C21B2F">
        <w:rPr>
          <w:sz w:val="24"/>
          <w:szCs w:val="24"/>
        </w:rPr>
        <w:t>production of ethanol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>
        <w:rPr>
          <w:sz w:val="24"/>
          <w:szCs w:val="24"/>
        </w:rPr>
        <w:t xml:space="preserve">the monthly </w:t>
      </w:r>
      <w:r w:rsidR="00C21B2F">
        <w:rPr>
          <w:i/>
          <w:sz w:val="24"/>
          <w:szCs w:val="24"/>
        </w:rPr>
        <w:t xml:space="preserve">Current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324765" w:rsidRPr="0061759B">
        <w:rPr>
          <w:sz w:val="24"/>
          <w:szCs w:val="24"/>
        </w:rPr>
        <w:t xml:space="preserve"> asks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61759B" w:rsidRPr="0061759B">
        <w:rPr>
          <w:sz w:val="24"/>
          <w:szCs w:val="24"/>
        </w:rPr>
        <w:t>quantities of by-product production and corn grind used during ethanol production</w:t>
      </w:r>
      <w:r w:rsidR="00AF37E0">
        <w:rPr>
          <w:sz w:val="24"/>
          <w:szCs w:val="24"/>
        </w:rPr>
        <w:t xml:space="preserve"> during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 will need the 17-digit </w:t>
      </w:r>
      <w:r w:rsidR="0068621B">
        <w:rPr>
          <w:lang w:val="en-GB"/>
        </w:rPr>
        <w:t>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AF37E0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Hubert Hamer</w:t>
      </w:r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49EF" w:rsidRDefault="005349EF">
      <w:r>
        <w:separator/>
      </w:r>
    </w:p>
  </w:endnote>
  <w:endnote w:type="continuationSeparator" w:id="0">
    <w:p w:rsidR="005349EF" w:rsidRDefault="005349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5349EF" w:rsidRPr="00922E98" w:rsidRDefault="005349EF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5349EF" w:rsidRDefault="005349E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5349EF" w:rsidRPr="00922E98" w:rsidRDefault="005349EF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49EF" w:rsidRDefault="005349EF">
      <w:r>
        <w:separator/>
      </w:r>
    </w:p>
  </w:footnote>
  <w:footnote w:type="continuationSeparator" w:id="0">
    <w:p w:rsidR="005349EF" w:rsidRDefault="005349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9EF" w:rsidRDefault="005349EF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5349EF" w:rsidRDefault="005349EF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5349EF" w:rsidRPr="00922E98" w:rsidRDefault="005349EF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5349EF" w:rsidRDefault="005349EF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1745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4332B"/>
    <w:rsid w:val="00055C18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72119"/>
    <w:rsid w:val="006762D0"/>
    <w:rsid w:val="0068621B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810637"/>
    <w:rsid w:val="00851EB2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7219A"/>
    <w:rsid w:val="009755D9"/>
    <w:rsid w:val="00993472"/>
    <w:rsid w:val="0099388C"/>
    <w:rsid w:val="009A0F7B"/>
    <w:rsid w:val="009D2BA3"/>
    <w:rsid w:val="009F0D0B"/>
    <w:rsid w:val="009F227F"/>
    <w:rsid w:val="00A143D2"/>
    <w:rsid w:val="00A2714B"/>
    <w:rsid w:val="00A45C2D"/>
    <w:rsid w:val="00A53102"/>
    <w:rsid w:val="00A57AD5"/>
    <w:rsid w:val="00A62841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AF37E0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055D4"/>
    <w:rsid w:val="00E1422F"/>
    <w:rsid w:val="00E44439"/>
    <w:rsid w:val="00E46573"/>
    <w:rsid w:val="00E5728C"/>
    <w:rsid w:val="00E6565C"/>
    <w:rsid w:val="00E766BD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8C9F-E684-4542-BA56-DBF22D7D37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1859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BlomBe</cp:lastModifiedBy>
  <cp:revision>5</cp:revision>
  <cp:lastPrinted>2013-03-13T23:13:00Z</cp:lastPrinted>
  <dcterms:created xsi:type="dcterms:W3CDTF">2014-02-21T15:52:00Z</dcterms:created>
  <dcterms:modified xsi:type="dcterms:W3CDTF">2014-02-25T20:37:00Z</dcterms:modified>
</cp:coreProperties>
</file>