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38515" w14:textId="77777777" w:rsidR="006869D4" w:rsidRDefault="006869D4" w:rsidP="006869D4">
      <w:pPr>
        <w:pStyle w:val="NoSpacing"/>
        <w:jc w:val="center"/>
        <w:rPr>
          <w:b/>
        </w:rPr>
      </w:pPr>
      <w:bookmarkStart w:id="0" w:name="_GoBack"/>
      <w:bookmarkEnd w:id="0"/>
    </w:p>
    <w:p w14:paraId="5D9C84F0" w14:textId="64922F10" w:rsidR="003C511F" w:rsidRPr="003C511F" w:rsidRDefault="003C511F" w:rsidP="003C511F">
      <w:pPr>
        <w:pStyle w:val="NoSpacing"/>
        <w:jc w:val="center"/>
        <w:rPr>
          <w:b/>
        </w:rPr>
      </w:pPr>
      <w:r w:rsidRPr="003C511F">
        <w:rPr>
          <w:b/>
        </w:rPr>
        <w:t>Project Engage</w:t>
      </w:r>
      <w:r w:rsidR="00F81FCB">
        <w:rPr>
          <w:b/>
        </w:rPr>
        <w:t xml:space="preserve"> 2.0</w:t>
      </w:r>
      <w:r w:rsidRPr="003C511F">
        <w:rPr>
          <w:b/>
        </w:rPr>
        <w:t>: Engaging Gay “Community” Activism for Syphilis Prevention</w:t>
      </w:r>
    </w:p>
    <w:p w14:paraId="6E77AC01" w14:textId="77777777" w:rsidR="001B433F" w:rsidRDefault="001B433F" w:rsidP="006869D4">
      <w:pPr>
        <w:pStyle w:val="NoSpacing"/>
        <w:jc w:val="center"/>
        <w:rPr>
          <w:b/>
        </w:rPr>
      </w:pPr>
    </w:p>
    <w:p w14:paraId="2D4C5522" w14:textId="29D5102B" w:rsidR="00E227E6" w:rsidRDefault="00E227E6" w:rsidP="006869D4">
      <w:pPr>
        <w:pStyle w:val="NoSpacing"/>
        <w:jc w:val="center"/>
        <w:rPr>
          <w:b/>
        </w:rPr>
      </w:pPr>
      <w:r>
        <w:rPr>
          <w:b/>
        </w:rPr>
        <w:t>Gen</w:t>
      </w:r>
      <w:r w:rsidR="001F2D33">
        <w:rPr>
          <w:b/>
        </w:rPr>
        <w:t>eric</w:t>
      </w:r>
      <w:r>
        <w:rPr>
          <w:b/>
        </w:rPr>
        <w:t xml:space="preserve"> Information Collection Request under OMB </w:t>
      </w:r>
      <w:r w:rsidRPr="006E4CC2">
        <w:rPr>
          <w:b/>
        </w:rPr>
        <w:t>#</w:t>
      </w:r>
      <w:r w:rsidR="006E4CC2" w:rsidRPr="006E4CC2">
        <w:rPr>
          <w:b/>
        </w:rPr>
        <w:t>0920-0840</w:t>
      </w:r>
    </w:p>
    <w:p w14:paraId="646ACD0B" w14:textId="77777777" w:rsidR="00E227E6" w:rsidRDefault="00E227E6" w:rsidP="006869D4">
      <w:pPr>
        <w:pStyle w:val="NoSpacing"/>
        <w:jc w:val="center"/>
        <w:rPr>
          <w:b/>
        </w:rPr>
      </w:pPr>
    </w:p>
    <w:p w14:paraId="70491B13" w14:textId="77777777" w:rsidR="00E227E6" w:rsidRDefault="00E227E6" w:rsidP="006869D4">
      <w:pPr>
        <w:pStyle w:val="NoSpacing"/>
        <w:jc w:val="center"/>
        <w:rPr>
          <w:b/>
        </w:rPr>
      </w:pPr>
    </w:p>
    <w:p w14:paraId="3FA0A050" w14:textId="77777777" w:rsidR="0098673D" w:rsidRDefault="0098673D" w:rsidP="006869D4">
      <w:pPr>
        <w:pStyle w:val="NoSpacing"/>
        <w:jc w:val="center"/>
        <w:rPr>
          <w:b/>
        </w:rPr>
      </w:pPr>
    </w:p>
    <w:p w14:paraId="1032F302" w14:textId="77777777" w:rsidR="0098673D" w:rsidRDefault="0098673D" w:rsidP="006869D4">
      <w:pPr>
        <w:pStyle w:val="NoSpacing"/>
        <w:jc w:val="center"/>
        <w:rPr>
          <w:b/>
        </w:rPr>
      </w:pPr>
    </w:p>
    <w:p w14:paraId="0DA15451" w14:textId="77777777" w:rsidR="0098673D" w:rsidRDefault="0098673D" w:rsidP="006869D4">
      <w:pPr>
        <w:pStyle w:val="NoSpacing"/>
        <w:jc w:val="center"/>
        <w:rPr>
          <w:b/>
        </w:rPr>
      </w:pPr>
      <w:r>
        <w:rPr>
          <w:b/>
        </w:rPr>
        <w:t>Section A: Supporting Statement</w:t>
      </w:r>
    </w:p>
    <w:p w14:paraId="012C70EF" w14:textId="77777777" w:rsidR="0098673D" w:rsidRDefault="0098673D" w:rsidP="006869D4">
      <w:pPr>
        <w:pStyle w:val="NoSpacing"/>
        <w:jc w:val="center"/>
        <w:rPr>
          <w:b/>
        </w:rPr>
      </w:pPr>
    </w:p>
    <w:p w14:paraId="20F53B92" w14:textId="77777777" w:rsidR="0098673D" w:rsidRDefault="0098673D" w:rsidP="006869D4">
      <w:pPr>
        <w:pStyle w:val="NoSpacing"/>
        <w:jc w:val="center"/>
        <w:rPr>
          <w:b/>
        </w:rPr>
      </w:pPr>
    </w:p>
    <w:p w14:paraId="7AFB1319" w14:textId="77777777" w:rsidR="00053671" w:rsidRDefault="00053671" w:rsidP="006869D4">
      <w:pPr>
        <w:pStyle w:val="NoSpacing"/>
        <w:jc w:val="center"/>
        <w:rPr>
          <w:b/>
        </w:rPr>
      </w:pPr>
    </w:p>
    <w:p w14:paraId="04EE08F6" w14:textId="77777777" w:rsidR="00053671" w:rsidRDefault="00053671" w:rsidP="006869D4">
      <w:pPr>
        <w:pStyle w:val="NoSpacing"/>
        <w:jc w:val="center"/>
        <w:rPr>
          <w:b/>
        </w:rPr>
      </w:pPr>
    </w:p>
    <w:p w14:paraId="3C674D0A" w14:textId="65B5B749" w:rsidR="001B433F" w:rsidRDefault="00F25857" w:rsidP="001B433F">
      <w:pPr>
        <w:pStyle w:val="NoSpacing"/>
        <w:jc w:val="center"/>
        <w:rPr>
          <w:b/>
        </w:rPr>
      </w:pPr>
      <w:r>
        <w:rPr>
          <w:b/>
        </w:rPr>
        <w:t>April 28</w:t>
      </w:r>
      <w:r w:rsidR="00F81FCB">
        <w:rPr>
          <w:b/>
        </w:rPr>
        <w:t>, 2018</w:t>
      </w:r>
    </w:p>
    <w:p w14:paraId="3ADA8582" w14:textId="77777777" w:rsidR="00053671" w:rsidRDefault="00053671" w:rsidP="006869D4">
      <w:pPr>
        <w:pStyle w:val="NoSpacing"/>
        <w:jc w:val="center"/>
        <w:rPr>
          <w:b/>
        </w:rPr>
      </w:pPr>
    </w:p>
    <w:p w14:paraId="6C409248" w14:textId="77777777" w:rsidR="00053671" w:rsidRDefault="00053671" w:rsidP="006869D4">
      <w:pPr>
        <w:pStyle w:val="NoSpacing"/>
        <w:jc w:val="center"/>
        <w:rPr>
          <w:b/>
        </w:rPr>
      </w:pPr>
    </w:p>
    <w:p w14:paraId="0438CDFE" w14:textId="77777777" w:rsidR="00053671" w:rsidRDefault="00053671" w:rsidP="006869D4">
      <w:pPr>
        <w:pStyle w:val="NoSpacing"/>
        <w:jc w:val="center"/>
        <w:rPr>
          <w:b/>
        </w:rPr>
      </w:pPr>
      <w:r>
        <w:rPr>
          <w:b/>
        </w:rPr>
        <w:t>CONTACT</w:t>
      </w:r>
    </w:p>
    <w:p w14:paraId="12434A3D" w14:textId="5B0A8363" w:rsidR="00053671" w:rsidRPr="00603813" w:rsidRDefault="003C511F" w:rsidP="00053671">
      <w:pPr>
        <w:jc w:val="center"/>
        <w:rPr>
          <w:shd w:val="clear" w:color="auto" w:fill="FFFFFF"/>
        </w:rPr>
      </w:pPr>
      <w:r>
        <w:rPr>
          <w:bCs/>
          <w:shd w:val="clear" w:color="auto" w:fill="FFFFFF"/>
        </w:rPr>
        <w:t>Monique Carry</w:t>
      </w:r>
      <w:r w:rsidR="00053671" w:rsidRPr="00603813">
        <w:rPr>
          <w:bCs/>
          <w:shd w:val="clear" w:color="auto" w:fill="FFFFFF"/>
        </w:rPr>
        <w:t>, PhD</w:t>
      </w:r>
      <w:r w:rsidR="00AC254E">
        <w:t xml:space="preserve">, </w:t>
      </w:r>
      <w:r>
        <w:t>MA</w:t>
      </w:r>
      <w:r w:rsidR="00053671" w:rsidRPr="00603813">
        <w:br/>
      </w:r>
      <w:r>
        <w:t>Behavioral Scientist</w:t>
      </w:r>
    </w:p>
    <w:p w14:paraId="35C162D9" w14:textId="14EFD55B" w:rsidR="004657BF" w:rsidRPr="009B59EB" w:rsidRDefault="00053671" w:rsidP="00053671">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 xml:space="preserve">1600 Clifton Road, NE, </w:t>
      </w:r>
      <w:r w:rsidRPr="00E22565">
        <w:rPr>
          <w:shd w:val="clear" w:color="auto" w:fill="FFFFFF"/>
        </w:rPr>
        <w:t>Mailstop E-</w:t>
      </w:r>
      <w:r w:rsidR="00680216" w:rsidRPr="00E22565">
        <w:rPr>
          <w:shd w:val="clear" w:color="auto" w:fill="FFFFFF"/>
        </w:rPr>
        <w:t>44</w:t>
      </w:r>
      <w:r w:rsidRPr="00350C40">
        <w:br/>
      </w:r>
      <w:r w:rsidRPr="00B6300F">
        <w:rPr>
          <w:shd w:val="clear" w:color="auto" w:fill="FFFFFF"/>
        </w:rPr>
        <w:t xml:space="preserve">Atlanta, GA </w:t>
      </w:r>
      <w:r w:rsidR="00680216" w:rsidRPr="00DE3165">
        <w:rPr>
          <w:shd w:val="clear" w:color="auto" w:fill="FFFFFF"/>
        </w:rPr>
        <w:t>30329</w:t>
      </w:r>
      <w:r w:rsidRPr="00DE3165">
        <w:br/>
      </w:r>
      <w:r w:rsidRPr="00E04AE1">
        <w:rPr>
          <w:shd w:val="clear" w:color="auto" w:fill="FFFFFF"/>
        </w:rPr>
        <w:t xml:space="preserve">Phone: </w:t>
      </w:r>
      <w:r w:rsidR="004657BF" w:rsidRPr="00E04AE1">
        <w:rPr>
          <w:shd w:val="clear" w:color="auto" w:fill="FFFFFF"/>
        </w:rPr>
        <w:t>404-639-</w:t>
      </w:r>
      <w:r w:rsidR="003C511F" w:rsidRPr="009B59EB">
        <w:rPr>
          <w:shd w:val="clear" w:color="auto" w:fill="FFFFFF"/>
        </w:rPr>
        <w:t>2275</w:t>
      </w:r>
    </w:p>
    <w:p w14:paraId="3A83CC25" w14:textId="4C10A5E2" w:rsidR="00053671" w:rsidRDefault="00053671" w:rsidP="00053671">
      <w:pPr>
        <w:pStyle w:val="NoSpacing"/>
        <w:jc w:val="center"/>
      </w:pPr>
      <w:r w:rsidRPr="009B59EB">
        <w:rPr>
          <w:shd w:val="clear" w:color="auto" w:fill="FFFFFF"/>
        </w:rPr>
        <w:t>Fax: 404-639-</w:t>
      </w:r>
      <w:r w:rsidR="00680216" w:rsidRPr="009B59EB">
        <w:rPr>
          <w:shd w:val="clear" w:color="auto" w:fill="FFFFFF"/>
        </w:rPr>
        <w:t>8622</w:t>
      </w:r>
      <w:r w:rsidRPr="009B59EB">
        <w:br/>
      </w:r>
      <w:r w:rsidRPr="009B59EB">
        <w:rPr>
          <w:shd w:val="clear" w:color="auto" w:fill="FFFFFF"/>
        </w:rPr>
        <w:t>E-mail:</w:t>
      </w:r>
      <w:r w:rsidRPr="009B59EB">
        <w:t> </w:t>
      </w:r>
      <w:r w:rsidR="00680216" w:rsidRPr="009B59EB">
        <w:t>mcarry</w:t>
      </w:r>
      <w:r w:rsidR="00542640" w:rsidRPr="009B59EB">
        <w:t>@cdc.gov</w:t>
      </w:r>
    </w:p>
    <w:p w14:paraId="6D3B73F1" w14:textId="77777777" w:rsidR="00542640" w:rsidRDefault="00542640" w:rsidP="00053671">
      <w:pPr>
        <w:pStyle w:val="NoSpacing"/>
        <w:jc w:val="center"/>
        <w:rPr>
          <w:b/>
        </w:rPr>
      </w:pPr>
    </w:p>
    <w:p w14:paraId="1CDBCFDA" w14:textId="77777777" w:rsidR="00542640" w:rsidRDefault="00542640" w:rsidP="00053671">
      <w:pPr>
        <w:pStyle w:val="NoSpacing"/>
        <w:jc w:val="center"/>
        <w:rPr>
          <w:b/>
        </w:rPr>
      </w:pPr>
    </w:p>
    <w:p w14:paraId="37C195DE" w14:textId="77777777" w:rsidR="00542640" w:rsidRDefault="00542640" w:rsidP="00053671">
      <w:pPr>
        <w:pStyle w:val="NoSpacing"/>
        <w:jc w:val="center"/>
        <w:rPr>
          <w:b/>
        </w:rPr>
      </w:pPr>
    </w:p>
    <w:p w14:paraId="189F3DEB" w14:textId="77777777" w:rsidR="00542640" w:rsidRDefault="00542640" w:rsidP="00053671">
      <w:pPr>
        <w:pStyle w:val="NoSpacing"/>
        <w:jc w:val="center"/>
        <w:rPr>
          <w:b/>
        </w:rPr>
      </w:pPr>
    </w:p>
    <w:p w14:paraId="301712CD" w14:textId="77777777" w:rsidR="00542640" w:rsidRDefault="00542640">
      <w:pPr>
        <w:spacing w:after="200" w:line="276" w:lineRule="auto"/>
        <w:rPr>
          <w:rFonts w:eastAsiaTheme="minorHAnsi" w:cstheme="minorBidi"/>
          <w:b/>
          <w:szCs w:val="22"/>
        </w:rPr>
      </w:pPr>
      <w:r>
        <w:rPr>
          <w:b/>
        </w:rPr>
        <w:br w:type="page"/>
      </w:r>
    </w:p>
    <w:p w14:paraId="0038FF52" w14:textId="77777777" w:rsidR="00542640" w:rsidRDefault="00542640" w:rsidP="00542640">
      <w:pPr>
        <w:pStyle w:val="NoSpacing"/>
        <w:pBdr>
          <w:bottom w:val="single" w:sz="4" w:space="1" w:color="auto"/>
        </w:pBdr>
        <w:rPr>
          <w:b/>
        </w:rPr>
      </w:pPr>
      <w:r w:rsidRPr="00E2574F">
        <w:rPr>
          <w:b/>
        </w:rPr>
        <w:lastRenderedPageBreak/>
        <w:t>TABLE OF CONTENTS</w:t>
      </w:r>
    </w:p>
    <w:p w14:paraId="25A78CC9" w14:textId="77777777" w:rsidR="00542640" w:rsidRDefault="00542640" w:rsidP="00542640">
      <w:pPr>
        <w:pStyle w:val="NoSpacing"/>
        <w:rPr>
          <w:b/>
        </w:rPr>
      </w:pPr>
    </w:p>
    <w:sdt>
      <w:sdtPr>
        <w:id w:val="1602600070"/>
        <w:docPartObj>
          <w:docPartGallery w:val="Table of Contents"/>
          <w:docPartUnique/>
        </w:docPartObj>
      </w:sdtPr>
      <w:sdtEndPr>
        <w:rPr>
          <w:b/>
          <w:bCs/>
          <w:noProof/>
        </w:rPr>
      </w:sdtEndPr>
      <w:sdtContent>
        <w:p w14:paraId="7194B363" w14:textId="24B7CBA1" w:rsidR="006F1880" w:rsidRDefault="00B12EA3">
          <w:pPr>
            <w:pStyle w:val="TOC1"/>
            <w:tabs>
              <w:tab w:val="left" w:pos="480"/>
              <w:tab w:val="right" w:leader="dot" w:pos="10070"/>
            </w:tabs>
            <w:rPr>
              <w:rFonts w:asciiTheme="minorHAnsi" w:eastAsiaTheme="minorEastAsia" w:hAnsiTheme="minorHAnsi" w:cstheme="minorBidi"/>
              <w:noProof/>
              <w:sz w:val="22"/>
              <w:szCs w:val="22"/>
            </w:rPr>
          </w:pPr>
          <w:r w:rsidRPr="00B12EA3">
            <w:fldChar w:fldCharType="begin"/>
          </w:r>
          <w:r w:rsidRPr="00B12EA3">
            <w:instrText xml:space="preserve"> TOC \o "1-3" \h \z \u </w:instrText>
          </w:r>
          <w:r w:rsidRPr="00B12EA3">
            <w:fldChar w:fldCharType="separate"/>
          </w:r>
          <w:hyperlink w:anchor="_Toc475955392" w:history="1">
            <w:r w:rsidR="006F1880" w:rsidRPr="00930344">
              <w:rPr>
                <w:rStyle w:val="Hyperlink"/>
                <w:noProof/>
              </w:rPr>
              <w:t>1.</w:t>
            </w:r>
            <w:r w:rsidR="006F1880">
              <w:rPr>
                <w:rFonts w:asciiTheme="minorHAnsi" w:eastAsiaTheme="minorEastAsia" w:hAnsiTheme="minorHAnsi" w:cstheme="minorBidi"/>
                <w:noProof/>
                <w:sz w:val="22"/>
                <w:szCs w:val="22"/>
              </w:rPr>
              <w:tab/>
            </w:r>
            <w:r w:rsidR="006F1880" w:rsidRPr="00930344">
              <w:rPr>
                <w:rStyle w:val="Hyperlink"/>
                <w:noProof/>
              </w:rPr>
              <w:t>Circumstances Making the Collection of Information Necessary</w:t>
            </w:r>
            <w:r w:rsidR="006F1880">
              <w:rPr>
                <w:noProof/>
                <w:webHidden/>
              </w:rPr>
              <w:tab/>
            </w:r>
            <w:r w:rsidR="006F1880">
              <w:rPr>
                <w:noProof/>
                <w:webHidden/>
              </w:rPr>
              <w:fldChar w:fldCharType="begin"/>
            </w:r>
            <w:r w:rsidR="006F1880">
              <w:rPr>
                <w:noProof/>
                <w:webHidden/>
              </w:rPr>
              <w:instrText xml:space="preserve"> PAGEREF _Toc475955392 \h </w:instrText>
            </w:r>
            <w:r w:rsidR="006F1880">
              <w:rPr>
                <w:noProof/>
                <w:webHidden/>
              </w:rPr>
            </w:r>
            <w:r w:rsidR="006F1880">
              <w:rPr>
                <w:noProof/>
                <w:webHidden/>
              </w:rPr>
              <w:fldChar w:fldCharType="separate"/>
            </w:r>
            <w:r w:rsidR="0019624E">
              <w:rPr>
                <w:noProof/>
                <w:webHidden/>
              </w:rPr>
              <w:t>5</w:t>
            </w:r>
            <w:r w:rsidR="006F1880">
              <w:rPr>
                <w:noProof/>
                <w:webHidden/>
              </w:rPr>
              <w:fldChar w:fldCharType="end"/>
            </w:r>
          </w:hyperlink>
        </w:p>
        <w:p w14:paraId="70B2BE85" w14:textId="04E453E6"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3" w:history="1">
            <w:r w:rsidR="006F1880" w:rsidRPr="00930344">
              <w:rPr>
                <w:rStyle w:val="Hyperlink"/>
                <w:noProof/>
              </w:rPr>
              <w:t>2.</w:t>
            </w:r>
            <w:r w:rsidR="006F1880">
              <w:rPr>
                <w:rFonts w:asciiTheme="minorHAnsi" w:eastAsiaTheme="minorEastAsia" w:hAnsiTheme="minorHAnsi" w:cstheme="minorBidi"/>
                <w:noProof/>
                <w:sz w:val="22"/>
                <w:szCs w:val="22"/>
              </w:rPr>
              <w:tab/>
            </w:r>
            <w:r w:rsidR="006F1880" w:rsidRPr="00930344">
              <w:rPr>
                <w:rStyle w:val="Hyperlink"/>
                <w:noProof/>
              </w:rPr>
              <w:t>Purpose and Use of the Information Collection</w:t>
            </w:r>
            <w:r w:rsidR="006F1880">
              <w:rPr>
                <w:noProof/>
                <w:webHidden/>
              </w:rPr>
              <w:tab/>
            </w:r>
            <w:r w:rsidR="006F1880">
              <w:rPr>
                <w:noProof/>
                <w:webHidden/>
              </w:rPr>
              <w:fldChar w:fldCharType="begin"/>
            </w:r>
            <w:r w:rsidR="006F1880">
              <w:rPr>
                <w:noProof/>
                <w:webHidden/>
              </w:rPr>
              <w:instrText xml:space="preserve"> PAGEREF _Toc475955393 \h </w:instrText>
            </w:r>
            <w:r w:rsidR="006F1880">
              <w:rPr>
                <w:noProof/>
                <w:webHidden/>
              </w:rPr>
            </w:r>
            <w:r w:rsidR="006F1880">
              <w:rPr>
                <w:noProof/>
                <w:webHidden/>
              </w:rPr>
              <w:fldChar w:fldCharType="separate"/>
            </w:r>
            <w:r w:rsidR="0019624E">
              <w:rPr>
                <w:noProof/>
                <w:webHidden/>
              </w:rPr>
              <w:t>6</w:t>
            </w:r>
            <w:r w:rsidR="006F1880">
              <w:rPr>
                <w:noProof/>
                <w:webHidden/>
              </w:rPr>
              <w:fldChar w:fldCharType="end"/>
            </w:r>
          </w:hyperlink>
        </w:p>
        <w:p w14:paraId="1443E157" w14:textId="05209F54"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4" w:history="1">
            <w:r w:rsidR="006F1880" w:rsidRPr="00930344">
              <w:rPr>
                <w:rStyle w:val="Hyperlink"/>
                <w:noProof/>
              </w:rPr>
              <w:t>3.</w:t>
            </w:r>
            <w:r w:rsidR="006F1880">
              <w:rPr>
                <w:rFonts w:asciiTheme="minorHAnsi" w:eastAsiaTheme="minorEastAsia" w:hAnsiTheme="minorHAnsi" w:cstheme="minorBidi"/>
                <w:noProof/>
                <w:sz w:val="22"/>
                <w:szCs w:val="22"/>
              </w:rPr>
              <w:tab/>
            </w:r>
            <w:r w:rsidR="006F1880" w:rsidRPr="00930344">
              <w:rPr>
                <w:rStyle w:val="Hyperlink"/>
                <w:noProof/>
              </w:rPr>
              <w:t>Use of Improved Information Technology and Burden Reduction</w:t>
            </w:r>
            <w:r w:rsidR="006F1880">
              <w:rPr>
                <w:noProof/>
                <w:webHidden/>
              </w:rPr>
              <w:tab/>
            </w:r>
            <w:r w:rsidR="006F1880">
              <w:rPr>
                <w:noProof/>
                <w:webHidden/>
              </w:rPr>
              <w:fldChar w:fldCharType="begin"/>
            </w:r>
            <w:r w:rsidR="006F1880">
              <w:rPr>
                <w:noProof/>
                <w:webHidden/>
              </w:rPr>
              <w:instrText xml:space="preserve"> PAGEREF _Toc475955394 \h </w:instrText>
            </w:r>
            <w:r w:rsidR="006F1880">
              <w:rPr>
                <w:noProof/>
                <w:webHidden/>
              </w:rPr>
            </w:r>
            <w:r w:rsidR="006F1880">
              <w:rPr>
                <w:noProof/>
                <w:webHidden/>
              </w:rPr>
              <w:fldChar w:fldCharType="separate"/>
            </w:r>
            <w:r w:rsidR="0019624E">
              <w:rPr>
                <w:noProof/>
                <w:webHidden/>
              </w:rPr>
              <w:t>8</w:t>
            </w:r>
            <w:r w:rsidR="006F1880">
              <w:rPr>
                <w:noProof/>
                <w:webHidden/>
              </w:rPr>
              <w:fldChar w:fldCharType="end"/>
            </w:r>
          </w:hyperlink>
        </w:p>
        <w:p w14:paraId="0B28852D" w14:textId="4F8D10F6"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5" w:history="1">
            <w:r w:rsidR="006F1880" w:rsidRPr="00930344">
              <w:rPr>
                <w:rStyle w:val="Hyperlink"/>
                <w:noProof/>
              </w:rPr>
              <w:t>4.</w:t>
            </w:r>
            <w:r w:rsidR="006F1880">
              <w:rPr>
                <w:rFonts w:asciiTheme="minorHAnsi" w:eastAsiaTheme="minorEastAsia" w:hAnsiTheme="minorHAnsi" w:cstheme="minorBidi"/>
                <w:noProof/>
                <w:sz w:val="22"/>
                <w:szCs w:val="22"/>
              </w:rPr>
              <w:tab/>
            </w:r>
            <w:r w:rsidR="006F1880" w:rsidRPr="00930344">
              <w:rPr>
                <w:rStyle w:val="Hyperlink"/>
                <w:noProof/>
              </w:rPr>
              <w:t>Efforts to Identify Duplication and Use of Similar Information</w:t>
            </w:r>
            <w:r w:rsidR="006F1880">
              <w:rPr>
                <w:noProof/>
                <w:webHidden/>
              </w:rPr>
              <w:tab/>
            </w:r>
            <w:r w:rsidR="006F1880">
              <w:rPr>
                <w:noProof/>
                <w:webHidden/>
              </w:rPr>
              <w:fldChar w:fldCharType="begin"/>
            </w:r>
            <w:r w:rsidR="006F1880">
              <w:rPr>
                <w:noProof/>
                <w:webHidden/>
              </w:rPr>
              <w:instrText xml:space="preserve"> PAGEREF _Toc475955395 \h </w:instrText>
            </w:r>
            <w:r w:rsidR="006F1880">
              <w:rPr>
                <w:noProof/>
                <w:webHidden/>
              </w:rPr>
            </w:r>
            <w:r w:rsidR="006F1880">
              <w:rPr>
                <w:noProof/>
                <w:webHidden/>
              </w:rPr>
              <w:fldChar w:fldCharType="separate"/>
            </w:r>
            <w:r w:rsidR="0019624E">
              <w:rPr>
                <w:noProof/>
                <w:webHidden/>
              </w:rPr>
              <w:t>8</w:t>
            </w:r>
            <w:r w:rsidR="006F1880">
              <w:rPr>
                <w:noProof/>
                <w:webHidden/>
              </w:rPr>
              <w:fldChar w:fldCharType="end"/>
            </w:r>
          </w:hyperlink>
        </w:p>
        <w:p w14:paraId="2C89B629" w14:textId="168A8C44"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6" w:history="1">
            <w:r w:rsidR="006F1880" w:rsidRPr="00930344">
              <w:rPr>
                <w:rStyle w:val="Hyperlink"/>
                <w:noProof/>
              </w:rPr>
              <w:t>5.</w:t>
            </w:r>
            <w:r w:rsidR="006F1880">
              <w:rPr>
                <w:rFonts w:asciiTheme="minorHAnsi" w:eastAsiaTheme="minorEastAsia" w:hAnsiTheme="minorHAnsi" w:cstheme="minorBidi"/>
                <w:noProof/>
                <w:sz w:val="22"/>
                <w:szCs w:val="22"/>
              </w:rPr>
              <w:tab/>
            </w:r>
            <w:r w:rsidR="006F1880" w:rsidRPr="00930344">
              <w:rPr>
                <w:rStyle w:val="Hyperlink"/>
                <w:noProof/>
              </w:rPr>
              <w:t>Impact on Small Businesses or Other Small Entities</w:t>
            </w:r>
            <w:r w:rsidR="006F1880">
              <w:rPr>
                <w:noProof/>
                <w:webHidden/>
              </w:rPr>
              <w:tab/>
            </w:r>
            <w:r w:rsidR="006F1880">
              <w:rPr>
                <w:noProof/>
                <w:webHidden/>
              </w:rPr>
              <w:fldChar w:fldCharType="begin"/>
            </w:r>
            <w:r w:rsidR="006F1880">
              <w:rPr>
                <w:noProof/>
                <w:webHidden/>
              </w:rPr>
              <w:instrText xml:space="preserve"> PAGEREF _Toc475955396 \h </w:instrText>
            </w:r>
            <w:r w:rsidR="006F1880">
              <w:rPr>
                <w:noProof/>
                <w:webHidden/>
              </w:rPr>
            </w:r>
            <w:r w:rsidR="006F1880">
              <w:rPr>
                <w:noProof/>
                <w:webHidden/>
              </w:rPr>
              <w:fldChar w:fldCharType="separate"/>
            </w:r>
            <w:r w:rsidR="0019624E">
              <w:rPr>
                <w:noProof/>
                <w:webHidden/>
              </w:rPr>
              <w:t>8</w:t>
            </w:r>
            <w:r w:rsidR="006F1880">
              <w:rPr>
                <w:noProof/>
                <w:webHidden/>
              </w:rPr>
              <w:fldChar w:fldCharType="end"/>
            </w:r>
          </w:hyperlink>
        </w:p>
        <w:p w14:paraId="3A1E202E" w14:textId="00588664"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7" w:history="1">
            <w:r w:rsidR="006F1880" w:rsidRPr="00930344">
              <w:rPr>
                <w:rStyle w:val="Hyperlink"/>
                <w:noProof/>
              </w:rPr>
              <w:t>6.</w:t>
            </w:r>
            <w:r w:rsidR="006F1880">
              <w:rPr>
                <w:rFonts w:asciiTheme="minorHAnsi" w:eastAsiaTheme="minorEastAsia" w:hAnsiTheme="minorHAnsi" w:cstheme="minorBidi"/>
                <w:noProof/>
                <w:sz w:val="22"/>
                <w:szCs w:val="22"/>
              </w:rPr>
              <w:tab/>
            </w:r>
            <w:r w:rsidR="006F1880" w:rsidRPr="00930344">
              <w:rPr>
                <w:rStyle w:val="Hyperlink"/>
                <w:noProof/>
              </w:rPr>
              <w:t>Consequences of Collecting the Information Less Frequently</w:t>
            </w:r>
            <w:r w:rsidR="006F1880">
              <w:rPr>
                <w:noProof/>
                <w:webHidden/>
              </w:rPr>
              <w:tab/>
            </w:r>
            <w:r w:rsidR="006F1880">
              <w:rPr>
                <w:noProof/>
                <w:webHidden/>
              </w:rPr>
              <w:fldChar w:fldCharType="begin"/>
            </w:r>
            <w:r w:rsidR="006F1880">
              <w:rPr>
                <w:noProof/>
                <w:webHidden/>
              </w:rPr>
              <w:instrText xml:space="preserve"> PAGEREF _Toc475955397 \h </w:instrText>
            </w:r>
            <w:r w:rsidR="006F1880">
              <w:rPr>
                <w:noProof/>
                <w:webHidden/>
              </w:rPr>
            </w:r>
            <w:r w:rsidR="006F1880">
              <w:rPr>
                <w:noProof/>
                <w:webHidden/>
              </w:rPr>
              <w:fldChar w:fldCharType="separate"/>
            </w:r>
            <w:r w:rsidR="0019624E">
              <w:rPr>
                <w:noProof/>
                <w:webHidden/>
              </w:rPr>
              <w:t>8</w:t>
            </w:r>
            <w:r w:rsidR="006F1880">
              <w:rPr>
                <w:noProof/>
                <w:webHidden/>
              </w:rPr>
              <w:fldChar w:fldCharType="end"/>
            </w:r>
          </w:hyperlink>
        </w:p>
        <w:p w14:paraId="30C56405" w14:textId="766A0FE6"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8" w:history="1">
            <w:r w:rsidR="006F1880" w:rsidRPr="00930344">
              <w:rPr>
                <w:rStyle w:val="Hyperlink"/>
                <w:noProof/>
              </w:rPr>
              <w:t>7.</w:t>
            </w:r>
            <w:r w:rsidR="006F1880">
              <w:rPr>
                <w:rFonts w:asciiTheme="minorHAnsi" w:eastAsiaTheme="minorEastAsia" w:hAnsiTheme="minorHAnsi" w:cstheme="minorBidi"/>
                <w:noProof/>
                <w:sz w:val="22"/>
                <w:szCs w:val="22"/>
              </w:rPr>
              <w:tab/>
            </w:r>
            <w:r w:rsidR="006F1880" w:rsidRPr="00930344">
              <w:rPr>
                <w:rStyle w:val="Hyperlink"/>
                <w:noProof/>
              </w:rPr>
              <w:t>Special Circumstances Relating to the Guidelines of 5 CFR 1320.5</w:t>
            </w:r>
            <w:r w:rsidR="006F1880">
              <w:rPr>
                <w:noProof/>
                <w:webHidden/>
              </w:rPr>
              <w:tab/>
            </w:r>
            <w:r w:rsidR="006F1880">
              <w:rPr>
                <w:noProof/>
                <w:webHidden/>
              </w:rPr>
              <w:fldChar w:fldCharType="begin"/>
            </w:r>
            <w:r w:rsidR="006F1880">
              <w:rPr>
                <w:noProof/>
                <w:webHidden/>
              </w:rPr>
              <w:instrText xml:space="preserve"> PAGEREF _Toc475955398 \h </w:instrText>
            </w:r>
            <w:r w:rsidR="006F1880">
              <w:rPr>
                <w:noProof/>
                <w:webHidden/>
              </w:rPr>
            </w:r>
            <w:r w:rsidR="006F1880">
              <w:rPr>
                <w:noProof/>
                <w:webHidden/>
              </w:rPr>
              <w:fldChar w:fldCharType="separate"/>
            </w:r>
            <w:r w:rsidR="0019624E">
              <w:rPr>
                <w:noProof/>
                <w:webHidden/>
              </w:rPr>
              <w:t>8</w:t>
            </w:r>
            <w:r w:rsidR="006F1880">
              <w:rPr>
                <w:noProof/>
                <w:webHidden/>
              </w:rPr>
              <w:fldChar w:fldCharType="end"/>
            </w:r>
          </w:hyperlink>
        </w:p>
        <w:p w14:paraId="1F9AEF75" w14:textId="71D09717"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399" w:history="1">
            <w:r w:rsidR="006F1880" w:rsidRPr="00930344">
              <w:rPr>
                <w:rStyle w:val="Hyperlink"/>
                <w:noProof/>
              </w:rPr>
              <w:t>8.</w:t>
            </w:r>
            <w:r w:rsidR="006F1880">
              <w:rPr>
                <w:rFonts w:asciiTheme="minorHAnsi" w:eastAsiaTheme="minorEastAsia" w:hAnsiTheme="minorHAnsi" w:cstheme="minorBidi"/>
                <w:noProof/>
                <w:sz w:val="22"/>
                <w:szCs w:val="22"/>
              </w:rPr>
              <w:tab/>
            </w:r>
            <w:r w:rsidR="006F1880" w:rsidRPr="00930344">
              <w:rPr>
                <w:rStyle w:val="Hyperlink"/>
                <w:noProof/>
              </w:rPr>
              <w:t>Comments in Response to the Federal Register Notice and Efforts to Consult Outside the Agency</w:t>
            </w:r>
            <w:r w:rsidR="006F1880">
              <w:rPr>
                <w:noProof/>
                <w:webHidden/>
              </w:rPr>
              <w:tab/>
            </w:r>
            <w:r w:rsidR="006F1880">
              <w:rPr>
                <w:noProof/>
                <w:webHidden/>
              </w:rPr>
              <w:fldChar w:fldCharType="begin"/>
            </w:r>
            <w:r w:rsidR="006F1880">
              <w:rPr>
                <w:noProof/>
                <w:webHidden/>
              </w:rPr>
              <w:instrText xml:space="preserve"> PAGEREF _Toc475955399 \h </w:instrText>
            </w:r>
            <w:r w:rsidR="006F1880">
              <w:rPr>
                <w:noProof/>
                <w:webHidden/>
              </w:rPr>
            </w:r>
            <w:r w:rsidR="006F1880">
              <w:rPr>
                <w:noProof/>
                <w:webHidden/>
              </w:rPr>
              <w:fldChar w:fldCharType="separate"/>
            </w:r>
            <w:r w:rsidR="0019624E">
              <w:rPr>
                <w:noProof/>
                <w:webHidden/>
              </w:rPr>
              <w:t>9</w:t>
            </w:r>
            <w:r w:rsidR="006F1880">
              <w:rPr>
                <w:noProof/>
                <w:webHidden/>
              </w:rPr>
              <w:fldChar w:fldCharType="end"/>
            </w:r>
          </w:hyperlink>
        </w:p>
        <w:p w14:paraId="15E1149A" w14:textId="785E0F7B" w:rsidR="006F1880" w:rsidRDefault="00BC7F17">
          <w:pPr>
            <w:pStyle w:val="TOC1"/>
            <w:tabs>
              <w:tab w:val="left" w:pos="480"/>
              <w:tab w:val="right" w:leader="dot" w:pos="10070"/>
            </w:tabs>
            <w:rPr>
              <w:rFonts w:asciiTheme="minorHAnsi" w:eastAsiaTheme="minorEastAsia" w:hAnsiTheme="minorHAnsi" w:cstheme="minorBidi"/>
              <w:noProof/>
              <w:sz w:val="22"/>
              <w:szCs w:val="22"/>
            </w:rPr>
          </w:pPr>
          <w:hyperlink w:anchor="_Toc475955400" w:history="1">
            <w:r w:rsidR="006F1880" w:rsidRPr="00930344">
              <w:rPr>
                <w:rStyle w:val="Hyperlink"/>
                <w:noProof/>
              </w:rPr>
              <w:t>9.</w:t>
            </w:r>
            <w:r w:rsidR="006F1880">
              <w:rPr>
                <w:rFonts w:asciiTheme="minorHAnsi" w:eastAsiaTheme="minorEastAsia" w:hAnsiTheme="minorHAnsi" w:cstheme="minorBidi"/>
                <w:noProof/>
                <w:sz w:val="22"/>
                <w:szCs w:val="22"/>
              </w:rPr>
              <w:tab/>
            </w:r>
            <w:r w:rsidR="006F1880" w:rsidRPr="00930344">
              <w:rPr>
                <w:rStyle w:val="Hyperlink"/>
                <w:noProof/>
              </w:rPr>
              <w:t>Explanation of Any Payment or Gift to Respondents</w:t>
            </w:r>
            <w:r w:rsidR="006F1880">
              <w:rPr>
                <w:noProof/>
                <w:webHidden/>
              </w:rPr>
              <w:tab/>
            </w:r>
            <w:r w:rsidR="006F1880">
              <w:rPr>
                <w:noProof/>
                <w:webHidden/>
              </w:rPr>
              <w:fldChar w:fldCharType="begin"/>
            </w:r>
            <w:r w:rsidR="006F1880">
              <w:rPr>
                <w:noProof/>
                <w:webHidden/>
              </w:rPr>
              <w:instrText xml:space="preserve"> PAGEREF _Toc475955400 \h </w:instrText>
            </w:r>
            <w:r w:rsidR="006F1880">
              <w:rPr>
                <w:noProof/>
                <w:webHidden/>
              </w:rPr>
            </w:r>
            <w:r w:rsidR="006F1880">
              <w:rPr>
                <w:noProof/>
                <w:webHidden/>
              </w:rPr>
              <w:fldChar w:fldCharType="separate"/>
            </w:r>
            <w:r w:rsidR="0019624E">
              <w:rPr>
                <w:noProof/>
                <w:webHidden/>
              </w:rPr>
              <w:t>9</w:t>
            </w:r>
            <w:r w:rsidR="006F1880">
              <w:rPr>
                <w:noProof/>
                <w:webHidden/>
              </w:rPr>
              <w:fldChar w:fldCharType="end"/>
            </w:r>
          </w:hyperlink>
        </w:p>
        <w:p w14:paraId="76E01B27" w14:textId="6A413282"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1" w:history="1">
            <w:r w:rsidR="006F1880" w:rsidRPr="00930344">
              <w:rPr>
                <w:rStyle w:val="Hyperlink"/>
                <w:noProof/>
              </w:rPr>
              <w:t>10.</w:t>
            </w:r>
            <w:r w:rsidR="006F1880">
              <w:rPr>
                <w:rFonts w:asciiTheme="minorHAnsi" w:eastAsiaTheme="minorEastAsia" w:hAnsiTheme="minorHAnsi" w:cstheme="minorBidi"/>
                <w:noProof/>
                <w:sz w:val="22"/>
                <w:szCs w:val="22"/>
              </w:rPr>
              <w:tab/>
            </w:r>
            <w:r w:rsidR="006F1880" w:rsidRPr="00930344">
              <w:rPr>
                <w:rStyle w:val="Hyperlink"/>
                <w:noProof/>
              </w:rPr>
              <w:t>Protection of the Privacy and Confidentiality of Information Provided by Respondents</w:t>
            </w:r>
            <w:r w:rsidR="006F1880">
              <w:rPr>
                <w:noProof/>
                <w:webHidden/>
              </w:rPr>
              <w:tab/>
            </w:r>
            <w:r w:rsidR="006F1880">
              <w:rPr>
                <w:noProof/>
                <w:webHidden/>
              </w:rPr>
              <w:fldChar w:fldCharType="begin"/>
            </w:r>
            <w:r w:rsidR="006F1880">
              <w:rPr>
                <w:noProof/>
                <w:webHidden/>
              </w:rPr>
              <w:instrText xml:space="preserve"> PAGEREF _Toc475955401 \h </w:instrText>
            </w:r>
            <w:r w:rsidR="006F1880">
              <w:rPr>
                <w:noProof/>
                <w:webHidden/>
              </w:rPr>
            </w:r>
            <w:r w:rsidR="006F1880">
              <w:rPr>
                <w:noProof/>
                <w:webHidden/>
              </w:rPr>
              <w:fldChar w:fldCharType="separate"/>
            </w:r>
            <w:r w:rsidR="0019624E">
              <w:rPr>
                <w:noProof/>
                <w:webHidden/>
              </w:rPr>
              <w:t>10</w:t>
            </w:r>
            <w:r w:rsidR="006F1880">
              <w:rPr>
                <w:noProof/>
                <w:webHidden/>
              </w:rPr>
              <w:fldChar w:fldCharType="end"/>
            </w:r>
          </w:hyperlink>
        </w:p>
        <w:p w14:paraId="0E7EA4C0" w14:textId="74449267"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2" w:history="1">
            <w:r w:rsidR="006F1880" w:rsidRPr="00930344">
              <w:rPr>
                <w:rStyle w:val="Hyperlink"/>
                <w:noProof/>
              </w:rPr>
              <w:t>11.</w:t>
            </w:r>
            <w:r w:rsidR="006F1880">
              <w:rPr>
                <w:rFonts w:asciiTheme="minorHAnsi" w:eastAsiaTheme="minorEastAsia" w:hAnsiTheme="minorHAnsi" w:cstheme="minorBidi"/>
                <w:noProof/>
                <w:sz w:val="22"/>
                <w:szCs w:val="22"/>
              </w:rPr>
              <w:tab/>
            </w:r>
            <w:r w:rsidR="006F1880" w:rsidRPr="00930344">
              <w:rPr>
                <w:rStyle w:val="Hyperlink"/>
                <w:noProof/>
              </w:rPr>
              <w:t>Institutional Review Board (IRB) and Justification for Sensitive Questions</w:t>
            </w:r>
            <w:r w:rsidR="006F1880">
              <w:rPr>
                <w:noProof/>
                <w:webHidden/>
              </w:rPr>
              <w:tab/>
            </w:r>
            <w:r w:rsidR="006F1880">
              <w:rPr>
                <w:noProof/>
                <w:webHidden/>
              </w:rPr>
              <w:fldChar w:fldCharType="begin"/>
            </w:r>
            <w:r w:rsidR="006F1880">
              <w:rPr>
                <w:noProof/>
                <w:webHidden/>
              </w:rPr>
              <w:instrText xml:space="preserve"> PAGEREF _Toc475955402 \h </w:instrText>
            </w:r>
            <w:r w:rsidR="006F1880">
              <w:rPr>
                <w:noProof/>
                <w:webHidden/>
              </w:rPr>
            </w:r>
            <w:r w:rsidR="006F1880">
              <w:rPr>
                <w:noProof/>
                <w:webHidden/>
              </w:rPr>
              <w:fldChar w:fldCharType="separate"/>
            </w:r>
            <w:r w:rsidR="0019624E">
              <w:rPr>
                <w:noProof/>
                <w:webHidden/>
              </w:rPr>
              <w:t>10</w:t>
            </w:r>
            <w:r w:rsidR="006F1880">
              <w:rPr>
                <w:noProof/>
                <w:webHidden/>
              </w:rPr>
              <w:fldChar w:fldCharType="end"/>
            </w:r>
          </w:hyperlink>
        </w:p>
        <w:p w14:paraId="2B831DB6" w14:textId="623B8775"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3" w:history="1">
            <w:r w:rsidR="006F1880" w:rsidRPr="00930344">
              <w:rPr>
                <w:rStyle w:val="Hyperlink"/>
                <w:noProof/>
              </w:rPr>
              <w:t>12.</w:t>
            </w:r>
            <w:r w:rsidR="006F1880">
              <w:rPr>
                <w:rFonts w:asciiTheme="minorHAnsi" w:eastAsiaTheme="minorEastAsia" w:hAnsiTheme="minorHAnsi" w:cstheme="minorBidi"/>
                <w:noProof/>
                <w:sz w:val="22"/>
                <w:szCs w:val="22"/>
              </w:rPr>
              <w:tab/>
            </w:r>
            <w:r w:rsidR="006F1880" w:rsidRPr="00930344">
              <w:rPr>
                <w:rStyle w:val="Hyperlink"/>
                <w:noProof/>
              </w:rPr>
              <w:t>Estimates of Annualized Burden Hours and Costs</w:t>
            </w:r>
            <w:r w:rsidR="006F1880">
              <w:rPr>
                <w:noProof/>
                <w:webHidden/>
              </w:rPr>
              <w:tab/>
            </w:r>
            <w:r w:rsidR="006F1880">
              <w:rPr>
                <w:noProof/>
                <w:webHidden/>
              </w:rPr>
              <w:fldChar w:fldCharType="begin"/>
            </w:r>
            <w:r w:rsidR="006F1880">
              <w:rPr>
                <w:noProof/>
                <w:webHidden/>
              </w:rPr>
              <w:instrText xml:space="preserve"> PAGEREF _Toc475955403 \h </w:instrText>
            </w:r>
            <w:r w:rsidR="006F1880">
              <w:rPr>
                <w:noProof/>
                <w:webHidden/>
              </w:rPr>
            </w:r>
            <w:r w:rsidR="006F1880">
              <w:rPr>
                <w:noProof/>
                <w:webHidden/>
              </w:rPr>
              <w:fldChar w:fldCharType="separate"/>
            </w:r>
            <w:r w:rsidR="0019624E">
              <w:rPr>
                <w:noProof/>
                <w:webHidden/>
              </w:rPr>
              <w:t>11</w:t>
            </w:r>
            <w:r w:rsidR="006F1880">
              <w:rPr>
                <w:noProof/>
                <w:webHidden/>
              </w:rPr>
              <w:fldChar w:fldCharType="end"/>
            </w:r>
          </w:hyperlink>
        </w:p>
        <w:p w14:paraId="60179F4A" w14:textId="20C8725E" w:rsidR="006F1880" w:rsidRDefault="00BC7F17">
          <w:pPr>
            <w:pStyle w:val="TOC2"/>
            <w:tabs>
              <w:tab w:val="left" w:pos="1100"/>
              <w:tab w:val="right" w:leader="dot" w:pos="10070"/>
            </w:tabs>
            <w:rPr>
              <w:rFonts w:asciiTheme="minorHAnsi" w:eastAsiaTheme="minorEastAsia" w:hAnsiTheme="minorHAnsi" w:cstheme="minorBidi"/>
              <w:noProof/>
              <w:sz w:val="22"/>
              <w:szCs w:val="22"/>
            </w:rPr>
          </w:pPr>
          <w:hyperlink w:anchor="_Toc475955404" w:history="1">
            <w:r w:rsidR="006F1880" w:rsidRPr="00930344">
              <w:rPr>
                <w:rStyle w:val="Hyperlink"/>
                <w:noProof/>
              </w:rPr>
              <w:t>12A.</w:t>
            </w:r>
            <w:r w:rsidR="006F1880">
              <w:rPr>
                <w:rFonts w:asciiTheme="minorHAnsi" w:eastAsiaTheme="minorEastAsia" w:hAnsiTheme="minorHAnsi" w:cstheme="minorBidi"/>
                <w:noProof/>
                <w:sz w:val="22"/>
                <w:szCs w:val="22"/>
              </w:rPr>
              <w:tab/>
            </w:r>
            <w:r w:rsidR="006F1880" w:rsidRPr="00930344">
              <w:rPr>
                <w:rStyle w:val="Hyperlink"/>
                <w:noProof/>
              </w:rPr>
              <w:t>Estimated Annualized Burden Hours</w:t>
            </w:r>
            <w:r w:rsidR="006F1880">
              <w:rPr>
                <w:noProof/>
                <w:webHidden/>
              </w:rPr>
              <w:tab/>
            </w:r>
            <w:r w:rsidR="006F1880">
              <w:rPr>
                <w:noProof/>
                <w:webHidden/>
              </w:rPr>
              <w:fldChar w:fldCharType="begin"/>
            </w:r>
            <w:r w:rsidR="006F1880">
              <w:rPr>
                <w:noProof/>
                <w:webHidden/>
              </w:rPr>
              <w:instrText xml:space="preserve"> PAGEREF _Toc475955404 \h </w:instrText>
            </w:r>
            <w:r w:rsidR="006F1880">
              <w:rPr>
                <w:noProof/>
                <w:webHidden/>
              </w:rPr>
            </w:r>
            <w:r w:rsidR="006F1880">
              <w:rPr>
                <w:noProof/>
                <w:webHidden/>
              </w:rPr>
              <w:fldChar w:fldCharType="separate"/>
            </w:r>
            <w:r w:rsidR="0019624E">
              <w:rPr>
                <w:noProof/>
                <w:webHidden/>
              </w:rPr>
              <w:t>11</w:t>
            </w:r>
            <w:r w:rsidR="006F1880">
              <w:rPr>
                <w:noProof/>
                <w:webHidden/>
              </w:rPr>
              <w:fldChar w:fldCharType="end"/>
            </w:r>
          </w:hyperlink>
        </w:p>
        <w:p w14:paraId="0546C15D" w14:textId="06A73155" w:rsidR="006F1880" w:rsidRDefault="00BC7F17">
          <w:pPr>
            <w:pStyle w:val="TOC2"/>
            <w:tabs>
              <w:tab w:val="left" w:pos="1100"/>
              <w:tab w:val="right" w:leader="dot" w:pos="10070"/>
            </w:tabs>
            <w:rPr>
              <w:rFonts w:asciiTheme="minorHAnsi" w:eastAsiaTheme="minorEastAsia" w:hAnsiTheme="minorHAnsi" w:cstheme="minorBidi"/>
              <w:noProof/>
              <w:sz w:val="22"/>
              <w:szCs w:val="22"/>
            </w:rPr>
          </w:pPr>
          <w:hyperlink w:anchor="_Toc475955405" w:history="1">
            <w:r w:rsidR="006F1880" w:rsidRPr="00930344">
              <w:rPr>
                <w:rStyle w:val="Hyperlink"/>
                <w:noProof/>
              </w:rPr>
              <w:t>12B.</w:t>
            </w:r>
            <w:r w:rsidR="006F1880">
              <w:rPr>
                <w:rFonts w:asciiTheme="minorHAnsi" w:eastAsiaTheme="minorEastAsia" w:hAnsiTheme="minorHAnsi" w:cstheme="minorBidi"/>
                <w:noProof/>
                <w:sz w:val="22"/>
                <w:szCs w:val="22"/>
              </w:rPr>
              <w:tab/>
            </w:r>
            <w:r w:rsidR="006F1880" w:rsidRPr="00930344">
              <w:rPr>
                <w:rStyle w:val="Hyperlink"/>
                <w:noProof/>
              </w:rPr>
              <w:t>Estimated Annualized Burden Costs</w:t>
            </w:r>
            <w:r w:rsidR="006F1880">
              <w:rPr>
                <w:noProof/>
                <w:webHidden/>
              </w:rPr>
              <w:tab/>
            </w:r>
            <w:r w:rsidR="006F1880">
              <w:rPr>
                <w:noProof/>
                <w:webHidden/>
              </w:rPr>
              <w:fldChar w:fldCharType="begin"/>
            </w:r>
            <w:r w:rsidR="006F1880">
              <w:rPr>
                <w:noProof/>
                <w:webHidden/>
              </w:rPr>
              <w:instrText xml:space="preserve"> PAGEREF _Toc475955405 \h </w:instrText>
            </w:r>
            <w:r w:rsidR="006F1880">
              <w:rPr>
                <w:noProof/>
                <w:webHidden/>
              </w:rPr>
            </w:r>
            <w:r w:rsidR="006F1880">
              <w:rPr>
                <w:noProof/>
                <w:webHidden/>
              </w:rPr>
              <w:fldChar w:fldCharType="separate"/>
            </w:r>
            <w:r w:rsidR="0019624E">
              <w:rPr>
                <w:noProof/>
                <w:webHidden/>
              </w:rPr>
              <w:t>11</w:t>
            </w:r>
            <w:r w:rsidR="006F1880">
              <w:rPr>
                <w:noProof/>
                <w:webHidden/>
              </w:rPr>
              <w:fldChar w:fldCharType="end"/>
            </w:r>
          </w:hyperlink>
        </w:p>
        <w:p w14:paraId="0674BA58" w14:textId="44D831FA"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6" w:history="1">
            <w:r w:rsidR="006F1880" w:rsidRPr="00930344">
              <w:rPr>
                <w:rStyle w:val="Hyperlink"/>
                <w:noProof/>
              </w:rPr>
              <w:t>13.</w:t>
            </w:r>
            <w:r w:rsidR="006F1880">
              <w:rPr>
                <w:rFonts w:asciiTheme="minorHAnsi" w:eastAsiaTheme="minorEastAsia" w:hAnsiTheme="minorHAnsi" w:cstheme="minorBidi"/>
                <w:noProof/>
                <w:sz w:val="22"/>
                <w:szCs w:val="22"/>
              </w:rPr>
              <w:tab/>
            </w:r>
            <w:r w:rsidR="006F1880" w:rsidRPr="00930344">
              <w:rPr>
                <w:rStyle w:val="Hyperlink"/>
                <w:noProof/>
              </w:rPr>
              <w:t>Estimates of Other Total Annual Cost Burden to Respondents and Record Keepers</w:t>
            </w:r>
            <w:r w:rsidR="006F1880">
              <w:rPr>
                <w:noProof/>
                <w:webHidden/>
              </w:rPr>
              <w:tab/>
            </w:r>
            <w:r w:rsidR="006F1880">
              <w:rPr>
                <w:noProof/>
                <w:webHidden/>
              </w:rPr>
              <w:fldChar w:fldCharType="begin"/>
            </w:r>
            <w:r w:rsidR="006F1880">
              <w:rPr>
                <w:noProof/>
                <w:webHidden/>
              </w:rPr>
              <w:instrText xml:space="preserve"> PAGEREF _Toc475955406 \h </w:instrText>
            </w:r>
            <w:r w:rsidR="006F1880">
              <w:rPr>
                <w:noProof/>
                <w:webHidden/>
              </w:rPr>
            </w:r>
            <w:r w:rsidR="006F1880">
              <w:rPr>
                <w:noProof/>
                <w:webHidden/>
              </w:rPr>
              <w:fldChar w:fldCharType="separate"/>
            </w:r>
            <w:r w:rsidR="0019624E">
              <w:rPr>
                <w:noProof/>
                <w:webHidden/>
              </w:rPr>
              <w:t>12</w:t>
            </w:r>
            <w:r w:rsidR="006F1880">
              <w:rPr>
                <w:noProof/>
                <w:webHidden/>
              </w:rPr>
              <w:fldChar w:fldCharType="end"/>
            </w:r>
          </w:hyperlink>
        </w:p>
        <w:p w14:paraId="471D863A" w14:textId="350215A5"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7" w:history="1">
            <w:r w:rsidR="006F1880" w:rsidRPr="00930344">
              <w:rPr>
                <w:rStyle w:val="Hyperlink"/>
                <w:noProof/>
              </w:rPr>
              <w:t>14.</w:t>
            </w:r>
            <w:r w:rsidR="006F1880">
              <w:rPr>
                <w:rFonts w:asciiTheme="minorHAnsi" w:eastAsiaTheme="minorEastAsia" w:hAnsiTheme="minorHAnsi" w:cstheme="minorBidi"/>
                <w:noProof/>
                <w:sz w:val="22"/>
                <w:szCs w:val="22"/>
              </w:rPr>
              <w:tab/>
            </w:r>
            <w:r w:rsidR="006F1880" w:rsidRPr="00930344">
              <w:rPr>
                <w:rStyle w:val="Hyperlink"/>
                <w:noProof/>
              </w:rPr>
              <w:t>Annualized Cost to the Federal Government</w:t>
            </w:r>
            <w:r w:rsidR="006F1880">
              <w:rPr>
                <w:noProof/>
                <w:webHidden/>
              </w:rPr>
              <w:tab/>
            </w:r>
            <w:r w:rsidR="006F1880">
              <w:rPr>
                <w:noProof/>
                <w:webHidden/>
              </w:rPr>
              <w:fldChar w:fldCharType="begin"/>
            </w:r>
            <w:r w:rsidR="006F1880">
              <w:rPr>
                <w:noProof/>
                <w:webHidden/>
              </w:rPr>
              <w:instrText xml:space="preserve"> PAGEREF _Toc475955407 \h </w:instrText>
            </w:r>
            <w:r w:rsidR="006F1880">
              <w:rPr>
                <w:noProof/>
                <w:webHidden/>
              </w:rPr>
            </w:r>
            <w:r w:rsidR="006F1880">
              <w:rPr>
                <w:noProof/>
                <w:webHidden/>
              </w:rPr>
              <w:fldChar w:fldCharType="separate"/>
            </w:r>
            <w:r w:rsidR="0019624E">
              <w:rPr>
                <w:noProof/>
                <w:webHidden/>
              </w:rPr>
              <w:t>12</w:t>
            </w:r>
            <w:r w:rsidR="006F1880">
              <w:rPr>
                <w:noProof/>
                <w:webHidden/>
              </w:rPr>
              <w:fldChar w:fldCharType="end"/>
            </w:r>
          </w:hyperlink>
        </w:p>
        <w:p w14:paraId="52B34B1E" w14:textId="2CF45D7D"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8" w:history="1">
            <w:r w:rsidR="006F1880" w:rsidRPr="00930344">
              <w:rPr>
                <w:rStyle w:val="Hyperlink"/>
                <w:noProof/>
              </w:rPr>
              <w:t>15.</w:t>
            </w:r>
            <w:r w:rsidR="006F1880">
              <w:rPr>
                <w:rFonts w:asciiTheme="minorHAnsi" w:eastAsiaTheme="minorEastAsia" w:hAnsiTheme="minorHAnsi" w:cstheme="minorBidi"/>
                <w:noProof/>
                <w:sz w:val="22"/>
                <w:szCs w:val="22"/>
              </w:rPr>
              <w:tab/>
            </w:r>
            <w:r w:rsidR="006F1880" w:rsidRPr="00930344">
              <w:rPr>
                <w:rStyle w:val="Hyperlink"/>
                <w:noProof/>
              </w:rPr>
              <w:t>Explanation for Program Changes or Adjustments</w:t>
            </w:r>
            <w:r w:rsidR="006F1880">
              <w:rPr>
                <w:noProof/>
                <w:webHidden/>
              </w:rPr>
              <w:tab/>
            </w:r>
            <w:r w:rsidR="006F1880">
              <w:rPr>
                <w:noProof/>
                <w:webHidden/>
              </w:rPr>
              <w:fldChar w:fldCharType="begin"/>
            </w:r>
            <w:r w:rsidR="006F1880">
              <w:rPr>
                <w:noProof/>
                <w:webHidden/>
              </w:rPr>
              <w:instrText xml:space="preserve"> PAGEREF _Toc475955408 \h </w:instrText>
            </w:r>
            <w:r w:rsidR="006F1880">
              <w:rPr>
                <w:noProof/>
                <w:webHidden/>
              </w:rPr>
            </w:r>
            <w:r w:rsidR="006F1880">
              <w:rPr>
                <w:noProof/>
                <w:webHidden/>
              </w:rPr>
              <w:fldChar w:fldCharType="separate"/>
            </w:r>
            <w:r w:rsidR="0019624E">
              <w:rPr>
                <w:noProof/>
                <w:webHidden/>
              </w:rPr>
              <w:t>12</w:t>
            </w:r>
            <w:r w:rsidR="006F1880">
              <w:rPr>
                <w:noProof/>
                <w:webHidden/>
              </w:rPr>
              <w:fldChar w:fldCharType="end"/>
            </w:r>
          </w:hyperlink>
        </w:p>
        <w:p w14:paraId="435594E4" w14:textId="294BC3D0"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09" w:history="1">
            <w:r w:rsidR="006F1880" w:rsidRPr="00930344">
              <w:rPr>
                <w:rStyle w:val="Hyperlink"/>
                <w:noProof/>
              </w:rPr>
              <w:t>16.</w:t>
            </w:r>
            <w:r w:rsidR="006F1880">
              <w:rPr>
                <w:rFonts w:asciiTheme="minorHAnsi" w:eastAsiaTheme="minorEastAsia" w:hAnsiTheme="minorHAnsi" w:cstheme="minorBidi"/>
                <w:noProof/>
                <w:sz w:val="22"/>
                <w:szCs w:val="22"/>
              </w:rPr>
              <w:tab/>
            </w:r>
            <w:r w:rsidR="006F1880" w:rsidRPr="00930344">
              <w:rPr>
                <w:rStyle w:val="Hyperlink"/>
                <w:noProof/>
              </w:rPr>
              <w:t>Plans for Tabulation and Publication and Project Time Schedule</w:t>
            </w:r>
            <w:r w:rsidR="006F1880">
              <w:rPr>
                <w:noProof/>
                <w:webHidden/>
              </w:rPr>
              <w:tab/>
            </w:r>
            <w:r w:rsidR="006F1880">
              <w:rPr>
                <w:noProof/>
                <w:webHidden/>
              </w:rPr>
              <w:fldChar w:fldCharType="begin"/>
            </w:r>
            <w:r w:rsidR="006F1880">
              <w:rPr>
                <w:noProof/>
                <w:webHidden/>
              </w:rPr>
              <w:instrText xml:space="preserve"> PAGEREF _Toc475955409 \h </w:instrText>
            </w:r>
            <w:r w:rsidR="006F1880">
              <w:rPr>
                <w:noProof/>
                <w:webHidden/>
              </w:rPr>
            </w:r>
            <w:r w:rsidR="006F1880">
              <w:rPr>
                <w:noProof/>
                <w:webHidden/>
              </w:rPr>
              <w:fldChar w:fldCharType="separate"/>
            </w:r>
            <w:r w:rsidR="0019624E">
              <w:rPr>
                <w:noProof/>
                <w:webHidden/>
              </w:rPr>
              <w:t>12</w:t>
            </w:r>
            <w:r w:rsidR="006F1880">
              <w:rPr>
                <w:noProof/>
                <w:webHidden/>
              </w:rPr>
              <w:fldChar w:fldCharType="end"/>
            </w:r>
          </w:hyperlink>
        </w:p>
        <w:p w14:paraId="453DC43F" w14:textId="2C051BE8"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10" w:history="1">
            <w:r w:rsidR="006F1880" w:rsidRPr="00930344">
              <w:rPr>
                <w:rStyle w:val="Hyperlink"/>
                <w:noProof/>
              </w:rPr>
              <w:t>17.</w:t>
            </w:r>
            <w:r w:rsidR="006F1880">
              <w:rPr>
                <w:rFonts w:asciiTheme="minorHAnsi" w:eastAsiaTheme="minorEastAsia" w:hAnsiTheme="minorHAnsi" w:cstheme="minorBidi"/>
                <w:noProof/>
                <w:sz w:val="22"/>
                <w:szCs w:val="22"/>
              </w:rPr>
              <w:tab/>
            </w:r>
            <w:r w:rsidR="006F1880" w:rsidRPr="00930344">
              <w:rPr>
                <w:rStyle w:val="Hyperlink"/>
                <w:noProof/>
              </w:rPr>
              <w:t>Reason(s) Display of OMB Expiration Date is Inappropriate</w:t>
            </w:r>
            <w:r w:rsidR="006F1880">
              <w:rPr>
                <w:noProof/>
                <w:webHidden/>
              </w:rPr>
              <w:tab/>
            </w:r>
            <w:r w:rsidR="006F1880">
              <w:rPr>
                <w:noProof/>
                <w:webHidden/>
              </w:rPr>
              <w:fldChar w:fldCharType="begin"/>
            </w:r>
            <w:r w:rsidR="006F1880">
              <w:rPr>
                <w:noProof/>
                <w:webHidden/>
              </w:rPr>
              <w:instrText xml:space="preserve"> PAGEREF _Toc475955410 \h </w:instrText>
            </w:r>
            <w:r w:rsidR="006F1880">
              <w:rPr>
                <w:noProof/>
                <w:webHidden/>
              </w:rPr>
            </w:r>
            <w:r w:rsidR="006F1880">
              <w:rPr>
                <w:noProof/>
                <w:webHidden/>
              </w:rPr>
              <w:fldChar w:fldCharType="separate"/>
            </w:r>
            <w:r w:rsidR="0019624E">
              <w:rPr>
                <w:noProof/>
                <w:webHidden/>
              </w:rPr>
              <w:t>13</w:t>
            </w:r>
            <w:r w:rsidR="006F1880">
              <w:rPr>
                <w:noProof/>
                <w:webHidden/>
              </w:rPr>
              <w:fldChar w:fldCharType="end"/>
            </w:r>
          </w:hyperlink>
        </w:p>
        <w:p w14:paraId="6D9E816C" w14:textId="0078C3BD" w:rsidR="006F1880" w:rsidRDefault="00BC7F17">
          <w:pPr>
            <w:pStyle w:val="TOC1"/>
            <w:tabs>
              <w:tab w:val="left" w:pos="660"/>
              <w:tab w:val="right" w:leader="dot" w:pos="10070"/>
            </w:tabs>
            <w:rPr>
              <w:rFonts w:asciiTheme="minorHAnsi" w:eastAsiaTheme="minorEastAsia" w:hAnsiTheme="minorHAnsi" w:cstheme="minorBidi"/>
              <w:noProof/>
              <w:sz w:val="22"/>
              <w:szCs w:val="22"/>
            </w:rPr>
          </w:pPr>
          <w:hyperlink w:anchor="_Toc475955411" w:history="1">
            <w:r w:rsidR="006F1880" w:rsidRPr="00930344">
              <w:rPr>
                <w:rStyle w:val="Hyperlink"/>
                <w:noProof/>
              </w:rPr>
              <w:t>18.</w:t>
            </w:r>
            <w:r w:rsidR="006F1880">
              <w:rPr>
                <w:rFonts w:asciiTheme="minorHAnsi" w:eastAsiaTheme="minorEastAsia" w:hAnsiTheme="minorHAnsi" w:cstheme="minorBidi"/>
                <w:noProof/>
                <w:sz w:val="22"/>
                <w:szCs w:val="22"/>
              </w:rPr>
              <w:tab/>
            </w:r>
            <w:r w:rsidR="006F1880" w:rsidRPr="00930344">
              <w:rPr>
                <w:rStyle w:val="Hyperlink"/>
                <w:noProof/>
              </w:rPr>
              <w:t>Exceptions to Certification for Paperwork Reduction Act Submissions</w:t>
            </w:r>
            <w:r w:rsidR="006F1880">
              <w:rPr>
                <w:noProof/>
                <w:webHidden/>
              </w:rPr>
              <w:tab/>
            </w:r>
            <w:r w:rsidR="006F1880">
              <w:rPr>
                <w:noProof/>
                <w:webHidden/>
              </w:rPr>
              <w:fldChar w:fldCharType="begin"/>
            </w:r>
            <w:r w:rsidR="006F1880">
              <w:rPr>
                <w:noProof/>
                <w:webHidden/>
              </w:rPr>
              <w:instrText xml:space="preserve"> PAGEREF _Toc475955411 \h </w:instrText>
            </w:r>
            <w:r w:rsidR="006F1880">
              <w:rPr>
                <w:noProof/>
                <w:webHidden/>
              </w:rPr>
            </w:r>
            <w:r w:rsidR="006F1880">
              <w:rPr>
                <w:noProof/>
                <w:webHidden/>
              </w:rPr>
              <w:fldChar w:fldCharType="separate"/>
            </w:r>
            <w:r w:rsidR="0019624E">
              <w:rPr>
                <w:noProof/>
                <w:webHidden/>
              </w:rPr>
              <w:t>13</w:t>
            </w:r>
            <w:r w:rsidR="006F1880">
              <w:rPr>
                <w:noProof/>
                <w:webHidden/>
              </w:rPr>
              <w:fldChar w:fldCharType="end"/>
            </w:r>
          </w:hyperlink>
        </w:p>
        <w:p w14:paraId="74D7F295" w14:textId="7084E718" w:rsidR="006F1880" w:rsidRDefault="00BC7F17">
          <w:pPr>
            <w:pStyle w:val="TOC1"/>
            <w:tabs>
              <w:tab w:val="right" w:leader="dot" w:pos="10070"/>
            </w:tabs>
            <w:rPr>
              <w:rFonts w:asciiTheme="minorHAnsi" w:eastAsiaTheme="minorEastAsia" w:hAnsiTheme="minorHAnsi" w:cstheme="minorBidi"/>
              <w:noProof/>
              <w:sz w:val="22"/>
              <w:szCs w:val="22"/>
            </w:rPr>
          </w:pPr>
          <w:hyperlink w:anchor="_Toc475955412" w:history="1">
            <w:r w:rsidR="006F1880" w:rsidRPr="00930344">
              <w:rPr>
                <w:rStyle w:val="Hyperlink"/>
                <w:noProof/>
              </w:rPr>
              <w:t>References:</w:t>
            </w:r>
            <w:r w:rsidR="006F1880">
              <w:rPr>
                <w:noProof/>
                <w:webHidden/>
              </w:rPr>
              <w:tab/>
            </w:r>
            <w:r w:rsidR="006F1880">
              <w:rPr>
                <w:noProof/>
                <w:webHidden/>
              </w:rPr>
              <w:fldChar w:fldCharType="begin"/>
            </w:r>
            <w:r w:rsidR="006F1880">
              <w:rPr>
                <w:noProof/>
                <w:webHidden/>
              </w:rPr>
              <w:instrText xml:space="preserve"> PAGEREF _Toc475955412 \h </w:instrText>
            </w:r>
            <w:r w:rsidR="006F1880">
              <w:rPr>
                <w:noProof/>
                <w:webHidden/>
              </w:rPr>
            </w:r>
            <w:r w:rsidR="006F1880">
              <w:rPr>
                <w:noProof/>
                <w:webHidden/>
              </w:rPr>
              <w:fldChar w:fldCharType="separate"/>
            </w:r>
            <w:r w:rsidR="0019624E">
              <w:rPr>
                <w:noProof/>
                <w:webHidden/>
              </w:rPr>
              <w:t>14</w:t>
            </w:r>
            <w:r w:rsidR="006F1880">
              <w:rPr>
                <w:noProof/>
                <w:webHidden/>
              </w:rPr>
              <w:fldChar w:fldCharType="end"/>
            </w:r>
          </w:hyperlink>
        </w:p>
        <w:p w14:paraId="1BBE6876" w14:textId="77777777" w:rsidR="00B12EA3" w:rsidRDefault="00B12EA3">
          <w:r w:rsidRPr="00B12EA3">
            <w:rPr>
              <w:bCs/>
              <w:noProof/>
            </w:rPr>
            <w:fldChar w:fldCharType="end"/>
          </w:r>
        </w:p>
      </w:sdtContent>
    </w:sdt>
    <w:p w14:paraId="054F860B" w14:textId="56D5F962" w:rsidR="009221FF" w:rsidRDefault="009221FF" w:rsidP="00C46977">
      <w:pPr>
        <w:pStyle w:val="NoSpacing"/>
        <w:pBdr>
          <w:bottom w:val="single" w:sz="4" w:space="1" w:color="auto"/>
        </w:pBdr>
        <w:rPr>
          <w:b/>
        </w:rPr>
      </w:pPr>
      <w:r>
        <w:rPr>
          <w:b/>
        </w:rPr>
        <w:t>EXHIBITS</w:t>
      </w:r>
    </w:p>
    <w:p w14:paraId="0B9738F4" w14:textId="77777777" w:rsidR="009221FF" w:rsidRPr="009221FF" w:rsidRDefault="009221FF" w:rsidP="00542640">
      <w:pPr>
        <w:pStyle w:val="NoSpacing"/>
        <w:rPr>
          <w:b/>
        </w:rPr>
      </w:pPr>
    </w:p>
    <w:p w14:paraId="44744D8B" w14:textId="205D644F" w:rsidR="00826F55" w:rsidRDefault="009221FF">
      <w:pPr>
        <w:pStyle w:val="TableofFigures"/>
        <w:tabs>
          <w:tab w:val="right" w:leader="dot" w:pos="10070"/>
        </w:tabs>
        <w:rPr>
          <w:rFonts w:asciiTheme="minorHAnsi" w:eastAsiaTheme="minorEastAsia" w:hAnsiTheme="minorHAnsi" w:cstheme="minorBidi"/>
          <w:noProof/>
          <w:sz w:val="22"/>
          <w:szCs w:val="22"/>
        </w:rPr>
      </w:pPr>
      <w:r>
        <w:rPr>
          <w:b/>
        </w:rPr>
        <w:fldChar w:fldCharType="begin"/>
      </w:r>
      <w:r>
        <w:rPr>
          <w:b/>
        </w:rPr>
        <w:instrText xml:space="preserve"> TOC \h \z \c "Exhibit" </w:instrText>
      </w:r>
      <w:r>
        <w:rPr>
          <w:b/>
        </w:rPr>
        <w:fldChar w:fldCharType="separate"/>
      </w:r>
      <w:hyperlink w:anchor="_Toc475955413" w:history="1">
        <w:r w:rsidR="00826F55" w:rsidRPr="00656A39">
          <w:rPr>
            <w:rStyle w:val="Hyperlink"/>
            <w:noProof/>
          </w:rPr>
          <w:t>Exhibit 2.1: Overview of Key Variables</w:t>
        </w:r>
        <w:r w:rsidR="00826F55">
          <w:rPr>
            <w:noProof/>
            <w:webHidden/>
          </w:rPr>
          <w:tab/>
        </w:r>
        <w:r w:rsidR="00826F55">
          <w:rPr>
            <w:noProof/>
            <w:webHidden/>
          </w:rPr>
          <w:fldChar w:fldCharType="begin"/>
        </w:r>
        <w:r w:rsidR="00826F55">
          <w:rPr>
            <w:noProof/>
            <w:webHidden/>
          </w:rPr>
          <w:instrText xml:space="preserve"> PAGEREF _Toc475955413 \h </w:instrText>
        </w:r>
        <w:r w:rsidR="00826F55">
          <w:rPr>
            <w:noProof/>
            <w:webHidden/>
          </w:rPr>
        </w:r>
        <w:r w:rsidR="00826F55">
          <w:rPr>
            <w:noProof/>
            <w:webHidden/>
          </w:rPr>
          <w:fldChar w:fldCharType="separate"/>
        </w:r>
        <w:r w:rsidR="0019624E">
          <w:rPr>
            <w:noProof/>
            <w:webHidden/>
          </w:rPr>
          <w:t>7</w:t>
        </w:r>
        <w:r w:rsidR="00826F55">
          <w:rPr>
            <w:noProof/>
            <w:webHidden/>
          </w:rPr>
          <w:fldChar w:fldCharType="end"/>
        </w:r>
      </w:hyperlink>
    </w:p>
    <w:p w14:paraId="3CCFA5C3" w14:textId="3441ED39" w:rsidR="00826F55" w:rsidRDefault="00BC7F17">
      <w:pPr>
        <w:pStyle w:val="TableofFigures"/>
        <w:tabs>
          <w:tab w:val="right" w:leader="dot" w:pos="10070"/>
        </w:tabs>
        <w:rPr>
          <w:rFonts w:asciiTheme="minorHAnsi" w:eastAsiaTheme="minorEastAsia" w:hAnsiTheme="minorHAnsi" w:cstheme="minorBidi"/>
          <w:noProof/>
          <w:sz w:val="22"/>
          <w:szCs w:val="22"/>
        </w:rPr>
      </w:pPr>
      <w:hyperlink w:anchor="_Toc475955414" w:history="1">
        <w:r w:rsidR="00826F55" w:rsidRPr="00656A39">
          <w:rPr>
            <w:rStyle w:val="Hyperlink"/>
            <w:noProof/>
          </w:rPr>
          <w:t>Exhibit 12.1: Estimated Annualized Burden Hours</w:t>
        </w:r>
        <w:r w:rsidR="00826F55">
          <w:rPr>
            <w:noProof/>
            <w:webHidden/>
          </w:rPr>
          <w:tab/>
        </w:r>
        <w:r w:rsidR="00826F55">
          <w:rPr>
            <w:noProof/>
            <w:webHidden/>
          </w:rPr>
          <w:fldChar w:fldCharType="begin"/>
        </w:r>
        <w:r w:rsidR="00826F55">
          <w:rPr>
            <w:noProof/>
            <w:webHidden/>
          </w:rPr>
          <w:instrText xml:space="preserve"> PAGEREF _Toc475955414 \h </w:instrText>
        </w:r>
        <w:r w:rsidR="00826F55">
          <w:rPr>
            <w:noProof/>
            <w:webHidden/>
          </w:rPr>
        </w:r>
        <w:r w:rsidR="00826F55">
          <w:rPr>
            <w:noProof/>
            <w:webHidden/>
          </w:rPr>
          <w:fldChar w:fldCharType="separate"/>
        </w:r>
        <w:r w:rsidR="0019624E">
          <w:rPr>
            <w:noProof/>
            <w:webHidden/>
          </w:rPr>
          <w:t>11</w:t>
        </w:r>
        <w:r w:rsidR="00826F55">
          <w:rPr>
            <w:noProof/>
            <w:webHidden/>
          </w:rPr>
          <w:fldChar w:fldCharType="end"/>
        </w:r>
      </w:hyperlink>
    </w:p>
    <w:p w14:paraId="051702A2" w14:textId="60367C7F" w:rsidR="00826F55" w:rsidRDefault="00BC7F17">
      <w:pPr>
        <w:pStyle w:val="TableofFigures"/>
        <w:tabs>
          <w:tab w:val="right" w:leader="dot" w:pos="10070"/>
        </w:tabs>
        <w:rPr>
          <w:rFonts w:asciiTheme="minorHAnsi" w:eastAsiaTheme="minorEastAsia" w:hAnsiTheme="minorHAnsi" w:cstheme="minorBidi"/>
          <w:noProof/>
          <w:sz w:val="22"/>
          <w:szCs w:val="22"/>
        </w:rPr>
      </w:pPr>
      <w:hyperlink w:anchor="_Toc475955415" w:history="1">
        <w:r w:rsidR="00826F55" w:rsidRPr="00656A39">
          <w:rPr>
            <w:rStyle w:val="Hyperlink"/>
            <w:noProof/>
          </w:rPr>
          <w:t>Exhibit 12.2: Estimated Annualized Burden Costs</w:t>
        </w:r>
        <w:r w:rsidR="00826F55">
          <w:rPr>
            <w:noProof/>
            <w:webHidden/>
          </w:rPr>
          <w:tab/>
        </w:r>
        <w:r w:rsidR="00826F55">
          <w:rPr>
            <w:noProof/>
            <w:webHidden/>
          </w:rPr>
          <w:fldChar w:fldCharType="begin"/>
        </w:r>
        <w:r w:rsidR="00826F55">
          <w:rPr>
            <w:noProof/>
            <w:webHidden/>
          </w:rPr>
          <w:instrText xml:space="preserve"> PAGEREF _Toc475955415 \h </w:instrText>
        </w:r>
        <w:r w:rsidR="00826F55">
          <w:rPr>
            <w:noProof/>
            <w:webHidden/>
          </w:rPr>
        </w:r>
        <w:r w:rsidR="00826F55">
          <w:rPr>
            <w:noProof/>
            <w:webHidden/>
          </w:rPr>
          <w:fldChar w:fldCharType="separate"/>
        </w:r>
        <w:r w:rsidR="0019624E">
          <w:rPr>
            <w:noProof/>
            <w:webHidden/>
          </w:rPr>
          <w:t>12</w:t>
        </w:r>
        <w:r w:rsidR="00826F55">
          <w:rPr>
            <w:noProof/>
            <w:webHidden/>
          </w:rPr>
          <w:fldChar w:fldCharType="end"/>
        </w:r>
      </w:hyperlink>
    </w:p>
    <w:p w14:paraId="5ECCBDB1" w14:textId="2552F758" w:rsidR="00826F55" w:rsidRDefault="00BC7F17">
      <w:pPr>
        <w:pStyle w:val="TableofFigures"/>
        <w:tabs>
          <w:tab w:val="right" w:leader="dot" w:pos="10070"/>
        </w:tabs>
        <w:rPr>
          <w:rFonts w:asciiTheme="minorHAnsi" w:eastAsiaTheme="minorEastAsia" w:hAnsiTheme="minorHAnsi" w:cstheme="minorBidi"/>
          <w:noProof/>
          <w:sz w:val="22"/>
          <w:szCs w:val="22"/>
        </w:rPr>
      </w:pPr>
      <w:hyperlink w:anchor="_Toc475955416" w:history="1">
        <w:r w:rsidR="00826F55" w:rsidRPr="00656A39">
          <w:rPr>
            <w:rStyle w:val="Hyperlink"/>
            <w:noProof/>
          </w:rPr>
          <w:t>Exhibit 14.1: Annualized Cost to the Government</w:t>
        </w:r>
        <w:r w:rsidR="00826F55">
          <w:rPr>
            <w:noProof/>
            <w:webHidden/>
          </w:rPr>
          <w:tab/>
        </w:r>
        <w:r w:rsidR="00826F55">
          <w:rPr>
            <w:noProof/>
            <w:webHidden/>
          </w:rPr>
          <w:fldChar w:fldCharType="begin"/>
        </w:r>
        <w:r w:rsidR="00826F55">
          <w:rPr>
            <w:noProof/>
            <w:webHidden/>
          </w:rPr>
          <w:instrText xml:space="preserve"> PAGEREF _Toc475955416 \h </w:instrText>
        </w:r>
        <w:r w:rsidR="00826F55">
          <w:rPr>
            <w:noProof/>
            <w:webHidden/>
          </w:rPr>
        </w:r>
        <w:r w:rsidR="00826F55">
          <w:rPr>
            <w:noProof/>
            <w:webHidden/>
          </w:rPr>
          <w:fldChar w:fldCharType="separate"/>
        </w:r>
        <w:r w:rsidR="0019624E">
          <w:rPr>
            <w:noProof/>
            <w:webHidden/>
          </w:rPr>
          <w:t>12</w:t>
        </w:r>
        <w:r w:rsidR="00826F55">
          <w:rPr>
            <w:noProof/>
            <w:webHidden/>
          </w:rPr>
          <w:fldChar w:fldCharType="end"/>
        </w:r>
      </w:hyperlink>
    </w:p>
    <w:p w14:paraId="6F961C05" w14:textId="7AE7B153" w:rsidR="00826F55" w:rsidRDefault="00BC7F17">
      <w:pPr>
        <w:pStyle w:val="TableofFigures"/>
        <w:tabs>
          <w:tab w:val="right" w:leader="dot" w:pos="10070"/>
        </w:tabs>
        <w:rPr>
          <w:rFonts w:asciiTheme="minorHAnsi" w:eastAsiaTheme="minorEastAsia" w:hAnsiTheme="minorHAnsi" w:cstheme="minorBidi"/>
          <w:noProof/>
          <w:sz w:val="22"/>
          <w:szCs w:val="22"/>
        </w:rPr>
      </w:pPr>
      <w:hyperlink w:anchor="_Toc475955417" w:history="1">
        <w:r w:rsidR="00826F55" w:rsidRPr="00656A39">
          <w:rPr>
            <w:rStyle w:val="Hyperlink"/>
            <w:noProof/>
          </w:rPr>
          <w:t>Exhibit 16.1: Project Time Schedule</w:t>
        </w:r>
        <w:r w:rsidR="00826F55">
          <w:rPr>
            <w:noProof/>
            <w:webHidden/>
          </w:rPr>
          <w:tab/>
        </w:r>
        <w:r w:rsidR="00826F55">
          <w:rPr>
            <w:noProof/>
            <w:webHidden/>
          </w:rPr>
          <w:fldChar w:fldCharType="begin"/>
        </w:r>
        <w:r w:rsidR="00826F55">
          <w:rPr>
            <w:noProof/>
            <w:webHidden/>
          </w:rPr>
          <w:instrText xml:space="preserve"> PAGEREF _Toc475955417 \h </w:instrText>
        </w:r>
        <w:r w:rsidR="00826F55">
          <w:rPr>
            <w:noProof/>
            <w:webHidden/>
          </w:rPr>
        </w:r>
        <w:r w:rsidR="00826F55">
          <w:rPr>
            <w:noProof/>
            <w:webHidden/>
          </w:rPr>
          <w:fldChar w:fldCharType="separate"/>
        </w:r>
        <w:r w:rsidR="0019624E">
          <w:rPr>
            <w:noProof/>
            <w:webHidden/>
          </w:rPr>
          <w:t>13</w:t>
        </w:r>
        <w:r w:rsidR="00826F55">
          <w:rPr>
            <w:noProof/>
            <w:webHidden/>
          </w:rPr>
          <w:fldChar w:fldCharType="end"/>
        </w:r>
      </w:hyperlink>
    </w:p>
    <w:p w14:paraId="37EABEA8" w14:textId="77777777" w:rsidR="00347120" w:rsidRDefault="009221FF" w:rsidP="00C46977">
      <w:pPr>
        <w:pStyle w:val="NoSpacing"/>
      </w:pPr>
      <w:r>
        <w:fldChar w:fldCharType="end"/>
      </w:r>
    </w:p>
    <w:p w14:paraId="2D50569E" w14:textId="6DC06BD1" w:rsidR="00347120" w:rsidRPr="00C46977" w:rsidRDefault="00347120" w:rsidP="00925BA9">
      <w:pPr>
        <w:pStyle w:val="NoSpacing"/>
        <w:pBdr>
          <w:bottom w:val="single" w:sz="4" w:space="1" w:color="auto"/>
        </w:pBdr>
        <w:rPr>
          <w:b/>
        </w:rPr>
      </w:pPr>
      <w:r w:rsidRPr="00C46977">
        <w:rPr>
          <w:b/>
        </w:rPr>
        <w:t>LIST OF ATTACHMENTS</w:t>
      </w:r>
    </w:p>
    <w:p w14:paraId="09F5260B" w14:textId="77777777" w:rsidR="00347120" w:rsidRDefault="00347120" w:rsidP="00C46977">
      <w:pPr>
        <w:pStyle w:val="NoSpacing"/>
        <w:contextualSpacing/>
      </w:pPr>
    </w:p>
    <w:p w14:paraId="49C7382D" w14:textId="77777777" w:rsidR="00FD0DC2" w:rsidRDefault="009951A9" w:rsidP="00C73AE8">
      <w:pPr>
        <w:pStyle w:val="NoSpacing"/>
        <w:tabs>
          <w:tab w:val="left" w:pos="360"/>
        </w:tabs>
        <w:spacing w:line="360" w:lineRule="auto"/>
        <w:contextualSpacing/>
      </w:pPr>
      <w:r>
        <w:rPr>
          <w:b/>
        </w:rPr>
        <w:t>Attachment 1</w:t>
      </w:r>
      <w:r>
        <w:t xml:space="preserve"> </w:t>
      </w:r>
      <w:r w:rsidR="00FD0DC2">
        <w:t>Authorizing Legislation</w:t>
      </w:r>
    </w:p>
    <w:p w14:paraId="33CA86DB" w14:textId="2998AC5B" w:rsidR="00FD0DC2" w:rsidRDefault="00FD0DC2" w:rsidP="00C73AE8">
      <w:pPr>
        <w:pStyle w:val="NoSpacing"/>
        <w:tabs>
          <w:tab w:val="left" w:pos="360"/>
        </w:tabs>
        <w:spacing w:line="360" w:lineRule="auto"/>
        <w:contextualSpacing/>
      </w:pPr>
      <w:r>
        <w:rPr>
          <w:b/>
        </w:rPr>
        <w:t xml:space="preserve">Attachment 2 </w:t>
      </w:r>
      <w:r>
        <w:t>60-Day FRN</w:t>
      </w:r>
    </w:p>
    <w:p w14:paraId="792DF4DC" w14:textId="145C74E3" w:rsidR="009951A9" w:rsidRPr="009951A9" w:rsidRDefault="00FD0DC2" w:rsidP="00C73AE8">
      <w:pPr>
        <w:pStyle w:val="NoSpacing"/>
        <w:tabs>
          <w:tab w:val="left" w:pos="360"/>
        </w:tabs>
        <w:spacing w:line="360" w:lineRule="auto"/>
        <w:contextualSpacing/>
      </w:pPr>
      <w:r>
        <w:rPr>
          <w:b/>
        </w:rPr>
        <w:t xml:space="preserve">Attachment 3 </w:t>
      </w:r>
      <w:r w:rsidR="009951A9">
        <w:t>Recruitment Materials</w:t>
      </w:r>
    </w:p>
    <w:p w14:paraId="46B0739A" w14:textId="1437F1B3" w:rsidR="00AA75BF" w:rsidRDefault="00FD0DC2" w:rsidP="00C73AE8">
      <w:pPr>
        <w:pStyle w:val="NoSpacing"/>
        <w:tabs>
          <w:tab w:val="left" w:pos="360"/>
        </w:tabs>
        <w:spacing w:line="360" w:lineRule="auto"/>
        <w:contextualSpacing/>
      </w:pPr>
      <w:r>
        <w:tab/>
        <w:t>3</w:t>
      </w:r>
      <w:r w:rsidR="00AC7A46">
        <w:t>a. Recruitment Flyer</w:t>
      </w:r>
    </w:p>
    <w:p w14:paraId="5FC8C9D4" w14:textId="25A0AF5F" w:rsidR="00AA75BF" w:rsidRDefault="00AA75BF" w:rsidP="00C73AE8">
      <w:pPr>
        <w:pStyle w:val="NoSpacing"/>
        <w:tabs>
          <w:tab w:val="left" w:pos="360"/>
        </w:tabs>
        <w:spacing w:line="360" w:lineRule="auto"/>
        <w:contextualSpacing/>
      </w:pPr>
      <w:r>
        <w:lastRenderedPageBreak/>
        <w:tab/>
      </w:r>
      <w:r w:rsidR="00FD0DC2">
        <w:t>3</w:t>
      </w:r>
      <w:r w:rsidR="00AC7A46">
        <w:t>b. Recruitment Script</w:t>
      </w:r>
    </w:p>
    <w:p w14:paraId="7032D2FF" w14:textId="3D7CE5F6" w:rsidR="00E72740" w:rsidRDefault="00FD0DC2" w:rsidP="00C73AE8">
      <w:pPr>
        <w:pStyle w:val="NoSpacing"/>
        <w:tabs>
          <w:tab w:val="left" w:pos="360"/>
        </w:tabs>
        <w:spacing w:line="360" w:lineRule="auto"/>
        <w:contextualSpacing/>
      </w:pPr>
      <w:r>
        <w:rPr>
          <w:b/>
        </w:rPr>
        <w:t>Attachment 4</w:t>
      </w:r>
      <w:r w:rsidR="00347120">
        <w:rPr>
          <w:b/>
        </w:rPr>
        <w:t xml:space="preserve"> </w:t>
      </w:r>
      <w:r w:rsidR="00CF44C9">
        <w:t>Consent Form</w:t>
      </w:r>
    </w:p>
    <w:p w14:paraId="2A318390" w14:textId="34F904B8" w:rsidR="00347120" w:rsidRDefault="00FD0DC2" w:rsidP="00C73AE8">
      <w:pPr>
        <w:pStyle w:val="NoSpacing"/>
        <w:tabs>
          <w:tab w:val="left" w:pos="360"/>
        </w:tabs>
        <w:spacing w:line="360" w:lineRule="auto"/>
        <w:contextualSpacing/>
      </w:pPr>
      <w:r>
        <w:rPr>
          <w:b/>
        </w:rPr>
        <w:t>Attachment 5</w:t>
      </w:r>
      <w:r w:rsidR="00347120">
        <w:t xml:space="preserve"> </w:t>
      </w:r>
      <w:r w:rsidR="00CF44C9">
        <w:t>Data Collection Instruments</w:t>
      </w:r>
    </w:p>
    <w:p w14:paraId="7E34262B" w14:textId="6364F61C" w:rsidR="00347120" w:rsidRDefault="00FD0DC2" w:rsidP="00C73AE8">
      <w:pPr>
        <w:pStyle w:val="NoSpacing"/>
        <w:tabs>
          <w:tab w:val="left" w:pos="360"/>
        </w:tabs>
        <w:spacing w:line="360" w:lineRule="auto"/>
        <w:contextualSpacing/>
      </w:pPr>
      <w:r>
        <w:tab/>
        <w:t>5</w:t>
      </w:r>
      <w:r w:rsidR="00CF5EFA">
        <w:t>a</w:t>
      </w:r>
      <w:r w:rsidR="00347120">
        <w:t xml:space="preserve">. </w:t>
      </w:r>
      <w:r w:rsidR="00E91107" w:rsidRPr="00E91107">
        <w:t>Eligibility Screener</w:t>
      </w:r>
    </w:p>
    <w:p w14:paraId="2E3DB2B0" w14:textId="358701E0" w:rsidR="00347120" w:rsidRDefault="009951A9" w:rsidP="00C73AE8">
      <w:pPr>
        <w:pStyle w:val="NoSpacing"/>
        <w:tabs>
          <w:tab w:val="left" w:pos="360"/>
        </w:tabs>
        <w:spacing w:line="360" w:lineRule="auto"/>
        <w:contextualSpacing/>
      </w:pPr>
      <w:r>
        <w:tab/>
      </w:r>
      <w:r w:rsidR="00FD0DC2">
        <w:t>5</w:t>
      </w:r>
      <w:r w:rsidR="005622BF">
        <w:t>b</w:t>
      </w:r>
      <w:r w:rsidR="00E91107">
        <w:t xml:space="preserve">. </w:t>
      </w:r>
      <w:r w:rsidR="00D06EE5">
        <w:t xml:space="preserve">Focus Group </w:t>
      </w:r>
      <w:r w:rsidR="00E91107">
        <w:t xml:space="preserve">Guide </w:t>
      </w:r>
    </w:p>
    <w:p w14:paraId="6E137FD1" w14:textId="272850D3" w:rsidR="00542640" w:rsidRDefault="009951A9" w:rsidP="00C73AE8">
      <w:pPr>
        <w:pStyle w:val="NoSpacing"/>
        <w:tabs>
          <w:tab w:val="left" w:pos="360"/>
        </w:tabs>
        <w:spacing w:line="360" w:lineRule="auto"/>
        <w:contextualSpacing/>
      </w:pPr>
      <w:r>
        <w:rPr>
          <w:b/>
        </w:rPr>
        <w:t xml:space="preserve">Attachment </w:t>
      </w:r>
      <w:r w:rsidR="00FD0DC2">
        <w:rPr>
          <w:b/>
        </w:rPr>
        <w:t>6</w:t>
      </w:r>
      <w:r w:rsidR="00347120">
        <w:t xml:space="preserve"> </w:t>
      </w:r>
      <w:r w:rsidR="00CF44C9">
        <w:t>IRB Letter of Approval</w:t>
      </w:r>
    </w:p>
    <w:p w14:paraId="7053B6B6" w14:textId="5695485F" w:rsidR="00490338" w:rsidRDefault="00490338" w:rsidP="00C73AE8">
      <w:pPr>
        <w:pStyle w:val="NoSpacing"/>
        <w:tabs>
          <w:tab w:val="left" w:pos="360"/>
        </w:tabs>
        <w:spacing w:line="360" w:lineRule="auto"/>
        <w:contextualSpacing/>
      </w:pPr>
      <w:r w:rsidRPr="00490338">
        <w:rPr>
          <w:b/>
        </w:rPr>
        <w:t>Attachment 7</w:t>
      </w:r>
      <w:r>
        <w:t xml:space="preserve"> CDC Project Determination</w:t>
      </w:r>
    </w:p>
    <w:p w14:paraId="03939802" w14:textId="514E59A2" w:rsidR="00C73AE8" w:rsidRDefault="00C73AE8">
      <w:pPr>
        <w:spacing w:after="200" w:line="276" w:lineRule="auto"/>
        <w:rPr>
          <w:rFonts w:eastAsiaTheme="minorHAnsi" w:cstheme="minorBidi"/>
          <w:szCs w:val="22"/>
        </w:rPr>
      </w:pPr>
      <w:r>
        <w:br w:type="page"/>
      </w:r>
    </w:p>
    <w:p w14:paraId="45D16FB2" w14:textId="77777777" w:rsidR="00C73AE8" w:rsidRDefault="00C73AE8" w:rsidP="006E4CC2">
      <w:pPr>
        <w:pStyle w:val="NoSpacing"/>
        <w:tabs>
          <w:tab w:val="left" w:pos="360"/>
        </w:tabs>
        <w:contextualSpacing/>
      </w:pPr>
    </w:p>
    <w:p w14:paraId="63D91C5C" w14:textId="77777777" w:rsidR="00FD0DC2" w:rsidRPr="006E4CC2" w:rsidRDefault="00FD0DC2" w:rsidP="006E4CC2">
      <w:pPr>
        <w:pStyle w:val="NoSpacing"/>
        <w:tabs>
          <w:tab w:val="left" w:pos="360"/>
        </w:tabs>
      </w:pPr>
    </w:p>
    <w:tbl>
      <w:tblPr>
        <w:tblStyle w:val="TableGrid"/>
        <w:tblW w:w="0" w:type="auto"/>
        <w:tblLook w:val="04A0" w:firstRow="1" w:lastRow="0" w:firstColumn="1" w:lastColumn="0" w:noHBand="0" w:noVBand="1"/>
      </w:tblPr>
      <w:tblGrid>
        <w:gridCol w:w="9905"/>
      </w:tblGrid>
      <w:tr w:rsidR="00B12EA3" w14:paraId="04906BCF" w14:textId="77777777" w:rsidTr="0045775E">
        <w:trPr>
          <w:trHeight w:val="6092"/>
        </w:trPr>
        <w:tc>
          <w:tcPr>
            <w:tcW w:w="9905" w:type="dxa"/>
          </w:tcPr>
          <w:p w14:paraId="7D1B57C1" w14:textId="302B296D" w:rsidR="00810B9E" w:rsidRPr="0094497E" w:rsidRDefault="00B12EA3" w:rsidP="00736175">
            <w:pPr>
              <w:pStyle w:val="NoSpacing"/>
              <w:numPr>
                <w:ilvl w:val="0"/>
                <w:numId w:val="1"/>
              </w:numPr>
            </w:pPr>
            <w:r w:rsidRPr="003E2A65">
              <w:rPr>
                <w:b/>
              </w:rPr>
              <w:t xml:space="preserve">Goals of the study: </w:t>
            </w:r>
            <w:r w:rsidR="0019624E">
              <w:t>In this study, we intend</w:t>
            </w:r>
            <w:r w:rsidR="0019624E" w:rsidRPr="00DD59BB">
              <w:t xml:space="preserve"> to explore findings </w:t>
            </w:r>
            <w:r w:rsidR="0019624E">
              <w:t xml:space="preserve">from the </w:t>
            </w:r>
            <w:r w:rsidR="0019624E">
              <w:rPr>
                <w:b/>
              </w:rPr>
              <w:t xml:space="preserve">first iteration </w:t>
            </w:r>
            <w:r w:rsidR="0019624E">
              <w:t xml:space="preserve">of Project Engage (which took place from September 2016 to December 2017) </w:t>
            </w:r>
            <w:r w:rsidR="0019624E" w:rsidRPr="00DD59BB">
              <w:t>and their implications for sexual health community engagement and mobilization efforts</w:t>
            </w:r>
            <w:r w:rsidR="0019624E">
              <w:t>. Specifically,</w:t>
            </w:r>
            <w:r w:rsidR="0019624E" w:rsidRPr="00DD59BB">
              <w:t xml:space="preserve"> </w:t>
            </w:r>
            <w:r w:rsidR="0019624E" w:rsidRPr="00614595">
              <w:t>we will explor</w:t>
            </w:r>
            <w:r w:rsidR="0019624E">
              <w:t>e the concept of community belongingness, syphilis and PrEP knowledge, awareness, and opportunities, and differences between the black/African gay community and the larger gay community.</w:t>
            </w:r>
            <w:r w:rsidR="0019624E" w:rsidRPr="00614595" w:rsidDel="00DD59BB">
              <w:t xml:space="preserve"> </w:t>
            </w:r>
            <w:r w:rsidR="0019624E" w:rsidRPr="00DD59BB">
              <w:t xml:space="preserve"> </w:t>
            </w:r>
          </w:p>
          <w:p w14:paraId="1D02776F" w14:textId="32D66247" w:rsidR="00B12EA3" w:rsidRPr="003E2A65" w:rsidRDefault="00B12EA3" w:rsidP="003259B5">
            <w:pPr>
              <w:pStyle w:val="NoSpacing"/>
              <w:numPr>
                <w:ilvl w:val="0"/>
                <w:numId w:val="1"/>
              </w:numPr>
              <w:rPr>
                <w:b/>
              </w:rPr>
            </w:pPr>
            <w:r w:rsidRPr="003E2A65">
              <w:rPr>
                <w:b/>
              </w:rPr>
              <w:t>Intended use:</w:t>
            </w:r>
            <w:r w:rsidR="00B328D6" w:rsidRPr="003E2A65">
              <w:rPr>
                <w:b/>
              </w:rPr>
              <w:t xml:space="preserve"> </w:t>
            </w:r>
            <w:r w:rsidR="003A040D">
              <w:t xml:space="preserve">Findings from this qualitative assessment </w:t>
            </w:r>
            <w:r w:rsidR="003A040D" w:rsidRPr="000A727C">
              <w:t xml:space="preserve">will be used to inform the development of strategies to prevent and reduce syphilis transmission and promote sexual health among </w:t>
            </w:r>
            <w:r w:rsidR="00AC7A46" w:rsidRPr="0019624E">
              <w:t>Black/African-American men who have sex with men (</w:t>
            </w:r>
            <w:r w:rsidR="00AC7A46">
              <w:t>B</w:t>
            </w:r>
            <w:r w:rsidR="00AC7A46" w:rsidRPr="0019624E">
              <w:t>MSM)</w:t>
            </w:r>
            <w:r w:rsidR="003A040D" w:rsidRPr="000A727C">
              <w:t>.</w:t>
            </w:r>
          </w:p>
          <w:p w14:paraId="02AC9B98" w14:textId="42EA2B0A" w:rsidR="00810B9E" w:rsidRPr="006B07DF" w:rsidRDefault="00B12EA3" w:rsidP="003259B5">
            <w:pPr>
              <w:pStyle w:val="NoSpacing"/>
              <w:numPr>
                <w:ilvl w:val="0"/>
                <w:numId w:val="1"/>
              </w:numPr>
              <w:rPr>
                <w:b/>
              </w:rPr>
            </w:pPr>
            <w:r w:rsidRPr="003E2A65">
              <w:rPr>
                <w:b/>
              </w:rPr>
              <w:t>Methods to be used to collect data:</w:t>
            </w:r>
            <w:r w:rsidR="00A34D13" w:rsidRPr="003E2A65">
              <w:rPr>
                <w:b/>
              </w:rPr>
              <w:t xml:space="preserve"> </w:t>
            </w:r>
            <w:r w:rsidR="0019624E" w:rsidRPr="0019624E">
              <w:t xml:space="preserve">We plan to conduct eight (n=8), 90-minute in-person </w:t>
            </w:r>
            <w:r w:rsidR="00D551B7">
              <w:t xml:space="preserve">qualitative </w:t>
            </w:r>
            <w:r w:rsidR="0019624E" w:rsidRPr="0019624E">
              <w:t>focu</w:t>
            </w:r>
            <w:r w:rsidR="00AC7A46">
              <w:t xml:space="preserve">s groups with </w:t>
            </w:r>
            <w:r w:rsidR="00D551B7">
              <w:t>B</w:t>
            </w:r>
            <w:r w:rsidR="00AC7A46">
              <w:t>MSM</w:t>
            </w:r>
            <w:r w:rsidR="0019624E" w:rsidRPr="0019624E">
              <w:t xml:space="preserve"> age 18+ in New Orleans, LA and Washington, DC (four focus groups per city). The participant pool will be stratified by age, falling into one of two groups: 18-34 (n=2 per city), and 35 and older (n=2 per city). Each focus group will have a max of eight (n=8) participants, for a maximum total of n=64 participants across both cities.</w:t>
            </w:r>
          </w:p>
          <w:p w14:paraId="65D47543" w14:textId="3653E14E" w:rsidR="00B12276" w:rsidRPr="00B12276" w:rsidRDefault="00B12EA3" w:rsidP="003259B5">
            <w:pPr>
              <w:pStyle w:val="NoSpacing"/>
              <w:numPr>
                <w:ilvl w:val="0"/>
                <w:numId w:val="1"/>
              </w:numPr>
              <w:rPr>
                <w:b/>
              </w:rPr>
            </w:pPr>
            <w:r w:rsidRPr="003E2A65">
              <w:rPr>
                <w:b/>
              </w:rPr>
              <w:t>The subpopulation to be studied:</w:t>
            </w:r>
            <w:r w:rsidR="00207534" w:rsidRPr="003E2A65">
              <w:rPr>
                <w:b/>
              </w:rPr>
              <w:t xml:space="preserve"> </w:t>
            </w:r>
            <w:r w:rsidR="00FD0DC2">
              <w:t>B</w:t>
            </w:r>
            <w:r w:rsidR="003A040D" w:rsidRPr="005631EE">
              <w:t>MSM</w:t>
            </w:r>
            <w:r w:rsidR="00D551B7">
              <w:t xml:space="preserve">, 18+, </w:t>
            </w:r>
            <w:r w:rsidR="00B12276">
              <w:t xml:space="preserve">recruited </w:t>
            </w:r>
            <w:r w:rsidR="00BF4C06">
              <w:t>from</w:t>
            </w:r>
            <w:r w:rsidR="00CB62C5">
              <w:t xml:space="preserve"> </w:t>
            </w:r>
            <w:r w:rsidR="003A040D">
              <w:t>New Orleans, LA</w:t>
            </w:r>
            <w:r w:rsidR="00B12276" w:rsidRPr="00B12276">
              <w:t xml:space="preserve"> and Washington, DC</w:t>
            </w:r>
            <w:r w:rsidR="00B12276">
              <w:t>.</w:t>
            </w:r>
          </w:p>
          <w:p w14:paraId="67C82716" w14:textId="08426CC7" w:rsidR="00B12EA3" w:rsidRPr="00B12EA3" w:rsidRDefault="00B12EA3" w:rsidP="00736175">
            <w:pPr>
              <w:pStyle w:val="NoSpacing"/>
              <w:numPr>
                <w:ilvl w:val="0"/>
                <w:numId w:val="1"/>
              </w:numPr>
              <w:rPr>
                <w:b/>
              </w:rPr>
            </w:pPr>
            <w:r w:rsidRPr="00B12EA3">
              <w:rPr>
                <w:b/>
              </w:rPr>
              <w:t>How data will be analyzed:</w:t>
            </w:r>
            <w:r w:rsidR="003539FB">
              <w:rPr>
                <w:b/>
              </w:rPr>
              <w:t xml:space="preserve"> </w:t>
            </w:r>
            <w:r w:rsidR="003E2A65">
              <w:rPr>
                <w:noProof/>
                <w:szCs w:val="24"/>
              </w:rPr>
              <w:t xml:space="preserve">Qualitative coding </w:t>
            </w:r>
            <w:r w:rsidR="00950C89">
              <w:rPr>
                <w:noProof/>
                <w:szCs w:val="24"/>
              </w:rPr>
              <w:t xml:space="preserve">and thematic analysis </w:t>
            </w:r>
            <w:r w:rsidR="003E2A65">
              <w:rPr>
                <w:noProof/>
                <w:szCs w:val="24"/>
              </w:rPr>
              <w:t xml:space="preserve">of </w:t>
            </w:r>
            <w:r w:rsidR="00736175">
              <w:rPr>
                <w:noProof/>
                <w:szCs w:val="24"/>
              </w:rPr>
              <w:t>eight focus group</w:t>
            </w:r>
            <w:r w:rsidR="00CB62C5">
              <w:rPr>
                <w:noProof/>
                <w:szCs w:val="24"/>
              </w:rPr>
              <w:t xml:space="preserve"> transcripts using computer-</w:t>
            </w:r>
            <w:r w:rsidR="003E2A65">
              <w:rPr>
                <w:noProof/>
                <w:szCs w:val="24"/>
              </w:rPr>
              <w:t>assisted qualitative data analysis software.</w:t>
            </w:r>
          </w:p>
        </w:tc>
      </w:tr>
    </w:tbl>
    <w:p w14:paraId="33849E7F" w14:textId="77777777" w:rsidR="00B12EA3" w:rsidRDefault="00B12EA3" w:rsidP="00B12EA3">
      <w:pPr>
        <w:pStyle w:val="NoSpacing"/>
      </w:pPr>
    </w:p>
    <w:p w14:paraId="01C12DC1" w14:textId="77777777" w:rsidR="00B12EA3" w:rsidRDefault="00B12EA3" w:rsidP="00B12EA3">
      <w:pPr>
        <w:pStyle w:val="NoSpacing"/>
      </w:pPr>
    </w:p>
    <w:p w14:paraId="7302E66A" w14:textId="77777777" w:rsidR="00C73AE8" w:rsidRDefault="00C73AE8">
      <w:pPr>
        <w:spacing w:after="200" w:line="276" w:lineRule="auto"/>
        <w:rPr>
          <w:rFonts w:eastAsiaTheme="minorHAnsi" w:cstheme="minorBidi"/>
          <w:b/>
          <w:szCs w:val="22"/>
        </w:rPr>
      </w:pPr>
      <w:r>
        <w:rPr>
          <w:b/>
        </w:rPr>
        <w:br w:type="page"/>
      </w:r>
    </w:p>
    <w:p w14:paraId="6B0500C1" w14:textId="4BCF83DF" w:rsidR="00F734ED" w:rsidRPr="00F734ED" w:rsidRDefault="00F734ED" w:rsidP="00B12EA3">
      <w:pPr>
        <w:pStyle w:val="NoSpacing"/>
        <w:rPr>
          <w:b/>
        </w:rPr>
      </w:pPr>
      <w:r w:rsidRPr="00F734ED">
        <w:rPr>
          <w:b/>
        </w:rPr>
        <w:t>Supporting Statement</w:t>
      </w:r>
    </w:p>
    <w:p w14:paraId="39FADC6F" w14:textId="77777777" w:rsidR="00B12EA3" w:rsidRDefault="00B12EA3" w:rsidP="00B12EA3">
      <w:pPr>
        <w:pStyle w:val="NoSpacing"/>
      </w:pPr>
    </w:p>
    <w:p w14:paraId="32E1ACF3" w14:textId="2F1C42DA" w:rsidR="00B12EA3" w:rsidRPr="00E90840" w:rsidRDefault="00F734ED" w:rsidP="00B12EA3">
      <w:pPr>
        <w:pStyle w:val="NoSpacing"/>
        <w:rPr>
          <w:b/>
        </w:rPr>
      </w:pPr>
      <w:r w:rsidRPr="00F734ED">
        <w:rPr>
          <w:b/>
        </w:rPr>
        <w:t xml:space="preserve">A. </w:t>
      </w:r>
      <w:r w:rsidRPr="00F734ED">
        <w:rPr>
          <w:b/>
          <w:u w:val="single"/>
        </w:rPr>
        <w:t>Justification</w:t>
      </w:r>
    </w:p>
    <w:p w14:paraId="16B4B2A2" w14:textId="21511C47" w:rsidR="00B12EA3" w:rsidRDefault="00B12EA3" w:rsidP="00E53653">
      <w:pPr>
        <w:pStyle w:val="Heading1"/>
      </w:pPr>
      <w:bookmarkStart w:id="1" w:name="_Toc475955392"/>
      <w:r w:rsidRPr="00B12EA3">
        <w:t>Circumstances Making the Collection of Information Necessary</w:t>
      </w:r>
      <w:bookmarkEnd w:id="1"/>
    </w:p>
    <w:p w14:paraId="2D35A7DA" w14:textId="77777777" w:rsidR="000D10E8" w:rsidRDefault="000D10E8" w:rsidP="000D10E8"/>
    <w:p w14:paraId="7864263D" w14:textId="61D48A38" w:rsidR="00067E1B" w:rsidRPr="006E4CC2" w:rsidRDefault="00067E1B" w:rsidP="006E4CC2">
      <w:pPr>
        <w:spacing w:line="360" w:lineRule="auto"/>
        <w:rPr>
          <w:b/>
        </w:rPr>
      </w:pPr>
      <w:r w:rsidRPr="00067E1B">
        <w:t>The Centers for Disease Control and Prevention’s</w:t>
      </w:r>
      <w:r w:rsidR="00F94AE4">
        <w:t xml:space="preserve"> (CDC)</w:t>
      </w:r>
      <w:r w:rsidRPr="00067E1B">
        <w:t xml:space="preserve"> Division of </w:t>
      </w:r>
      <w:r w:rsidR="00E824BA">
        <w:t>STD</w:t>
      </w:r>
      <w:r w:rsidRPr="00067E1B">
        <w:t xml:space="preserve"> Prevention, (D</w:t>
      </w:r>
      <w:r w:rsidR="00E824BA">
        <w:t>STDP</w:t>
      </w:r>
      <w:r w:rsidR="00F15707">
        <w:t>) requests OMB approval for a qualitative</w:t>
      </w:r>
      <w:r w:rsidR="00F94AE4">
        <w:t xml:space="preserve"> extramural</w:t>
      </w:r>
      <w:r w:rsidRPr="00067E1B">
        <w:t xml:space="preserve"> research study entitled, </w:t>
      </w:r>
      <w:r w:rsidRPr="00350C40">
        <w:t>“</w:t>
      </w:r>
      <w:r w:rsidR="00E824BA" w:rsidRPr="009B59EB">
        <w:t>Project Engage</w:t>
      </w:r>
      <w:r w:rsidR="00F81FCB">
        <w:t xml:space="preserve"> 2.0</w:t>
      </w:r>
      <w:r w:rsidR="00E824BA" w:rsidRPr="009B59EB">
        <w:t>: Engaging Gay “Community” Activism for Syphilis Prevention”</w:t>
      </w:r>
      <w:r w:rsidR="00E824BA" w:rsidRPr="00350C40">
        <w:rPr>
          <w:b/>
        </w:rPr>
        <w:t xml:space="preserve"> </w:t>
      </w:r>
      <w:r w:rsidR="00B12276" w:rsidRPr="00B12276">
        <w:rPr>
          <w:bCs/>
        </w:rPr>
        <w:t xml:space="preserve">in </w:t>
      </w:r>
      <w:r w:rsidR="00E824BA">
        <w:rPr>
          <w:bCs/>
        </w:rPr>
        <w:t>New Orleans, LA</w:t>
      </w:r>
      <w:r w:rsidR="00B12276" w:rsidRPr="00B12276">
        <w:rPr>
          <w:bCs/>
        </w:rPr>
        <w:t xml:space="preserve"> and Washington, DC</w:t>
      </w:r>
      <w:r w:rsidRPr="00067E1B">
        <w:t xml:space="preserve"> under </w:t>
      </w:r>
      <w:r w:rsidR="003259B5" w:rsidRPr="003259B5">
        <w:t>“Formative Research and Tool Development”</w:t>
      </w:r>
      <w:r w:rsidR="003259B5">
        <w:t xml:space="preserve"> </w:t>
      </w:r>
      <w:r w:rsidRPr="00067E1B">
        <w:t>Generic Clearanc</w:t>
      </w:r>
      <w:r w:rsidR="00E824BA">
        <w:t xml:space="preserve">e </w:t>
      </w:r>
      <w:r w:rsidRPr="00067E1B">
        <w:t>OMB #</w:t>
      </w:r>
      <w:r w:rsidR="006E4CC2">
        <w:t>0920-0840</w:t>
      </w:r>
      <w:r w:rsidR="000E619E">
        <w:t xml:space="preserve"> (expires 1/31/2019)</w:t>
      </w:r>
      <w:r w:rsidR="006E4CC2">
        <w:t xml:space="preserve">. </w:t>
      </w:r>
      <w:r w:rsidR="007325ED">
        <w:t xml:space="preserve">CDC will sponsor this </w:t>
      </w:r>
      <w:r w:rsidR="00582903">
        <w:t>data collection activity</w:t>
      </w:r>
      <w:r w:rsidR="005E6F8D">
        <w:t>.</w:t>
      </w:r>
      <w:r w:rsidR="00582903">
        <w:t xml:space="preserve"> </w:t>
      </w:r>
      <w:r w:rsidR="005E6F8D">
        <w:t>D</w:t>
      </w:r>
      <w:r w:rsidR="007325ED">
        <w:t>ata co</w:t>
      </w:r>
      <w:r w:rsidR="002F426C">
        <w:t>llection will be carried out by</w:t>
      </w:r>
      <w:r w:rsidR="00582903">
        <w:t xml:space="preserve"> CDC’s </w:t>
      </w:r>
      <w:r w:rsidR="00E22565">
        <w:t>cooperative agreement partner</w:t>
      </w:r>
      <w:r w:rsidR="007325ED">
        <w:t xml:space="preserve">, </w:t>
      </w:r>
      <w:r w:rsidR="00E22565" w:rsidRPr="00E22565">
        <w:t>National Network of P</w:t>
      </w:r>
      <w:r w:rsidR="00E22565">
        <w:t>ublic Health Institutes (NNPHI)</w:t>
      </w:r>
      <w:r w:rsidR="00582903">
        <w:t xml:space="preserve">, in conjunction </w:t>
      </w:r>
      <w:r w:rsidR="002F426C">
        <w:t xml:space="preserve">with its subcontracting </w:t>
      </w:r>
      <w:r w:rsidR="00FD0DC2">
        <w:t xml:space="preserve">local partners, </w:t>
      </w:r>
      <w:r w:rsidR="00E22565" w:rsidRPr="00E131A3">
        <w:t>the Lou</w:t>
      </w:r>
      <w:r w:rsidR="00FD0DC2">
        <w:t>isiana Public Health Institute (</w:t>
      </w:r>
      <w:r w:rsidR="00E22565" w:rsidRPr="00E131A3">
        <w:t>LPHI</w:t>
      </w:r>
      <w:r w:rsidR="00FD0DC2">
        <w:t>)</w:t>
      </w:r>
      <w:r w:rsidR="00E22565" w:rsidRPr="00E131A3">
        <w:t>, in New Orleans and the Institu</w:t>
      </w:r>
      <w:r w:rsidR="00FD0DC2">
        <w:t>te for Public Health Innovation</w:t>
      </w:r>
      <w:r w:rsidR="00E22565" w:rsidRPr="00E131A3">
        <w:t xml:space="preserve"> </w:t>
      </w:r>
      <w:r w:rsidR="00FD0DC2">
        <w:t>(</w:t>
      </w:r>
      <w:r w:rsidR="00E22565" w:rsidRPr="00E131A3">
        <w:t>IPHI</w:t>
      </w:r>
      <w:r w:rsidR="00FD0DC2">
        <w:t>)</w:t>
      </w:r>
      <w:r w:rsidR="00AC7A46">
        <w:t>, in Washington, DC</w:t>
      </w:r>
      <w:r w:rsidR="00FD0DC2">
        <w:t>.</w:t>
      </w:r>
      <w:r w:rsidR="00E22565" w:rsidRPr="00E131A3">
        <w:t xml:space="preserve"> </w:t>
      </w:r>
    </w:p>
    <w:p w14:paraId="668AF695" w14:textId="387645F9" w:rsidR="00543719" w:rsidRPr="00543719" w:rsidRDefault="00543719" w:rsidP="006E4CC2">
      <w:pPr>
        <w:tabs>
          <w:tab w:val="left" w:pos="2054"/>
        </w:tabs>
        <w:spacing w:line="360" w:lineRule="auto"/>
        <w:rPr>
          <w:rFonts w:cs="Arial"/>
        </w:rPr>
      </w:pPr>
      <w:r w:rsidRPr="00543719">
        <w:rPr>
          <w:rFonts w:cs="Arial"/>
        </w:rPr>
        <w:t>The notion of “community,” whether conceived of as “place” or “network,” is important to understand because it relates to constructs such as social identity and social cohesion that have implications for social norm diffusion and change. Understandi</w:t>
      </w:r>
      <w:r w:rsidR="00AC7A46">
        <w:rPr>
          <w:rFonts w:cs="Arial"/>
        </w:rPr>
        <w:t>ng individuals’ perceptions of community</w:t>
      </w:r>
      <w:r w:rsidRPr="00543719">
        <w:rPr>
          <w:rFonts w:cs="Arial"/>
        </w:rPr>
        <w:t xml:space="preserve"> can inform STD prevention efforts and intervention development.  Findings from interviews with MSM in Australia (Holt 2011), Europe (Ross 2013), and the US (Goltz 2014; Rowe 2008) suggest that although the term “community” has always evoked am</w:t>
      </w:r>
      <w:r w:rsidR="006E4CC2">
        <w:rPr>
          <w:rFonts w:cs="Arial"/>
        </w:rPr>
        <w:t>bivalence among MSM, in the pre-</w:t>
      </w:r>
      <w:r w:rsidRPr="00543719">
        <w:rPr>
          <w:rFonts w:cs="Arial"/>
        </w:rPr>
        <w:t>antiretroviral (ART) era, AIDS activism was viewed to a large degree as a unifying aspect and collective purpose, and that developments such as widespread availability of ART, the decline of funding for AIDS service organizations, and other recent social changes have eroded this value. In more recent years, generational shifts and changes in the way MSM meet and socialize, due to the proliferation of social media sites and mobile apps, and broader sociocultural changes, including social assimilation and “mainstreaming” of gay culture, make it n</w:t>
      </w:r>
      <w:r w:rsidR="00E75091">
        <w:rPr>
          <w:rFonts w:cs="Arial"/>
        </w:rPr>
        <w:t>ecessary for STD programs to re-</w:t>
      </w:r>
      <w:r w:rsidRPr="00543719">
        <w:rPr>
          <w:rFonts w:cs="Arial"/>
        </w:rPr>
        <w:t xml:space="preserve">evaluate the salience of this concept for current STD prevention efforts. </w:t>
      </w:r>
    </w:p>
    <w:p w14:paraId="657F136D" w14:textId="206E69B3" w:rsidR="00543719" w:rsidRPr="00543719" w:rsidRDefault="00543719" w:rsidP="006E4CC2">
      <w:pPr>
        <w:tabs>
          <w:tab w:val="left" w:pos="2054"/>
        </w:tabs>
        <w:spacing w:line="360" w:lineRule="auto"/>
        <w:rPr>
          <w:rFonts w:cs="Arial"/>
        </w:rPr>
      </w:pPr>
      <w:r w:rsidRPr="00543719">
        <w:rPr>
          <w:rFonts w:cs="Arial"/>
        </w:rPr>
        <w:t xml:space="preserve">Syphilis rates have increased dramatically in the United States since 2000, with most of the increases among MSM. In 2015, over 90% of primary and secondary syphilis cases occurred among men, with 81.7% of cases among males reporting a male sex partner (CDC 2015). Syphilis increases the risk of HIV transmission and acquisition; in 2015, nearly half of MSM with syphilis were HIV-positive. According to sentinel surveillance data, 33% of MSM syphilis cases were among </w:t>
      </w:r>
      <w:r w:rsidR="0045775E" w:rsidRPr="0045775E">
        <w:rPr>
          <w:rFonts w:cs="Arial"/>
        </w:rPr>
        <w:t>Black/African-American m</w:t>
      </w:r>
      <w:r w:rsidR="0045775E">
        <w:rPr>
          <w:rFonts w:cs="Arial"/>
        </w:rPr>
        <w:t>en who have sex with men (BMSM)</w:t>
      </w:r>
      <w:r w:rsidRPr="00543719">
        <w:rPr>
          <w:rFonts w:cs="Arial"/>
        </w:rPr>
        <w:t xml:space="preserve">, a disproportionate burden of disease (CDC 2015). </w:t>
      </w:r>
    </w:p>
    <w:p w14:paraId="747A00BD" w14:textId="0E412A25" w:rsidR="00543719" w:rsidRPr="00543719" w:rsidRDefault="00543719" w:rsidP="006E4CC2">
      <w:pPr>
        <w:tabs>
          <w:tab w:val="left" w:pos="2054"/>
        </w:tabs>
        <w:spacing w:line="360" w:lineRule="auto"/>
        <w:rPr>
          <w:rFonts w:cs="Arial"/>
        </w:rPr>
      </w:pPr>
      <w:r w:rsidRPr="00543719">
        <w:rPr>
          <w:rFonts w:cs="Arial"/>
        </w:rPr>
        <w:t>Untreated syphilis can lead to serious sequelae, including neurosyphilis, which has increased in recent years. Cases of ocular syphilis, which can lead to permanent blindness, have been reported among MSM in recent months (CDC 2016). The reasons for syphilis increases among MSM are not entirely clear; how</w:t>
      </w:r>
      <w:r w:rsidR="006E4CC2">
        <w:rPr>
          <w:rFonts w:cs="Arial"/>
        </w:rPr>
        <w:t>ever, sex without condoms, sero-</w:t>
      </w:r>
      <w:r w:rsidRPr="00543719">
        <w:rPr>
          <w:rFonts w:cs="Arial"/>
        </w:rPr>
        <w:t>sorting among HIV positive men, and the perception among some men that syphilis is relatively benign and easily cured, are factors. The increased availabili</w:t>
      </w:r>
      <w:r w:rsidR="00E75091">
        <w:rPr>
          <w:rFonts w:cs="Arial"/>
        </w:rPr>
        <w:t>ty and use of PrEP (pre-</w:t>
      </w:r>
      <w:r w:rsidRPr="00543719">
        <w:rPr>
          <w:rFonts w:cs="Arial"/>
        </w:rPr>
        <w:t xml:space="preserve">exposure prophylaxis), which protects against HIV transmission but not STDs, further increases the need for STD programs to devise new and effective strategies for engaging MSM in STD prevention efforts. </w:t>
      </w:r>
    </w:p>
    <w:p w14:paraId="517B08E5" w14:textId="754C900A" w:rsidR="00543719" w:rsidRDefault="00543719" w:rsidP="006E4CC2">
      <w:pPr>
        <w:tabs>
          <w:tab w:val="left" w:pos="2054"/>
        </w:tabs>
        <w:spacing w:line="360" w:lineRule="auto"/>
        <w:rPr>
          <w:rFonts w:cs="Arial"/>
        </w:rPr>
      </w:pPr>
      <w:r w:rsidRPr="00543719">
        <w:rPr>
          <w:rFonts w:cs="Arial"/>
        </w:rPr>
        <w:t xml:space="preserve">Among </w:t>
      </w:r>
      <w:r w:rsidR="00FD0DC2">
        <w:rPr>
          <w:rFonts w:cs="Arial"/>
        </w:rPr>
        <w:t>BMSM</w:t>
      </w:r>
      <w:r w:rsidRPr="00543719">
        <w:rPr>
          <w:rFonts w:cs="Arial"/>
        </w:rPr>
        <w:t>, social isolation compounded by racism, homophobia, high prevalence of HIV and STD in sexual networks, and lack of access to health care also increases vulnerability to syphilis and other STDs</w:t>
      </w:r>
      <w:r w:rsidR="008261DA" w:rsidRPr="008261DA">
        <w:t xml:space="preserve"> </w:t>
      </w:r>
      <w:r w:rsidR="008261DA">
        <w:t>(Maulsby 2014).</w:t>
      </w:r>
      <w:r w:rsidRPr="00543719">
        <w:rPr>
          <w:rFonts w:cs="Arial"/>
        </w:rPr>
        <w:t xml:space="preserve"> </w:t>
      </w:r>
      <w:r w:rsidR="00DA2BE9">
        <w:rPr>
          <w:rFonts w:cs="Arial"/>
        </w:rPr>
        <w:t xml:space="preserve"> </w:t>
      </w:r>
      <w:r w:rsidRPr="00543719">
        <w:rPr>
          <w:rFonts w:cs="Arial"/>
        </w:rPr>
        <w:t>The findings from this project will help ensure the relevance of prevention efforts, including but not limited to influencing dissemination strategies and identifying appropriate content.</w:t>
      </w:r>
    </w:p>
    <w:p w14:paraId="24BFF15F" w14:textId="08B54DEB" w:rsidR="00CC6AB1" w:rsidRDefault="00CC6AB1" w:rsidP="00E53653">
      <w:pPr>
        <w:pStyle w:val="Heading1"/>
      </w:pPr>
      <w:bookmarkStart w:id="2" w:name="_Toc475955393"/>
      <w:r w:rsidRPr="00B12EA3">
        <w:t>Purpose and Use of the Information Collection</w:t>
      </w:r>
      <w:bookmarkEnd w:id="2"/>
    </w:p>
    <w:p w14:paraId="729B9CAE" w14:textId="77777777" w:rsidR="00CC6AB1" w:rsidRDefault="00CC6AB1" w:rsidP="00F951D1"/>
    <w:p w14:paraId="02691449" w14:textId="00304767" w:rsidR="00157169" w:rsidRPr="00157169" w:rsidRDefault="00D01AB3" w:rsidP="00157169">
      <w:pPr>
        <w:spacing w:line="360" w:lineRule="auto"/>
      </w:pPr>
      <w:r>
        <w:t xml:space="preserve">The purpose of this </w:t>
      </w:r>
      <w:r w:rsidR="007325ED">
        <w:t xml:space="preserve">information collection </w:t>
      </w:r>
      <w:r>
        <w:t xml:space="preserve">is to conduct </w:t>
      </w:r>
      <w:r w:rsidR="00157169">
        <w:t>a series of focus groups</w:t>
      </w:r>
      <w:r w:rsidR="00DE0EA1">
        <w:t xml:space="preserve"> among </w:t>
      </w:r>
      <w:r w:rsidR="00FD0DC2">
        <w:t>BMSM</w:t>
      </w:r>
      <w:r w:rsidR="00C232C2">
        <w:t>.</w:t>
      </w:r>
      <w:r w:rsidR="00AC7A46">
        <w:t xml:space="preserve"> </w:t>
      </w:r>
      <w:r w:rsidR="00E86866">
        <w:t xml:space="preserve">This collection </w:t>
      </w:r>
      <w:r w:rsidR="00E86866" w:rsidRPr="00856DCF">
        <w:rPr>
          <w:bCs/>
        </w:rPr>
        <w:t>will provide the primary qualitative data needed to understand barriers and</w:t>
      </w:r>
      <w:r w:rsidR="00E86866">
        <w:rPr>
          <w:bCs/>
        </w:rPr>
        <w:t xml:space="preserve"> facilitators to HIV/STI prevention, care and treatment </w:t>
      </w:r>
      <w:r w:rsidR="00E86866" w:rsidRPr="00856DCF">
        <w:rPr>
          <w:bCs/>
        </w:rPr>
        <w:t xml:space="preserve">among </w:t>
      </w:r>
      <w:r w:rsidR="00E86866" w:rsidRPr="00C73AE8">
        <w:rPr>
          <w:bCs/>
        </w:rPr>
        <w:t>BMSM</w:t>
      </w:r>
      <w:r w:rsidR="00E86866" w:rsidRPr="00856DCF">
        <w:rPr>
          <w:bCs/>
        </w:rPr>
        <w:t xml:space="preserve"> at the greatest risk for </w:t>
      </w:r>
      <w:r w:rsidR="00E86866" w:rsidRPr="00C73AE8">
        <w:rPr>
          <w:bCs/>
        </w:rPr>
        <w:t>HIV/STI</w:t>
      </w:r>
      <w:r w:rsidR="00E86866" w:rsidRPr="00856DCF">
        <w:rPr>
          <w:bCs/>
        </w:rPr>
        <w:t xml:space="preserve"> infection </w:t>
      </w:r>
      <w:r w:rsidR="00E86866">
        <w:rPr>
          <w:bCs/>
        </w:rPr>
        <w:t xml:space="preserve">and transmission </w:t>
      </w:r>
      <w:r w:rsidR="00E86866" w:rsidRPr="00856DCF">
        <w:rPr>
          <w:bCs/>
        </w:rPr>
        <w:t>in the U.S.</w:t>
      </w:r>
      <w:r w:rsidR="00E86866">
        <w:rPr>
          <w:bCs/>
        </w:rPr>
        <w:t xml:space="preserve">  </w:t>
      </w:r>
      <w:r w:rsidR="00157169">
        <w:t xml:space="preserve">This work is a follow-up to the </w:t>
      </w:r>
      <w:r w:rsidR="00157169">
        <w:rPr>
          <w:b/>
        </w:rPr>
        <w:t xml:space="preserve">first iteration </w:t>
      </w:r>
      <w:r w:rsidR="00157169">
        <w:t>of Project Engage which took place from September 2016 to December 2017</w:t>
      </w:r>
      <w:r w:rsidR="00E86866">
        <w:t xml:space="preserve"> under the CDC Generic Formative Research and Tool Development (0920-0840(17YJ) </w:t>
      </w:r>
      <w:r w:rsidR="00157169">
        <w:t xml:space="preserve">. </w:t>
      </w:r>
      <w:r w:rsidR="00157169" w:rsidRPr="00157169">
        <w:t>Project Engage explored the meaning of and relevance of “community” through qualitative interviews among Black/African-American MSM in two cities with high rates of HIV and syphilis, New Orleans, Louisiana and Washington D.C. Major themes from the first iteration of Project Engage were:</w:t>
      </w:r>
    </w:p>
    <w:p w14:paraId="143BEDEB" w14:textId="77777777" w:rsidR="00157169" w:rsidRPr="00157169" w:rsidRDefault="00157169" w:rsidP="00157169">
      <w:pPr>
        <w:numPr>
          <w:ilvl w:val="0"/>
          <w:numId w:val="25"/>
        </w:numPr>
        <w:spacing w:line="360" w:lineRule="auto"/>
      </w:pPr>
      <w:r w:rsidRPr="00157169">
        <w:t>Similar ideologies, overcoming adversity, creating “safe spaces” and emotional support are key factors in forming a community/developing a sense of belongingness in a community.</w:t>
      </w:r>
    </w:p>
    <w:p w14:paraId="5A230918" w14:textId="77777777" w:rsidR="00157169" w:rsidRPr="00157169" w:rsidRDefault="00157169" w:rsidP="00157169">
      <w:pPr>
        <w:numPr>
          <w:ilvl w:val="0"/>
          <w:numId w:val="25"/>
        </w:numPr>
        <w:spacing w:line="360" w:lineRule="auto"/>
      </w:pPr>
      <w:r w:rsidRPr="00157169">
        <w:t>The gay community is not talking about syphilis.</w:t>
      </w:r>
    </w:p>
    <w:p w14:paraId="0D20BB75" w14:textId="77777777" w:rsidR="00157169" w:rsidRPr="00157169" w:rsidRDefault="00157169" w:rsidP="00157169">
      <w:pPr>
        <w:numPr>
          <w:ilvl w:val="0"/>
          <w:numId w:val="25"/>
        </w:numPr>
        <w:spacing w:line="360" w:lineRule="auto"/>
      </w:pPr>
      <w:r w:rsidRPr="00157169">
        <w:t>The larger gay community has more representation and access to resources than the black gay community.</w:t>
      </w:r>
    </w:p>
    <w:p w14:paraId="3BC433E6" w14:textId="77777777" w:rsidR="00157169" w:rsidRPr="00157169" w:rsidRDefault="00157169" w:rsidP="00157169">
      <w:pPr>
        <w:numPr>
          <w:ilvl w:val="0"/>
          <w:numId w:val="25"/>
        </w:numPr>
        <w:spacing w:line="360" w:lineRule="auto"/>
      </w:pPr>
      <w:r w:rsidRPr="00157169">
        <w:t>There are still knowledge gaps among the gay community when it comes to sexual health, especially as it relates to Pre-exposure prophylaxis (PrEP).</w:t>
      </w:r>
    </w:p>
    <w:p w14:paraId="018A4F5F" w14:textId="6D3EC1F3" w:rsidR="006A15E8" w:rsidRDefault="00157169" w:rsidP="00157169">
      <w:pPr>
        <w:spacing w:line="360" w:lineRule="auto"/>
      </w:pPr>
      <w:r w:rsidRPr="00157169">
        <w:t>The second iteration of Project Engage intends to explore these findings and their implications for sexual health community engagement and mobilization efforts, and will be used to refine and tailor current outreach and communication strategies for reaching Black/African-American MSM</w:t>
      </w:r>
      <w:r>
        <w:t>.</w:t>
      </w:r>
    </w:p>
    <w:p w14:paraId="7E7848F3" w14:textId="3BC0AE78" w:rsidR="007C2DB8" w:rsidRPr="007C2DB8" w:rsidRDefault="00890B50" w:rsidP="007C2DB8">
      <w:pPr>
        <w:pStyle w:val="BodyText"/>
        <w:spacing w:line="360" w:lineRule="auto"/>
      </w:pPr>
      <w:r>
        <w:t>The</w:t>
      </w:r>
      <w:r w:rsidR="000F4D42" w:rsidRPr="000F4D42">
        <w:t xml:space="preserve"> </w:t>
      </w:r>
      <w:r w:rsidR="003D2D57">
        <w:t xml:space="preserve">planned </w:t>
      </w:r>
      <w:r w:rsidR="000F4D42" w:rsidRPr="000F4D42">
        <w:t xml:space="preserve">study design </w:t>
      </w:r>
      <w:r w:rsidR="00C232C2">
        <w:t xml:space="preserve">includes eight (8), ninety (90)-minute focus groups conducted among </w:t>
      </w:r>
      <w:r w:rsidR="00FD0DC2">
        <w:t>BMSM</w:t>
      </w:r>
      <w:r w:rsidR="00B43B8D" w:rsidRPr="00E131A3">
        <w:t xml:space="preserve"> to discuss the notion of community and its relevance to sexual health activism. </w:t>
      </w:r>
      <w:r w:rsidR="007C2DB8">
        <w:rPr>
          <w:rFonts w:eastAsia="Arial Narrow"/>
          <w:bCs/>
          <w:spacing w:val="2"/>
          <w:position w:val="-1"/>
        </w:rPr>
        <w:t xml:space="preserve">Focus group participants </w:t>
      </w:r>
      <w:r w:rsidR="00B43B8D" w:rsidRPr="00CE4B90">
        <w:rPr>
          <w:rFonts w:eastAsia="Arial Narrow"/>
          <w:bCs/>
          <w:spacing w:val="2"/>
          <w:position w:val="-1"/>
        </w:rPr>
        <w:t xml:space="preserve">will be selected from </w:t>
      </w:r>
      <w:r w:rsidR="00B43B8D">
        <w:rPr>
          <w:rFonts w:eastAsia="Arial Narrow"/>
          <w:bCs/>
          <w:spacing w:val="2"/>
          <w:position w:val="-1"/>
        </w:rPr>
        <w:t>two</w:t>
      </w:r>
      <w:r w:rsidR="00B43B8D" w:rsidRPr="00CE4B90">
        <w:rPr>
          <w:rFonts w:eastAsia="Arial Narrow"/>
          <w:bCs/>
          <w:spacing w:val="2"/>
          <w:position w:val="-1"/>
        </w:rPr>
        <w:t xml:space="preserve"> Metropolitan Statistical Areas (MSAs) with high HIV</w:t>
      </w:r>
      <w:r w:rsidR="00B43B8D">
        <w:rPr>
          <w:rFonts w:eastAsia="Arial Narrow"/>
          <w:bCs/>
          <w:spacing w:val="2"/>
          <w:position w:val="-1"/>
        </w:rPr>
        <w:t xml:space="preserve"> and </w:t>
      </w:r>
      <w:r w:rsidR="0064553E">
        <w:rPr>
          <w:rFonts w:eastAsia="Arial Narrow"/>
          <w:bCs/>
          <w:spacing w:val="2"/>
          <w:position w:val="-1"/>
        </w:rPr>
        <w:t>s</w:t>
      </w:r>
      <w:r w:rsidR="00B43B8D">
        <w:rPr>
          <w:rFonts w:eastAsia="Arial Narrow"/>
          <w:bCs/>
          <w:spacing w:val="2"/>
          <w:position w:val="-1"/>
        </w:rPr>
        <w:t>yphilis</w:t>
      </w:r>
      <w:r w:rsidR="00B43B8D" w:rsidRPr="00CE4B90">
        <w:rPr>
          <w:rFonts w:eastAsia="Arial Narrow"/>
          <w:bCs/>
          <w:spacing w:val="2"/>
          <w:position w:val="-1"/>
        </w:rPr>
        <w:t xml:space="preserve"> prevalence: </w:t>
      </w:r>
      <w:r w:rsidR="00B43B8D">
        <w:rPr>
          <w:rFonts w:eastAsia="Arial Narrow"/>
          <w:bCs/>
          <w:spacing w:val="2"/>
          <w:position w:val="-1"/>
        </w:rPr>
        <w:t>New Orleans, LA</w:t>
      </w:r>
      <w:r w:rsidR="00B43B8D" w:rsidRPr="00CE4B90">
        <w:rPr>
          <w:rFonts w:eastAsia="Arial Narrow"/>
          <w:bCs/>
          <w:spacing w:val="2"/>
          <w:position w:val="-1"/>
        </w:rPr>
        <w:t xml:space="preserve"> and Washington, DC. </w:t>
      </w:r>
    </w:p>
    <w:p w14:paraId="5FAF0D58" w14:textId="77777777" w:rsidR="007C2DB8" w:rsidRPr="007C2DB8" w:rsidRDefault="007C2DB8" w:rsidP="007C2DB8">
      <w:pPr>
        <w:pStyle w:val="BodyText"/>
        <w:spacing w:line="360" w:lineRule="auto"/>
        <w:rPr>
          <w:b/>
          <w:bCs/>
        </w:rPr>
      </w:pPr>
      <w:r w:rsidRPr="007C2DB8">
        <w:t>The sample will be stratified by city (New Orleans and Washington, DC) and age (18-34, 35+). In each city, we will target recruiting approximately sixteen black/African American MSM age 18-34 and sixteen age 35+.   The following table shows the participant pool (N=64) stratification:</w:t>
      </w:r>
    </w:p>
    <w:tbl>
      <w:tblPr>
        <w:tblW w:w="57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915"/>
        <w:gridCol w:w="1915"/>
        <w:gridCol w:w="1915"/>
      </w:tblGrid>
      <w:tr w:rsidR="007C2DB8" w:rsidRPr="007C2DB8" w14:paraId="7655BE65" w14:textId="77777777" w:rsidTr="007C2DB8">
        <w:trPr>
          <w:trHeight w:val="241"/>
        </w:trPr>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9FC19C" w14:textId="77777777" w:rsidR="007C2DB8" w:rsidRPr="007C2DB8" w:rsidRDefault="007C2DB8" w:rsidP="007C2DB8">
            <w:pPr>
              <w:pStyle w:val="BodyText"/>
              <w:spacing w:after="0" w:line="360" w:lineRule="auto"/>
            </w:pPr>
            <w:r w:rsidRPr="007C2DB8">
              <w:rPr>
                <w:b/>
                <w:bCs/>
              </w:rPr>
              <w:t>Age</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D352F0" w14:textId="77777777" w:rsidR="007C2DB8" w:rsidRPr="007C2DB8" w:rsidRDefault="007C2DB8" w:rsidP="007C2DB8">
            <w:pPr>
              <w:pStyle w:val="BodyText"/>
              <w:spacing w:after="0" w:line="360" w:lineRule="auto"/>
            </w:pPr>
            <w:r w:rsidRPr="007C2DB8">
              <w:rPr>
                <w:b/>
                <w:bCs/>
              </w:rPr>
              <w:t>New Orleans</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621B627" w14:textId="77777777" w:rsidR="007C2DB8" w:rsidRPr="007C2DB8" w:rsidRDefault="007C2DB8" w:rsidP="007C2DB8">
            <w:pPr>
              <w:pStyle w:val="BodyText"/>
              <w:spacing w:after="0" w:line="360" w:lineRule="auto"/>
            </w:pPr>
            <w:r w:rsidRPr="007C2DB8">
              <w:rPr>
                <w:b/>
                <w:bCs/>
              </w:rPr>
              <w:t>Washington DC</w:t>
            </w:r>
          </w:p>
        </w:tc>
      </w:tr>
      <w:tr w:rsidR="007C2DB8" w:rsidRPr="007C2DB8" w14:paraId="4CF4A482" w14:textId="77777777" w:rsidTr="007C2DB8">
        <w:trPr>
          <w:trHeight w:val="241"/>
        </w:trPr>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62CCA" w14:textId="77777777" w:rsidR="007C2DB8" w:rsidRPr="007C2DB8" w:rsidRDefault="007C2DB8" w:rsidP="007C2DB8">
            <w:pPr>
              <w:pStyle w:val="BodyText"/>
              <w:spacing w:line="360" w:lineRule="auto"/>
            </w:pPr>
            <w:r w:rsidRPr="007C2DB8">
              <w:t>18-34</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A12437" w14:textId="77777777" w:rsidR="007C2DB8" w:rsidRPr="007C2DB8" w:rsidRDefault="007C2DB8" w:rsidP="007C2DB8">
            <w:pPr>
              <w:pStyle w:val="BodyText"/>
              <w:spacing w:line="360" w:lineRule="auto"/>
            </w:pPr>
            <w:r w:rsidRPr="007C2DB8">
              <w:t>16</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F71BDC" w14:textId="77777777" w:rsidR="007C2DB8" w:rsidRPr="007C2DB8" w:rsidRDefault="007C2DB8" w:rsidP="007C2DB8">
            <w:pPr>
              <w:pStyle w:val="BodyText"/>
              <w:spacing w:line="360" w:lineRule="auto"/>
            </w:pPr>
            <w:r w:rsidRPr="007C2DB8">
              <w:t>16</w:t>
            </w:r>
          </w:p>
        </w:tc>
      </w:tr>
      <w:tr w:rsidR="007C2DB8" w:rsidRPr="007C2DB8" w14:paraId="6E041358" w14:textId="77777777" w:rsidTr="007C2DB8">
        <w:trPr>
          <w:trHeight w:val="241"/>
        </w:trPr>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7E40B" w14:textId="77777777" w:rsidR="007C2DB8" w:rsidRPr="007C2DB8" w:rsidRDefault="007C2DB8" w:rsidP="007C2DB8">
            <w:pPr>
              <w:pStyle w:val="BodyText"/>
              <w:spacing w:line="360" w:lineRule="auto"/>
            </w:pPr>
            <w:r w:rsidRPr="007C2DB8">
              <w:t>35+</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D46B84" w14:textId="77777777" w:rsidR="007C2DB8" w:rsidRPr="007C2DB8" w:rsidRDefault="007C2DB8" w:rsidP="007C2DB8">
            <w:pPr>
              <w:pStyle w:val="BodyText"/>
              <w:spacing w:line="360" w:lineRule="auto"/>
            </w:pPr>
            <w:r w:rsidRPr="007C2DB8">
              <w:t>16</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2D618C" w14:textId="77777777" w:rsidR="007C2DB8" w:rsidRPr="007C2DB8" w:rsidRDefault="007C2DB8" w:rsidP="007C2DB8">
            <w:pPr>
              <w:pStyle w:val="BodyText"/>
              <w:spacing w:line="360" w:lineRule="auto"/>
            </w:pPr>
            <w:r w:rsidRPr="007C2DB8">
              <w:t>16</w:t>
            </w:r>
          </w:p>
        </w:tc>
      </w:tr>
      <w:tr w:rsidR="007C2DB8" w:rsidRPr="007C2DB8" w14:paraId="6D2D508E" w14:textId="77777777" w:rsidTr="007C2DB8">
        <w:trPr>
          <w:trHeight w:val="241"/>
        </w:trPr>
        <w:tc>
          <w:tcPr>
            <w:tcW w:w="38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70EDB" w14:textId="77777777" w:rsidR="007C2DB8" w:rsidRPr="007C2DB8" w:rsidRDefault="007C2DB8" w:rsidP="007C2DB8">
            <w:pPr>
              <w:pStyle w:val="BodyText"/>
              <w:spacing w:after="0" w:line="360" w:lineRule="auto"/>
            </w:pPr>
            <w:r w:rsidRPr="007C2DB8">
              <w:t xml:space="preserve">Total Desired Number of Participants </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B1B302" w14:textId="77777777" w:rsidR="007C2DB8" w:rsidRPr="007C2DB8" w:rsidRDefault="007C2DB8" w:rsidP="007C2DB8">
            <w:pPr>
              <w:pStyle w:val="BodyText"/>
              <w:spacing w:after="0" w:line="360" w:lineRule="auto"/>
            </w:pPr>
            <w:r w:rsidRPr="007C2DB8">
              <w:t>64</w:t>
            </w:r>
          </w:p>
        </w:tc>
      </w:tr>
    </w:tbl>
    <w:p w14:paraId="0F1DC6F4" w14:textId="77777777" w:rsidR="00AC7A46" w:rsidRDefault="00AC7A46" w:rsidP="006E4CC2">
      <w:pPr>
        <w:pStyle w:val="BodyText"/>
        <w:spacing w:after="0" w:line="360" w:lineRule="auto"/>
        <w:rPr>
          <w:rFonts w:cs="Arial"/>
          <w:w w:val="105"/>
        </w:rPr>
      </w:pPr>
    </w:p>
    <w:p w14:paraId="61E8BA0B" w14:textId="2444711E" w:rsidR="00F936F5" w:rsidRDefault="00F936F5" w:rsidP="006E4CC2">
      <w:pPr>
        <w:pStyle w:val="BodyText"/>
        <w:spacing w:after="0" w:line="360" w:lineRule="auto"/>
        <w:rPr>
          <w:rFonts w:cs="Arial"/>
          <w:w w:val="105"/>
        </w:rPr>
      </w:pPr>
      <w:r w:rsidRPr="00F936F5">
        <w:rPr>
          <w:rFonts w:cs="Arial"/>
          <w:w w:val="105"/>
        </w:rPr>
        <w:t xml:space="preserve">We will use qualitative, </w:t>
      </w:r>
      <w:r w:rsidR="00430C11">
        <w:rPr>
          <w:rFonts w:cs="Arial"/>
          <w:w w:val="105"/>
        </w:rPr>
        <w:t>focus groups</w:t>
      </w:r>
      <w:r w:rsidRPr="00F936F5">
        <w:rPr>
          <w:rFonts w:cs="Arial"/>
          <w:w w:val="105"/>
        </w:rPr>
        <w:t xml:space="preserve"> to collect </w:t>
      </w:r>
      <w:r w:rsidR="003D2D57">
        <w:rPr>
          <w:rFonts w:cs="Arial"/>
          <w:w w:val="105"/>
        </w:rPr>
        <w:t>data</w:t>
      </w:r>
      <w:r w:rsidR="003F3217">
        <w:rPr>
          <w:rFonts w:cs="Arial"/>
          <w:w w:val="105"/>
        </w:rPr>
        <w:t xml:space="preserve"> for this study (</w:t>
      </w:r>
      <w:r w:rsidR="003F3217" w:rsidRPr="00DB7501">
        <w:rPr>
          <w:rFonts w:cs="Arial"/>
          <w:b/>
          <w:w w:val="105"/>
        </w:rPr>
        <w:t xml:space="preserve">Attachment </w:t>
      </w:r>
      <w:r w:rsidR="009E080C">
        <w:rPr>
          <w:rFonts w:cs="Arial"/>
          <w:b/>
          <w:w w:val="105"/>
        </w:rPr>
        <w:t>5</w:t>
      </w:r>
      <w:r w:rsidR="005622BF">
        <w:rPr>
          <w:rFonts w:cs="Arial"/>
          <w:b/>
          <w:w w:val="105"/>
        </w:rPr>
        <w:t>b</w:t>
      </w:r>
      <w:r w:rsidRPr="00F936F5">
        <w:rPr>
          <w:rFonts w:cs="Arial"/>
          <w:w w:val="105"/>
        </w:rPr>
        <w:t xml:space="preserve">). The </w:t>
      </w:r>
      <w:r w:rsidR="00430C11">
        <w:rPr>
          <w:rFonts w:cs="Arial"/>
          <w:w w:val="105"/>
        </w:rPr>
        <w:t>focus group guide</w:t>
      </w:r>
      <w:r w:rsidRPr="00F936F5">
        <w:rPr>
          <w:rFonts w:cs="Arial"/>
          <w:w w:val="105"/>
        </w:rPr>
        <w:t xml:space="preserve"> will primarily include open-ended </w:t>
      </w:r>
      <w:r>
        <w:rPr>
          <w:rFonts w:cs="Arial"/>
          <w:w w:val="105"/>
        </w:rPr>
        <w:t xml:space="preserve">questions </w:t>
      </w:r>
      <w:r w:rsidRPr="00F936F5">
        <w:rPr>
          <w:rFonts w:cs="Arial"/>
          <w:w w:val="105"/>
        </w:rPr>
        <w:t xml:space="preserve">designed to elicit information on </w:t>
      </w:r>
      <w:r w:rsidR="00430C11">
        <w:rPr>
          <w:rFonts w:cs="Arial"/>
          <w:w w:val="105"/>
        </w:rPr>
        <w:t>importance of community belonging</w:t>
      </w:r>
      <w:r w:rsidRPr="00F936F5">
        <w:rPr>
          <w:rFonts w:cs="Arial"/>
          <w:w w:val="105"/>
        </w:rPr>
        <w:t xml:space="preserve">, </w:t>
      </w:r>
      <w:r w:rsidR="00AC7A46">
        <w:rPr>
          <w:rFonts w:cs="Arial"/>
          <w:w w:val="105"/>
        </w:rPr>
        <w:t>importance of topics like s</w:t>
      </w:r>
      <w:r w:rsidR="00430C11">
        <w:rPr>
          <w:rFonts w:cs="Arial"/>
          <w:w w:val="105"/>
        </w:rPr>
        <w:t>yphilis and PREP, and STD relevant care</w:t>
      </w:r>
      <w:r w:rsidRPr="00F936F5">
        <w:rPr>
          <w:rFonts w:cs="Arial"/>
          <w:w w:val="105"/>
        </w:rPr>
        <w:t xml:space="preserve"> among </w:t>
      </w:r>
      <w:r w:rsidR="009E080C">
        <w:rPr>
          <w:rFonts w:cs="Arial"/>
          <w:w w:val="105"/>
        </w:rPr>
        <w:t>BMSM</w:t>
      </w:r>
      <w:r w:rsidRPr="00F936F5">
        <w:rPr>
          <w:rFonts w:cs="Arial"/>
          <w:w w:val="105"/>
        </w:rPr>
        <w:t xml:space="preserve"> </w:t>
      </w:r>
      <w:r>
        <w:rPr>
          <w:rFonts w:cs="Arial"/>
          <w:w w:val="105"/>
        </w:rPr>
        <w:t>(</w:t>
      </w:r>
      <w:r w:rsidRPr="00DB7501">
        <w:rPr>
          <w:rFonts w:cs="Arial"/>
          <w:b/>
          <w:w w:val="105"/>
        </w:rPr>
        <w:t xml:space="preserve">Attachment </w:t>
      </w:r>
      <w:r w:rsidR="009E080C">
        <w:rPr>
          <w:rFonts w:cs="Arial"/>
          <w:b/>
          <w:w w:val="105"/>
        </w:rPr>
        <w:t>5</w:t>
      </w:r>
      <w:r w:rsidR="005622BF">
        <w:rPr>
          <w:rFonts w:cs="Arial"/>
          <w:b/>
          <w:w w:val="105"/>
        </w:rPr>
        <w:t>b</w:t>
      </w:r>
      <w:r w:rsidRPr="00AC7A46">
        <w:rPr>
          <w:rFonts w:cs="Arial"/>
          <w:w w:val="105"/>
        </w:rPr>
        <w:t>).</w:t>
      </w:r>
      <w:r w:rsidRPr="00F936F5">
        <w:rPr>
          <w:rFonts w:cs="Arial"/>
          <w:w w:val="105"/>
        </w:rPr>
        <w:t xml:space="preserve"> Key variables to be explored through the </w:t>
      </w:r>
      <w:r w:rsidR="00D31727">
        <w:rPr>
          <w:rFonts w:cs="Arial"/>
          <w:w w:val="105"/>
        </w:rPr>
        <w:t>focus groups</w:t>
      </w:r>
      <w:r w:rsidR="00D31727" w:rsidRPr="00F936F5">
        <w:rPr>
          <w:rFonts w:cs="Arial"/>
          <w:w w:val="105"/>
        </w:rPr>
        <w:t xml:space="preserve"> </w:t>
      </w:r>
      <w:r w:rsidRPr="00F936F5">
        <w:rPr>
          <w:rFonts w:cs="Arial"/>
          <w:w w:val="105"/>
        </w:rPr>
        <w:t xml:space="preserve">are described in Exhibit 2.1 below. All data collection instruments have been approved by the </w:t>
      </w:r>
      <w:r w:rsidR="006E4CC2">
        <w:rPr>
          <w:sz w:val="23"/>
          <w:szCs w:val="23"/>
        </w:rPr>
        <w:t xml:space="preserve">MPHI Institutional Review Board </w:t>
      </w:r>
      <w:r w:rsidRPr="00F936F5">
        <w:rPr>
          <w:rFonts w:cs="Arial"/>
          <w:w w:val="105"/>
        </w:rPr>
        <w:t>(</w:t>
      </w:r>
      <w:r w:rsidRPr="00DB7501">
        <w:rPr>
          <w:rFonts w:cs="Arial"/>
          <w:b/>
          <w:w w:val="105"/>
        </w:rPr>
        <w:t xml:space="preserve">Attachment </w:t>
      </w:r>
      <w:r w:rsidR="009E080C">
        <w:rPr>
          <w:rFonts w:cs="Arial"/>
          <w:b/>
          <w:w w:val="105"/>
        </w:rPr>
        <w:t>6</w:t>
      </w:r>
      <w:r w:rsidRPr="00F936F5">
        <w:rPr>
          <w:rFonts w:cs="Arial"/>
          <w:w w:val="105"/>
        </w:rPr>
        <w:t>).</w:t>
      </w:r>
    </w:p>
    <w:p w14:paraId="75251270" w14:textId="31E63A32" w:rsidR="000F4D42" w:rsidRPr="00414B08" w:rsidRDefault="000F4D42" w:rsidP="006E4CC2">
      <w:pPr>
        <w:pStyle w:val="BodyText"/>
        <w:spacing w:after="0" w:line="360" w:lineRule="auto"/>
        <w:rPr>
          <w:rFonts w:cs="Arial"/>
          <w:w w:val="105"/>
        </w:rPr>
      </w:pPr>
      <w:r w:rsidRPr="006E4075">
        <w:rPr>
          <w:rFonts w:cs="Arial"/>
          <w:w w:val="105"/>
        </w:rPr>
        <w:t>CDC, in</w:t>
      </w:r>
      <w:r>
        <w:rPr>
          <w:rFonts w:cs="Arial"/>
          <w:w w:val="105"/>
        </w:rPr>
        <w:t xml:space="preserve"> partnership with </w:t>
      </w:r>
      <w:r w:rsidR="00D37C0E">
        <w:rPr>
          <w:rFonts w:cs="Arial"/>
          <w:w w:val="105"/>
        </w:rPr>
        <w:t>partner</w:t>
      </w:r>
      <w:r>
        <w:rPr>
          <w:rFonts w:cs="Arial"/>
          <w:w w:val="105"/>
        </w:rPr>
        <w:t xml:space="preserve"> </w:t>
      </w:r>
      <w:r w:rsidRPr="006E4075">
        <w:rPr>
          <w:rFonts w:cs="Arial"/>
          <w:w w:val="105"/>
        </w:rPr>
        <w:t xml:space="preserve">staff, will identify and develop appropriate dissemination opportunities for these findings. </w:t>
      </w:r>
      <w:r w:rsidR="003D2D57" w:rsidRPr="00890B50">
        <w:rPr>
          <w:rFonts w:cs="Arial"/>
          <w:w w:val="105"/>
        </w:rPr>
        <w:t xml:space="preserve">The results of this study are not </w:t>
      </w:r>
      <w:r w:rsidR="009E080C" w:rsidRPr="009E080C">
        <w:rPr>
          <w:rFonts w:cs="Arial"/>
          <w:w w:val="105"/>
        </w:rPr>
        <w:t>to produce statistical results that may be generalizable</w:t>
      </w:r>
      <w:r w:rsidR="009E080C">
        <w:rPr>
          <w:rFonts w:cs="Arial"/>
          <w:w w:val="105"/>
        </w:rPr>
        <w:t xml:space="preserve"> to the larger population</w:t>
      </w:r>
      <w:r w:rsidR="009E080C" w:rsidRPr="009E080C">
        <w:rPr>
          <w:rFonts w:cs="Arial"/>
          <w:w w:val="105"/>
        </w:rPr>
        <w:t>, but the lessons and findi</w:t>
      </w:r>
      <w:r w:rsidR="009E080C">
        <w:rPr>
          <w:rFonts w:cs="Arial"/>
          <w:w w:val="105"/>
        </w:rPr>
        <w:t>ngs may indeed be generalizable</w:t>
      </w:r>
      <w:r w:rsidR="003D2D57" w:rsidRPr="00890B50">
        <w:rPr>
          <w:rFonts w:cs="Arial"/>
          <w:w w:val="105"/>
        </w:rPr>
        <w:t>.</w:t>
      </w:r>
      <w:r w:rsidR="003D2D57">
        <w:rPr>
          <w:rFonts w:cs="Arial"/>
          <w:w w:val="105"/>
        </w:rPr>
        <w:t xml:space="preserve"> </w:t>
      </w:r>
      <w:r w:rsidR="00A8482E">
        <w:rPr>
          <w:rFonts w:cs="Arial"/>
          <w:w w:val="105"/>
        </w:rPr>
        <w:t>I</w:t>
      </w:r>
      <w:r w:rsidR="00A8482E" w:rsidRPr="00A8482E">
        <w:rPr>
          <w:rFonts w:cs="Arial"/>
          <w:w w:val="105"/>
        </w:rPr>
        <w:t>nformation collected will be used to revise, augment or finalize communication campaign platforms and systems</w:t>
      </w:r>
      <w:r w:rsidR="00A8482E">
        <w:rPr>
          <w:rFonts w:cs="Arial"/>
          <w:w w:val="105"/>
        </w:rPr>
        <w:t>.</w:t>
      </w:r>
    </w:p>
    <w:p w14:paraId="35F97AD9" w14:textId="79B17D8B" w:rsidR="00F72954" w:rsidRDefault="00F72954" w:rsidP="00F72954"/>
    <w:p w14:paraId="1A7585C2" w14:textId="3E43C6FA" w:rsidR="00F72954" w:rsidRPr="00C91C02" w:rsidRDefault="00C91C02" w:rsidP="00C91C02">
      <w:pPr>
        <w:pStyle w:val="Caption"/>
      </w:pPr>
      <w:bookmarkStart w:id="3" w:name="_Toc475955413"/>
      <w:r w:rsidRPr="00C91C02">
        <w:t xml:space="preserve">Exhibit </w:t>
      </w:r>
      <w:r w:rsidR="00BC7F17">
        <w:fldChar w:fldCharType="begin"/>
      </w:r>
      <w:r w:rsidR="00BC7F17">
        <w:instrText xml:space="preserve"> STYLEREF 1 \s </w:instrText>
      </w:r>
      <w:r w:rsidR="00BC7F17">
        <w:fldChar w:fldCharType="separate"/>
      </w:r>
      <w:r w:rsidRPr="00C91C02">
        <w:rPr>
          <w:noProof/>
        </w:rPr>
        <w:t>2</w:t>
      </w:r>
      <w:r w:rsidR="00BC7F17">
        <w:rPr>
          <w:noProof/>
        </w:rPr>
        <w:fldChar w:fldCharType="end"/>
      </w:r>
      <w:r w:rsidRPr="00C91C02">
        <w:t>.</w:t>
      </w:r>
      <w:r w:rsidR="00BC7F17">
        <w:fldChar w:fldCharType="begin"/>
      </w:r>
      <w:r w:rsidR="00BC7F17">
        <w:instrText xml:space="preserve"> SEQ Exhibit \* ARABIC \s 1 </w:instrText>
      </w:r>
      <w:r w:rsidR="00BC7F17">
        <w:fldChar w:fldCharType="separate"/>
      </w:r>
      <w:r w:rsidRPr="00C91C02">
        <w:rPr>
          <w:noProof/>
        </w:rPr>
        <w:t>1</w:t>
      </w:r>
      <w:r w:rsidR="00BC7F17">
        <w:rPr>
          <w:noProof/>
        </w:rPr>
        <w:fldChar w:fldCharType="end"/>
      </w:r>
      <w:r w:rsidRPr="00C91C02">
        <w:t>: Overview of Key Variables</w:t>
      </w:r>
      <w:bookmarkEnd w:id="3"/>
    </w:p>
    <w:p w14:paraId="684F3FED" w14:textId="493528DB" w:rsidR="00C91C02" w:rsidRPr="00C91C02" w:rsidRDefault="00C91C02" w:rsidP="00C91C02"/>
    <w:tbl>
      <w:tblPr>
        <w:tblStyle w:val="TableGrid"/>
        <w:tblW w:w="0" w:type="auto"/>
        <w:tblLook w:val="04A0" w:firstRow="1" w:lastRow="0" w:firstColumn="1" w:lastColumn="0" w:noHBand="0" w:noVBand="1"/>
      </w:tblPr>
      <w:tblGrid>
        <w:gridCol w:w="4888"/>
      </w:tblGrid>
      <w:tr w:rsidR="00B02928" w14:paraId="174053D7" w14:textId="2EB751E6" w:rsidTr="00F72954">
        <w:tc>
          <w:tcPr>
            <w:tcW w:w="4888" w:type="dxa"/>
          </w:tcPr>
          <w:p w14:paraId="32C8A612" w14:textId="7EB4304F" w:rsidR="00B02928" w:rsidRPr="00F72954" w:rsidRDefault="009E080C" w:rsidP="008A2E78">
            <w:pPr>
              <w:pStyle w:val="ListParagraph"/>
              <w:ind w:left="360"/>
              <w:jc w:val="center"/>
              <w:rPr>
                <w:rFonts w:ascii="Times New Roman" w:hAnsi="Times New Roman"/>
                <w:b/>
                <w:sz w:val="20"/>
                <w:szCs w:val="20"/>
              </w:rPr>
            </w:pPr>
            <w:r>
              <w:rPr>
                <w:rFonts w:ascii="Times New Roman" w:hAnsi="Times New Roman"/>
                <w:b/>
                <w:sz w:val="20"/>
                <w:szCs w:val="20"/>
                <w:lang w:val="en-US"/>
              </w:rPr>
              <w:t>BMSM</w:t>
            </w:r>
            <w:r w:rsidR="00B02928">
              <w:rPr>
                <w:rFonts w:ascii="Times New Roman" w:hAnsi="Times New Roman"/>
                <w:b/>
                <w:sz w:val="20"/>
                <w:szCs w:val="20"/>
                <w:lang w:val="en-US"/>
              </w:rPr>
              <w:t xml:space="preserve"> and Key Informants</w:t>
            </w:r>
            <w:r w:rsidR="00B02928" w:rsidRPr="00F72954">
              <w:rPr>
                <w:rFonts w:ascii="Times New Roman" w:hAnsi="Times New Roman"/>
                <w:b/>
                <w:sz w:val="20"/>
                <w:szCs w:val="20"/>
              </w:rPr>
              <w:t xml:space="preserve"> (Att</w:t>
            </w:r>
            <w:r w:rsidR="00B02928">
              <w:rPr>
                <w:rFonts w:ascii="Times New Roman" w:hAnsi="Times New Roman"/>
                <w:b/>
                <w:sz w:val="20"/>
                <w:szCs w:val="20"/>
                <w:lang w:val="en-US"/>
              </w:rPr>
              <w:t>achment</w:t>
            </w:r>
            <w:r w:rsidR="00B02928" w:rsidRPr="00F72954">
              <w:rPr>
                <w:rFonts w:ascii="Times New Roman" w:hAnsi="Times New Roman"/>
                <w:b/>
                <w:sz w:val="20"/>
                <w:szCs w:val="20"/>
              </w:rPr>
              <w:t xml:space="preserve"> </w:t>
            </w:r>
            <w:r w:rsidR="0064553E">
              <w:rPr>
                <w:rFonts w:ascii="Times New Roman" w:hAnsi="Times New Roman"/>
                <w:b/>
                <w:sz w:val="20"/>
                <w:szCs w:val="20"/>
                <w:lang w:val="en-US"/>
              </w:rPr>
              <w:t>5</w:t>
            </w:r>
            <w:r w:rsidR="00B02928">
              <w:rPr>
                <w:rFonts w:ascii="Times New Roman" w:hAnsi="Times New Roman"/>
                <w:b/>
                <w:sz w:val="20"/>
                <w:szCs w:val="20"/>
                <w:lang w:val="en-US"/>
              </w:rPr>
              <w:t>b</w:t>
            </w:r>
            <w:r w:rsidR="00B02928" w:rsidRPr="00F72954">
              <w:rPr>
                <w:rFonts w:ascii="Times New Roman" w:hAnsi="Times New Roman"/>
                <w:b/>
                <w:sz w:val="20"/>
                <w:szCs w:val="20"/>
              </w:rPr>
              <w:t>)</w:t>
            </w:r>
          </w:p>
        </w:tc>
      </w:tr>
      <w:tr w:rsidR="00B02928" w14:paraId="5097009E" w14:textId="5F849DB8" w:rsidTr="00F72954">
        <w:tc>
          <w:tcPr>
            <w:tcW w:w="4888" w:type="dxa"/>
          </w:tcPr>
          <w:p w14:paraId="1EE991B0" w14:textId="19CF4CED" w:rsidR="00B02928" w:rsidRPr="00AC3B51" w:rsidRDefault="00B02928" w:rsidP="00AC3B51">
            <w:pPr>
              <w:pStyle w:val="ListParagraph"/>
              <w:numPr>
                <w:ilvl w:val="0"/>
                <w:numId w:val="12"/>
              </w:numPr>
              <w:rPr>
                <w:sz w:val="20"/>
                <w:szCs w:val="20"/>
              </w:rPr>
            </w:pPr>
            <w:r>
              <w:rPr>
                <w:rFonts w:ascii="Times New Roman" w:hAnsi="Times New Roman"/>
                <w:sz w:val="20"/>
                <w:szCs w:val="20"/>
                <w:lang w:val="en-US"/>
              </w:rPr>
              <w:t>Community</w:t>
            </w:r>
          </w:p>
          <w:p w14:paraId="45E760A5" w14:textId="77777777" w:rsidR="00D31727" w:rsidRPr="0094497E" w:rsidRDefault="00D31727" w:rsidP="00AC3B51">
            <w:pPr>
              <w:pStyle w:val="ListParagraph"/>
              <w:numPr>
                <w:ilvl w:val="0"/>
                <w:numId w:val="12"/>
              </w:numPr>
              <w:rPr>
                <w:sz w:val="20"/>
                <w:szCs w:val="20"/>
              </w:rPr>
            </w:pPr>
            <w:r>
              <w:rPr>
                <w:rFonts w:ascii="Times New Roman" w:hAnsi="Times New Roman"/>
                <w:sz w:val="20"/>
                <w:szCs w:val="20"/>
                <w:lang w:val="en-US"/>
              </w:rPr>
              <w:t xml:space="preserve">Access to </w:t>
            </w:r>
            <w:r w:rsidR="00B02928">
              <w:rPr>
                <w:rFonts w:ascii="Times New Roman" w:hAnsi="Times New Roman"/>
                <w:sz w:val="20"/>
                <w:szCs w:val="20"/>
                <w:lang w:val="en-US"/>
              </w:rPr>
              <w:t xml:space="preserve">Sexual Health /STD Prevention </w:t>
            </w:r>
            <w:r>
              <w:rPr>
                <w:rFonts w:ascii="Times New Roman" w:hAnsi="Times New Roman"/>
                <w:sz w:val="20"/>
                <w:szCs w:val="20"/>
                <w:lang w:val="en-US"/>
              </w:rPr>
              <w:t>Resources</w:t>
            </w:r>
          </w:p>
          <w:p w14:paraId="2C78F2B0" w14:textId="562017DF" w:rsidR="00B02928" w:rsidRPr="0094497E" w:rsidRDefault="00D31727" w:rsidP="00AC3B51">
            <w:pPr>
              <w:pStyle w:val="ListParagraph"/>
              <w:numPr>
                <w:ilvl w:val="0"/>
                <w:numId w:val="12"/>
              </w:numPr>
              <w:rPr>
                <w:sz w:val="20"/>
                <w:szCs w:val="20"/>
              </w:rPr>
            </w:pPr>
            <w:r>
              <w:rPr>
                <w:rFonts w:ascii="Times New Roman" w:hAnsi="Times New Roman"/>
                <w:sz w:val="20"/>
                <w:szCs w:val="20"/>
                <w:lang w:val="en-US"/>
              </w:rPr>
              <w:t>PrEP</w:t>
            </w:r>
          </w:p>
          <w:p w14:paraId="4AE4837E" w14:textId="630DF27C" w:rsidR="00D31727" w:rsidRPr="00AC3B51" w:rsidRDefault="00E05FA2" w:rsidP="00AC3B51">
            <w:pPr>
              <w:pStyle w:val="ListParagraph"/>
              <w:numPr>
                <w:ilvl w:val="0"/>
                <w:numId w:val="12"/>
              </w:numPr>
              <w:rPr>
                <w:sz w:val="20"/>
                <w:szCs w:val="20"/>
              </w:rPr>
            </w:pPr>
            <w:r>
              <w:rPr>
                <w:rFonts w:ascii="Times New Roman" w:hAnsi="Times New Roman"/>
                <w:sz w:val="20"/>
                <w:szCs w:val="20"/>
                <w:lang w:val="en-US"/>
              </w:rPr>
              <w:t>Syphilis</w:t>
            </w:r>
          </w:p>
          <w:p w14:paraId="48DAB482" w14:textId="2D8A5D93" w:rsidR="00B02928" w:rsidRPr="006E4CC2" w:rsidRDefault="00B02928" w:rsidP="006E4CC2">
            <w:pPr>
              <w:pStyle w:val="ListParagraph"/>
              <w:numPr>
                <w:ilvl w:val="0"/>
                <w:numId w:val="12"/>
              </w:numPr>
              <w:rPr>
                <w:sz w:val="20"/>
                <w:szCs w:val="20"/>
              </w:rPr>
            </w:pPr>
            <w:r>
              <w:rPr>
                <w:rFonts w:ascii="Times New Roman" w:hAnsi="Times New Roman"/>
                <w:sz w:val="20"/>
                <w:szCs w:val="20"/>
                <w:lang w:val="en-US"/>
              </w:rPr>
              <w:t>Health Activism /Engagement</w:t>
            </w:r>
          </w:p>
        </w:tc>
      </w:tr>
    </w:tbl>
    <w:p w14:paraId="0C648E3F" w14:textId="77777777" w:rsidR="006E4CC2" w:rsidRDefault="006E4CC2" w:rsidP="00F72954"/>
    <w:p w14:paraId="607EBA2E" w14:textId="650FCE14" w:rsidR="00CC6AB1" w:rsidRDefault="00CC6AB1" w:rsidP="00F72954">
      <w:pPr>
        <w:pStyle w:val="Heading1"/>
      </w:pPr>
      <w:bookmarkStart w:id="4" w:name="_Toc475955394"/>
      <w:r w:rsidRPr="00B12EA3">
        <w:t>Use of Improved Information Technology and Burden Reduction</w:t>
      </w:r>
      <w:bookmarkEnd w:id="4"/>
    </w:p>
    <w:p w14:paraId="78B96B39" w14:textId="77777777" w:rsidR="00CC6AB1" w:rsidRDefault="00CC6AB1" w:rsidP="00F951D1"/>
    <w:p w14:paraId="708EF615" w14:textId="2E8C83A4" w:rsidR="005E6F8D" w:rsidRDefault="0045775E" w:rsidP="006E4CC2">
      <w:pPr>
        <w:spacing w:line="360" w:lineRule="auto"/>
        <w:jc w:val="both"/>
      </w:pPr>
      <w:r w:rsidRPr="0045775E">
        <w:t xml:space="preserve">National Network of Public Health Institutes </w:t>
      </w:r>
      <w:r>
        <w:t>(</w:t>
      </w:r>
      <w:r w:rsidR="007202CA">
        <w:t>NNPHI</w:t>
      </w:r>
      <w:r>
        <w:t>)</w:t>
      </w:r>
      <w:r w:rsidR="007202CA" w:rsidDel="007202CA">
        <w:t xml:space="preserve"> </w:t>
      </w:r>
      <w:r w:rsidR="00933271" w:rsidRPr="00603813">
        <w:t xml:space="preserve">will conduct </w:t>
      </w:r>
      <w:r w:rsidR="007459D6">
        <w:t xml:space="preserve">focus groups </w:t>
      </w:r>
      <w:r w:rsidR="00933271">
        <w:t>at a time and location that is convenient</w:t>
      </w:r>
      <w:r w:rsidR="007459D6">
        <w:t xml:space="preserve">, accessible, and centrally </w:t>
      </w:r>
      <w:r w:rsidR="00AC7A46">
        <w:t>located to</w:t>
      </w:r>
      <w:r w:rsidR="00933271">
        <w:t xml:space="preserve"> the selected </w:t>
      </w:r>
      <w:r w:rsidR="00C73AE8">
        <w:t>respondents</w:t>
      </w:r>
      <w:r w:rsidR="007459D6">
        <w:t xml:space="preserve"> </w:t>
      </w:r>
      <w:r w:rsidR="00AC7A46">
        <w:t>to reduce</w:t>
      </w:r>
      <w:r w:rsidR="007202CA">
        <w:t xml:space="preserve"> burden on </w:t>
      </w:r>
      <w:r w:rsidR="00C73AE8">
        <w:t>respondents</w:t>
      </w:r>
      <w:r w:rsidR="006E4CC2">
        <w:t>’</w:t>
      </w:r>
      <w:r w:rsidR="007202CA">
        <w:t xml:space="preserve"> time and resources</w:t>
      </w:r>
      <w:r w:rsidR="007459D6">
        <w:t xml:space="preserve">. </w:t>
      </w:r>
      <w:r w:rsidR="00933271" w:rsidRPr="00603813">
        <w:t xml:space="preserve">After asking for and receiving permission from the respondent, </w:t>
      </w:r>
      <w:r w:rsidR="007202CA">
        <w:t>NNPHI</w:t>
      </w:r>
      <w:r w:rsidR="00933271" w:rsidRPr="00397E6E">
        <w:t xml:space="preserve"> </w:t>
      </w:r>
      <w:r w:rsidR="00933271" w:rsidRPr="00603813">
        <w:t>will audio-recor</w:t>
      </w:r>
      <w:r w:rsidR="00933271">
        <w:t>d the interviews and transcribe</w:t>
      </w:r>
      <w:r w:rsidR="00933271" w:rsidRPr="00603813">
        <w:t xml:space="preserve"> recordings after </w:t>
      </w:r>
      <w:r w:rsidR="00D57B7B">
        <w:t>the completion of focus groups</w:t>
      </w:r>
      <w:r w:rsidR="00933271" w:rsidRPr="00603813">
        <w:t xml:space="preserve">. This </w:t>
      </w:r>
      <w:r w:rsidR="007202CA">
        <w:t xml:space="preserve">also </w:t>
      </w:r>
      <w:r w:rsidR="00933271" w:rsidRPr="00603813">
        <w:t xml:space="preserve">limits the burden on the respondent (no additional burden after completing the </w:t>
      </w:r>
      <w:r w:rsidR="00D57B7B">
        <w:t>focus groups</w:t>
      </w:r>
      <w:r w:rsidR="00933271" w:rsidRPr="00603813">
        <w:t xml:space="preserve">) and allows the interviewer to focus on building and maintaining rapport with </w:t>
      </w:r>
      <w:r w:rsidR="00D57B7B">
        <w:t>focus group participants.</w:t>
      </w:r>
    </w:p>
    <w:p w14:paraId="0F163E5C" w14:textId="22597E96" w:rsidR="00CC6AB1" w:rsidRDefault="00CC6AB1" w:rsidP="00E53653">
      <w:pPr>
        <w:pStyle w:val="Heading1"/>
      </w:pPr>
      <w:bookmarkStart w:id="5" w:name="_Toc475955395"/>
      <w:r w:rsidRPr="00B12EA3">
        <w:t>Efforts to Identify Duplication and Use of Similar Information</w:t>
      </w:r>
      <w:bookmarkEnd w:id="5"/>
    </w:p>
    <w:p w14:paraId="6362FFD3" w14:textId="77777777" w:rsidR="00CC6AB1" w:rsidRDefault="00CC6AB1" w:rsidP="00F75369"/>
    <w:p w14:paraId="6C5766A6" w14:textId="1998DB2E" w:rsidR="00933271" w:rsidRDefault="00003E5D" w:rsidP="006E4CC2">
      <w:pPr>
        <w:spacing w:line="360" w:lineRule="auto"/>
      </w:pPr>
      <w:r w:rsidRPr="00003E5D">
        <w:t xml:space="preserve">The </w:t>
      </w:r>
      <w:r w:rsidR="00D57B7B">
        <w:t>focus groups</w:t>
      </w:r>
      <w:r w:rsidR="00D57B7B" w:rsidRPr="00003E5D">
        <w:t xml:space="preserve"> </w:t>
      </w:r>
      <w:r w:rsidRPr="00003E5D">
        <w:t xml:space="preserve">will collect key information that the Agency believes is not captured elsewhere. The Agency believes no other data collection effort has been conducted or has been planned to collect similar information for these populations. CDC conducted a review of similar studies prior to the issuance of the </w:t>
      </w:r>
      <w:r w:rsidR="00B6300F" w:rsidRPr="00003E5D">
        <w:t>co</w:t>
      </w:r>
      <w:r w:rsidR="00B6300F">
        <w:t>operative agreement</w:t>
      </w:r>
      <w:r w:rsidRPr="00003E5D">
        <w:t xml:space="preserve">, and determined that this study is collecting unique information from the populations. Therefore, our </w:t>
      </w:r>
      <w:r w:rsidR="00C73AE8">
        <w:t xml:space="preserve">study </w:t>
      </w:r>
      <w:r w:rsidRPr="00003E5D">
        <w:t xml:space="preserve">requires the collection of this new primary data. There would be no reason for another </w:t>
      </w:r>
      <w:r w:rsidR="00B30AEA">
        <w:t xml:space="preserve">Federal Agency to </w:t>
      </w:r>
      <w:r w:rsidR="00C73AE8">
        <w:t>conduct a similar study</w:t>
      </w:r>
      <w:r w:rsidR="00B30AEA">
        <w:t xml:space="preserve"> this</w:t>
      </w:r>
      <w:r w:rsidR="00933271" w:rsidRPr="0096557A">
        <w:t>.</w:t>
      </w:r>
    </w:p>
    <w:p w14:paraId="6A51B86A" w14:textId="3ACF01FA" w:rsidR="00CC6AB1" w:rsidRDefault="00CC6AB1" w:rsidP="00F75369">
      <w:pPr>
        <w:pStyle w:val="Heading1"/>
      </w:pPr>
      <w:bookmarkStart w:id="6" w:name="_Toc475955396"/>
      <w:r w:rsidRPr="00B12EA3">
        <w:t>Impact on Small Businesses or Other Small Entities</w:t>
      </w:r>
      <w:bookmarkEnd w:id="6"/>
    </w:p>
    <w:p w14:paraId="1B0789FE" w14:textId="77777777" w:rsidR="00C73AE8" w:rsidRDefault="00C73AE8" w:rsidP="00C73AE8">
      <w:pPr>
        <w:spacing w:line="360" w:lineRule="auto"/>
      </w:pPr>
    </w:p>
    <w:p w14:paraId="2A80B1E5" w14:textId="58009BF6" w:rsidR="00B30AEA" w:rsidRPr="00B30AEA" w:rsidRDefault="003D2D57" w:rsidP="00C73AE8">
      <w:pPr>
        <w:spacing w:line="360" w:lineRule="auto"/>
      </w:pPr>
      <w:r>
        <w:t xml:space="preserve">This study will partner </w:t>
      </w:r>
      <w:r w:rsidR="0062644D" w:rsidRPr="009B59EB">
        <w:t>with local partners (the Louisiana Public Health Institute, LPHI, in New Orleans and the Institute for Public Health Innovation, IPHI, in Washington, DC) to facilitate recruitment</w:t>
      </w:r>
      <w:r w:rsidR="0062644D" w:rsidRPr="009B59EB" w:rsidDel="0062644D">
        <w:t xml:space="preserve"> </w:t>
      </w:r>
      <w:r w:rsidR="00B30AEA" w:rsidRPr="00B30AEA">
        <w:t xml:space="preserve">to aid in recruiting potential respondents by identifying eligible potential </w:t>
      </w:r>
      <w:r w:rsidR="00C73AE8">
        <w:t>respondents</w:t>
      </w:r>
      <w:r w:rsidR="00B30AEA" w:rsidRPr="00B30AEA">
        <w:t xml:space="preserve"> </w:t>
      </w:r>
      <w:r w:rsidR="003F3217">
        <w:t xml:space="preserve">through their routine </w:t>
      </w:r>
      <w:r>
        <w:t xml:space="preserve">and regularly occurring </w:t>
      </w:r>
      <w:r w:rsidR="003F3217">
        <w:t xml:space="preserve">activities </w:t>
      </w:r>
      <w:r w:rsidR="00B30AEA" w:rsidRPr="00B30AEA">
        <w:t xml:space="preserve">and </w:t>
      </w:r>
      <w:r w:rsidR="00B30AEA">
        <w:t>referring them to the study</w:t>
      </w:r>
      <w:r w:rsidR="00B30AEA" w:rsidRPr="00B30AEA">
        <w:t>. We do not anticipate substantial burden.</w:t>
      </w:r>
    </w:p>
    <w:p w14:paraId="55BE02A1" w14:textId="26355CFC" w:rsidR="00CC6AB1" w:rsidRDefault="00CC6AB1" w:rsidP="00B30AEA">
      <w:pPr>
        <w:pStyle w:val="Heading1"/>
      </w:pPr>
      <w:bookmarkStart w:id="7" w:name="_Toc475955397"/>
      <w:r w:rsidRPr="00F9622C">
        <w:t>Consequences</w:t>
      </w:r>
      <w:r w:rsidRPr="00B12EA3">
        <w:t xml:space="preserve"> of Collecting the Information Less Frequently</w:t>
      </w:r>
      <w:bookmarkEnd w:id="7"/>
    </w:p>
    <w:p w14:paraId="2F9C5221" w14:textId="77777777" w:rsidR="00C73AE8" w:rsidRDefault="00C73AE8" w:rsidP="00C73AE8">
      <w:pPr>
        <w:spacing w:line="360" w:lineRule="auto"/>
        <w:rPr>
          <w:bCs/>
        </w:rPr>
      </w:pPr>
    </w:p>
    <w:p w14:paraId="79605A84" w14:textId="429F9776" w:rsidR="00856DCF" w:rsidRPr="00856DCF" w:rsidRDefault="00856DCF" w:rsidP="00C73AE8">
      <w:pPr>
        <w:spacing w:line="360" w:lineRule="auto"/>
      </w:pPr>
      <w:r w:rsidRPr="00856DCF">
        <w:rPr>
          <w:bCs/>
        </w:rPr>
        <w:t>The present study will provide the primary qualitative data needed to understand barriers and</w:t>
      </w:r>
      <w:r>
        <w:rPr>
          <w:bCs/>
        </w:rPr>
        <w:t xml:space="preserve"> facilitators to </w:t>
      </w:r>
      <w:r w:rsidR="0064553E">
        <w:rPr>
          <w:bCs/>
        </w:rPr>
        <w:t>HIV/STI</w:t>
      </w:r>
      <w:r>
        <w:rPr>
          <w:bCs/>
        </w:rPr>
        <w:t xml:space="preserve"> prevention, care and treatment </w:t>
      </w:r>
      <w:r w:rsidRPr="00856DCF">
        <w:rPr>
          <w:bCs/>
        </w:rPr>
        <w:t xml:space="preserve">among </w:t>
      </w:r>
      <w:r w:rsidR="00C73AE8" w:rsidRPr="00C73AE8">
        <w:rPr>
          <w:bCs/>
        </w:rPr>
        <w:t>BMSM</w:t>
      </w:r>
      <w:r w:rsidRPr="00856DCF">
        <w:rPr>
          <w:bCs/>
        </w:rPr>
        <w:t xml:space="preserve"> at the greatest risk for </w:t>
      </w:r>
      <w:r w:rsidR="00C73AE8" w:rsidRPr="00C73AE8">
        <w:rPr>
          <w:bCs/>
        </w:rPr>
        <w:t>HIV/STI</w:t>
      </w:r>
      <w:r w:rsidRPr="00856DCF">
        <w:rPr>
          <w:bCs/>
        </w:rPr>
        <w:t xml:space="preserve"> infection </w:t>
      </w:r>
      <w:r>
        <w:rPr>
          <w:bCs/>
        </w:rPr>
        <w:t xml:space="preserve">and transmission </w:t>
      </w:r>
      <w:r w:rsidRPr="00856DCF">
        <w:rPr>
          <w:bCs/>
        </w:rPr>
        <w:t xml:space="preserve">in the U.S. If this evaluation were not conducted, it would not be possible to identify barriers and facilitators and to use this information to strengthen </w:t>
      </w:r>
      <w:r w:rsidR="00C73AE8" w:rsidRPr="00C73AE8">
        <w:rPr>
          <w:bCs/>
        </w:rPr>
        <w:t>HIV/STI</w:t>
      </w:r>
      <w:r w:rsidRPr="00856DCF">
        <w:rPr>
          <w:bCs/>
        </w:rPr>
        <w:t xml:space="preserve"> prevention</w:t>
      </w:r>
      <w:r>
        <w:rPr>
          <w:bCs/>
        </w:rPr>
        <w:t>, care, and treatment</w:t>
      </w:r>
      <w:r w:rsidRPr="00856DCF">
        <w:rPr>
          <w:bCs/>
        </w:rPr>
        <w:t xml:space="preserve"> with these vulnerable populations. The length of data collection is 2-</w:t>
      </w:r>
      <w:r w:rsidR="00B6300F">
        <w:rPr>
          <w:bCs/>
        </w:rPr>
        <w:t>4</w:t>
      </w:r>
      <w:r w:rsidR="00B6300F" w:rsidRPr="00856DCF">
        <w:rPr>
          <w:bCs/>
        </w:rPr>
        <w:t xml:space="preserve"> </w:t>
      </w:r>
      <w:r w:rsidRPr="00856DCF">
        <w:rPr>
          <w:bCs/>
        </w:rPr>
        <w:t>months and data will only be collected once.</w:t>
      </w:r>
    </w:p>
    <w:p w14:paraId="19581741" w14:textId="007D7DAE" w:rsidR="00CC6AB1" w:rsidRDefault="00CC6AB1" w:rsidP="00856DCF">
      <w:pPr>
        <w:pStyle w:val="Heading1"/>
      </w:pPr>
      <w:bookmarkStart w:id="8" w:name="_Toc475955398"/>
      <w:r w:rsidRPr="00B12EA3">
        <w:t>Special Circumstances Relating to the Guidelines of 5 CFR 1320.5</w:t>
      </w:r>
      <w:bookmarkEnd w:id="8"/>
    </w:p>
    <w:p w14:paraId="6380C57E" w14:textId="77777777" w:rsidR="00CC6AB1" w:rsidRDefault="00CC6AB1" w:rsidP="00F951D1"/>
    <w:p w14:paraId="6EB90699" w14:textId="15A70ED7" w:rsidR="006E4CC2" w:rsidRDefault="00CC6AB1" w:rsidP="00F951D1">
      <w:r w:rsidRPr="007C2B6F">
        <w:t>This data collection effort doe</w:t>
      </w:r>
      <w:r>
        <w:t xml:space="preserve">s </w:t>
      </w:r>
      <w:r w:rsidRPr="007C2B6F">
        <w:t>not involve any special circumstances.</w:t>
      </w:r>
    </w:p>
    <w:p w14:paraId="4B3F1AA9" w14:textId="77777777" w:rsidR="006E4CC2" w:rsidRPr="00D467C4" w:rsidRDefault="006E4CC2" w:rsidP="00F951D1"/>
    <w:p w14:paraId="0FDC9E36" w14:textId="109020A0" w:rsidR="00CC6AB1" w:rsidRDefault="00CC6AB1" w:rsidP="00E53653">
      <w:pPr>
        <w:pStyle w:val="Heading1"/>
      </w:pPr>
      <w:bookmarkStart w:id="9" w:name="_Toc475955399"/>
      <w:r w:rsidRPr="00B12EA3">
        <w:t>Comments in Response to the Federal Register Notice and Efforts to Consult Outside the Agency</w:t>
      </w:r>
      <w:bookmarkEnd w:id="9"/>
    </w:p>
    <w:p w14:paraId="1DAE2602" w14:textId="77777777" w:rsidR="00CC6AB1" w:rsidRDefault="00CC6AB1" w:rsidP="00D467C4"/>
    <w:p w14:paraId="61CC243E" w14:textId="28362470" w:rsidR="002302EE" w:rsidRPr="002302EE" w:rsidRDefault="00961EEC" w:rsidP="002302EE">
      <w:pPr>
        <w:spacing w:line="360" w:lineRule="auto"/>
        <w:rPr>
          <w:bCs/>
        </w:rPr>
      </w:pPr>
      <w:r>
        <w:rPr>
          <w:bCs/>
        </w:rPr>
        <w:t xml:space="preserve">8a. </w:t>
      </w:r>
      <w:r w:rsidR="002302EE" w:rsidRPr="002302EE">
        <w:rPr>
          <w:bCs/>
        </w:rPr>
        <w:t xml:space="preserve">For sub-collection requests under a generic approval, Federal Register Notices are not required and none were published. </w:t>
      </w:r>
      <w:r w:rsidR="002302EE" w:rsidRPr="00E91FEF">
        <w:rPr>
          <w:bCs/>
        </w:rPr>
        <w:t xml:space="preserve">A </w:t>
      </w:r>
      <w:r w:rsidR="00E3750B" w:rsidRPr="00E91FEF">
        <w:rPr>
          <w:bCs/>
        </w:rPr>
        <w:t>60</w:t>
      </w:r>
      <w:r w:rsidR="002302EE" w:rsidRPr="00E91FEF">
        <w:rPr>
          <w:bCs/>
        </w:rPr>
        <w:t xml:space="preserve">-Day Federal Register Notice for the generic clearance 0920-0840 was published on </w:t>
      </w:r>
      <w:r w:rsidR="00E91FEF" w:rsidRPr="00E91FEF">
        <w:rPr>
          <w:bCs/>
        </w:rPr>
        <w:t>06</w:t>
      </w:r>
      <w:r w:rsidR="002302EE" w:rsidRPr="00E91FEF">
        <w:rPr>
          <w:bCs/>
        </w:rPr>
        <w:t>/</w:t>
      </w:r>
      <w:r w:rsidR="00E91FEF" w:rsidRPr="00E91FEF">
        <w:rPr>
          <w:bCs/>
        </w:rPr>
        <w:t>25/2015</w:t>
      </w:r>
      <w:r w:rsidR="002302EE" w:rsidRPr="00E91FEF">
        <w:rPr>
          <w:bCs/>
        </w:rPr>
        <w:t xml:space="preserve">, Vol. </w:t>
      </w:r>
      <w:r w:rsidR="00E91FEF" w:rsidRPr="00E91FEF">
        <w:rPr>
          <w:bCs/>
        </w:rPr>
        <w:t>80</w:t>
      </w:r>
      <w:r w:rsidR="002302EE" w:rsidRPr="00E91FEF">
        <w:rPr>
          <w:bCs/>
        </w:rPr>
        <w:t xml:space="preserve"> No. </w:t>
      </w:r>
      <w:r w:rsidR="00E91FEF" w:rsidRPr="00E91FEF">
        <w:rPr>
          <w:bCs/>
        </w:rPr>
        <w:t>122</w:t>
      </w:r>
      <w:r w:rsidR="002302EE" w:rsidRPr="00E91FEF">
        <w:rPr>
          <w:bCs/>
        </w:rPr>
        <w:t xml:space="preserve">, pages </w:t>
      </w:r>
      <w:r w:rsidR="00E91FEF" w:rsidRPr="00E91FEF">
        <w:rPr>
          <w:bCs/>
        </w:rPr>
        <w:t>36540-36542</w:t>
      </w:r>
      <w:r w:rsidR="002302EE" w:rsidRPr="00E91FEF">
        <w:rPr>
          <w:bCs/>
        </w:rPr>
        <w:t xml:space="preserve">, exp. </w:t>
      </w:r>
      <w:r w:rsidR="00E91FEF" w:rsidRPr="00E91FEF">
        <w:rPr>
          <w:bCs/>
        </w:rPr>
        <w:t>01/31/2019</w:t>
      </w:r>
      <w:r w:rsidR="002302EE" w:rsidRPr="00E91FEF">
        <w:rPr>
          <w:bCs/>
        </w:rPr>
        <w:t>.</w:t>
      </w:r>
    </w:p>
    <w:p w14:paraId="5700D26F" w14:textId="7F826E31" w:rsidR="00C1216F" w:rsidRDefault="00C1216F" w:rsidP="006E4CC2">
      <w:pPr>
        <w:spacing w:line="360" w:lineRule="auto"/>
      </w:pPr>
      <w:r>
        <w:t xml:space="preserve">In addition, </w:t>
      </w:r>
      <w:r w:rsidR="008A498C">
        <w:t>t</w:t>
      </w:r>
      <w:r w:rsidR="003D2D57">
        <w:t xml:space="preserve">he following </w:t>
      </w:r>
      <w:r w:rsidR="00B6300F">
        <w:t xml:space="preserve">partnering </w:t>
      </w:r>
      <w:r w:rsidR="003D2D57">
        <w:t>staffs</w:t>
      </w:r>
      <w:r w:rsidR="003F3217">
        <w:t xml:space="preserve"> at </w:t>
      </w:r>
      <w:r w:rsidR="00B6300F">
        <w:t>NNPHI</w:t>
      </w:r>
      <w:r w:rsidR="00B6300F" w:rsidDel="00B6300F">
        <w:t xml:space="preserve"> </w:t>
      </w:r>
      <w:r w:rsidR="00A71916">
        <w:t xml:space="preserve">were consulted for the development of this study. There were no unresolved issues associated with the consultation process. Aside from the official </w:t>
      </w:r>
      <w:r w:rsidR="0064553E">
        <w:t>60-day</w:t>
      </w:r>
      <w:r w:rsidR="00A71916">
        <w:t xml:space="preserve"> public comment period</w:t>
      </w:r>
      <w:r w:rsidR="0014691A">
        <w:t xml:space="preserve"> for the Generic data collection</w:t>
      </w:r>
      <w:r w:rsidR="00A71916">
        <w:t xml:space="preserve">, there were no other public contacts or opportunities for public comment on this </w:t>
      </w:r>
      <w:r w:rsidR="007F7EDD">
        <w:t>information collection</w:t>
      </w:r>
      <w:r w:rsidR="00A71916">
        <w:t xml:space="preserve">. </w:t>
      </w:r>
    </w:p>
    <w:p w14:paraId="5300BFE2" w14:textId="77777777" w:rsidR="001757F8" w:rsidRDefault="001757F8" w:rsidP="001757F8">
      <w:r>
        <w:t xml:space="preserve">8b. NNPHI consultants on this project include: </w:t>
      </w:r>
    </w:p>
    <w:p w14:paraId="5ECE16D1" w14:textId="77777777" w:rsidR="001757F8" w:rsidRDefault="001757F8" w:rsidP="001757F8"/>
    <w:tbl>
      <w:tblPr>
        <w:tblStyle w:val="TableGrid"/>
        <w:tblW w:w="0" w:type="auto"/>
        <w:tblLook w:val="04A0" w:firstRow="1" w:lastRow="0" w:firstColumn="1" w:lastColumn="0" w:noHBand="0" w:noVBand="1"/>
      </w:tblPr>
      <w:tblGrid>
        <w:gridCol w:w="5035"/>
        <w:gridCol w:w="5035"/>
      </w:tblGrid>
      <w:tr w:rsidR="001757F8" w14:paraId="38BF6EC7" w14:textId="77777777" w:rsidTr="001669F8">
        <w:tc>
          <w:tcPr>
            <w:tcW w:w="5035" w:type="dxa"/>
          </w:tcPr>
          <w:p w14:paraId="234E4856" w14:textId="77777777" w:rsidR="001757F8" w:rsidRPr="00826F55" w:rsidRDefault="001757F8" w:rsidP="001669F8">
            <w:r w:rsidRPr="00826F55">
              <w:t>Brittany Bickford, MPH</w:t>
            </w:r>
          </w:p>
          <w:p w14:paraId="0D39E11D" w14:textId="77777777" w:rsidR="001757F8" w:rsidRPr="00826F55" w:rsidRDefault="001757F8" w:rsidP="001669F8">
            <w:pPr>
              <w:rPr>
                <w:sz w:val="22"/>
                <w:szCs w:val="22"/>
              </w:rPr>
            </w:pPr>
            <w:r w:rsidRPr="00826F55">
              <w:t>Project Manager</w:t>
            </w:r>
          </w:p>
          <w:p w14:paraId="007DCF29" w14:textId="77777777" w:rsidR="001757F8" w:rsidRPr="00826F55" w:rsidRDefault="001757F8" w:rsidP="001669F8">
            <w:r w:rsidRPr="00826F55">
              <w:t>National Network of Public Health Institutes</w:t>
            </w:r>
          </w:p>
          <w:p w14:paraId="7580FF27" w14:textId="77777777" w:rsidR="001757F8" w:rsidRPr="00826F55" w:rsidRDefault="001757F8" w:rsidP="001669F8">
            <w:r w:rsidRPr="00826F55">
              <w:t>1100 Poydras St., Suite 950</w:t>
            </w:r>
          </w:p>
          <w:p w14:paraId="70C98243" w14:textId="77777777" w:rsidR="001757F8" w:rsidRPr="00826F55" w:rsidRDefault="001757F8" w:rsidP="001669F8">
            <w:r w:rsidRPr="00826F55">
              <w:t>New Orleans, LA 70163</w:t>
            </w:r>
          </w:p>
          <w:p w14:paraId="7D973CE5" w14:textId="77777777" w:rsidR="001757F8" w:rsidRPr="00826F55" w:rsidRDefault="001757F8" w:rsidP="001669F8">
            <w:r w:rsidRPr="00826F55">
              <w:t xml:space="preserve">504.872.0755 </w:t>
            </w:r>
            <w:hyperlink r:id="rId9" w:history="1">
              <w:r w:rsidRPr="00826F55">
                <w:rPr>
                  <w:rStyle w:val="Hyperlink"/>
                  <w:color w:val="auto"/>
                </w:rPr>
                <w:t>bbickford@nnphi.org</w:t>
              </w:r>
            </w:hyperlink>
          </w:p>
          <w:p w14:paraId="2E08276F" w14:textId="77777777" w:rsidR="001757F8" w:rsidRPr="00826F55" w:rsidRDefault="001757F8" w:rsidP="001669F8">
            <w:pPr>
              <w:pStyle w:val="Body"/>
              <w:pBdr>
                <w:top w:val="none" w:sz="0" w:space="0" w:color="auto"/>
                <w:left w:val="none" w:sz="0" w:space="0" w:color="auto"/>
                <w:bottom w:val="none" w:sz="0" w:space="0" w:color="auto"/>
                <w:right w:val="none" w:sz="0" w:space="0" w:color="auto"/>
              </w:pBdr>
              <w:rPr>
                <w:color w:val="auto"/>
              </w:rPr>
            </w:pPr>
          </w:p>
        </w:tc>
        <w:tc>
          <w:tcPr>
            <w:tcW w:w="5035" w:type="dxa"/>
          </w:tcPr>
          <w:p w14:paraId="09DDAC1D" w14:textId="77777777" w:rsidR="001757F8" w:rsidRPr="00826F55" w:rsidRDefault="001757F8" w:rsidP="001669F8">
            <w:r w:rsidRPr="00826F55">
              <w:t>Aaron Alford, Ph.D., MPH</w:t>
            </w:r>
          </w:p>
          <w:p w14:paraId="18207F66" w14:textId="77777777" w:rsidR="001757F8" w:rsidRPr="00826F55" w:rsidRDefault="001757F8" w:rsidP="001669F8">
            <w:pPr>
              <w:rPr>
                <w:sz w:val="22"/>
                <w:szCs w:val="22"/>
              </w:rPr>
            </w:pPr>
            <w:r w:rsidRPr="00826F55">
              <w:t>Principal Investigator</w:t>
            </w:r>
          </w:p>
          <w:p w14:paraId="31C41BA3" w14:textId="77777777" w:rsidR="001757F8" w:rsidRPr="00826F55" w:rsidRDefault="001757F8" w:rsidP="001669F8">
            <w:r w:rsidRPr="00826F55">
              <w:t>National Network of Public Health Institute</w:t>
            </w:r>
          </w:p>
          <w:p w14:paraId="4B64FCCD" w14:textId="77777777" w:rsidR="001757F8" w:rsidRPr="00826F55" w:rsidRDefault="001757F8" w:rsidP="001669F8">
            <w:r w:rsidRPr="00826F55">
              <w:t>1300 Connecticut Ave., NW, Suite 510</w:t>
            </w:r>
          </w:p>
          <w:p w14:paraId="7C433456" w14:textId="77777777" w:rsidR="001757F8" w:rsidRPr="00826F55" w:rsidRDefault="001757F8" w:rsidP="001669F8">
            <w:r w:rsidRPr="00826F55">
              <w:t>Washington, DC 20036</w:t>
            </w:r>
          </w:p>
          <w:p w14:paraId="393BCEB7" w14:textId="77777777" w:rsidR="001757F8" w:rsidRPr="00826F55" w:rsidRDefault="001757F8" w:rsidP="001669F8">
            <w:r w:rsidRPr="00826F55">
              <w:t xml:space="preserve">202.830.0771 </w:t>
            </w:r>
            <w:hyperlink r:id="rId10" w:history="1">
              <w:r w:rsidRPr="00826F55">
                <w:rPr>
                  <w:rStyle w:val="Hyperlink"/>
                  <w:color w:val="auto"/>
                </w:rPr>
                <w:t>aalford@nnphi.org</w:t>
              </w:r>
            </w:hyperlink>
          </w:p>
          <w:p w14:paraId="4676058B" w14:textId="77777777" w:rsidR="001757F8" w:rsidRPr="00826F55" w:rsidRDefault="001757F8" w:rsidP="001669F8"/>
        </w:tc>
      </w:tr>
      <w:tr w:rsidR="001757F8" w14:paraId="3884FADD" w14:textId="77777777" w:rsidTr="001669F8">
        <w:tc>
          <w:tcPr>
            <w:tcW w:w="5035" w:type="dxa"/>
          </w:tcPr>
          <w:p w14:paraId="2309947F" w14:textId="77777777" w:rsidR="001757F8" w:rsidRPr="00826F55" w:rsidRDefault="001757F8" w:rsidP="001669F8">
            <w:r w:rsidRPr="00826F55">
              <w:t>Jennifer Edwards, PhD</w:t>
            </w:r>
          </w:p>
          <w:p w14:paraId="41929B90" w14:textId="77777777" w:rsidR="001757F8" w:rsidRPr="00826F55" w:rsidRDefault="001757F8" w:rsidP="001669F8">
            <w:pPr>
              <w:rPr>
                <w:sz w:val="22"/>
                <w:szCs w:val="22"/>
              </w:rPr>
            </w:pPr>
            <w:r w:rsidRPr="00826F55">
              <w:t>Project Assistant</w:t>
            </w:r>
          </w:p>
          <w:p w14:paraId="3066AB78" w14:textId="77777777" w:rsidR="001757F8" w:rsidRPr="00826F55" w:rsidRDefault="001757F8" w:rsidP="001669F8">
            <w:r w:rsidRPr="00826F55">
              <w:t>National Network of Public Health Institutes</w:t>
            </w:r>
          </w:p>
          <w:p w14:paraId="6DCCF15C" w14:textId="77777777" w:rsidR="001757F8" w:rsidRPr="00826F55" w:rsidRDefault="001757F8" w:rsidP="001669F8">
            <w:r w:rsidRPr="00826F55">
              <w:t>1100 Poydras St., Suite 950</w:t>
            </w:r>
          </w:p>
          <w:p w14:paraId="6A543D4C" w14:textId="77777777" w:rsidR="001757F8" w:rsidRPr="00826F55" w:rsidRDefault="001757F8" w:rsidP="001669F8">
            <w:r w:rsidRPr="00826F55">
              <w:t>New Orleans, LA 70163</w:t>
            </w:r>
          </w:p>
          <w:p w14:paraId="3CC07596" w14:textId="77777777" w:rsidR="001757F8" w:rsidRPr="00826F55" w:rsidRDefault="001757F8" w:rsidP="001669F8">
            <w:r w:rsidRPr="00826F55">
              <w:t xml:space="preserve">703.776.9022 </w:t>
            </w:r>
            <w:hyperlink r:id="rId11" w:history="1">
              <w:r w:rsidRPr="00826F55">
                <w:rPr>
                  <w:rStyle w:val="Hyperlink"/>
                  <w:color w:val="auto"/>
                </w:rPr>
                <w:t>jedwards@nnphi.org</w:t>
              </w:r>
            </w:hyperlink>
          </w:p>
          <w:p w14:paraId="3E6BC153" w14:textId="77777777" w:rsidR="001757F8" w:rsidRPr="00826F55" w:rsidRDefault="001757F8" w:rsidP="001669F8"/>
        </w:tc>
        <w:tc>
          <w:tcPr>
            <w:tcW w:w="5035" w:type="dxa"/>
          </w:tcPr>
          <w:p w14:paraId="3DC48DE9" w14:textId="77777777" w:rsidR="001757F8" w:rsidRPr="00826F55" w:rsidRDefault="001757F8" w:rsidP="001669F8"/>
        </w:tc>
      </w:tr>
    </w:tbl>
    <w:p w14:paraId="2E4EA80C" w14:textId="7BE79AC9" w:rsidR="00C1216F" w:rsidRDefault="00C1216F" w:rsidP="00D467C4"/>
    <w:p w14:paraId="2F989310" w14:textId="04404510" w:rsidR="00CC6AB1" w:rsidRDefault="00CC6AB1" w:rsidP="00E53653">
      <w:pPr>
        <w:pStyle w:val="Heading1"/>
      </w:pPr>
      <w:bookmarkStart w:id="10" w:name="_Toc475955400"/>
      <w:r w:rsidRPr="00B12EA3">
        <w:t>Explanation of Any Payment or Gift to Respondents</w:t>
      </w:r>
      <w:bookmarkEnd w:id="10"/>
    </w:p>
    <w:p w14:paraId="0B4E88AF" w14:textId="77777777" w:rsidR="00CC6AB1" w:rsidRDefault="00CC6AB1" w:rsidP="00D467C4"/>
    <w:p w14:paraId="61E2EAD9" w14:textId="74C9A2D6" w:rsidR="005C375D" w:rsidRPr="005C375D" w:rsidRDefault="004B3D61" w:rsidP="005C375D">
      <w:pPr>
        <w:autoSpaceDE w:val="0"/>
        <w:autoSpaceDN w:val="0"/>
        <w:adjustRightInd w:val="0"/>
        <w:spacing w:line="360" w:lineRule="auto"/>
      </w:pPr>
      <w:r>
        <w:t>Interview</w:t>
      </w:r>
      <w:r w:rsidR="005C375D" w:rsidRPr="005C375D">
        <w:t xml:space="preserve"> respondents will each receive a $</w:t>
      </w:r>
      <w:r w:rsidR="00D57B7B">
        <w:t>50</w:t>
      </w:r>
      <w:r w:rsidR="00D57B7B" w:rsidRPr="005C375D">
        <w:t xml:space="preserve"> </w:t>
      </w:r>
      <w:r w:rsidR="005C375D" w:rsidRPr="005C375D">
        <w:t xml:space="preserve">token of appreciation in the form of </w:t>
      </w:r>
      <w:r w:rsidR="00D57B7B">
        <w:t>a Visa</w:t>
      </w:r>
      <w:r w:rsidR="005C375D" w:rsidRPr="005C375D">
        <w:t xml:space="preserve"> gift card. Although there has been some debate on the necessity of offering tokens of appreciation, numerous studies have shown that tokens of appreciation can significantly increase response rates, and the use of modest tokens of appreciation is expected to enhance survey response rates without biasing responses (Abreu &amp; Winters 1999; Shettle 1999). Additionally, offering tokens of appreciation is cost-efficient, decreasing cost to government by reducing the number of contact attempts necessary to gain participation when no token of appreciation is offered (Bricker 2014).</w:t>
      </w:r>
    </w:p>
    <w:p w14:paraId="32B7C23E" w14:textId="77777777" w:rsidR="009C5BC2" w:rsidRPr="005C375D" w:rsidRDefault="009C5BC2" w:rsidP="009C5BC2">
      <w:pPr>
        <w:autoSpaceDE w:val="0"/>
        <w:autoSpaceDN w:val="0"/>
        <w:adjustRightInd w:val="0"/>
        <w:spacing w:line="360" w:lineRule="auto"/>
      </w:pPr>
      <w:r>
        <w:t>P</w:t>
      </w:r>
      <w:r w:rsidRPr="005C375D">
        <w:t xml:space="preserve">articipating in a </w:t>
      </w:r>
      <w:r>
        <w:t>90</w:t>
      </w:r>
      <w:r w:rsidRPr="005C375D">
        <w:t xml:space="preserve">-minute </w:t>
      </w:r>
      <w:r>
        <w:t xml:space="preserve">focus group </w:t>
      </w:r>
      <w:r w:rsidRPr="005C375D">
        <w:t>requires a considerable investment of personal time on the part of the respondent, with the potential for inconvenience to the respondent.  Data quality depends on being able to recruit engaged respondents who are willing to spend time and share their perspectives with the interviewer. The study team feels that anything less than $</w:t>
      </w:r>
      <w:r>
        <w:t>50</w:t>
      </w:r>
      <w:r w:rsidRPr="005C375D">
        <w:t xml:space="preserve"> is likely to hamper recruitment and would not be reflective of the level of appreciation warranted by the respondent’s contribution to the study aims. </w:t>
      </w:r>
    </w:p>
    <w:p w14:paraId="59587AAC" w14:textId="77777777" w:rsidR="005C375D" w:rsidRPr="005C375D" w:rsidRDefault="005C375D" w:rsidP="005C375D">
      <w:pPr>
        <w:autoSpaceDE w:val="0"/>
        <w:autoSpaceDN w:val="0"/>
        <w:adjustRightInd w:val="0"/>
        <w:spacing w:line="360" w:lineRule="auto"/>
      </w:pPr>
      <w:r w:rsidRPr="005C375D">
        <w:t xml:space="preserve">Offering tokens of appreciation is necessary to recruit minorities and historically underrepresented groups into research. In a recent study of recruitment and retention of BMSM by a Community Based Organization (CBO), recruiters found it difficult to obtain information from the BMSM because many were reluctant to provide their names and contact information because of concerns about being seen giving these personal details to an HIV prevention program (Painter et al 2010). Some of those who were screened provided incorrect contact information, making it difficult or impossible to locate them later. In this study, offering a token of appreciation improved participation among BMSM (Painter et al 2010). A meta-analysis of 95 studies published between January 1999 and April 2005 describing methods of increasing minority persons’ enrollment and retention in research studies found that remuneration enhanced retention among this group (Yancey, Ortega, &amp; Kumoniyka 2006). </w:t>
      </w:r>
    </w:p>
    <w:p w14:paraId="3266EB48" w14:textId="77777777" w:rsidR="005C375D" w:rsidRPr="005C375D" w:rsidRDefault="005C375D" w:rsidP="005C375D">
      <w:pPr>
        <w:autoSpaceDE w:val="0"/>
        <w:autoSpaceDN w:val="0"/>
        <w:adjustRightInd w:val="0"/>
        <w:spacing w:line="360" w:lineRule="auto"/>
      </w:pPr>
      <w:r w:rsidRPr="005C375D">
        <w:t xml:space="preserve">Remuneration has been used in other HIV-related CDC data collection efforts, such as for National HIV Behavioral Surveillance (OMB 0920-0770, exp. 5/31/2014) and the Testing Brief Messages for Black and Latino MSM Study (OMB 0920-14SY under 0920-0840, exp. 1/31/2019), which included similar populations and had a similar length of time for completing the client interview as in this proposed research. In all of these other projects, tokens of appreciation were used to help increase participation rates.  </w:t>
      </w:r>
    </w:p>
    <w:p w14:paraId="65CCCDCB" w14:textId="1E23E4E7" w:rsidR="00B12EA3" w:rsidRDefault="00B12EA3" w:rsidP="00E53653">
      <w:pPr>
        <w:pStyle w:val="Heading1"/>
      </w:pPr>
      <w:bookmarkStart w:id="11" w:name="_Toc475955401"/>
      <w:r w:rsidRPr="00B12EA3">
        <w:t>Protection of the Privacy and Confidentiality of Information Provided by Respondents</w:t>
      </w:r>
      <w:bookmarkEnd w:id="11"/>
    </w:p>
    <w:p w14:paraId="7CFFD74F" w14:textId="77777777" w:rsidR="007C2B6F" w:rsidRDefault="007C2B6F" w:rsidP="00D467C4"/>
    <w:p w14:paraId="2DE503C8" w14:textId="1E1BA51B" w:rsidR="00242341" w:rsidRDefault="008B37E0" w:rsidP="006E4CC2">
      <w:pPr>
        <w:spacing w:line="360" w:lineRule="auto"/>
      </w:pPr>
      <w:r w:rsidRPr="008B37E0">
        <w:t xml:space="preserve">The Privacy Officer for CDC / ATSDR has assessed this package for applicability of 5 U.S.C. § 552a, and has determined that the Privacy Act does not apply to the information collection activity.  </w:t>
      </w:r>
      <w:r>
        <w:t>P</w:t>
      </w:r>
      <w:r w:rsidR="00242341">
        <w:t>ersonally identifiable information (PII) will not be transmitted to the CDC</w:t>
      </w:r>
      <w:r>
        <w:t xml:space="preserve"> and records are not retrievable by any PII</w:t>
      </w:r>
      <w:r w:rsidR="00242341">
        <w:t>.</w:t>
      </w:r>
    </w:p>
    <w:p w14:paraId="2E307A72" w14:textId="0D340340" w:rsidR="00B447EE" w:rsidRDefault="00B447EE" w:rsidP="006E4CC2">
      <w:pPr>
        <w:spacing w:line="360" w:lineRule="auto"/>
      </w:pPr>
      <w:r w:rsidRPr="00603813">
        <w:t xml:space="preserve">We will inform respondents that their responses will be kept private to the extent permitted by the law. All </w:t>
      </w:r>
      <w:r w:rsidR="00471C10">
        <w:t>focus group participants</w:t>
      </w:r>
      <w:r w:rsidRPr="00603813">
        <w:t xml:space="preserve"> will be informed that the information collected will not be attributable directly to the respondent and will only be discussed among members of the </w:t>
      </w:r>
      <w:r w:rsidR="007F1E53">
        <w:t xml:space="preserve">research </w:t>
      </w:r>
      <w:r w:rsidRPr="00603813">
        <w:t>team. Terms of the CDC contract authorizing data collection require the contractor to maintain the privacy of all information collected. Accordingly, individuals’ data will be kept private and protected to the extent permitted by law.</w:t>
      </w:r>
    </w:p>
    <w:p w14:paraId="72128784" w14:textId="75C4E4B4" w:rsidR="00B12EA3" w:rsidRPr="0038668E" w:rsidRDefault="00B12EA3" w:rsidP="0038668E">
      <w:pPr>
        <w:pStyle w:val="Heading1"/>
        <w:rPr>
          <w:rFonts w:eastAsia="Times New Roman" w:cs="Times New Roman"/>
          <w:szCs w:val="24"/>
        </w:rPr>
      </w:pPr>
      <w:bookmarkStart w:id="12" w:name="_Toc475955402"/>
      <w:r w:rsidRPr="00B12EA3">
        <w:t>Institutional Review Board (IRB) and Justification for Sensitive Questions</w:t>
      </w:r>
      <w:bookmarkEnd w:id="12"/>
    </w:p>
    <w:p w14:paraId="4BE5C0CC" w14:textId="77777777" w:rsidR="007C2B6F" w:rsidRDefault="007C2B6F" w:rsidP="00D467C4"/>
    <w:p w14:paraId="6602B565" w14:textId="5F037CE2" w:rsidR="00D312D3" w:rsidRDefault="00D312D3" w:rsidP="00D467C4">
      <w:r>
        <w:t>IRB Approval</w:t>
      </w:r>
      <w:r w:rsidR="001F5846">
        <w:t>:</w:t>
      </w:r>
    </w:p>
    <w:p w14:paraId="10F5BECF" w14:textId="77777777" w:rsidR="00D312D3" w:rsidRDefault="00D312D3" w:rsidP="00D467C4"/>
    <w:p w14:paraId="1F65D3C3" w14:textId="79DB40D7" w:rsidR="003C3C33" w:rsidRPr="006E4CC2" w:rsidRDefault="003340FF" w:rsidP="006E4CC2">
      <w:pPr>
        <w:rPr>
          <w:rFonts w:cs="Arial"/>
          <w:w w:val="105"/>
          <w:highlight w:val="yellow"/>
        </w:rPr>
      </w:pPr>
      <w:r w:rsidRPr="003340FF">
        <w:t xml:space="preserve">This study </w:t>
      </w:r>
      <w:r>
        <w:t xml:space="preserve">has been reviewed and approved by </w:t>
      </w:r>
      <w:r w:rsidR="006E4CC2">
        <w:t xml:space="preserve">the </w:t>
      </w:r>
      <w:r w:rsidR="006E4CC2" w:rsidRPr="006E4CC2">
        <w:rPr>
          <w:rFonts w:cs="Arial"/>
          <w:w w:val="105"/>
        </w:rPr>
        <w:t xml:space="preserve">MPHI Institutional Review Board </w:t>
      </w:r>
      <w:r w:rsidR="00A61B2E" w:rsidRPr="006E4CC2">
        <w:rPr>
          <w:rFonts w:cs="Arial"/>
          <w:w w:val="105"/>
        </w:rPr>
        <w:t>IRB</w:t>
      </w:r>
      <w:r w:rsidR="00A61B2E" w:rsidRPr="00F936F5">
        <w:rPr>
          <w:rFonts w:cs="Arial"/>
          <w:w w:val="105"/>
        </w:rPr>
        <w:t xml:space="preserve"> </w:t>
      </w:r>
      <w:r w:rsidR="009951A9" w:rsidRPr="00A61B2E">
        <w:t>(</w:t>
      </w:r>
      <w:r w:rsidR="009951A9" w:rsidRPr="009B59EB">
        <w:rPr>
          <w:b/>
        </w:rPr>
        <w:t xml:space="preserve">Attachment </w:t>
      </w:r>
      <w:r w:rsidR="00E3750B">
        <w:rPr>
          <w:b/>
        </w:rPr>
        <w:t>6</w:t>
      </w:r>
      <w:r w:rsidR="009D6649" w:rsidRPr="009B59EB">
        <w:t>)</w:t>
      </w:r>
      <w:r w:rsidRPr="00A61B2E">
        <w:t>.</w:t>
      </w:r>
      <w:r>
        <w:t xml:space="preserve"> </w:t>
      </w:r>
    </w:p>
    <w:p w14:paraId="737CD770" w14:textId="77777777" w:rsidR="003C3C33" w:rsidRDefault="003C3C33" w:rsidP="00D467C4"/>
    <w:p w14:paraId="1761E88A" w14:textId="23DADEEB" w:rsidR="003C3C33" w:rsidRDefault="003C3C33" w:rsidP="00D467C4">
      <w:r>
        <w:t>Sensitive Questions</w:t>
      </w:r>
      <w:r w:rsidR="001F5846">
        <w:t>:</w:t>
      </w:r>
    </w:p>
    <w:p w14:paraId="2222AB8F" w14:textId="77777777" w:rsidR="003C3C33" w:rsidRDefault="003C3C33" w:rsidP="00D467C4"/>
    <w:p w14:paraId="6C660CBC" w14:textId="40510501" w:rsidR="00AC254E" w:rsidRDefault="00D6673F" w:rsidP="006E4CC2">
      <w:pPr>
        <w:spacing w:line="360" w:lineRule="auto"/>
        <w:jc w:val="both"/>
      </w:pPr>
      <w:r w:rsidRPr="00603813">
        <w:t xml:space="preserve">This study is an initiative aimed </w:t>
      </w:r>
      <w:r>
        <w:t>to</w:t>
      </w:r>
      <w:r w:rsidR="00232A59" w:rsidRPr="00232A59">
        <w:t xml:space="preserve"> </w:t>
      </w:r>
      <w:r w:rsidR="00BA1759" w:rsidRPr="000A727C">
        <w:t xml:space="preserve">inform the development of strategies to prevent and reduce syphilis transmission </w:t>
      </w:r>
      <w:r w:rsidR="00C73AE8">
        <w:t>and promote sexual health among B</w:t>
      </w:r>
      <w:r w:rsidR="00BA1759" w:rsidRPr="000A727C">
        <w:t>MSM</w:t>
      </w:r>
      <w:r w:rsidRPr="00603813">
        <w:t xml:space="preserve">. </w:t>
      </w:r>
      <w:r w:rsidR="00E3750B">
        <w:t>We do not plan to collect any sensitive information from respondents. However, a</w:t>
      </w:r>
      <w:r>
        <w:t xml:space="preserve">ll </w:t>
      </w:r>
      <w:r w:rsidR="00BA1759">
        <w:t>cooperative agreement partner</w:t>
      </w:r>
      <w:r w:rsidR="00BA1759" w:rsidRPr="00603813">
        <w:t xml:space="preserve"> </w:t>
      </w:r>
      <w:r w:rsidRPr="00603813">
        <w:t>staff will be trained to provide respondents with city-specific hotlines for HIV</w:t>
      </w:r>
      <w:r w:rsidR="0013306F">
        <w:t>/STI</w:t>
      </w:r>
      <w:r w:rsidRPr="00603813">
        <w:t xml:space="preserve"> and mental health care organizations as needed. We will inform all </w:t>
      </w:r>
      <w:r w:rsidR="00471C10">
        <w:t>focus group participants</w:t>
      </w:r>
      <w:r w:rsidR="00471C10" w:rsidRPr="00603813">
        <w:t xml:space="preserve"> </w:t>
      </w:r>
      <w:r w:rsidRPr="00603813">
        <w:t xml:space="preserve">that they may skip any question or stop participation at any time for any reason.  </w:t>
      </w:r>
    </w:p>
    <w:p w14:paraId="7D1DAD7B" w14:textId="5E01587E" w:rsidR="00B12EA3" w:rsidRDefault="00B12EA3" w:rsidP="00E53653">
      <w:pPr>
        <w:pStyle w:val="Heading1"/>
      </w:pPr>
      <w:bookmarkStart w:id="13" w:name="_Toc475955403"/>
      <w:r w:rsidRPr="00B057DB">
        <w:t>Estimates of Annualized Burden Hours and Costs</w:t>
      </w:r>
      <w:bookmarkEnd w:id="13"/>
    </w:p>
    <w:p w14:paraId="3F2E2C31" w14:textId="77777777" w:rsidR="002D3D0C" w:rsidRDefault="002D3D0C" w:rsidP="002D3D0C"/>
    <w:p w14:paraId="15DCFA81" w14:textId="2FB29B6B" w:rsidR="008452CD" w:rsidRDefault="001F5846" w:rsidP="006E4CC2">
      <w:pPr>
        <w:spacing w:line="360" w:lineRule="auto"/>
      </w:pPr>
      <w:r w:rsidRPr="00961EEC">
        <w:rPr>
          <w:b/>
        </w:rPr>
        <w:t>Exhibits 12.1</w:t>
      </w:r>
      <w:r>
        <w:t xml:space="preserve"> and </w:t>
      </w:r>
      <w:r w:rsidR="00232A59" w:rsidRPr="00961EEC">
        <w:rPr>
          <w:b/>
        </w:rPr>
        <w:t>12.2</w:t>
      </w:r>
      <w:r w:rsidR="00232A59" w:rsidRPr="00232A59">
        <w:t xml:space="preserve"> provide details about how the estimates of burden hours and costs were calculated. We calculated the overall burden per respondent by multiplying the frequency of response by the time to complete each data collection item. We anticipate that screener forms </w:t>
      </w:r>
      <w:r w:rsidR="00F81AFD">
        <w:t>will take 5 minutes to complete</w:t>
      </w:r>
      <w:r w:rsidR="00232A59" w:rsidRPr="00232A59">
        <w:t xml:space="preserve">. We anticipate 50 percent of </w:t>
      </w:r>
      <w:r w:rsidR="00C73AE8">
        <w:t>BMSM</w:t>
      </w:r>
      <w:r w:rsidR="00232A59">
        <w:t xml:space="preserve"> </w:t>
      </w:r>
      <w:r w:rsidR="00232A59" w:rsidRPr="00232A59">
        <w:t xml:space="preserve">screened will be eligible for the study. </w:t>
      </w:r>
      <w:r w:rsidR="00471C10">
        <w:t>Focus groups are not expected to exceed 90 minutes.</w:t>
      </w:r>
      <w:r w:rsidR="00232A59" w:rsidRPr="00232A59">
        <w:t xml:space="preserve"> We will complete </w:t>
      </w:r>
      <w:r w:rsidR="00471C10">
        <w:t>eight (8) focus groups for a maxium total of</w:t>
      </w:r>
      <w:r w:rsidR="00471C10" w:rsidRPr="00232A59">
        <w:t xml:space="preserve"> </w:t>
      </w:r>
      <w:r w:rsidR="00471C10">
        <w:t>64</w:t>
      </w:r>
      <w:r w:rsidR="00471C10" w:rsidRPr="00232A59">
        <w:t xml:space="preserve"> </w:t>
      </w:r>
      <w:r w:rsidR="00C73AE8">
        <w:t>BMSM</w:t>
      </w:r>
      <w:r w:rsidR="006E4CC2">
        <w:t xml:space="preserve"> </w:t>
      </w:r>
      <w:r w:rsidR="00232A59" w:rsidRPr="00232A59">
        <w:t xml:space="preserve">in </w:t>
      </w:r>
      <w:r w:rsidR="00BA1759">
        <w:t>New Orleans, LA</w:t>
      </w:r>
      <w:r w:rsidR="00C2034B">
        <w:t>,</w:t>
      </w:r>
      <w:r w:rsidR="00C2034B" w:rsidRPr="00C2034B">
        <w:t xml:space="preserve"> and Washington, DC</w:t>
      </w:r>
      <w:r w:rsidR="00C2034B">
        <w:t xml:space="preserve">. We anticipate screening </w:t>
      </w:r>
      <w:r w:rsidR="0061432E">
        <w:t>128</w:t>
      </w:r>
      <w:r w:rsidR="0061432E" w:rsidRPr="00232A59">
        <w:t xml:space="preserve"> </w:t>
      </w:r>
      <w:r w:rsidR="00232A59" w:rsidRPr="00232A59">
        <w:t xml:space="preserve">potential respondents. The total number of burden hours is </w:t>
      </w:r>
      <w:r w:rsidR="003D627E">
        <w:t>107.</w:t>
      </w:r>
    </w:p>
    <w:p w14:paraId="58C577B2" w14:textId="0CEFAFFF" w:rsidR="00332F80" w:rsidRDefault="00332F80" w:rsidP="00E53653">
      <w:pPr>
        <w:pStyle w:val="Heading2"/>
      </w:pPr>
      <w:bookmarkStart w:id="14" w:name="_Toc444867858"/>
      <w:bookmarkStart w:id="15" w:name="_Toc444883709"/>
      <w:bookmarkStart w:id="16" w:name="_Toc445385234"/>
      <w:bookmarkStart w:id="17" w:name="_Toc475955404"/>
      <w:r>
        <w:t>Estimated Annualized Burden Hours</w:t>
      </w:r>
      <w:bookmarkEnd w:id="14"/>
      <w:bookmarkEnd w:id="15"/>
      <w:bookmarkEnd w:id="16"/>
      <w:bookmarkEnd w:id="17"/>
    </w:p>
    <w:p w14:paraId="2A8DC733" w14:textId="77777777" w:rsidR="00332F80" w:rsidRDefault="00332F80" w:rsidP="00D467C4"/>
    <w:p w14:paraId="59EE5EE9" w14:textId="336F540E" w:rsidR="00E53653" w:rsidRPr="007376F4" w:rsidRDefault="00E86C70" w:rsidP="00E6566E">
      <w:pPr>
        <w:pStyle w:val="Caption"/>
      </w:pPr>
      <w:bookmarkStart w:id="18" w:name="_Toc475955414"/>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12</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Estimated Annualized Burden Hours</w:t>
      </w:r>
      <w:bookmarkEnd w:id="18"/>
    </w:p>
    <w:p w14:paraId="4F94622D" w14:textId="77777777" w:rsidR="00E53653" w:rsidRPr="00E53653" w:rsidRDefault="00E53653"/>
    <w:tbl>
      <w:tblPr>
        <w:tblW w:w="10260" w:type="dxa"/>
        <w:tblLayout w:type="fixed"/>
        <w:tblCellMar>
          <w:left w:w="129" w:type="dxa"/>
          <w:right w:w="129" w:type="dxa"/>
        </w:tblCellMar>
        <w:tblLook w:val="0000" w:firstRow="0" w:lastRow="0" w:firstColumn="0" w:lastColumn="0" w:noHBand="0" w:noVBand="0"/>
      </w:tblPr>
      <w:tblGrid>
        <w:gridCol w:w="1527"/>
        <w:gridCol w:w="2163"/>
        <w:gridCol w:w="1890"/>
        <w:gridCol w:w="1710"/>
        <w:gridCol w:w="1800"/>
        <w:gridCol w:w="1170"/>
      </w:tblGrid>
      <w:tr w:rsidR="000879CA" w:rsidRPr="00603813" w14:paraId="53C2C1BB" w14:textId="77777777" w:rsidTr="00F951D1">
        <w:trPr>
          <w:cantSplit/>
          <w:tblHeader/>
        </w:trPr>
        <w:tc>
          <w:tcPr>
            <w:tcW w:w="1527" w:type="dxa"/>
            <w:tcBorders>
              <w:top w:val="single" w:sz="2" w:space="0" w:color="000000"/>
              <w:left w:val="single" w:sz="2" w:space="0" w:color="000000"/>
              <w:bottom w:val="nil"/>
              <w:right w:val="nil"/>
            </w:tcBorders>
          </w:tcPr>
          <w:p w14:paraId="135B48D5" w14:textId="77777777" w:rsidR="000879CA" w:rsidRPr="00603813" w:rsidRDefault="000879CA" w:rsidP="001054F6">
            <w:pPr>
              <w:rPr>
                <w:b/>
                <w:sz w:val="20"/>
                <w:szCs w:val="20"/>
              </w:rPr>
            </w:pPr>
            <w:r w:rsidRPr="00603813">
              <w:rPr>
                <w:b/>
                <w:sz w:val="20"/>
                <w:szCs w:val="20"/>
              </w:rPr>
              <w:t>Type of Respondent</w:t>
            </w:r>
          </w:p>
        </w:tc>
        <w:tc>
          <w:tcPr>
            <w:tcW w:w="2163" w:type="dxa"/>
            <w:tcBorders>
              <w:top w:val="single" w:sz="2" w:space="0" w:color="000000"/>
              <w:left w:val="single" w:sz="2" w:space="0" w:color="000000"/>
              <w:bottom w:val="nil"/>
              <w:right w:val="nil"/>
            </w:tcBorders>
          </w:tcPr>
          <w:p w14:paraId="3005DAB6" w14:textId="77777777" w:rsidR="000879CA" w:rsidRPr="00603813" w:rsidRDefault="000879CA" w:rsidP="001054F6">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6BA44EF5" w14:textId="77777777" w:rsidR="000879CA" w:rsidRPr="00603813" w:rsidRDefault="000879CA" w:rsidP="001054F6">
            <w:pPr>
              <w:rPr>
                <w:b/>
                <w:sz w:val="20"/>
                <w:szCs w:val="20"/>
              </w:rPr>
            </w:pPr>
            <w:r>
              <w:rPr>
                <w:b/>
                <w:sz w:val="20"/>
                <w:szCs w:val="20"/>
              </w:rPr>
              <w:t>No.</w:t>
            </w:r>
            <w:r w:rsidRPr="00603813">
              <w:rPr>
                <w:b/>
                <w:sz w:val="20"/>
                <w:szCs w:val="20"/>
              </w:rPr>
              <w:t xml:space="preserve"> of Respondents</w:t>
            </w:r>
          </w:p>
        </w:tc>
        <w:tc>
          <w:tcPr>
            <w:tcW w:w="1710" w:type="dxa"/>
            <w:tcBorders>
              <w:top w:val="single" w:sz="2" w:space="0" w:color="000000"/>
              <w:left w:val="single" w:sz="2" w:space="0" w:color="000000"/>
              <w:bottom w:val="nil"/>
              <w:right w:val="nil"/>
            </w:tcBorders>
          </w:tcPr>
          <w:p w14:paraId="1975FADA" w14:textId="77777777" w:rsidR="000879CA" w:rsidRPr="00603813" w:rsidRDefault="000879CA" w:rsidP="001054F6">
            <w:pPr>
              <w:rPr>
                <w:b/>
                <w:sz w:val="20"/>
                <w:szCs w:val="20"/>
              </w:rPr>
            </w:pPr>
            <w:r>
              <w:rPr>
                <w:b/>
                <w:sz w:val="20"/>
                <w:szCs w:val="20"/>
              </w:rPr>
              <w:t>No.</w:t>
            </w:r>
            <w:r w:rsidRPr="00603813">
              <w:rPr>
                <w:b/>
                <w:sz w:val="20"/>
                <w:szCs w:val="20"/>
              </w:rPr>
              <w:t xml:space="preserve"> of Responses Per Respondent</w:t>
            </w:r>
          </w:p>
        </w:tc>
        <w:tc>
          <w:tcPr>
            <w:tcW w:w="1800" w:type="dxa"/>
            <w:tcBorders>
              <w:top w:val="single" w:sz="2" w:space="0" w:color="000000"/>
              <w:left w:val="single" w:sz="2" w:space="0" w:color="000000"/>
              <w:bottom w:val="nil"/>
              <w:right w:val="single" w:sz="2" w:space="0" w:color="000000"/>
            </w:tcBorders>
          </w:tcPr>
          <w:p w14:paraId="5E253BC2" w14:textId="77777777" w:rsidR="000879CA" w:rsidRPr="00603813" w:rsidRDefault="000879CA" w:rsidP="001054F6">
            <w:pPr>
              <w:rPr>
                <w:b/>
                <w:sz w:val="20"/>
                <w:szCs w:val="20"/>
              </w:rPr>
            </w:pPr>
            <w:r w:rsidRPr="00603813">
              <w:rPr>
                <w:b/>
                <w:sz w:val="20"/>
                <w:szCs w:val="20"/>
              </w:rPr>
              <w:t xml:space="preserve">Average Burden Per Response (in Hours) </w:t>
            </w:r>
          </w:p>
        </w:tc>
        <w:tc>
          <w:tcPr>
            <w:tcW w:w="1170" w:type="dxa"/>
            <w:tcBorders>
              <w:top w:val="single" w:sz="2" w:space="0" w:color="000000"/>
              <w:left w:val="single" w:sz="2" w:space="0" w:color="000000"/>
              <w:bottom w:val="nil"/>
              <w:right w:val="single" w:sz="2" w:space="0" w:color="000000"/>
            </w:tcBorders>
          </w:tcPr>
          <w:p w14:paraId="55727504" w14:textId="77777777" w:rsidR="000879CA" w:rsidRPr="00603813" w:rsidRDefault="000879CA" w:rsidP="001054F6">
            <w:pPr>
              <w:rPr>
                <w:b/>
                <w:sz w:val="20"/>
                <w:szCs w:val="20"/>
              </w:rPr>
            </w:pPr>
            <w:r w:rsidRPr="00603813">
              <w:rPr>
                <w:b/>
                <w:sz w:val="20"/>
                <w:szCs w:val="20"/>
              </w:rPr>
              <w:t xml:space="preserve">Total </w:t>
            </w:r>
          </w:p>
          <w:p w14:paraId="22FFF7BE" w14:textId="77777777" w:rsidR="000879CA" w:rsidRPr="00603813" w:rsidRDefault="000879CA" w:rsidP="001054F6">
            <w:pPr>
              <w:rPr>
                <w:b/>
                <w:sz w:val="20"/>
                <w:szCs w:val="20"/>
              </w:rPr>
            </w:pPr>
            <w:r w:rsidRPr="00603813">
              <w:rPr>
                <w:b/>
                <w:sz w:val="20"/>
                <w:szCs w:val="20"/>
              </w:rPr>
              <w:t>Burden</w:t>
            </w:r>
          </w:p>
          <w:p w14:paraId="50CFECF8" w14:textId="77777777" w:rsidR="000879CA" w:rsidRPr="00603813" w:rsidRDefault="000879CA" w:rsidP="001054F6">
            <w:pPr>
              <w:rPr>
                <w:b/>
                <w:sz w:val="20"/>
                <w:szCs w:val="20"/>
              </w:rPr>
            </w:pPr>
            <w:r w:rsidRPr="00603813">
              <w:rPr>
                <w:b/>
                <w:sz w:val="20"/>
                <w:szCs w:val="20"/>
              </w:rPr>
              <w:t>Hours</w:t>
            </w:r>
          </w:p>
        </w:tc>
      </w:tr>
      <w:tr w:rsidR="008F339E" w:rsidRPr="00603813" w14:paraId="409CBB78" w14:textId="77777777" w:rsidTr="00F951D1">
        <w:trPr>
          <w:cantSplit/>
        </w:trPr>
        <w:tc>
          <w:tcPr>
            <w:tcW w:w="1527" w:type="dxa"/>
            <w:tcBorders>
              <w:top w:val="single" w:sz="2" w:space="0" w:color="000000"/>
              <w:left w:val="single" w:sz="2" w:space="0" w:color="000000"/>
              <w:right w:val="nil"/>
            </w:tcBorders>
          </w:tcPr>
          <w:p w14:paraId="2E5E70E6" w14:textId="4B024A8E" w:rsidR="008F339E" w:rsidRPr="008F339E" w:rsidRDefault="008F339E" w:rsidP="001054F6">
            <w:pPr>
              <w:jc w:val="both"/>
              <w:rPr>
                <w:sz w:val="20"/>
                <w:szCs w:val="20"/>
              </w:rPr>
            </w:pPr>
            <w:r w:rsidRPr="008F339E">
              <w:rPr>
                <w:sz w:val="20"/>
                <w:szCs w:val="20"/>
              </w:rPr>
              <w:t>General Public- Adults</w:t>
            </w:r>
          </w:p>
        </w:tc>
        <w:tc>
          <w:tcPr>
            <w:tcW w:w="2163" w:type="dxa"/>
            <w:tcBorders>
              <w:top w:val="single" w:sz="2" w:space="0" w:color="000000"/>
              <w:left w:val="single" w:sz="2" w:space="0" w:color="000000"/>
              <w:bottom w:val="single" w:sz="2" w:space="0" w:color="000000"/>
              <w:right w:val="nil"/>
            </w:tcBorders>
          </w:tcPr>
          <w:p w14:paraId="781DE4EB" w14:textId="52F54294" w:rsidR="008F339E" w:rsidRPr="008F339E" w:rsidRDefault="008F339E" w:rsidP="00C73AE8">
            <w:pPr>
              <w:ind w:left="-39" w:right="51"/>
              <w:rPr>
                <w:iCs/>
                <w:sz w:val="20"/>
                <w:szCs w:val="20"/>
              </w:rPr>
            </w:pPr>
            <w:r>
              <w:rPr>
                <w:iCs/>
                <w:sz w:val="20"/>
                <w:szCs w:val="20"/>
              </w:rPr>
              <w:t>Eligibility Screener</w:t>
            </w:r>
            <w:r w:rsidR="00960A76">
              <w:rPr>
                <w:iCs/>
                <w:sz w:val="20"/>
                <w:szCs w:val="20"/>
              </w:rPr>
              <w:t xml:space="preserve"> (Att. </w:t>
            </w:r>
            <w:r w:rsidR="00C73AE8">
              <w:rPr>
                <w:iCs/>
                <w:sz w:val="20"/>
                <w:szCs w:val="20"/>
              </w:rPr>
              <w:t>5</w:t>
            </w:r>
            <w:r w:rsidR="00960A76">
              <w:rPr>
                <w:iCs/>
                <w:sz w:val="20"/>
                <w:szCs w:val="20"/>
              </w:rPr>
              <w:t>a)</w:t>
            </w:r>
          </w:p>
        </w:tc>
        <w:tc>
          <w:tcPr>
            <w:tcW w:w="1890" w:type="dxa"/>
            <w:tcBorders>
              <w:top w:val="single" w:sz="2" w:space="0" w:color="000000"/>
              <w:left w:val="single" w:sz="2" w:space="0" w:color="000000"/>
              <w:bottom w:val="single" w:sz="2" w:space="0" w:color="000000"/>
              <w:right w:val="nil"/>
            </w:tcBorders>
            <w:vAlign w:val="center"/>
          </w:tcPr>
          <w:p w14:paraId="2DE40282" w14:textId="7201269E" w:rsidR="008F339E" w:rsidRDefault="0061432E">
            <w:pPr>
              <w:jc w:val="center"/>
              <w:rPr>
                <w:sz w:val="20"/>
                <w:szCs w:val="20"/>
              </w:rPr>
            </w:pPr>
            <w:r>
              <w:rPr>
                <w:sz w:val="20"/>
                <w:szCs w:val="20"/>
              </w:rPr>
              <w:t>128</w:t>
            </w:r>
          </w:p>
        </w:tc>
        <w:tc>
          <w:tcPr>
            <w:tcW w:w="1710" w:type="dxa"/>
            <w:tcBorders>
              <w:top w:val="single" w:sz="2" w:space="0" w:color="000000"/>
              <w:left w:val="single" w:sz="2" w:space="0" w:color="000000"/>
              <w:bottom w:val="single" w:sz="2" w:space="0" w:color="000000"/>
              <w:right w:val="nil"/>
            </w:tcBorders>
            <w:vAlign w:val="center"/>
          </w:tcPr>
          <w:p w14:paraId="1F4107E0" w14:textId="04B23417" w:rsidR="008F339E" w:rsidRDefault="008F339E">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1CD7DD44" w14:textId="3AF211DA" w:rsidR="008F339E" w:rsidRDefault="00521503" w:rsidP="00CF191F">
            <w:pPr>
              <w:ind w:right="-39"/>
              <w:jc w:val="center"/>
              <w:rPr>
                <w:sz w:val="20"/>
                <w:szCs w:val="20"/>
              </w:rPr>
            </w:pPr>
            <w:r>
              <w:rPr>
                <w:sz w:val="20"/>
                <w:szCs w:val="20"/>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14:paraId="205038B8" w14:textId="313377EE" w:rsidR="008F339E" w:rsidRDefault="003D627E" w:rsidP="001054F6">
            <w:pPr>
              <w:jc w:val="center"/>
              <w:rPr>
                <w:sz w:val="20"/>
                <w:szCs w:val="20"/>
              </w:rPr>
            </w:pPr>
            <w:r>
              <w:rPr>
                <w:sz w:val="20"/>
                <w:szCs w:val="20"/>
              </w:rPr>
              <w:t>11</w:t>
            </w:r>
          </w:p>
        </w:tc>
      </w:tr>
      <w:tr w:rsidR="008F339E" w:rsidRPr="00603813" w14:paraId="489C429F" w14:textId="77777777" w:rsidTr="00F951D1">
        <w:trPr>
          <w:cantSplit/>
        </w:trPr>
        <w:tc>
          <w:tcPr>
            <w:tcW w:w="1527" w:type="dxa"/>
            <w:tcBorders>
              <w:top w:val="single" w:sz="2" w:space="0" w:color="000000"/>
              <w:left w:val="single" w:sz="2" w:space="0" w:color="000000"/>
              <w:right w:val="nil"/>
            </w:tcBorders>
          </w:tcPr>
          <w:p w14:paraId="6B26DD2A" w14:textId="373C8830" w:rsidR="008F339E" w:rsidRPr="008C571A" w:rsidRDefault="008F339E" w:rsidP="001054F6">
            <w:pPr>
              <w:jc w:val="both"/>
              <w:rPr>
                <w:sz w:val="20"/>
                <w:szCs w:val="20"/>
              </w:rPr>
            </w:pPr>
            <w:r w:rsidRPr="008F339E">
              <w:rPr>
                <w:sz w:val="20"/>
                <w:szCs w:val="20"/>
              </w:rPr>
              <w:t>General Public- Adults</w:t>
            </w:r>
          </w:p>
        </w:tc>
        <w:tc>
          <w:tcPr>
            <w:tcW w:w="2163" w:type="dxa"/>
            <w:tcBorders>
              <w:top w:val="single" w:sz="2" w:space="0" w:color="000000"/>
              <w:left w:val="single" w:sz="2" w:space="0" w:color="000000"/>
              <w:bottom w:val="single" w:sz="2" w:space="0" w:color="000000"/>
              <w:right w:val="nil"/>
            </w:tcBorders>
          </w:tcPr>
          <w:p w14:paraId="4CFF96DB" w14:textId="1E8CBB1B" w:rsidR="008F339E" w:rsidRPr="00C2034B" w:rsidRDefault="0061432E" w:rsidP="00C73AE8">
            <w:pPr>
              <w:ind w:left="-39" w:right="51"/>
              <w:rPr>
                <w:iCs/>
                <w:sz w:val="20"/>
                <w:szCs w:val="20"/>
              </w:rPr>
            </w:pPr>
            <w:r>
              <w:rPr>
                <w:iCs/>
                <w:sz w:val="20"/>
                <w:szCs w:val="20"/>
              </w:rPr>
              <w:t xml:space="preserve">Focus Group </w:t>
            </w:r>
            <w:r w:rsidR="00BA1759">
              <w:rPr>
                <w:iCs/>
                <w:sz w:val="20"/>
                <w:szCs w:val="20"/>
              </w:rPr>
              <w:t>Guide</w:t>
            </w:r>
            <w:r w:rsidR="00960A76">
              <w:rPr>
                <w:iCs/>
                <w:sz w:val="20"/>
                <w:szCs w:val="20"/>
              </w:rPr>
              <w:t xml:space="preserve"> (Att. </w:t>
            </w:r>
            <w:r w:rsidR="00C73AE8">
              <w:rPr>
                <w:iCs/>
                <w:sz w:val="20"/>
                <w:szCs w:val="20"/>
              </w:rPr>
              <w:t>5</w:t>
            </w:r>
            <w:r w:rsidR="00960A76">
              <w:rPr>
                <w:iCs/>
                <w:sz w:val="20"/>
                <w:szCs w:val="20"/>
              </w:rPr>
              <w:t>b)</w:t>
            </w:r>
          </w:p>
        </w:tc>
        <w:tc>
          <w:tcPr>
            <w:tcW w:w="1890" w:type="dxa"/>
            <w:tcBorders>
              <w:top w:val="single" w:sz="2" w:space="0" w:color="000000"/>
              <w:left w:val="single" w:sz="2" w:space="0" w:color="000000"/>
              <w:bottom w:val="single" w:sz="2" w:space="0" w:color="000000"/>
              <w:right w:val="nil"/>
            </w:tcBorders>
            <w:vAlign w:val="center"/>
          </w:tcPr>
          <w:p w14:paraId="044B407B" w14:textId="17F2C5E4" w:rsidR="008F339E" w:rsidRDefault="0061432E">
            <w:pPr>
              <w:jc w:val="center"/>
              <w:rPr>
                <w:sz w:val="20"/>
                <w:szCs w:val="20"/>
              </w:rPr>
            </w:pPr>
            <w:r>
              <w:rPr>
                <w:sz w:val="20"/>
                <w:szCs w:val="20"/>
              </w:rPr>
              <w:t>64</w:t>
            </w:r>
          </w:p>
        </w:tc>
        <w:tc>
          <w:tcPr>
            <w:tcW w:w="1710" w:type="dxa"/>
            <w:tcBorders>
              <w:top w:val="single" w:sz="2" w:space="0" w:color="000000"/>
              <w:left w:val="single" w:sz="2" w:space="0" w:color="000000"/>
              <w:bottom w:val="single" w:sz="2" w:space="0" w:color="000000"/>
              <w:right w:val="nil"/>
            </w:tcBorders>
            <w:vAlign w:val="center"/>
          </w:tcPr>
          <w:p w14:paraId="55F557E5" w14:textId="438516CB" w:rsidR="008F339E" w:rsidRDefault="008F339E">
            <w:pPr>
              <w:ind w:right="-39"/>
              <w:jc w:val="center"/>
              <w:rPr>
                <w:sz w:val="20"/>
                <w:szCs w:val="20"/>
              </w:rPr>
            </w:pPr>
            <w:r>
              <w:rPr>
                <w:sz w:val="20"/>
                <w:szCs w:val="20"/>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4039C249" w14:textId="579E6F74" w:rsidR="008F339E" w:rsidRDefault="0061432E" w:rsidP="00CF191F">
            <w:pPr>
              <w:ind w:right="-39"/>
              <w:jc w:val="center"/>
              <w:rPr>
                <w:sz w:val="20"/>
                <w:szCs w:val="20"/>
              </w:rPr>
            </w:pPr>
            <w:r>
              <w:rPr>
                <w:sz w:val="20"/>
                <w:szCs w:val="20"/>
              </w:rPr>
              <w:t>1.5</w:t>
            </w:r>
          </w:p>
        </w:tc>
        <w:tc>
          <w:tcPr>
            <w:tcW w:w="1170" w:type="dxa"/>
            <w:tcBorders>
              <w:top w:val="single" w:sz="2" w:space="0" w:color="000000"/>
              <w:left w:val="single" w:sz="2" w:space="0" w:color="000000"/>
              <w:bottom w:val="single" w:sz="2" w:space="0" w:color="000000"/>
              <w:right w:val="single" w:sz="2" w:space="0" w:color="000000"/>
            </w:tcBorders>
            <w:vAlign w:val="center"/>
          </w:tcPr>
          <w:p w14:paraId="02DF390C" w14:textId="742694BF" w:rsidR="008F339E" w:rsidRDefault="003D627E" w:rsidP="001054F6">
            <w:pPr>
              <w:jc w:val="center"/>
              <w:rPr>
                <w:sz w:val="20"/>
                <w:szCs w:val="20"/>
              </w:rPr>
            </w:pPr>
            <w:r>
              <w:rPr>
                <w:sz w:val="20"/>
                <w:szCs w:val="20"/>
              </w:rPr>
              <w:t>96</w:t>
            </w:r>
          </w:p>
        </w:tc>
      </w:tr>
      <w:tr w:rsidR="000879CA" w:rsidRPr="00603813" w14:paraId="003AEEEE" w14:textId="77777777" w:rsidTr="001054F6">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408BF53D" w14:textId="77777777" w:rsidR="000879CA" w:rsidRPr="00603813" w:rsidRDefault="000879CA" w:rsidP="001054F6">
            <w:pPr>
              <w:ind w:right="224"/>
              <w:jc w:val="right"/>
              <w:rPr>
                <w:b/>
                <w:sz w:val="20"/>
                <w:szCs w:val="20"/>
              </w:rPr>
            </w:pPr>
            <w:r w:rsidRPr="00603813">
              <w:rPr>
                <w:b/>
                <w:sz w:val="20"/>
                <w:szCs w:val="20"/>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14:paraId="544BEFCA" w14:textId="07255AE7" w:rsidR="000879CA" w:rsidRPr="00603813" w:rsidRDefault="003D627E" w:rsidP="00F15AEE">
            <w:pPr>
              <w:jc w:val="center"/>
              <w:rPr>
                <w:b/>
                <w:sz w:val="20"/>
                <w:szCs w:val="20"/>
              </w:rPr>
            </w:pPr>
            <w:r>
              <w:rPr>
                <w:b/>
                <w:sz w:val="20"/>
                <w:szCs w:val="20"/>
              </w:rPr>
              <w:t>107</w:t>
            </w:r>
          </w:p>
        </w:tc>
      </w:tr>
    </w:tbl>
    <w:p w14:paraId="6FECCC11" w14:textId="77777777" w:rsidR="00332F80" w:rsidRPr="00603813" w:rsidRDefault="00332F80" w:rsidP="00332F80">
      <w:pPr>
        <w:rPr>
          <w:b/>
        </w:rPr>
      </w:pPr>
    </w:p>
    <w:p w14:paraId="6A5D9D70" w14:textId="0327A8B9" w:rsidR="00332F80" w:rsidRPr="00E6566E" w:rsidRDefault="00332F80" w:rsidP="00E53653">
      <w:pPr>
        <w:pStyle w:val="Heading2"/>
        <w:rPr>
          <w:b w:val="0"/>
        </w:rPr>
      </w:pPr>
      <w:bookmarkStart w:id="19" w:name="_Toc444867859"/>
      <w:bookmarkStart w:id="20" w:name="_Toc444883710"/>
      <w:bookmarkStart w:id="21" w:name="_Toc445385235"/>
      <w:bookmarkStart w:id="22" w:name="_Toc475955405"/>
      <w:r w:rsidRPr="00E6566E">
        <w:t>Estimated Annualized Burden Costs</w:t>
      </w:r>
      <w:bookmarkEnd w:id="19"/>
      <w:bookmarkEnd w:id="20"/>
      <w:bookmarkEnd w:id="21"/>
      <w:bookmarkEnd w:id="22"/>
    </w:p>
    <w:p w14:paraId="246DC441" w14:textId="77777777" w:rsidR="00332F80" w:rsidRPr="00603813" w:rsidRDefault="00332F80" w:rsidP="00332F80"/>
    <w:p w14:paraId="220EC10A" w14:textId="69B7175F" w:rsidR="00332F80" w:rsidRPr="00603813" w:rsidRDefault="00332F80" w:rsidP="006E4CC2">
      <w:pPr>
        <w:spacing w:line="360" w:lineRule="auto"/>
      </w:pPr>
      <w:r w:rsidRPr="00603813">
        <w:t xml:space="preserve">The annualized costs to the respondents are described in </w:t>
      </w:r>
      <w:r w:rsidRPr="00961EEC">
        <w:rPr>
          <w:b/>
        </w:rPr>
        <w:t xml:space="preserve">Exhibit </w:t>
      </w:r>
      <w:r w:rsidR="0029515C" w:rsidRPr="00961EEC">
        <w:rPr>
          <w:b/>
        </w:rPr>
        <w:t>12</w:t>
      </w:r>
      <w:r w:rsidR="00DE4370" w:rsidRPr="00961EEC">
        <w:rPr>
          <w:b/>
        </w:rPr>
        <w:t>.</w:t>
      </w:r>
      <w:r w:rsidR="0029515C" w:rsidRPr="00961EEC">
        <w:rPr>
          <w:b/>
        </w:rPr>
        <w:t>3</w:t>
      </w:r>
      <w:r w:rsidRPr="00E6566E">
        <w:t>.</w:t>
      </w:r>
      <w:r w:rsidRPr="00603813">
        <w:t xml:space="preserve"> The </w:t>
      </w:r>
      <w:r w:rsidRPr="00E6566E">
        <w:t xml:space="preserve">United States </w:t>
      </w:r>
      <w:r w:rsidR="0029515C" w:rsidRPr="00E6566E">
        <w:t>Bureau</w:t>
      </w:r>
      <w:r w:rsidRPr="00E6566E">
        <w:t xml:space="preserve"> of Labor Statistics</w:t>
      </w:r>
      <w:r w:rsidR="0029515C" w:rsidRPr="00E6566E">
        <w:t>’ employment and wages estimates from</w:t>
      </w:r>
      <w:r w:rsidR="00F81AFD">
        <w:t xml:space="preserve"> </w:t>
      </w:r>
      <w:r w:rsidR="00F81AFD" w:rsidRPr="00337F57">
        <w:t>May, 201</w:t>
      </w:r>
      <w:r w:rsidR="003D627E">
        <w:t>6</w:t>
      </w:r>
      <w:r w:rsidRPr="00337F57">
        <w:t xml:space="preserve"> </w:t>
      </w:r>
      <w:r w:rsidR="0029515C" w:rsidRPr="00337F57">
        <w:t>(</w:t>
      </w:r>
      <w:hyperlink r:id="rId12" w:history="1">
        <w:r w:rsidRPr="00337F57">
          <w:rPr>
            <w:rStyle w:val="Hyperlink"/>
          </w:rPr>
          <w:t>http://www.bls.gov/oes/current/oes_nat.htm</w:t>
        </w:r>
      </w:hyperlink>
      <w:r w:rsidR="00506E45" w:rsidRPr="00337F57">
        <w:t>)</w:t>
      </w:r>
      <w:r w:rsidRPr="00337F57">
        <w:rPr>
          <w:color w:val="0070C0"/>
        </w:rPr>
        <w:t xml:space="preserve"> </w:t>
      </w:r>
      <w:hyperlink w:history="1"/>
      <w:r w:rsidRPr="00337F57">
        <w:t>w</w:t>
      </w:r>
      <w:r w:rsidR="0029515C" w:rsidRPr="00337F57">
        <w:t>ere</w:t>
      </w:r>
      <w:r w:rsidRPr="00337F57">
        <w:t xml:space="preserve"> used to estimate the hourly wage rate for the general public for the purpose of this GenIC request. The total estimated cost of the burden to respondents is approximately </w:t>
      </w:r>
      <w:r w:rsidR="009824E0">
        <w:t>$2,553.02</w:t>
      </w:r>
      <w:r w:rsidR="00943B21" w:rsidRPr="00337F57">
        <w:t>.  This</w:t>
      </w:r>
      <w:r w:rsidRPr="00337F57">
        <w:t xml:space="preserve"> cost represents the total burden hours of general respondents multiplied by t</w:t>
      </w:r>
      <w:r w:rsidR="00F81AFD" w:rsidRPr="00E04AE1">
        <w:t>he average hourly wage rate ($23</w:t>
      </w:r>
      <w:r w:rsidRPr="00E04AE1">
        <w:t>.</w:t>
      </w:r>
      <w:r w:rsidR="003D627E">
        <w:t>86</w:t>
      </w:r>
      <w:r w:rsidRPr="009B59EB">
        <w:t>).</w:t>
      </w:r>
      <w:r w:rsidRPr="00603813">
        <w:t xml:space="preserve"> </w:t>
      </w:r>
    </w:p>
    <w:p w14:paraId="659648AE" w14:textId="0AE5FC47" w:rsidR="00332F80" w:rsidRPr="00603813" w:rsidRDefault="00332F80" w:rsidP="00332F80">
      <w:pPr>
        <w:pStyle w:val="Caption"/>
        <w:rPr>
          <w:sz w:val="24"/>
          <w:szCs w:val="24"/>
        </w:rPr>
      </w:pPr>
      <w:r w:rsidRPr="00603813">
        <w:t xml:space="preserve"> </w:t>
      </w:r>
    </w:p>
    <w:p w14:paraId="46305BF3" w14:textId="00430574" w:rsidR="00E53653" w:rsidRPr="007376F4" w:rsidRDefault="00E53653" w:rsidP="00E6566E">
      <w:pPr>
        <w:pStyle w:val="Caption"/>
        <w:keepNext/>
      </w:pPr>
      <w:bookmarkStart w:id="23" w:name="_Toc475955415"/>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12</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2</w:t>
      </w:r>
      <w:r w:rsidR="00C91C02">
        <w:rPr>
          <w:sz w:val="24"/>
          <w:szCs w:val="24"/>
        </w:rPr>
        <w:fldChar w:fldCharType="end"/>
      </w:r>
      <w:r w:rsidRPr="00E6566E">
        <w:rPr>
          <w:sz w:val="24"/>
          <w:szCs w:val="24"/>
        </w:rPr>
        <w:t xml:space="preserve">: Estimated Annualized Burden </w:t>
      </w:r>
      <w:r w:rsidR="00CC5FFB">
        <w:rPr>
          <w:sz w:val="24"/>
          <w:szCs w:val="24"/>
        </w:rPr>
        <w:t>Costs</w:t>
      </w:r>
      <w:bookmarkEnd w:id="23"/>
    </w:p>
    <w:p w14:paraId="39377F96" w14:textId="77777777" w:rsidR="00E53653" w:rsidRPr="00E53653" w:rsidRDefault="00E53653" w:rsidP="00E53653"/>
    <w:tbl>
      <w:tblPr>
        <w:tblW w:w="909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tblGrid>
      <w:tr w:rsidR="00332F80" w:rsidRPr="00603813" w14:paraId="5A5AB004" w14:textId="77777777" w:rsidTr="00F951D1">
        <w:trPr>
          <w:cantSplit/>
          <w:tblHeader/>
        </w:trPr>
        <w:tc>
          <w:tcPr>
            <w:tcW w:w="1890" w:type="dxa"/>
            <w:tcBorders>
              <w:top w:val="single" w:sz="2" w:space="0" w:color="000000"/>
              <w:left w:val="single" w:sz="2" w:space="0" w:color="000000"/>
              <w:bottom w:val="nil"/>
              <w:right w:val="nil"/>
            </w:tcBorders>
          </w:tcPr>
          <w:p w14:paraId="516F241C" w14:textId="77777777" w:rsidR="00332F80" w:rsidRPr="00603813" w:rsidRDefault="00332F80" w:rsidP="006C500C">
            <w:pPr>
              <w:rPr>
                <w:b/>
                <w:sz w:val="20"/>
                <w:szCs w:val="20"/>
              </w:rPr>
            </w:pPr>
            <w:r w:rsidRPr="00603813">
              <w:rPr>
                <w:b/>
                <w:sz w:val="20"/>
                <w:szCs w:val="20"/>
              </w:rPr>
              <w:t>Type of Respondent</w:t>
            </w:r>
          </w:p>
        </w:tc>
        <w:tc>
          <w:tcPr>
            <w:tcW w:w="1800" w:type="dxa"/>
            <w:tcBorders>
              <w:top w:val="single" w:sz="2" w:space="0" w:color="000000"/>
              <w:left w:val="single" w:sz="2" w:space="0" w:color="000000"/>
              <w:bottom w:val="nil"/>
              <w:right w:val="nil"/>
            </w:tcBorders>
          </w:tcPr>
          <w:p w14:paraId="2FC92B67" w14:textId="77777777" w:rsidR="00332F80" w:rsidRPr="00603813" w:rsidRDefault="00332F80" w:rsidP="005B4518">
            <w:pPr>
              <w:rPr>
                <w:b/>
                <w:sz w:val="20"/>
                <w:szCs w:val="20"/>
              </w:rPr>
            </w:pPr>
            <w:r w:rsidRPr="00603813">
              <w:rPr>
                <w:b/>
                <w:sz w:val="20"/>
                <w:szCs w:val="20"/>
              </w:rPr>
              <w:t>Form Name</w:t>
            </w:r>
          </w:p>
        </w:tc>
        <w:tc>
          <w:tcPr>
            <w:tcW w:w="1890" w:type="dxa"/>
            <w:tcBorders>
              <w:top w:val="single" w:sz="2" w:space="0" w:color="000000"/>
              <w:left w:val="single" w:sz="2" w:space="0" w:color="000000"/>
              <w:bottom w:val="nil"/>
              <w:right w:val="nil"/>
            </w:tcBorders>
          </w:tcPr>
          <w:p w14:paraId="5392D11A" w14:textId="77777777" w:rsidR="00332F80" w:rsidRPr="00603813" w:rsidRDefault="00332F80" w:rsidP="005B4518">
            <w:pPr>
              <w:rPr>
                <w:b/>
                <w:sz w:val="20"/>
                <w:szCs w:val="20"/>
              </w:rPr>
            </w:pPr>
            <w:r w:rsidRPr="00603813">
              <w:rPr>
                <w:b/>
                <w:sz w:val="20"/>
                <w:szCs w:val="20"/>
              </w:rPr>
              <w:t xml:space="preserve">Total </w:t>
            </w:r>
          </w:p>
          <w:p w14:paraId="426CC59C" w14:textId="77777777" w:rsidR="00332F80" w:rsidRPr="00603813" w:rsidRDefault="00332F80" w:rsidP="005B4518">
            <w:pPr>
              <w:rPr>
                <w:b/>
                <w:sz w:val="20"/>
                <w:szCs w:val="20"/>
              </w:rPr>
            </w:pPr>
            <w:r w:rsidRPr="00603813">
              <w:rPr>
                <w:b/>
                <w:sz w:val="20"/>
                <w:szCs w:val="20"/>
              </w:rPr>
              <w:t>Burden</w:t>
            </w:r>
          </w:p>
          <w:p w14:paraId="61E5D27A" w14:textId="77777777" w:rsidR="00332F80" w:rsidRPr="00603813" w:rsidRDefault="00332F80" w:rsidP="005B4518">
            <w:pPr>
              <w:rPr>
                <w:b/>
                <w:sz w:val="20"/>
                <w:szCs w:val="20"/>
              </w:rPr>
            </w:pPr>
            <w:r w:rsidRPr="00603813">
              <w:rPr>
                <w:b/>
                <w:sz w:val="20"/>
                <w:szCs w:val="20"/>
              </w:rPr>
              <w:t>Hours</w:t>
            </w:r>
          </w:p>
        </w:tc>
        <w:tc>
          <w:tcPr>
            <w:tcW w:w="1710" w:type="dxa"/>
            <w:tcBorders>
              <w:top w:val="single" w:sz="2" w:space="0" w:color="000000"/>
              <w:left w:val="single" w:sz="2" w:space="0" w:color="000000"/>
              <w:bottom w:val="nil"/>
              <w:right w:val="nil"/>
            </w:tcBorders>
          </w:tcPr>
          <w:p w14:paraId="48C8863C" w14:textId="77777777" w:rsidR="00332F80" w:rsidRPr="00603813" w:rsidRDefault="00332F80" w:rsidP="005B4518">
            <w:pPr>
              <w:rPr>
                <w:b/>
                <w:sz w:val="20"/>
                <w:szCs w:val="20"/>
              </w:rPr>
            </w:pPr>
            <w:r w:rsidRPr="00603813">
              <w:rPr>
                <w:b/>
                <w:sz w:val="20"/>
                <w:szCs w:val="20"/>
              </w:rPr>
              <w:t>Hourly Wage Rate</w:t>
            </w:r>
          </w:p>
        </w:tc>
        <w:tc>
          <w:tcPr>
            <w:tcW w:w="1800" w:type="dxa"/>
            <w:tcBorders>
              <w:top w:val="single" w:sz="2" w:space="0" w:color="000000"/>
              <w:left w:val="single" w:sz="2" w:space="0" w:color="000000"/>
              <w:bottom w:val="nil"/>
              <w:right w:val="single" w:sz="2" w:space="0" w:color="000000"/>
            </w:tcBorders>
          </w:tcPr>
          <w:p w14:paraId="4FD2858F" w14:textId="77777777" w:rsidR="00332F80" w:rsidRPr="00603813" w:rsidRDefault="00332F80" w:rsidP="005B4518">
            <w:pPr>
              <w:rPr>
                <w:b/>
                <w:sz w:val="20"/>
                <w:szCs w:val="20"/>
              </w:rPr>
            </w:pPr>
            <w:r w:rsidRPr="00603813">
              <w:rPr>
                <w:b/>
                <w:sz w:val="20"/>
                <w:szCs w:val="20"/>
              </w:rPr>
              <w:t>Total Respondent Costs</w:t>
            </w:r>
          </w:p>
        </w:tc>
      </w:tr>
      <w:tr w:rsidR="00960A76" w:rsidRPr="00603813" w14:paraId="7EE2C3DA"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641F66F6" w14:textId="46944AA4" w:rsidR="00960A76" w:rsidRPr="00603813" w:rsidRDefault="00960A76" w:rsidP="00960A76">
            <w:pPr>
              <w:rPr>
                <w:sz w:val="20"/>
                <w:szCs w:val="20"/>
              </w:rPr>
            </w:pPr>
            <w:r w:rsidRPr="00B930C9">
              <w:rPr>
                <w:sz w:val="20"/>
                <w:szCs w:val="20"/>
              </w:rPr>
              <w:t>General</w:t>
            </w:r>
            <w:r>
              <w:rPr>
                <w:sz w:val="20"/>
                <w:szCs w:val="20"/>
              </w:rPr>
              <w:t xml:space="preserve"> </w:t>
            </w:r>
            <w:r w:rsidRPr="00B930C9">
              <w:rPr>
                <w:sz w:val="20"/>
                <w:szCs w:val="20"/>
              </w:rPr>
              <w:t>Public- Adults</w:t>
            </w:r>
          </w:p>
        </w:tc>
        <w:tc>
          <w:tcPr>
            <w:tcW w:w="1800" w:type="dxa"/>
            <w:tcBorders>
              <w:top w:val="single" w:sz="2" w:space="0" w:color="000000"/>
              <w:left w:val="single" w:sz="4" w:space="0" w:color="auto"/>
              <w:bottom w:val="single" w:sz="2" w:space="0" w:color="000000"/>
              <w:right w:val="nil"/>
            </w:tcBorders>
          </w:tcPr>
          <w:p w14:paraId="23BDDF95" w14:textId="0201E492" w:rsidR="00960A76" w:rsidRPr="00960A76" w:rsidRDefault="00960A76" w:rsidP="00C73AE8">
            <w:pPr>
              <w:ind w:left="-39" w:right="51"/>
              <w:rPr>
                <w:sz w:val="20"/>
                <w:szCs w:val="20"/>
              </w:rPr>
            </w:pPr>
            <w:r w:rsidRPr="00960A76">
              <w:rPr>
                <w:sz w:val="20"/>
                <w:szCs w:val="20"/>
              </w:rPr>
              <w:t xml:space="preserve">Eligibility Screener (Att. </w:t>
            </w:r>
            <w:r w:rsidR="00C73AE8">
              <w:rPr>
                <w:sz w:val="20"/>
                <w:szCs w:val="20"/>
              </w:rPr>
              <w:t>5</w:t>
            </w:r>
            <w:r w:rsidRPr="00960A76">
              <w:rPr>
                <w:sz w:val="20"/>
                <w:szCs w:val="20"/>
              </w:rPr>
              <w:t>a)</w:t>
            </w:r>
          </w:p>
        </w:tc>
        <w:tc>
          <w:tcPr>
            <w:tcW w:w="1890" w:type="dxa"/>
            <w:tcBorders>
              <w:top w:val="single" w:sz="2" w:space="0" w:color="000000"/>
              <w:left w:val="single" w:sz="2" w:space="0" w:color="000000"/>
              <w:bottom w:val="single" w:sz="2" w:space="0" w:color="000000"/>
              <w:right w:val="nil"/>
            </w:tcBorders>
            <w:vAlign w:val="center"/>
          </w:tcPr>
          <w:p w14:paraId="46372667" w14:textId="30089205" w:rsidR="00960A76" w:rsidRPr="00603813" w:rsidRDefault="003D627E" w:rsidP="00960A76">
            <w:pPr>
              <w:jc w:val="center"/>
              <w:rPr>
                <w:sz w:val="20"/>
                <w:szCs w:val="20"/>
              </w:rPr>
            </w:pPr>
            <w:r>
              <w:rPr>
                <w:sz w:val="20"/>
                <w:szCs w:val="20"/>
              </w:rPr>
              <w:t>11</w:t>
            </w:r>
          </w:p>
        </w:tc>
        <w:tc>
          <w:tcPr>
            <w:tcW w:w="1710" w:type="dxa"/>
            <w:tcBorders>
              <w:top w:val="single" w:sz="2" w:space="0" w:color="000000"/>
              <w:left w:val="single" w:sz="2" w:space="0" w:color="000000"/>
              <w:bottom w:val="single" w:sz="2" w:space="0" w:color="000000"/>
              <w:right w:val="nil"/>
            </w:tcBorders>
            <w:vAlign w:val="center"/>
          </w:tcPr>
          <w:p w14:paraId="4CC91E00" w14:textId="53D6A2FB" w:rsidR="00960A76" w:rsidRPr="00603813" w:rsidRDefault="00960A76" w:rsidP="003D627E">
            <w:pPr>
              <w:ind w:right="-39"/>
              <w:jc w:val="center"/>
              <w:rPr>
                <w:sz w:val="20"/>
                <w:szCs w:val="20"/>
              </w:rPr>
            </w:pPr>
            <w:r>
              <w:rPr>
                <w:sz w:val="20"/>
                <w:szCs w:val="20"/>
              </w:rPr>
              <w:t>$23.</w:t>
            </w:r>
            <w:r w:rsidR="003D627E">
              <w:rPr>
                <w:sz w:val="20"/>
                <w:szCs w:val="20"/>
              </w:rPr>
              <w:t>86</w:t>
            </w:r>
          </w:p>
        </w:tc>
        <w:tc>
          <w:tcPr>
            <w:tcW w:w="1800" w:type="dxa"/>
            <w:tcBorders>
              <w:top w:val="single" w:sz="2" w:space="0" w:color="000000"/>
              <w:left w:val="single" w:sz="2" w:space="0" w:color="000000"/>
              <w:bottom w:val="single" w:sz="2" w:space="0" w:color="000000"/>
              <w:right w:val="single" w:sz="2" w:space="0" w:color="000000"/>
            </w:tcBorders>
            <w:vAlign w:val="center"/>
          </w:tcPr>
          <w:p w14:paraId="5A90C502" w14:textId="6C3756DD" w:rsidR="00960A76" w:rsidRPr="00603813" w:rsidRDefault="00960A76" w:rsidP="003D627E">
            <w:pPr>
              <w:ind w:right="-39"/>
              <w:jc w:val="center"/>
              <w:rPr>
                <w:sz w:val="20"/>
                <w:szCs w:val="20"/>
              </w:rPr>
            </w:pPr>
            <w:r>
              <w:rPr>
                <w:sz w:val="20"/>
                <w:szCs w:val="20"/>
              </w:rPr>
              <w:t>$</w:t>
            </w:r>
            <w:r w:rsidR="003D627E">
              <w:rPr>
                <w:sz w:val="20"/>
                <w:szCs w:val="20"/>
              </w:rPr>
              <w:t>262.46</w:t>
            </w:r>
          </w:p>
        </w:tc>
      </w:tr>
      <w:tr w:rsidR="00960A76" w:rsidRPr="00603813" w14:paraId="53D292FF" w14:textId="77777777" w:rsidTr="00F951D1">
        <w:trPr>
          <w:cantSplit/>
        </w:trPr>
        <w:tc>
          <w:tcPr>
            <w:tcW w:w="1890" w:type="dxa"/>
            <w:tcBorders>
              <w:top w:val="single" w:sz="4" w:space="0" w:color="auto"/>
              <w:left w:val="single" w:sz="4" w:space="0" w:color="auto"/>
              <w:bottom w:val="single" w:sz="4" w:space="0" w:color="auto"/>
              <w:right w:val="single" w:sz="4" w:space="0" w:color="auto"/>
            </w:tcBorders>
          </w:tcPr>
          <w:p w14:paraId="505E1FDF" w14:textId="45F982AE" w:rsidR="00960A76" w:rsidRDefault="00960A76" w:rsidP="00960A76">
            <w:pPr>
              <w:rPr>
                <w:sz w:val="20"/>
                <w:szCs w:val="20"/>
              </w:rPr>
            </w:pPr>
            <w:r>
              <w:rPr>
                <w:sz w:val="20"/>
                <w:szCs w:val="20"/>
              </w:rPr>
              <w:t xml:space="preserve">General Public- </w:t>
            </w:r>
          </w:p>
          <w:p w14:paraId="2BA38C4A" w14:textId="101730CB" w:rsidR="00960A76" w:rsidRPr="00B930C9" w:rsidRDefault="00960A76" w:rsidP="00960A76">
            <w:pPr>
              <w:rPr>
                <w:sz w:val="20"/>
                <w:szCs w:val="20"/>
              </w:rPr>
            </w:pPr>
            <w:r>
              <w:rPr>
                <w:sz w:val="20"/>
                <w:szCs w:val="20"/>
              </w:rPr>
              <w:t>Adults</w:t>
            </w:r>
          </w:p>
        </w:tc>
        <w:tc>
          <w:tcPr>
            <w:tcW w:w="1800" w:type="dxa"/>
            <w:tcBorders>
              <w:top w:val="single" w:sz="2" w:space="0" w:color="000000"/>
              <w:left w:val="single" w:sz="4" w:space="0" w:color="auto"/>
              <w:bottom w:val="single" w:sz="2" w:space="0" w:color="000000"/>
              <w:right w:val="nil"/>
            </w:tcBorders>
          </w:tcPr>
          <w:p w14:paraId="3C49BB57" w14:textId="220C5AC4" w:rsidR="00960A76" w:rsidRPr="00960A76" w:rsidRDefault="003D627E" w:rsidP="00C73AE8">
            <w:pPr>
              <w:ind w:left="-39" w:right="51"/>
              <w:rPr>
                <w:sz w:val="20"/>
                <w:szCs w:val="20"/>
              </w:rPr>
            </w:pPr>
            <w:r>
              <w:rPr>
                <w:sz w:val="20"/>
                <w:szCs w:val="20"/>
              </w:rPr>
              <w:t xml:space="preserve">Focus Group </w:t>
            </w:r>
            <w:r w:rsidR="00337F57">
              <w:rPr>
                <w:sz w:val="20"/>
                <w:szCs w:val="20"/>
              </w:rPr>
              <w:t>Guide</w:t>
            </w:r>
            <w:r w:rsidR="00960A76" w:rsidRPr="00960A76">
              <w:rPr>
                <w:sz w:val="20"/>
                <w:szCs w:val="20"/>
              </w:rPr>
              <w:t xml:space="preserve"> (Att. </w:t>
            </w:r>
            <w:r w:rsidR="00C73AE8">
              <w:rPr>
                <w:sz w:val="20"/>
                <w:szCs w:val="20"/>
              </w:rPr>
              <w:t>5</w:t>
            </w:r>
            <w:r w:rsidR="00960A76" w:rsidRPr="00960A76">
              <w:rPr>
                <w:sz w:val="20"/>
                <w:szCs w:val="20"/>
              </w:rPr>
              <w:t>b)</w:t>
            </w:r>
          </w:p>
        </w:tc>
        <w:tc>
          <w:tcPr>
            <w:tcW w:w="1890" w:type="dxa"/>
            <w:tcBorders>
              <w:top w:val="single" w:sz="2" w:space="0" w:color="000000"/>
              <w:left w:val="single" w:sz="2" w:space="0" w:color="000000"/>
              <w:bottom w:val="single" w:sz="2" w:space="0" w:color="000000"/>
              <w:right w:val="nil"/>
            </w:tcBorders>
            <w:vAlign w:val="center"/>
          </w:tcPr>
          <w:p w14:paraId="73A4C4E1" w14:textId="4F02DC0E" w:rsidR="00960A76" w:rsidRDefault="003D627E" w:rsidP="00960A76">
            <w:pPr>
              <w:jc w:val="center"/>
              <w:rPr>
                <w:sz w:val="20"/>
                <w:szCs w:val="20"/>
              </w:rPr>
            </w:pPr>
            <w:r>
              <w:rPr>
                <w:sz w:val="20"/>
                <w:szCs w:val="20"/>
              </w:rPr>
              <w:t>96</w:t>
            </w:r>
          </w:p>
        </w:tc>
        <w:tc>
          <w:tcPr>
            <w:tcW w:w="1710" w:type="dxa"/>
            <w:tcBorders>
              <w:top w:val="single" w:sz="2" w:space="0" w:color="000000"/>
              <w:left w:val="single" w:sz="2" w:space="0" w:color="000000"/>
              <w:bottom w:val="single" w:sz="2" w:space="0" w:color="000000"/>
              <w:right w:val="nil"/>
            </w:tcBorders>
            <w:vAlign w:val="center"/>
          </w:tcPr>
          <w:p w14:paraId="1321E87F" w14:textId="3BC0F089" w:rsidR="00960A76" w:rsidRDefault="00960A76" w:rsidP="003D627E">
            <w:pPr>
              <w:ind w:right="-39"/>
              <w:jc w:val="center"/>
              <w:rPr>
                <w:sz w:val="20"/>
                <w:szCs w:val="20"/>
              </w:rPr>
            </w:pPr>
            <w:r>
              <w:rPr>
                <w:sz w:val="20"/>
                <w:szCs w:val="20"/>
              </w:rPr>
              <w:t>$23.</w:t>
            </w:r>
            <w:r w:rsidR="003D627E">
              <w:rPr>
                <w:sz w:val="20"/>
                <w:szCs w:val="20"/>
              </w:rPr>
              <w:t>86</w:t>
            </w:r>
          </w:p>
        </w:tc>
        <w:tc>
          <w:tcPr>
            <w:tcW w:w="1800" w:type="dxa"/>
            <w:tcBorders>
              <w:top w:val="single" w:sz="2" w:space="0" w:color="000000"/>
              <w:left w:val="single" w:sz="2" w:space="0" w:color="000000"/>
              <w:bottom w:val="single" w:sz="2" w:space="0" w:color="000000"/>
              <w:right w:val="single" w:sz="2" w:space="0" w:color="000000"/>
            </w:tcBorders>
            <w:vAlign w:val="center"/>
          </w:tcPr>
          <w:p w14:paraId="16E11440" w14:textId="73D87D60" w:rsidR="00960A76" w:rsidRDefault="00960A76" w:rsidP="00B159F9">
            <w:pPr>
              <w:ind w:right="-39"/>
              <w:jc w:val="center"/>
              <w:rPr>
                <w:sz w:val="20"/>
                <w:szCs w:val="20"/>
              </w:rPr>
            </w:pPr>
            <w:r>
              <w:rPr>
                <w:sz w:val="20"/>
                <w:szCs w:val="20"/>
              </w:rPr>
              <w:t>$</w:t>
            </w:r>
            <w:r w:rsidR="00B159F9">
              <w:rPr>
                <w:sz w:val="20"/>
                <w:szCs w:val="20"/>
              </w:rPr>
              <w:t>2,290.56</w:t>
            </w:r>
          </w:p>
        </w:tc>
      </w:tr>
      <w:tr w:rsidR="00E95779" w:rsidRPr="00603813" w14:paraId="00222644" w14:textId="77777777" w:rsidTr="00F951D1">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24F9042E" w14:textId="534EC243" w:rsidR="00E95779" w:rsidRPr="00603813" w:rsidRDefault="00E95779" w:rsidP="00B159F9">
            <w:pPr>
              <w:ind w:right="224"/>
              <w:jc w:val="right"/>
              <w:rPr>
                <w:b/>
                <w:sz w:val="20"/>
                <w:szCs w:val="20"/>
              </w:rPr>
            </w:pPr>
            <w:r>
              <w:rPr>
                <w:b/>
                <w:sz w:val="20"/>
                <w:szCs w:val="20"/>
              </w:rPr>
              <w:t>Total $</w:t>
            </w:r>
            <w:r w:rsidR="00B159F9">
              <w:t>2,553.02</w:t>
            </w:r>
          </w:p>
        </w:tc>
      </w:tr>
    </w:tbl>
    <w:p w14:paraId="11D43D79" w14:textId="4406D3AF" w:rsidR="00B12EA3" w:rsidRDefault="00B12EA3" w:rsidP="00AC254E">
      <w:pPr>
        <w:pStyle w:val="Heading1"/>
      </w:pPr>
      <w:bookmarkStart w:id="24" w:name="_Toc475955406"/>
      <w:r w:rsidRPr="00B12EA3">
        <w:t>Estimates of Other Total Annual Cost Burden to Respondents and Record Keepers</w:t>
      </w:r>
      <w:bookmarkEnd w:id="24"/>
    </w:p>
    <w:p w14:paraId="1646F2E6" w14:textId="77777777" w:rsidR="00332F80" w:rsidRDefault="00332F80" w:rsidP="00F951D1"/>
    <w:p w14:paraId="66DF91DD" w14:textId="2993DC0D" w:rsidR="00332F80" w:rsidRPr="00F951D1" w:rsidRDefault="00332F80" w:rsidP="00F951D1">
      <w:r w:rsidRPr="00332F80">
        <w:t xml:space="preserve">There are no </w:t>
      </w:r>
      <w:r w:rsidR="00747020" w:rsidRPr="001515AA">
        <w:t>other</w:t>
      </w:r>
      <w:r w:rsidR="00747020">
        <w:t xml:space="preserve"> </w:t>
      </w:r>
      <w:r w:rsidRPr="00332F80">
        <w:t>costs to respondents for participating in this survey.</w:t>
      </w:r>
    </w:p>
    <w:p w14:paraId="30DCC62D" w14:textId="14BC7D11" w:rsidR="00332F80" w:rsidRDefault="00B12EA3" w:rsidP="00F951D1">
      <w:pPr>
        <w:pStyle w:val="Heading1"/>
      </w:pPr>
      <w:bookmarkStart w:id="25" w:name="_Toc475955407"/>
      <w:r w:rsidRPr="00E6566E">
        <w:t>Annualized Cost to the Federal Government</w:t>
      </w:r>
      <w:bookmarkEnd w:id="25"/>
    </w:p>
    <w:p w14:paraId="450E5A99" w14:textId="77777777" w:rsidR="0038668E" w:rsidRDefault="0038668E" w:rsidP="00332F80"/>
    <w:p w14:paraId="1CA677BD" w14:textId="187156C7" w:rsidR="00332F80" w:rsidRPr="00603813" w:rsidRDefault="0038668E" w:rsidP="006E4CC2">
      <w:pPr>
        <w:spacing w:line="360" w:lineRule="auto"/>
      </w:pPr>
      <w:r w:rsidRPr="0038668E">
        <w:t xml:space="preserve">The estimated annualized cost to carry out the data collection activities </w:t>
      </w:r>
      <w:r w:rsidRPr="004C32F9">
        <w:t>is $</w:t>
      </w:r>
      <w:r w:rsidR="000E32B9">
        <w:t>203</w:t>
      </w:r>
      <w:r w:rsidR="00AF5C75" w:rsidRPr="004C32F9">
        <w:t>,017</w:t>
      </w:r>
      <w:r w:rsidRPr="004C32F9">
        <w:t>.</w:t>
      </w:r>
      <w:r w:rsidRPr="0038668E">
        <w:t xml:space="preserve">  This estimate includes the cost of recruitment, screening, conducting the interviews, analysis and reporting, as well as the total cost of the tokens of appreciation ($</w:t>
      </w:r>
      <w:r w:rsidR="00B159F9">
        <w:t>50</w:t>
      </w:r>
      <w:r w:rsidR="00B159F9" w:rsidRPr="0038668E">
        <w:t xml:space="preserve"> </w:t>
      </w:r>
      <w:r w:rsidRPr="0038668E">
        <w:t>per comple</w:t>
      </w:r>
      <w:r w:rsidR="000E32B9">
        <w:t>ted interview, for a total of $</w:t>
      </w:r>
      <w:r w:rsidR="00B159F9">
        <w:t>3,200</w:t>
      </w:r>
      <w:r w:rsidRPr="0038668E">
        <w:t>).</w:t>
      </w:r>
    </w:p>
    <w:p w14:paraId="52B6705B" w14:textId="77777777" w:rsidR="0038668E" w:rsidRDefault="0038668E" w:rsidP="00E6566E">
      <w:pPr>
        <w:pStyle w:val="Caption"/>
        <w:keepNext/>
        <w:rPr>
          <w:sz w:val="24"/>
          <w:szCs w:val="24"/>
        </w:rPr>
      </w:pPr>
    </w:p>
    <w:p w14:paraId="792B45B5" w14:textId="1F882994" w:rsidR="00E53653" w:rsidRPr="007376F4" w:rsidRDefault="00E53653" w:rsidP="00E6566E">
      <w:pPr>
        <w:pStyle w:val="Caption"/>
        <w:keepNext/>
      </w:pPr>
      <w:bookmarkStart w:id="26" w:name="_Toc475955416"/>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14</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Annualized Cost to the Government</w:t>
      </w:r>
      <w:bookmarkEnd w:id="26"/>
    </w:p>
    <w:p w14:paraId="51D82822" w14:textId="77777777" w:rsidR="00E53653" w:rsidRPr="00E53653" w:rsidRDefault="00E53653" w:rsidP="00E53653"/>
    <w:tbl>
      <w:tblPr>
        <w:tblW w:w="0" w:type="auto"/>
        <w:tblInd w:w="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33"/>
        <w:gridCol w:w="4850"/>
        <w:gridCol w:w="1895"/>
      </w:tblGrid>
      <w:tr w:rsidR="00332F80" w:rsidRPr="00EE4F87" w14:paraId="13CE864C" w14:textId="77777777" w:rsidTr="004629B2">
        <w:tc>
          <w:tcPr>
            <w:tcW w:w="1933" w:type="dxa"/>
          </w:tcPr>
          <w:p w14:paraId="394C584A"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E4F87">
              <w:rPr>
                <w:b/>
                <w:bCs/>
                <w:sz w:val="22"/>
                <w:szCs w:val="22"/>
              </w:rPr>
              <w:t>Expense Type</w:t>
            </w:r>
          </w:p>
        </w:tc>
        <w:tc>
          <w:tcPr>
            <w:tcW w:w="4850" w:type="dxa"/>
          </w:tcPr>
          <w:p w14:paraId="40E3E56D"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bCs/>
                <w:sz w:val="22"/>
                <w:szCs w:val="22"/>
              </w:rPr>
              <w:t>Expense Explanation</w:t>
            </w:r>
          </w:p>
        </w:tc>
        <w:tc>
          <w:tcPr>
            <w:tcW w:w="1895" w:type="dxa"/>
          </w:tcPr>
          <w:p w14:paraId="01E55893" w14:textId="77777777" w:rsidR="00332F80" w:rsidRPr="00EE4F87" w:rsidRDefault="00332F80" w:rsidP="005B4518">
            <w:pPr>
              <w:tabs>
                <w:tab w:val="center" w:pos="4320"/>
                <w:tab w:val="right" w:pos="8640"/>
              </w:tabs>
              <w:spacing w:line="50" w:lineRule="exact"/>
              <w:rPr>
                <w:sz w:val="22"/>
                <w:szCs w:val="22"/>
              </w:rPr>
            </w:pPr>
          </w:p>
          <w:p w14:paraId="5683A7F0"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bCs/>
                <w:sz w:val="22"/>
                <w:szCs w:val="22"/>
              </w:rPr>
              <w:t>Annual Costs (dollars)</w:t>
            </w:r>
          </w:p>
        </w:tc>
      </w:tr>
      <w:tr w:rsidR="00332F80" w:rsidRPr="00EE4F87" w14:paraId="0CC8B117" w14:textId="77777777" w:rsidTr="004629B2">
        <w:tc>
          <w:tcPr>
            <w:tcW w:w="1933" w:type="dxa"/>
          </w:tcPr>
          <w:p w14:paraId="7502CF7F"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Direct Costs to the Federal Government</w:t>
            </w:r>
          </w:p>
        </w:tc>
        <w:tc>
          <w:tcPr>
            <w:tcW w:w="4850" w:type="dxa"/>
            <w:vAlign w:val="center"/>
          </w:tcPr>
          <w:p w14:paraId="07DF3CB1" w14:textId="3C456F3C" w:rsidR="00332F80" w:rsidRPr="00EE4F87" w:rsidRDefault="00332F80"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895" w:type="dxa"/>
            <w:vAlign w:val="center"/>
          </w:tcPr>
          <w:p w14:paraId="1A280807" w14:textId="4EC931AE"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p>
        </w:tc>
      </w:tr>
      <w:tr w:rsidR="00332F80" w:rsidRPr="00EE4F87" w14:paraId="68E5496D" w14:textId="77777777" w:rsidTr="004629B2">
        <w:tc>
          <w:tcPr>
            <w:tcW w:w="1933" w:type="dxa"/>
          </w:tcPr>
          <w:p w14:paraId="0A3E69D8"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176F3693" w14:textId="1783B4BC" w:rsidR="00332F80" w:rsidRPr="00EE4F87" w:rsidRDefault="00332F80"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CDC</w:t>
            </w:r>
            <w:r w:rsidR="00846E9C">
              <w:rPr>
                <w:sz w:val="22"/>
                <w:szCs w:val="22"/>
              </w:rPr>
              <w:t xml:space="preserve"> </w:t>
            </w:r>
            <w:r w:rsidR="00337F57">
              <w:rPr>
                <w:sz w:val="22"/>
                <w:szCs w:val="22"/>
              </w:rPr>
              <w:t>Project Lead</w:t>
            </w:r>
            <w:r w:rsidR="00337F57" w:rsidRPr="00EE4F87">
              <w:rPr>
                <w:sz w:val="22"/>
                <w:szCs w:val="22"/>
              </w:rPr>
              <w:t xml:space="preserve"> </w:t>
            </w:r>
            <w:r w:rsidRPr="00EE4F87">
              <w:rPr>
                <w:sz w:val="22"/>
                <w:szCs w:val="22"/>
              </w:rPr>
              <w:t>(GS-1</w:t>
            </w:r>
            <w:r w:rsidR="00C1474B" w:rsidRPr="00EE4F87">
              <w:rPr>
                <w:sz w:val="22"/>
                <w:szCs w:val="22"/>
              </w:rPr>
              <w:t>3</w:t>
            </w:r>
            <w:r w:rsidR="00E2574F" w:rsidRPr="00EE4F87">
              <w:rPr>
                <w:sz w:val="22"/>
                <w:szCs w:val="22"/>
              </w:rPr>
              <w:t xml:space="preserve">, </w:t>
            </w:r>
            <w:r w:rsidRPr="00EE4F87">
              <w:rPr>
                <w:sz w:val="22"/>
                <w:szCs w:val="22"/>
              </w:rPr>
              <w:t>0.20 FTE)</w:t>
            </w:r>
          </w:p>
        </w:tc>
        <w:tc>
          <w:tcPr>
            <w:tcW w:w="1895" w:type="dxa"/>
            <w:vAlign w:val="center"/>
          </w:tcPr>
          <w:p w14:paraId="208D543C" w14:textId="32B93F94" w:rsidR="00332F80" w:rsidRPr="00EE4F87" w:rsidRDefault="00332F80" w:rsidP="00334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sz w:val="22"/>
                <w:szCs w:val="22"/>
              </w:rPr>
              <w:t>$</w:t>
            </w:r>
            <w:r w:rsidR="00334620">
              <w:rPr>
                <w:sz w:val="22"/>
                <w:szCs w:val="22"/>
              </w:rPr>
              <w:t>20,158.80</w:t>
            </w:r>
          </w:p>
        </w:tc>
      </w:tr>
      <w:tr w:rsidR="00332F80" w:rsidRPr="00EE4F87" w14:paraId="6B8192A0" w14:textId="77777777" w:rsidTr="004629B2">
        <w:tc>
          <w:tcPr>
            <w:tcW w:w="1933" w:type="dxa"/>
          </w:tcPr>
          <w:p w14:paraId="0025A39E"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14:paraId="3F028717"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b/>
                <w:sz w:val="22"/>
                <w:szCs w:val="22"/>
              </w:rPr>
              <w:t xml:space="preserve">           Subtotal, Direct Costs</w:t>
            </w:r>
          </w:p>
        </w:tc>
        <w:tc>
          <w:tcPr>
            <w:tcW w:w="1895" w:type="dxa"/>
            <w:vAlign w:val="center"/>
          </w:tcPr>
          <w:p w14:paraId="5F055B04" w14:textId="07C8DBD9" w:rsidR="00332F80" w:rsidRPr="00EE4F87" w:rsidRDefault="00332F80" w:rsidP="00334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sidRPr="00EE4F87">
              <w:rPr>
                <w:b/>
                <w:sz w:val="22"/>
                <w:szCs w:val="22"/>
              </w:rPr>
              <w:t>$</w:t>
            </w:r>
            <w:r w:rsidR="00334620">
              <w:rPr>
                <w:b/>
                <w:sz w:val="22"/>
                <w:szCs w:val="22"/>
              </w:rPr>
              <w:t>20,158.80</w:t>
            </w:r>
          </w:p>
        </w:tc>
      </w:tr>
      <w:tr w:rsidR="00332F80" w:rsidRPr="00EE4F87" w14:paraId="7DDD5C41" w14:textId="77777777" w:rsidTr="004629B2">
        <w:tc>
          <w:tcPr>
            <w:tcW w:w="1933" w:type="dxa"/>
          </w:tcPr>
          <w:p w14:paraId="410561C9" w14:textId="3C465065" w:rsidR="00332F80" w:rsidRPr="00EE4F87" w:rsidRDefault="00337F57" w:rsidP="00462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CoAg</w:t>
            </w:r>
            <w:r w:rsidRPr="00EE4F87">
              <w:rPr>
                <w:sz w:val="22"/>
                <w:szCs w:val="22"/>
              </w:rPr>
              <w:t xml:space="preserve"> </w:t>
            </w:r>
            <w:r w:rsidR="00EE4F87" w:rsidRPr="00EE4F87">
              <w:rPr>
                <w:sz w:val="22"/>
                <w:szCs w:val="22"/>
              </w:rPr>
              <w:t>Costs</w:t>
            </w:r>
            <w:r w:rsidR="004629B2">
              <w:rPr>
                <w:sz w:val="22"/>
                <w:szCs w:val="22"/>
              </w:rPr>
              <w:t xml:space="preserve"> </w:t>
            </w:r>
          </w:p>
        </w:tc>
        <w:tc>
          <w:tcPr>
            <w:tcW w:w="4850" w:type="dxa"/>
            <w:vAlign w:val="center"/>
          </w:tcPr>
          <w:p w14:paraId="06852707" w14:textId="7E0C7F3E" w:rsidR="00332F80" w:rsidRPr="00EE4F87" w:rsidRDefault="008519CC" w:rsidP="0038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Annual </w:t>
            </w:r>
            <w:r w:rsidR="00337F57">
              <w:rPr>
                <w:b/>
                <w:sz w:val="22"/>
                <w:szCs w:val="22"/>
              </w:rPr>
              <w:t>Cooperative Agreement (NNPHI</w:t>
            </w:r>
            <w:r>
              <w:rPr>
                <w:b/>
                <w:sz w:val="22"/>
                <w:szCs w:val="22"/>
              </w:rPr>
              <w:t xml:space="preserve"> </w:t>
            </w:r>
            <w:r w:rsidR="00104E90">
              <w:rPr>
                <w:b/>
                <w:sz w:val="22"/>
                <w:szCs w:val="22"/>
              </w:rPr>
              <w:t>#</w:t>
            </w:r>
            <w:r w:rsidR="00337F57" w:rsidRPr="00E131A3">
              <w:t xml:space="preserve"> CDC-RFA-OT13-1302</w:t>
            </w:r>
            <w:r w:rsidR="00104E90">
              <w:rPr>
                <w:b/>
                <w:sz w:val="22"/>
                <w:szCs w:val="22"/>
              </w:rPr>
              <w:t>)</w:t>
            </w:r>
            <w:r w:rsidR="00332F80" w:rsidRPr="00EE4F87">
              <w:rPr>
                <w:b/>
                <w:sz w:val="22"/>
                <w:szCs w:val="22"/>
              </w:rPr>
              <w:t xml:space="preserve">               </w:t>
            </w:r>
          </w:p>
        </w:tc>
        <w:tc>
          <w:tcPr>
            <w:tcW w:w="1895" w:type="dxa"/>
            <w:vAlign w:val="center"/>
          </w:tcPr>
          <w:p w14:paraId="3D36E433" w14:textId="407A7059" w:rsidR="00332F80" w:rsidRPr="00EE4F87" w:rsidRDefault="00332F80" w:rsidP="0038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sz w:val="22"/>
                <w:szCs w:val="22"/>
              </w:rPr>
              <w:t>$</w:t>
            </w:r>
            <w:r w:rsidR="00337F57">
              <w:rPr>
                <w:b/>
                <w:sz w:val="22"/>
                <w:szCs w:val="22"/>
              </w:rPr>
              <w:t>150,000</w:t>
            </w:r>
          </w:p>
        </w:tc>
      </w:tr>
      <w:tr w:rsidR="00332F80" w:rsidRPr="00603813" w14:paraId="00643FEF" w14:textId="77777777" w:rsidTr="004629B2">
        <w:tc>
          <w:tcPr>
            <w:tcW w:w="1933" w:type="dxa"/>
          </w:tcPr>
          <w:p w14:paraId="302920C0"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tcPr>
          <w:p w14:paraId="34DA3866" w14:textId="77777777" w:rsidR="00332F80" w:rsidRPr="00EE4F8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sz w:val="22"/>
                <w:szCs w:val="22"/>
              </w:rPr>
              <w:t xml:space="preserve">TOTAL COST TO THE GOVERNMENT </w:t>
            </w:r>
          </w:p>
        </w:tc>
        <w:tc>
          <w:tcPr>
            <w:tcW w:w="1895" w:type="dxa"/>
          </w:tcPr>
          <w:p w14:paraId="32B261F2" w14:textId="3FA6C775" w:rsidR="00332F80" w:rsidRPr="00EE4F87" w:rsidRDefault="0038668E" w:rsidP="00334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Pr>
                <w:b/>
                <w:sz w:val="22"/>
                <w:szCs w:val="22"/>
              </w:rPr>
              <w:t>$</w:t>
            </w:r>
            <w:r w:rsidR="00334620">
              <w:rPr>
                <w:b/>
                <w:sz w:val="22"/>
                <w:szCs w:val="22"/>
              </w:rPr>
              <w:t>170,158.80</w:t>
            </w:r>
          </w:p>
        </w:tc>
      </w:tr>
    </w:tbl>
    <w:p w14:paraId="0027368F" w14:textId="27653571" w:rsidR="00B12EA3" w:rsidRDefault="00B12EA3" w:rsidP="00E53653">
      <w:pPr>
        <w:pStyle w:val="Heading1"/>
      </w:pPr>
      <w:bookmarkStart w:id="27" w:name="_Toc475955408"/>
      <w:r w:rsidRPr="00B12EA3">
        <w:t>Explanation for Program Changes or Adjustments</w:t>
      </w:r>
      <w:bookmarkEnd w:id="27"/>
    </w:p>
    <w:p w14:paraId="7B64AF2A" w14:textId="77777777" w:rsidR="00332F80" w:rsidRDefault="00332F80" w:rsidP="00F951D1"/>
    <w:p w14:paraId="1D2DA6C4" w14:textId="7E50C37A" w:rsidR="005E6F8D" w:rsidRPr="00E90840" w:rsidRDefault="00332F80" w:rsidP="00E90840">
      <w:pPr>
        <w:autoSpaceDE w:val="0"/>
        <w:autoSpaceDN w:val="0"/>
        <w:adjustRightInd w:val="0"/>
        <w:contextualSpacing/>
        <w:jc w:val="both"/>
        <w:rPr>
          <w:bCs/>
        </w:rPr>
      </w:pPr>
      <w:r w:rsidRPr="00603813">
        <w:rPr>
          <w:bCs/>
        </w:rPr>
        <w:t xml:space="preserve">This is a new </w:t>
      </w:r>
      <w:r>
        <w:rPr>
          <w:bCs/>
        </w:rPr>
        <w:t>GenIC</w:t>
      </w:r>
      <w:r w:rsidRPr="00603813">
        <w:rPr>
          <w:bCs/>
        </w:rPr>
        <w:t xml:space="preserve"> information collection request (ICR). </w:t>
      </w:r>
    </w:p>
    <w:p w14:paraId="6DB91386" w14:textId="33251CB3" w:rsidR="00332F80" w:rsidRDefault="00B12EA3" w:rsidP="00026DB7">
      <w:pPr>
        <w:pStyle w:val="Heading1"/>
      </w:pPr>
      <w:bookmarkStart w:id="28" w:name="_Toc475955409"/>
      <w:r w:rsidRPr="00C46977">
        <w:t>Plans for Tabulation and Publication and Project Time Schedule</w:t>
      </w:r>
      <w:bookmarkEnd w:id="28"/>
    </w:p>
    <w:p w14:paraId="31CAD07A" w14:textId="77777777" w:rsidR="00104E90" w:rsidRDefault="00104E90" w:rsidP="00104E90"/>
    <w:p w14:paraId="5892749C" w14:textId="4903F45D" w:rsidR="00104E90" w:rsidRDefault="00104E90" w:rsidP="006E4CC2">
      <w:pPr>
        <w:spacing w:line="360" w:lineRule="auto"/>
        <w:jc w:val="both"/>
      </w:pPr>
      <w:r w:rsidRPr="00603813">
        <w:t xml:space="preserve">Tabulation will include descriptive characteristics of respondents collected </w:t>
      </w:r>
      <w:r w:rsidR="00334620">
        <w:t>during screening</w:t>
      </w:r>
      <w:r w:rsidRPr="00603813">
        <w:t xml:space="preserve"> </w:t>
      </w:r>
      <w:r w:rsidRPr="005F04A2">
        <w:t xml:space="preserve">(e.g., city, </w:t>
      </w:r>
      <w:r w:rsidR="005F04A2" w:rsidRPr="0094497E">
        <w:t xml:space="preserve">and </w:t>
      </w:r>
      <w:r w:rsidRPr="005F04A2">
        <w:t>age).</w:t>
      </w:r>
      <w:r w:rsidRPr="00603813">
        <w:t xml:space="preserve">  </w:t>
      </w:r>
      <w:r>
        <w:t xml:space="preserve">Data collection will occur between </w:t>
      </w:r>
      <w:r w:rsidR="009C5BC2">
        <w:t>June</w:t>
      </w:r>
      <w:r w:rsidR="00D06EE5">
        <w:t xml:space="preserve"> </w:t>
      </w:r>
      <w:r w:rsidR="00901DC6">
        <w:t xml:space="preserve">to </w:t>
      </w:r>
      <w:r w:rsidR="009C5BC2">
        <w:t xml:space="preserve">July </w:t>
      </w:r>
      <w:r w:rsidR="008A4E7B">
        <w:t>201</w:t>
      </w:r>
      <w:r w:rsidR="00334620">
        <w:t>8</w:t>
      </w:r>
      <w:r>
        <w:t xml:space="preserve">, analyses will be carried out in </w:t>
      </w:r>
      <w:r w:rsidR="009C5BC2">
        <w:t>September</w:t>
      </w:r>
      <w:r w:rsidR="00D06EE5">
        <w:t xml:space="preserve"> </w:t>
      </w:r>
      <w:r w:rsidR="00C43CAC">
        <w:t xml:space="preserve">– </w:t>
      </w:r>
      <w:r w:rsidR="009C5BC2">
        <w:t>November</w:t>
      </w:r>
      <w:r w:rsidR="00D06EE5">
        <w:t xml:space="preserve"> </w:t>
      </w:r>
      <w:r>
        <w:t>201</w:t>
      </w:r>
      <w:r w:rsidR="00334620">
        <w:t>8</w:t>
      </w:r>
      <w:r>
        <w:t xml:space="preserve">, and the final data set and report will be submitted in </w:t>
      </w:r>
      <w:r w:rsidR="00D06EE5">
        <w:t xml:space="preserve">September </w:t>
      </w:r>
      <w:r>
        <w:t>201</w:t>
      </w:r>
      <w:r w:rsidR="00334620">
        <w:t>8</w:t>
      </w:r>
      <w:r>
        <w:t xml:space="preserve">. </w:t>
      </w:r>
      <w:r w:rsidRPr="00603813">
        <w:t xml:space="preserve">The project timeline is detailed in </w:t>
      </w:r>
      <w:r w:rsidR="009C5BC2">
        <w:rPr>
          <w:b/>
        </w:rPr>
        <w:t>E</w:t>
      </w:r>
      <w:r w:rsidRPr="00961EEC">
        <w:rPr>
          <w:b/>
        </w:rPr>
        <w:t>xhibit 16.1</w:t>
      </w:r>
      <w:r w:rsidRPr="00603813">
        <w:t>.</w:t>
      </w:r>
    </w:p>
    <w:p w14:paraId="4CAC9CCE" w14:textId="77777777" w:rsidR="00104E90" w:rsidRPr="00104E90" w:rsidRDefault="00104E90" w:rsidP="00104E90"/>
    <w:p w14:paraId="6EFB6473" w14:textId="640E6084" w:rsidR="00E86C70" w:rsidRPr="007376F4" w:rsidRDefault="00E86C70" w:rsidP="00E6566E">
      <w:pPr>
        <w:pStyle w:val="Caption"/>
        <w:keepNext/>
      </w:pPr>
      <w:bookmarkStart w:id="29" w:name="_Toc475955417"/>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16</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Project Time Schedule</w:t>
      </w:r>
      <w:bookmarkEnd w:id="29"/>
    </w:p>
    <w:p w14:paraId="487B57C1" w14:textId="77777777" w:rsidR="00E86C70" w:rsidRPr="00E86C70" w:rsidRDefault="00E86C70" w:rsidP="00E86C70"/>
    <w:tbl>
      <w:tblPr>
        <w:tblW w:w="0" w:type="auto"/>
        <w:jc w:val="center"/>
        <w:tblCellMar>
          <w:left w:w="0" w:type="dxa"/>
          <w:right w:w="0" w:type="dxa"/>
        </w:tblCellMar>
        <w:tblLook w:val="04A0" w:firstRow="1" w:lastRow="0" w:firstColumn="1" w:lastColumn="0" w:noHBand="0" w:noVBand="1"/>
      </w:tblPr>
      <w:tblGrid>
        <w:gridCol w:w="3480"/>
        <w:gridCol w:w="3660"/>
      </w:tblGrid>
      <w:tr w:rsidR="00332F80" w:rsidRPr="00E6566E" w14:paraId="73430BF7" w14:textId="77777777" w:rsidTr="005B4518">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EF9C8" w14:textId="77777777" w:rsidR="00332F80" w:rsidRPr="00E6566E" w:rsidRDefault="00332F80" w:rsidP="005B4518">
            <w:pPr>
              <w:spacing w:before="100" w:beforeAutospacing="1" w:after="100" w:afterAutospacing="1"/>
            </w:pPr>
            <w:r w:rsidRPr="00E6566E">
              <w:t> </w:t>
            </w:r>
          </w:p>
          <w:p w14:paraId="55316278" w14:textId="77777777" w:rsidR="00332F80" w:rsidRPr="00E6566E" w:rsidRDefault="00332F80" w:rsidP="005B4518">
            <w:pPr>
              <w:spacing w:before="100" w:beforeAutospacing="1" w:after="100" w:afterAutospacing="1"/>
            </w:pPr>
            <w:r w:rsidRPr="00E6566E">
              <w:rPr>
                <w:b/>
                <w:bCs/>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B7653" w14:textId="77777777" w:rsidR="00332F80" w:rsidRPr="00E6566E" w:rsidRDefault="00332F80" w:rsidP="005B4518">
            <w:pPr>
              <w:spacing w:before="100" w:beforeAutospacing="1" w:after="100" w:afterAutospacing="1"/>
              <w:jc w:val="center"/>
            </w:pPr>
            <w:r w:rsidRPr="00E6566E">
              <w:t> </w:t>
            </w:r>
          </w:p>
          <w:p w14:paraId="01173B1A" w14:textId="77777777" w:rsidR="00332F80" w:rsidRPr="00E6566E" w:rsidRDefault="00332F80" w:rsidP="005B4518">
            <w:pPr>
              <w:spacing w:before="100" w:beforeAutospacing="1" w:after="100" w:afterAutospacing="1"/>
              <w:jc w:val="center"/>
            </w:pPr>
            <w:r w:rsidRPr="00E6566E">
              <w:rPr>
                <w:b/>
                <w:bCs/>
              </w:rPr>
              <w:t>Time Schedule</w:t>
            </w:r>
          </w:p>
        </w:tc>
      </w:tr>
      <w:tr w:rsidR="00332F80" w:rsidRPr="00E6566E" w14:paraId="40045A51"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2EF36C" w14:textId="1217293F" w:rsidR="00332F80" w:rsidRPr="005E6F8D" w:rsidRDefault="00332F80" w:rsidP="00244129">
            <w:pPr>
              <w:spacing w:before="100" w:beforeAutospacing="1" w:after="100" w:afterAutospacing="1"/>
            </w:pPr>
            <w:r w:rsidRPr="005E6F8D">
              <w:t>D</w:t>
            </w:r>
            <w:r w:rsidR="00347120" w:rsidRPr="005E6F8D">
              <w:t>evelop d</w:t>
            </w:r>
            <w:r w:rsidRPr="005E6F8D">
              <w:t>ata collection tools, sampling and data p</w:t>
            </w:r>
            <w:r w:rsidR="00C70483" w:rsidRPr="005E6F8D">
              <w:t>l</w:t>
            </w:r>
            <w:r w:rsidRPr="005E6F8D">
              <w:t>ans, study protocol</w:t>
            </w:r>
            <w:r w:rsidR="00C43CAC">
              <w:t>, IRB and PD approvals</w:t>
            </w:r>
            <w:r w:rsidRPr="005E6F8D">
              <w:t xml:space="preserve">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D62CF" w14:textId="057F7D93" w:rsidR="00332F80" w:rsidRPr="005E6F8D" w:rsidRDefault="00334620" w:rsidP="00CD30B4">
            <w:pPr>
              <w:spacing w:before="100" w:beforeAutospacing="1" w:after="100" w:afterAutospacing="1"/>
            </w:pPr>
            <w:r>
              <w:t xml:space="preserve">Oct </w:t>
            </w:r>
            <w:r w:rsidR="001F5846">
              <w:t>201</w:t>
            </w:r>
            <w:r>
              <w:t>7</w:t>
            </w:r>
            <w:r w:rsidR="00C43CAC">
              <w:t xml:space="preserve">- </w:t>
            </w:r>
            <w:r w:rsidR="009C5BC2">
              <w:t xml:space="preserve">Apr </w:t>
            </w:r>
            <w:r w:rsidR="001F5846">
              <w:t>201</w:t>
            </w:r>
            <w:r>
              <w:t>8</w:t>
            </w:r>
          </w:p>
        </w:tc>
      </w:tr>
      <w:tr w:rsidR="006343C9" w:rsidRPr="00E6566E" w14:paraId="5C38A9A3" w14:textId="77777777" w:rsidTr="002441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927C6" w14:textId="04D0C1A3" w:rsidR="006343C9" w:rsidRPr="005E6F8D" w:rsidRDefault="006343C9" w:rsidP="00244129">
            <w:pPr>
              <w:spacing w:before="100" w:beforeAutospacing="1" w:after="100" w:afterAutospacing="1"/>
            </w:pPr>
            <w:r w:rsidRPr="005E6F8D">
              <w:t>OMB Submission</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79CD6" w14:textId="536BC5DF" w:rsidR="006343C9" w:rsidRPr="005E6F8D" w:rsidRDefault="009C5BC2" w:rsidP="00244129">
            <w:pPr>
              <w:spacing w:before="100" w:beforeAutospacing="1" w:after="100" w:afterAutospacing="1"/>
            </w:pPr>
            <w:r>
              <w:t>May</w:t>
            </w:r>
            <w:r w:rsidR="00D06EE5">
              <w:t xml:space="preserve"> </w:t>
            </w:r>
            <w:r w:rsidR="00E04AE1">
              <w:t>201</w:t>
            </w:r>
            <w:r w:rsidR="00D06EE5">
              <w:t>8</w:t>
            </w:r>
          </w:p>
        </w:tc>
      </w:tr>
      <w:tr w:rsidR="00332F80" w:rsidRPr="00E6566E" w14:paraId="07D8F5AB"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9BB55" w14:textId="77777777" w:rsidR="00332F80" w:rsidRPr="005E6F8D" w:rsidRDefault="00332F80" w:rsidP="00244129">
            <w:pPr>
              <w:spacing w:before="100" w:beforeAutospacing="1" w:after="100" w:afterAutospacing="1"/>
            </w:pPr>
            <w:r w:rsidRPr="005E6F8D">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4608E" w14:textId="7AC06C81" w:rsidR="00332F80" w:rsidRPr="005E6F8D" w:rsidRDefault="00104E90" w:rsidP="00244129">
            <w:pPr>
              <w:spacing w:before="100" w:beforeAutospacing="1" w:after="100" w:afterAutospacing="1"/>
            </w:pPr>
            <w:r w:rsidRPr="005E6F8D">
              <w:t>After OMB Approval</w:t>
            </w:r>
          </w:p>
        </w:tc>
      </w:tr>
      <w:tr w:rsidR="00332F80" w:rsidRPr="00E6566E" w14:paraId="08023755"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54F94" w14:textId="77777777" w:rsidR="00332F80" w:rsidRPr="005E6F8D" w:rsidRDefault="00332F80" w:rsidP="00244129">
            <w:pPr>
              <w:spacing w:before="100" w:beforeAutospacing="1" w:after="100" w:afterAutospacing="1"/>
            </w:pPr>
            <w:r w:rsidRPr="005E6F8D">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AABEB" w14:textId="0588FEAD" w:rsidR="00332F80" w:rsidRPr="005E6F8D" w:rsidRDefault="00104E90" w:rsidP="001F5846">
            <w:pPr>
              <w:spacing w:before="100" w:beforeAutospacing="1" w:after="100" w:afterAutospacing="1"/>
            </w:pPr>
            <w:r w:rsidRPr="005E6F8D">
              <w:t>1-</w:t>
            </w:r>
            <w:r w:rsidR="00A54920">
              <w:t>3</w:t>
            </w:r>
            <w:r w:rsidRPr="005E6F8D">
              <w:t xml:space="preserve"> months after OMB Approval</w:t>
            </w:r>
          </w:p>
        </w:tc>
      </w:tr>
      <w:tr w:rsidR="00332F80" w:rsidRPr="00E6566E" w14:paraId="31B61FEB"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16D00" w14:textId="77777777" w:rsidR="00332F80" w:rsidRPr="005E6F8D" w:rsidRDefault="00332F80" w:rsidP="00244129">
            <w:pPr>
              <w:spacing w:before="100" w:beforeAutospacing="1" w:after="100" w:afterAutospacing="1"/>
            </w:pPr>
            <w:r w:rsidRPr="005E6F8D">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F90E3" w14:textId="3F3C66DD" w:rsidR="00332F80" w:rsidRPr="005E6F8D" w:rsidRDefault="001F5846" w:rsidP="001F5846">
            <w:pPr>
              <w:spacing w:before="100" w:beforeAutospacing="1" w:after="100" w:afterAutospacing="1"/>
            </w:pPr>
            <w:r>
              <w:t>4</w:t>
            </w:r>
            <w:r w:rsidR="001D6DDB" w:rsidRPr="005E6F8D">
              <w:t>-</w:t>
            </w:r>
            <w:r>
              <w:t>6</w:t>
            </w:r>
            <w:r w:rsidR="00104E90" w:rsidRPr="005E6F8D">
              <w:t xml:space="preserve"> months after OMB Approval</w:t>
            </w:r>
          </w:p>
        </w:tc>
      </w:tr>
      <w:tr w:rsidR="00332F80" w:rsidRPr="00603813" w14:paraId="7BF6EC30" w14:textId="77777777" w:rsidTr="00F15707">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350D7" w14:textId="77777777" w:rsidR="00332F80" w:rsidRPr="005E6F8D" w:rsidRDefault="00332F80" w:rsidP="00244129">
            <w:pPr>
              <w:spacing w:before="100" w:beforeAutospacing="1" w:after="100" w:afterAutospacing="1"/>
            </w:pPr>
            <w:r w:rsidRPr="005E6F8D">
              <w:t>Final data set and final report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1131C" w14:textId="21F07219" w:rsidR="00332F80" w:rsidRPr="005E6F8D" w:rsidRDefault="001F5846" w:rsidP="00244129">
            <w:pPr>
              <w:spacing w:before="100" w:beforeAutospacing="1" w:after="100" w:afterAutospacing="1"/>
            </w:pPr>
            <w:r>
              <w:t>7</w:t>
            </w:r>
            <w:r w:rsidR="008A4E7B" w:rsidRPr="005E6F8D">
              <w:t xml:space="preserve"> months after OMB Approval </w:t>
            </w:r>
          </w:p>
        </w:tc>
      </w:tr>
    </w:tbl>
    <w:p w14:paraId="7A65115B" w14:textId="77777777" w:rsidR="00041B9F" w:rsidRDefault="00041B9F" w:rsidP="00332F80">
      <w:pPr>
        <w:jc w:val="both"/>
        <w:rPr>
          <w:highlight w:val="yellow"/>
        </w:rPr>
      </w:pPr>
    </w:p>
    <w:p w14:paraId="1257D8A8" w14:textId="4E60F6E4" w:rsidR="00041B9F" w:rsidRPr="005E6F8D" w:rsidRDefault="00065F39" w:rsidP="006E4CC2">
      <w:pPr>
        <w:spacing w:line="360" w:lineRule="auto"/>
        <w:jc w:val="both"/>
      </w:pPr>
      <w:r w:rsidRPr="00961EEC">
        <w:t>In compliance with the CDC policy on data management and access, we will develop a final, de-identified (names, other PII, and locations will be removed) qualitative database for this study along with the corresponding data documentation. This database will be made publicly available within 30 months of the end of data collection, if the final de-identified data are of sufficient quality and usefulness, and can be shown to result in generalizable value to science.   </w:t>
      </w:r>
    </w:p>
    <w:p w14:paraId="5E10EBF4" w14:textId="70DD4E06" w:rsidR="00B12EA3" w:rsidRDefault="00B12EA3" w:rsidP="00E53653">
      <w:pPr>
        <w:pStyle w:val="Heading1"/>
      </w:pPr>
      <w:bookmarkStart w:id="30" w:name="_Toc475955410"/>
      <w:r w:rsidRPr="00B12EA3">
        <w:t>Reason(s) Display of OMB Expiration Date is Inappropriate</w:t>
      </w:r>
      <w:bookmarkEnd w:id="30"/>
    </w:p>
    <w:p w14:paraId="4A38EA5F" w14:textId="77777777" w:rsidR="00332F80" w:rsidRDefault="00332F80" w:rsidP="00F951D1"/>
    <w:p w14:paraId="22EFCC05" w14:textId="6B5C4C78" w:rsidR="00332F80" w:rsidRPr="00F951D1" w:rsidRDefault="00332F80" w:rsidP="00F951D1">
      <w:r w:rsidRPr="00603813">
        <w:t xml:space="preserve">We do not seek approval to eliminate the expiration date. </w:t>
      </w:r>
    </w:p>
    <w:p w14:paraId="64729C1A" w14:textId="52431784" w:rsidR="00542640" w:rsidRDefault="00B12EA3" w:rsidP="00E53653">
      <w:pPr>
        <w:pStyle w:val="Heading1"/>
      </w:pPr>
      <w:bookmarkStart w:id="31" w:name="_Toc475955411"/>
      <w:r w:rsidRPr="00B12EA3">
        <w:t>E</w:t>
      </w:r>
      <w:r w:rsidRPr="00E53653">
        <w:rPr>
          <w:rStyle w:val="Heading1Char"/>
        </w:rPr>
        <w:t>x</w:t>
      </w:r>
      <w:r w:rsidRPr="00B12EA3">
        <w:t>ceptions to Certification for Paperwork Reduction Act Submissions</w:t>
      </w:r>
      <w:bookmarkEnd w:id="31"/>
    </w:p>
    <w:p w14:paraId="1BDB8BCE" w14:textId="77777777" w:rsidR="00332F80" w:rsidRDefault="00332F80" w:rsidP="00F951D1"/>
    <w:p w14:paraId="7C4350FB" w14:textId="02726F4A" w:rsidR="006869D4" w:rsidRDefault="00332F80" w:rsidP="00720709">
      <w:r w:rsidRPr="00332F80">
        <w:t>There are no exemptions to the certification.</w:t>
      </w:r>
    </w:p>
    <w:p w14:paraId="2441AE58" w14:textId="7173156D" w:rsidR="001D6DDB" w:rsidRDefault="00CC6AB1" w:rsidP="000E619E">
      <w:pPr>
        <w:spacing w:after="200" w:line="276" w:lineRule="auto"/>
      </w:pPr>
      <w:r>
        <w:br w:type="page"/>
      </w:r>
    </w:p>
    <w:p w14:paraId="047F3866" w14:textId="77777777" w:rsidR="000E619E" w:rsidRDefault="000E619E" w:rsidP="000E619E">
      <w:pPr>
        <w:pStyle w:val="Heading1"/>
        <w:numPr>
          <w:ilvl w:val="0"/>
          <w:numId w:val="0"/>
        </w:numPr>
      </w:pPr>
      <w:bookmarkStart w:id="32" w:name="_Toc448296092"/>
      <w:bookmarkStart w:id="33" w:name="_Toc475955412"/>
      <w:r>
        <w:t>References:</w:t>
      </w:r>
      <w:bookmarkEnd w:id="32"/>
      <w:bookmarkEnd w:id="33"/>
    </w:p>
    <w:p w14:paraId="33103C38" w14:textId="77777777" w:rsidR="00826F55" w:rsidRPr="00826F55" w:rsidRDefault="00826F55" w:rsidP="00826F55"/>
    <w:p w14:paraId="745D2139" w14:textId="77777777" w:rsidR="004C32F9" w:rsidRPr="00961EEC" w:rsidRDefault="004C32F9" w:rsidP="00DA2BE9">
      <w:pPr>
        <w:pStyle w:val="Body"/>
        <w:numPr>
          <w:ilvl w:val="0"/>
          <w:numId w:val="22"/>
        </w:numPr>
        <w:spacing w:line="480" w:lineRule="auto"/>
        <w:rPr>
          <w:rFonts w:ascii="Times New Roman" w:eastAsia="Times New Roman" w:hAnsi="Times New Roman" w:cs="Times New Roman"/>
        </w:rPr>
      </w:pPr>
      <w:r w:rsidRPr="004C32F9">
        <w:rPr>
          <w:rFonts w:ascii="Times New Roman" w:hAnsi="Times New Roman"/>
        </w:rPr>
        <w:t>Abreu DA, Winters F. Using monetary incentives to reduce attrition in the survey of income and program participation. Proceedings of the Survey Research Methods Section of the American Statistical Association 1999</w:t>
      </w:r>
    </w:p>
    <w:p w14:paraId="71C18E16" w14:textId="06B1F6FE" w:rsidR="00DA2BE9" w:rsidRPr="00174065" w:rsidRDefault="00DA2BE9" w:rsidP="00DA2BE9">
      <w:pPr>
        <w:pStyle w:val="Body"/>
        <w:numPr>
          <w:ilvl w:val="0"/>
          <w:numId w:val="22"/>
        </w:numPr>
        <w:spacing w:line="480" w:lineRule="auto"/>
        <w:rPr>
          <w:rFonts w:ascii="Times New Roman" w:eastAsia="Times New Roman" w:hAnsi="Times New Roman" w:cs="Times New Roman"/>
        </w:rPr>
      </w:pPr>
      <w:r>
        <w:rPr>
          <w:rFonts w:ascii="Times New Roman" w:hAnsi="Times New Roman"/>
        </w:rPr>
        <w:t xml:space="preserve">Arnold EA and Bailey MM. (2009). Constructing Home and Family: How the Ballroom Community supports African-American GLBTQ Youth in the Face of HIV/AIDS. Journal of Gay and Lesbian Social Services 21, 171-188. </w:t>
      </w:r>
    </w:p>
    <w:p w14:paraId="1A689BFE" w14:textId="4D733205" w:rsidR="005E57B6" w:rsidRPr="005E57B6" w:rsidRDefault="000E32B9" w:rsidP="005E57B6">
      <w:pPr>
        <w:pStyle w:val="Body"/>
        <w:numPr>
          <w:ilvl w:val="0"/>
          <w:numId w:val="22"/>
        </w:numPr>
        <w:spacing w:line="480" w:lineRule="auto"/>
        <w:rPr>
          <w:rFonts w:ascii="Times New Roman" w:hAnsi="Times New Roman" w:cs="Times New Roman"/>
        </w:rPr>
      </w:pPr>
      <w:r w:rsidRPr="005E57B6">
        <w:rPr>
          <w:rFonts w:ascii="Times New Roman" w:hAnsi="Times New Roman" w:cs="Times New Roman"/>
        </w:rPr>
        <w:t>Bricker, Jeff (2014) Survey Incentives, Survey Effort, and Survey Costs. Finance and Economics Discussion Series</w:t>
      </w:r>
      <w:r w:rsidR="005E57B6" w:rsidRPr="005E57B6">
        <w:rPr>
          <w:rFonts w:ascii="Times New Roman" w:hAnsi="Times New Roman" w:cs="Times New Roman"/>
        </w:rPr>
        <w:t xml:space="preserve">, </w:t>
      </w:r>
      <w:r w:rsidRPr="005E57B6">
        <w:rPr>
          <w:rFonts w:ascii="Times New Roman" w:hAnsi="Times New Roman" w:cs="Times New Roman"/>
        </w:rPr>
        <w:t xml:space="preserve">Divisions of Research &amp; </w:t>
      </w:r>
      <w:r w:rsidR="005E57B6" w:rsidRPr="005E57B6">
        <w:rPr>
          <w:rFonts w:ascii="Times New Roman" w:hAnsi="Times New Roman" w:cs="Times New Roman"/>
        </w:rPr>
        <w:t xml:space="preserve">Statistics and Monetary Affairs, </w:t>
      </w:r>
      <w:r w:rsidRPr="005E57B6">
        <w:rPr>
          <w:rFonts w:ascii="Times New Roman" w:hAnsi="Times New Roman" w:cs="Times New Roman"/>
        </w:rPr>
        <w:t>Federal Reserve Board, Washington, D.C.</w:t>
      </w:r>
      <w:r w:rsidR="005E57B6" w:rsidRPr="005E57B6">
        <w:t xml:space="preserve"> </w:t>
      </w:r>
      <w:r w:rsidR="005E57B6" w:rsidRPr="005E57B6">
        <w:rPr>
          <w:rFonts w:ascii="Times New Roman" w:hAnsi="Times New Roman" w:cs="Times New Roman"/>
        </w:rPr>
        <w:t>https://www.federalreserve.gov/econresdata/feds/2014/files/201474pap.pdf</w:t>
      </w:r>
    </w:p>
    <w:p w14:paraId="2974C5F3" w14:textId="67B21FFE" w:rsidR="00DA2BE9" w:rsidRPr="0060439B" w:rsidRDefault="00DA2BE9" w:rsidP="005E57B6">
      <w:pPr>
        <w:pStyle w:val="Body"/>
        <w:numPr>
          <w:ilvl w:val="0"/>
          <w:numId w:val="22"/>
        </w:numPr>
        <w:spacing w:line="480" w:lineRule="auto"/>
        <w:rPr>
          <w:rFonts w:ascii="Times New Roman" w:eastAsia="Times New Roman" w:hAnsi="Times New Roman" w:cs="Times New Roman"/>
        </w:rPr>
      </w:pPr>
      <w:r w:rsidRPr="0060439B">
        <w:rPr>
          <w:rFonts w:ascii="Times New Roman" w:hAnsi="Times New Roman"/>
        </w:rPr>
        <w:t xml:space="preserve">Centers for Disease Control and Prevention. </w:t>
      </w:r>
      <w:r w:rsidRPr="0060439B">
        <w:rPr>
          <w:rFonts w:ascii="Times New Roman" w:hAnsi="Times New Roman"/>
          <w:i/>
          <w:iCs/>
        </w:rPr>
        <w:t xml:space="preserve">Sexually Transmitted Disease Surveillance </w:t>
      </w:r>
      <w:r w:rsidR="00D06EE5" w:rsidRPr="0060439B">
        <w:rPr>
          <w:rFonts w:ascii="Times New Roman" w:hAnsi="Times New Roman"/>
          <w:i/>
          <w:iCs/>
        </w:rPr>
        <w:t>201</w:t>
      </w:r>
      <w:r w:rsidR="00D06EE5">
        <w:rPr>
          <w:rFonts w:ascii="Times New Roman" w:hAnsi="Times New Roman"/>
          <w:i/>
          <w:iCs/>
        </w:rPr>
        <w:t>6</w:t>
      </w:r>
      <w:r w:rsidRPr="0060439B">
        <w:rPr>
          <w:rFonts w:ascii="Times New Roman" w:hAnsi="Times New Roman"/>
        </w:rPr>
        <w:t>. Atlanta: U.S. Department of Health and Human Services; 201</w:t>
      </w:r>
      <w:r w:rsidR="00D06EE5">
        <w:rPr>
          <w:rFonts w:ascii="Times New Roman" w:hAnsi="Times New Roman"/>
        </w:rPr>
        <w:t>7</w:t>
      </w:r>
      <w:r w:rsidRPr="0060439B">
        <w:rPr>
          <w:rFonts w:ascii="Times New Roman" w:hAnsi="Times New Roman"/>
        </w:rPr>
        <w:t>.</w:t>
      </w:r>
    </w:p>
    <w:p w14:paraId="7FDABABD" w14:textId="77777777" w:rsidR="00DA2BE9" w:rsidRDefault="00DA2BE9" w:rsidP="005E57B6">
      <w:pPr>
        <w:pStyle w:val="Body"/>
        <w:numPr>
          <w:ilvl w:val="0"/>
          <w:numId w:val="22"/>
        </w:numPr>
        <w:spacing w:line="480" w:lineRule="auto"/>
        <w:rPr>
          <w:rFonts w:ascii="Times New Roman" w:eastAsia="Times New Roman" w:hAnsi="Times New Roman" w:cs="Times New Roman"/>
        </w:rPr>
      </w:pPr>
      <w:r>
        <w:rPr>
          <w:rFonts w:ascii="Times New Roman" w:hAnsi="Times New Roman"/>
          <w:lang w:val="de-DE"/>
        </w:rPr>
        <w:t>Goltz, B. (2015). We</w:t>
      </w:r>
      <w:r>
        <w:rPr>
          <w:rFonts w:ascii="Times New Roman" w:hAnsi="Times New Roman"/>
        </w:rPr>
        <w:t>’re Not in Oz Anymore”: Shifting Generational Perspectives and Tensions of Gay Community, Identity, and Future, Journal of Homosexuality, 61:11, 1503-1528.</w:t>
      </w:r>
    </w:p>
    <w:p w14:paraId="053ADF19" w14:textId="77777777" w:rsidR="00DA2BE9" w:rsidRPr="00174065" w:rsidRDefault="00DA2BE9" w:rsidP="005E57B6">
      <w:pPr>
        <w:pStyle w:val="Body"/>
        <w:numPr>
          <w:ilvl w:val="0"/>
          <w:numId w:val="22"/>
        </w:numPr>
        <w:spacing w:line="480" w:lineRule="auto"/>
        <w:rPr>
          <w:rFonts w:ascii="Times New Roman" w:eastAsia="Times New Roman" w:hAnsi="Times New Roman" w:cs="Times New Roman"/>
        </w:rPr>
      </w:pPr>
      <w:r>
        <w:rPr>
          <w:rFonts w:ascii="Times New Roman" w:hAnsi="Times New Roman"/>
        </w:rPr>
        <w:t>Holt, M. (2011). Gay men and ambivalence about ‘gay community’: from gay community attachment to personal communities, Culture, Health &amp; Sexuality: An International Journal for Research, Intervention and Care, 13:8, 857-871.</w:t>
      </w:r>
    </w:p>
    <w:p w14:paraId="3E8D6E11" w14:textId="63FBC2A2" w:rsidR="00DA2BE9" w:rsidRDefault="00DA2BE9" w:rsidP="005E57B6">
      <w:pPr>
        <w:pStyle w:val="Body"/>
        <w:numPr>
          <w:ilvl w:val="0"/>
          <w:numId w:val="22"/>
        </w:numPr>
        <w:spacing w:line="480" w:lineRule="auto"/>
        <w:rPr>
          <w:rFonts w:ascii="Times New Roman" w:eastAsia="Times New Roman" w:hAnsi="Times New Roman" w:cs="Times New Roman"/>
        </w:rPr>
      </w:pPr>
      <w:r>
        <w:rPr>
          <w:rFonts w:ascii="Times New Roman" w:hAnsi="Times New Roman"/>
        </w:rPr>
        <w:t xml:space="preserve">Maulsby C, Millett G, Lindsey K, Kelley R, Johnson K, Montoya D, Holtgrave D. (2014). HIV </w:t>
      </w:r>
      <w:r w:rsidR="00A54920">
        <w:rPr>
          <w:rFonts w:ascii="Times New Roman" w:hAnsi="Times New Roman"/>
        </w:rPr>
        <w:t>among</w:t>
      </w:r>
      <w:r>
        <w:rPr>
          <w:rFonts w:ascii="Times New Roman" w:hAnsi="Times New Roman"/>
        </w:rPr>
        <w:t xml:space="preserve"> Black Men Who Have Sex with Men in the United States: A review of the literature. AIDS Behavior 18:10-25</w:t>
      </w:r>
    </w:p>
    <w:p w14:paraId="63622955" w14:textId="77777777" w:rsidR="004C32F9" w:rsidRPr="00961EEC" w:rsidRDefault="004C32F9" w:rsidP="005E57B6">
      <w:pPr>
        <w:pStyle w:val="Body"/>
        <w:numPr>
          <w:ilvl w:val="0"/>
          <w:numId w:val="22"/>
        </w:numPr>
        <w:spacing w:line="480" w:lineRule="auto"/>
        <w:rPr>
          <w:rFonts w:ascii="Times New Roman" w:eastAsia="Times New Roman" w:hAnsi="Times New Roman" w:cs="Times New Roman"/>
        </w:rPr>
      </w:pPr>
      <w:r w:rsidRPr="004C32F9">
        <w:rPr>
          <w:rFonts w:ascii="Times New Roman" w:hAnsi="Times New Roman"/>
        </w:rPr>
        <w:t>Painter TM, Ngalame PM, Lucas B, Lauby JL, Herbst JH. Strategies used by community-based organizations to evaluate their locally developed HIV prevention interventions: Lessons learned from the CDC's innovative interventions project. AIDS Educ Prev 2010;22(5):387-401</w:t>
      </w:r>
    </w:p>
    <w:p w14:paraId="52C44D8E" w14:textId="13D8131E" w:rsidR="00DA2BE9" w:rsidRDefault="00DA2BE9" w:rsidP="005E57B6">
      <w:pPr>
        <w:pStyle w:val="Body"/>
        <w:numPr>
          <w:ilvl w:val="0"/>
          <w:numId w:val="22"/>
        </w:numPr>
        <w:spacing w:line="480" w:lineRule="auto"/>
        <w:rPr>
          <w:rFonts w:ascii="Times New Roman" w:eastAsia="Times New Roman" w:hAnsi="Times New Roman" w:cs="Times New Roman"/>
        </w:rPr>
      </w:pPr>
      <w:r>
        <w:rPr>
          <w:rFonts w:ascii="Times New Roman" w:hAnsi="Times New Roman"/>
        </w:rPr>
        <w:t>Ross, M. (2014). Gay Community Involvement: Its Interrelationships and Associations with Internet Use</w:t>
      </w:r>
      <w:r>
        <w:rPr>
          <w:rFonts w:ascii="Times New Roman" w:eastAsia="Times New Roman" w:hAnsi="Times New Roman" w:cs="Times New Roman"/>
        </w:rPr>
        <w:t xml:space="preserve"> </w:t>
      </w:r>
      <w:r>
        <w:rPr>
          <w:rFonts w:ascii="Times New Roman" w:hAnsi="Times New Roman"/>
        </w:rPr>
        <w:t>and HIV Risk Behaviors in Swedish Men Who Have Sex with Men, Journal of Homosexuality, 61:2, 323-333.</w:t>
      </w:r>
    </w:p>
    <w:p w14:paraId="003B6D80" w14:textId="77777777" w:rsidR="00DA2BE9" w:rsidRDefault="00DA2BE9" w:rsidP="005E57B6">
      <w:pPr>
        <w:pStyle w:val="Body"/>
        <w:numPr>
          <w:ilvl w:val="0"/>
          <w:numId w:val="22"/>
        </w:numPr>
        <w:spacing w:line="480" w:lineRule="auto"/>
        <w:rPr>
          <w:rFonts w:ascii="Times New Roman" w:eastAsia="Times New Roman" w:hAnsi="Times New Roman" w:cs="Times New Roman"/>
        </w:rPr>
      </w:pPr>
      <w:r>
        <w:rPr>
          <w:rFonts w:ascii="Times New Roman" w:hAnsi="Times New Roman"/>
        </w:rPr>
        <w:t xml:space="preserve">Rowe M. (2008). Sex, love, friendship, belonging and place: Is there a role for ‘Gay Community’ </w:t>
      </w:r>
      <w:r>
        <w:rPr>
          <w:rFonts w:ascii="Times New Roman" w:hAnsi="Times New Roman"/>
          <w:lang w:val="de-DE"/>
        </w:rPr>
        <w:t xml:space="preserve">in HIV </w:t>
      </w:r>
      <w:r>
        <w:rPr>
          <w:rFonts w:ascii="Times New Roman" w:hAnsi="Times New Roman"/>
        </w:rPr>
        <w:t>prevention today? Culture, Health &amp; Sexuality: An International Journal for Research, Intervention and Care, 10:4, 329-344.</w:t>
      </w:r>
    </w:p>
    <w:p w14:paraId="3BFFCDBD" w14:textId="73E5E8BB" w:rsidR="004C32F9" w:rsidRPr="00961EEC" w:rsidRDefault="004C32F9" w:rsidP="005E57B6">
      <w:pPr>
        <w:pStyle w:val="Body"/>
        <w:numPr>
          <w:ilvl w:val="0"/>
          <w:numId w:val="22"/>
        </w:numPr>
        <w:spacing w:line="480" w:lineRule="auto"/>
        <w:rPr>
          <w:rFonts w:ascii="Times New Roman" w:eastAsia="Times New Roman" w:hAnsi="Times New Roman" w:cs="Times New Roman"/>
        </w:rPr>
      </w:pPr>
      <w:r w:rsidRPr="004C32F9">
        <w:rPr>
          <w:rFonts w:ascii="Times New Roman" w:hAnsi="Times New Roman"/>
        </w:rPr>
        <w:t xml:space="preserve">Shettle C, Mooney G. Monetary incentives in U.S. government surveys. Journal of </w:t>
      </w:r>
      <w:r w:rsidR="00A54920" w:rsidRPr="004C32F9">
        <w:rPr>
          <w:rFonts w:ascii="Times New Roman" w:hAnsi="Times New Roman"/>
        </w:rPr>
        <w:t>Official</w:t>
      </w:r>
      <w:r w:rsidRPr="004C32F9">
        <w:rPr>
          <w:rFonts w:ascii="Times New Roman" w:hAnsi="Times New Roman"/>
        </w:rPr>
        <w:t xml:space="preserve"> Statistics 1999;15(2):231-50.</w:t>
      </w:r>
    </w:p>
    <w:p w14:paraId="1A1F884D" w14:textId="77777777" w:rsidR="004C32F9" w:rsidRPr="00961EEC" w:rsidRDefault="00DA2BE9" w:rsidP="005E57B6">
      <w:pPr>
        <w:pStyle w:val="Body"/>
        <w:numPr>
          <w:ilvl w:val="0"/>
          <w:numId w:val="22"/>
        </w:numPr>
        <w:spacing w:line="480" w:lineRule="auto"/>
        <w:rPr>
          <w:rFonts w:ascii="Times New Roman" w:eastAsia="Times New Roman" w:hAnsi="Times New Roman" w:cs="Times New Roman"/>
        </w:rPr>
      </w:pPr>
      <w:r w:rsidRPr="00DA2BE9">
        <w:rPr>
          <w:rFonts w:ascii="Times New Roman" w:hAnsi="Times New Roman"/>
        </w:rPr>
        <w:t>Wilson P, Valera P, Martos A, Wittlin N, Munoz-Laboy M, Parker R. (2016). Contributions of Qualitative Research in Informing HIV/AIDS Interventions Targeting Black MSM in the United States</w:t>
      </w:r>
      <w:r w:rsidR="002F714D">
        <w:rPr>
          <w:rFonts w:ascii="Times New Roman" w:hAnsi="Times New Roman"/>
        </w:rPr>
        <w:t xml:space="preserve">. </w:t>
      </w:r>
      <w:r w:rsidRPr="00DA2BE9">
        <w:rPr>
          <w:rFonts w:ascii="Times New Roman" w:hAnsi="Times New Roman"/>
        </w:rPr>
        <w:t>The Journal of Sex Research. 53:6, 642-654</w:t>
      </w:r>
      <w:r w:rsidR="004C32F9" w:rsidRPr="004C32F9">
        <w:rPr>
          <w:rFonts w:ascii="Times New Roman" w:eastAsia="Times New Roman" w:hAnsi="Times New Roman" w:cs="Times New Roman"/>
          <w:color w:val="auto"/>
          <w:sz w:val="24"/>
          <w:szCs w:val="24"/>
          <w:bdr w:val="none" w:sz="0" w:space="0" w:color="auto"/>
        </w:rPr>
        <w:t xml:space="preserve"> </w:t>
      </w:r>
    </w:p>
    <w:p w14:paraId="7CE2353D" w14:textId="241D7BB5" w:rsidR="00DA2BE9" w:rsidRPr="00DA2BE9" w:rsidRDefault="004C32F9" w:rsidP="005E57B6">
      <w:pPr>
        <w:pStyle w:val="Body"/>
        <w:numPr>
          <w:ilvl w:val="0"/>
          <w:numId w:val="22"/>
        </w:numPr>
        <w:spacing w:line="480" w:lineRule="auto"/>
        <w:rPr>
          <w:rFonts w:ascii="Times New Roman" w:eastAsia="Times New Roman" w:hAnsi="Times New Roman" w:cs="Times New Roman"/>
        </w:rPr>
      </w:pPr>
      <w:r w:rsidRPr="004C32F9">
        <w:rPr>
          <w:rFonts w:ascii="Times New Roman" w:hAnsi="Times New Roman"/>
        </w:rPr>
        <w:t>Yancey AK, Ortega AN, Kumanyika SK. Effective recruitment and retention of minority research participants. Annu Rev Public Health 2006;27:1-28.</w:t>
      </w:r>
    </w:p>
    <w:p w14:paraId="1FA34360" w14:textId="77777777" w:rsidR="000E619E" w:rsidRDefault="000E619E" w:rsidP="000E619E">
      <w:pPr>
        <w:tabs>
          <w:tab w:val="left" w:pos="2204"/>
        </w:tabs>
      </w:pPr>
      <w:r>
        <w:tab/>
      </w:r>
    </w:p>
    <w:p w14:paraId="555C74B1" w14:textId="08255C51" w:rsidR="000E619E" w:rsidRDefault="000E619E" w:rsidP="000E619E">
      <w:pPr>
        <w:tabs>
          <w:tab w:val="left" w:pos="2204"/>
        </w:tabs>
      </w:pPr>
    </w:p>
    <w:p w14:paraId="36D49B68" w14:textId="28DCCFD9" w:rsidR="00E04AE1" w:rsidRDefault="00E04AE1" w:rsidP="000E619E">
      <w:pPr>
        <w:pStyle w:val="Body"/>
        <w:spacing w:line="480" w:lineRule="auto"/>
        <w:rPr>
          <w:rFonts w:ascii="Times New Roman" w:eastAsia="Times New Roman" w:hAnsi="Times New Roman" w:cs="Times New Roman"/>
        </w:rPr>
      </w:pPr>
    </w:p>
    <w:p w14:paraId="47264911" w14:textId="2664A7AC" w:rsidR="006C655A" w:rsidRPr="006C655A" w:rsidRDefault="006C655A" w:rsidP="00E04AE1">
      <w:pPr>
        <w:tabs>
          <w:tab w:val="left" w:pos="2204"/>
        </w:tabs>
      </w:pPr>
    </w:p>
    <w:sectPr w:rsidR="006C655A" w:rsidRPr="006C655A" w:rsidSect="00CC6AB1">
      <w:footerReference w:type="default" r:id="rId13"/>
      <w:endnotePr>
        <w:numFmt w:val="decimal"/>
      </w:endnotePr>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AADEF" w14:textId="77777777" w:rsidR="00AC7A46" w:rsidRDefault="00AC7A46" w:rsidP="008B5D54">
      <w:r>
        <w:separator/>
      </w:r>
    </w:p>
  </w:endnote>
  <w:endnote w:type="continuationSeparator" w:id="0">
    <w:p w14:paraId="4F22BF32" w14:textId="77777777" w:rsidR="00AC7A46" w:rsidRDefault="00AC7A46"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21567"/>
      <w:docPartObj>
        <w:docPartGallery w:val="Page Numbers (Bottom of Page)"/>
        <w:docPartUnique/>
      </w:docPartObj>
    </w:sdtPr>
    <w:sdtEndPr>
      <w:rPr>
        <w:noProof/>
      </w:rPr>
    </w:sdtEndPr>
    <w:sdtContent>
      <w:p w14:paraId="56D33063" w14:textId="2DED1DAE" w:rsidR="00AC7A46" w:rsidRDefault="00AC7A46">
        <w:pPr>
          <w:pStyle w:val="Footer"/>
          <w:jc w:val="center"/>
        </w:pPr>
        <w:r>
          <w:fldChar w:fldCharType="begin"/>
        </w:r>
        <w:r>
          <w:instrText xml:space="preserve"> PAGE   \* MERGEFORMAT </w:instrText>
        </w:r>
        <w:r>
          <w:fldChar w:fldCharType="separate"/>
        </w:r>
        <w:r w:rsidR="00BC7F17">
          <w:rPr>
            <w:noProof/>
          </w:rPr>
          <w:t>1</w:t>
        </w:r>
        <w:r>
          <w:rPr>
            <w:noProof/>
          </w:rPr>
          <w:fldChar w:fldCharType="end"/>
        </w:r>
      </w:p>
    </w:sdtContent>
  </w:sdt>
  <w:p w14:paraId="14B64FA2" w14:textId="77777777" w:rsidR="00AC7A46" w:rsidRDefault="00AC7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4B0EA" w14:textId="77777777" w:rsidR="00AC7A46" w:rsidRDefault="00AC7A46" w:rsidP="008B5D54">
      <w:r>
        <w:separator/>
      </w:r>
    </w:p>
  </w:footnote>
  <w:footnote w:type="continuationSeparator" w:id="0">
    <w:p w14:paraId="3244EB3A" w14:textId="77777777" w:rsidR="00AC7A46" w:rsidRDefault="00AC7A46"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ED726C"/>
    <w:multiLevelType w:val="hybridMultilevel"/>
    <w:tmpl w:val="389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203EE"/>
    <w:multiLevelType w:val="hybridMultilevel"/>
    <w:tmpl w:val="C34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0B8A"/>
    <w:multiLevelType w:val="hybridMultilevel"/>
    <w:tmpl w:val="A41C3B6E"/>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E4E25"/>
    <w:multiLevelType w:val="hybridMultilevel"/>
    <w:tmpl w:val="2AA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B3D01"/>
    <w:multiLevelType w:val="hybridMultilevel"/>
    <w:tmpl w:val="56B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85A5B"/>
    <w:multiLevelType w:val="hybridMultilevel"/>
    <w:tmpl w:val="ED6AB956"/>
    <w:lvl w:ilvl="0" w:tplc="9ECE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6A12F6"/>
    <w:multiLevelType w:val="hybridMultilevel"/>
    <w:tmpl w:val="13723D00"/>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90B10"/>
    <w:multiLevelType w:val="hybridMultilevel"/>
    <w:tmpl w:val="23B89A6E"/>
    <w:lvl w:ilvl="0" w:tplc="F2600912">
      <w:start w:val="1"/>
      <w:numFmt w:val="bullet"/>
      <w:lvlText w:val=""/>
      <w:lvlJc w:val="left"/>
      <w:pPr>
        <w:ind w:left="720" w:hanging="360"/>
      </w:pPr>
      <w:rPr>
        <w:rFonts w:ascii="Symbol" w:hAnsi="Symbol" w:hint="default"/>
        <w:b w:val="0"/>
        <w:bCs w:val="0"/>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4622A"/>
    <w:multiLevelType w:val="multilevel"/>
    <w:tmpl w:val="09125016"/>
    <w:numStyleLink w:val="Style1"/>
  </w:abstractNum>
  <w:abstractNum w:abstractNumId="11">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9C90D56"/>
    <w:multiLevelType w:val="hybridMultilevel"/>
    <w:tmpl w:val="389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E4A84"/>
    <w:multiLevelType w:val="hybridMultilevel"/>
    <w:tmpl w:val="0C8C9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541CEA"/>
    <w:multiLevelType w:val="hybridMultilevel"/>
    <w:tmpl w:val="F630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E5C3C"/>
    <w:multiLevelType w:val="hybridMultilevel"/>
    <w:tmpl w:val="5E8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86010"/>
    <w:multiLevelType w:val="hybridMultilevel"/>
    <w:tmpl w:val="5D80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E7A15"/>
    <w:multiLevelType w:val="hybridMultilevel"/>
    <w:tmpl w:val="A22E7024"/>
    <w:lvl w:ilvl="0" w:tplc="855CB3FE">
      <w:numFmt w:val="bullet"/>
      <w:lvlText w:val="•"/>
      <w:lvlJc w:val="left"/>
      <w:pPr>
        <w:ind w:left="360" w:hanging="360"/>
      </w:pPr>
      <w:rPr>
        <w:rFonts w:ascii="Times New Roman" w:hAnsi="Times New Roman" w:cs="Times New Roman" w:hint="default"/>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F344E2"/>
    <w:multiLevelType w:val="hybridMultilevel"/>
    <w:tmpl w:val="8E3C3B1A"/>
    <w:lvl w:ilvl="0" w:tplc="855CB3FE">
      <w:numFmt w:val="bullet"/>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11365"/>
    <w:multiLevelType w:val="hybridMultilevel"/>
    <w:tmpl w:val="6EBEFB40"/>
    <w:lvl w:ilvl="0" w:tplc="F26009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4C47F1"/>
    <w:multiLevelType w:val="hybridMultilevel"/>
    <w:tmpl w:val="69A0B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nsid w:val="794050DE"/>
    <w:multiLevelType w:val="hybridMultilevel"/>
    <w:tmpl w:val="274A8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E10EB"/>
    <w:multiLevelType w:val="multilevel"/>
    <w:tmpl w:val="F5F0AB58"/>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1"/>
  </w:num>
  <w:num w:numId="2">
    <w:abstractNumId w:val="15"/>
  </w:num>
  <w:num w:numId="3">
    <w:abstractNumId w:val="14"/>
  </w:num>
  <w:num w:numId="4">
    <w:abstractNumId w:val="7"/>
  </w:num>
  <w:num w:numId="5">
    <w:abstractNumId w:val="24"/>
  </w:num>
  <w:num w:numId="6">
    <w:abstractNumId w:val="6"/>
  </w:num>
  <w:num w:numId="7">
    <w:abstractNumId w:val="11"/>
  </w:num>
  <w:num w:numId="8">
    <w:abstractNumId w:val="10"/>
  </w:num>
  <w:num w:numId="9">
    <w:abstractNumId w:val="0"/>
  </w:num>
  <w:num w:numId="10">
    <w:abstractNumId w:val="5"/>
  </w:num>
  <w:num w:numId="11">
    <w:abstractNumId w:val="16"/>
  </w:num>
  <w:num w:numId="12">
    <w:abstractNumId w:val="22"/>
  </w:num>
  <w:num w:numId="13">
    <w:abstractNumId w:val="4"/>
  </w:num>
  <w:num w:numId="14">
    <w:abstractNumId w:val="2"/>
  </w:num>
  <w:num w:numId="15">
    <w:abstractNumId w:val="9"/>
  </w:num>
  <w:num w:numId="16">
    <w:abstractNumId w:val="23"/>
  </w:num>
  <w:num w:numId="17">
    <w:abstractNumId w:val="20"/>
  </w:num>
  <w:num w:numId="18">
    <w:abstractNumId w:val="19"/>
  </w:num>
  <w:num w:numId="19">
    <w:abstractNumId w:val="18"/>
  </w:num>
  <w:num w:numId="20">
    <w:abstractNumId w:val="3"/>
  </w:num>
  <w:num w:numId="21">
    <w:abstractNumId w:val="8"/>
  </w:num>
  <w:num w:numId="22">
    <w:abstractNumId w:val="17"/>
  </w:num>
  <w:num w:numId="23">
    <w:abstractNumId w:val="1"/>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W1tDQ2MTUxMjM2tbBQ0lEKTi0uzszPAykwrgUATp6hLSwAAAA="/>
    <w:docVar w:name="EN.InstantFormat" w:val="&lt;ENInstantFormat&gt;&lt;Enabled&gt;1&lt;/Enabled&gt;&lt;ScanUnformatted&gt;1&lt;/ScanUnformatted&gt;&lt;ScanChanges&gt;1&lt;/ScanChanges&gt;&lt;Suspended&gt;0&lt;/Suspended&gt;&lt;/ENInstantFormat&gt;"/>
    <w:docVar w:name="EN.Layout" w:val="&lt;ENLayout&gt;&lt;Style&gt;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69D4"/>
    <w:rsid w:val="00003E5D"/>
    <w:rsid w:val="00006403"/>
    <w:rsid w:val="00015090"/>
    <w:rsid w:val="00017B88"/>
    <w:rsid w:val="00026DB7"/>
    <w:rsid w:val="00030FFE"/>
    <w:rsid w:val="00031545"/>
    <w:rsid w:val="000317BA"/>
    <w:rsid w:val="00040CE0"/>
    <w:rsid w:val="00041B9F"/>
    <w:rsid w:val="00051586"/>
    <w:rsid w:val="00053671"/>
    <w:rsid w:val="00056DD2"/>
    <w:rsid w:val="000652BE"/>
    <w:rsid w:val="00065F39"/>
    <w:rsid w:val="000674D0"/>
    <w:rsid w:val="00067E1B"/>
    <w:rsid w:val="00081E33"/>
    <w:rsid w:val="00082EA9"/>
    <w:rsid w:val="000879CA"/>
    <w:rsid w:val="00093DF9"/>
    <w:rsid w:val="000B1947"/>
    <w:rsid w:val="000C20AB"/>
    <w:rsid w:val="000C793C"/>
    <w:rsid w:val="000D10E8"/>
    <w:rsid w:val="000D3C8A"/>
    <w:rsid w:val="000D7D1D"/>
    <w:rsid w:val="000E1128"/>
    <w:rsid w:val="000E16D3"/>
    <w:rsid w:val="000E209D"/>
    <w:rsid w:val="000E2854"/>
    <w:rsid w:val="000E32B9"/>
    <w:rsid w:val="000E619E"/>
    <w:rsid w:val="000F1DE3"/>
    <w:rsid w:val="000F2DDC"/>
    <w:rsid w:val="000F4D42"/>
    <w:rsid w:val="000F76B4"/>
    <w:rsid w:val="00104E90"/>
    <w:rsid w:val="001054F6"/>
    <w:rsid w:val="00106FDF"/>
    <w:rsid w:val="0012271A"/>
    <w:rsid w:val="0013226B"/>
    <w:rsid w:val="0013306F"/>
    <w:rsid w:val="00134095"/>
    <w:rsid w:val="00134B29"/>
    <w:rsid w:val="0014691A"/>
    <w:rsid w:val="001503E6"/>
    <w:rsid w:val="001515AA"/>
    <w:rsid w:val="00153F9D"/>
    <w:rsid w:val="00157169"/>
    <w:rsid w:val="00157A3F"/>
    <w:rsid w:val="001669F8"/>
    <w:rsid w:val="00171ECE"/>
    <w:rsid w:val="001757F8"/>
    <w:rsid w:val="00177836"/>
    <w:rsid w:val="00185DD3"/>
    <w:rsid w:val="0019449E"/>
    <w:rsid w:val="00195E37"/>
    <w:rsid w:val="0019624E"/>
    <w:rsid w:val="001A1DAB"/>
    <w:rsid w:val="001A1EFA"/>
    <w:rsid w:val="001B3429"/>
    <w:rsid w:val="001B433F"/>
    <w:rsid w:val="001B4A66"/>
    <w:rsid w:val="001C0CE3"/>
    <w:rsid w:val="001C77A3"/>
    <w:rsid w:val="001D0AB9"/>
    <w:rsid w:val="001D29E7"/>
    <w:rsid w:val="001D3CDF"/>
    <w:rsid w:val="001D6DDB"/>
    <w:rsid w:val="001E01ED"/>
    <w:rsid w:val="001F181F"/>
    <w:rsid w:val="001F2D33"/>
    <w:rsid w:val="001F5846"/>
    <w:rsid w:val="00200775"/>
    <w:rsid w:val="002014E2"/>
    <w:rsid w:val="00203A50"/>
    <w:rsid w:val="00207534"/>
    <w:rsid w:val="002302EE"/>
    <w:rsid w:val="00232A59"/>
    <w:rsid w:val="0023769F"/>
    <w:rsid w:val="00240A5C"/>
    <w:rsid w:val="00242341"/>
    <w:rsid w:val="002425F1"/>
    <w:rsid w:val="00242998"/>
    <w:rsid w:val="00244129"/>
    <w:rsid w:val="00244D05"/>
    <w:rsid w:val="002521ED"/>
    <w:rsid w:val="002568B4"/>
    <w:rsid w:val="00265EDF"/>
    <w:rsid w:val="0026711D"/>
    <w:rsid w:val="00280D66"/>
    <w:rsid w:val="0028198D"/>
    <w:rsid w:val="0029515C"/>
    <w:rsid w:val="002961D6"/>
    <w:rsid w:val="002A0ADA"/>
    <w:rsid w:val="002A4FE1"/>
    <w:rsid w:val="002B2D0D"/>
    <w:rsid w:val="002C3AE2"/>
    <w:rsid w:val="002C6BD1"/>
    <w:rsid w:val="002D3D0C"/>
    <w:rsid w:val="002E15F4"/>
    <w:rsid w:val="002E24C0"/>
    <w:rsid w:val="002E4E76"/>
    <w:rsid w:val="002F426C"/>
    <w:rsid w:val="002F4791"/>
    <w:rsid w:val="002F714D"/>
    <w:rsid w:val="00321C21"/>
    <w:rsid w:val="003259B5"/>
    <w:rsid w:val="00331282"/>
    <w:rsid w:val="00332F80"/>
    <w:rsid w:val="003340FF"/>
    <w:rsid w:val="00334620"/>
    <w:rsid w:val="00334FDA"/>
    <w:rsid w:val="003377A5"/>
    <w:rsid w:val="00337F57"/>
    <w:rsid w:val="00347120"/>
    <w:rsid w:val="00350C40"/>
    <w:rsid w:val="00352D80"/>
    <w:rsid w:val="003539FB"/>
    <w:rsid w:val="00364053"/>
    <w:rsid w:val="0037216F"/>
    <w:rsid w:val="003737AF"/>
    <w:rsid w:val="00380753"/>
    <w:rsid w:val="0038668E"/>
    <w:rsid w:val="003901F6"/>
    <w:rsid w:val="003971F9"/>
    <w:rsid w:val="003A040D"/>
    <w:rsid w:val="003C3C33"/>
    <w:rsid w:val="003C511F"/>
    <w:rsid w:val="003D1EC2"/>
    <w:rsid w:val="003D2D57"/>
    <w:rsid w:val="003D627E"/>
    <w:rsid w:val="003E2A65"/>
    <w:rsid w:val="003F3217"/>
    <w:rsid w:val="003F3408"/>
    <w:rsid w:val="004003F7"/>
    <w:rsid w:val="00401AFC"/>
    <w:rsid w:val="004243F5"/>
    <w:rsid w:val="00425316"/>
    <w:rsid w:val="00430C11"/>
    <w:rsid w:val="00441432"/>
    <w:rsid w:val="00453494"/>
    <w:rsid w:val="0045728B"/>
    <w:rsid w:val="0045775E"/>
    <w:rsid w:val="00460441"/>
    <w:rsid w:val="00460D47"/>
    <w:rsid w:val="004629B2"/>
    <w:rsid w:val="004633D8"/>
    <w:rsid w:val="004657BF"/>
    <w:rsid w:val="00471C10"/>
    <w:rsid w:val="00481132"/>
    <w:rsid w:val="00485E43"/>
    <w:rsid w:val="00486E88"/>
    <w:rsid w:val="00490338"/>
    <w:rsid w:val="004B3702"/>
    <w:rsid w:val="004B3D61"/>
    <w:rsid w:val="004C2697"/>
    <w:rsid w:val="004C32F9"/>
    <w:rsid w:val="004C3356"/>
    <w:rsid w:val="004D205C"/>
    <w:rsid w:val="004D4DD0"/>
    <w:rsid w:val="004D5389"/>
    <w:rsid w:val="004D632E"/>
    <w:rsid w:val="004E3544"/>
    <w:rsid w:val="004E72EA"/>
    <w:rsid w:val="004F56DE"/>
    <w:rsid w:val="004F65C6"/>
    <w:rsid w:val="00506E45"/>
    <w:rsid w:val="00511D75"/>
    <w:rsid w:val="00515886"/>
    <w:rsid w:val="00521503"/>
    <w:rsid w:val="0052486D"/>
    <w:rsid w:val="005248A5"/>
    <w:rsid w:val="00536ED0"/>
    <w:rsid w:val="00537E55"/>
    <w:rsid w:val="00542640"/>
    <w:rsid w:val="00543719"/>
    <w:rsid w:val="00546ADD"/>
    <w:rsid w:val="00550E55"/>
    <w:rsid w:val="005622BF"/>
    <w:rsid w:val="005631EE"/>
    <w:rsid w:val="0057169B"/>
    <w:rsid w:val="00582502"/>
    <w:rsid w:val="00582903"/>
    <w:rsid w:val="00582C8E"/>
    <w:rsid w:val="005853D9"/>
    <w:rsid w:val="00592EA2"/>
    <w:rsid w:val="005A038A"/>
    <w:rsid w:val="005A0F49"/>
    <w:rsid w:val="005A599D"/>
    <w:rsid w:val="005B0C43"/>
    <w:rsid w:val="005B4518"/>
    <w:rsid w:val="005B7263"/>
    <w:rsid w:val="005C375D"/>
    <w:rsid w:val="005C5398"/>
    <w:rsid w:val="005C7600"/>
    <w:rsid w:val="005C7B17"/>
    <w:rsid w:val="005E57B6"/>
    <w:rsid w:val="005E6F8D"/>
    <w:rsid w:val="005F04A2"/>
    <w:rsid w:val="005F51A2"/>
    <w:rsid w:val="0060115E"/>
    <w:rsid w:val="00605AD2"/>
    <w:rsid w:val="00606E0A"/>
    <w:rsid w:val="0061432E"/>
    <w:rsid w:val="00617B96"/>
    <w:rsid w:val="00622CA8"/>
    <w:rsid w:val="00625F34"/>
    <w:rsid w:val="0062644D"/>
    <w:rsid w:val="006343C9"/>
    <w:rsid w:val="0064553E"/>
    <w:rsid w:val="00645D4A"/>
    <w:rsid w:val="00657BDF"/>
    <w:rsid w:val="00663BC9"/>
    <w:rsid w:val="00674ABA"/>
    <w:rsid w:val="006775DC"/>
    <w:rsid w:val="00680216"/>
    <w:rsid w:val="00686217"/>
    <w:rsid w:val="006869D4"/>
    <w:rsid w:val="00690E5E"/>
    <w:rsid w:val="006A15E8"/>
    <w:rsid w:val="006B07DF"/>
    <w:rsid w:val="006B56C4"/>
    <w:rsid w:val="006C500C"/>
    <w:rsid w:val="006C655A"/>
    <w:rsid w:val="006C6578"/>
    <w:rsid w:val="006E4CC2"/>
    <w:rsid w:val="006E4F97"/>
    <w:rsid w:val="006F1880"/>
    <w:rsid w:val="006F3440"/>
    <w:rsid w:val="00706BCB"/>
    <w:rsid w:val="00711044"/>
    <w:rsid w:val="007202CA"/>
    <w:rsid w:val="00720709"/>
    <w:rsid w:val="00724D04"/>
    <w:rsid w:val="007311C6"/>
    <w:rsid w:val="00731B24"/>
    <w:rsid w:val="00731BE3"/>
    <w:rsid w:val="007325ED"/>
    <w:rsid w:val="00733192"/>
    <w:rsid w:val="00736175"/>
    <w:rsid w:val="007376F4"/>
    <w:rsid w:val="007402B8"/>
    <w:rsid w:val="007447B9"/>
    <w:rsid w:val="007459D6"/>
    <w:rsid w:val="00747020"/>
    <w:rsid w:val="0075552D"/>
    <w:rsid w:val="00757F44"/>
    <w:rsid w:val="00777FC0"/>
    <w:rsid w:val="007841E3"/>
    <w:rsid w:val="00795399"/>
    <w:rsid w:val="007A2FDD"/>
    <w:rsid w:val="007B3D63"/>
    <w:rsid w:val="007B4891"/>
    <w:rsid w:val="007C2B6F"/>
    <w:rsid w:val="007C2DB8"/>
    <w:rsid w:val="007C71F5"/>
    <w:rsid w:val="007D0BF7"/>
    <w:rsid w:val="007D4992"/>
    <w:rsid w:val="007D4C07"/>
    <w:rsid w:val="007E405F"/>
    <w:rsid w:val="007E72EF"/>
    <w:rsid w:val="007F1E53"/>
    <w:rsid w:val="007F7EDD"/>
    <w:rsid w:val="00810B9E"/>
    <w:rsid w:val="00811F53"/>
    <w:rsid w:val="00815C35"/>
    <w:rsid w:val="008261DA"/>
    <w:rsid w:val="00826F55"/>
    <w:rsid w:val="008452CD"/>
    <w:rsid w:val="008457FB"/>
    <w:rsid w:val="00846E9C"/>
    <w:rsid w:val="008519CC"/>
    <w:rsid w:val="00856DCF"/>
    <w:rsid w:val="008574B9"/>
    <w:rsid w:val="008839F0"/>
    <w:rsid w:val="008845A2"/>
    <w:rsid w:val="00890B50"/>
    <w:rsid w:val="00895F7B"/>
    <w:rsid w:val="008A2E78"/>
    <w:rsid w:val="008A498C"/>
    <w:rsid w:val="008A4E7B"/>
    <w:rsid w:val="008B01EB"/>
    <w:rsid w:val="008B180A"/>
    <w:rsid w:val="008B37E0"/>
    <w:rsid w:val="008B5D54"/>
    <w:rsid w:val="008C09DC"/>
    <w:rsid w:val="008C5507"/>
    <w:rsid w:val="008E6D5A"/>
    <w:rsid w:val="008F339E"/>
    <w:rsid w:val="008F6383"/>
    <w:rsid w:val="00901DC6"/>
    <w:rsid w:val="009039B7"/>
    <w:rsid w:val="00904F07"/>
    <w:rsid w:val="00905CCE"/>
    <w:rsid w:val="00910A43"/>
    <w:rsid w:val="00913292"/>
    <w:rsid w:val="00913A3E"/>
    <w:rsid w:val="009221FF"/>
    <w:rsid w:val="00924A81"/>
    <w:rsid w:val="00925BA9"/>
    <w:rsid w:val="009330AF"/>
    <w:rsid w:val="00933271"/>
    <w:rsid w:val="009371FE"/>
    <w:rsid w:val="00943B21"/>
    <w:rsid w:val="0094497E"/>
    <w:rsid w:val="009501CD"/>
    <w:rsid w:val="0095035F"/>
    <w:rsid w:val="00950C89"/>
    <w:rsid w:val="00956B5D"/>
    <w:rsid w:val="009579AD"/>
    <w:rsid w:val="00960A76"/>
    <w:rsid w:val="00961EEC"/>
    <w:rsid w:val="00963092"/>
    <w:rsid w:val="0096557A"/>
    <w:rsid w:val="00965E71"/>
    <w:rsid w:val="00980F7C"/>
    <w:rsid w:val="009811EB"/>
    <w:rsid w:val="009824E0"/>
    <w:rsid w:val="009830DB"/>
    <w:rsid w:val="0098673D"/>
    <w:rsid w:val="00987256"/>
    <w:rsid w:val="009951A9"/>
    <w:rsid w:val="0099750D"/>
    <w:rsid w:val="009A2571"/>
    <w:rsid w:val="009B2BC4"/>
    <w:rsid w:val="009B4858"/>
    <w:rsid w:val="009B59EB"/>
    <w:rsid w:val="009C5BC2"/>
    <w:rsid w:val="009D041A"/>
    <w:rsid w:val="009D4CC5"/>
    <w:rsid w:val="009D6649"/>
    <w:rsid w:val="009E080C"/>
    <w:rsid w:val="009F2B1C"/>
    <w:rsid w:val="00A00005"/>
    <w:rsid w:val="00A022C0"/>
    <w:rsid w:val="00A107EA"/>
    <w:rsid w:val="00A12865"/>
    <w:rsid w:val="00A200F6"/>
    <w:rsid w:val="00A31F59"/>
    <w:rsid w:val="00A34D13"/>
    <w:rsid w:val="00A46777"/>
    <w:rsid w:val="00A51C29"/>
    <w:rsid w:val="00A54920"/>
    <w:rsid w:val="00A55C9F"/>
    <w:rsid w:val="00A61B2E"/>
    <w:rsid w:val="00A71916"/>
    <w:rsid w:val="00A74155"/>
    <w:rsid w:val="00A76979"/>
    <w:rsid w:val="00A80799"/>
    <w:rsid w:val="00A8482E"/>
    <w:rsid w:val="00AA1ED6"/>
    <w:rsid w:val="00AA75BF"/>
    <w:rsid w:val="00AB388C"/>
    <w:rsid w:val="00AB78EA"/>
    <w:rsid w:val="00AC254E"/>
    <w:rsid w:val="00AC3B51"/>
    <w:rsid w:val="00AC60FB"/>
    <w:rsid w:val="00AC7A46"/>
    <w:rsid w:val="00AD4495"/>
    <w:rsid w:val="00AE50F8"/>
    <w:rsid w:val="00AF2647"/>
    <w:rsid w:val="00AF5C75"/>
    <w:rsid w:val="00AF6D1E"/>
    <w:rsid w:val="00AF6FD9"/>
    <w:rsid w:val="00B02928"/>
    <w:rsid w:val="00B03E4D"/>
    <w:rsid w:val="00B057DB"/>
    <w:rsid w:val="00B06922"/>
    <w:rsid w:val="00B10932"/>
    <w:rsid w:val="00B12276"/>
    <w:rsid w:val="00B12EA3"/>
    <w:rsid w:val="00B13FC6"/>
    <w:rsid w:val="00B159F9"/>
    <w:rsid w:val="00B24C5D"/>
    <w:rsid w:val="00B24E32"/>
    <w:rsid w:val="00B250E0"/>
    <w:rsid w:val="00B30AEA"/>
    <w:rsid w:val="00B30E3B"/>
    <w:rsid w:val="00B328D6"/>
    <w:rsid w:val="00B343E9"/>
    <w:rsid w:val="00B43B8D"/>
    <w:rsid w:val="00B447EE"/>
    <w:rsid w:val="00B45362"/>
    <w:rsid w:val="00B53CFF"/>
    <w:rsid w:val="00B553B8"/>
    <w:rsid w:val="00B55735"/>
    <w:rsid w:val="00B608AC"/>
    <w:rsid w:val="00B62FF3"/>
    <w:rsid w:val="00B6300F"/>
    <w:rsid w:val="00B65B0C"/>
    <w:rsid w:val="00B82C9D"/>
    <w:rsid w:val="00B87197"/>
    <w:rsid w:val="00B930C9"/>
    <w:rsid w:val="00B9447E"/>
    <w:rsid w:val="00BA1759"/>
    <w:rsid w:val="00BA7B25"/>
    <w:rsid w:val="00BC60F9"/>
    <w:rsid w:val="00BC7F17"/>
    <w:rsid w:val="00BD0B38"/>
    <w:rsid w:val="00BD534C"/>
    <w:rsid w:val="00BE30BA"/>
    <w:rsid w:val="00BF1EB9"/>
    <w:rsid w:val="00BF4C06"/>
    <w:rsid w:val="00C1216F"/>
    <w:rsid w:val="00C1474B"/>
    <w:rsid w:val="00C15DB7"/>
    <w:rsid w:val="00C2034B"/>
    <w:rsid w:val="00C232C2"/>
    <w:rsid w:val="00C317D7"/>
    <w:rsid w:val="00C37E9C"/>
    <w:rsid w:val="00C436DC"/>
    <w:rsid w:val="00C43CAC"/>
    <w:rsid w:val="00C46977"/>
    <w:rsid w:val="00C60A58"/>
    <w:rsid w:val="00C62F5E"/>
    <w:rsid w:val="00C67BED"/>
    <w:rsid w:val="00C70483"/>
    <w:rsid w:val="00C709BF"/>
    <w:rsid w:val="00C70C6E"/>
    <w:rsid w:val="00C736A4"/>
    <w:rsid w:val="00C73AE8"/>
    <w:rsid w:val="00C80AE5"/>
    <w:rsid w:val="00C81AAD"/>
    <w:rsid w:val="00C8370A"/>
    <w:rsid w:val="00C84609"/>
    <w:rsid w:val="00C8537E"/>
    <w:rsid w:val="00C91C02"/>
    <w:rsid w:val="00CB031A"/>
    <w:rsid w:val="00CB62C5"/>
    <w:rsid w:val="00CC5FFB"/>
    <w:rsid w:val="00CC6AB1"/>
    <w:rsid w:val="00CD30B4"/>
    <w:rsid w:val="00CD3D52"/>
    <w:rsid w:val="00CE4B90"/>
    <w:rsid w:val="00CF191F"/>
    <w:rsid w:val="00CF44C9"/>
    <w:rsid w:val="00CF5EFA"/>
    <w:rsid w:val="00D01AB3"/>
    <w:rsid w:val="00D06EE5"/>
    <w:rsid w:val="00D071EB"/>
    <w:rsid w:val="00D07372"/>
    <w:rsid w:val="00D07617"/>
    <w:rsid w:val="00D10D3C"/>
    <w:rsid w:val="00D17FA6"/>
    <w:rsid w:val="00D21275"/>
    <w:rsid w:val="00D312D3"/>
    <w:rsid w:val="00D31727"/>
    <w:rsid w:val="00D329C3"/>
    <w:rsid w:val="00D37337"/>
    <w:rsid w:val="00D37C0E"/>
    <w:rsid w:val="00D45665"/>
    <w:rsid w:val="00D467C4"/>
    <w:rsid w:val="00D473E4"/>
    <w:rsid w:val="00D4797E"/>
    <w:rsid w:val="00D528B9"/>
    <w:rsid w:val="00D551B7"/>
    <w:rsid w:val="00D55A4B"/>
    <w:rsid w:val="00D56E26"/>
    <w:rsid w:val="00D57B7B"/>
    <w:rsid w:val="00D6673F"/>
    <w:rsid w:val="00D66FE5"/>
    <w:rsid w:val="00D70265"/>
    <w:rsid w:val="00DA2BE9"/>
    <w:rsid w:val="00DB7501"/>
    <w:rsid w:val="00DC0C2E"/>
    <w:rsid w:val="00DC184D"/>
    <w:rsid w:val="00DC3C26"/>
    <w:rsid w:val="00DC57CC"/>
    <w:rsid w:val="00DD4021"/>
    <w:rsid w:val="00DE0EA1"/>
    <w:rsid w:val="00DE2A5A"/>
    <w:rsid w:val="00DE3165"/>
    <w:rsid w:val="00DE4370"/>
    <w:rsid w:val="00DF71D5"/>
    <w:rsid w:val="00E036C0"/>
    <w:rsid w:val="00E04AE1"/>
    <w:rsid w:val="00E05FA2"/>
    <w:rsid w:val="00E22565"/>
    <w:rsid w:val="00E227E6"/>
    <w:rsid w:val="00E2574F"/>
    <w:rsid w:val="00E269F4"/>
    <w:rsid w:val="00E342ED"/>
    <w:rsid w:val="00E344D5"/>
    <w:rsid w:val="00E3571A"/>
    <w:rsid w:val="00E368ED"/>
    <w:rsid w:val="00E3750B"/>
    <w:rsid w:val="00E45F70"/>
    <w:rsid w:val="00E477CF"/>
    <w:rsid w:val="00E50603"/>
    <w:rsid w:val="00E53653"/>
    <w:rsid w:val="00E56897"/>
    <w:rsid w:val="00E57785"/>
    <w:rsid w:val="00E6566E"/>
    <w:rsid w:val="00E72740"/>
    <w:rsid w:val="00E75091"/>
    <w:rsid w:val="00E80B2F"/>
    <w:rsid w:val="00E824BA"/>
    <w:rsid w:val="00E830C0"/>
    <w:rsid w:val="00E86866"/>
    <w:rsid w:val="00E86BF9"/>
    <w:rsid w:val="00E86C70"/>
    <w:rsid w:val="00E90840"/>
    <w:rsid w:val="00E91107"/>
    <w:rsid w:val="00E91FEF"/>
    <w:rsid w:val="00E95231"/>
    <w:rsid w:val="00E95779"/>
    <w:rsid w:val="00EA31E0"/>
    <w:rsid w:val="00EA4C0B"/>
    <w:rsid w:val="00EB3A87"/>
    <w:rsid w:val="00EB46EE"/>
    <w:rsid w:val="00EB7706"/>
    <w:rsid w:val="00EC3F14"/>
    <w:rsid w:val="00ED0207"/>
    <w:rsid w:val="00ED127C"/>
    <w:rsid w:val="00ED75FB"/>
    <w:rsid w:val="00EE4F87"/>
    <w:rsid w:val="00EF465A"/>
    <w:rsid w:val="00F0313D"/>
    <w:rsid w:val="00F119BC"/>
    <w:rsid w:val="00F11C39"/>
    <w:rsid w:val="00F12DA9"/>
    <w:rsid w:val="00F13485"/>
    <w:rsid w:val="00F15707"/>
    <w:rsid w:val="00F15AEE"/>
    <w:rsid w:val="00F1727A"/>
    <w:rsid w:val="00F22BAE"/>
    <w:rsid w:val="00F25857"/>
    <w:rsid w:val="00F27976"/>
    <w:rsid w:val="00F353ED"/>
    <w:rsid w:val="00F54C87"/>
    <w:rsid w:val="00F55853"/>
    <w:rsid w:val="00F72954"/>
    <w:rsid w:val="00F734ED"/>
    <w:rsid w:val="00F75369"/>
    <w:rsid w:val="00F81AFD"/>
    <w:rsid w:val="00F81FCB"/>
    <w:rsid w:val="00F82D55"/>
    <w:rsid w:val="00F84573"/>
    <w:rsid w:val="00F867DA"/>
    <w:rsid w:val="00F9212B"/>
    <w:rsid w:val="00F936F5"/>
    <w:rsid w:val="00F94AE4"/>
    <w:rsid w:val="00F94C18"/>
    <w:rsid w:val="00F951D1"/>
    <w:rsid w:val="00F9622C"/>
    <w:rsid w:val="00F97FAA"/>
    <w:rsid w:val="00FA12E8"/>
    <w:rsid w:val="00FB7764"/>
    <w:rsid w:val="00FC1704"/>
    <w:rsid w:val="00FD0DC2"/>
    <w:rsid w:val="00FD6609"/>
    <w:rsid w:val="00FE7D83"/>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2E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0AB"/>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53653"/>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32F80"/>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C20A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20A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20A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20A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20A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0A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12EA3"/>
    <w:pPr>
      <w:spacing w:line="259" w:lineRule="auto"/>
      <w:outlineLvl w:val="9"/>
    </w:pPr>
  </w:style>
  <w:style w:type="character" w:customStyle="1" w:styleId="Heading2Char">
    <w:name w:val="Heading 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C62F5E"/>
    <w:rPr>
      <w:rFonts w:ascii="Calibri" w:eastAsia="Times New Roman" w:hAnsi="Calibri" w:cs="Times New Roman"/>
      <w:lang w:val="x-none" w:eastAsia="x-none"/>
    </w:rPr>
  </w:style>
  <w:style w:type="paragraph" w:styleId="FootnoteText">
    <w:name w:val="footnote text"/>
    <w:basedOn w:val="Normal"/>
    <w:link w:val="FootnoteTextChar"/>
    <w:uiPriority w:val="99"/>
    <w:rsid w:val="007C2B6F"/>
    <w:rPr>
      <w:sz w:val="20"/>
      <w:szCs w:val="20"/>
    </w:rPr>
  </w:style>
  <w:style w:type="character" w:customStyle="1" w:styleId="FootnoteTextChar">
    <w:name w:val="Footnote Text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35"/>
    <w:qFormat/>
    <w:rsid w:val="00332F80"/>
    <w:rPr>
      <w:b/>
      <w:bCs/>
      <w:sz w:val="20"/>
      <w:szCs w:val="20"/>
    </w:rPr>
  </w:style>
  <w:style w:type="character" w:customStyle="1" w:styleId="Heading3Char">
    <w:name w:val="Heading 3 Char"/>
    <w:basedOn w:val="DefaultParagraphFont"/>
    <w:link w:val="Heading3"/>
    <w:uiPriority w:val="9"/>
    <w:semiHidden/>
    <w:rsid w:val="00332F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semiHidden/>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7"/>
      </w:numPr>
    </w:pPr>
  </w:style>
  <w:style w:type="paragraph" w:styleId="TOC1">
    <w:name w:val="toc 1"/>
    <w:basedOn w:val="Normal"/>
    <w:next w:val="Normal"/>
    <w:autoRedefine/>
    <w:uiPriority w:val="39"/>
    <w:unhideWhenUsed/>
    <w:rsid w:val="00E53653"/>
    <w:pPr>
      <w:spacing w:after="100"/>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7263"/>
    <w:rPr>
      <w:vertAlign w:val="superscript"/>
    </w:rPr>
  </w:style>
  <w:style w:type="paragraph" w:customStyle="1" w:styleId="Normal1">
    <w:name w:val="Normal1"/>
    <w:basedOn w:val="Normal"/>
    <w:link w:val="Normal1Char"/>
    <w:qFormat/>
    <w:rsid w:val="00BF4C06"/>
    <w:rPr>
      <w:rFonts w:cs="Arial"/>
    </w:rPr>
  </w:style>
  <w:style w:type="character" w:customStyle="1" w:styleId="Normal1Char">
    <w:name w:val="Normal1 Char"/>
    <w:basedOn w:val="DefaultParagraphFont"/>
    <w:link w:val="Normal1"/>
    <w:rsid w:val="00BF4C0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5C7B17"/>
    <w:pPr>
      <w:jc w:val="center"/>
    </w:pPr>
    <w:rPr>
      <w:noProof/>
    </w:rPr>
  </w:style>
  <w:style w:type="character" w:customStyle="1" w:styleId="EndNoteBibliographyTitleChar">
    <w:name w:val="EndNote Bibliography Title Char"/>
    <w:basedOn w:val="Normal1Char"/>
    <w:link w:val="EndNoteBibliographyTitle"/>
    <w:rsid w:val="005C7B17"/>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C7B17"/>
    <w:rPr>
      <w:noProof/>
    </w:rPr>
  </w:style>
  <w:style w:type="character" w:customStyle="1" w:styleId="EndNoteBibliographyChar">
    <w:name w:val="EndNote Bibliography Char"/>
    <w:basedOn w:val="Normal1Char"/>
    <w:link w:val="EndNoteBibliography"/>
    <w:rsid w:val="005C7B17"/>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0F4D42"/>
    <w:pPr>
      <w:spacing w:after="120"/>
    </w:pPr>
  </w:style>
  <w:style w:type="character" w:customStyle="1" w:styleId="BodyTextChar">
    <w:name w:val="Body Text Char"/>
    <w:basedOn w:val="DefaultParagraphFont"/>
    <w:link w:val="BodyText"/>
    <w:uiPriority w:val="99"/>
    <w:rsid w:val="000F4D42"/>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34"/>
    <w:qFormat/>
    <w:rsid w:val="00CE4B9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CE4B9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F81AFD"/>
    <w:rPr>
      <w:color w:val="800080" w:themeColor="followedHyperlink"/>
      <w:u w:val="single"/>
    </w:rPr>
  </w:style>
  <w:style w:type="paragraph" w:customStyle="1" w:styleId="Body">
    <w:name w:val="Body"/>
    <w:rsid w:val="00B6300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rsid w:val="006E4CC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0AB"/>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53653"/>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32F80"/>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C20A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20A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20A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20A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20A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0A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12EA3"/>
    <w:pPr>
      <w:spacing w:line="259" w:lineRule="auto"/>
      <w:outlineLvl w:val="9"/>
    </w:pPr>
  </w:style>
  <w:style w:type="character" w:customStyle="1" w:styleId="Heading2Char">
    <w:name w:val="Heading 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C62F5E"/>
    <w:rPr>
      <w:rFonts w:ascii="Calibri" w:eastAsia="Times New Roman" w:hAnsi="Calibri" w:cs="Times New Roman"/>
      <w:lang w:val="x-none" w:eastAsia="x-none"/>
    </w:rPr>
  </w:style>
  <w:style w:type="paragraph" w:styleId="FootnoteText">
    <w:name w:val="footnote text"/>
    <w:basedOn w:val="Normal"/>
    <w:link w:val="FootnoteTextChar"/>
    <w:uiPriority w:val="99"/>
    <w:rsid w:val="007C2B6F"/>
    <w:rPr>
      <w:sz w:val="20"/>
      <w:szCs w:val="20"/>
    </w:rPr>
  </w:style>
  <w:style w:type="character" w:customStyle="1" w:styleId="FootnoteTextChar">
    <w:name w:val="Footnote Text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35"/>
    <w:qFormat/>
    <w:rsid w:val="00332F80"/>
    <w:rPr>
      <w:b/>
      <w:bCs/>
      <w:sz w:val="20"/>
      <w:szCs w:val="20"/>
    </w:rPr>
  </w:style>
  <w:style w:type="character" w:customStyle="1" w:styleId="Heading3Char">
    <w:name w:val="Heading 3 Char"/>
    <w:basedOn w:val="DefaultParagraphFont"/>
    <w:link w:val="Heading3"/>
    <w:uiPriority w:val="9"/>
    <w:semiHidden/>
    <w:rsid w:val="00332F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semiHidden/>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7"/>
      </w:numPr>
    </w:pPr>
  </w:style>
  <w:style w:type="paragraph" w:styleId="TOC1">
    <w:name w:val="toc 1"/>
    <w:basedOn w:val="Normal"/>
    <w:next w:val="Normal"/>
    <w:autoRedefine/>
    <w:uiPriority w:val="39"/>
    <w:unhideWhenUsed/>
    <w:rsid w:val="00E53653"/>
    <w:pPr>
      <w:spacing w:after="100"/>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7263"/>
    <w:rPr>
      <w:vertAlign w:val="superscript"/>
    </w:rPr>
  </w:style>
  <w:style w:type="paragraph" w:customStyle="1" w:styleId="Normal1">
    <w:name w:val="Normal1"/>
    <w:basedOn w:val="Normal"/>
    <w:link w:val="Normal1Char"/>
    <w:qFormat/>
    <w:rsid w:val="00BF4C06"/>
    <w:rPr>
      <w:rFonts w:cs="Arial"/>
    </w:rPr>
  </w:style>
  <w:style w:type="character" w:customStyle="1" w:styleId="Normal1Char">
    <w:name w:val="Normal1 Char"/>
    <w:basedOn w:val="DefaultParagraphFont"/>
    <w:link w:val="Normal1"/>
    <w:rsid w:val="00BF4C0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5C7B17"/>
    <w:pPr>
      <w:jc w:val="center"/>
    </w:pPr>
    <w:rPr>
      <w:noProof/>
    </w:rPr>
  </w:style>
  <w:style w:type="character" w:customStyle="1" w:styleId="EndNoteBibliographyTitleChar">
    <w:name w:val="EndNote Bibliography Title Char"/>
    <w:basedOn w:val="Normal1Char"/>
    <w:link w:val="EndNoteBibliographyTitle"/>
    <w:rsid w:val="005C7B17"/>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C7B17"/>
    <w:rPr>
      <w:noProof/>
    </w:rPr>
  </w:style>
  <w:style w:type="character" w:customStyle="1" w:styleId="EndNoteBibliographyChar">
    <w:name w:val="EndNote Bibliography Char"/>
    <w:basedOn w:val="Normal1Char"/>
    <w:link w:val="EndNoteBibliography"/>
    <w:rsid w:val="005C7B17"/>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0F4D42"/>
    <w:pPr>
      <w:spacing w:after="120"/>
    </w:pPr>
  </w:style>
  <w:style w:type="character" w:customStyle="1" w:styleId="BodyTextChar">
    <w:name w:val="Body Text Char"/>
    <w:basedOn w:val="DefaultParagraphFont"/>
    <w:link w:val="BodyText"/>
    <w:uiPriority w:val="99"/>
    <w:rsid w:val="000F4D42"/>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34"/>
    <w:qFormat/>
    <w:rsid w:val="00CE4B9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CE4B9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F81AFD"/>
    <w:rPr>
      <w:color w:val="800080" w:themeColor="followedHyperlink"/>
      <w:u w:val="single"/>
    </w:rPr>
  </w:style>
  <w:style w:type="paragraph" w:customStyle="1" w:styleId="Body">
    <w:name w:val="Body"/>
    <w:rsid w:val="00B6300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rsid w:val="006E4C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0300">
      <w:bodyDiv w:val="1"/>
      <w:marLeft w:val="0"/>
      <w:marRight w:val="0"/>
      <w:marTop w:val="0"/>
      <w:marBottom w:val="0"/>
      <w:divBdr>
        <w:top w:val="none" w:sz="0" w:space="0" w:color="auto"/>
        <w:left w:val="none" w:sz="0" w:space="0" w:color="auto"/>
        <w:bottom w:val="none" w:sz="0" w:space="0" w:color="auto"/>
        <w:right w:val="none" w:sz="0" w:space="0" w:color="auto"/>
      </w:divBdr>
    </w:div>
    <w:div w:id="236482795">
      <w:bodyDiv w:val="1"/>
      <w:marLeft w:val="0"/>
      <w:marRight w:val="0"/>
      <w:marTop w:val="0"/>
      <w:marBottom w:val="0"/>
      <w:divBdr>
        <w:top w:val="none" w:sz="0" w:space="0" w:color="auto"/>
        <w:left w:val="none" w:sz="0" w:space="0" w:color="auto"/>
        <w:bottom w:val="none" w:sz="0" w:space="0" w:color="auto"/>
        <w:right w:val="none" w:sz="0" w:space="0" w:color="auto"/>
      </w:divBdr>
    </w:div>
    <w:div w:id="1124738157">
      <w:bodyDiv w:val="1"/>
      <w:marLeft w:val="0"/>
      <w:marRight w:val="0"/>
      <w:marTop w:val="0"/>
      <w:marBottom w:val="0"/>
      <w:divBdr>
        <w:top w:val="none" w:sz="0" w:space="0" w:color="auto"/>
        <w:left w:val="none" w:sz="0" w:space="0" w:color="auto"/>
        <w:bottom w:val="none" w:sz="0" w:space="0" w:color="auto"/>
        <w:right w:val="none" w:sz="0" w:space="0" w:color="auto"/>
      </w:divBdr>
    </w:div>
    <w:div w:id="1725328140">
      <w:bodyDiv w:val="1"/>
      <w:marLeft w:val="0"/>
      <w:marRight w:val="0"/>
      <w:marTop w:val="0"/>
      <w:marBottom w:val="0"/>
      <w:divBdr>
        <w:top w:val="none" w:sz="0" w:space="0" w:color="auto"/>
        <w:left w:val="none" w:sz="0" w:space="0" w:color="auto"/>
        <w:bottom w:val="none" w:sz="0" w:space="0" w:color="auto"/>
        <w:right w:val="none" w:sz="0" w:space="0" w:color="auto"/>
      </w:divBdr>
    </w:div>
    <w:div w:id="1976443824">
      <w:bodyDiv w:val="1"/>
      <w:marLeft w:val="0"/>
      <w:marRight w:val="0"/>
      <w:marTop w:val="0"/>
      <w:marBottom w:val="0"/>
      <w:divBdr>
        <w:top w:val="none" w:sz="0" w:space="0" w:color="auto"/>
        <w:left w:val="none" w:sz="0" w:space="0" w:color="auto"/>
        <w:bottom w:val="none" w:sz="0" w:space="0" w:color="auto"/>
        <w:right w:val="none" w:sz="0" w:space="0" w:color="auto"/>
      </w:divBdr>
    </w:div>
    <w:div w:id="1978870853">
      <w:bodyDiv w:val="1"/>
      <w:marLeft w:val="0"/>
      <w:marRight w:val="0"/>
      <w:marTop w:val="0"/>
      <w:marBottom w:val="0"/>
      <w:divBdr>
        <w:top w:val="none" w:sz="0" w:space="0" w:color="auto"/>
        <w:left w:val="none" w:sz="0" w:space="0" w:color="auto"/>
        <w:bottom w:val="none" w:sz="0" w:space="0" w:color="auto"/>
        <w:right w:val="none" w:sz="0" w:space="0" w:color="auto"/>
      </w:divBdr>
    </w:div>
    <w:div w:id="20024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dwards@nnph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alford@nnphi.org" TargetMode="External"/><Relationship Id="rId4" Type="http://schemas.microsoft.com/office/2007/relationships/stylesWithEffects" Target="stylesWithEffects.xml"/><Relationship Id="rId9" Type="http://schemas.openxmlformats.org/officeDocument/2006/relationships/hyperlink" Target="mailto:bbickford@nnph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Cen14</b:Tag>
    <b:SourceType>JournalArticle</b:SourceType>
    <b:Guid>{F63D5BC7-A925-4908-8A9D-8AD17538EC8A}</b:Guid>
    <b:Author>
      <b:Author>
        <b:Corporate>Centers for Disease Control and Prevention</b:Corporate>
      </b:Author>
    </b:Author>
    <b:Title>Diagnoses of HIV infection in the United States and dependent areas, 2014</b:Title>
    <b:JournalName>HIV Surveillance Report</b:JournalName>
    <b:Year>2014</b:Year>
    <b:Volume>26</b:Volume>
    <b:URL>http://www.cdc.gov/hiv/library/reports/surveillance/</b:URL>
    <b:RefOrder>1</b:RefOrder>
  </b:Source>
</b:Sources>
</file>

<file path=customXml/itemProps1.xml><?xml version="1.0" encoding="utf-8"?>
<ds:datastoreItem xmlns:ds="http://schemas.openxmlformats.org/officeDocument/2006/customXml" ds:itemID="{A03D68F6-7D42-4F54-8410-524DBFDE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2018-07-13T15:07:00Z</dcterms:created>
  <dcterms:modified xsi:type="dcterms:W3CDTF">2018-07-13T15:07:00Z</dcterms:modified>
</cp:coreProperties>
</file>