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F9CB" w14:textId="243FA790" w:rsidR="005342FB" w:rsidRPr="004F1C30" w:rsidRDefault="008C0A59" w:rsidP="005342FB">
      <w:pPr>
        <w:pStyle w:val="NoSpacing"/>
        <w:jc w:val="center"/>
        <w:rPr>
          <w:rFonts w:ascii="Courier New" w:hAnsi="Courier New" w:cs="Courier New"/>
          <w:b/>
          <w:szCs w:val="24"/>
        </w:rPr>
      </w:pPr>
      <w:bookmarkStart w:id="0" w:name="_GoBack"/>
      <w:bookmarkEnd w:id="0"/>
      <w:r>
        <w:rPr>
          <w:rFonts w:ascii="Courier New" w:hAnsi="Courier New" w:cs="Courier New"/>
          <w:b/>
          <w:szCs w:val="24"/>
        </w:rPr>
        <w:t xml:space="preserve">                                                                                               </w:t>
      </w:r>
    </w:p>
    <w:p w14:paraId="45651DD6" w14:textId="77777777" w:rsidR="005801CE" w:rsidRPr="004F1C30" w:rsidRDefault="005801CE" w:rsidP="009B5A44">
      <w:pPr>
        <w:jc w:val="center"/>
        <w:rPr>
          <w:rFonts w:ascii="Courier New" w:hAnsi="Courier New" w:cs="Courier New"/>
          <w:b/>
        </w:rPr>
        <w:sectPr w:rsidR="005801CE" w:rsidRPr="004F1C30" w:rsidSect="001A0F2F">
          <w:footerReference w:type="default" r:id="rId9"/>
          <w:endnotePr>
            <w:numFmt w:val="decimal"/>
          </w:endnotePr>
          <w:pgSz w:w="12240" w:h="15840" w:code="1"/>
          <w:pgMar w:top="1080" w:right="1080" w:bottom="1080" w:left="1080" w:header="720" w:footer="720" w:gutter="0"/>
          <w:cols w:num="2" w:space="720"/>
          <w:docGrid w:linePitch="360"/>
        </w:sectPr>
      </w:pPr>
    </w:p>
    <w:p w14:paraId="57B82E1B" w14:textId="77777777" w:rsidR="00FA43BD" w:rsidRPr="006272FD" w:rsidRDefault="00FA43BD" w:rsidP="00FA43BD">
      <w:pPr>
        <w:jc w:val="center"/>
        <w:rPr>
          <w:rFonts w:ascii="Courier New" w:hAnsi="Courier New" w:cs="Courier New"/>
        </w:rPr>
      </w:pPr>
      <w:r w:rsidRPr="002802C6">
        <w:rPr>
          <w:rFonts w:ascii="Courier New" w:hAnsi="Courier New" w:cs="Courier New"/>
          <w:b/>
        </w:rPr>
        <w:lastRenderedPageBreak/>
        <w:t>Improving Surveillance Data Collection among Persons Not Receiving HIV Care: A Qualitative Project to Enhance the MMP</w:t>
      </w:r>
    </w:p>
    <w:p w14:paraId="3D6B52ED" w14:textId="261C28D5" w:rsidR="005342FB" w:rsidRPr="004F1C30" w:rsidRDefault="005342FB" w:rsidP="009B5A44">
      <w:pPr>
        <w:pStyle w:val="NoSpacing"/>
        <w:rPr>
          <w:rFonts w:ascii="Courier New" w:hAnsi="Courier New" w:cs="Courier New"/>
          <w:b/>
          <w:szCs w:val="24"/>
          <w:highlight w:val="red"/>
        </w:rPr>
      </w:pPr>
    </w:p>
    <w:p w14:paraId="59591474" w14:textId="0DA81686" w:rsidR="005342FB" w:rsidRPr="00991DC3" w:rsidRDefault="00D14157" w:rsidP="005342FB">
      <w:pPr>
        <w:pStyle w:val="NoSpacing"/>
        <w:jc w:val="center"/>
        <w:rPr>
          <w:rFonts w:ascii="Courier New" w:hAnsi="Courier New" w:cs="Courier New"/>
          <w:szCs w:val="24"/>
        </w:rPr>
      </w:pPr>
      <w:r w:rsidRPr="00991DC3">
        <w:rPr>
          <w:rFonts w:ascii="Courier New" w:hAnsi="Courier New" w:cs="Courier New"/>
          <w:szCs w:val="24"/>
        </w:rPr>
        <w:t>GenIC</w:t>
      </w:r>
      <w:r w:rsidR="005342FB" w:rsidRPr="00991DC3">
        <w:rPr>
          <w:rFonts w:ascii="Courier New" w:hAnsi="Courier New" w:cs="Courier New"/>
          <w:szCs w:val="24"/>
        </w:rPr>
        <w:t xml:space="preserve"> Information Collection Request under OMB #0920-0840</w:t>
      </w:r>
    </w:p>
    <w:p w14:paraId="4972957C" w14:textId="77777777" w:rsidR="005342FB" w:rsidRPr="004F1C30" w:rsidRDefault="005342FB" w:rsidP="005342FB">
      <w:pPr>
        <w:pStyle w:val="NoSpacing"/>
        <w:jc w:val="center"/>
        <w:rPr>
          <w:rFonts w:ascii="Courier New" w:hAnsi="Courier New" w:cs="Courier New"/>
          <w:b/>
          <w:szCs w:val="24"/>
        </w:rPr>
      </w:pPr>
    </w:p>
    <w:p w14:paraId="4BDD8CBD" w14:textId="77777777" w:rsidR="005342FB" w:rsidRPr="004F1C30" w:rsidRDefault="005342FB" w:rsidP="005342FB">
      <w:pPr>
        <w:pStyle w:val="NoSpacing"/>
        <w:jc w:val="center"/>
        <w:rPr>
          <w:rFonts w:ascii="Courier New" w:hAnsi="Courier New" w:cs="Courier New"/>
          <w:b/>
          <w:szCs w:val="24"/>
        </w:rPr>
      </w:pPr>
    </w:p>
    <w:p w14:paraId="0D6D0E92" w14:textId="77777777" w:rsidR="005342FB" w:rsidRPr="004F1C30" w:rsidRDefault="005342FB" w:rsidP="005342FB">
      <w:pPr>
        <w:pStyle w:val="NoSpacing"/>
        <w:jc w:val="center"/>
        <w:rPr>
          <w:rFonts w:ascii="Courier New" w:hAnsi="Courier New" w:cs="Courier New"/>
          <w:b/>
          <w:szCs w:val="24"/>
        </w:rPr>
      </w:pPr>
    </w:p>
    <w:p w14:paraId="2BD4BDB3" w14:textId="77777777" w:rsidR="005342FB" w:rsidRPr="004F1C30" w:rsidRDefault="005342FB" w:rsidP="005342FB">
      <w:pPr>
        <w:pStyle w:val="NoSpacing"/>
        <w:jc w:val="center"/>
        <w:rPr>
          <w:rFonts w:ascii="Courier New" w:hAnsi="Courier New" w:cs="Courier New"/>
          <w:b/>
          <w:szCs w:val="24"/>
        </w:rPr>
      </w:pPr>
    </w:p>
    <w:p w14:paraId="3A920F4C" w14:textId="77777777" w:rsidR="004460BF" w:rsidRDefault="004460BF" w:rsidP="005342FB">
      <w:pPr>
        <w:pStyle w:val="NoSpacing"/>
        <w:jc w:val="center"/>
        <w:rPr>
          <w:rFonts w:ascii="Courier New" w:hAnsi="Courier New" w:cs="Courier New"/>
          <w:b/>
          <w:szCs w:val="24"/>
        </w:rPr>
      </w:pPr>
    </w:p>
    <w:p w14:paraId="3028699C" w14:textId="77777777" w:rsidR="004460BF" w:rsidRDefault="004460BF" w:rsidP="005342FB">
      <w:pPr>
        <w:pStyle w:val="NoSpacing"/>
        <w:jc w:val="center"/>
        <w:rPr>
          <w:rFonts w:ascii="Courier New" w:hAnsi="Courier New" w:cs="Courier New"/>
          <w:b/>
          <w:szCs w:val="24"/>
        </w:rPr>
      </w:pPr>
    </w:p>
    <w:p w14:paraId="06905B7D" w14:textId="53579EDD" w:rsidR="00706925" w:rsidRPr="00991DC3" w:rsidRDefault="00342902" w:rsidP="005342FB">
      <w:pPr>
        <w:pStyle w:val="NoSpacing"/>
        <w:jc w:val="center"/>
        <w:rPr>
          <w:rFonts w:ascii="Courier New" w:hAnsi="Courier New" w:cs="Courier New"/>
          <w:szCs w:val="24"/>
        </w:rPr>
      </w:pPr>
      <w:r>
        <w:rPr>
          <w:rFonts w:ascii="Courier New" w:hAnsi="Courier New" w:cs="Courier New"/>
          <w:szCs w:val="24"/>
        </w:rPr>
        <w:t>April 1</w:t>
      </w:r>
      <w:r w:rsidR="00D74B2E">
        <w:rPr>
          <w:rFonts w:ascii="Courier New" w:hAnsi="Courier New" w:cs="Courier New"/>
          <w:szCs w:val="24"/>
        </w:rPr>
        <w:t>8</w:t>
      </w:r>
      <w:r w:rsidR="005F3206">
        <w:rPr>
          <w:rFonts w:ascii="Courier New" w:hAnsi="Courier New" w:cs="Courier New"/>
          <w:szCs w:val="24"/>
        </w:rPr>
        <w:t>, 2018</w:t>
      </w:r>
    </w:p>
    <w:p w14:paraId="20E4875C" w14:textId="77777777" w:rsidR="00706925" w:rsidRDefault="00706925" w:rsidP="005342FB">
      <w:pPr>
        <w:pStyle w:val="NoSpacing"/>
        <w:jc w:val="center"/>
        <w:rPr>
          <w:rFonts w:ascii="Courier New" w:hAnsi="Courier New" w:cs="Courier New"/>
          <w:b/>
          <w:szCs w:val="24"/>
        </w:rPr>
      </w:pPr>
    </w:p>
    <w:p w14:paraId="3E76D6AA" w14:textId="77777777" w:rsidR="00706925" w:rsidRDefault="00706925" w:rsidP="005342FB">
      <w:pPr>
        <w:pStyle w:val="NoSpacing"/>
        <w:jc w:val="center"/>
        <w:rPr>
          <w:rFonts w:ascii="Courier New" w:hAnsi="Courier New" w:cs="Courier New"/>
          <w:b/>
          <w:szCs w:val="24"/>
        </w:rPr>
      </w:pPr>
    </w:p>
    <w:p w14:paraId="4E831D30" w14:textId="77777777" w:rsidR="00706925" w:rsidRDefault="00706925" w:rsidP="005342FB">
      <w:pPr>
        <w:pStyle w:val="NoSpacing"/>
        <w:jc w:val="center"/>
        <w:rPr>
          <w:rFonts w:ascii="Courier New" w:hAnsi="Courier New" w:cs="Courier New"/>
          <w:b/>
          <w:szCs w:val="24"/>
        </w:rPr>
      </w:pPr>
    </w:p>
    <w:p w14:paraId="1B7E3A85" w14:textId="3C9D010A" w:rsidR="005342FB" w:rsidRPr="004F1C30" w:rsidRDefault="005342FB" w:rsidP="005342FB">
      <w:pPr>
        <w:pStyle w:val="NoSpacing"/>
        <w:jc w:val="center"/>
        <w:rPr>
          <w:rFonts w:ascii="Courier New" w:hAnsi="Courier New" w:cs="Courier New"/>
          <w:b/>
          <w:szCs w:val="24"/>
        </w:rPr>
      </w:pPr>
      <w:r w:rsidRPr="004F1C30">
        <w:rPr>
          <w:rFonts w:ascii="Courier New" w:hAnsi="Courier New" w:cs="Courier New"/>
          <w:b/>
          <w:szCs w:val="24"/>
        </w:rPr>
        <w:t>Supporting Statement</w:t>
      </w:r>
      <w:r w:rsidR="00706925">
        <w:rPr>
          <w:rFonts w:ascii="Courier New" w:hAnsi="Courier New" w:cs="Courier New"/>
          <w:b/>
          <w:szCs w:val="24"/>
        </w:rPr>
        <w:t xml:space="preserve"> B</w:t>
      </w:r>
    </w:p>
    <w:p w14:paraId="5497C686" w14:textId="77777777" w:rsidR="005342FB" w:rsidRPr="004F1C30" w:rsidRDefault="005342FB" w:rsidP="005342FB">
      <w:pPr>
        <w:pStyle w:val="NoSpacing"/>
        <w:jc w:val="center"/>
        <w:rPr>
          <w:rFonts w:ascii="Courier New" w:hAnsi="Courier New" w:cs="Courier New"/>
          <w:b/>
          <w:szCs w:val="24"/>
        </w:rPr>
      </w:pPr>
    </w:p>
    <w:p w14:paraId="5DA7E416" w14:textId="77777777" w:rsidR="005342FB" w:rsidRPr="004F1C30" w:rsidRDefault="005342FB" w:rsidP="005342FB">
      <w:pPr>
        <w:pStyle w:val="NoSpacing"/>
        <w:jc w:val="center"/>
        <w:rPr>
          <w:rFonts w:ascii="Courier New" w:hAnsi="Courier New" w:cs="Courier New"/>
          <w:b/>
          <w:szCs w:val="24"/>
        </w:rPr>
      </w:pPr>
    </w:p>
    <w:p w14:paraId="0CE5FEEE" w14:textId="77777777" w:rsidR="005342FB" w:rsidRPr="004F1C30" w:rsidRDefault="005342FB" w:rsidP="00013F21">
      <w:pPr>
        <w:pStyle w:val="NoSpacing"/>
        <w:rPr>
          <w:rFonts w:ascii="Courier New" w:hAnsi="Courier New" w:cs="Courier New"/>
          <w:b/>
          <w:szCs w:val="24"/>
        </w:rPr>
      </w:pPr>
    </w:p>
    <w:p w14:paraId="343CB97F" w14:textId="6A2F88B9" w:rsidR="00013F21" w:rsidRDefault="00013F21" w:rsidP="005342FB">
      <w:pPr>
        <w:pStyle w:val="NoSpacing"/>
        <w:jc w:val="center"/>
        <w:rPr>
          <w:rFonts w:ascii="Courier New" w:hAnsi="Courier New" w:cs="Courier New"/>
          <w:b/>
          <w:szCs w:val="24"/>
        </w:rPr>
      </w:pPr>
    </w:p>
    <w:p w14:paraId="25C5ACC6" w14:textId="2E3178F1" w:rsidR="004460BF" w:rsidRDefault="004460BF" w:rsidP="005342FB">
      <w:pPr>
        <w:pStyle w:val="NoSpacing"/>
        <w:jc w:val="center"/>
        <w:rPr>
          <w:rFonts w:ascii="Courier New" w:hAnsi="Courier New" w:cs="Courier New"/>
          <w:b/>
          <w:szCs w:val="24"/>
        </w:rPr>
      </w:pPr>
    </w:p>
    <w:p w14:paraId="3AF984AD" w14:textId="248BC4F7" w:rsidR="004460BF" w:rsidRDefault="004460BF" w:rsidP="005342FB">
      <w:pPr>
        <w:pStyle w:val="NoSpacing"/>
        <w:jc w:val="center"/>
        <w:rPr>
          <w:rFonts w:ascii="Courier New" w:hAnsi="Courier New" w:cs="Courier New"/>
          <w:b/>
          <w:szCs w:val="24"/>
        </w:rPr>
      </w:pPr>
    </w:p>
    <w:p w14:paraId="210FF300" w14:textId="54AB393B" w:rsidR="004460BF" w:rsidRDefault="004460BF" w:rsidP="005342FB">
      <w:pPr>
        <w:pStyle w:val="NoSpacing"/>
        <w:jc w:val="center"/>
        <w:rPr>
          <w:rFonts w:ascii="Courier New" w:hAnsi="Courier New" w:cs="Courier New"/>
          <w:b/>
          <w:szCs w:val="24"/>
        </w:rPr>
      </w:pPr>
    </w:p>
    <w:p w14:paraId="47BF70B0" w14:textId="71C35FCD" w:rsidR="004460BF" w:rsidRDefault="004460BF" w:rsidP="005342FB">
      <w:pPr>
        <w:pStyle w:val="NoSpacing"/>
        <w:jc w:val="center"/>
        <w:rPr>
          <w:rFonts w:ascii="Courier New" w:hAnsi="Courier New" w:cs="Courier New"/>
          <w:b/>
          <w:szCs w:val="24"/>
        </w:rPr>
      </w:pPr>
    </w:p>
    <w:p w14:paraId="6F3F3A8C" w14:textId="0C9DA4C7" w:rsidR="004460BF" w:rsidRDefault="004460BF" w:rsidP="005342FB">
      <w:pPr>
        <w:pStyle w:val="NoSpacing"/>
        <w:jc w:val="center"/>
        <w:rPr>
          <w:rFonts w:ascii="Courier New" w:hAnsi="Courier New" w:cs="Courier New"/>
          <w:b/>
          <w:szCs w:val="24"/>
        </w:rPr>
      </w:pPr>
    </w:p>
    <w:p w14:paraId="16C71846" w14:textId="79CAAC24" w:rsidR="004460BF" w:rsidRDefault="004460BF" w:rsidP="005342FB">
      <w:pPr>
        <w:pStyle w:val="NoSpacing"/>
        <w:jc w:val="center"/>
        <w:rPr>
          <w:rFonts w:ascii="Courier New" w:hAnsi="Courier New" w:cs="Courier New"/>
          <w:b/>
          <w:szCs w:val="24"/>
        </w:rPr>
      </w:pPr>
    </w:p>
    <w:p w14:paraId="6F3AE998" w14:textId="702A25F5" w:rsidR="004460BF" w:rsidRDefault="004460BF" w:rsidP="005342FB">
      <w:pPr>
        <w:pStyle w:val="NoSpacing"/>
        <w:jc w:val="center"/>
        <w:rPr>
          <w:rFonts w:ascii="Courier New" w:hAnsi="Courier New" w:cs="Courier New"/>
          <w:b/>
          <w:szCs w:val="24"/>
        </w:rPr>
      </w:pPr>
    </w:p>
    <w:p w14:paraId="3DE9C6B4" w14:textId="3C28DE6C" w:rsidR="004460BF" w:rsidRDefault="004460BF" w:rsidP="005342FB">
      <w:pPr>
        <w:pStyle w:val="NoSpacing"/>
        <w:jc w:val="center"/>
        <w:rPr>
          <w:rFonts w:ascii="Courier New" w:hAnsi="Courier New" w:cs="Courier New"/>
          <w:b/>
          <w:szCs w:val="24"/>
        </w:rPr>
      </w:pPr>
    </w:p>
    <w:p w14:paraId="06E9A88F" w14:textId="1A4EA2A8" w:rsidR="004460BF" w:rsidRDefault="004460BF" w:rsidP="005342FB">
      <w:pPr>
        <w:pStyle w:val="NoSpacing"/>
        <w:jc w:val="center"/>
        <w:rPr>
          <w:rFonts w:ascii="Courier New" w:hAnsi="Courier New" w:cs="Courier New"/>
          <w:b/>
          <w:szCs w:val="24"/>
        </w:rPr>
      </w:pPr>
    </w:p>
    <w:p w14:paraId="55C2CF09" w14:textId="528516E4" w:rsidR="004460BF" w:rsidRDefault="004460BF" w:rsidP="005342FB">
      <w:pPr>
        <w:pStyle w:val="NoSpacing"/>
        <w:jc w:val="center"/>
        <w:rPr>
          <w:rFonts w:ascii="Courier New" w:hAnsi="Courier New" w:cs="Courier New"/>
          <w:b/>
          <w:szCs w:val="24"/>
        </w:rPr>
      </w:pPr>
    </w:p>
    <w:p w14:paraId="56CC0510" w14:textId="23409739" w:rsidR="004460BF" w:rsidRDefault="004460BF" w:rsidP="005342FB">
      <w:pPr>
        <w:pStyle w:val="NoSpacing"/>
        <w:jc w:val="center"/>
        <w:rPr>
          <w:rFonts w:ascii="Courier New" w:hAnsi="Courier New" w:cs="Courier New"/>
          <w:b/>
          <w:szCs w:val="24"/>
        </w:rPr>
      </w:pPr>
    </w:p>
    <w:p w14:paraId="7FF618BB" w14:textId="77777777" w:rsidR="004460BF" w:rsidRPr="004F1C30" w:rsidRDefault="004460BF" w:rsidP="005342FB">
      <w:pPr>
        <w:pStyle w:val="NoSpacing"/>
        <w:jc w:val="center"/>
        <w:rPr>
          <w:rFonts w:ascii="Courier New" w:hAnsi="Courier New" w:cs="Courier New"/>
          <w:b/>
          <w:szCs w:val="24"/>
        </w:rPr>
      </w:pPr>
    </w:p>
    <w:p w14:paraId="08ADD2A1" w14:textId="77777777" w:rsidR="005342FB" w:rsidRPr="004F1C30" w:rsidRDefault="005342FB" w:rsidP="005342FB">
      <w:pPr>
        <w:pStyle w:val="NoSpacing"/>
        <w:jc w:val="center"/>
        <w:rPr>
          <w:rFonts w:ascii="Courier New" w:hAnsi="Courier New" w:cs="Courier New"/>
          <w:b/>
          <w:szCs w:val="24"/>
        </w:rPr>
      </w:pPr>
    </w:p>
    <w:p w14:paraId="0F760D8F" w14:textId="77777777" w:rsidR="005342FB" w:rsidRPr="004F1C30" w:rsidRDefault="005342FB" w:rsidP="005342FB">
      <w:pPr>
        <w:pStyle w:val="NoSpacing"/>
        <w:jc w:val="center"/>
        <w:rPr>
          <w:rFonts w:ascii="Courier New" w:hAnsi="Courier New" w:cs="Courier New"/>
          <w:b/>
          <w:szCs w:val="24"/>
        </w:rPr>
      </w:pPr>
    </w:p>
    <w:p w14:paraId="7879E357" w14:textId="77777777" w:rsidR="00FA43BD" w:rsidRPr="006272FD" w:rsidRDefault="00FA43BD" w:rsidP="00FA43BD">
      <w:pPr>
        <w:jc w:val="center"/>
        <w:rPr>
          <w:rFonts w:ascii="Courier New" w:hAnsi="Courier New" w:cs="Courier New"/>
        </w:rPr>
      </w:pPr>
    </w:p>
    <w:p w14:paraId="77138141" w14:textId="77777777" w:rsidR="00FA43BD" w:rsidRPr="006272FD" w:rsidRDefault="00FA43BD" w:rsidP="00FA43BD">
      <w:pPr>
        <w:jc w:val="center"/>
        <w:rPr>
          <w:rFonts w:ascii="Courier New" w:hAnsi="Courier New" w:cs="Courier New"/>
        </w:rPr>
      </w:pPr>
      <w:r w:rsidRPr="006272FD">
        <w:rPr>
          <w:rFonts w:ascii="Courier New" w:hAnsi="Courier New" w:cs="Courier New"/>
        </w:rPr>
        <w:t>CONTACT:</w:t>
      </w:r>
    </w:p>
    <w:p w14:paraId="4252962C" w14:textId="77777777" w:rsidR="00FA43BD" w:rsidRPr="006272FD" w:rsidRDefault="00FA43BD" w:rsidP="00FA43BD">
      <w:pPr>
        <w:jc w:val="center"/>
        <w:rPr>
          <w:rFonts w:ascii="Courier New" w:hAnsi="Courier New" w:cs="Courier New"/>
        </w:rPr>
      </w:pPr>
    </w:p>
    <w:p w14:paraId="7557DDB0" w14:textId="77777777" w:rsidR="00FA43BD" w:rsidRPr="006272FD" w:rsidRDefault="00FA43BD" w:rsidP="00FA43BD">
      <w:pPr>
        <w:widowControl w:val="0"/>
        <w:autoSpaceDE w:val="0"/>
        <w:autoSpaceDN w:val="0"/>
        <w:adjustRightInd w:val="0"/>
        <w:jc w:val="center"/>
        <w:rPr>
          <w:rFonts w:ascii="Courier New" w:hAnsi="Courier New" w:cs="Courier New"/>
        </w:rPr>
      </w:pPr>
      <w:r>
        <w:rPr>
          <w:rFonts w:ascii="Courier New" w:hAnsi="Courier New" w:cs="Courier New"/>
        </w:rPr>
        <w:t>Jennifer Fagan, MA</w:t>
      </w:r>
    </w:p>
    <w:p w14:paraId="46E0A29F" w14:textId="77777777" w:rsidR="00FA43BD" w:rsidRPr="006272FD" w:rsidRDefault="00FA43BD" w:rsidP="00FA43BD">
      <w:pPr>
        <w:widowControl w:val="0"/>
        <w:autoSpaceDE w:val="0"/>
        <w:autoSpaceDN w:val="0"/>
        <w:adjustRightInd w:val="0"/>
        <w:jc w:val="center"/>
        <w:rPr>
          <w:rFonts w:ascii="Courier New" w:hAnsi="Courier New" w:cs="Courier New"/>
        </w:rPr>
      </w:pPr>
      <w:r>
        <w:rPr>
          <w:rFonts w:ascii="Courier New" w:hAnsi="Courier New" w:cs="Courier New"/>
        </w:rPr>
        <w:t>Clinical Outcomes</w:t>
      </w:r>
      <w:r w:rsidRPr="006272FD">
        <w:rPr>
          <w:rFonts w:ascii="Courier New" w:hAnsi="Courier New" w:cs="Courier New"/>
        </w:rPr>
        <w:t xml:space="preserve"> Team</w:t>
      </w:r>
    </w:p>
    <w:p w14:paraId="32CB8701"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 xml:space="preserve"> National Center for HIV, Hepatitis, STD and TB Prevention</w:t>
      </w:r>
    </w:p>
    <w:p w14:paraId="4506F1A7"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Coordinating Center for Infectious Diseases</w:t>
      </w:r>
    </w:p>
    <w:p w14:paraId="367167AA"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Centers for Disease Control and Prevention</w:t>
      </w:r>
    </w:p>
    <w:p w14:paraId="37A2AFFD"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1600 Clifton Rd, NE, MS E-46</w:t>
      </w:r>
    </w:p>
    <w:p w14:paraId="77463E78"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Atlanta, Georgia 30333</w:t>
      </w:r>
    </w:p>
    <w:p w14:paraId="5CD77F52"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Phone: (404) 639-</w:t>
      </w:r>
      <w:r>
        <w:rPr>
          <w:rFonts w:ascii="Courier New" w:hAnsi="Courier New" w:cs="Courier New"/>
        </w:rPr>
        <w:t>8396</w:t>
      </w:r>
    </w:p>
    <w:p w14:paraId="523C6533" w14:textId="77777777" w:rsidR="00FA43BD" w:rsidRPr="006272FD" w:rsidRDefault="00FA43BD" w:rsidP="00FA43BD">
      <w:pPr>
        <w:widowControl w:val="0"/>
        <w:autoSpaceDE w:val="0"/>
        <w:autoSpaceDN w:val="0"/>
        <w:adjustRightInd w:val="0"/>
        <w:jc w:val="center"/>
        <w:rPr>
          <w:rFonts w:ascii="Courier New" w:hAnsi="Courier New" w:cs="Courier New"/>
        </w:rPr>
      </w:pPr>
      <w:r w:rsidRPr="006272FD">
        <w:rPr>
          <w:rFonts w:ascii="Courier New" w:hAnsi="Courier New" w:cs="Courier New"/>
        </w:rPr>
        <w:t xml:space="preserve">E-mail: </w:t>
      </w:r>
      <w:r>
        <w:rPr>
          <w:rFonts w:ascii="Courier New" w:hAnsi="Courier New" w:cs="Courier New"/>
        </w:rPr>
        <w:t>chx5</w:t>
      </w:r>
      <w:r w:rsidRPr="006272FD">
        <w:rPr>
          <w:rFonts w:ascii="Courier New" w:hAnsi="Courier New" w:cs="Courier New"/>
        </w:rPr>
        <w:t>@CDC.GOV</w:t>
      </w:r>
    </w:p>
    <w:p w14:paraId="7C98E889" w14:textId="77777777" w:rsidR="00DC57CC" w:rsidRPr="004F1C30" w:rsidRDefault="00DC57CC">
      <w:pPr>
        <w:rPr>
          <w:rFonts w:ascii="Courier New" w:hAnsi="Courier New" w:cs="Courier New"/>
        </w:rPr>
      </w:pPr>
    </w:p>
    <w:p w14:paraId="111DDA2A" w14:textId="77777777" w:rsidR="005342FB" w:rsidRPr="004F1C30" w:rsidRDefault="005342FB">
      <w:pPr>
        <w:spacing w:after="200" w:line="276" w:lineRule="auto"/>
        <w:rPr>
          <w:rFonts w:ascii="Courier New" w:eastAsiaTheme="minorHAnsi" w:hAnsi="Courier New" w:cs="Courier New"/>
        </w:rPr>
      </w:pPr>
      <w:r w:rsidRPr="004F1C30">
        <w:rPr>
          <w:rFonts w:ascii="Courier New" w:hAnsi="Courier New" w:cs="Courier New"/>
        </w:rPr>
        <w:br w:type="page"/>
      </w:r>
    </w:p>
    <w:p w14:paraId="335E625D" w14:textId="77777777" w:rsidR="003C6365" w:rsidRPr="00991DC3" w:rsidRDefault="003C6365" w:rsidP="00991DC3">
      <w:pPr>
        <w:pStyle w:val="Heading2"/>
        <w:numPr>
          <w:ilvl w:val="0"/>
          <w:numId w:val="0"/>
        </w:numPr>
        <w:jc w:val="center"/>
        <w:rPr>
          <w:rFonts w:ascii="Courier New" w:hAnsi="Courier New" w:cs="Courier New"/>
          <w:b/>
          <w:color w:val="auto"/>
          <w:sz w:val="24"/>
          <w:szCs w:val="24"/>
        </w:rPr>
      </w:pPr>
      <w:r w:rsidRPr="00991DC3">
        <w:rPr>
          <w:rFonts w:ascii="Courier New" w:hAnsi="Courier New" w:cs="Courier New"/>
          <w:b/>
          <w:color w:val="auto"/>
          <w:sz w:val="24"/>
          <w:szCs w:val="24"/>
        </w:rPr>
        <w:lastRenderedPageBreak/>
        <w:t>Table of Contents</w:t>
      </w:r>
    </w:p>
    <w:p w14:paraId="46F0565D" w14:textId="05C8BF8A" w:rsidR="003C6365" w:rsidRDefault="00227230" w:rsidP="003C6365">
      <w:pPr>
        <w:rPr>
          <w:rFonts w:ascii="Courier New" w:hAnsi="Courier New" w:cs="Courier New"/>
          <w:b/>
        </w:rPr>
      </w:pPr>
      <w:r>
        <w:rPr>
          <w:rFonts w:ascii="Courier New" w:hAnsi="Courier New" w:cs="Courier New"/>
          <w:b/>
        </w:rPr>
        <w:t>Supporting Statement B</w:t>
      </w:r>
    </w:p>
    <w:p w14:paraId="0168BB52" w14:textId="77777777" w:rsidR="00227230" w:rsidRDefault="00227230" w:rsidP="003C6365">
      <w:pPr>
        <w:rPr>
          <w:rFonts w:ascii="Courier New" w:hAnsi="Courier New" w:cs="Courier New"/>
          <w:b/>
        </w:rPr>
      </w:pPr>
    </w:p>
    <w:p w14:paraId="5E2D5CFA" w14:textId="6247A476" w:rsidR="00E37BDC" w:rsidRPr="00E37BDC" w:rsidRDefault="003D7601" w:rsidP="00E37BDC">
      <w:pPr>
        <w:rPr>
          <w:rFonts w:ascii="Courier New" w:hAnsi="Courier New" w:cs="Courier New"/>
        </w:rPr>
      </w:pPr>
      <w:r>
        <w:rPr>
          <w:rFonts w:ascii="Courier New" w:hAnsi="Courier New" w:cs="Courier New"/>
        </w:rPr>
        <w:t>B.</w:t>
      </w:r>
      <w:r w:rsidR="00E37BDC" w:rsidRPr="00E37BDC">
        <w:rPr>
          <w:rFonts w:ascii="Courier New" w:hAnsi="Courier New" w:cs="Courier New"/>
        </w:rPr>
        <w:t>1.</w:t>
      </w:r>
      <w:r w:rsidR="00E37BDC" w:rsidRPr="00E37BDC">
        <w:rPr>
          <w:rFonts w:ascii="Courier New" w:hAnsi="Courier New" w:cs="Courier New"/>
        </w:rPr>
        <w:tab/>
        <w:t>Respondent Universe and Sampling Methods</w:t>
      </w:r>
    </w:p>
    <w:p w14:paraId="0D54C80D" w14:textId="66371035" w:rsidR="00E37BDC" w:rsidRPr="00E37BDC" w:rsidRDefault="003D7601" w:rsidP="00E37BDC">
      <w:pPr>
        <w:rPr>
          <w:rFonts w:ascii="Courier New" w:hAnsi="Courier New" w:cs="Courier New"/>
        </w:rPr>
      </w:pPr>
      <w:r>
        <w:rPr>
          <w:rFonts w:ascii="Courier New" w:hAnsi="Courier New" w:cs="Courier New"/>
        </w:rPr>
        <w:t>B.</w:t>
      </w:r>
      <w:r w:rsidR="00E37BDC" w:rsidRPr="00E37BDC">
        <w:rPr>
          <w:rFonts w:ascii="Courier New" w:hAnsi="Courier New" w:cs="Courier New"/>
        </w:rPr>
        <w:t>2.</w:t>
      </w:r>
      <w:r w:rsidR="00E37BDC" w:rsidRPr="00E37BDC">
        <w:rPr>
          <w:rFonts w:ascii="Courier New" w:hAnsi="Courier New" w:cs="Courier New"/>
        </w:rPr>
        <w:tab/>
        <w:t>Procedures for the Collection of Information</w:t>
      </w:r>
    </w:p>
    <w:p w14:paraId="088B5D6A" w14:textId="30380D57" w:rsidR="00E37BDC" w:rsidRPr="00E37BDC" w:rsidRDefault="003D7601" w:rsidP="00E37BDC">
      <w:pPr>
        <w:rPr>
          <w:rFonts w:ascii="Courier New" w:hAnsi="Courier New" w:cs="Courier New"/>
        </w:rPr>
      </w:pPr>
      <w:r>
        <w:rPr>
          <w:rFonts w:ascii="Courier New" w:hAnsi="Courier New" w:cs="Courier New"/>
        </w:rPr>
        <w:t xml:space="preserve">B.3. </w:t>
      </w:r>
      <w:r w:rsidR="00E37BDC" w:rsidRPr="00E37BDC">
        <w:rPr>
          <w:rFonts w:ascii="Courier New" w:hAnsi="Courier New" w:cs="Courier New"/>
        </w:rPr>
        <w:t>Methods to Maximize Response Rates and Deal with No Response</w:t>
      </w:r>
    </w:p>
    <w:p w14:paraId="658B51F2" w14:textId="1A74D61C" w:rsidR="00E37BDC" w:rsidRPr="00E37BDC" w:rsidRDefault="003D7601" w:rsidP="00E37BDC">
      <w:pPr>
        <w:rPr>
          <w:rFonts w:ascii="Courier New" w:hAnsi="Courier New" w:cs="Courier New"/>
        </w:rPr>
      </w:pPr>
      <w:r>
        <w:rPr>
          <w:rFonts w:ascii="Courier New" w:hAnsi="Courier New" w:cs="Courier New"/>
        </w:rPr>
        <w:t>B.</w:t>
      </w:r>
      <w:r w:rsidR="00E37BDC" w:rsidRPr="00E37BDC">
        <w:rPr>
          <w:rFonts w:ascii="Courier New" w:hAnsi="Courier New" w:cs="Courier New"/>
        </w:rPr>
        <w:t>4.</w:t>
      </w:r>
      <w:r w:rsidR="00E37BDC" w:rsidRPr="00E37BDC">
        <w:rPr>
          <w:rFonts w:ascii="Courier New" w:hAnsi="Courier New" w:cs="Courier New"/>
        </w:rPr>
        <w:tab/>
        <w:t>Tests of Procedures or Methods to be Undertaken</w:t>
      </w:r>
    </w:p>
    <w:p w14:paraId="4B8A33C2" w14:textId="542C2D24" w:rsidR="00E37BDC" w:rsidRPr="00E37BDC" w:rsidRDefault="003D7601" w:rsidP="00E37BDC">
      <w:pPr>
        <w:tabs>
          <w:tab w:val="left" w:pos="720"/>
        </w:tabs>
        <w:ind w:left="720" w:hanging="720"/>
        <w:rPr>
          <w:rFonts w:ascii="Courier New" w:hAnsi="Courier New" w:cs="Courier New"/>
        </w:rPr>
      </w:pPr>
      <w:r>
        <w:rPr>
          <w:rFonts w:ascii="Courier New" w:hAnsi="Courier New" w:cs="Courier New"/>
        </w:rPr>
        <w:t>B.</w:t>
      </w:r>
      <w:r w:rsidR="00E37BDC" w:rsidRPr="00E37BDC">
        <w:rPr>
          <w:rFonts w:ascii="Courier New" w:hAnsi="Courier New" w:cs="Courier New"/>
        </w:rPr>
        <w:t>5. Individuals Consulted on Statistical Aspects and Individuals Collecting and/or Analyzing Data</w:t>
      </w:r>
    </w:p>
    <w:p w14:paraId="2462F8A8" w14:textId="28DDC710" w:rsidR="00FF1B1C" w:rsidRPr="004F1C30" w:rsidRDefault="00FF1B1C" w:rsidP="007F29CE">
      <w:pPr>
        <w:pStyle w:val="NoSpacing"/>
        <w:spacing w:line="360" w:lineRule="auto"/>
        <w:rPr>
          <w:rFonts w:ascii="Courier New" w:hAnsi="Courier New" w:cs="Courier New"/>
          <w:b/>
          <w:szCs w:val="24"/>
        </w:rPr>
      </w:pPr>
    </w:p>
    <w:p w14:paraId="2DE59537" w14:textId="5AC99ECD" w:rsidR="00CE38A8" w:rsidRDefault="005342FB" w:rsidP="00E451A4">
      <w:pPr>
        <w:pStyle w:val="NoSpacing"/>
        <w:tabs>
          <w:tab w:val="left" w:pos="360"/>
        </w:tabs>
        <w:rPr>
          <w:rFonts w:ascii="Courier New" w:hAnsi="Courier New" w:cs="Courier New"/>
          <w:b/>
          <w:szCs w:val="24"/>
        </w:rPr>
      </w:pPr>
      <w:r w:rsidRPr="004F1C30">
        <w:rPr>
          <w:rFonts w:ascii="Courier New" w:hAnsi="Courier New" w:cs="Courier New"/>
          <w:b/>
          <w:szCs w:val="24"/>
        </w:rPr>
        <w:br w:type="page"/>
      </w:r>
    </w:p>
    <w:p w14:paraId="1E808E7D" w14:textId="79186FCB" w:rsidR="005342FB" w:rsidRPr="004F1C30" w:rsidRDefault="00F20794" w:rsidP="005342FB">
      <w:pPr>
        <w:pStyle w:val="Heading1"/>
        <w:rPr>
          <w:rFonts w:ascii="Courier New" w:hAnsi="Courier New" w:cs="Courier New"/>
          <w:szCs w:val="24"/>
        </w:rPr>
      </w:pPr>
      <w:bookmarkStart w:id="1" w:name="_Toc502063544"/>
      <w:r>
        <w:rPr>
          <w:rFonts w:ascii="Courier New" w:hAnsi="Courier New" w:cs="Courier New"/>
          <w:szCs w:val="24"/>
        </w:rPr>
        <w:lastRenderedPageBreak/>
        <w:t xml:space="preserve">B.1. </w:t>
      </w:r>
      <w:r w:rsidR="005342FB" w:rsidRPr="004F1C30">
        <w:rPr>
          <w:rFonts w:ascii="Courier New" w:hAnsi="Courier New" w:cs="Courier New"/>
          <w:szCs w:val="24"/>
        </w:rPr>
        <w:t>Respondent Universe and Sampling Methods</w:t>
      </w:r>
      <w:bookmarkEnd w:id="1"/>
    </w:p>
    <w:p w14:paraId="44E705C9" w14:textId="77777777" w:rsidR="005342FB" w:rsidRPr="004F1C30" w:rsidRDefault="005342FB" w:rsidP="005342FB">
      <w:pPr>
        <w:rPr>
          <w:rFonts w:ascii="Courier New" w:hAnsi="Courier New" w:cs="Courier New"/>
        </w:rPr>
      </w:pPr>
    </w:p>
    <w:p w14:paraId="55CC238E" w14:textId="77777777" w:rsidR="00F26CC9" w:rsidRDefault="00F26CC9" w:rsidP="00E54424">
      <w:pPr>
        <w:rPr>
          <w:rFonts w:ascii="Courier New" w:hAnsi="Courier New" w:cs="Courier New"/>
        </w:rPr>
      </w:pPr>
      <w:r>
        <w:rPr>
          <w:rFonts w:ascii="Courier New" w:hAnsi="Courier New" w:cs="Courier New"/>
        </w:rPr>
        <w:t xml:space="preserve">The collection of information for this project does not involve statistical methods. </w:t>
      </w:r>
    </w:p>
    <w:p w14:paraId="174E7844" w14:textId="77777777" w:rsidR="00F26CC9" w:rsidRDefault="00F26CC9" w:rsidP="00E54424">
      <w:pPr>
        <w:rPr>
          <w:rFonts w:ascii="Courier New" w:hAnsi="Courier New" w:cs="Courier New"/>
        </w:rPr>
      </w:pPr>
    </w:p>
    <w:p w14:paraId="25D4E0DE" w14:textId="152D1076" w:rsidR="00E54424" w:rsidRPr="004F1C30" w:rsidRDefault="0050740F" w:rsidP="00E54424">
      <w:pPr>
        <w:rPr>
          <w:rFonts w:ascii="Courier New" w:hAnsi="Courier New" w:cs="Courier New"/>
        </w:rPr>
      </w:pPr>
      <w:r>
        <w:rPr>
          <w:rFonts w:ascii="Courier New" w:hAnsi="Courier New" w:cs="Courier New"/>
        </w:rPr>
        <w:t>This project is intended to improve the Medical Monitoring Project</w:t>
      </w:r>
      <w:r w:rsidR="003721DC">
        <w:rPr>
          <w:rFonts w:ascii="Courier New" w:hAnsi="Courier New" w:cs="Courier New"/>
        </w:rPr>
        <w:t xml:space="preserve"> </w:t>
      </w:r>
      <w:r w:rsidR="001572CF">
        <w:rPr>
          <w:rFonts w:ascii="Courier New" w:hAnsi="Courier New" w:cs="Courier New"/>
        </w:rPr>
        <w:t>(MMP</w:t>
      </w:r>
      <w:r w:rsidR="00F75808">
        <w:rPr>
          <w:rFonts w:ascii="Courier New" w:hAnsi="Courier New" w:cs="Courier New"/>
        </w:rPr>
        <w:t>) (</w:t>
      </w:r>
      <w:r w:rsidR="00113573">
        <w:rPr>
          <w:rFonts w:ascii="Courier New" w:hAnsi="Courier New" w:cs="Courier New"/>
        </w:rPr>
        <w:t>OMB No. 0920-0740 exp. 06/30/2018</w:t>
      </w:r>
      <w:r w:rsidR="003721DC">
        <w:rPr>
          <w:rFonts w:ascii="Courier New" w:hAnsi="Courier New" w:cs="Courier New"/>
        </w:rPr>
        <w:t>)</w:t>
      </w:r>
      <w:r>
        <w:rPr>
          <w:rFonts w:ascii="Courier New" w:hAnsi="Courier New" w:cs="Courier New"/>
        </w:rPr>
        <w:t xml:space="preserve">. The respondent universe will be derived from respondents who participate in the MMP structured interview during the 2018 data collection cycle. </w:t>
      </w:r>
      <w:r w:rsidR="003721DC">
        <w:rPr>
          <w:rFonts w:ascii="Courier New" w:hAnsi="Courier New" w:cs="Courier New"/>
        </w:rPr>
        <w:t xml:space="preserve">Respondents will be recruited from the 23 project areas that participate in MMP. </w:t>
      </w:r>
    </w:p>
    <w:p w14:paraId="0295E623" w14:textId="56977E85" w:rsidR="00E54424" w:rsidRPr="004F1C30" w:rsidRDefault="00E54424" w:rsidP="00E54424">
      <w:pPr>
        <w:rPr>
          <w:rFonts w:ascii="Courier New" w:hAnsi="Courier New" w:cs="Courier New"/>
        </w:rPr>
      </w:pPr>
      <w:r w:rsidRPr="004F1C30">
        <w:rPr>
          <w:rFonts w:ascii="Courier New" w:hAnsi="Courier New" w:cs="Courier New"/>
        </w:rPr>
        <w:br/>
        <w:t xml:space="preserve">Staff in health departments participating in </w:t>
      </w:r>
      <w:r w:rsidR="0014661B">
        <w:rPr>
          <w:rFonts w:ascii="Courier New" w:hAnsi="Courier New" w:cs="Courier New"/>
        </w:rPr>
        <w:t>MMP</w:t>
      </w:r>
      <w:r w:rsidR="0014661B" w:rsidRPr="004F1C30">
        <w:rPr>
          <w:rFonts w:ascii="Courier New" w:hAnsi="Courier New" w:cs="Courier New"/>
        </w:rPr>
        <w:t xml:space="preserve"> </w:t>
      </w:r>
      <w:r w:rsidRPr="004F1C30">
        <w:rPr>
          <w:rFonts w:ascii="Courier New" w:hAnsi="Courier New" w:cs="Courier New"/>
        </w:rPr>
        <w:t xml:space="preserve">will recruit until </w:t>
      </w:r>
      <w:r w:rsidR="0014661B">
        <w:rPr>
          <w:rFonts w:ascii="Courier New" w:hAnsi="Courier New" w:cs="Courier New"/>
        </w:rPr>
        <w:t>40 respondents</w:t>
      </w:r>
      <w:r w:rsidRPr="004F1C30">
        <w:rPr>
          <w:rFonts w:ascii="Courier New" w:hAnsi="Courier New" w:cs="Courier New"/>
        </w:rPr>
        <w:t xml:space="preserve"> </w:t>
      </w:r>
      <w:r w:rsidR="0014661B">
        <w:rPr>
          <w:rFonts w:ascii="Courier New" w:hAnsi="Courier New" w:cs="Courier New"/>
        </w:rPr>
        <w:t xml:space="preserve">who are eligible have </w:t>
      </w:r>
      <w:r w:rsidR="00843469">
        <w:rPr>
          <w:rFonts w:ascii="Courier New" w:hAnsi="Courier New" w:cs="Courier New"/>
        </w:rPr>
        <w:t xml:space="preserve">been interviewed. </w:t>
      </w:r>
      <w:r w:rsidRPr="004F1C30">
        <w:rPr>
          <w:rFonts w:ascii="Courier New" w:hAnsi="Courier New" w:cs="Courier New"/>
        </w:rPr>
        <w:t xml:space="preserve">Through an informed consent process, </w:t>
      </w:r>
      <w:r w:rsidR="00843469">
        <w:rPr>
          <w:rFonts w:ascii="Courier New" w:hAnsi="Courier New" w:cs="Courier New"/>
        </w:rPr>
        <w:t>eligible</w:t>
      </w:r>
      <w:r w:rsidR="00843469" w:rsidRPr="004F1C30">
        <w:rPr>
          <w:rFonts w:ascii="Courier New" w:hAnsi="Courier New" w:cs="Courier New"/>
        </w:rPr>
        <w:t xml:space="preserve"> </w:t>
      </w:r>
      <w:r w:rsidRPr="004F1C30">
        <w:rPr>
          <w:rFonts w:ascii="Courier New" w:hAnsi="Courier New" w:cs="Courier New"/>
        </w:rPr>
        <w:t>persons wil</w:t>
      </w:r>
      <w:r w:rsidR="001572CF">
        <w:rPr>
          <w:rFonts w:ascii="Courier New" w:hAnsi="Courier New" w:cs="Courier New"/>
        </w:rPr>
        <w:t xml:space="preserve">l be asked to participate in a semi-structured in-depth telephone </w:t>
      </w:r>
      <w:r w:rsidRPr="004F1C30">
        <w:rPr>
          <w:rFonts w:ascii="Courier New" w:hAnsi="Courier New" w:cs="Courier New"/>
        </w:rPr>
        <w:t xml:space="preserve">interview. </w:t>
      </w:r>
    </w:p>
    <w:p w14:paraId="185A0709" w14:textId="4C797CA1" w:rsidR="00630577" w:rsidRPr="004F1C30" w:rsidRDefault="00630577"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14:paraId="4778992D" w14:textId="259320B2" w:rsidR="005B3E31" w:rsidRPr="00F75808"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u w:val="single"/>
        </w:rPr>
      </w:pPr>
      <w:r w:rsidRPr="00F75808">
        <w:rPr>
          <w:rFonts w:ascii="Courier New" w:hAnsi="Courier New" w:cs="Courier New"/>
          <w:u w:val="single"/>
        </w:rPr>
        <w:t>Participant inclusion criteria</w:t>
      </w:r>
    </w:p>
    <w:p w14:paraId="7899252B" w14:textId="77777777" w:rsidR="005B3E31" w:rsidRPr="00EF1EB2" w:rsidRDefault="005B3E31" w:rsidP="005B3E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
        </w:rPr>
      </w:pPr>
    </w:p>
    <w:p w14:paraId="7276E777" w14:textId="4F4F1840"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 xml:space="preserve">Some of the eligibility criteria </w:t>
      </w:r>
      <w:r w:rsidR="00A6412B">
        <w:rPr>
          <w:rFonts w:ascii="Courier New" w:hAnsi="Courier New" w:cs="Courier New"/>
        </w:rPr>
        <w:t xml:space="preserve">for this project </w:t>
      </w:r>
      <w:r w:rsidRPr="0069159E">
        <w:rPr>
          <w:rFonts w:ascii="Courier New" w:hAnsi="Courier New" w:cs="Courier New"/>
        </w:rPr>
        <w:t xml:space="preserve">mirror that of MMP, as respondents should have met MMP eligibility criteria to be considered for participation. To be eligible for MMP a person has to be diagnosed with HIV, aged ≥ 18 years and living in one of the 23 </w:t>
      </w:r>
      <w:r w:rsidR="00EC7E30">
        <w:rPr>
          <w:rFonts w:ascii="Courier New" w:hAnsi="Courier New" w:cs="Courier New"/>
        </w:rPr>
        <w:t xml:space="preserve">MMP </w:t>
      </w:r>
      <w:r w:rsidRPr="0069159E">
        <w:rPr>
          <w:rFonts w:ascii="Courier New" w:hAnsi="Courier New" w:cs="Courier New"/>
        </w:rPr>
        <w:t xml:space="preserve">project areas on the sampling date. Additionally, eligibility for this project will be determined based on responses to </w:t>
      </w:r>
      <w:r w:rsidR="00EC7E30">
        <w:rPr>
          <w:rFonts w:ascii="Courier New" w:hAnsi="Courier New" w:cs="Courier New"/>
        </w:rPr>
        <w:t xml:space="preserve">certain questions in </w:t>
      </w:r>
      <w:r w:rsidRPr="0069159E">
        <w:rPr>
          <w:rFonts w:ascii="Courier New" w:hAnsi="Courier New" w:cs="Courier New"/>
        </w:rPr>
        <w:t xml:space="preserve">the MMP questionnaire </w:t>
      </w:r>
      <w:r w:rsidRPr="0069159E">
        <w:rPr>
          <w:rFonts w:ascii="Courier New" w:hAnsi="Courier New" w:cs="Courier New"/>
        </w:rPr>
        <w:fldChar w:fldCharType="begin"/>
      </w:r>
      <w:r w:rsidRPr="0069159E">
        <w:rPr>
          <w:rFonts w:ascii="Courier New" w:hAnsi="Courier New" w:cs="Courier New"/>
        </w:rPr>
        <w:instrText xml:space="preserve"> ADDIN EN.CITE &lt;EndNote&gt;&lt;Cite&gt;&lt;Author&gt;Centers for Disease Control and Prevention&lt;/Author&gt;&lt;Year&gt;2017&lt;/Year&gt;&lt;RecNum&gt;33&lt;/RecNum&gt;&lt;DisplayText&gt;[22]&lt;/DisplayText&gt;&lt;record&gt;&lt;rec-number&gt;33&lt;/rec-number&gt;&lt;foreign-keys&gt;&lt;key app="EN" db-id="fz5st2sw79tte2erw9avtxfc20wpv9dteare" timestamp="1516387733"&gt;33&lt;/key&gt;&lt;/foreign-keys&gt;&lt;ref-type name="Web Page"&gt;12&lt;/ref-type&gt;&lt;contributors&gt;&lt;authors&gt;&lt;author&gt;Centers for Disease Control and Prevention,&lt;/author&gt;&lt;/authors&gt;&lt;/contributors&gt;&lt;titles&gt;&lt;title&gt;Medical Monitoring Project Resources&lt;/title&gt;&lt;short-title&gt;Questionnaire&lt;/short-title&gt;&lt;/titles&gt;&lt;dates&gt;&lt;year&gt;2017&lt;/year&gt;&lt;/dates&gt;&lt;urls&gt;&lt;related-urls&gt;&lt;url&gt;https://www.cdc.gov/hiv/statistics/systems/mmp/resources.html&lt;/url&gt;&lt;/related-urls&gt;&lt;/urls&gt;&lt;/record&gt;&lt;/Cite&gt;&lt;/EndNote&gt;</w:instrText>
      </w:r>
      <w:r w:rsidRPr="0069159E">
        <w:rPr>
          <w:rFonts w:ascii="Courier New" w:hAnsi="Courier New" w:cs="Courier New"/>
        </w:rPr>
        <w:fldChar w:fldCharType="separate"/>
      </w:r>
      <w:r w:rsidRPr="0069159E">
        <w:rPr>
          <w:rFonts w:ascii="Courier New" w:hAnsi="Courier New" w:cs="Courier New"/>
        </w:rPr>
        <w:t>[2</w:t>
      </w:r>
      <w:r w:rsidR="003121F3">
        <w:rPr>
          <w:rFonts w:ascii="Courier New" w:hAnsi="Courier New" w:cs="Courier New"/>
        </w:rPr>
        <w:t>3</w:t>
      </w:r>
      <w:r w:rsidRPr="0069159E">
        <w:rPr>
          <w:rFonts w:ascii="Courier New" w:hAnsi="Courier New" w:cs="Courier New"/>
        </w:rPr>
        <w:t>]</w:t>
      </w:r>
      <w:r w:rsidRPr="0069159E">
        <w:rPr>
          <w:rFonts w:ascii="Courier New" w:hAnsi="Courier New" w:cs="Courier New"/>
        </w:rPr>
        <w:fldChar w:fldCharType="end"/>
      </w:r>
      <w:r w:rsidRPr="0069159E">
        <w:rPr>
          <w:rFonts w:ascii="Courier New" w:hAnsi="Courier New" w:cs="Courier New"/>
        </w:rPr>
        <w:t>. Specifically, respondents must have:</w:t>
      </w:r>
    </w:p>
    <w:p w14:paraId="569ABC16"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092E7B93" w14:textId="4D120FF4" w:rsidR="0069159E" w:rsidRPr="0069159E" w:rsidRDefault="0069159E" w:rsidP="0069159E">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Been out of care for 12 months or more based on self-report to MMP question</w:t>
      </w:r>
      <w:r w:rsidR="00EC7E30">
        <w:rPr>
          <w:rFonts w:ascii="Courier New" w:hAnsi="Courier New" w:cs="Courier New"/>
        </w:rPr>
        <w:t>:</w:t>
      </w:r>
      <w:r w:rsidRPr="0069159E">
        <w:rPr>
          <w:rFonts w:ascii="Courier New" w:hAnsi="Courier New" w:cs="Courier New"/>
        </w:rPr>
        <w:t xml:space="preserve"> </w:t>
      </w:r>
    </w:p>
    <w:p w14:paraId="5747793D" w14:textId="77777777" w:rsidR="0069159E" w:rsidRPr="0069159E" w:rsidRDefault="0069159E" w:rsidP="0069159E">
      <w:pPr>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What month and year was your most recent visit to a doctor, nurse, or other healthcare worker for HIV care?</w:t>
      </w:r>
    </w:p>
    <w:p w14:paraId="6C02F3E5"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Or</w:t>
      </w:r>
    </w:p>
    <w:p w14:paraId="4853971F"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49D94EB6" w14:textId="48FAF2FC" w:rsidR="0069159E" w:rsidRPr="0069159E" w:rsidRDefault="0069159E" w:rsidP="0069159E">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 xml:space="preserve">Never received care based on self-report to MMP question </w:t>
      </w:r>
    </w:p>
    <w:p w14:paraId="30AD7CC7" w14:textId="4AAA8939" w:rsidR="0069159E" w:rsidRPr="0069159E" w:rsidRDefault="0069159E" w:rsidP="0069159E">
      <w:pPr>
        <w:numPr>
          <w:ilvl w:val="1"/>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Since testing positive for HIV in __ __/__ __ __ __ [INSERT date</w:t>
      </w:r>
      <w:r w:rsidR="00EE1B8F">
        <w:rPr>
          <w:rFonts w:ascii="Courier New" w:hAnsi="Courier New" w:cs="Courier New"/>
        </w:rPr>
        <w:t xml:space="preserve"> first tested positive for HIV]</w:t>
      </w:r>
      <w:r w:rsidRPr="0069159E">
        <w:rPr>
          <w:rFonts w:ascii="Courier New" w:hAnsi="Courier New" w:cs="Courier New"/>
        </w:rPr>
        <w:t>, have you ever seen a doctor, nurse, or other healthcare worker for HIV care?</w:t>
      </w:r>
    </w:p>
    <w:p w14:paraId="0A989DE9"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1BEEAF4A"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 xml:space="preserve">Interviews will be conducted in English only. Persons who speak do not speak English will not be eligible for participation. </w:t>
      </w:r>
    </w:p>
    <w:p w14:paraId="2EC773D7"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34B3BD4C" w14:textId="77777777" w:rsidR="0069159E" w:rsidRPr="0069159E" w:rsidRDefault="0069159E" w:rsidP="00691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69159E">
        <w:rPr>
          <w:rFonts w:ascii="Courier New" w:hAnsi="Courier New" w:cs="Courier New"/>
        </w:rPr>
        <w:t>Persons incarcerated at the time of the MMP interview who otherwise meet eligibility will be excluded from participation because access to HIV care and care-related issues for persons who are incarcerated are different from those who are not incarcerated. Additionally, due to an anticipated low number of eligible incarcerated persons, sufficient data would not be available to compare adequately the care of incarcerated persons to those who are not incarcerated.</w:t>
      </w:r>
    </w:p>
    <w:p w14:paraId="683C1EA9" w14:textId="7DD8DC71" w:rsidR="00281431" w:rsidRPr="004F1C30" w:rsidRDefault="00281431" w:rsidP="005342FB">
      <w:pPr>
        <w:rPr>
          <w:rFonts w:ascii="Courier New" w:hAnsi="Courier New" w:cs="Courier New"/>
        </w:rPr>
      </w:pPr>
    </w:p>
    <w:p w14:paraId="3DFF279B" w14:textId="33D4D15E" w:rsidR="00F75808" w:rsidRPr="00F75808"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u w:val="single"/>
        </w:rPr>
      </w:pPr>
      <w:r w:rsidRPr="00F75808">
        <w:rPr>
          <w:rFonts w:ascii="Courier New" w:hAnsi="Courier New" w:cs="Courier New"/>
          <w:u w:val="single"/>
        </w:rPr>
        <w:t xml:space="preserve">Selection of </w:t>
      </w:r>
      <w:r w:rsidR="00026893">
        <w:rPr>
          <w:rFonts w:ascii="Courier New" w:hAnsi="Courier New" w:cs="Courier New"/>
          <w:u w:val="single"/>
        </w:rPr>
        <w:t>r</w:t>
      </w:r>
      <w:r w:rsidRPr="00F75808">
        <w:rPr>
          <w:rFonts w:ascii="Courier New" w:hAnsi="Courier New" w:cs="Courier New"/>
          <w:u w:val="single"/>
        </w:rPr>
        <w:t>espondents</w:t>
      </w:r>
    </w:p>
    <w:p w14:paraId="009F2AD9" w14:textId="77777777" w:rsidR="00F75808"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p>
    <w:p w14:paraId="753B6985" w14:textId="77777777" w:rsidR="00F75808" w:rsidRPr="009A028D"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9A028D">
        <w:rPr>
          <w:rFonts w:ascii="Courier New" w:hAnsi="Courier New" w:cs="Courier New"/>
        </w:rPr>
        <w:t>Quota sampling will be used to identify and recruit MMP project respondents for participation in this project. Quota sampling is a tailored approach that accounts for potentially relevant variations in responses. The quota sampling strategy ensures inclusion from people who may have otherwise been underrepresented by convenience or purposive sampling.</w:t>
      </w:r>
    </w:p>
    <w:p w14:paraId="034C1758" w14:textId="77777777" w:rsidR="00F75808" w:rsidRPr="009A028D"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19284BEF" w14:textId="58E3481F" w:rsidR="00F75808" w:rsidRPr="009A028D"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9A028D">
        <w:rPr>
          <w:rFonts w:ascii="Courier New" w:hAnsi="Courier New" w:cs="Courier New"/>
        </w:rPr>
        <w:t xml:space="preserve">The quota sampling strategy will consider three characteristics as important for sampling strategy: race/ethnicity, length of time since last receipt of HIV care, and the region of </w:t>
      </w:r>
      <w:r w:rsidR="00E132FE" w:rsidRPr="009A028D">
        <w:rPr>
          <w:rFonts w:ascii="Courier New" w:hAnsi="Courier New" w:cs="Courier New"/>
        </w:rPr>
        <w:t>residence (</w:t>
      </w:r>
      <w:r w:rsidRPr="009A028D">
        <w:rPr>
          <w:rFonts w:ascii="Courier New" w:hAnsi="Courier New" w:cs="Courier New"/>
        </w:rPr>
        <w:t>at the time of the MMP interview</w:t>
      </w:r>
      <w:r w:rsidR="00E132FE">
        <w:rPr>
          <w:rFonts w:ascii="Courier New" w:hAnsi="Courier New" w:cs="Courier New"/>
        </w:rPr>
        <w:t>)</w:t>
      </w:r>
      <w:r w:rsidRPr="009A028D">
        <w:rPr>
          <w:rFonts w:ascii="Courier New" w:hAnsi="Courier New" w:cs="Courier New"/>
        </w:rPr>
        <w:t xml:space="preserve">. The combinations of these characteristics represent the profiles of people to be sampled for this project. These characteristics were chosen because these factors have been related to HIV disparities </w:t>
      </w:r>
      <w:r w:rsidRPr="009A028D">
        <w:rPr>
          <w:rFonts w:ascii="Courier New" w:hAnsi="Courier New" w:cs="Courier New"/>
        </w:rPr>
        <w:fldChar w:fldCharType="begin"/>
      </w:r>
      <w:r w:rsidRPr="009A028D">
        <w:rPr>
          <w:rFonts w:ascii="Courier New" w:hAnsi="Courier New" w:cs="Courier New"/>
        </w:rPr>
        <w:instrText xml:space="preserve"> ADDIN EN.CITE &lt;EndNote&gt;&lt;Cite ExcludeYear="1"&gt;&lt;Author&gt;Centers for Disease Control and Prevention&lt;/Author&gt;&lt;Year&gt;2016&lt;/Year&gt;&lt;RecNum&gt;99&lt;/RecNum&gt;&lt;DisplayText&gt;[23, 24]&lt;/DisplayText&gt;&lt;record&gt;&lt;rec-number&gt;99&lt;/rec-number&gt;&lt;foreign-keys&gt;&lt;key app="EN" db-id="pvfrfpzs9f2tveef5z959z2asxxzxdsrxpex" timestamp="1489244381"&gt;99&lt;/key&gt;&lt;/foreign-keys&gt;&lt;ref-type name="Journal Article"&gt;17&lt;/ref-type&gt;&lt;contributors&gt;&lt;authors&gt;&lt;author&gt;Centers for Disease Control and Prevention,&lt;/author&gt;&lt;/authors&gt;&lt;/contributors&gt;&lt;titles&gt;&lt;title&gt;HIV Surveillance Report, 2015&lt;/title&gt;&lt;/titles&gt;&lt;volume&gt;27&lt;/volume&gt;&lt;dates&gt;&lt;year&gt;2016&lt;/year&gt;&lt;/dates&gt;&lt;urls&gt;&lt;/urls&gt;&lt;/record&gt;&lt;/Cite&gt;&lt;Cite&gt;&lt;Author&gt;Centers for Disease Control and Prevention&lt;/Author&gt;&lt;Year&gt;2017&lt;/Year&gt;&lt;RecNum&gt;19&lt;/RecNum&gt;&lt;record&gt;&lt;rec-number&gt;19&lt;/rec-number&gt;&lt;foreign-keys&gt;&lt;key app="EN" db-id="xrtveez9p29frledtaqvv9xeee5da0aw00pv" timestamp="1517516944"&gt;19&lt;/key&gt;&lt;/foreign-keys&gt;&lt;ref-type name="Government Document"&gt;46&lt;/ref-type&gt;&lt;contributors&gt;&lt;authors&gt;&lt;author&gt;Centers for Disease Control and Prevention,&lt;/author&gt;&lt;/authors&gt;&lt;secondary-authors&gt;&lt;author&gt;Division of HIV/AIDS Prevention&lt;/author&gt;&lt;/secondary-authors&gt;&lt;/contributors&gt;&lt;titles&gt;&lt;title&gt;Division of HIV/AIDS Prevention Strategic Plan 2017 - 2020&lt;/title&gt;&lt;/titles&gt;&lt;pages&gt;1-25&lt;/pages&gt;&lt;dates&gt;&lt;year&gt;2017&lt;/year&gt;&lt;/dates&gt;&lt;urls&gt;&lt;related-urls&gt;&lt;url&gt;https://www.cdc.gov/hiv/pdf/dhap/cdc-hiv-dhap-external-strategic-plan.pdf&lt;/url&gt;&lt;/related-urls&gt;&lt;/urls&gt;&lt;/record&gt;&lt;/Cite&gt;&lt;/EndNote&gt;</w:instrText>
      </w:r>
      <w:r w:rsidRPr="009A028D">
        <w:rPr>
          <w:rFonts w:ascii="Courier New" w:hAnsi="Courier New" w:cs="Courier New"/>
        </w:rPr>
        <w:fldChar w:fldCharType="separate"/>
      </w:r>
      <w:r w:rsidRPr="009A028D">
        <w:rPr>
          <w:rFonts w:ascii="Courier New" w:hAnsi="Courier New" w:cs="Courier New"/>
        </w:rPr>
        <w:t>[2</w:t>
      </w:r>
      <w:r w:rsidR="003121F3">
        <w:rPr>
          <w:rFonts w:ascii="Courier New" w:hAnsi="Courier New" w:cs="Courier New"/>
        </w:rPr>
        <w:t>4</w:t>
      </w:r>
      <w:r w:rsidRPr="009A028D">
        <w:rPr>
          <w:rFonts w:ascii="Courier New" w:hAnsi="Courier New" w:cs="Courier New"/>
        </w:rPr>
        <w:t>, 2</w:t>
      </w:r>
      <w:r w:rsidR="003121F3">
        <w:rPr>
          <w:rFonts w:ascii="Courier New" w:hAnsi="Courier New" w:cs="Courier New"/>
        </w:rPr>
        <w:t>5</w:t>
      </w:r>
      <w:r w:rsidRPr="009A028D">
        <w:rPr>
          <w:rFonts w:ascii="Courier New" w:hAnsi="Courier New" w:cs="Courier New"/>
        </w:rPr>
        <w:t>]</w:t>
      </w:r>
      <w:r w:rsidRPr="009A028D">
        <w:rPr>
          <w:rFonts w:ascii="Courier New" w:hAnsi="Courier New" w:cs="Courier New"/>
        </w:rPr>
        <w:fldChar w:fldCharType="end"/>
      </w:r>
      <w:r w:rsidRPr="009A028D">
        <w:rPr>
          <w:rFonts w:ascii="Courier New" w:hAnsi="Courier New" w:cs="Courier New"/>
        </w:rPr>
        <w:t xml:space="preserve"> and we expect there to be some relevant variations in the experiences of people not in care who differ on these characteristics. </w:t>
      </w:r>
    </w:p>
    <w:p w14:paraId="39F5D5CF" w14:textId="77777777" w:rsidR="00F75808" w:rsidRPr="009A028D"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271849B5" w14:textId="17805607" w:rsidR="00F75808" w:rsidRPr="009A028D" w:rsidRDefault="00F75808" w:rsidP="00F758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9A028D">
        <w:rPr>
          <w:rFonts w:ascii="Courier New" w:hAnsi="Courier New" w:cs="Courier New"/>
        </w:rPr>
        <w:t xml:space="preserve">We aim to collect data from at least five MMP respondents for each profile described in the quota sampling strategy. Therefore, </w:t>
      </w:r>
      <w:r w:rsidR="00037B05">
        <w:rPr>
          <w:rFonts w:ascii="Courier New" w:hAnsi="Courier New" w:cs="Courier New"/>
        </w:rPr>
        <w:t>we</w:t>
      </w:r>
      <w:r w:rsidRPr="009A028D">
        <w:rPr>
          <w:rFonts w:ascii="Courier New" w:hAnsi="Courier New" w:cs="Courier New"/>
        </w:rPr>
        <w:t xml:space="preserve"> expect that 40 interviews will be required.</w:t>
      </w:r>
      <w:r w:rsidR="00733EF8" w:rsidRPr="00733EF8">
        <w:rPr>
          <w:rFonts w:ascii="Courier New" w:hAnsi="Courier New" w:cs="Courier New"/>
        </w:rPr>
        <w:t xml:space="preserve"> Persons who are eligible for this project will be identified to health department staff through a pop-up message display after the completion of a</w:t>
      </w:r>
      <w:r w:rsidR="00665DBE">
        <w:rPr>
          <w:rFonts w:ascii="Courier New" w:hAnsi="Courier New" w:cs="Courier New"/>
        </w:rPr>
        <w:t xml:space="preserve"> MMP</w:t>
      </w:r>
      <w:r w:rsidR="00733EF8" w:rsidRPr="00733EF8">
        <w:rPr>
          <w:rFonts w:ascii="Courier New" w:hAnsi="Courier New" w:cs="Courier New"/>
        </w:rPr>
        <w:t xml:space="preserve"> structured interview. </w:t>
      </w:r>
    </w:p>
    <w:p w14:paraId="2B002267" w14:textId="77777777" w:rsidR="00F75808" w:rsidRDefault="00F75808" w:rsidP="00281431">
      <w:pPr>
        <w:widowControl w:val="0"/>
        <w:autoSpaceDE w:val="0"/>
        <w:autoSpaceDN w:val="0"/>
        <w:adjustRightInd w:val="0"/>
        <w:rPr>
          <w:rFonts w:ascii="Courier New" w:hAnsi="Courier New" w:cs="Courier New"/>
          <w:u w:val="single"/>
        </w:rPr>
      </w:pPr>
    </w:p>
    <w:p w14:paraId="6C7DB165" w14:textId="2290E078" w:rsidR="00281431" w:rsidRPr="004F1C30" w:rsidRDefault="00281431" w:rsidP="00281431">
      <w:pPr>
        <w:widowControl w:val="0"/>
        <w:autoSpaceDE w:val="0"/>
        <w:autoSpaceDN w:val="0"/>
        <w:adjustRightInd w:val="0"/>
        <w:rPr>
          <w:rFonts w:ascii="Courier New" w:hAnsi="Courier New" w:cs="Courier New"/>
        </w:rPr>
      </w:pPr>
      <w:r w:rsidRPr="004F1C30">
        <w:rPr>
          <w:rFonts w:ascii="Courier New" w:hAnsi="Courier New" w:cs="Courier New"/>
          <w:u w:val="single"/>
        </w:rPr>
        <w:t>Expected response rates</w:t>
      </w:r>
    </w:p>
    <w:p w14:paraId="192A26F2" w14:textId="77777777" w:rsidR="00FE7B69" w:rsidRDefault="00FE7B69" w:rsidP="00281431">
      <w:pPr>
        <w:widowControl w:val="0"/>
        <w:autoSpaceDE w:val="0"/>
        <w:autoSpaceDN w:val="0"/>
        <w:adjustRightInd w:val="0"/>
        <w:rPr>
          <w:rFonts w:ascii="Courier New" w:hAnsi="Courier New" w:cs="Courier New"/>
        </w:rPr>
      </w:pPr>
    </w:p>
    <w:p w14:paraId="367C71CE" w14:textId="31710596" w:rsidR="0070745E" w:rsidRDefault="00BD3985" w:rsidP="00281431">
      <w:pPr>
        <w:widowControl w:val="0"/>
        <w:autoSpaceDE w:val="0"/>
        <w:autoSpaceDN w:val="0"/>
        <w:adjustRightInd w:val="0"/>
        <w:rPr>
          <w:rFonts w:ascii="Courier New" w:hAnsi="Courier New" w:cs="Courier New"/>
        </w:rPr>
      </w:pPr>
      <w:r>
        <w:rPr>
          <w:rFonts w:ascii="Courier New" w:hAnsi="Courier New" w:cs="Courier New"/>
        </w:rPr>
        <w:t xml:space="preserve">Since 2015, MMP has recruited people living with HIV who are out of care. Based on the number of people who self-reported during </w:t>
      </w:r>
      <w:r w:rsidR="0070745E">
        <w:rPr>
          <w:rFonts w:ascii="Courier New" w:hAnsi="Courier New" w:cs="Courier New"/>
        </w:rPr>
        <w:t xml:space="preserve">the MMP </w:t>
      </w:r>
      <w:r>
        <w:rPr>
          <w:rFonts w:ascii="Courier New" w:hAnsi="Courier New" w:cs="Courier New"/>
        </w:rPr>
        <w:t xml:space="preserve">structured interview that they never received care or were out of care for </w:t>
      </w:r>
      <w:r w:rsidR="00627546">
        <w:rPr>
          <w:rFonts w:ascii="Courier New" w:hAnsi="Courier New" w:cs="Courier New"/>
        </w:rPr>
        <w:t>12 months or more (n=105 in 2016; n=99 in 2015)</w:t>
      </w:r>
      <w:r w:rsidR="003648D9">
        <w:rPr>
          <w:rFonts w:ascii="Courier New" w:hAnsi="Courier New" w:cs="Courier New"/>
        </w:rPr>
        <w:t>, we expect at least 10</w:t>
      </w:r>
      <w:r w:rsidR="00627546">
        <w:rPr>
          <w:rFonts w:ascii="Courier New" w:hAnsi="Courier New" w:cs="Courier New"/>
        </w:rPr>
        <w:t xml:space="preserve">0 people to be eligible for this project in 2018. We intend to recruit 40 </w:t>
      </w:r>
      <w:r w:rsidR="0070745E">
        <w:rPr>
          <w:rFonts w:ascii="Courier New" w:hAnsi="Courier New" w:cs="Courier New"/>
        </w:rPr>
        <w:t xml:space="preserve">of those eligible </w:t>
      </w:r>
      <w:r w:rsidR="00627546">
        <w:rPr>
          <w:rFonts w:ascii="Courier New" w:hAnsi="Courier New" w:cs="Courier New"/>
        </w:rPr>
        <w:t xml:space="preserve">people to participate in semi-structured in-depth </w:t>
      </w:r>
      <w:r w:rsidR="0070745E">
        <w:rPr>
          <w:rFonts w:ascii="Courier New" w:hAnsi="Courier New" w:cs="Courier New"/>
        </w:rPr>
        <w:t xml:space="preserve">telephone </w:t>
      </w:r>
      <w:r w:rsidR="00627546">
        <w:rPr>
          <w:rFonts w:ascii="Courier New" w:hAnsi="Courier New" w:cs="Courier New"/>
        </w:rPr>
        <w:t xml:space="preserve">interviews. </w:t>
      </w:r>
    </w:p>
    <w:p w14:paraId="0A598CC7" w14:textId="77777777" w:rsidR="0070745E" w:rsidRDefault="0070745E" w:rsidP="00281431">
      <w:pPr>
        <w:widowControl w:val="0"/>
        <w:autoSpaceDE w:val="0"/>
        <w:autoSpaceDN w:val="0"/>
        <w:adjustRightInd w:val="0"/>
        <w:rPr>
          <w:rFonts w:ascii="Courier New" w:hAnsi="Courier New" w:cs="Courier New"/>
        </w:rPr>
      </w:pPr>
    </w:p>
    <w:p w14:paraId="2D0B609C" w14:textId="41DC477A" w:rsidR="00281431" w:rsidRPr="004F1C30" w:rsidRDefault="0070745E" w:rsidP="00281431">
      <w:pPr>
        <w:widowControl w:val="0"/>
        <w:autoSpaceDE w:val="0"/>
        <w:autoSpaceDN w:val="0"/>
        <w:adjustRightInd w:val="0"/>
        <w:rPr>
          <w:rFonts w:ascii="Courier New" w:hAnsi="Courier New" w:cs="Courier New"/>
        </w:rPr>
      </w:pPr>
      <w:r>
        <w:rPr>
          <w:rFonts w:ascii="Courier New" w:hAnsi="Courier New" w:cs="Courier New"/>
        </w:rPr>
        <w:t xml:space="preserve">A sample size of 40 </w:t>
      </w:r>
      <w:r w:rsidR="00627546">
        <w:rPr>
          <w:rFonts w:ascii="Courier New" w:hAnsi="Courier New" w:cs="Courier New"/>
        </w:rPr>
        <w:t xml:space="preserve">assumes a 40% participation rate </w:t>
      </w:r>
      <w:r w:rsidR="00C12AA4">
        <w:rPr>
          <w:rFonts w:ascii="Courier New" w:hAnsi="Courier New" w:cs="Courier New"/>
        </w:rPr>
        <w:t xml:space="preserve">among people who are eligible for this project. Qualitative </w:t>
      </w:r>
      <w:r w:rsidR="008D4703">
        <w:rPr>
          <w:rFonts w:ascii="Courier New" w:hAnsi="Courier New" w:cs="Courier New"/>
        </w:rPr>
        <w:t>studies</w:t>
      </w:r>
      <w:r w:rsidR="00C12AA4">
        <w:rPr>
          <w:rFonts w:ascii="Courier New" w:hAnsi="Courier New" w:cs="Courier New"/>
        </w:rPr>
        <w:t xml:space="preserve"> typically </w:t>
      </w:r>
      <w:r w:rsidR="004F1680">
        <w:rPr>
          <w:rFonts w:ascii="Courier New" w:hAnsi="Courier New" w:cs="Courier New"/>
        </w:rPr>
        <w:t>have</w:t>
      </w:r>
      <w:r w:rsidR="008D4703">
        <w:rPr>
          <w:rFonts w:ascii="Courier New" w:hAnsi="Courier New" w:cs="Courier New"/>
        </w:rPr>
        <w:t xml:space="preserve"> a smaller number of respondents compared to survey research. Previous research has indicated that it is possible to reach data saturation after 7-12 interviews and meaning saturation </w:t>
      </w:r>
      <w:r w:rsidR="00987073">
        <w:rPr>
          <w:rFonts w:ascii="Courier New" w:hAnsi="Courier New" w:cs="Courier New"/>
        </w:rPr>
        <w:t>after</w:t>
      </w:r>
      <w:r w:rsidR="00B2685E">
        <w:rPr>
          <w:rFonts w:ascii="Courier New" w:hAnsi="Courier New" w:cs="Courier New"/>
        </w:rPr>
        <w:t xml:space="preserve"> 13-24 interviews for more difficult concepts</w:t>
      </w:r>
      <w:r w:rsidR="003121F3">
        <w:rPr>
          <w:rFonts w:ascii="Courier New" w:hAnsi="Courier New" w:cs="Courier New"/>
        </w:rPr>
        <w:t xml:space="preserve"> [26]</w:t>
      </w:r>
      <w:r w:rsidR="00B2685E">
        <w:rPr>
          <w:rFonts w:ascii="Courier New" w:hAnsi="Courier New" w:cs="Courier New"/>
        </w:rPr>
        <w:t xml:space="preserve">. </w:t>
      </w:r>
      <w:r w:rsidR="00C05DC3">
        <w:rPr>
          <w:rFonts w:ascii="Courier New" w:hAnsi="Courier New" w:cs="Courier New"/>
        </w:rPr>
        <w:t xml:space="preserve">With our intended sample of 40 people, we expect to reach data and meaning saturation while accounting for possible non-participation from people who are eligible for this project. </w:t>
      </w:r>
    </w:p>
    <w:p w14:paraId="3A2CF6DA" w14:textId="4A71B12D" w:rsidR="00281431" w:rsidRPr="004F1C30" w:rsidRDefault="00281431" w:rsidP="00281431">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ab/>
      </w:r>
    </w:p>
    <w:p w14:paraId="0FC7FF6D" w14:textId="1E658605" w:rsidR="00281431" w:rsidRPr="004F1C30" w:rsidRDefault="00281431" w:rsidP="00DA2D86">
      <w:pPr>
        <w:widowControl w:val="0"/>
        <w:tabs>
          <w:tab w:val="left" w:pos="1320"/>
        </w:tabs>
        <w:autoSpaceDE w:val="0"/>
        <w:autoSpaceDN w:val="0"/>
        <w:adjustRightInd w:val="0"/>
        <w:rPr>
          <w:rFonts w:ascii="Courier New" w:hAnsi="Courier New" w:cs="Courier New"/>
        </w:rPr>
      </w:pPr>
      <w:r w:rsidRPr="004F1C30">
        <w:rPr>
          <w:rFonts w:ascii="Courier New" w:hAnsi="Courier New" w:cs="Courier New"/>
        </w:rPr>
        <w:t>Table B</w:t>
      </w:r>
      <w:r w:rsidR="00A901B0">
        <w:rPr>
          <w:rFonts w:ascii="Courier New" w:hAnsi="Courier New" w:cs="Courier New"/>
        </w:rPr>
        <w:t>1</w:t>
      </w:r>
      <w:r w:rsidRPr="004F1C30">
        <w:rPr>
          <w:rFonts w:ascii="Courier New" w:hAnsi="Courier New" w:cs="Courier New"/>
        </w:rPr>
        <w:t>: Expected Response Rates and Sample Size</w:t>
      </w:r>
    </w:p>
    <w:tbl>
      <w:tblPr>
        <w:tblW w:w="10366" w:type="dxa"/>
        <w:tblLook w:val="04A0" w:firstRow="1" w:lastRow="0" w:firstColumn="1" w:lastColumn="0" w:noHBand="0" w:noVBand="1"/>
      </w:tblPr>
      <w:tblGrid>
        <w:gridCol w:w="2065"/>
        <w:gridCol w:w="961"/>
        <w:gridCol w:w="961"/>
        <w:gridCol w:w="961"/>
        <w:gridCol w:w="961"/>
        <w:gridCol w:w="961"/>
        <w:gridCol w:w="961"/>
        <w:gridCol w:w="961"/>
        <w:gridCol w:w="961"/>
        <w:gridCol w:w="613"/>
      </w:tblGrid>
      <w:tr w:rsidR="008963DF" w:rsidRPr="00991DC3" w14:paraId="1AF22A8F" w14:textId="77777777" w:rsidTr="00991DC3">
        <w:trPr>
          <w:trHeight w:val="300"/>
        </w:trPr>
        <w:tc>
          <w:tcPr>
            <w:tcW w:w="2065" w:type="dxa"/>
            <w:tcBorders>
              <w:top w:val="single" w:sz="4" w:space="0" w:color="auto"/>
              <w:left w:val="nil"/>
              <w:bottom w:val="nil"/>
              <w:right w:val="nil"/>
            </w:tcBorders>
            <w:shd w:val="clear" w:color="auto" w:fill="auto"/>
            <w:noWrap/>
            <w:vAlign w:val="bottom"/>
            <w:hideMark/>
          </w:tcPr>
          <w:p w14:paraId="1D156FA2" w14:textId="77777777" w:rsidR="008963DF" w:rsidRPr="00991DC3" w:rsidRDefault="008963DF" w:rsidP="00995536">
            <w:pPr>
              <w:rPr>
                <w:rFonts w:ascii="Courier New" w:hAnsi="Courier New" w:cs="Courier New"/>
                <w:sz w:val="22"/>
                <w:szCs w:val="22"/>
              </w:rPr>
            </w:pPr>
            <w:r w:rsidRPr="00991DC3">
              <w:rPr>
                <w:rFonts w:ascii="Courier New" w:hAnsi="Courier New" w:cs="Courier New"/>
                <w:sz w:val="22"/>
                <w:szCs w:val="22"/>
              </w:rPr>
              <w:t>Length of time without care</w:t>
            </w:r>
          </w:p>
        </w:tc>
        <w:tc>
          <w:tcPr>
            <w:tcW w:w="3844" w:type="dxa"/>
            <w:gridSpan w:val="4"/>
            <w:tcBorders>
              <w:top w:val="single" w:sz="4" w:space="0" w:color="auto"/>
              <w:left w:val="nil"/>
              <w:bottom w:val="single" w:sz="4" w:space="0" w:color="auto"/>
              <w:right w:val="nil"/>
            </w:tcBorders>
            <w:shd w:val="clear" w:color="auto" w:fill="auto"/>
            <w:noWrap/>
            <w:vAlign w:val="bottom"/>
            <w:hideMark/>
          </w:tcPr>
          <w:p w14:paraId="5A686980"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12 ≥ months ≤ 23</w:t>
            </w:r>
          </w:p>
        </w:tc>
        <w:tc>
          <w:tcPr>
            <w:tcW w:w="3844" w:type="dxa"/>
            <w:gridSpan w:val="4"/>
            <w:tcBorders>
              <w:top w:val="single" w:sz="4" w:space="0" w:color="auto"/>
              <w:left w:val="nil"/>
              <w:bottom w:val="single" w:sz="4" w:space="0" w:color="auto"/>
              <w:right w:val="nil"/>
            </w:tcBorders>
            <w:shd w:val="clear" w:color="auto" w:fill="auto"/>
            <w:noWrap/>
            <w:vAlign w:val="bottom"/>
            <w:hideMark/>
          </w:tcPr>
          <w:p w14:paraId="72A4308F"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≥24 months or never in care</w:t>
            </w:r>
          </w:p>
        </w:tc>
        <w:tc>
          <w:tcPr>
            <w:tcW w:w="613" w:type="dxa"/>
            <w:tcBorders>
              <w:top w:val="single" w:sz="4" w:space="0" w:color="auto"/>
              <w:left w:val="nil"/>
              <w:bottom w:val="nil"/>
              <w:right w:val="nil"/>
            </w:tcBorders>
            <w:shd w:val="clear" w:color="auto" w:fill="auto"/>
            <w:noWrap/>
            <w:vAlign w:val="bottom"/>
            <w:hideMark/>
          </w:tcPr>
          <w:p w14:paraId="1FE7CEB8" w14:textId="77777777" w:rsidR="008963DF" w:rsidRPr="00991DC3" w:rsidRDefault="008963DF" w:rsidP="00995536">
            <w:pPr>
              <w:rPr>
                <w:rFonts w:ascii="Courier New" w:hAnsi="Courier New" w:cs="Courier New"/>
                <w:sz w:val="22"/>
                <w:szCs w:val="22"/>
              </w:rPr>
            </w:pPr>
          </w:p>
        </w:tc>
      </w:tr>
      <w:tr w:rsidR="00991DC3" w:rsidRPr="00991DC3" w14:paraId="472C2586" w14:textId="77777777" w:rsidTr="00991DC3">
        <w:trPr>
          <w:trHeight w:val="300"/>
        </w:trPr>
        <w:tc>
          <w:tcPr>
            <w:tcW w:w="2065" w:type="dxa"/>
            <w:tcBorders>
              <w:top w:val="nil"/>
              <w:left w:val="nil"/>
              <w:bottom w:val="nil"/>
              <w:right w:val="nil"/>
            </w:tcBorders>
            <w:shd w:val="clear" w:color="auto" w:fill="auto"/>
            <w:noWrap/>
            <w:vAlign w:val="bottom"/>
            <w:hideMark/>
          </w:tcPr>
          <w:p w14:paraId="57576EE3" w14:textId="77777777" w:rsidR="008963DF" w:rsidRPr="00991DC3" w:rsidRDefault="008963DF" w:rsidP="00995536">
            <w:pPr>
              <w:rPr>
                <w:rFonts w:ascii="Courier New" w:hAnsi="Courier New" w:cs="Courier New"/>
                <w:sz w:val="22"/>
                <w:szCs w:val="22"/>
              </w:rPr>
            </w:pPr>
            <w:r w:rsidRPr="00991DC3">
              <w:rPr>
                <w:rFonts w:ascii="Courier New" w:hAnsi="Courier New" w:cs="Courier New"/>
                <w:sz w:val="22"/>
                <w:szCs w:val="22"/>
              </w:rPr>
              <w:t>Race/Ethnicity</w:t>
            </w:r>
          </w:p>
        </w:tc>
        <w:tc>
          <w:tcPr>
            <w:tcW w:w="1922" w:type="dxa"/>
            <w:gridSpan w:val="2"/>
            <w:tcBorders>
              <w:top w:val="single" w:sz="4" w:space="0" w:color="auto"/>
              <w:left w:val="nil"/>
              <w:bottom w:val="single" w:sz="4" w:space="0" w:color="auto"/>
              <w:right w:val="nil"/>
            </w:tcBorders>
            <w:shd w:val="clear" w:color="auto" w:fill="auto"/>
            <w:noWrap/>
            <w:vAlign w:val="bottom"/>
            <w:hideMark/>
          </w:tcPr>
          <w:p w14:paraId="5045EA7B" w14:textId="77777777" w:rsidR="008963DF" w:rsidRPr="00991DC3" w:rsidRDefault="008963DF" w:rsidP="00995536">
            <w:pPr>
              <w:jc w:val="center"/>
              <w:rPr>
                <w:rFonts w:ascii="Courier New" w:hAnsi="Courier New" w:cs="Courier New"/>
                <w:sz w:val="22"/>
                <w:szCs w:val="22"/>
              </w:rPr>
            </w:pPr>
            <w:r w:rsidRPr="00991DC3">
              <w:rPr>
                <w:rFonts w:ascii="Courier New" w:hAnsi="Courier New" w:cs="Courier New"/>
                <w:sz w:val="22"/>
                <w:szCs w:val="22"/>
              </w:rPr>
              <w:t>Black, non-Hispanic</w:t>
            </w:r>
          </w:p>
        </w:tc>
        <w:tc>
          <w:tcPr>
            <w:tcW w:w="1922" w:type="dxa"/>
            <w:gridSpan w:val="2"/>
            <w:tcBorders>
              <w:top w:val="single" w:sz="4" w:space="0" w:color="auto"/>
              <w:left w:val="nil"/>
              <w:bottom w:val="single" w:sz="4" w:space="0" w:color="auto"/>
              <w:right w:val="nil"/>
            </w:tcBorders>
            <w:shd w:val="clear" w:color="auto" w:fill="auto"/>
            <w:noWrap/>
            <w:vAlign w:val="bottom"/>
            <w:hideMark/>
          </w:tcPr>
          <w:p w14:paraId="25415FBB"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Non-black</w:t>
            </w:r>
          </w:p>
        </w:tc>
        <w:tc>
          <w:tcPr>
            <w:tcW w:w="1922" w:type="dxa"/>
            <w:gridSpan w:val="2"/>
            <w:tcBorders>
              <w:top w:val="single" w:sz="4" w:space="0" w:color="auto"/>
              <w:left w:val="nil"/>
              <w:bottom w:val="single" w:sz="4" w:space="0" w:color="auto"/>
              <w:right w:val="nil"/>
            </w:tcBorders>
            <w:shd w:val="clear" w:color="auto" w:fill="auto"/>
            <w:noWrap/>
            <w:vAlign w:val="bottom"/>
            <w:hideMark/>
          </w:tcPr>
          <w:p w14:paraId="580243C0"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Black, non-Hispanic</w:t>
            </w:r>
          </w:p>
        </w:tc>
        <w:tc>
          <w:tcPr>
            <w:tcW w:w="1922" w:type="dxa"/>
            <w:gridSpan w:val="2"/>
            <w:tcBorders>
              <w:top w:val="single" w:sz="4" w:space="0" w:color="auto"/>
              <w:left w:val="nil"/>
              <w:bottom w:val="single" w:sz="4" w:space="0" w:color="auto"/>
              <w:right w:val="nil"/>
            </w:tcBorders>
            <w:shd w:val="clear" w:color="auto" w:fill="auto"/>
            <w:noWrap/>
            <w:vAlign w:val="bottom"/>
            <w:hideMark/>
          </w:tcPr>
          <w:p w14:paraId="69EE0D24" w14:textId="77777777" w:rsidR="008963DF" w:rsidRPr="00991DC3" w:rsidRDefault="008963DF" w:rsidP="00163FDB">
            <w:pPr>
              <w:jc w:val="center"/>
              <w:rPr>
                <w:rFonts w:ascii="Courier New" w:hAnsi="Courier New" w:cs="Courier New"/>
                <w:sz w:val="22"/>
                <w:szCs w:val="22"/>
              </w:rPr>
            </w:pPr>
            <w:r w:rsidRPr="00991DC3">
              <w:rPr>
                <w:rFonts w:ascii="Courier New" w:hAnsi="Courier New" w:cs="Courier New"/>
                <w:sz w:val="22"/>
                <w:szCs w:val="22"/>
              </w:rPr>
              <w:t>Non-black</w:t>
            </w:r>
          </w:p>
        </w:tc>
        <w:tc>
          <w:tcPr>
            <w:tcW w:w="613" w:type="dxa"/>
            <w:tcBorders>
              <w:top w:val="nil"/>
              <w:left w:val="nil"/>
              <w:bottom w:val="nil"/>
              <w:right w:val="nil"/>
            </w:tcBorders>
            <w:shd w:val="clear" w:color="auto" w:fill="auto"/>
            <w:noWrap/>
            <w:vAlign w:val="bottom"/>
            <w:hideMark/>
          </w:tcPr>
          <w:p w14:paraId="6C7B0999" w14:textId="77777777" w:rsidR="008963DF" w:rsidRPr="00991DC3" w:rsidRDefault="008963DF" w:rsidP="00995536">
            <w:pPr>
              <w:rPr>
                <w:rFonts w:ascii="Courier New" w:hAnsi="Courier New" w:cs="Courier New"/>
                <w:sz w:val="22"/>
                <w:szCs w:val="22"/>
              </w:rPr>
            </w:pPr>
          </w:p>
        </w:tc>
      </w:tr>
      <w:tr w:rsidR="00514EA7" w:rsidRPr="00991DC3" w14:paraId="0C5C757B" w14:textId="77777777" w:rsidTr="00514EA7">
        <w:trPr>
          <w:trHeight w:val="300"/>
        </w:trPr>
        <w:tc>
          <w:tcPr>
            <w:tcW w:w="2065" w:type="dxa"/>
            <w:tcBorders>
              <w:top w:val="nil"/>
              <w:left w:val="nil"/>
              <w:bottom w:val="nil"/>
              <w:right w:val="nil"/>
            </w:tcBorders>
            <w:shd w:val="clear" w:color="auto" w:fill="auto"/>
            <w:noWrap/>
            <w:vAlign w:val="bottom"/>
            <w:hideMark/>
          </w:tcPr>
          <w:p w14:paraId="03A851BC" w14:textId="77777777" w:rsidR="008963DF" w:rsidRPr="00991DC3" w:rsidRDefault="008963DF" w:rsidP="00995536">
            <w:pPr>
              <w:rPr>
                <w:rFonts w:ascii="Courier New" w:hAnsi="Courier New" w:cs="Courier New"/>
                <w:sz w:val="22"/>
                <w:szCs w:val="22"/>
              </w:rPr>
            </w:pPr>
            <w:r w:rsidRPr="00991DC3">
              <w:rPr>
                <w:rFonts w:ascii="Courier New" w:hAnsi="Courier New" w:cs="Courier New"/>
                <w:sz w:val="22"/>
                <w:szCs w:val="22"/>
              </w:rPr>
              <w:t>Region</w:t>
            </w:r>
          </w:p>
        </w:tc>
        <w:tc>
          <w:tcPr>
            <w:tcW w:w="961" w:type="dxa"/>
            <w:tcBorders>
              <w:top w:val="nil"/>
              <w:left w:val="nil"/>
              <w:bottom w:val="single" w:sz="4" w:space="0" w:color="auto"/>
              <w:right w:val="nil"/>
            </w:tcBorders>
            <w:shd w:val="clear" w:color="auto" w:fill="auto"/>
            <w:noWrap/>
            <w:vAlign w:val="bottom"/>
            <w:hideMark/>
          </w:tcPr>
          <w:p w14:paraId="6B545AC8" w14:textId="77777777" w:rsidR="008963DF" w:rsidRPr="00991DC3" w:rsidRDefault="008963DF" w:rsidP="00995536">
            <w:pPr>
              <w:jc w:val="center"/>
              <w:rPr>
                <w:rFonts w:ascii="Courier New" w:hAnsi="Courier New" w:cs="Courier New"/>
                <w:sz w:val="22"/>
                <w:szCs w:val="22"/>
                <w:vertAlign w:val="superscript"/>
              </w:rPr>
            </w:pPr>
            <w:r w:rsidRPr="00991DC3">
              <w:rPr>
                <w:rFonts w:ascii="Courier New" w:hAnsi="Courier New" w:cs="Courier New"/>
                <w:sz w:val="22"/>
                <w:szCs w:val="22"/>
              </w:rPr>
              <w:t>South</w:t>
            </w:r>
            <w:r w:rsidRPr="00991DC3">
              <w:rPr>
                <w:rFonts w:ascii="Courier New" w:hAnsi="Courier New" w:cs="Courier New"/>
                <w:sz w:val="22"/>
                <w:szCs w:val="22"/>
                <w:vertAlign w:val="superscript"/>
              </w:rPr>
              <w:t>a</w:t>
            </w:r>
          </w:p>
        </w:tc>
        <w:tc>
          <w:tcPr>
            <w:tcW w:w="961" w:type="dxa"/>
            <w:tcBorders>
              <w:top w:val="nil"/>
              <w:left w:val="nil"/>
              <w:bottom w:val="single" w:sz="4" w:space="0" w:color="auto"/>
              <w:right w:val="nil"/>
            </w:tcBorders>
            <w:shd w:val="clear" w:color="auto" w:fill="auto"/>
            <w:noWrap/>
            <w:vAlign w:val="bottom"/>
            <w:hideMark/>
          </w:tcPr>
          <w:p w14:paraId="1E2BA16C" w14:textId="77777777" w:rsidR="008963DF" w:rsidRPr="00991DC3" w:rsidRDefault="008963DF" w:rsidP="00995536">
            <w:pPr>
              <w:jc w:val="center"/>
              <w:rPr>
                <w:rFonts w:ascii="Courier New" w:hAnsi="Courier New" w:cs="Courier New"/>
                <w:sz w:val="22"/>
                <w:szCs w:val="22"/>
                <w:vertAlign w:val="superscript"/>
              </w:rPr>
            </w:pPr>
            <w:r w:rsidRPr="00991DC3">
              <w:rPr>
                <w:rFonts w:ascii="Courier New" w:hAnsi="Courier New" w:cs="Courier New"/>
                <w:sz w:val="22"/>
                <w:szCs w:val="22"/>
              </w:rPr>
              <w:t>Other</w:t>
            </w:r>
            <w:r w:rsidRPr="00991DC3">
              <w:rPr>
                <w:rFonts w:ascii="Courier New" w:hAnsi="Courier New" w:cs="Courier New"/>
                <w:sz w:val="22"/>
                <w:szCs w:val="22"/>
                <w:vertAlign w:val="superscript"/>
              </w:rPr>
              <w:t>b</w:t>
            </w:r>
          </w:p>
        </w:tc>
        <w:tc>
          <w:tcPr>
            <w:tcW w:w="961" w:type="dxa"/>
            <w:tcBorders>
              <w:top w:val="nil"/>
              <w:left w:val="nil"/>
              <w:bottom w:val="single" w:sz="4" w:space="0" w:color="auto"/>
              <w:right w:val="nil"/>
            </w:tcBorders>
            <w:shd w:val="clear" w:color="auto" w:fill="auto"/>
            <w:noWrap/>
            <w:vAlign w:val="bottom"/>
            <w:hideMark/>
          </w:tcPr>
          <w:p w14:paraId="0ADC5BF8" w14:textId="77777777" w:rsidR="008963DF" w:rsidRPr="00991DC3" w:rsidRDefault="008963DF" w:rsidP="00514EA7">
            <w:pPr>
              <w:jc w:val="center"/>
              <w:rPr>
                <w:rFonts w:ascii="Courier New" w:hAnsi="Courier New" w:cs="Courier New"/>
                <w:sz w:val="22"/>
                <w:szCs w:val="22"/>
                <w:vertAlign w:val="superscript"/>
              </w:rPr>
            </w:pPr>
            <w:r w:rsidRPr="00991DC3">
              <w:rPr>
                <w:rFonts w:ascii="Courier New" w:hAnsi="Courier New" w:cs="Courier New"/>
                <w:sz w:val="22"/>
                <w:szCs w:val="22"/>
              </w:rPr>
              <w:t>South</w:t>
            </w:r>
            <w:r w:rsidRPr="00991DC3">
              <w:rPr>
                <w:rFonts w:ascii="Courier New" w:hAnsi="Courier New" w:cs="Courier New"/>
                <w:sz w:val="22"/>
                <w:szCs w:val="22"/>
                <w:vertAlign w:val="superscript"/>
              </w:rPr>
              <w:t>a</w:t>
            </w:r>
          </w:p>
        </w:tc>
        <w:tc>
          <w:tcPr>
            <w:tcW w:w="961" w:type="dxa"/>
            <w:tcBorders>
              <w:top w:val="nil"/>
              <w:left w:val="nil"/>
              <w:bottom w:val="single" w:sz="4" w:space="0" w:color="auto"/>
              <w:right w:val="nil"/>
            </w:tcBorders>
            <w:shd w:val="clear" w:color="auto" w:fill="auto"/>
            <w:noWrap/>
            <w:vAlign w:val="bottom"/>
            <w:hideMark/>
          </w:tcPr>
          <w:p w14:paraId="42C0E141" w14:textId="77777777" w:rsidR="008963DF" w:rsidRPr="00991DC3" w:rsidRDefault="008963DF" w:rsidP="00514EA7">
            <w:pPr>
              <w:jc w:val="center"/>
              <w:rPr>
                <w:rFonts w:ascii="Courier New" w:hAnsi="Courier New" w:cs="Courier New"/>
                <w:sz w:val="22"/>
                <w:szCs w:val="22"/>
                <w:vertAlign w:val="superscript"/>
              </w:rPr>
            </w:pPr>
            <w:r w:rsidRPr="00991DC3">
              <w:rPr>
                <w:rFonts w:ascii="Courier New" w:hAnsi="Courier New" w:cs="Courier New"/>
                <w:sz w:val="22"/>
                <w:szCs w:val="22"/>
              </w:rPr>
              <w:t>Other</w:t>
            </w:r>
            <w:r w:rsidRPr="00991DC3">
              <w:rPr>
                <w:rFonts w:ascii="Courier New" w:hAnsi="Courier New" w:cs="Courier New"/>
                <w:sz w:val="22"/>
                <w:szCs w:val="22"/>
                <w:vertAlign w:val="superscript"/>
              </w:rPr>
              <w:t>b</w:t>
            </w:r>
          </w:p>
        </w:tc>
        <w:tc>
          <w:tcPr>
            <w:tcW w:w="961" w:type="dxa"/>
            <w:tcBorders>
              <w:top w:val="nil"/>
              <w:left w:val="nil"/>
              <w:bottom w:val="single" w:sz="4" w:space="0" w:color="auto"/>
              <w:right w:val="nil"/>
            </w:tcBorders>
            <w:shd w:val="clear" w:color="auto" w:fill="auto"/>
            <w:noWrap/>
            <w:vAlign w:val="bottom"/>
            <w:hideMark/>
          </w:tcPr>
          <w:p w14:paraId="7C8E623C" w14:textId="77777777" w:rsidR="008963DF" w:rsidRPr="00991DC3" w:rsidRDefault="008963DF" w:rsidP="00163FDB">
            <w:pPr>
              <w:jc w:val="center"/>
              <w:rPr>
                <w:rFonts w:ascii="Courier New" w:hAnsi="Courier New" w:cs="Courier New"/>
                <w:sz w:val="22"/>
                <w:szCs w:val="22"/>
                <w:vertAlign w:val="superscript"/>
              </w:rPr>
            </w:pPr>
            <w:r w:rsidRPr="00991DC3">
              <w:rPr>
                <w:rFonts w:ascii="Courier New" w:hAnsi="Courier New" w:cs="Courier New"/>
                <w:sz w:val="22"/>
                <w:szCs w:val="22"/>
              </w:rPr>
              <w:t>South</w:t>
            </w:r>
            <w:r w:rsidRPr="00991DC3">
              <w:rPr>
                <w:rFonts w:ascii="Courier New" w:hAnsi="Courier New" w:cs="Courier New"/>
                <w:sz w:val="22"/>
                <w:szCs w:val="22"/>
                <w:vertAlign w:val="superscript"/>
              </w:rPr>
              <w:t>a</w:t>
            </w:r>
          </w:p>
        </w:tc>
        <w:tc>
          <w:tcPr>
            <w:tcW w:w="961" w:type="dxa"/>
            <w:tcBorders>
              <w:top w:val="nil"/>
              <w:left w:val="nil"/>
              <w:bottom w:val="single" w:sz="4" w:space="0" w:color="auto"/>
              <w:right w:val="nil"/>
            </w:tcBorders>
            <w:shd w:val="clear" w:color="auto" w:fill="auto"/>
            <w:noWrap/>
            <w:vAlign w:val="bottom"/>
            <w:hideMark/>
          </w:tcPr>
          <w:p w14:paraId="7D5BA003" w14:textId="77777777" w:rsidR="008963DF" w:rsidRPr="00991DC3" w:rsidRDefault="008963DF" w:rsidP="00D31930">
            <w:pPr>
              <w:jc w:val="center"/>
              <w:rPr>
                <w:rFonts w:ascii="Courier New" w:hAnsi="Courier New" w:cs="Courier New"/>
                <w:sz w:val="22"/>
                <w:szCs w:val="22"/>
                <w:vertAlign w:val="superscript"/>
              </w:rPr>
            </w:pPr>
            <w:r w:rsidRPr="00991DC3">
              <w:rPr>
                <w:rFonts w:ascii="Courier New" w:hAnsi="Courier New" w:cs="Courier New"/>
                <w:sz w:val="22"/>
                <w:szCs w:val="22"/>
              </w:rPr>
              <w:t>Other</w:t>
            </w:r>
            <w:r w:rsidRPr="00991DC3">
              <w:rPr>
                <w:rFonts w:ascii="Courier New" w:hAnsi="Courier New" w:cs="Courier New"/>
                <w:sz w:val="22"/>
                <w:szCs w:val="22"/>
                <w:vertAlign w:val="superscript"/>
              </w:rPr>
              <w:t>b</w:t>
            </w:r>
          </w:p>
        </w:tc>
        <w:tc>
          <w:tcPr>
            <w:tcW w:w="961" w:type="dxa"/>
            <w:tcBorders>
              <w:top w:val="nil"/>
              <w:left w:val="nil"/>
              <w:bottom w:val="single" w:sz="4" w:space="0" w:color="auto"/>
              <w:right w:val="nil"/>
            </w:tcBorders>
            <w:shd w:val="clear" w:color="auto" w:fill="auto"/>
            <w:noWrap/>
            <w:vAlign w:val="bottom"/>
            <w:hideMark/>
          </w:tcPr>
          <w:p w14:paraId="3F169BFC" w14:textId="77777777" w:rsidR="008963DF" w:rsidRPr="00991DC3" w:rsidRDefault="008963DF" w:rsidP="00991DC3">
            <w:pPr>
              <w:jc w:val="center"/>
              <w:rPr>
                <w:rFonts w:ascii="Courier New" w:hAnsi="Courier New" w:cs="Courier New"/>
                <w:sz w:val="22"/>
                <w:szCs w:val="22"/>
                <w:vertAlign w:val="superscript"/>
              </w:rPr>
            </w:pPr>
            <w:r w:rsidRPr="00991DC3">
              <w:rPr>
                <w:rFonts w:ascii="Courier New" w:hAnsi="Courier New" w:cs="Courier New"/>
                <w:sz w:val="22"/>
                <w:szCs w:val="22"/>
              </w:rPr>
              <w:t>South</w:t>
            </w:r>
            <w:r w:rsidRPr="00991DC3">
              <w:rPr>
                <w:rFonts w:ascii="Courier New" w:hAnsi="Courier New" w:cs="Courier New"/>
                <w:sz w:val="22"/>
                <w:szCs w:val="22"/>
                <w:vertAlign w:val="superscript"/>
              </w:rPr>
              <w:t>a</w:t>
            </w:r>
          </w:p>
        </w:tc>
        <w:tc>
          <w:tcPr>
            <w:tcW w:w="961" w:type="dxa"/>
            <w:tcBorders>
              <w:top w:val="nil"/>
              <w:left w:val="nil"/>
              <w:bottom w:val="single" w:sz="4" w:space="0" w:color="auto"/>
              <w:right w:val="nil"/>
            </w:tcBorders>
            <w:shd w:val="clear" w:color="auto" w:fill="auto"/>
            <w:noWrap/>
            <w:vAlign w:val="bottom"/>
            <w:hideMark/>
          </w:tcPr>
          <w:p w14:paraId="616AE6FD" w14:textId="77777777" w:rsidR="008963DF" w:rsidRPr="00991DC3" w:rsidRDefault="008963DF" w:rsidP="00991DC3">
            <w:pPr>
              <w:jc w:val="center"/>
              <w:rPr>
                <w:rFonts w:ascii="Courier New" w:hAnsi="Courier New" w:cs="Courier New"/>
                <w:sz w:val="22"/>
                <w:szCs w:val="22"/>
                <w:vertAlign w:val="superscript"/>
              </w:rPr>
            </w:pPr>
            <w:r w:rsidRPr="00991DC3">
              <w:rPr>
                <w:rFonts w:ascii="Courier New" w:hAnsi="Courier New" w:cs="Courier New"/>
                <w:sz w:val="22"/>
                <w:szCs w:val="22"/>
              </w:rPr>
              <w:t>Other</w:t>
            </w:r>
            <w:r w:rsidRPr="00991DC3">
              <w:rPr>
                <w:rFonts w:ascii="Courier New" w:hAnsi="Courier New" w:cs="Courier New"/>
                <w:sz w:val="22"/>
                <w:szCs w:val="22"/>
                <w:vertAlign w:val="superscript"/>
              </w:rPr>
              <w:t>b</w:t>
            </w:r>
          </w:p>
        </w:tc>
        <w:tc>
          <w:tcPr>
            <w:tcW w:w="613" w:type="dxa"/>
            <w:tcBorders>
              <w:top w:val="nil"/>
              <w:left w:val="nil"/>
              <w:bottom w:val="nil"/>
              <w:right w:val="nil"/>
            </w:tcBorders>
            <w:shd w:val="clear" w:color="auto" w:fill="auto"/>
            <w:noWrap/>
            <w:vAlign w:val="bottom"/>
            <w:hideMark/>
          </w:tcPr>
          <w:p w14:paraId="5D2C6CF2" w14:textId="77777777" w:rsidR="008963DF" w:rsidRPr="00991DC3" w:rsidRDefault="008963DF" w:rsidP="00995536">
            <w:pPr>
              <w:rPr>
                <w:rFonts w:ascii="Courier New" w:hAnsi="Courier New" w:cs="Courier New"/>
                <w:sz w:val="22"/>
                <w:szCs w:val="22"/>
              </w:rPr>
            </w:pPr>
          </w:p>
        </w:tc>
      </w:tr>
      <w:tr w:rsidR="00514EA7" w:rsidRPr="00991DC3" w14:paraId="644F16A2" w14:textId="77777777" w:rsidTr="00514EA7">
        <w:trPr>
          <w:trHeight w:val="300"/>
        </w:trPr>
        <w:tc>
          <w:tcPr>
            <w:tcW w:w="2065" w:type="dxa"/>
            <w:tcBorders>
              <w:top w:val="nil"/>
              <w:left w:val="nil"/>
              <w:bottom w:val="single" w:sz="4" w:space="0" w:color="auto"/>
              <w:right w:val="nil"/>
            </w:tcBorders>
            <w:shd w:val="clear" w:color="auto" w:fill="auto"/>
            <w:noWrap/>
            <w:vAlign w:val="bottom"/>
            <w:hideMark/>
          </w:tcPr>
          <w:p w14:paraId="5213A2EF" w14:textId="33B56FE1" w:rsidR="008963DF" w:rsidRPr="00991DC3" w:rsidRDefault="008963DF" w:rsidP="00995536">
            <w:pPr>
              <w:rPr>
                <w:rFonts w:ascii="Courier New" w:hAnsi="Courier New" w:cs="Courier New"/>
                <w:sz w:val="22"/>
                <w:szCs w:val="22"/>
                <w:vertAlign w:val="superscript"/>
              </w:rPr>
            </w:pPr>
            <w:r>
              <w:rPr>
                <w:rFonts w:ascii="Courier New" w:hAnsi="Courier New" w:cs="Courier New"/>
                <w:sz w:val="22"/>
                <w:szCs w:val="22"/>
              </w:rPr>
              <w:t>Expected Participants</w:t>
            </w:r>
          </w:p>
        </w:tc>
        <w:tc>
          <w:tcPr>
            <w:tcW w:w="961" w:type="dxa"/>
            <w:tcBorders>
              <w:top w:val="nil"/>
              <w:left w:val="nil"/>
              <w:bottom w:val="single" w:sz="4" w:space="0" w:color="auto"/>
              <w:right w:val="nil"/>
            </w:tcBorders>
            <w:shd w:val="clear" w:color="auto" w:fill="auto"/>
            <w:noWrap/>
            <w:vAlign w:val="bottom"/>
            <w:hideMark/>
          </w:tcPr>
          <w:p w14:paraId="565E8DF4" w14:textId="77777777" w:rsidR="008963DF" w:rsidRPr="00991DC3" w:rsidRDefault="008963DF" w:rsidP="00995536">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0478AF66" w14:textId="77777777" w:rsidR="008963DF" w:rsidRPr="00991DC3" w:rsidRDefault="008963DF" w:rsidP="00995536">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24ED82CB"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46BF7C10" w14:textId="77777777" w:rsidR="008963DF" w:rsidRPr="00991DC3" w:rsidRDefault="008963DF" w:rsidP="00514EA7">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3B07553E" w14:textId="77777777" w:rsidR="008963DF" w:rsidRPr="00991DC3" w:rsidRDefault="008963DF" w:rsidP="00163FDB">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235E06CA" w14:textId="77777777" w:rsidR="008963DF" w:rsidRPr="00991DC3" w:rsidRDefault="008963DF" w:rsidP="00D31930">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69372FFF" w14:textId="77777777" w:rsidR="008963DF" w:rsidRPr="00991DC3" w:rsidRDefault="008963DF" w:rsidP="00991DC3">
            <w:pPr>
              <w:jc w:val="center"/>
              <w:rPr>
                <w:rFonts w:ascii="Courier New" w:hAnsi="Courier New" w:cs="Courier New"/>
                <w:sz w:val="22"/>
                <w:szCs w:val="22"/>
              </w:rPr>
            </w:pPr>
            <w:r w:rsidRPr="00991DC3">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hideMark/>
          </w:tcPr>
          <w:p w14:paraId="053947D2" w14:textId="77777777" w:rsidR="008963DF" w:rsidRPr="00991DC3" w:rsidRDefault="008963DF" w:rsidP="00991DC3">
            <w:pPr>
              <w:jc w:val="center"/>
              <w:rPr>
                <w:rFonts w:ascii="Courier New" w:hAnsi="Courier New" w:cs="Courier New"/>
                <w:sz w:val="22"/>
                <w:szCs w:val="22"/>
              </w:rPr>
            </w:pPr>
            <w:r w:rsidRPr="00991DC3">
              <w:rPr>
                <w:rFonts w:ascii="Courier New" w:hAnsi="Courier New" w:cs="Courier New"/>
                <w:sz w:val="22"/>
                <w:szCs w:val="22"/>
              </w:rPr>
              <w:t>5</w:t>
            </w:r>
          </w:p>
        </w:tc>
        <w:tc>
          <w:tcPr>
            <w:tcW w:w="613" w:type="dxa"/>
            <w:tcBorders>
              <w:top w:val="nil"/>
              <w:left w:val="nil"/>
              <w:bottom w:val="single" w:sz="4" w:space="0" w:color="auto"/>
              <w:right w:val="nil"/>
            </w:tcBorders>
            <w:shd w:val="clear" w:color="auto" w:fill="auto"/>
            <w:noWrap/>
            <w:vAlign w:val="bottom"/>
            <w:hideMark/>
          </w:tcPr>
          <w:p w14:paraId="0184F246" w14:textId="77777777" w:rsidR="008963DF" w:rsidRPr="00991DC3" w:rsidRDefault="008963DF" w:rsidP="00995536">
            <w:pPr>
              <w:rPr>
                <w:rFonts w:ascii="Courier New" w:hAnsi="Courier New" w:cs="Courier New"/>
                <w:sz w:val="22"/>
                <w:szCs w:val="22"/>
              </w:rPr>
            </w:pPr>
            <w:r w:rsidRPr="00991DC3">
              <w:rPr>
                <w:rFonts w:ascii="Courier New" w:hAnsi="Courier New" w:cs="Courier New"/>
                <w:sz w:val="22"/>
                <w:szCs w:val="22"/>
              </w:rPr>
              <w:t>40</w:t>
            </w:r>
          </w:p>
        </w:tc>
      </w:tr>
      <w:tr w:rsidR="008963DF" w:rsidRPr="00991DC3" w14:paraId="645DC405" w14:textId="77777777" w:rsidTr="00991DC3">
        <w:trPr>
          <w:trHeight w:val="300"/>
        </w:trPr>
        <w:tc>
          <w:tcPr>
            <w:tcW w:w="2065" w:type="dxa"/>
            <w:tcBorders>
              <w:top w:val="nil"/>
              <w:left w:val="nil"/>
              <w:bottom w:val="single" w:sz="4" w:space="0" w:color="auto"/>
              <w:right w:val="nil"/>
            </w:tcBorders>
            <w:shd w:val="clear" w:color="auto" w:fill="auto"/>
            <w:noWrap/>
            <w:vAlign w:val="bottom"/>
          </w:tcPr>
          <w:p w14:paraId="7186F7E8" w14:textId="28D2E56C" w:rsidR="008963DF" w:rsidRPr="00991DC3" w:rsidRDefault="00284880" w:rsidP="00995536">
            <w:pPr>
              <w:rPr>
                <w:rFonts w:ascii="Courier New" w:hAnsi="Courier New" w:cs="Courier New"/>
                <w:sz w:val="22"/>
                <w:szCs w:val="22"/>
                <w:vertAlign w:val="superscript"/>
              </w:rPr>
            </w:pPr>
            <w:r>
              <w:rPr>
                <w:rFonts w:ascii="Courier New" w:hAnsi="Courier New" w:cs="Courier New"/>
                <w:sz w:val="22"/>
                <w:szCs w:val="22"/>
              </w:rPr>
              <w:t xml:space="preserve">Expected </w:t>
            </w:r>
            <w:r w:rsidR="003648D9">
              <w:rPr>
                <w:rFonts w:ascii="Courier New" w:hAnsi="Courier New" w:cs="Courier New"/>
                <w:sz w:val="22"/>
                <w:szCs w:val="22"/>
              </w:rPr>
              <w:t>Eligible</w:t>
            </w:r>
            <w:r w:rsidR="00514EA7">
              <w:rPr>
                <w:rFonts w:ascii="Courier New" w:hAnsi="Courier New" w:cs="Courier New"/>
                <w:sz w:val="22"/>
                <w:szCs w:val="22"/>
                <w:vertAlign w:val="superscript"/>
              </w:rPr>
              <w:t>c</w:t>
            </w:r>
          </w:p>
        </w:tc>
        <w:tc>
          <w:tcPr>
            <w:tcW w:w="961" w:type="dxa"/>
            <w:tcBorders>
              <w:top w:val="nil"/>
              <w:left w:val="nil"/>
              <w:bottom w:val="single" w:sz="4" w:space="0" w:color="auto"/>
              <w:right w:val="nil"/>
            </w:tcBorders>
            <w:shd w:val="clear" w:color="auto" w:fill="auto"/>
            <w:noWrap/>
            <w:vAlign w:val="bottom"/>
          </w:tcPr>
          <w:p w14:paraId="61E1640F" w14:textId="3F024DD0" w:rsidR="008963DF" w:rsidRPr="008963DF" w:rsidRDefault="003613EB" w:rsidP="00995536">
            <w:pPr>
              <w:jc w:val="center"/>
              <w:rPr>
                <w:rFonts w:ascii="Courier New" w:hAnsi="Courier New" w:cs="Courier New"/>
                <w:sz w:val="22"/>
                <w:szCs w:val="22"/>
              </w:rPr>
            </w:pPr>
            <w:r>
              <w:rPr>
                <w:rFonts w:ascii="Courier New" w:hAnsi="Courier New" w:cs="Courier New"/>
                <w:sz w:val="22"/>
                <w:szCs w:val="22"/>
              </w:rPr>
              <w:t>15</w:t>
            </w:r>
          </w:p>
        </w:tc>
        <w:tc>
          <w:tcPr>
            <w:tcW w:w="961" w:type="dxa"/>
            <w:tcBorders>
              <w:top w:val="nil"/>
              <w:left w:val="nil"/>
              <w:bottom w:val="single" w:sz="4" w:space="0" w:color="auto"/>
              <w:right w:val="nil"/>
            </w:tcBorders>
            <w:shd w:val="clear" w:color="auto" w:fill="auto"/>
            <w:noWrap/>
            <w:vAlign w:val="bottom"/>
          </w:tcPr>
          <w:p w14:paraId="1EC87921" w14:textId="5244C1EB" w:rsidR="008963DF" w:rsidRPr="006A7B20" w:rsidRDefault="003613EB" w:rsidP="00995536">
            <w:pPr>
              <w:jc w:val="center"/>
              <w:rPr>
                <w:rFonts w:ascii="Courier New" w:hAnsi="Courier New" w:cs="Courier New"/>
                <w:sz w:val="22"/>
                <w:szCs w:val="22"/>
              </w:rPr>
            </w:pPr>
            <w:r>
              <w:rPr>
                <w:rFonts w:ascii="Courier New" w:hAnsi="Courier New" w:cs="Courier New"/>
                <w:sz w:val="22"/>
                <w:szCs w:val="22"/>
              </w:rPr>
              <w:t>20</w:t>
            </w:r>
          </w:p>
        </w:tc>
        <w:tc>
          <w:tcPr>
            <w:tcW w:w="961" w:type="dxa"/>
            <w:tcBorders>
              <w:top w:val="nil"/>
              <w:left w:val="nil"/>
              <w:bottom w:val="single" w:sz="4" w:space="0" w:color="auto"/>
              <w:right w:val="nil"/>
            </w:tcBorders>
            <w:shd w:val="clear" w:color="auto" w:fill="auto"/>
            <w:noWrap/>
            <w:vAlign w:val="bottom"/>
          </w:tcPr>
          <w:p w14:paraId="0BDBAD20" w14:textId="2D723289" w:rsidR="008963DF" w:rsidRPr="006A7B20" w:rsidRDefault="003613EB" w:rsidP="00514EA7">
            <w:pPr>
              <w:jc w:val="center"/>
              <w:rPr>
                <w:rFonts w:ascii="Courier New" w:hAnsi="Courier New" w:cs="Courier New"/>
                <w:sz w:val="22"/>
                <w:szCs w:val="22"/>
              </w:rPr>
            </w:pPr>
            <w:r>
              <w:rPr>
                <w:rFonts w:ascii="Courier New" w:hAnsi="Courier New" w:cs="Courier New"/>
                <w:sz w:val="22"/>
                <w:szCs w:val="22"/>
              </w:rPr>
              <w:t>15</w:t>
            </w:r>
          </w:p>
        </w:tc>
        <w:tc>
          <w:tcPr>
            <w:tcW w:w="961" w:type="dxa"/>
            <w:tcBorders>
              <w:top w:val="nil"/>
              <w:left w:val="nil"/>
              <w:bottom w:val="single" w:sz="4" w:space="0" w:color="auto"/>
              <w:right w:val="nil"/>
            </w:tcBorders>
            <w:shd w:val="clear" w:color="auto" w:fill="auto"/>
            <w:noWrap/>
            <w:vAlign w:val="bottom"/>
          </w:tcPr>
          <w:p w14:paraId="058D58B4" w14:textId="3CE746FC" w:rsidR="008963DF" w:rsidRPr="006A7B20" w:rsidRDefault="003613EB" w:rsidP="00514EA7">
            <w:pPr>
              <w:jc w:val="center"/>
              <w:rPr>
                <w:rFonts w:ascii="Courier New" w:hAnsi="Courier New" w:cs="Courier New"/>
                <w:sz w:val="22"/>
                <w:szCs w:val="22"/>
              </w:rPr>
            </w:pPr>
            <w:r>
              <w:rPr>
                <w:rFonts w:ascii="Courier New" w:hAnsi="Courier New" w:cs="Courier New"/>
                <w:sz w:val="22"/>
                <w:szCs w:val="22"/>
              </w:rPr>
              <w:t>30</w:t>
            </w:r>
          </w:p>
        </w:tc>
        <w:tc>
          <w:tcPr>
            <w:tcW w:w="961" w:type="dxa"/>
            <w:tcBorders>
              <w:top w:val="nil"/>
              <w:left w:val="nil"/>
              <w:bottom w:val="single" w:sz="4" w:space="0" w:color="auto"/>
              <w:right w:val="nil"/>
            </w:tcBorders>
            <w:shd w:val="clear" w:color="auto" w:fill="auto"/>
            <w:noWrap/>
            <w:vAlign w:val="bottom"/>
          </w:tcPr>
          <w:p w14:paraId="1A90AE16" w14:textId="043891B5" w:rsidR="008963DF" w:rsidRPr="00D76E88" w:rsidRDefault="003613EB" w:rsidP="00163FDB">
            <w:pPr>
              <w:jc w:val="center"/>
              <w:rPr>
                <w:rFonts w:ascii="Courier New" w:hAnsi="Courier New" w:cs="Courier New"/>
                <w:sz w:val="22"/>
                <w:szCs w:val="22"/>
              </w:rPr>
            </w:pPr>
            <w:r>
              <w:rPr>
                <w:rFonts w:ascii="Courier New" w:hAnsi="Courier New" w:cs="Courier New"/>
                <w:sz w:val="22"/>
                <w:szCs w:val="22"/>
              </w:rPr>
              <w:t>10</w:t>
            </w:r>
          </w:p>
        </w:tc>
        <w:tc>
          <w:tcPr>
            <w:tcW w:w="961" w:type="dxa"/>
            <w:tcBorders>
              <w:top w:val="nil"/>
              <w:left w:val="nil"/>
              <w:bottom w:val="single" w:sz="4" w:space="0" w:color="auto"/>
              <w:right w:val="nil"/>
            </w:tcBorders>
            <w:shd w:val="clear" w:color="auto" w:fill="auto"/>
            <w:noWrap/>
            <w:vAlign w:val="bottom"/>
          </w:tcPr>
          <w:p w14:paraId="3B733A6A" w14:textId="603E5980" w:rsidR="008963DF" w:rsidRPr="00D76E88" w:rsidRDefault="003613EB" w:rsidP="00D31930">
            <w:pPr>
              <w:jc w:val="center"/>
              <w:rPr>
                <w:rFonts w:ascii="Courier New" w:hAnsi="Courier New" w:cs="Courier New"/>
                <w:sz w:val="22"/>
                <w:szCs w:val="22"/>
              </w:rPr>
            </w:pPr>
            <w:r>
              <w:rPr>
                <w:rFonts w:ascii="Courier New" w:hAnsi="Courier New" w:cs="Courier New"/>
                <w:sz w:val="22"/>
                <w:szCs w:val="22"/>
              </w:rPr>
              <w:t>20</w:t>
            </w:r>
          </w:p>
        </w:tc>
        <w:tc>
          <w:tcPr>
            <w:tcW w:w="961" w:type="dxa"/>
            <w:tcBorders>
              <w:top w:val="nil"/>
              <w:left w:val="nil"/>
              <w:bottom w:val="single" w:sz="4" w:space="0" w:color="auto"/>
              <w:right w:val="nil"/>
            </w:tcBorders>
            <w:shd w:val="clear" w:color="auto" w:fill="auto"/>
            <w:noWrap/>
            <w:vAlign w:val="bottom"/>
          </w:tcPr>
          <w:p w14:paraId="4E94C5BB" w14:textId="46D5679E" w:rsidR="008963DF" w:rsidRPr="00D76E88" w:rsidRDefault="00D76E88" w:rsidP="00991DC3">
            <w:pPr>
              <w:jc w:val="center"/>
              <w:rPr>
                <w:rFonts w:ascii="Courier New" w:hAnsi="Courier New" w:cs="Courier New"/>
                <w:sz w:val="22"/>
                <w:szCs w:val="22"/>
              </w:rPr>
            </w:pPr>
            <w:r>
              <w:rPr>
                <w:rFonts w:ascii="Courier New" w:hAnsi="Courier New" w:cs="Courier New"/>
                <w:sz w:val="22"/>
                <w:szCs w:val="22"/>
              </w:rPr>
              <w:t>5</w:t>
            </w:r>
          </w:p>
        </w:tc>
        <w:tc>
          <w:tcPr>
            <w:tcW w:w="961" w:type="dxa"/>
            <w:tcBorders>
              <w:top w:val="nil"/>
              <w:left w:val="nil"/>
              <w:bottom w:val="single" w:sz="4" w:space="0" w:color="auto"/>
              <w:right w:val="nil"/>
            </w:tcBorders>
            <w:shd w:val="clear" w:color="auto" w:fill="auto"/>
            <w:noWrap/>
            <w:vAlign w:val="bottom"/>
          </w:tcPr>
          <w:p w14:paraId="3C726CE0" w14:textId="3D3CDEA8" w:rsidR="008963DF" w:rsidRPr="003613EB" w:rsidRDefault="003613EB" w:rsidP="00991DC3">
            <w:pPr>
              <w:jc w:val="center"/>
              <w:rPr>
                <w:rFonts w:ascii="Courier New" w:hAnsi="Courier New" w:cs="Courier New"/>
                <w:sz w:val="22"/>
                <w:szCs w:val="22"/>
              </w:rPr>
            </w:pPr>
            <w:r>
              <w:rPr>
                <w:rFonts w:ascii="Courier New" w:hAnsi="Courier New" w:cs="Courier New"/>
                <w:sz w:val="22"/>
                <w:szCs w:val="22"/>
              </w:rPr>
              <w:t>15</w:t>
            </w:r>
          </w:p>
        </w:tc>
        <w:tc>
          <w:tcPr>
            <w:tcW w:w="613" w:type="dxa"/>
            <w:tcBorders>
              <w:top w:val="nil"/>
              <w:left w:val="nil"/>
              <w:bottom w:val="single" w:sz="4" w:space="0" w:color="auto"/>
              <w:right w:val="nil"/>
            </w:tcBorders>
            <w:shd w:val="clear" w:color="auto" w:fill="auto"/>
            <w:noWrap/>
            <w:vAlign w:val="bottom"/>
          </w:tcPr>
          <w:p w14:paraId="0CC7B454" w14:textId="79295FF2" w:rsidR="008963DF" w:rsidRPr="003613EB" w:rsidRDefault="003613EB" w:rsidP="00995536">
            <w:pPr>
              <w:rPr>
                <w:rFonts w:ascii="Courier New" w:hAnsi="Courier New" w:cs="Courier New"/>
                <w:sz w:val="22"/>
                <w:szCs w:val="22"/>
              </w:rPr>
            </w:pPr>
            <w:r>
              <w:rPr>
                <w:rFonts w:ascii="Courier New" w:hAnsi="Courier New" w:cs="Courier New"/>
                <w:sz w:val="22"/>
                <w:szCs w:val="22"/>
              </w:rPr>
              <w:t>130</w:t>
            </w:r>
          </w:p>
        </w:tc>
      </w:tr>
      <w:tr w:rsidR="008963DF" w:rsidRPr="00991DC3" w14:paraId="6BAFF2C9" w14:textId="77777777" w:rsidTr="00991DC3">
        <w:trPr>
          <w:trHeight w:val="300"/>
        </w:trPr>
        <w:tc>
          <w:tcPr>
            <w:tcW w:w="10366" w:type="dxa"/>
            <w:gridSpan w:val="10"/>
            <w:tcBorders>
              <w:top w:val="single" w:sz="4" w:space="0" w:color="auto"/>
              <w:left w:val="nil"/>
              <w:bottom w:val="single" w:sz="4" w:space="0" w:color="auto"/>
              <w:right w:val="nil"/>
            </w:tcBorders>
            <w:shd w:val="clear" w:color="auto" w:fill="auto"/>
            <w:noWrap/>
            <w:vAlign w:val="bottom"/>
          </w:tcPr>
          <w:p w14:paraId="49242F53" w14:textId="77777777" w:rsidR="008963DF" w:rsidRPr="00991DC3" w:rsidRDefault="008963DF" w:rsidP="00995536">
            <w:pPr>
              <w:rPr>
                <w:rFonts w:ascii="Courier New" w:hAnsi="Courier New" w:cs="Courier New"/>
                <w:sz w:val="22"/>
                <w:szCs w:val="22"/>
              </w:rPr>
            </w:pPr>
            <w:r w:rsidRPr="00991DC3">
              <w:rPr>
                <w:rFonts w:ascii="Courier New" w:hAnsi="Courier New" w:cs="Courier New"/>
                <w:i/>
                <w:sz w:val="22"/>
                <w:szCs w:val="22"/>
              </w:rPr>
              <w:t>Note.</w:t>
            </w:r>
            <w:r w:rsidRPr="00991DC3">
              <w:rPr>
                <w:rFonts w:ascii="Courier New" w:hAnsi="Courier New" w:cs="Courier New"/>
                <w:sz w:val="22"/>
                <w:szCs w:val="22"/>
              </w:rPr>
              <w:t xml:space="preserve"> </w:t>
            </w:r>
            <w:r w:rsidRPr="00FE7B69">
              <w:rPr>
                <w:rFonts w:ascii="Courier New" w:hAnsi="Courier New" w:cs="Courier New"/>
                <w:sz w:val="22"/>
                <w:szCs w:val="22"/>
                <w:vertAlign w:val="superscript"/>
              </w:rPr>
              <w:t>a</w:t>
            </w:r>
            <w:r w:rsidRPr="00991DC3">
              <w:rPr>
                <w:rFonts w:ascii="Courier New" w:hAnsi="Courier New" w:cs="Courier New"/>
                <w:sz w:val="22"/>
                <w:szCs w:val="22"/>
                <w:vertAlign w:val="superscript"/>
              </w:rPr>
              <w:t xml:space="preserve"> </w:t>
            </w:r>
            <w:r w:rsidRPr="00991DC3">
              <w:rPr>
                <w:rFonts w:ascii="Courier New" w:hAnsi="Courier New" w:cs="Courier New"/>
                <w:sz w:val="22"/>
                <w:szCs w:val="22"/>
              </w:rPr>
              <w:t>South: Delaware; Florida; Georgia; Houston, Texas; Mississippi; North Carolina; Texas; and Virginia</w:t>
            </w:r>
          </w:p>
          <w:p w14:paraId="4EE665D5" w14:textId="77777777" w:rsidR="008963DF" w:rsidRDefault="008963DF" w:rsidP="00995536">
            <w:pPr>
              <w:rPr>
                <w:rFonts w:ascii="Courier New" w:hAnsi="Courier New" w:cs="Courier New"/>
                <w:sz w:val="22"/>
                <w:szCs w:val="22"/>
              </w:rPr>
            </w:pPr>
            <w:r w:rsidRPr="00991DC3">
              <w:rPr>
                <w:rFonts w:ascii="Courier New" w:hAnsi="Courier New" w:cs="Courier New"/>
                <w:sz w:val="22"/>
                <w:szCs w:val="22"/>
                <w:vertAlign w:val="superscript"/>
              </w:rPr>
              <w:t>b</w:t>
            </w:r>
            <w:r w:rsidRPr="00991DC3">
              <w:rPr>
                <w:rFonts w:ascii="Courier New" w:hAnsi="Courier New" w:cs="Courier New"/>
                <w:sz w:val="22"/>
                <w:szCs w:val="22"/>
              </w:rPr>
              <w:t xml:space="preserve"> Other: California; Chicago, Illinois; Indiana; Los Angeles, California; Michigan; New Jersey; New York City, New York; New York, Oregon; Pennsylvania; Philadelphia, Pennsylvania; Puerto Rico; San Francisco, CA; and Washington</w:t>
            </w:r>
          </w:p>
          <w:p w14:paraId="0C386CBB" w14:textId="4C5CAC0C" w:rsidR="00514EA7" w:rsidRPr="0011670E" w:rsidRDefault="00514EA7" w:rsidP="0058492B">
            <w:pPr>
              <w:rPr>
                <w:rFonts w:ascii="Courier New" w:hAnsi="Courier New" w:cs="Courier New"/>
                <w:sz w:val="22"/>
                <w:szCs w:val="22"/>
              </w:rPr>
            </w:pPr>
            <w:r w:rsidRPr="0011670E">
              <w:rPr>
                <w:rFonts w:ascii="Courier New" w:hAnsi="Courier New" w:cs="Courier New"/>
                <w:sz w:val="22"/>
                <w:szCs w:val="22"/>
                <w:vertAlign w:val="superscript"/>
              </w:rPr>
              <w:t>c</w:t>
            </w:r>
            <w:r w:rsidR="00FE7B69" w:rsidRPr="0011670E">
              <w:rPr>
                <w:rFonts w:ascii="Courier New" w:hAnsi="Courier New" w:cs="Courier New"/>
                <w:sz w:val="22"/>
                <w:szCs w:val="22"/>
                <w:vertAlign w:val="superscript"/>
              </w:rPr>
              <w:t xml:space="preserve"> </w:t>
            </w:r>
            <w:r w:rsidRPr="0011670E">
              <w:rPr>
                <w:rFonts w:ascii="Courier New" w:hAnsi="Courier New" w:cs="Courier New"/>
                <w:sz w:val="22"/>
                <w:szCs w:val="22"/>
              </w:rPr>
              <w:t xml:space="preserve">This is first time this specific data collection will happen. However, based on data from the 2015 and 2016 MMP cycles, we estimated </w:t>
            </w:r>
            <w:r w:rsidR="006B75E0" w:rsidRPr="0011670E">
              <w:rPr>
                <w:rFonts w:ascii="Courier New" w:hAnsi="Courier New" w:cs="Courier New"/>
                <w:sz w:val="22"/>
                <w:szCs w:val="22"/>
              </w:rPr>
              <w:t xml:space="preserve">an approximate </w:t>
            </w:r>
            <w:r w:rsidRPr="0011670E">
              <w:rPr>
                <w:rFonts w:ascii="Courier New" w:hAnsi="Courier New" w:cs="Courier New"/>
                <w:sz w:val="22"/>
                <w:szCs w:val="22"/>
              </w:rPr>
              <w:t xml:space="preserve">number of people who </w:t>
            </w:r>
            <w:r w:rsidR="0058492B">
              <w:rPr>
                <w:rFonts w:ascii="Courier New" w:hAnsi="Courier New" w:cs="Courier New"/>
                <w:sz w:val="22"/>
                <w:szCs w:val="22"/>
              </w:rPr>
              <w:t>will</w:t>
            </w:r>
            <w:r w:rsidR="0058492B" w:rsidRPr="0011670E">
              <w:rPr>
                <w:rFonts w:ascii="Courier New" w:hAnsi="Courier New" w:cs="Courier New"/>
                <w:sz w:val="22"/>
                <w:szCs w:val="22"/>
              </w:rPr>
              <w:t xml:space="preserve"> </w:t>
            </w:r>
            <w:r w:rsidRPr="0011670E">
              <w:rPr>
                <w:rFonts w:ascii="Courier New" w:hAnsi="Courier New" w:cs="Courier New"/>
                <w:sz w:val="22"/>
                <w:szCs w:val="22"/>
              </w:rPr>
              <w:t xml:space="preserve">meet the eligibility criteria based on our quota sampling strategy. </w:t>
            </w:r>
          </w:p>
        </w:tc>
      </w:tr>
    </w:tbl>
    <w:p w14:paraId="038DCDD8" w14:textId="5C2846E5" w:rsidR="00281431" w:rsidRDefault="00281431" w:rsidP="005342FB">
      <w:pPr>
        <w:rPr>
          <w:rFonts w:ascii="Courier New" w:hAnsi="Courier New" w:cs="Courier New"/>
        </w:rPr>
      </w:pPr>
    </w:p>
    <w:p w14:paraId="5C14B549" w14:textId="3C8EE82E" w:rsidR="00A56780" w:rsidRPr="004F1C30" w:rsidRDefault="00F20794" w:rsidP="00F20794">
      <w:pPr>
        <w:pStyle w:val="Heading1"/>
        <w:rPr>
          <w:rFonts w:ascii="Courier New" w:hAnsi="Courier New" w:cs="Courier New"/>
          <w:szCs w:val="24"/>
        </w:rPr>
      </w:pPr>
      <w:bookmarkStart w:id="2" w:name="_Toc502063545"/>
      <w:r>
        <w:rPr>
          <w:rFonts w:ascii="Courier New" w:hAnsi="Courier New" w:cs="Courier New"/>
          <w:szCs w:val="24"/>
        </w:rPr>
        <w:t xml:space="preserve">B.2. </w:t>
      </w:r>
      <w:r w:rsidR="00A56780" w:rsidRPr="004F1C30">
        <w:rPr>
          <w:rFonts w:ascii="Courier New" w:hAnsi="Courier New" w:cs="Courier New"/>
          <w:szCs w:val="24"/>
        </w:rPr>
        <w:t>Procedures for the Collection of Information</w:t>
      </w:r>
      <w:bookmarkEnd w:id="2"/>
    </w:p>
    <w:p w14:paraId="217B9C38" w14:textId="77777777" w:rsidR="00A56780" w:rsidRPr="004F1C30" w:rsidRDefault="00A56780" w:rsidP="00A56780">
      <w:pPr>
        <w:rPr>
          <w:rFonts w:ascii="Courier New" w:hAnsi="Courier New" w:cs="Courier New"/>
          <w:b/>
        </w:rPr>
      </w:pPr>
    </w:p>
    <w:p w14:paraId="0B6D145B" w14:textId="62E99CF0" w:rsidR="002D492D" w:rsidRDefault="002D492D" w:rsidP="002D492D">
      <w:pPr>
        <w:rPr>
          <w:rFonts w:ascii="Courier New" w:hAnsi="Courier New" w:cs="Courier New"/>
        </w:rPr>
      </w:pPr>
      <w:r w:rsidRPr="004F1C30">
        <w:rPr>
          <w:rFonts w:ascii="Courier New" w:hAnsi="Courier New" w:cs="Courier New"/>
        </w:rPr>
        <w:t>The approved Project Determination Form (</w:t>
      </w:r>
      <w:r w:rsidRPr="004F1C30">
        <w:rPr>
          <w:rFonts w:ascii="Courier New" w:hAnsi="Courier New" w:cs="Courier New"/>
          <w:b/>
        </w:rPr>
        <w:t xml:space="preserve">Attachment </w:t>
      </w:r>
      <w:r w:rsidR="009E5097">
        <w:rPr>
          <w:rFonts w:ascii="Courier New" w:hAnsi="Courier New" w:cs="Courier New"/>
          <w:b/>
        </w:rPr>
        <w:t>5</w:t>
      </w:r>
      <w:r w:rsidRPr="004F1C30">
        <w:rPr>
          <w:rFonts w:ascii="Courier New" w:hAnsi="Courier New" w:cs="Courier New"/>
        </w:rPr>
        <w:t xml:space="preserve">) indicates that because </w:t>
      </w:r>
      <w:r>
        <w:rPr>
          <w:rFonts w:ascii="Courier New" w:hAnsi="Courier New" w:cs="Courier New"/>
        </w:rPr>
        <w:t>this project</w:t>
      </w:r>
      <w:r w:rsidRPr="004F1C30">
        <w:rPr>
          <w:rFonts w:ascii="Courier New" w:hAnsi="Courier New" w:cs="Courier New"/>
        </w:rPr>
        <w:t xml:space="preserve"> is a formative data collection, the protocol will not be reviewed by CDC’s IRB.  Each participating </w:t>
      </w:r>
      <w:r>
        <w:rPr>
          <w:rFonts w:ascii="Courier New" w:hAnsi="Courier New" w:cs="Courier New"/>
        </w:rPr>
        <w:t>project area</w:t>
      </w:r>
      <w:r w:rsidRPr="004F1C30">
        <w:rPr>
          <w:rFonts w:ascii="Courier New" w:hAnsi="Courier New" w:cs="Courier New"/>
        </w:rPr>
        <w:t xml:space="preserve"> will be required to obtain approval for this project from their IRB as required by their local review and approval processes and federal regulations before data collection.  </w:t>
      </w:r>
    </w:p>
    <w:p w14:paraId="4471F396" w14:textId="77777777" w:rsidR="002D492D" w:rsidRDefault="002D492D" w:rsidP="002D492D">
      <w:pPr>
        <w:rPr>
          <w:rFonts w:ascii="Courier New" w:hAnsi="Courier New" w:cs="Courier New"/>
        </w:rPr>
      </w:pPr>
    </w:p>
    <w:p w14:paraId="03BA1D02" w14:textId="5B17CF08" w:rsidR="00B578E4" w:rsidRDefault="00692B1A" w:rsidP="00A56780">
      <w:pPr>
        <w:rPr>
          <w:rFonts w:ascii="Courier New" w:hAnsi="Courier New" w:cs="Courier New"/>
        </w:rPr>
      </w:pPr>
      <w:r>
        <w:rPr>
          <w:rFonts w:ascii="Courier New" w:hAnsi="Courier New" w:cs="Courier New"/>
        </w:rPr>
        <w:t xml:space="preserve">Eligibility screening will be done automatically through computer software. Persons eligible to participate in this project will be identified to health department staff through a pop-up message display that will appear on the </w:t>
      </w:r>
      <w:r w:rsidR="002D492D">
        <w:rPr>
          <w:rFonts w:ascii="Courier New" w:hAnsi="Courier New" w:cs="Courier New"/>
        </w:rPr>
        <w:t xml:space="preserve">computer </w:t>
      </w:r>
      <w:r>
        <w:rPr>
          <w:rFonts w:ascii="Courier New" w:hAnsi="Courier New" w:cs="Courier New"/>
        </w:rPr>
        <w:t>screen after a structured interview is completed for MMP. For this pop-up message to be displayed, the participants must have been out of HIV care for 12 months or more, or never received HIV care</w:t>
      </w:r>
      <w:r w:rsidR="00A56780" w:rsidRPr="004F1C30">
        <w:rPr>
          <w:rFonts w:ascii="Courier New" w:hAnsi="Courier New" w:cs="Courier New"/>
        </w:rPr>
        <w:t xml:space="preserve">. </w:t>
      </w:r>
    </w:p>
    <w:p w14:paraId="64F30A0C" w14:textId="77777777" w:rsidR="00B578E4" w:rsidRDefault="00B578E4" w:rsidP="00A56780">
      <w:pPr>
        <w:rPr>
          <w:rFonts w:ascii="Courier New" w:hAnsi="Courier New" w:cs="Courier New"/>
        </w:rPr>
      </w:pPr>
    </w:p>
    <w:p w14:paraId="2A87CFB6" w14:textId="78B55499" w:rsidR="00B24CBA" w:rsidRDefault="002424EF" w:rsidP="00A56780">
      <w:pPr>
        <w:rPr>
          <w:rFonts w:ascii="Courier New" w:hAnsi="Courier New" w:cs="Courier New"/>
        </w:rPr>
      </w:pPr>
      <w:r>
        <w:rPr>
          <w:rFonts w:ascii="Courier New" w:hAnsi="Courier New" w:cs="Courier New"/>
        </w:rPr>
        <w:t>Project area</w:t>
      </w:r>
      <w:r w:rsidR="00B578E4">
        <w:rPr>
          <w:rFonts w:ascii="Courier New" w:hAnsi="Courier New" w:cs="Courier New"/>
        </w:rPr>
        <w:t xml:space="preserve"> staff will conduct all recruitment procedures for this project. </w:t>
      </w:r>
      <w:r w:rsidRPr="002424EF">
        <w:rPr>
          <w:rFonts w:ascii="Courier New" w:hAnsi="Courier New" w:cs="Courier New"/>
        </w:rPr>
        <w:t xml:space="preserve">Project area </w:t>
      </w:r>
      <w:r w:rsidR="00B578E4">
        <w:rPr>
          <w:rFonts w:ascii="Courier New" w:hAnsi="Courier New" w:cs="Courier New"/>
        </w:rPr>
        <w:t xml:space="preserve">staff will explain to eligible persons that they are eligible to participate in this project. </w:t>
      </w:r>
      <w:r w:rsidR="00A56780" w:rsidRPr="004F1C30">
        <w:rPr>
          <w:rFonts w:ascii="Courier New" w:hAnsi="Courier New" w:cs="Courier New"/>
        </w:rPr>
        <w:t xml:space="preserve">Participation in the project is voluntary. Respondents may refuse to participate at all or in part. Respondents may refuse to answer questions or stop participation at any time without penalty. </w:t>
      </w:r>
    </w:p>
    <w:p w14:paraId="4E69E2CF" w14:textId="77777777" w:rsidR="00B24CBA" w:rsidRDefault="00B24CBA" w:rsidP="00A56780">
      <w:pPr>
        <w:rPr>
          <w:rFonts w:ascii="Courier New" w:hAnsi="Courier New" w:cs="Courier New"/>
        </w:rPr>
      </w:pPr>
    </w:p>
    <w:p w14:paraId="48DC4AF2" w14:textId="42DA8B8C" w:rsidR="00163FDB" w:rsidRDefault="00163FDB" w:rsidP="00A56780">
      <w:pPr>
        <w:rPr>
          <w:rFonts w:ascii="Courier New" w:hAnsi="Courier New" w:cs="Courier New"/>
        </w:rPr>
      </w:pPr>
    </w:p>
    <w:p w14:paraId="3A677CD8" w14:textId="6ED7B0A7" w:rsidR="00163FDB" w:rsidRPr="00163FDB" w:rsidRDefault="00163FDB" w:rsidP="00163FDB">
      <w:pPr>
        <w:rPr>
          <w:rFonts w:ascii="Courier New" w:hAnsi="Courier New" w:cs="Courier New"/>
        </w:rPr>
      </w:pPr>
      <w:r w:rsidRPr="00163FDB">
        <w:rPr>
          <w:rFonts w:ascii="Courier New" w:hAnsi="Courier New" w:cs="Courier New"/>
        </w:rPr>
        <w:t xml:space="preserve">If the MMP respondent chooses to participate, the MMP data collector will schedule an appointment for the respondent to </w:t>
      </w:r>
      <w:r w:rsidR="00B33A11">
        <w:rPr>
          <w:rFonts w:ascii="Courier New" w:hAnsi="Courier New" w:cs="Courier New"/>
        </w:rPr>
        <w:t xml:space="preserve">complete the semi-structured </w:t>
      </w:r>
      <w:r w:rsidR="003D7C99">
        <w:rPr>
          <w:rFonts w:ascii="Courier New" w:hAnsi="Courier New" w:cs="Courier New"/>
        </w:rPr>
        <w:t xml:space="preserve">in-depth </w:t>
      </w:r>
      <w:r w:rsidRPr="00163FDB">
        <w:rPr>
          <w:rFonts w:ascii="Courier New" w:hAnsi="Courier New" w:cs="Courier New"/>
        </w:rPr>
        <w:t>interview with CDC staff via phone. The MMP data collector will not schedule appointments with people who cannot speak English well or participate in a 60-minute long interview in English only. The appointment will be reserved for informed consent procedures and a 60-minute semi-structured interview.</w:t>
      </w:r>
    </w:p>
    <w:p w14:paraId="096A5F9F" w14:textId="7C7F4073" w:rsidR="00163FDB" w:rsidRDefault="00163FDB" w:rsidP="00A56780">
      <w:pPr>
        <w:rPr>
          <w:rFonts w:ascii="Courier New" w:hAnsi="Courier New" w:cs="Courier New"/>
        </w:rPr>
      </w:pPr>
    </w:p>
    <w:p w14:paraId="28083B8A" w14:textId="5208B655" w:rsidR="00163FDB" w:rsidRPr="00163FDB" w:rsidRDefault="00163FDB" w:rsidP="00163FDB">
      <w:pPr>
        <w:rPr>
          <w:rFonts w:ascii="Courier New" w:hAnsi="Courier New" w:cs="Courier New"/>
        </w:rPr>
      </w:pPr>
      <w:r w:rsidRPr="00163FDB">
        <w:rPr>
          <w:rFonts w:ascii="Courier New" w:hAnsi="Courier New" w:cs="Courier New"/>
        </w:rPr>
        <w:t>Each project area will be responsible for providing reminders</w:t>
      </w:r>
      <w:r w:rsidR="00B33A11">
        <w:rPr>
          <w:rFonts w:ascii="Courier New" w:hAnsi="Courier New" w:cs="Courier New"/>
        </w:rPr>
        <w:t xml:space="preserve"> and</w:t>
      </w:r>
      <w:r w:rsidRPr="00163FDB">
        <w:rPr>
          <w:rFonts w:ascii="Courier New" w:hAnsi="Courier New" w:cs="Courier New"/>
        </w:rPr>
        <w:t xml:space="preserve"> rescheduling appointments as needed for people who are eligible for this project. Project areas may use all methods acceptable to the respondent to contact </w:t>
      </w:r>
      <w:r w:rsidR="002C47DB">
        <w:rPr>
          <w:rFonts w:ascii="Courier New" w:hAnsi="Courier New" w:cs="Courier New"/>
        </w:rPr>
        <w:t>respondents</w:t>
      </w:r>
      <w:r w:rsidRPr="00163FDB">
        <w:rPr>
          <w:rFonts w:ascii="Courier New" w:hAnsi="Courier New" w:cs="Courier New"/>
        </w:rPr>
        <w:t xml:space="preserve"> for appointment reminders or rescheduling (e.g., phone, text). The CDC will not call or initiate contact with MMP respondents for any reason; the interview call will always be initiated by the respondent.</w:t>
      </w:r>
    </w:p>
    <w:p w14:paraId="67F4FD04" w14:textId="3D74FBD4" w:rsidR="00163FDB" w:rsidRDefault="00163FDB" w:rsidP="00A56780">
      <w:pPr>
        <w:rPr>
          <w:rFonts w:ascii="Courier New" w:hAnsi="Courier New" w:cs="Courier New"/>
        </w:rPr>
      </w:pPr>
    </w:p>
    <w:p w14:paraId="239EA05F" w14:textId="467ED524" w:rsidR="00CB4C02" w:rsidRPr="00CB4C02" w:rsidRDefault="00CB4C02" w:rsidP="00CB4C02">
      <w:pPr>
        <w:rPr>
          <w:rFonts w:ascii="Courier New" w:hAnsi="Courier New" w:cs="Courier New"/>
        </w:rPr>
      </w:pPr>
      <w:r w:rsidRPr="00CB4C02">
        <w:rPr>
          <w:rFonts w:ascii="Courier New" w:hAnsi="Courier New" w:cs="Courier New"/>
        </w:rPr>
        <w:t xml:space="preserve">During the recruitment process, project area staff will give </w:t>
      </w:r>
      <w:r w:rsidR="00B33A11">
        <w:rPr>
          <w:rFonts w:ascii="Courier New" w:hAnsi="Courier New" w:cs="Courier New"/>
        </w:rPr>
        <w:t xml:space="preserve">eligible </w:t>
      </w:r>
      <w:r w:rsidRPr="00CB4C02">
        <w:rPr>
          <w:rFonts w:ascii="Courier New" w:hAnsi="Courier New" w:cs="Courier New"/>
        </w:rPr>
        <w:t>MMP respondents a unique code created by the project area. The unique code will be shared with the CDC interviewer by telephone. This code will be used for identification of persons who are eligible for the qualitative interview and, if those persons consent to, and participate in the qualitative interview, linkage of the data from the semi-structured interview the MMP interview and medical record abstraction.</w:t>
      </w:r>
    </w:p>
    <w:p w14:paraId="4BEDC53D" w14:textId="01FD709E" w:rsidR="00CB4C02" w:rsidRDefault="00CB4C02" w:rsidP="00A56780">
      <w:pPr>
        <w:rPr>
          <w:rFonts w:ascii="Courier New" w:hAnsi="Courier New" w:cs="Courier New"/>
        </w:rPr>
      </w:pPr>
    </w:p>
    <w:p w14:paraId="525915F6" w14:textId="5497A9EA" w:rsidR="00CB4C02" w:rsidRDefault="00CB4C02" w:rsidP="00A56780">
      <w:pPr>
        <w:rPr>
          <w:rFonts w:ascii="Courier New" w:hAnsi="Courier New" w:cs="Courier New"/>
        </w:rPr>
      </w:pPr>
      <w:r w:rsidRPr="00CB4C02">
        <w:rPr>
          <w:rFonts w:ascii="Courier New" w:hAnsi="Courier New" w:cs="Courier New"/>
        </w:rPr>
        <w:t>Prior to beginning the interview, CDC staff will read the informed consent document (</w:t>
      </w:r>
      <w:r w:rsidR="009E5097">
        <w:rPr>
          <w:rFonts w:ascii="Courier New" w:hAnsi="Courier New" w:cs="Courier New"/>
          <w:b/>
        </w:rPr>
        <w:t>Attachment 3</w:t>
      </w:r>
      <w:r w:rsidRPr="00CB4C02">
        <w:rPr>
          <w:rFonts w:ascii="Courier New" w:hAnsi="Courier New" w:cs="Courier New"/>
        </w:rPr>
        <w:t xml:space="preserve">). This consent will address potential benefits and risks of participation. As part of the oral consent process, the interviewer will ask each respondent if they have a clear understanding of the project, its purpose, risks, benefits, and right to withdraw from the project without consequence. Respondents will provide oral consent twice: before the interview </w:t>
      </w:r>
      <w:r w:rsidR="00D33A45">
        <w:rPr>
          <w:rFonts w:ascii="Courier New" w:hAnsi="Courier New" w:cs="Courier New"/>
        </w:rPr>
        <w:t xml:space="preserve">to obtain permission for audio recording </w:t>
      </w:r>
      <w:r w:rsidRPr="00CB4C02">
        <w:rPr>
          <w:rFonts w:ascii="Courier New" w:hAnsi="Courier New" w:cs="Courier New"/>
        </w:rPr>
        <w:t xml:space="preserve">and after </w:t>
      </w:r>
      <w:r w:rsidR="00D33A45">
        <w:rPr>
          <w:rFonts w:ascii="Courier New" w:hAnsi="Courier New" w:cs="Courier New"/>
        </w:rPr>
        <w:t xml:space="preserve">permission is obtained </w:t>
      </w:r>
      <w:r w:rsidRPr="00CB4C02">
        <w:rPr>
          <w:rFonts w:ascii="Courier New" w:hAnsi="Courier New" w:cs="Courier New"/>
        </w:rPr>
        <w:t>to document the consent on the audio recording.</w:t>
      </w:r>
    </w:p>
    <w:p w14:paraId="5A351DEC" w14:textId="7DABAE9D" w:rsidR="00CB4C02" w:rsidRDefault="00CB4C02" w:rsidP="00A56780">
      <w:pPr>
        <w:rPr>
          <w:rFonts w:ascii="Courier New" w:hAnsi="Courier New" w:cs="Courier New"/>
        </w:rPr>
      </w:pPr>
    </w:p>
    <w:p w14:paraId="6D296D80" w14:textId="66547E3A" w:rsidR="00CB4C02" w:rsidRPr="00CB4C02" w:rsidRDefault="00CB4C02" w:rsidP="00CB4C02">
      <w:pPr>
        <w:rPr>
          <w:rFonts w:ascii="Courier New" w:hAnsi="Courier New" w:cs="Courier New"/>
        </w:rPr>
      </w:pPr>
      <w:r w:rsidRPr="00CB4C02">
        <w:rPr>
          <w:rFonts w:ascii="Courier New" w:hAnsi="Courier New" w:cs="Courier New"/>
        </w:rPr>
        <w:t xml:space="preserve">The qualitative interview will take approximately 60 minutes. The interview will be administered via phone in English by a trained interviewer </w:t>
      </w:r>
      <w:r w:rsidR="00074EF4" w:rsidRPr="00074EF4">
        <w:rPr>
          <w:rFonts w:ascii="Courier New" w:hAnsi="Courier New" w:cs="Courier New"/>
        </w:rPr>
        <w:t>(</w:t>
      </w:r>
      <w:r w:rsidR="009E5097">
        <w:rPr>
          <w:rFonts w:ascii="Courier New" w:hAnsi="Courier New" w:cs="Courier New"/>
          <w:b/>
        </w:rPr>
        <w:t>Attachment 1</w:t>
      </w:r>
      <w:r w:rsidR="00074EF4" w:rsidRPr="00074EF4">
        <w:rPr>
          <w:rFonts w:ascii="Courier New" w:hAnsi="Courier New" w:cs="Courier New"/>
        </w:rPr>
        <w:t xml:space="preserve">). </w:t>
      </w:r>
      <w:r w:rsidRPr="00CB4C02">
        <w:rPr>
          <w:rFonts w:ascii="Courier New" w:hAnsi="Courier New" w:cs="Courier New"/>
        </w:rPr>
        <w:t xml:space="preserve">Qualitative interviews will be audio-recorded. No personally identifying information will be collected. The interviewer will take detailed notes during the interview (notes will not contain personal identifiers). </w:t>
      </w:r>
      <w:r w:rsidR="00CD5527">
        <w:rPr>
          <w:rFonts w:ascii="Courier New" w:hAnsi="Courier New" w:cs="Courier New"/>
        </w:rPr>
        <w:t>Approximately t</w:t>
      </w:r>
      <w:r w:rsidRPr="00CB4C02">
        <w:rPr>
          <w:rFonts w:ascii="Courier New" w:hAnsi="Courier New" w:cs="Courier New"/>
        </w:rPr>
        <w:t>en percent of interview audio-recordings will be reviewed by a CDC supervisor for quality assurance.</w:t>
      </w:r>
    </w:p>
    <w:p w14:paraId="3E56AE07" w14:textId="3EC29C33" w:rsidR="00CB4C02" w:rsidRDefault="00CB4C02" w:rsidP="00A56780">
      <w:pPr>
        <w:rPr>
          <w:rFonts w:ascii="Courier New" w:hAnsi="Courier New" w:cs="Courier New"/>
        </w:rPr>
      </w:pPr>
    </w:p>
    <w:p w14:paraId="44153F9F" w14:textId="7FA72B4C" w:rsidR="00C55B3A" w:rsidRPr="00C55B3A" w:rsidRDefault="00C55B3A" w:rsidP="00C55B3A">
      <w:pPr>
        <w:rPr>
          <w:rFonts w:ascii="Courier New" w:hAnsi="Courier New" w:cs="Courier New"/>
        </w:rPr>
      </w:pPr>
      <w:r w:rsidRPr="00C55B3A">
        <w:rPr>
          <w:rFonts w:ascii="Courier New" w:hAnsi="Courier New" w:cs="Courier New"/>
        </w:rPr>
        <w:t>Interview audio-recordings will be fully transcribed verbatim together with the interviewer’s verbal cues. Transcripts will be stored electronically on a secure network at the CDC. Anyone who accesses the audio-recording for transcription purposes will have completed security and confidentiality training. Project areas will have access to the transcripts for the respondents who participated in their project area.</w:t>
      </w:r>
      <w:r w:rsidRPr="00C55B3A">
        <w:rPr>
          <w:rFonts w:ascii="Arial" w:eastAsiaTheme="minorHAnsi" w:hAnsi="Arial" w:cs="Arial"/>
          <w:sz w:val="22"/>
          <w:szCs w:val="22"/>
        </w:rPr>
        <w:t xml:space="preserve"> </w:t>
      </w:r>
      <w:r w:rsidRPr="00C55B3A">
        <w:rPr>
          <w:rFonts w:ascii="Courier New" w:hAnsi="Courier New" w:cs="Courier New"/>
        </w:rPr>
        <w:t xml:space="preserve">Audio-recordings and transcripts will be stored electronically and backed-up on a secure network at the CDC. Everyone who accesses the data will complete security and confidentiality training. Data will only be accessed on password-protected computers on a secure network at the CDC. </w:t>
      </w:r>
    </w:p>
    <w:p w14:paraId="0D4703BA" w14:textId="5DB1A43C" w:rsidR="005342FB" w:rsidRPr="004F1C30" w:rsidRDefault="00F20794" w:rsidP="00863434">
      <w:pPr>
        <w:pStyle w:val="Heading1"/>
        <w:ind w:left="432" w:hanging="432"/>
        <w:rPr>
          <w:rFonts w:ascii="Courier New" w:hAnsi="Courier New" w:cs="Courier New"/>
          <w:szCs w:val="24"/>
        </w:rPr>
      </w:pPr>
      <w:bookmarkStart w:id="3" w:name="_Toc502063546"/>
      <w:r w:rsidRPr="00F20794">
        <w:rPr>
          <w:rFonts w:ascii="Courier New" w:hAnsi="Courier New" w:cs="Courier New"/>
          <w:szCs w:val="24"/>
        </w:rPr>
        <w:t>B.</w:t>
      </w:r>
      <w:r w:rsidR="00A56780" w:rsidRPr="00F20794">
        <w:rPr>
          <w:rFonts w:ascii="Courier New" w:hAnsi="Courier New" w:cs="Courier New"/>
          <w:szCs w:val="24"/>
        </w:rPr>
        <w:t>3</w:t>
      </w:r>
      <w:r w:rsidRPr="00F20794">
        <w:rPr>
          <w:rFonts w:ascii="Courier New" w:hAnsi="Courier New" w:cs="Courier New"/>
          <w:szCs w:val="24"/>
        </w:rPr>
        <w:t>.</w:t>
      </w:r>
      <w:r w:rsidRPr="004F1C30">
        <w:rPr>
          <w:rFonts w:ascii="Courier New" w:hAnsi="Courier New" w:cs="Courier New"/>
          <w:szCs w:val="24"/>
        </w:rPr>
        <w:t xml:space="preserve"> Methods</w:t>
      </w:r>
      <w:r w:rsidR="005342FB" w:rsidRPr="004F1C30">
        <w:rPr>
          <w:rFonts w:ascii="Courier New" w:hAnsi="Courier New" w:cs="Courier New"/>
          <w:szCs w:val="24"/>
        </w:rPr>
        <w:t xml:space="preserve"> to Maximize Response Rates and Deal with No</w:t>
      </w:r>
      <w:r w:rsidR="008005B0">
        <w:rPr>
          <w:rFonts w:ascii="Courier New" w:hAnsi="Courier New" w:cs="Courier New"/>
          <w:szCs w:val="24"/>
        </w:rPr>
        <w:t>n</w:t>
      </w:r>
      <w:r w:rsidR="005342FB" w:rsidRPr="004F1C30">
        <w:rPr>
          <w:rFonts w:ascii="Courier New" w:hAnsi="Courier New" w:cs="Courier New"/>
          <w:szCs w:val="24"/>
        </w:rPr>
        <w:t xml:space="preserve"> Response</w:t>
      </w:r>
      <w:bookmarkEnd w:id="3"/>
    </w:p>
    <w:p w14:paraId="7866B475" w14:textId="77777777" w:rsidR="005342FB" w:rsidRPr="004F1C30" w:rsidRDefault="005342FB" w:rsidP="005342FB">
      <w:pPr>
        <w:rPr>
          <w:rFonts w:ascii="Courier New" w:hAnsi="Courier New" w:cs="Courier New"/>
        </w:rPr>
      </w:pPr>
    </w:p>
    <w:p w14:paraId="010A3624" w14:textId="36F10CB8" w:rsidR="00B14752" w:rsidRPr="00BC1EAD" w:rsidRDefault="00B14752" w:rsidP="00A70A86">
      <w:pPr>
        <w:rPr>
          <w:rFonts w:ascii="Courier New" w:hAnsi="Courier New" w:cs="Courier New"/>
        </w:rPr>
      </w:pPr>
      <w:r>
        <w:rPr>
          <w:rFonts w:ascii="Courier New" w:hAnsi="Courier New" w:cs="Courier New"/>
        </w:rPr>
        <w:t xml:space="preserve">The collection of information for this project does not involve statistical methods. </w:t>
      </w:r>
    </w:p>
    <w:p w14:paraId="378E23DF" w14:textId="77777777" w:rsidR="00B14752" w:rsidRDefault="00B14752" w:rsidP="00A70A86">
      <w:pPr>
        <w:rPr>
          <w:rFonts w:ascii="Courier New" w:hAnsi="Courier New" w:cs="Courier New"/>
          <w:u w:val="single"/>
        </w:rPr>
      </w:pPr>
    </w:p>
    <w:p w14:paraId="0F2D6A21" w14:textId="33C65CFA" w:rsidR="00A70A86" w:rsidRPr="004F1C30" w:rsidRDefault="00A70A86" w:rsidP="00A70A86">
      <w:pPr>
        <w:rPr>
          <w:rFonts w:ascii="Courier New" w:hAnsi="Courier New" w:cs="Courier New"/>
          <w:u w:val="single"/>
        </w:rPr>
      </w:pPr>
      <w:r w:rsidRPr="004F1C30">
        <w:rPr>
          <w:rFonts w:ascii="Courier New" w:hAnsi="Courier New" w:cs="Courier New"/>
          <w:u w:val="single"/>
        </w:rPr>
        <w:t xml:space="preserve">Response </w:t>
      </w:r>
      <w:r w:rsidR="003D7601">
        <w:rPr>
          <w:rFonts w:ascii="Courier New" w:hAnsi="Courier New" w:cs="Courier New"/>
          <w:u w:val="single"/>
        </w:rPr>
        <w:t>r</w:t>
      </w:r>
      <w:r w:rsidRPr="004F1C30">
        <w:rPr>
          <w:rFonts w:ascii="Courier New" w:hAnsi="Courier New" w:cs="Courier New"/>
          <w:u w:val="single"/>
        </w:rPr>
        <w:t xml:space="preserve">ate </w:t>
      </w:r>
      <w:r w:rsidR="003D7601">
        <w:rPr>
          <w:rFonts w:ascii="Courier New" w:hAnsi="Courier New" w:cs="Courier New"/>
          <w:u w:val="single"/>
        </w:rPr>
        <w:t>c</w:t>
      </w:r>
      <w:r w:rsidRPr="004F1C30">
        <w:rPr>
          <w:rFonts w:ascii="Courier New" w:hAnsi="Courier New" w:cs="Courier New"/>
          <w:u w:val="single"/>
        </w:rPr>
        <w:t>alculations</w:t>
      </w:r>
    </w:p>
    <w:p w14:paraId="053CE757" w14:textId="77777777" w:rsidR="00FE7B69" w:rsidRDefault="00FE7B69" w:rsidP="00A70A86">
      <w:pPr>
        <w:rPr>
          <w:rFonts w:ascii="Courier New" w:hAnsi="Courier New" w:cs="Courier New"/>
        </w:rPr>
      </w:pPr>
    </w:p>
    <w:p w14:paraId="3D3B3F32" w14:textId="7408529E" w:rsidR="00BC1EAD" w:rsidRDefault="004774F5" w:rsidP="00A70A86">
      <w:pPr>
        <w:rPr>
          <w:rFonts w:ascii="Courier New" w:hAnsi="Courier New" w:cs="Courier New"/>
        </w:rPr>
      </w:pPr>
      <w:r w:rsidRPr="00991DC3">
        <w:rPr>
          <w:rFonts w:ascii="Courier New" w:hAnsi="Courier New" w:cs="Courier New"/>
        </w:rPr>
        <w:t>Since 2015, MMP has recruited people living with HIV who are out of care. Based on the number of people who self-reported during structured interview that they never received care or were out of care for 12 months or more (n=105 in 2016; n=99 in 2015), we expect at least 100 people to be eligible for this project in 2018. We intend to recruit 40 people to participate in semi-structured in-depth interviews</w:t>
      </w:r>
      <w:r w:rsidR="00856EAB">
        <w:rPr>
          <w:rFonts w:ascii="Courier New" w:hAnsi="Courier New" w:cs="Courier New"/>
        </w:rPr>
        <w:t>—an anticipated 40% response rate</w:t>
      </w:r>
      <w:r w:rsidRPr="00991DC3">
        <w:rPr>
          <w:rFonts w:ascii="Courier New" w:hAnsi="Courier New" w:cs="Courier New"/>
        </w:rPr>
        <w:t xml:space="preserve">. </w:t>
      </w:r>
    </w:p>
    <w:p w14:paraId="02FC4CB1" w14:textId="77777777" w:rsidR="00BC1EAD" w:rsidRDefault="00BC1EAD" w:rsidP="00A70A86">
      <w:pPr>
        <w:rPr>
          <w:rFonts w:ascii="Courier New" w:hAnsi="Courier New" w:cs="Courier New"/>
        </w:rPr>
      </w:pPr>
    </w:p>
    <w:p w14:paraId="200981D0" w14:textId="0A07E4C7" w:rsidR="00BC1EAD" w:rsidRDefault="00E108F3" w:rsidP="00A70A86">
      <w:pPr>
        <w:rPr>
          <w:rFonts w:ascii="Courier New" w:hAnsi="Courier New" w:cs="Courier New"/>
        </w:rPr>
      </w:pPr>
      <w:r>
        <w:rPr>
          <w:rFonts w:ascii="Courier New" w:hAnsi="Courier New" w:cs="Courier New"/>
        </w:rPr>
        <w:t xml:space="preserve">We are using quota sampling to ensure variation in the type of respondents. Our sampling strategy is based on </w:t>
      </w:r>
      <w:r w:rsidR="00D31930">
        <w:rPr>
          <w:rFonts w:ascii="Courier New" w:hAnsi="Courier New" w:cs="Courier New"/>
        </w:rPr>
        <w:t xml:space="preserve">three characteristics: </w:t>
      </w:r>
      <w:r w:rsidR="00D31930" w:rsidRPr="00D31930">
        <w:rPr>
          <w:rFonts w:ascii="Courier New" w:hAnsi="Courier New" w:cs="Courier New"/>
        </w:rPr>
        <w:t>race/ethnicity, length of time since last receipt of HIV care, and the region of residence at the time of the MMP interview</w:t>
      </w:r>
      <w:r w:rsidR="00D31930">
        <w:rPr>
          <w:rFonts w:ascii="Courier New" w:hAnsi="Courier New" w:cs="Courier New"/>
        </w:rPr>
        <w:t xml:space="preserve">. </w:t>
      </w:r>
      <w:r w:rsidR="00D31930" w:rsidRPr="00D31930">
        <w:rPr>
          <w:rFonts w:ascii="Courier New" w:hAnsi="Courier New" w:cs="Courier New"/>
        </w:rPr>
        <w:t xml:space="preserve">These characteristics were chosen because these factors have been related to HIV disparities </w:t>
      </w:r>
      <w:r w:rsidR="00D31930" w:rsidRPr="00D31930">
        <w:rPr>
          <w:rFonts w:ascii="Courier New" w:hAnsi="Courier New" w:cs="Courier New"/>
        </w:rPr>
        <w:fldChar w:fldCharType="begin"/>
      </w:r>
      <w:r w:rsidR="00D31930" w:rsidRPr="00D31930">
        <w:rPr>
          <w:rFonts w:ascii="Courier New" w:hAnsi="Courier New" w:cs="Courier New"/>
        </w:rPr>
        <w:instrText xml:space="preserve"> ADDIN EN.CITE &lt;EndNote&gt;&lt;Cite ExcludeYear="1"&gt;&lt;Author&gt;Centers for Disease Control and Prevention&lt;/Author&gt;&lt;Year&gt;2016&lt;/Year&gt;&lt;RecNum&gt;99&lt;/RecNum&gt;&lt;DisplayText&gt;[23, 24]&lt;/DisplayText&gt;&lt;record&gt;&lt;rec-number&gt;99&lt;/rec-number&gt;&lt;foreign-keys&gt;&lt;key app="EN" db-id="pvfrfpzs9f2tveef5z959z2asxxzxdsrxpex" timestamp="1489244381"&gt;99&lt;/key&gt;&lt;/foreign-keys&gt;&lt;ref-type name="Journal Article"&gt;17&lt;/ref-type&gt;&lt;contributors&gt;&lt;authors&gt;&lt;author&gt;Centers for Disease Control and Prevention,&lt;/author&gt;&lt;/authors&gt;&lt;/contributors&gt;&lt;titles&gt;&lt;title&gt;HIV Surveillance Report, 2015&lt;/title&gt;&lt;/titles&gt;&lt;volume&gt;27&lt;/volume&gt;&lt;dates&gt;&lt;year&gt;2016&lt;/year&gt;&lt;/dates&gt;&lt;urls&gt;&lt;/urls&gt;&lt;/record&gt;&lt;/Cite&gt;&lt;Cite&gt;&lt;Author&gt;Centers for Disease Control and Prevention&lt;/Author&gt;&lt;Year&gt;2017&lt;/Year&gt;&lt;RecNum&gt;19&lt;/RecNum&gt;&lt;record&gt;&lt;rec-number&gt;19&lt;/rec-number&gt;&lt;foreign-keys&gt;&lt;key app="EN" db-id="xrtveez9p29frledtaqvv9xeee5da0aw00pv" timestamp="1517516944"&gt;19&lt;/key&gt;&lt;/foreign-keys&gt;&lt;ref-type name="Government Document"&gt;46&lt;/ref-type&gt;&lt;contributors&gt;&lt;authors&gt;&lt;author&gt;Centers for Disease Control and Prevention,&lt;/author&gt;&lt;/authors&gt;&lt;secondary-authors&gt;&lt;author&gt;Division of HIV/AIDS Prevention&lt;/author&gt;&lt;/secondary-authors&gt;&lt;/contributors&gt;&lt;titles&gt;&lt;title&gt;Division of HIV/AIDS Prevention Strategic Plan 2017 - 2020&lt;/title&gt;&lt;/titles&gt;&lt;pages&gt;1-25&lt;/pages&gt;&lt;dates&gt;&lt;year&gt;2017&lt;/year&gt;&lt;/dates&gt;&lt;urls&gt;&lt;related-urls&gt;&lt;url&gt;https://www.cdc.gov/hiv/pdf/dhap/cdc-hiv-dhap-external-strategic-plan.pdf&lt;/url&gt;&lt;/related-urls&gt;&lt;/urls&gt;&lt;/record&gt;&lt;/Cite&gt;&lt;/EndNote&gt;</w:instrText>
      </w:r>
      <w:r w:rsidR="00D31930" w:rsidRPr="00D31930">
        <w:rPr>
          <w:rFonts w:ascii="Courier New" w:hAnsi="Courier New" w:cs="Courier New"/>
        </w:rPr>
        <w:fldChar w:fldCharType="separate"/>
      </w:r>
      <w:r w:rsidR="00D31930" w:rsidRPr="00D31930">
        <w:rPr>
          <w:rFonts w:ascii="Courier New" w:hAnsi="Courier New" w:cs="Courier New"/>
        </w:rPr>
        <w:t>[2</w:t>
      </w:r>
      <w:r w:rsidR="00931580">
        <w:rPr>
          <w:rFonts w:ascii="Courier New" w:hAnsi="Courier New" w:cs="Courier New"/>
        </w:rPr>
        <w:t>4</w:t>
      </w:r>
      <w:r w:rsidR="00D31930" w:rsidRPr="00D31930">
        <w:rPr>
          <w:rFonts w:ascii="Courier New" w:hAnsi="Courier New" w:cs="Courier New"/>
        </w:rPr>
        <w:t>, 2</w:t>
      </w:r>
      <w:r w:rsidR="00931580">
        <w:rPr>
          <w:rFonts w:ascii="Courier New" w:hAnsi="Courier New" w:cs="Courier New"/>
        </w:rPr>
        <w:t>5</w:t>
      </w:r>
      <w:r w:rsidR="00D31930" w:rsidRPr="00D31930">
        <w:rPr>
          <w:rFonts w:ascii="Courier New" w:hAnsi="Courier New" w:cs="Courier New"/>
        </w:rPr>
        <w:t>]</w:t>
      </w:r>
      <w:r w:rsidR="00D31930" w:rsidRPr="00D31930">
        <w:rPr>
          <w:rFonts w:ascii="Courier New" w:hAnsi="Courier New" w:cs="Courier New"/>
        </w:rPr>
        <w:fldChar w:fldCharType="end"/>
      </w:r>
      <w:r w:rsidR="00D31930" w:rsidRPr="00D31930">
        <w:rPr>
          <w:rFonts w:ascii="Courier New" w:hAnsi="Courier New" w:cs="Courier New"/>
        </w:rPr>
        <w:t xml:space="preserve"> and we expect there to be some relevant variations in the experiences of people not in care who differ on these characteristics. </w:t>
      </w:r>
    </w:p>
    <w:p w14:paraId="20DC8FF5" w14:textId="77777777" w:rsidR="00BC1EAD" w:rsidRDefault="00BC1EAD" w:rsidP="00A70A86">
      <w:pPr>
        <w:rPr>
          <w:rFonts w:ascii="Courier New" w:hAnsi="Courier New" w:cs="Courier New"/>
        </w:rPr>
      </w:pPr>
    </w:p>
    <w:p w14:paraId="51205B6E" w14:textId="38ADEE1E" w:rsidR="00A70A86" w:rsidRDefault="00D31930" w:rsidP="00A70A86">
      <w:pPr>
        <w:rPr>
          <w:rFonts w:ascii="Courier New" w:hAnsi="Courier New" w:cs="Courier New"/>
        </w:rPr>
      </w:pPr>
      <w:r>
        <w:rPr>
          <w:rFonts w:ascii="Courier New" w:hAnsi="Courier New" w:cs="Courier New"/>
        </w:rPr>
        <w:t xml:space="preserve">We reviewed data collected from the 2015 and 2016 MMP cycles to determine whether we could recruit at least 5 people for each category who meet the criteria outlined in the quota sampling. We determined that </w:t>
      </w:r>
      <w:r w:rsidR="00392A22">
        <w:rPr>
          <w:rFonts w:ascii="Courier New" w:hAnsi="Courier New" w:cs="Courier New"/>
        </w:rPr>
        <w:t>5 people for each category would represent on average between 16-50% of people</w:t>
      </w:r>
      <w:r w:rsidR="00D679B0">
        <w:rPr>
          <w:rFonts w:ascii="Courier New" w:hAnsi="Courier New" w:cs="Courier New"/>
        </w:rPr>
        <w:t xml:space="preserve"> in each category</w:t>
      </w:r>
      <w:r w:rsidR="00392A22">
        <w:rPr>
          <w:rFonts w:ascii="Courier New" w:hAnsi="Courier New" w:cs="Courier New"/>
        </w:rPr>
        <w:t xml:space="preserve"> who are eligible for this project. </w:t>
      </w:r>
      <w:r>
        <w:rPr>
          <w:rFonts w:ascii="Courier New" w:hAnsi="Courier New" w:cs="Courier New"/>
        </w:rPr>
        <w:t xml:space="preserve"> </w:t>
      </w:r>
      <w:r w:rsidR="00D679B0">
        <w:rPr>
          <w:rFonts w:ascii="Courier New" w:hAnsi="Courier New" w:cs="Courier New"/>
        </w:rPr>
        <w:t>Additionally, o</w:t>
      </w:r>
      <w:r w:rsidR="00E108F3">
        <w:rPr>
          <w:rFonts w:ascii="Courier New" w:hAnsi="Courier New" w:cs="Courier New"/>
        </w:rPr>
        <w:t>ur sample size of 40 respondents</w:t>
      </w:r>
      <w:r w:rsidR="004774F5" w:rsidRPr="00991DC3">
        <w:rPr>
          <w:rFonts w:ascii="Courier New" w:hAnsi="Courier New" w:cs="Courier New"/>
        </w:rPr>
        <w:t xml:space="preserve"> assumes a 40% participation rate among people who are eligible for this project. </w:t>
      </w:r>
      <w:r w:rsidR="000E0C3C">
        <w:rPr>
          <w:rFonts w:ascii="Courier New" w:hAnsi="Courier New" w:cs="Courier New"/>
        </w:rPr>
        <w:t>We also believe that a sample size of 40 respondents is sufficient to</w:t>
      </w:r>
      <w:r w:rsidR="004E6BD2">
        <w:rPr>
          <w:rFonts w:ascii="Courier New" w:hAnsi="Courier New" w:cs="Courier New"/>
        </w:rPr>
        <w:t xml:space="preserve"> achieve the goal of the sampling strategy.</w:t>
      </w:r>
      <w:r w:rsidR="000E0C3C">
        <w:rPr>
          <w:rFonts w:ascii="Courier New" w:hAnsi="Courier New" w:cs="Courier New"/>
        </w:rPr>
        <w:t xml:space="preserve"> </w:t>
      </w:r>
    </w:p>
    <w:p w14:paraId="2EC300E8" w14:textId="77777777" w:rsidR="00FE7B69" w:rsidRPr="004F1C30" w:rsidRDefault="00FE7B69" w:rsidP="00A70A86">
      <w:pPr>
        <w:rPr>
          <w:rFonts w:ascii="Courier New" w:hAnsi="Courier New" w:cs="Courier New"/>
        </w:rPr>
      </w:pPr>
    </w:p>
    <w:p w14:paraId="616059B5" w14:textId="77777777" w:rsidR="00A70A86" w:rsidRPr="004F1C30" w:rsidRDefault="00A70A86" w:rsidP="00A70A86">
      <w:pPr>
        <w:rPr>
          <w:rFonts w:ascii="Courier New" w:hAnsi="Courier New" w:cs="Courier New"/>
          <w:u w:val="single"/>
        </w:rPr>
      </w:pPr>
      <w:r w:rsidRPr="004F1C30">
        <w:rPr>
          <w:rFonts w:ascii="Courier New" w:hAnsi="Courier New" w:cs="Courier New"/>
          <w:u w:val="single"/>
        </w:rPr>
        <w:t>Methods to maximize response rates</w:t>
      </w:r>
    </w:p>
    <w:p w14:paraId="485E7149" w14:textId="77777777" w:rsidR="00A70A86" w:rsidRPr="004F1C30" w:rsidRDefault="00A70A86" w:rsidP="00A70A86">
      <w:pPr>
        <w:rPr>
          <w:rFonts w:ascii="Courier New" w:hAnsi="Courier New" w:cs="Courier New"/>
        </w:rPr>
      </w:pPr>
    </w:p>
    <w:p w14:paraId="090A370D" w14:textId="5376CC0C" w:rsidR="000E3B71" w:rsidRDefault="000E3B71" w:rsidP="00A70A86">
      <w:pPr>
        <w:rPr>
          <w:rFonts w:ascii="Courier New" w:hAnsi="Courier New" w:cs="Courier New"/>
        </w:rPr>
      </w:pPr>
      <w:r>
        <w:rPr>
          <w:rFonts w:ascii="Courier New" w:hAnsi="Courier New" w:cs="Courier New"/>
        </w:rPr>
        <w:t>Our sample size of 40 respondents</w:t>
      </w:r>
      <w:r w:rsidRPr="0081598D">
        <w:rPr>
          <w:rFonts w:ascii="Courier New" w:hAnsi="Courier New" w:cs="Courier New"/>
        </w:rPr>
        <w:t xml:space="preserve"> assumes a 40% participation rate among people who are eligible for this project</w:t>
      </w:r>
      <w:r w:rsidR="006605F8">
        <w:rPr>
          <w:rFonts w:ascii="Courier New" w:hAnsi="Courier New" w:cs="Courier New"/>
        </w:rPr>
        <w:t xml:space="preserve"> based on their responses to the MMP structured interview questionnaire in 2018</w:t>
      </w:r>
      <w:r w:rsidRPr="0081598D">
        <w:rPr>
          <w:rFonts w:ascii="Courier New" w:hAnsi="Courier New" w:cs="Courier New"/>
        </w:rPr>
        <w:t xml:space="preserve">. Qualitative studies typically have a smaller number of respondents compared to survey research. Previous research has indicated that it is possible to reach data saturation after 7-12 interviews, and meaning saturation </w:t>
      </w:r>
      <w:r w:rsidR="00B00603">
        <w:rPr>
          <w:rFonts w:ascii="Courier New" w:hAnsi="Courier New" w:cs="Courier New"/>
        </w:rPr>
        <w:t>after</w:t>
      </w:r>
      <w:r w:rsidRPr="0081598D">
        <w:rPr>
          <w:rFonts w:ascii="Courier New" w:hAnsi="Courier New" w:cs="Courier New"/>
        </w:rPr>
        <w:t xml:space="preserve"> 13-24 interviews for more difficult concepts</w:t>
      </w:r>
      <w:r w:rsidR="006D1425">
        <w:rPr>
          <w:rFonts w:ascii="Courier New" w:hAnsi="Courier New" w:cs="Courier New"/>
        </w:rPr>
        <w:t xml:space="preserve"> [2</w:t>
      </w:r>
      <w:r w:rsidR="00775BF7">
        <w:rPr>
          <w:rFonts w:ascii="Courier New" w:hAnsi="Courier New" w:cs="Courier New"/>
        </w:rPr>
        <w:t>6]</w:t>
      </w:r>
      <w:r w:rsidRPr="0081598D">
        <w:rPr>
          <w:rFonts w:ascii="Courier New" w:hAnsi="Courier New" w:cs="Courier New"/>
        </w:rPr>
        <w:t>. With our intended sample of 40 people, we expect to reach data and meaning saturation while accounting for possible non-participation from people who are eligible for this project.</w:t>
      </w:r>
    </w:p>
    <w:p w14:paraId="7D5AE157" w14:textId="77777777" w:rsidR="000E3B71" w:rsidRDefault="000E3B71" w:rsidP="00A70A86">
      <w:pPr>
        <w:rPr>
          <w:rFonts w:ascii="Courier New" w:hAnsi="Courier New" w:cs="Courier New"/>
        </w:rPr>
      </w:pPr>
    </w:p>
    <w:p w14:paraId="5737D82C" w14:textId="29630EA9" w:rsidR="000E3B71" w:rsidRDefault="000E3B71" w:rsidP="00A70A86">
      <w:pPr>
        <w:rPr>
          <w:rFonts w:ascii="Courier New" w:hAnsi="Courier New" w:cs="Courier New"/>
        </w:rPr>
      </w:pPr>
      <w:r>
        <w:rPr>
          <w:rFonts w:ascii="Courier New" w:hAnsi="Courier New" w:cs="Courier New"/>
        </w:rPr>
        <w:t xml:space="preserve">To ensure that we meet our sample size of 40, project areas will be responsible for reminding eligible persons who were scheduled for an in-depth interview about their appointment and </w:t>
      </w:r>
      <w:r w:rsidR="006605F8">
        <w:rPr>
          <w:rFonts w:ascii="Courier New" w:hAnsi="Courier New" w:cs="Courier New"/>
        </w:rPr>
        <w:t>contacting</w:t>
      </w:r>
      <w:r>
        <w:rPr>
          <w:rFonts w:ascii="Courier New" w:hAnsi="Courier New" w:cs="Courier New"/>
        </w:rPr>
        <w:t xml:space="preserve"> persons who missed their interview. Project areas will try to reschedule missed interviews until the data collection for this project ends one year after OMB approval. </w:t>
      </w:r>
    </w:p>
    <w:p w14:paraId="54A7FD98" w14:textId="009FD71B" w:rsidR="00A70A86" w:rsidRPr="004F1C30" w:rsidRDefault="00A70A86" w:rsidP="00A70A86">
      <w:pPr>
        <w:rPr>
          <w:rFonts w:ascii="Courier New" w:hAnsi="Courier New" w:cs="Courier New"/>
        </w:rPr>
      </w:pPr>
    </w:p>
    <w:p w14:paraId="02D724A4" w14:textId="651C3307" w:rsidR="00A70A86" w:rsidRPr="004F1C30" w:rsidRDefault="008D7658" w:rsidP="00A70A86">
      <w:pPr>
        <w:rPr>
          <w:rFonts w:ascii="Courier New" w:hAnsi="Courier New" w:cs="Courier New"/>
        </w:rPr>
      </w:pPr>
      <w:r w:rsidRPr="008D7658">
        <w:rPr>
          <w:rFonts w:ascii="Courier New" w:hAnsi="Courier New" w:cs="Courier New"/>
        </w:rPr>
        <w:t xml:space="preserve">In his memorandum for the President’s management council dated January 20, 2006, the Administrator of the Office of Information and Regulatory Affairs of the Office of Management and Budget wrote, </w:t>
      </w:r>
      <w:r w:rsidR="001114B7" w:rsidRPr="001114B7">
        <w:rPr>
          <w:rFonts w:ascii="Courier New" w:hAnsi="Courier New" w:cs="Courier New"/>
        </w:rPr>
        <w:t>“Incentives are also often used in studies used to develop surveys. For example, research subjects who participate in cognitive research protocols and focus groups are typically paid an incentive for their participation.”</w:t>
      </w:r>
      <w:r w:rsidR="001114B7">
        <w:rPr>
          <w:rFonts w:ascii="Courier New" w:hAnsi="Courier New" w:cs="Courier New"/>
        </w:rPr>
        <w:t xml:space="preserve"> This statement implies that tokens of appreciation are appropriate for studies using qualitative methods with the intention to improve survey research. </w:t>
      </w:r>
      <w:r w:rsidR="001114B7" w:rsidRPr="008D7658">
        <w:rPr>
          <w:rFonts w:ascii="Courier New" w:hAnsi="Courier New" w:cs="Courier New"/>
        </w:rPr>
        <w:t xml:space="preserve">Tokens of appreciation have been found to increase willingness to participate in qualitative </w:t>
      </w:r>
      <w:r w:rsidR="003D7601" w:rsidRPr="008D7658">
        <w:rPr>
          <w:rFonts w:ascii="Courier New" w:hAnsi="Courier New" w:cs="Courier New"/>
        </w:rPr>
        <w:t>research</w:t>
      </w:r>
      <w:r w:rsidR="003D7601">
        <w:rPr>
          <w:rFonts w:ascii="Courier New" w:hAnsi="Courier New" w:cs="Courier New"/>
        </w:rPr>
        <w:t xml:space="preserve"> [</w:t>
      </w:r>
      <w:r w:rsidR="00931580">
        <w:rPr>
          <w:rFonts w:ascii="Courier New" w:hAnsi="Courier New" w:cs="Courier New"/>
        </w:rPr>
        <w:t>22]</w:t>
      </w:r>
      <w:r w:rsidR="001114B7" w:rsidRPr="008D7658">
        <w:rPr>
          <w:rFonts w:ascii="Courier New" w:hAnsi="Courier New" w:cs="Courier New"/>
        </w:rPr>
        <w:t xml:space="preserve">. </w:t>
      </w:r>
      <w:r w:rsidR="00A70A86" w:rsidRPr="004F1C30">
        <w:rPr>
          <w:rFonts w:ascii="Courier New" w:hAnsi="Courier New" w:cs="Courier New"/>
        </w:rPr>
        <w:t xml:space="preserve">A token of appreciation is also useful for groups that are hard to reach, including those for whom conventional means of motivation may not work, such as disenfranchised populations like those recruited for </w:t>
      </w:r>
      <w:r w:rsidR="00A50E9F">
        <w:rPr>
          <w:rFonts w:ascii="Courier New" w:hAnsi="Courier New" w:cs="Courier New"/>
        </w:rPr>
        <w:t>this pr</w:t>
      </w:r>
      <w:r w:rsidR="00E73892">
        <w:rPr>
          <w:rFonts w:ascii="Courier New" w:hAnsi="Courier New" w:cs="Courier New"/>
        </w:rPr>
        <w:t>o</w:t>
      </w:r>
      <w:r w:rsidR="00A50E9F">
        <w:rPr>
          <w:rFonts w:ascii="Courier New" w:hAnsi="Courier New" w:cs="Courier New"/>
        </w:rPr>
        <w:t>ject</w:t>
      </w:r>
      <w:r w:rsidR="00775BF7">
        <w:rPr>
          <w:rFonts w:ascii="Courier New" w:hAnsi="Courier New" w:cs="Courier New"/>
        </w:rPr>
        <w:t xml:space="preserve"> [27</w:t>
      </w:r>
      <w:r w:rsidR="003D7601">
        <w:rPr>
          <w:rFonts w:ascii="Courier New" w:hAnsi="Courier New" w:cs="Courier New"/>
        </w:rPr>
        <w:t>, 28</w:t>
      </w:r>
      <w:r w:rsidR="00775BF7">
        <w:rPr>
          <w:rFonts w:ascii="Courier New" w:hAnsi="Courier New" w:cs="Courier New"/>
        </w:rPr>
        <w:t>]</w:t>
      </w:r>
      <w:r w:rsidR="00E73892">
        <w:rPr>
          <w:rFonts w:ascii="Courier New" w:hAnsi="Courier New" w:cs="Courier New"/>
        </w:rPr>
        <w:t xml:space="preserve">. </w:t>
      </w:r>
      <w:r w:rsidRPr="008D7658">
        <w:rPr>
          <w:rFonts w:ascii="Courier New" w:hAnsi="Courier New" w:cs="Courier New"/>
        </w:rPr>
        <w:t xml:space="preserve"> </w:t>
      </w:r>
      <w:r w:rsidR="00A70A86" w:rsidRPr="004F1C30">
        <w:rPr>
          <w:rFonts w:ascii="Courier New" w:hAnsi="Courier New" w:cs="Courier New"/>
        </w:rPr>
        <w:t xml:space="preserve">Providing a token of appreciation </w:t>
      </w:r>
      <w:r w:rsidR="004255C0">
        <w:rPr>
          <w:rFonts w:ascii="Courier New" w:hAnsi="Courier New" w:cs="Courier New"/>
        </w:rPr>
        <w:t>to</w:t>
      </w:r>
      <w:r w:rsidR="00A70A86" w:rsidRPr="004F1C30">
        <w:rPr>
          <w:rFonts w:ascii="Courier New" w:hAnsi="Courier New" w:cs="Courier New"/>
        </w:rPr>
        <w:t xml:space="preserve"> respondents is critical to achieve acceptable response rates. </w:t>
      </w:r>
    </w:p>
    <w:p w14:paraId="3B73AAF1" w14:textId="77777777" w:rsidR="00A70A86" w:rsidRPr="004F1C30" w:rsidRDefault="00A70A86" w:rsidP="00A70A86">
      <w:pPr>
        <w:rPr>
          <w:rFonts w:ascii="Courier New" w:hAnsi="Courier New" w:cs="Courier New"/>
        </w:rPr>
      </w:pPr>
    </w:p>
    <w:p w14:paraId="5F71B44B" w14:textId="41078082" w:rsidR="00A70A86" w:rsidRPr="004F1C30" w:rsidRDefault="00A70A86" w:rsidP="00A70A86">
      <w:pPr>
        <w:rPr>
          <w:rFonts w:ascii="Courier New" w:hAnsi="Courier New" w:cs="Courier New"/>
          <w:u w:val="single"/>
        </w:rPr>
      </w:pPr>
      <w:r w:rsidRPr="004F1C30">
        <w:rPr>
          <w:rFonts w:ascii="Courier New" w:hAnsi="Courier New" w:cs="Courier New"/>
          <w:u w:val="single"/>
        </w:rPr>
        <w:t xml:space="preserve">Assessing </w:t>
      </w:r>
      <w:r w:rsidR="003D7601">
        <w:rPr>
          <w:rFonts w:ascii="Courier New" w:hAnsi="Courier New" w:cs="Courier New"/>
          <w:u w:val="single"/>
        </w:rPr>
        <w:t>n</w:t>
      </w:r>
      <w:r w:rsidRPr="004F1C30">
        <w:rPr>
          <w:rFonts w:ascii="Courier New" w:hAnsi="Courier New" w:cs="Courier New"/>
          <w:u w:val="single"/>
        </w:rPr>
        <w:t>on-</w:t>
      </w:r>
      <w:r w:rsidR="003D7601">
        <w:rPr>
          <w:rFonts w:ascii="Courier New" w:hAnsi="Courier New" w:cs="Courier New"/>
          <w:u w:val="single"/>
        </w:rPr>
        <w:t>r</w:t>
      </w:r>
      <w:r w:rsidRPr="004F1C30">
        <w:rPr>
          <w:rFonts w:ascii="Courier New" w:hAnsi="Courier New" w:cs="Courier New"/>
          <w:u w:val="single"/>
        </w:rPr>
        <w:t xml:space="preserve">esponse </w:t>
      </w:r>
      <w:r w:rsidR="003D7601">
        <w:rPr>
          <w:rFonts w:ascii="Courier New" w:hAnsi="Courier New" w:cs="Courier New"/>
          <w:u w:val="single"/>
        </w:rPr>
        <w:t>b</w:t>
      </w:r>
      <w:r w:rsidRPr="004F1C30">
        <w:rPr>
          <w:rFonts w:ascii="Courier New" w:hAnsi="Courier New" w:cs="Courier New"/>
          <w:u w:val="single"/>
        </w:rPr>
        <w:t>ias</w:t>
      </w:r>
    </w:p>
    <w:p w14:paraId="281E8BCC" w14:textId="77777777" w:rsidR="00A70A86" w:rsidRPr="004F1C30" w:rsidRDefault="00A70A86" w:rsidP="00A70A86">
      <w:pPr>
        <w:rPr>
          <w:rFonts w:ascii="Courier New" w:hAnsi="Courier New" w:cs="Courier New"/>
          <w:u w:val="single"/>
        </w:rPr>
      </w:pPr>
    </w:p>
    <w:p w14:paraId="1AFE9C70" w14:textId="292399AC" w:rsidR="00A70A86" w:rsidRPr="004F1C30" w:rsidRDefault="00A70A86" w:rsidP="00A70A86">
      <w:pPr>
        <w:rPr>
          <w:rFonts w:ascii="Courier New" w:hAnsi="Courier New" w:cs="Courier New"/>
        </w:rPr>
      </w:pPr>
      <w:r w:rsidRPr="004F1C30">
        <w:rPr>
          <w:rFonts w:ascii="Courier New" w:hAnsi="Courier New" w:cs="Courier New"/>
        </w:rPr>
        <w:t xml:space="preserve">The use of an eligibility screener </w:t>
      </w:r>
      <w:r w:rsidR="00A032DE">
        <w:rPr>
          <w:rFonts w:ascii="Courier New" w:hAnsi="Courier New" w:cs="Courier New"/>
        </w:rPr>
        <w:t xml:space="preserve">embedded within the MMP structured interview questionnaire </w:t>
      </w:r>
      <w:r w:rsidRPr="004F1C30">
        <w:rPr>
          <w:rFonts w:ascii="Courier New" w:hAnsi="Courier New" w:cs="Courier New"/>
        </w:rPr>
        <w:t xml:space="preserve">will allow </w:t>
      </w:r>
      <w:r w:rsidR="00E73892">
        <w:rPr>
          <w:rFonts w:ascii="Courier New" w:hAnsi="Courier New" w:cs="Courier New"/>
        </w:rPr>
        <w:t xml:space="preserve">for </w:t>
      </w:r>
      <w:r w:rsidRPr="004F1C30">
        <w:rPr>
          <w:rFonts w:ascii="Courier New" w:hAnsi="Courier New" w:cs="Courier New"/>
        </w:rPr>
        <w:t>comparison of the demographic and eligibility-related behavioral data among those who are eligible</w:t>
      </w:r>
      <w:r w:rsidR="00B14535">
        <w:rPr>
          <w:rFonts w:ascii="Courier New" w:hAnsi="Courier New" w:cs="Courier New"/>
        </w:rPr>
        <w:t xml:space="preserve"> and participated and those who are eligible</w:t>
      </w:r>
      <w:r w:rsidRPr="004F1C30">
        <w:rPr>
          <w:rFonts w:ascii="Courier New" w:hAnsi="Courier New" w:cs="Courier New"/>
        </w:rPr>
        <w:t xml:space="preserve"> </w:t>
      </w:r>
      <w:r w:rsidR="00A032DE">
        <w:rPr>
          <w:rFonts w:ascii="Courier New" w:hAnsi="Courier New" w:cs="Courier New"/>
        </w:rPr>
        <w:t>but did not choose to participate in this project</w:t>
      </w:r>
      <w:r w:rsidRPr="004F1C30">
        <w:rPr>
          <w:rFonts w:ascii="Courier New" w:hAnsi="Courier New" w:cs="Courier New"/>
        </w:rPr>
        <w:t xml:space="preserve">. </w:t>
      </w:r>
    </w:p>
    <w:p w14:paraId="34C43EE3" w14:textId="77777777" w:rsidR="00A70A86" w:rsidRPr="004F1C30" w:rsidRDefault="00A70A86" w:rsidP="00A70A86">
      <w:pPr>
        <w:rPr>
          <w:rFonts w:ascii="Courier New" w:hAnsi="Courier New" w:cs="Courier New"/>
        </w:rPr>
      </w:pPr>
    </w:p>
    <w:p w14:paraId="7C804729" w14:textId="40FDCBA9" w:rsidR="00A70A86" w:rsidRPr="004F1C30" w:rsidRDefault="00A70A86" w:rsidP="00A70A86">
      <w:pPr>
        <w:rPr>
          <w:rFonts w:ascii="Courier New" w:hAnsi="Courier New" w:cs="Courier New"/>
          <w:u w:val="single"/>
        </w:rPr>
      </w:pPr>
      <w:r w:rsidRPr="004F1C30">
        <w:rPr>
          <w:rFonts w:ascii="Courier New" w:hAnsi="Courier New" w:cs="Courier New"/>
          <w:u w:val="single"/>
        </w:rPr>
        <w:t>Generalizability</w:t>
      </w:r>
    </w:p>
    <w:p w14:paraId="6036F63D" w14:textId="77777777" w:rsidR="00A70A86" w:rsidRPr="004F1C30" w:rsidRDefault="00A70A86" w:rsidP="00A70A86">
      <w:pPr>
        <w:rPr>
          <w:rFonts w:ascii="Courier New" w:hAnsi="Courier New" w:cs="Courier New"/>
        </w:rPr>
      </w:pPr>
    </w:p>
    <w:p w14:paraId="124D9A43" w14:textId="25D3FAE9" w:rsidR="00A70A86" w:rsidRPr="004F1C30" w:rsidRDefault="00F42748">
      <w:pPr>
        <w:rPr>
          <w:rFonts w:ascii="Courier New" w:hAnsi="Courier New" w:cs="Courier New"/>
        </w:rPr>
      </w:pPr>
      <w:r w:rsidRPr="004F1C30">
        <w:rPr>
          <w:rFonts w:ascii="Courier New" w:hAnsi="Courier New" w:cs="Courier New"/>
        </w:rPr>
        <w:t xml:space="preserve">Data collected </w:t>
      </w:r>
      <w:r w:rsidR="007B636E">
        <w:rPr>
          <w:rFonts w:ascii="Courier New" w:hAnsi="Courier New" w:cs="Courier New"/>
        </w:rPr>
        <w:t>for this project will be used to improve MMP and is not intended to be generalizable to any broader population</w:t>
      </w:r>
      <w:r w:rsidRPr="004F1C30">
        <w:rPr>
          <w:rFonts w:ascii="Courier New" w:hAnsi="Courier New" w:cs="Courier New"/>
        </w:rPr>
        <w:t xml:space="preserve">. </w:t>
      </w:r>
      <w:r w:rsidR="007B636E">
        <w:rPr>
          <w:rFonts w:ascii="Courier New" w:hAnsi="Courier New" w:cs="Courier New"/>
        </w:rPr>
        <w:t xml:space="preserve"> </w:t>
      </w:r>
      <w:r w:rsidR="00703DF2">
        <w:rPr>
          <w:rFonts w:ascii="Courier New" w:hAnsi="Courier New" w:cs="Courier New"/>
        </w:rPr>
        <w:t>G</w:t>
      </w:r>
      <w:r w:rsidR="007B636E">
        <w:rPr>
          <w:rFonts w:ascii="Courier New" w:hAnsi="Courier New" w:cs="Courier New"/>
        </w:rPr>
        <w:t xml:space="preserve">iven the qualitative nature of this project, it is not expected that any generalizable data will be produced. </w:t>
      </w:r>
    </w:p>
    <w:p w14:paraId="6D46EA60" w14:textId="179A78D8" w:rsidR="00D47673" w:rsidRPr="004F1C30" w:rsidRDefault="00D47673" w:rsidP="00D47673">
      <w:pPr>
        <w:rPr>
          <w:rFonts w:ascii="Courier New" w:hAnsi="Courier New" w:cs="Courier New"/>
        </w:rPr>
      </w:pPr>
    </w:p>
    <w:p w14:paraId="4ACD27ED" w14:textId="4660674A" w:rsidR="00D47673" w:rsidRPr="004F1C30" w:rsidRDefault="00F20794" w:rsidP="00863434">
      <w:pPr>
        <w:rPr>
          <w:rFonts w:ascii="Courier New" w:hAnsi="Courier New" w:cs="Courier New"/>
          <w:b/>
        </w:rPr>
      </w:pPr>
      <w:r>
        <w:rPr>
          <w:rFonts w:ascii="Courier New" w:hAnsi="Courier New" w:cs="Courier New"/>
          <w:b/>
        </w:rPr>
        <w:t>B.</w:t>
      </w:r>
      <w:r w:rsidR="00D47673" w:rsidRPr="004F1C30">
        <w:rPr>
          <w:rFonts w:ascii="Courier New" w:hAnsi="Courier New" w:cs="Courier New"/>
          <w:b/>
        </w:rPr>
        <w:t>4. Tests of Procedures or Methods to be Undertaken</w:t>
      </w:r>
    </w:p>
    <w:p w14:paraId="3B8197D9" w14:textId="77777777" w:rsidR="00D47673" w:rsidRPr="004F1C30" w:rsidRDefault="00D47673" w:rsidP="00D47673">
      <w:pPr>
        <w:rPr>
          <w:rFonts w:ascii="Courier New" w:hAnsi="Courier New" w:cs="Courier New"/>
        </w:rPr>
      </w:pPr>
    </w:p>
    <w:p w14:paraId="70D62832" w14:textId="77777777" w:rsidR="00974F78" w:rsidRDefault="00974F78" w:rsidP="00974F78">
      <w:pPr>
        <w:rPr>
          <w:rFonts w:ascii="Courier New" w:hAnsi="Courier New" w:cs="Courier New"/>
        </w:rPr>
      </w:pPr>
      <w:r>
        <w:rPr>
          <w:rFonts w:ascii="Courier New" w:hAnsi="Courier New" w:cs="Courier New"/>
        </w:rPr>
        <w:t xml:space="preserve">The collection of information for this project does not involve statistical methods. </w:t>
      </w:r>
    </w:p>
    <w:p w14:paraId="4A2AC48A" w14:textId="77777777" w:rsidR="00974F78" w:rsidRDefault="00974F78" w:rsidP="00D47673">
      <w:pPr>
        <w:rPr>
          <w:rFonts w:ascii="Courier New" w:hAnsi="Courier New" w:cs="Courier New"/>
        </w:rPr>
      </w:pPr>
    </w:p>
    <w:p w14:paraId="3F89B2F0" w14:textId="6EB86F1C" w:rsidR="00D47673" w:rsidRPr="004F1C30" w:rsidRDefault="00D47673" w:rsidP="00D47673">
      <w:pPr>
        <w:rPr>
          <w:rFonts w:ascii="Courier New" w:hAnsi="Courier New" w:cs="Courier New"/>
        </w:rPr>
      </w:pPr>
      <w:r w:rsidRPr="004F1C30">
        <w:rPr>
          <w:rFonts w:ascii="Courier New" w:hAnsi="Courier New" w:cs="Courier New"/>
        </w:rPr>
        <w:t>CDC staff conduct</w:t>
      </w:r>
      <w:r w:rsidR="00974F78">
        <w:rPr>
          <w:rFonts w:ascii="Courier New" w:hAnsi="Courier New" w:cs="Courier New"/>
        </w:rPr>
        <w:t>ed</w:t>
      </w:r>
      <w:r w:rsidRPr="004F1C30">
        <w:rPr>
          <w:rFonts w:ascii="Courier New" w:hAnsi="Courier New" w:cs="Courier New"/>
        </w:rPr>
        <w:t xml:space="preserve"> mock interviews </w:t>
      </w:r>
      <w:r w:rsidR="00EC7E30">
        <w:rPr>
          <w:rFonts w:ascii="Courier New" w:hAnsi="Courier New" w:cs="Courier New"/>
        </w:rPr>
        <w:t>with</w:t>
      </w:r>
      <w:r w:rsidR="00EC7E30" w:rsidRPr="004F1C30">
        <w:rPr>
          <w:rFonts w:ascii="Courier New" w:hAnsi="Courier New" w:cs="Courier New"/>
        </w:rPr>
        <w:t xml:space="preserve"> </w:t>
      </w:r>
      <w:r w:rsidRPr="004F1C30">
        <w:rPr>
          <w:rFonts w:ascii="Courier New" w:hAnsi="Courier New" w:cs="Courier New"/>
        </w:rPr>
        <w:t xml:space="preserve">their CDC colleagues using the </w:t>
      </w:r>
      <w:r w:rsidR="00974F78">
        <w:rPr>
          <w:rFonts w:ascii="Courier New" w:hAnsi="Courier New" w:cs="Courier New"/>
        </w:rPr>
        <w:t>interview guide</w:t>
      </w:r>
      <w:r w:rsidR="00F370DF" w:rsidRPr="004F1C30">
        <w:rPr>
          <w:rFonts w:ascii="Courier New" w:hAnsi="Courier New" w:cs="Courier New"/>
        </w:rPr>
        <w:t>.</w:t>
      </w:r>
      <w:r w:rsidR="00D01A83">
        <w:rPr>
          <w:rFonts w:ascii="Courier New" w:hAnsi="Courier New" w:cs="Courier New"/>
        </w:rPr>
        <w:t xml:space="preserve"> The MMP Community Advisor</w:t>
      </w:r>
      <w:r w:rsidR="00B705A5">
        <w:rPr>
          <w:rFonts w:ascii="Courier New" w:hAnsi="Courier New" w:cs="Courier New"/>
        </w:rPr>
        <w:t>y</w:t>
      </w:r>
      <w:r w:rsidR="00D01A83">
        <w:rPr>
          <w:rFonts w:ascii="Courier New" w:hAnsi="Courier New" w:cs="Courier New"/>
        </w:rPr>
        <w:t xml:space="preserve"> Board also provide</w:t>
      </w:r>
      <w:r w:rsidR="00EC7E30">
        <w:rPr>
          <w:rFonts w:ascii="Courier New" w:hAnsi="Courier New" w:cs="Courier New"/>
        </w:rPr>
        <w:t>d</w:t>
      </w:r>
      <w:r w:rsidR="00D01A83">
        <w:rPr>
          <w:rFonts w:ascii="Courier New" w:hAnsi="Courier New" w:cs="Courier New"/>
        </w:rPr>
        <w:t xml:space="preserve"> consultation on the interview guide.</w:t>
      </w:r>
      <w:r w:rsidR="00F370DF" w:rsidRPr="004F1C30">
        <w:rPr>
          <w:rFonts w:ascii="Courier New" w:hAnsi="Courier New" w:cs="Courier New"/>
        </w:rPr>
        <w:t xml:space="preserve"> </w:t>
      </w:r>
      <w:r w:rsidRPr="004F1C30">
        <w:rPr>
          <w:rFonts w:ascii="Courier New" w:hAnsi="Courier New" w:cs="Courier New"/>
        </w:rPr>
        <w:t>OMB will be informed of any changes to data collection procedures or instruments as quickly as possible.</w:t>
      </w:r>
    </w:p>
    <w:p w14:paraId="2C5DB93B" w14:textId="77777777" w:rsidR="008A18E1" w:rsidRPr="004F1C30" w:rsidRDefault="008A18E1" w:rsidP="005342FB">
      <w:pPr>
        <w:rPr>
          <w:rFonts w:ascii="Courier New" w:hAnsi="Courier New" w:cs="Courier New"/>
        </w:rPr>
      </w:pPr>
    </w:p>
    <w:p w14:paraId="4F61F5E7" w14:textId="77777777" w:rsidR="001A0F2F" w:rsidRPr="004F1C30" w:rsidRDefault="001A0F2F" w:rsidP="001A0F2F">
      <w:pPr>
        <w:widowControl w:val="0"/>
        <w:autoSpaceDE w:val="0"/>
        <w:autoSpaceDN w:val="0"/>
        <w:adjustRightInd w:val="0"/>
        <w:rPr>
          <w:rFonts w:ascii="Courier New" w:hAnsi="Courier New" w:cs="Courier New"/>
          <w:b/>
        </w:rPr>
      </w:pPr>
    </w:p>
    <w:p w14:paraId="0188FB3B" w14:textId="1D660A94" w:rsidR="001A0F2F" w:rsidRDefault="00F20794" w:rsidP="001A0F2F">
      <w:pPr>
        <w:widowControl w:val="0"/>
        <w:autoSpaceDE w:val="0"/>
        <w:autoSpaceDN w:val="0"/>
        <w:adjustRightInd w:val="0"/>
        <w:rPr>
          <w:rFonts w:ascii="Courier New" w:hAnsi="Courier New" w:cs="Courier New"/>
          <w:b/>
        </w:rPr>
      </w:pPr>
      <w:r>
        <w:rPr>
          <w:rFonts w:ascii="Courier New" w:hAnsi="Courier New" w:cs="Courier New"/>
          <w:b/>
        </w:rPr>
        <w:t>B.</w:t>
      </w:r>
      <w:r w:rsidR="001A0F2F" w:rsidRPr="004F1C30">
        <w:rPr>
          <w:rFonts w:ascii="Courier New" w:hAnsi="Courier New" w:cs="Courier New"/>
          <w:b/>
        </w:rPr>
        <w:t>5.</w:t>
      </w:r>
      <w:r w:rsidR="001A0F2F" w:rsidRPr="004F1C30">
        <w:rPr>
          <w:rFonts w:ascii="Courier New" w:hAnsi="Courier New" w:cs="Courier New"/>
          <w:b/>
        </w:rPr>
        <w:tab/>
        <w:t xml:space="preserve">Individuals Consulted on Statistical Aspects </w:t>
      </w:r>
    </w:p>
    <w:p w14:paraId="49BDEE21" w14:textId="67A6933F" w:rsidR="00F74B1E" w:rsidRDefault="00F74B1E" w:rsidP="001A0F2F">
      <w:pPr>
        <w:widowControl w:val="0"/>
        <w:autoSpaceDE w:val="0"/>
        <w:autoSpaceDN w:val="0"/>
        <w:adjustRightInd w:val="0"/>
        <w:rPr>
          <w:rFonts w:ascii="Courier New" w:hAnsi="Courier New" w:cs="Courier New"/>
          <w:b/>
        </w:rPr>
      </w:pPr>
    </w:p>
    <w:p w14:paraId="08185974" w14:textId="587CB99E" w:rsidR="00F74B1E" w:rsidRPr="003D7601" w:rsidRDefault="00F74B1E" w:rsidP="00991DC3">
      <w:pPr>
        <w:rPr>
          <w:rFonts w:ascii="Courier New" w:hAnsi="Courier New" w:cs="Courier New"/>
          <w:u w:val="single"/>
        </w:rPr>
      </w:pPr>
      <w:r w:rsidRPr="003D7601">
        <w:rPr>
          <w:rFonts w:ascii="Courier New" w:hAnsi="Courier New" w:cs="Courier New"/>
          <w:u w:val="single"/>
        </w:rPr>
        <w:t xml:space="preserve">Consultants on </w:t>
      </w:r>
      <w:r w:rsidR="003D7601">
        <w:rPr>
          <w:rFonts w:ascii="Courier New" w:hAnsi="Courier New" w:cs="Courier New"/>
          <w:u w:val="single"/>
        </w:rPr>
        <w:t>s</w:t>
      </w:r>
      <w:r w:rsidRPr="003D7601">
        <w:rPr>
          <w:rFonts w:ascii="Courier New" w:hAnsi="Courier New" w:cs="Courier New"/>
          <w:u w:val="single"/>
        </w:rPr>
        <w:t xml:space="preserve">tatistical </w:t>
      </w:r>
      <w:r w:rsidR="003D7601">
        <w:rPr>
          <w:rFonts w:ascii="Courier New" w:hAnsi="Courier New" w:cs="Courier New"/>
          <w:u w:val="single"/>
        </w:rPr>
        <w:t>a</w:t>
      </w:r>
      <w:r w:rsidRPr="003D7601">
        <w:rPr>
          <w:rFonts w:ascii="Courier New" w:hAnsi="Courier New" w:cs="Courier New"/>
          <w:u w:val="single"/>
        </w:rPr>
        <w:t>spects</w:t>
      </w:r>
    </w:p>
    <w:p w14:paraId="7A54EB69" w14:textId="77777777" w:rsidR="00F74B1E" w:rsidRDefault="00F74B1E" w:rsidP="00991DC3">
      <w:pPr>
        <w:rPr>
          <w:rFonts w:ascii="Courier New" w:hAnsi="Courier New" w:cs="Courier New"/>
        </w:rPr>
      </w:pPr>
    </w:p>
    <w:p w14:paraId="527F1E97" w14:textId="5FFF10B6" w:rsidR="00DD2391" w:rsidRPr="00991DC3" w:rsidRDefault="00F74B1E" w:rsidP="001A0F2F">
      <w:pPr>
        <w:widowControl w:val="0"/>
        <w:autoSpaceDE w:val="0"/>
        <w:autoSpaceDN w:val="0"/>
        <w:adjustRightInd w:val="0"/>
        <w:rPr>
          <w:rFonts w:ascii="Courier New" w:hAnsi="Courier New" w:cs="Courier New"/>
        </w:rPr>
      </w:pPr>
      <w:r>
        <w:rPr>
          <w:rFonts w:ascii="Courier New" w:hAnsi="Courier New" w:cs="Courier New"/>
        </w:rPr>
        <w:t>The collection of information for this project does not involve statistical methods</w:t>
      </w:r>
      <w:r w:rsidR="00DD2391">
        <w:rPr>
          <w:rFonts w:ascii="Courier New" w:hAnsi="Courier New" w:cs="Courier New"/>
        </w:rPr>
        <w:t>.</w:t>
      </w:r>
    </w:p>
    <w:p w14:paraId="0247D7B0" w14:textId="77777777" w:rsidR="00DD2391" w:rsidRDefault="00DD2391" w:rsidP="00F74B1E">
      <w:pPr>
        <w:sectPr w:rsidR="00DD2391" w:rsidSect="00DD2391">
          <w:endnotePr>
            <w:numFmt w:val="decimal"/>
          </w:endnotePr>
          <w:type w:val="continuous"/>
          <w:pgSz w:w="12240" w:h="15840" w:code="1"/>
          <w:pgMar w:top="1080" w:right="1080" w:bottom="1080" w:left="1080" w:header="720" w:footer="720" w:gutter="0"/>
          <w:cols w:space="720"/>
          <w:docGrid w:linePitch="360"/>
        </w:sectPr>
      </w:pPr>
    </w:p>
    <w:p w14:paraId="00F5F930" w14:textId="77777777" w:rsidR="00DD2391" w:rsidRDefault="00DD2391" w:rsidP="001B1065">
      <w:pPr>
        <w:widowControl w:val="0"/>
        <w:autoSpaceDE w:val="0"/>
        <w:autoSpaceDN w:val="0"/>
        <w:adjustRightInd w:val="0"/>
        <w:rPr>
          <w:rFonts w:ascii="Courier New" w:hAnsi="Courier New" w:cs="Courier New"/>
          <w:b/>
        </w:rPr>
        <w:sectPr w:rsidR="00DD2391" w:rsidSect="002953B3">
          <w:footerReference w:type="even" r:id="rId10"/>
          <w:footerReference w:type="default" r:id="rId11"/>
          <w:type w:val="continuous"/>
          <w:pgSz w:w="12240" w:h="15840" w:code="1"/>
          <w:pgMar w:top="1440" w:right="1440" w:bottom="1440" w:left="1440" w:header="720" w:footer="720" w:gutter="0"/>
          <w:cols w:space="720"/>
          <w:docGrid w:linePitch="360"/>
        </w:sectPr>
      </w:pPr>
    </w:p>
    <w:p w14:paraId="344B3ACE" w14:textId="6476F331" w:rsidR="00B11FB2" w:rsidRPr="003D7601" w:rsidRDefault="001B1065" w:rsidP="00B11FB2">
      <w:pPr>
        <w:widowControl w:val="0"/>
        <w:autoSpaceDE w:val="0"/>
        <w:autoSpaceDN w:val="0"/>
        <w:adjustRightInd w:val="0"/>
        <w:ind w:hanging="360"/>
        <w:rPr>
          <w:rFonts w:ascii="Courier New" w:hAnsi="Courier New" w:cs="Courier New"/>
          <w:u w:val="single"/>
        </w:rPr>
      </w:pPr>
      <w:r w:rsidRPr="003D7601">
        <w:rPr>
          <w:rFonts w:ascii="Courier New" w:hAnsi="Courier New" w:cs="Courier New"/>
          <w:u w:val="single"/>
        </w:rPr>
        <w:t xml:space="preserve">Individuals </w:t>
      </w:r>
      <w:r w:rsidR="003D7601">
        <w:rPr>
          <w:rFonts w:ascii="Courier New" w:hAnsi="Courier New" w:cs="Courier New"/>
          <w:u w:val="single"/>
        </w:rPr>
        <w:t>c</w:t>
      </w:r>
      <w:r w:rsidR="00B11FB2" w:rsidRPr="003D7601">
        <w:rPr>
          <w:rFonts w:ascii="Courier New" w:hAnsi="Courier New" w:cs="Courier New"/>
          <w:u w:val="single"/>
        </w:rPr>
        <w:t xml:space="preserve">ollecting and/or </w:t>
      </w:r>
      <w:r w:rsidR="003D7601">
        <w:rPr>
          <w:rFonts w:ascii="Courier New" w:hAnsi="Courier New" w:cs="Courier New"/>
          <w:u w:val="single"/>
        </w:rPr>
        <w:t>a</w:t>
      </w:r>
      <w:r w:rsidR="00B11FB2" w:rsidRPr="003D7601">
        <w:rPr>
          <w:rFonts w:ascii="Courier New" w:hAnsi="Courier New" w:cs="Courier New"/>
          <w:u w:val="single"/>
        </w:rPr>
        <w:t xml:space="preserve">nalyzing </w:t>
      </w:r>
      <w:r w:rsidR="003D7601">
        <w:rPr>
          <w:rFonts w:ascii="Courier New" w:hAnsi="Courier New" w:cs="Courier New"/>
          <w:u w:val="single"/>
        </w:rPr>
        <w:t>d</w:t>
      </w:r>
      <w:r w:rsidR="00B11FB2" w:rsidRPr="003D7601">
        <w:rPr>
          <w:rFonts w:ascii="Courier New" w:hAnsi="Courier New" w:cs="Courier New"/>
          <w:u w:val="single"/>
        </w:rPr>
        <w:t>ata</w:t>
      </w:r>
    </w:p>
    <w:p w14:paraId="45B5CE46" w14:textId="77777777" w:rsidR="001B1065" w:rsidRPr="004F1C30" w:rsidRDefault="001B1065" w:rsidP="00B11FB2">
      <w:pPr>
        <w:widowControl w:val="0"/>
        <w:autoSpaceDE w:val="0"/>
        <w:autoSpaceDN w:val="0"/>
        <w:adjustRightInd w:val="0"/>
        <w:rPr>
          <w:rFonts w:ascii="Courier New" w:hAnsi="Courier New" w:cs="Courier New"/>
          <w:u w:val="single"/>
        </w:rPr>
      </w:pPr>
    </w:p>
    <w:p w14:paraId="6AB71F68" w14:textId="754446EE" w:rsidR="001B1065" w:rsidRPr="003D7601" w:rsidRDefault="001B1065" w:rsidP="00DD2391">
      <w:pPr>
        <w:widowControl w:val="0"/>
        <w:autoSpaceDE w:val="0"/>
        <w:autoSpaceDN w:val="0"/>
        <w:adjustRightInd w:val="0"/>
        <w:ind w:hanging="360"/>
        <w:rPr>
          <w:rFonts w:ascii="Courier New" w:hAnsi="Courier New" w:cs="Courier New"/>
          <w:i/>
        </w:rPr>
      </w:pPr>
      <w:r w:rsidRPr="003D7601">
        <w:rPr>
          <w:rFonts w:ascii="Courier New" w:hAnsi="Courier New" w:cs="Courier New"/>
          <w:i/>
        </w:rPr>
        <w:t xml:space="preserve">CDC </w:t>
      </w:r>
      <w:r w:rsidR="003D7601">
        <w:rPr>
          <w:rFonts w:ascii="Courier New" w:hAnsi="Courier New" w:cs="Courier New"/>
          <w:i/>
        </w:rPr>
        <w:t>p</w:t>
      </w:r>
      <w:r w:rsidRPr="003D7601">
        <w:rPr>
          <w:rFonts w:ascii="Courier New" w:hAnsi="Courier New" w:cs="Courier New"/>
          <w:i/>
        </w:rPr>
        <w:t xml:space="preserve">roject </w:t>
      </w:r>
      <w:r w:rsidR="003D7601">
        <w:rPr>
          <w:rFonts w:ascii="Courier New" w:hAnsi="Courier New" w:cs="Courier New"/>
          <w:i/>
        </w:rPr>
        <w:t>s</w:t>
      </w:r>
      <w:r w:rsidRPr="003D7601">
        <w:rPr>
          <w:rFonts w:ascii="Courier New" w:hAnsi="Courier New" w:cs="Courier New"/>
          <w:i/>
        </w:rPr>
        <w:t>taff</w:t>
      </w:r>
    </w:p>
    <w:p w14:paraId="0E3CB9AB" w14:textId="0A0CEB8F" w:rsidR="001B1065" w:rsidRPr="004F1C30" w:rsidRDefault="001B1065" w:rsidP="00DD2391">
      <w:pPr>
        <w:widowControl w:val="0"/>
        <w:autoSpaceDE w:val="0"/>
        <w:autoSpaceDN w:val="0"/>
        <w:adjustRightInd w:val="0"/>
        <w:ind w:left="-360"/>
        <w:rPr>
          <w:rFonts w:ascii="Courier New" w:hAnsi="Courier New" w:cs="Courier New"/>
        </w:rPr>
      </w:pPr>
      <w:r w:rsidRPr="004F1C30">
        <w:rPr>
          <w:rFonts w:ascii="Courier New" w:hAnsi="Courier New" w:cs="Courier New"/>
        </w:rPr>
        <w:t xml:space="preserve">All CDC project staff can be reached at the following address and phone number: </w:t>
      </w:r>
    </w:p>
    <w:p w14:paraId="2CB58F6A" w14:textId="77777777" w:rsidR="001B1065" w:rsidRPr="004F1C30" w:rsidRDefault="001B1065" w:rsidP="00DD2391">
      <w:pPr>
        <w:widowControl w:val="0"/>
        <w:autoSpaceDE w:val="0"/>
        <w:autoSpaceDN w:val="0"/>
        <w:adjustRightInd w:val="0"/>
        <w:ind w:hanging="360"/>
        <w:rPr>
          <w:rFonts w:ascii="Courier New" w:hAnsi="Courier New" w:cs="Courier New"/>
        </w:rPr>
      </w:pPr>
    </w:p>
    <w:p w14:paraId="4AAB8347" w14:textId="77777777"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Behavioral and Clinical Surveillance Branch</w:t>
      </w:r>
    </w:p>
    <w:p w14:paraId="30D81070" w14:textId="77777777"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Division of HIV/AIDS Prevention</w:t>
      </w:r>
    </w:p>
    <w:p w14:paraId="6BFB63C3" w14:textId="77777777"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Centers for Disease Control and Prevention</w:t>
      </w:r>
    </w:p>
    <w:p w14:paraId="262F3032" w14:textId="77777777"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1600 Clifton Rd, NE MS E-46</w:t>
      </w:r>
    </w:p>
    <w:p w14:paraId="7B58A77B" w14:textId="77777777"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Atlanta, GA 30333</w:t>
      </w:r>
    </w:p>
    <w:p w14:paraId="131E182A" w14:textId="7505D2A8" w:rsidR="001B1065" w:rsidRPr="004F1C30" w:rsidRDefault="001B1065" w:rsidP="00DD2391">
      <w:pPr>
        <w:widowControl w:val="0"/>
        <w:autoSpaceDE w:val="0"/>
        <w:autoSpaceDN w:val="0"/>
        <w:adjustRightInd w:val="0"/>
        <w:ind w:hanging="360"/>
        <w:rPr>
          <w:rFonts w:ascii="Courier New" w:hAnsi="Courier New" w:cs="Courier New"/>
        </w:rPr>
      </w:pPr>
      <w:r w:rsidRPr="004F1C30">
        <w:rPr>
          <w:rFonts w:ascii="Courier New" w:hAnsi="Courier New" w:cs="Courier New"/>
        </w:rPr>
        <w:t>Phone: (404) 639-6438</w:t>
      </w:r>
    </w:p>
    <w:p w14:paraId="0491CE1D" w14:textId="77777777" w:rsidR="001B1065" w:rsidRPr="004F1C30" w:rsidRDefault="001B1065" w:rsidP="00DD2391">
      <w:pPr>
        <w:widowControl w:val="0"/>
        <w:autoSpaceDE w:val="0"/>
        <w:autoSpaceDN w:val="0"/>
        <w:adjustRightInd w:val="0"/>
        <w:ind w:hanging="360"/>
        <w:rPr>
          <w:rFonts w:ascii="Courier New" w:hAnsi="Courier New" w:cs="Courier New"/>
        </w:rPr>
      </w:pPr>
    </w:p>
    <w:p w14:paraId="689CF39E" w14:textId="77777777" w:rsidR="001B1065" w:rsidRPr="004F1C30" w:rsidRDefault="001B1065" w:rsidP="00DD2391">
      <w:pPr>
        <w:widowControl w:val="0"/>
        <w:autoSpaceDE w:val="0"/>
        <w:autoSpaceDN w:val="0"/>
        <w:adjustRightInd w:val="0"/>
        <w:ind w:hanging="360"/>
        <w:rPr>
          <w:rFonts w:ascii="Courier New" w:hAnsi="Courier New" w:cs="Courier New"/>
        </w:rPr>
        <w:sectPr w:rsidR="001B1065" w:rsidRPr="004F1C30" w:rsidSect="0033004C">
          <w:type w:val="continuous"/>
          <w:pgSz w:w="12240" w:h="15840" w:code="1"/>
          <w:pgMar w:top="1440" w:right="1440" w:bottom="1440" w:left="1440" w:header="720" w:footer="720" w:gutter="0"/>
          <w:cols w:space="720"/>
          <w:docGrid w:linePitch="360"/>
        </w:sectPr>
      </w:pPr>
    </w:p>
    <w:p w14:paraId="683AE05E" w14:textId="177EBF3A" w:rsidR="001B1065" w:rsidRPr="004F1C30" w:rsidRDefault="00C55578" w:rsidP="00DD2391">
      <w:pPr>
        <w:widowControl w:val="0"/>
        <w:autoSpaceDE w:val="0"/>
        <w:autoSpaceDN w:val="0"/>
        <w:adjustRightInd w:val="0"/>
        <w:ind w:left="720" w:hanging="360"/>
        <w:rPr>
          <w:rFonts w:ascii="Courier New" w:hAnsi="Courier New" w:cs="Courier New"/>
        </w:rPr>
      </w:pPr>
      <w:r>
        <w:rPr>
          <w:rFonts w:ascii="Courier New" w:hAnsi="Courier New" w:cs="Courier New"/>
        </w:rPr>
        <w:t>Jennifer Fagan, MA</w:t>
      </w:r>
    </w:p>
    <w:p w14:paraId="35BE6C89" w14:textId="27991CC3" w:rsidR="001B1065" w:rsidRPr="004F1C30" w:rsidRDefault="00C55578" w:rsidP="00DD2391">
      <w:pPr>
        <w:widowControl w:val="0"/>
        <w:autoSpaceDE w:val="0"/>
        <w:autoSpaceDN w:val="0"/>
        <w:adjustRightInd w:val="0"/>
        <w:ind w:left="720" w:hanging="360"/>
        <w:rPr>
          <w:rFonts w:ascii="Courier New" w:hAnsi="Courier New" w:cs="Courier New"/>
        </w:rPr>
      </w:pPr>
      <w:r>
        <w:rPr>
          <w:rFonts w:ascii="Courier New" w:hAnsi="Courier New" w:cs="Courier New"/>
        </w:rPr>
        <w:t>Health Scientist</w:t>
      </w:r>
      <w:r w:rsidR="001B1065" w:rsidRPr="004F1C30">
        <w:rPr>
          <w:rFonts w:ascii="Courier New" w:hAnsi="Courier New" w:cs="Courier New"/>
        </w:rPr>
        <w:t xml:space="preserve">, </w:t>
      </w:r>
      <w:r>
        <w:rPr>
          <w:rFonts w:ascii="Courier New" w:hAnsi="Courier New" w:cs="Courier New"/>
        </w:rPr>
        <w:t>Clinical Outcomes Team</w:t>
      </w:r>
    </w:p>
    <w:p w14:paraId="65569D4F" w14:textId="37F1353D" w:rsidR="001B1065" w:rsidRPr="002953B3" w:rsidRDefault="001B1065" w:rsidP="00DD2391">
      <w:pPr>
        <w:widowControl w:val="0"/>
        <w:autoSpaceDE w:val="0"/>
        <w:autoSpaceDN w:val="0"/>
        <w:adjustRightInd w:val="0"/>
        <w:ind w:left="720" w:hanging="360"/>
        <w:rPr>
          <w:rStyle w:val="Hyperlink"/>
          <w:rFonts w:ascii="Courier New" w:hAnsi="Courier New" w:cs="Courier New"/>
          <w:color w:val="auto"/>
        </w:rPr>
      </w:pPr>
      <w:r w:rsidRPr="002953B3">
        <w:rPr>
          <w:rFonts w:ascii="Courier New" w:hAnsi="Courier New" w:cs="Courier New"/>
        </w:rPr>
        <w:t xml:space="preserve">Email: </w:t>
      </w:r>
      <w:r w:rsidR="004414A2" w:rsidRPr="002953B3">
        <w:rPr>
          <w:rFonts w:ascii="Courier New" w:hAnsi="Courier New" w:cs="Courier New"/>
        </w:rPr>
        <w:t>chx5@cdc.gov</w:t>
      </w:r>
    </w:p>
    <w:p w14:paraId="22E93AD0" w14:textId="621B22B4" w:rsidR="00C55578" w:rsidRPr="00991DC3" w:rsidRDefault="00C55578" w:rsidP="00DD2391">
      <w:pPr>
        <w:widowControl w:val="0"/>
        <w:autoSpaceDE w:val="0"/>
        <w:autoSpaceDN w:val="0"/>
        <w:adjustRightInd w:val="0"/>
        <w:ind w:left="720" w:hanging="360"/>
        <w:rPr>
          <w:rStyle w:val="Hyperlink"/>
          <w:rFonts w:ascii="Courier New" w:hAnsi="Courier New" w:cs="Courier New"/>
          <w:color w:val="auto"/>
        </w:rPr>
      </w:pPr>
    </w:p>
    <w:p w14:paraId="460F2C8E" w14:textId="4A013A66"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Linda Beer, PhD</w:t>
      </w:r>
    </w:p>
    <w:p w14:paraId="2C2A2995" w14:textId="3089FE32"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Epidemiologist, Clinical Outcomes Team</w:t>
      </w:r>
    </w:p>
    <w:p w14:paraId="38E99816" w14:textId="03DDD146"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Email:</w:t>
      </w:r>
      <w:r w:rsidR="00B95241" w:rsidRPr="002953B3">
        <w:t xml:space="preserve"> </w:t>
      </w:r>
      <w:r w:rsidR="00B95241" w:rsidRPr="002953B3">
        <w:rPr>
          <w:rStyle w:val="Hyperlink"/>
          <w:rFonts w:ascii="Courier New" w:hAnsi="Courier New" w:cs="Courier New"/>
          <w:color w:val="auto"/>
          <w:u w:val="none"/>
        </w:rPr>
        <w:t>gur0@cdc.gov</w:t>
      </w:r>
    </w:p>
    <w:p w14:paraId="1344DE44" w14:textId="7EBD9B96"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p>
    <w:p w14:paraId="4B06BA42" w14:textId="47C36BA9"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Shana Green, PhD, MPH</w:t>
      </w:r>
    </w:p>
    <w:p w14:paraId="2F061347" w14:textId="22EFB57C" w:rsidR="00C55578" w:rsidRPr="002953B3" w:rsidRDefault="00C55578"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ORISE Fellow, Clinical Outcomes Team</w:t>
      </w:r>
    </w:p>
    <w:p w14:paraId="611224CB" w14:textId="66C30BD4" w:rsidR="00D6135A" w:rsidRPr="002953B3" w:rsidRDefault="00D6135A" w:rsidP="00DD2391">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 xml:space="preserve">Email: </w:t>
      </w:r>
      <w:hyperlink r:id="rId12" w:history="1">
        <w:r w:rsidRPr="002953B3">
          <w:rPr>
            <w:rStyle w:val="Hyperlink"/>
            <w:rFonts w:ascii="Courier New" w:hAnsi="Courier New" w:cs="Courier New"/>
            <w:color w:val="auto"/>
            <w:u w:val="none"/>
          </w:rPr>
          <w:t>odj2@cdc.gov</w:t>
        </w:r>
      </w:hyperlink>
    </w:p>
    <w:p w14:paraId="1244ACA0" w14:textId="29732334" w:rsidR="00D6135A" w:rsidRPr="002953B3" w:rsidRDefault="00D6135A" w:rsidP="00DD2391">
      <w:pPr>
        <w:widowControl w:val="0"/>
        <w:autoSpaceDE w:val="0"/>
        <w:autoSpaceDN w:val="0"/>
        <w:adjustRightInd w:val="0"/>
        <w:ind w:left="720" w:hanging="360"/>
        <w:rPr>
          <w:rStyle w:val="Hyperlink"/>
          <w:rFonts w:ascii="Courier New" w:hAnsi="Courier New" w:cs="Courier New"/>
          <w:color w:val="auto"/>
          <w:u w:val="none"/>
        </w:rPr>
      </w:pPr>
    </w:p>
    <w:p w14:paraId="05E4660B" w14:textId="540A8E8C" w:rsidR="00D6135A" w:rsidRPr="002953B3" w:rsidRDefault="00D6135A"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Ansley Lemons, MPH</w:t>
      </w:r>
    </w:p>
    <w:p w14:paraId="29A2EF86" w14:textId="77777777" w:rsidR="00B63522" w:rsidRPr="002953B3" w:rsidRDefault="00B63522" w:rsidP="00B63522">
      <w:pPr>
        <w:widowControl w:val="0"/>
        <w:autoSpaceDE w:val="0"/>
        <w:autoSpaceDN w:val="0"/>
        <w:adjustRightInd w:val="0"/>
        <w:ind w:left="720" w:hanging="360"/>
        <w:rPr>
          <w:rFonts w:ascii="Courier New" w:hAnsi="Courier New" w:cs="Courier New"/>
        </w:rPr>
      </w:pPr>
      <w:r w:rsidRPr="002953B3">
        <w:rPr>
          <w:rFonts w:ascii="Courier New" w:hAnsi="Courier New" w:cs="Courier New"/>
        </w:rPr>
        <w:t>Health Scientist, Clinical Outcomes Team</w:t>
      </w:r>
    </w:p>
    <w:p w14:paraId="340B830D" w14:textId="1EF81BC7" w:rsidR="00D6135A"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r w:rsidRPr="002953B3">
        <w:rPr>
          <w:rFonts w:ascii="Courier New" w:hAnsi="Courier New" w:cs="Courier New"/>
        </w:rPr>
        <w:t>Email:</w:t>
      </w:r>
      <w:r w:rsidR="00B95241" w:rsidRPr="002953B3">
        <w:t xml:space="preserve"> </w:t>
      </w:r>
      <w:r w:rsidR="00B95241" w:rsidRPr="002953B3">
        <w:rPr>
          <w:rFonts w:ascii="Courier New" w:hAnsi="Courier New" w:cs="Courier New"/>
        </w:rPr>
        <w:t>imk2@cdc.gov</w:t>
      </w:r>
    </w:p>
    <w:p w14:paraId="2F1D7EE8" w14:textId="77777777"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p>
    <w:p w14:paraId="70425460" w14:textId="298D5C5F" w:rsidR="00D6135A" w:rsidRPr="002953B3" w:rsidRDefault="00D6135A"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Amy Baugher, MPH</w:t>
      </w:r>
    </w:p>
    <w:p w14:paraId="1C4218EE" w14:textId="77777777" w:rsidR="00B63522" w:rsidRPr="002953B3" w:rsidRDefault="00B63522" w:rsidP="00B63522">
      <w:pPr>
        <w:widowControl w:val="0"/>
        <w:autoSpaceDE w:val="0"/>
        <w:autoSpaceDN w:val="0"/>
        <w:adjustRightInd w:val="0"/>
        <w:ind w:left="720" w:hanging="360"/>
        <w:rPr>
          <w:rFonts w:ascii="Courier New" w:hAnsi="Courier New" w:cs="Courier New"/>
        </w:rPr>
      </w:pPr>
      <w:r w:rsidRPr="002953B3">
        <w:rPr>
          <w:rFonts w:ascii="Courier New" w:hAnsi="Courier New" w:cs="Courier New"/>
        </w:rPr>
        <w:t>Health Scientist, Clinical Outcomes Team</w:t>
      </w:r>
    </w:p>
    <w:p w14:paraId="4780BD83" w14:textId="3628E799" w:rsidR="00D6135A"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r w:rsidRPr="002953B3">
        <w:rPr>
          <w:rFonts w:ascii="Courier New" w:hAnsi="Courier New" w:cs="Courier New"/>
        </w:rPr>
        <w:t>Email:</w:t>
      </w:r>
      <w:r w:rsidR="00B95241" w:rsidRPr="002953B3">
        <w:t xml:space="preserve"> </w:t>
      </w:r>
      <w:r w:rsidR="00B95241" w:rsidRPr="002953B3">
        <w:rPr>
          <w:rFonts w:ascii="Courier New" w:hAnsi="Courier New" w:cs="Courier New"/>
        </w:rPr>
        <w:t>yda1@cdc.gov</w:t>
      </w:r>
    </w:p>
    <w:p w14:paraId="05063D22" w14:textId="77777777"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p>
    <w:p w14:paraId="541900C1" w14:textId="13E51026" w:rsidR="00D6135A" w:rsidRPr="002953B3" w:rsidRDefault="00D6135A"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Mabel Padilla</w:t>
      </w:r>
      <w:r w:rsidR="00DD502C" w:rsidRPr="002953B3">
        <w:rPr>
          <w:rStyle w:val="Hyperlink"/>
          <w:rFonts w:ascii="Courier New" w:hAnsi="Courier New" w:cs="Courier New"/>
          <w:color w:val="auto"/>
          <w:u w:val="none"/>
        </w:rPr>
        <w:t>, MPH</w:t>
      </w:r>
    </w:p>
    <w:p w14:paraId="636A5CCA" w14:textId="77E11BA5"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Public Health Analyst, Clinical Outcomes Team</w:t>
      </w:r>
    </w:p>
    <w:p w14:paraId="11EE86C0" w14:textId="3C87C673"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 xml:space="preserve">Email: </w:t>
      </w:r>
      <w:hyperlink r:id="rId13" w:history="1">
        <w:r w:rsidRPr="002953B3">
          <w:rPr>
            <w:rStyle w:val="Hyperlink"/>
            <w:rFonts w:ascii="Courier New" w:hAnsi="Courier New" w:cs="Courier New"/>
            <w:color w:val="auto"/>
            <w:u w:val="none"/>
          </w:rPr>
          <w:t>ymj0@cdc.gov</w:t>
        </w:r>
      </w:hyperlink>
    </w:p>
    <w:p w14:paraId="01A96541" w14:textId="77777777"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p>
    <w:p w14:paraId="37DD539F" w14:textId="2B5CA939" w:rsidR="00B63522" w:rsidRPr="002953B3" w:rsidRDefault="00B63522" w:rsidP="004414A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Kathleen Wu, MPH</w:t>
      </w:r>
    </w:p>
    <w:p w14:paraId="0EFAA148" w14:textId="77777777" w:rsidR="00B63522" w:rsidRPr="002953B3" w:rsidRDefault="00B63522" w:rsidP="00B63522">
      <w:pPr>
        <w:widowControl w:val="0"/>
        <w:autoSpaceDE w:val="0"/>
        <w:autoSpaceDN w:val="0"/>
        <w:adjustRightInd w:val="0"/>
        <w:ind w:left="720" w:hanging="360"/>
        <w:rPr>
          <w:rStyle w:val="Hyperlink"/>
          <w:rFonts w:ascii="Courier New" w:hAnsi="Courier New" w:cs="Courier New"/>
          <w:color w:val="auto"/>
          <w:u w:val="none"/>
        </w:rPr>
      </w:pPr>
      <w:r w:rsidRPr="002953B3">
        <w:rPr>
          <w:rStyle w:val="Hyperlink"/>
          <w:rFonts w:ascii="Courier New" w:hAnsi="Courier New" w:cs="Courier New"/>
          <w:color w:val="auto"/>
          <w:u w:val="none"/>
        </w:rPr>
        <w:t>Public Health Analyst, Clinical Outcomes Team</w:t>
      </w:r>
    </w:p>
    <w:p w14:paraId="1CD4C8B9" w14:textId="3D89B1B3" w:rsidR="00B63522" w:rsidRPr="002953B3" w:rsidRDefault="00B63522" w:rsidP="004414A2">
      <w:pPr>
        <w:widowControl w:val="0"/>
        <w:autoSpaceDE w:val="0"/>
        <w:autoSpaceDN w:val="0"/>
        <w:adjustRightInd w:val="0"/>
        <w:ind w:left="720" w:hanging="360"/>
        <w:rPr>
          <w:rFonts w:ascii="Courier New" w:hAnsi="Courier New" w:cs="Courier New"/>
        </w:rPr>
      </w:pPr>
      <w:r w:rsidRPr="002953B3">
        <w:rPr>
          <w:rFonts w:ascii="Courier New" w:hAnsi="Courier New" w:cs="Courier New"/>
        </w:rPr>
        <w:t xml:space="preserve">Email: </w:t>
      </w:r>
      <w:r w:rsidR="004414A2" w:rsidRPr="002953B3">
        <w:rPr>
          <w:rFonts w:ascii="Courier New" w:hAnsi="Courier New" w:cs="Courier New"/>
        </w:rPr>
        <w:t>ncq3@cdc.gov</w:t>
      </w:r>
    </w:p>
    <w:p w14:paraId="64B962CD" w14:textId="2A6E3B40" w:rsidR="001B1065" w:rsidRPr="004F1C30" w:rsidRDefault="001B1065">
      <w:pPr>
        <w:widowControl w:val="0"/>
        <w:autoSpaceDE w:val="0"/>
        <w:autoSpaceDN w:val="0"/>
        <w:adjustRightInd w:val="0"/>
        <w:rPr>
          <w:rFonts w:ascii="Courier New" w:hAnsi="Courier New" w:cs="Courier New"/>
        </w:rPr>
      </w:pPr>
    </w:p>
    <w:p w14:paraId="087622BD" w14:textId="4BBE9B6A" w:rsidR="00680DFC" w:rsidRPr="004F1C30" w:rsidRDefault="00680DFC" w:rsidP="00863434">
      <w:pPr>
        <w:widowControl w:val="0"/>
        <w:autoSpaceDE w:val="0"/>
        <w:autoSpaceDN w:val="0"/>
        <w:adjustRightInd w:val="0"/>
        <w:ind w:left="720"/>
        <w:rPr>
          <w:rFonts w:ascii="Courier New" w:hAnsi="Courier New" w:cs="Courier New"/>
        </w:rPr>
      </w:pPr>
    </w:p>
    <w:p w14:paraId="6A5D13D0" w14:textId="3B1277A3" w:rsidR="00680DFC" w:rsidRPr="004F1C30" w:rsidRDefault="00680DFC" w:rsidP="00863434">
      <w:pPr>
        <w:widowControl w:val="0"/>
        <w:autoSpaceDE w:val="0"/>
        <w:autoSpaceDN w:val="0"/>
        <w:adjustRightInd w:val="0"/>
        <w:ind w:left="720"/>
        <w:rPr>
          <w:rFonts w:ascii="Courier New" w:hAnsi="Courier New" w:cs="Courier New"/>
        </w:rPr>
      </w:pPr>
    </w:p>
    <w:p w14:paraId="1AE93595" w14:textId="77777777" w:rsidR="00DD2391" w:rsidRDefault="00DD2391" w:rsidP="00863434">
      <w:pPr>
        <w:widowControl w:val="0"/>
        <w:autoSpaceDE w:val="0"/>
        <w:autoSpaceDN w:val="0"/>
        <w:adjustRightInd w:val="0"/>
        <w:ind w:left="720"/>
        <w:rPr>
          <w:rFonts w:ascii="Courier New" w:hAnsi="Courier New" w:cs="Courier New"/>
        </w:rPr>
        <w:sectPr w:rsidR="00DD2391" w:rsidSect="004414A2">
          <w:endnotePr>
            <w:numFmt w:val="decimal"/>
          </w:endnotePr>
          <w:type w:val="continuous"/>
          <w:pgSz w:w="12240" w:h="15840" w:code="1"/>
          <w:pgMar w:top="1080" w:right="1080" w:bottom="1080" w:left="1080" w:header="720" w:footer="720" w:gutter="0"/>
          <w:cols w:space="720"/>
          <w:docGrid w:linePitch="360"/>
        </w:sectPr>
      </w:pPr>
    </w:p>
    <w:p w14:paraId="4E847EE8" w14:textId="7FA93F2A" w:rsidR="00680DFC" w:rsidRPr="004F1C30" w:rsidRDefault="00680DFC" w:rsidP="00863434">
      <w:pPr>
        <w:widowControl w:val="0"/>
        <w:autoSpaceDE w:val="0"/>
        <w:autoSpaceDN w:val="0"/>
        <w:adjustRightInd w:val="0"/>
        <w:ind w:left="720"/>
        <w:rPr>
          <w:rFonts w:ascii="Courier New" w:hAnsi="Courier New" w:cs="Courier New"/>
        </w:rPr>
      </w:pPr>
    </w:p>
    <w:p w14:paraId="487EEE13" w14:textId="589DEE58" w:rsidR="00193DF4" w:rsidRPr="004F1C30" w:rsidRDefault="00DF0A3A" w:rsidP="005342FB">
      <w:pPr>
        <w:rPr>
          <w:rFonts w:ascii="Courier New" w:hAnsi="Courier New" w:cs="Courier New"/>
        </w:rPr>
        <w:sectPr w:rsidR="00193DF4" w:rsidRPr="004F1C30" w:rsidSect="00863434">
          <w:endnotePr>
            <w:numFmt w:val="decimal"/>
          </w:endnotePr>
          <w:type w:val="continuous"/>
          <w:pgSz w:w="12240" w:h="15840" w:code="1"/>
          <w:pgMar w:top="1080" w:right="1080" w:bottom="1080" w:left="1080" w:header="720" w:footer="720" w:gutter="0"/>
          <w:cols w:num="2" w:space="720"/>
          <w:docGrid w:linePitch="360"/>
        </w:sectPr>
      </w:pPr>
      <w:r w:rsidRPr="004F1C30">
        <w:rPr>
          <w:rFonts w:ascii="Courier New" w:hAnsi="Courier New" w:cs="Courier New"/>
        </w:rPr>
        <w:tab/>
      </w:r>
    </w:p>
    <w:p w14:paraId="162EFDE8" w14:textId="60E4ADEC" w:rsidR="00BC5E84" w:rsidRPr="004F1C30" w:rsidRDefault="00BC5E84" w:rsidP="005342FB">
      <w:pPr>
        <w:rPr>
          <w:rFonts w:ascii="Courier New" w:hAnsi="Courier New" w:cs="Courier New"/>
        </w:rPr>
      </w:pPr>
    </w:p>
    <w:p w14:paraId="5F48887C" w14:textId="77777777" w:rsidR="009878FC" w:rsidRPr="004F1C30" w:rsidRDefault="009878FC" w:rsidP="00BC5E84">
      <w:pPr>
        <w:spacing w:before="21"/>
        <w:ind w:left="360" w:right="-20"/>
        <w:rPr>
          <w:rFonts w:ascii="Courier New" w:eastAsia="Tahoma" w:hAnsi="Courier New" w:cs="Courier New"/>
          <w:b/>
          <w:bCs/>
        </w:rPr>
      </w:pPr>
    </w:p>
    <w:p w14:paraId="7B818226" w14:textId="77777777" w:rsidR="009878FC" w:rsidRPr="004F1C30" w:rsidRDefault="009878FC" w:rsidP="00BC5E84">
      <w:pPr>
        <w:spacing w:before="21"/>
        <w:ind w:left="360" w:right="-20"/>
        <w:rPr>
          <w:rFonts w:ascii="Courier New" w:eastAsia="Tahoma" w:hAnsi="Courier New" w:cs="Courier New"/>
          <w:b/>
          <w:bCs/>
        </w:rPr>
      </w:pPr>
    </w:p>
    <w:p w14:paraId="770D816C" w14:textId="77777777" w:rsidR="009878FC" w:rsidRPr="004F1C30" w:rsidRDefault="009878FC" w:rsidP="00BC5E84">
      <w:pPr>
        <w:spacing w:before="21"/>
        <w:ind w:left="360" w:right="-20"/>
        <w:rPr>
          <w:rFonts w:ascii="Courier New" w:eastAsia="Tahoma" w:hAnsi="Courier New" w:cs="Courier New"/>
          <w:b/>
          <w:bCs/>
        </w:rPr>
      </w:pPr>
    </w:p>
    <w:p w14:paraId="673399D2" w14:textId="77777777" w:rsidR="009878FC" w:rsidRPr="004F1C30" w:rsidRDefault="009878FC" w:rsidP="00BC5E84">
      <w:pPr>
        <w:spacing w:before="21"/>
        <w:ind w:left="360" w:right="-20"/>
        <w:rPr>
          <w:rFonts w:ascii="Courier New" w:eastAsia="Tahoma" w:hAnsi="Courier New" w:cs="Courier New"/>
          <w:b/>
          <w:bCs/>
        </w:rPr>
      </w:pPr>
    </w:p>
    <w:p w14:paraId="0896BD09" w14:textId="77777777" w:rsidR="009878FC" w:rsidRPr="004F1C30" w:rsidRDefault="009878FC" w:rsidP="00BC5E84">
      <w:pPr>
        <w:spacing w:before="21"/>
        <w:ind w:left="360" w:right="-20"/>
        <w:rPr>
          <w:rFonts w:ascii="Courier New" w:eastAsia="Tahoma" w:hAnsi="Courier New" w:cs="Courier New"/>
          <w:b/>
          <w:bCs/>
        </w:rPr>
      </w:pPr>
    </w:p>
    <w:p w14:paraId="2395FC08" w14:textId="77777777" w:rsidR="009878FC" w:rsidRPr="004F1C30" w:rsidRDefault="009878FC" w:rsidP="00BC5E84">
      <w:pPr>
        <w:spacing w:before="21"/>
        <w:ind w:left="360" w:right="-20"/>
        <w:rPr>
          <w:rFonts w:ascii="Courier New" w:eastAsia="Tahoma" w:hAnsi="Courier New" w:cs="Courier New"/>
          <w:b/>
          <w:bCs/>
        </w:rPr>
      </w:pPr>
    </w:p>
    <w:p w14:paraId="1208B6D9" w14:textId="77777777" w:rsidR="009878FC" w:rsidRPr="004F1C30" w:rsidRDefault="009878FC" w:rsidP="00BC5E84">
      <w:pPr>
        <w:spacing w:before="21"/>
        <w:ind w:left="360" w:right="-20"/>
        <w:rPr>
          <w:rFonts w:ascii="Courier New" w:eastAsia="Tahoma" w:hAnsi="Courier New" w:cs="Courier New"/>
          <w:b/>
          <w:bCs/>
        </w:rPr>
      </w:pPr>
    </w:p>
    <w:p w14:paraId="32714E37" w14:textId="77777777" w:rsidR="009878FC" w:rsidRPr="004F1C30" w:rsidRDefault="009878FC" w:rsidP="00BC5E84">
      <w:pPr>
        <w:spacing w:before="21"/>
        <w:ind w:left="360" w:right="-20"/>
        <w:rPr>
          <w:rFonts w:ascii="Courier New" w:eastAsia="Tahoma" w:hAnsi="Courier New" w:cs="Courier New"/>
          <w:b/>
          <w:bCs/>
        </w:rPr>
      </w:pPr>
    </w:p>
    <w:p w14:paraId="1C31AB91" w14:textId="77777777" w:rsidR="0070584D" w:rsidRDefault="0070584D" w:rsidP="00BC5E84">
      <w:pPr>
        <w:spacing w:before="21"/>
        <w:ind w:left="360" w:right="-20"/>
        <w:rPr>
          <w:rFonts w:ascii="Courier New" w:eastAsia="Tahoma" w:hAnsi="Courier New" w:cs="Courier New"/>
          <w:b/>
          <w:bCs/>
        </w:rPr>
      </w:pPr>
    </w:p>
    <w:p w14:paraId="569D8751" w14:textId="77777777" w:rsidR="0070584D" w:rsidRDefault="0070584D" w:rsidP="00BC5E84">
      <w:pPr>
        <w:spacing w:before="21"/>
        <w:ind w:left="360" w:right="-20"/>
        <w:rPr>
          <w:rFonts w:ascii="Courier New" w:eastAsia="Tahoma" w:hAnsi="Courier New" w:cs="Courier New"/>
          <w:b/>
          <w:bCs/>
        </w:rPr>
      </w:pPr>
    </w:p>
    <w:p w14:paraId="74A1C687" w14:textId="77777777" w:rsidR="00B14535" w:rsidRDefault="00B14535" w:rsidP="00BC5E84">
      <w:pPr>
        <w:spacing w:before="21"/>
        <w:ind w:left="360" w:right="-20"/>
        <w:rPr>
          <w:rFonts w:ascii="Courier New" w:eastAsia="Tahoma" w:hAnsi="Courier New" w:cs="Courier New"/>
          <w:b/>
          <w:bCs/>
        </w:rPr>
        <w:sectPr w:rsidR="00B14535" w:rsidSect="001A0F2F">
          <w:endnotePr>
            <w:numFmt w:val="decimal"/>
          </w:endnotePr>
          <w:type w:val="continuous"/>
          <w:pgSz w:w="12240" w:h="15840" w:code="1"/>
          <w:pgMar w:top="1080" w:right="1080" w:bottom="1080" w:left="1080" w:header="720" w:footer="720" w:gutter="0"/>
          <w:cols w:space="720"/>
          <w:docGrid w:linePitch="360"/>
        </w:sectPr>
      </w:pPr>
    </w:p>
    <w:p w14:paraId="4236E82B" w14:textId="5EE5820F" w:rsidR="00287B22" w:rsidRPr="003D7601" w:rsidRDefault="00287B22" w:rsidP="00287B22">
      <w:pPr>
        <w:rPr>
          <w:rFonts w:ascii="Courier New" w:hAnsi="Courier New" w:cs="Courier New"/>
          <w:b/>
        </w:rPr>
      </w:pPr>
      <w:r w:rsidRPr="003D7601">
        <w:rPr>
          <w:rFonts w:ascii="Courier New" w:hAnsi="Courier New" w:cs="Courier New"/>
          <w:b/>
        </w:rPr>
        <w:t>R</w:t>
      </w:r>
      <w:r w:rsidR="00C07CCA" w:rsidRPr="003D7601">
        <w:rPr>
          <w:rFonts w:ascii="Courier New" w:hAnsi="Courier New" w:cs="Courier New"/>
          <w:b/>
        </w:rPr>
        <w:t>eferences</w:t>
      </w:r>
    </w:p>
    <w:p w14:paraId="4F7593C2" w14:textId="77777777" w:rsidR="00287B22" w:rsidRPr="00E92AB8" w:rsidRDefault="00287B22" w:rsidP="00287B22">
      <w:pPr>
        <w:autoSpaceDE w:val="0"/>
        <w:autoSpaceDN w:val="0"/>
        <w:adjustRightInd w:val="0"/>
        <w:rPr>
          <w:rFonts w:ascii="Courier New" w:hAnsi="Courier New" w:cs="Courier New"/>
          <w:color w:val="000000"/>
        </w:rPr>
      </w:pPr>
    </w:p>
    <w:p w14:paraId="6CB26705"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fldChar w:fldCharType="begin"/>
      </w:r>
      <w:r w:rsidRPr="00E92AB8">
        <w:rPr>
          <w:rFonts w:ascii="Courier New" w:hAnsi="Courier New" w:cs="Courier New"/>
          <w:sz w:val="22"/>
        </w:rPr>
        <w:instrText xml:space="preserve"> ADDIN EN.REFLIST </w:instrText>
      </w:r>
      <w:r w:rsidRPr="00E92AB8">
        <w:rPr>
          <w:rFonts w:ascii="Courier New" w:hAnsi="Courier New" w:cs="Courier New"/>
          <w:sz w:val="22"/>
        </w:rPr>
        <w:fldChar w:fldCharType="separate"/>
      </w:r>
      <w:r w:rsidRPr="00E92AB8">
        <w:rPr>
          <w:rFonts w:ascii="Courier New" w:hAnsi="Courier New" w:cs="Courier New"/>
          <w:sz w:val="22"/>
        </w:rPr>
        <w:t>1.</w:t>
      </w:r>
      <w:r w:rsidRPr="00E92AB8">
        <w:rPr>
          <w:rFonts w:ascii="Courier New" w:hAnsi="Courier New" w:cs="Courier New"/>
          <w:sz w:val="22"/>
        </w:rPr>
        <w:tab/>
        <w:t xml:space="preserve">Centers for Disease Control and Prevention, </w:t>
      </w:r>
      <w:r w:rsidRPr="00E92AB8">
        <w:rPr>
          <w:rFonts w:ascii="Courier New" w:hAnsi="Courier New" w:cs="Courier New"/>
          <w:i/>
          <w:sz w:val="22"/>
        </w:rPr>
        <w:t>Understanding the HIV Care Continuum</w:t>
      </w:r>
      <w:r w:rsidRPr="00E92AB8">
        <w:rPr>
          <w:rFonts w:ascii="Courier New" w:hAnsi="Courier New" w:cs="Courier New"/>
          <w:sz w:val="22"/>
        </w:rPr>
        <w:t>. 2017. p. 1-4.</w:t>
      </w:r>
    </w:p>
    <w:p w14:paraId="13271A17"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w:t>
      </w:r>
      <w:r w:rsidRPr="00E92AB8">
        <w:rPr>
          <w:rFonts w:ascii="Courier New" w:hAnsi="Courier New" w:cs="Courier New"/>
          <w:sz w:val="22"/>
        </w:rPr>
        <w:tab/>
        <w:t xml:space="preserve">Andrade, H.B., et al., </w:t>
      </w:r>
      <w:r w:rsidRPr="00E92AB8">
        <w:rPr>
          <w:rFonts w:ascii="Courier New" w:hAnsi="Courier New" w:cs="Courier New"/>
          <w:i/>
          <w:sz w:val="22"/>
        </w:rPr>
        <w:t>Highly active antiretroviral therapy for critically ill HIV patients: A systematic review and meta-analysis.</w:t>
      </w:r>
      <w:r w:rsidRPr="00E92AB8">
        <w:rPr>
          <w:rFonts w:ascii="Courier New" w:hAnsi="Courier New" w:cs="Courier New"/>
          <w:sz w:val="22"/>
        </w:rPr>
        <w:t xml:space="preserve"> PLoS One, 2017. </w:t>
      </w:r>
      <w:r w:rsidRPr="00E92AB8">
        <w:rPr>
          <w:rFonts w:ascii="Courier New" w:hAnsi="Courier New" w:cs="Courier New"/>
          <w:b/>
          <w:sz w:val="22"/>
        </w:rPr>
        <w:t>12</w:t>
      </w:r>
      <w:r w:rsidRPr="00E92AB8">
        <w:rPr>
          <w:rFonts w:ascii="Courier New" w:hAnsi="Courier New" w:cs="Courier New"/>
          <w:sz w:val="22"/>
        </w:rPr>
        <w:t>(10): p. e0186968.</w:t>
      </w:r>
    </w:p>
    <w:p w14:paraId="5E208DCA"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3.</w:t>
      </w:r>
      <w:r w:rsidRPr="00E92AB8">
        <w:rPr>
          <w:rFonts w:ascii="Courier New" w:hAnsi="Courier New" w:cs="Courier New"/>
          <w:sz w:val="22"/>
        </w:rPr>
        <w:tab/>
        <w:t xml:space="preserve">Hogg, R.S., et al., </w:t>
      </w:r>
      <w:r w:rsidRPr="00E92AB8">
        <w:rPr>
          <w:rFonts w:ascii="Courier New" w:hAnsi="Courier New" w:cs="Courier New"/>
          <w:i/>
          <w:sz w:val="22"/>
        </w:rPr>
        <w:t>Decline in deaths from AIDS due to new antiretrovirals.</w:t>
      </w:r>
      <w:r w:rsidRPr="00E92AB8">
        <w:rPr>
          <w:rFonts w:ascii="Courier New" w:hAnsi="Courier New" w:cs="Courier New"/>
          <w:sz w:val="22"/>
        </w:rPr>
        <w:t xml:space="preserve"> Lancet, 1997. </w:t>
      </w:r>
      <w:r w:rsidRPr="00E92AB8">
        <w:rPr>
          <w:rFonts w:ascii="Courier New" w:hAnsi="Courier New" w:cs="Courier New"/>
          <w:b/>
          <w:sz w:val="22"/>
        </w:rPr>
        <w:t>349</w:t>
      </w:r>
      <w:r w:rsidRPr="00E92AB8">
        <w:rPr>
          <w:rFonts w:ascii="Courier New" w:hAnsi="Courier New" w:cs="Courier New"/>
          <w:sz w:val="22"/>
        </w:rPr>
        <w:t>(9061): p. 1294.</w:t>
      </w:r>
    </w:p>
    <w:p w14:paraId="21EC6962"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4.</w:t>
      </w:r>
      <w:r w:rsidRPr="00E92AB8">
        <w:rPr>
          <w:rFonts w:ascii="Courier New" w:hAnsi="Courier New" w:cs="Courier New"/>
          <w:sz w:val="22"/>
        </w:rPr>
        <w:tab/>
        <w:t xml:space="preserve">Palella, F.J., Jr., et al., </w:t>
      </w:r>
      <w:r w:rsidRPr="00E92AB8">
        <w:rPr>
          <w:rFonts w:ascii="Courier New" w:hAnsi="Courier New" w:cs="Courier New"/>
          <w:i/>
          <w:sz w:val="22"/>
        </w:rPr>
        <w:t>Declining morbidity and mortality among patients with advanced human immunodeficiency virus infection. HIV Outpatient Study Investigators.</w:t>
      </w:r>
      <w:r w:rsidRPr="00E92AB8">
        <w:rPr>
          <w:rFonts w:ascii="Courier New" w:hAnsi="Courier New" w:cs="Courier New"/>
          <w:sz w:val="22"/>
        </w:rPr>
        <w:t xml:space="preserve"> N Engl J Med, 1998. </w:t>
      </w:r>
      <w:r w:rsidRPr="00E92AB8">
        <w:rPr>
          <w:rFonts w:ascii="Courier New" w:hAnsi="Courier New" w:cs="Courier New"/>
          <w:b/>
          <w:sz w:val="22"/>
        </w:rPr>
        <w:t>338</w:t>
      </w:r>
      <w:r w:rsidRPr="00E92AB8">
        <w:rPr>
          <w:rFonts w:ascii="Courier New" w:hAnsi="Courier New" w:cs="Courier New"/>
          <w:sz w:val="22"/>
        </w:rPr>
        <w:t>(13): p. 853-60.</w:t>
      </w:r>
    </w:p>
    <w:p w14:paraId="059396C4"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5.</w:t>
      </w:r>
      <w:r w:rsidRPr="00E92AB8">
        <w:rPr>
          <w:rFonts w:ascii="Courier New" w:hAnsi="Courier New" w:cs="Courier New"/>
          <w:sz w:val="22"/>
        </w:rPr>
        <w:tab/>
        <w:t xml:space="preserve">Samji, H., et al., </w:t>
      </w:r>
      <w:r w:rsidRPr="00E92AB8">
        <w:rPr>
          <w:rFonts w:ascii="Courier New" w:hAnsi="Courier New" w:cs="Courier New"/>
          <w:i/>
          <w:sz w:val="22"/>
        </w:rPr>
        <w:t>Closing the gap: Increases in life expectancy among treated HIV-positive individuals in the United States and Canada.</w:t>
      </w:r>
      <w:r w:rsidRPr="00E92AB8">
        <w:rPr>
          <w:rFonts w:ascii="Courier New" w:hAnsi="Courier New" w:cs="Courier New"/>
          <w:sz w:val="22"/>
        </w:rPr>
        <w:t xml:space="preserve"> PLoS One, 2013. </w:t>
      </w:r>
      <w:r w:rsidRPr="00E92AB8">
        <w:rPr>
          <w:rFonts w:ascii="Courier New" w:hAnsi="Courier New" w:cs="Courier New"/>
          <w:b/>
          <w:sz w:val="22"/>
        </w:rPr>
        <w:t>8</w:t>
      </w:r>
      <w:r w:rsidRPr="00E92AB8">
        <w:rPr>
          <w:rFonts w:ascii="Courier New" w:hAnsi="Courier New" w:cs="Courier New"/>
          <w:sz w:val="22"/>
        </w:rPr>
        <w:t>(12): p. e81355.</w:t>
      </w:r>
    </w:p>
    <w:p w14:paraId="0A0B9F98"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6.</w:t>
      </w:r>
      <w:r w:rsidRPr="00E92AB8">
        <w:rPr>
          <w:rFonts w:ascii="Courier New" w:hAnsi="Courier New" w:cs="Courier New"/>
          <w:sz w:val="22"/>
        </w:rPr>
        <w:tab/>
        <w:t xml:space="preserve">Cohen, M.S. and C.L. Gay, </w:t>
      </w:r>
      <w:r w:rsidRPr="00E92AB8">
        <w:rPr>
          <w:rFonts w:ascii="Courier New" w:hAnsi="Courier New" w:cs="Courier New"/>
          <w:i/>
          <w:sz w:val="22"/>
        </w:rPr>
        <w:t>Treatment to prevent transmission of HIV-1.</w:t>
      </w:r>
      <w:r w:rsidRPr="00E92AB8">
        <w:rPr>
          <w:rFonts w:ascii="Courier New" w:hAnsi="Courier New" w:cs="Courier New"/>
          <w:sz w:val="22"/>
        </w:rPr>
        <w:t xml:space="preserve"> Clin Infect Dis, 2010. </w:t>
      </w:r>
      <w:r w:rsidRPr="00E92AB8">
        <w:rPr>
          <w:rFonts w:ascii="Courier New" w:hAnsi="Courier New" w:cs="Courier New"/>
          <w:b/>
          <w:sz w:val="22"/>
        </w:rPr>
        <w:t>50 Suppl 3</w:t>
      </w:r>
      <w:r w:rsidRPr="00E92AB8">
        <w:rPr>
          <w:rFonts w:ascii="Courier New" w:hAnsi="Courier New" w:cs="Courier New"/>
          <w:sz w:val="22"/>
        </w:rPr>
        <w:t>: p. S85-95.</w:t>
      </w:r>
    </w:p>
    <w:p w14:paraId="7AF63B25"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7.</w:t>
      </w:r>
      <w:r w:rsidRPr="00E92AB8">
        <w:rPr>
          <w:rFonts w:ascii="Courier New" w:hAnsi="Courier New" w:cs="Courier New"/>
          <w:sz w:val="22"/>
        </w:rPr>
        <w:tab/>
        <w:t xml:space="preserve">Marks, G., N. Crepaz, and R.S. Janssen, </w:t>
      </w:r>
      <w:r w:rsidRPr="00E92AB8">
        <w:rPr>
          <w:rFonts w:ascii="Courier New" w:hAnsi="Courier New" w:cs="Courier New"/>
          <w:i/>
          <w:sz w:val="22"/>
        </w:rPr>
        <w:t>Estimating sexual transmission of HIV from persons aware and unaware that they are infected with the virus in the USA.</w:t>
      </w:r>
      <w:r w:rsidRPr="00E92AB8">
        <w:rPr>
          <w:rFonts w:ascii="Courier New" w:hAnsi="Courier New" w:cs="Courier New"/>
          <w:sz w:val="22"/>
        </w:rPr>
        <w:t xml:space="preserve"> Aids, 2006. </w:t>
      </w:r>
      <w:r w:rsidRPr="00E92AB8">
        <w:rPr>
          <w:rFonts w:ascii="Courier New" w:hAnsi="Courier New" w:cs="Courier New"/>
          <w:b/>
          <w:sz w:val="22"/>
        </w:rPr>
        <w:t>20</w:t>
      </w:r>
      <w:r w:rsidRPr="00E92AB8">
        <w:rPr>
          <w:rFonts w:ascii="Courier New" w:hAnsi="Courier New" w:cs="Courier New"/>
          <w:sz w:val="22"/>
        </w:rPr>
        <w:t>(10): p. 1447-50.</w:t>
      </w:r>
    </w:p>
    <w:p w14:paraId="5347EBBB"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8.</w:t>
      </w:r>
      <w:r w:rsidRPr="00E92AB8">
        <w:rPr>
          <w:rFonts w:ascii="Courier New" w:hAnsi="Courier New" w:cs="Courier New"/>
          <w:sz w:val="22"/>
        </w:rPr>
        <w:tab/>
        <w:t xml:space="preserve">Marks, G., et al., </w:t>
      </w:r>
      <w:r w:rsidRPr="00E92AB8">
        <w:rPr>
          <w:rFonts w:ascii="Courier New" w:hAnsi="Courier New" w:cs="Courier New"/>
          <w:i/>
          <w:sz w:val="22"/>
        </w:rPr>
        <w:t>Entry and retention in medical care among HIV-diagnosed persons: a meta-analysis.</w:t>
      </w:r>
      <w:r w:rsidRPr="00E92AB8">
        <w:rPr>
          <w:rFonts w:ascii="Courier New" w:hAnsi="Courier New" w:cs="Courier New"/>
          <w:sz w:val="22"/>
        </w:rPr>
        <w:t xml:space="preserve"> Aids, 2010. </w:t>
      </w:r>
      <w:r w:rsidRPr="00E92AB8">
        <w:rPr>
          <w:rFonts w:ascii="Courier New" w:hAnsi="Courier New" w:cs="Courier New"/>
          <w:b/>
          <w:sz w:val="22"/>
        </w:rPr>
        <w:t>24</w:t>
      </w:r>
      <w:r w:rsidRPr="00E92AB8">
        <w:rPr>
          <w:rFonts w:ascii="Courier New" w:hAnsi="Courier New" w:cs="Courier New"/>
          <w:sz w:val="22"/>
        </w:rPr>
        <w:t>(17): p. 2665-78.</w:t>
      </w:r>
    </w:p>
    <w:p w14:paraId="092B575A"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9.</w:t>
      </w:r>
      <w:r w:rsidRPr="00E92AB8">
        <w:rPr>
          <w:rFonts w:ascii="Courier New" w:hAnsi="Courier New" w:cs="Courier New"/>
          <w:sz w:val="22"/>
        </w:rPr>
        <w:tab/>
        <w:t xml:space="preserve">Metsch, L.R., et al., </w:t>
      </w:r>
      <w:r w:rsidRPr="00E92AB8">
        <w:rPr>
          <w:rFonts w:ascii="Courier New" w:hAnsi="Courier New" w:cs="Courier New"/>
          <w:i/>
          <w:sz w:val="22"/>
        </w:rPr>
        <w:t>HIV transmission risk behaviors among HIV-infected persons who are successfully linked to care.</w:t>
      </w:r>
      <w:r w:rsidRPr="00E92AB8">
        <w:rPr>
          <w:rFonts w:ascii="Courier New" w:hAnsi="Courier New" w:cs="Courier New"/>
          <w:sz w:val="22"/>
        </w:rPr>
        <w:t xml:space="preserve"> Clin Infect Dis, 2008. </w:t>
      </w:r>
      <w:r w:rsidRPr="00E92AB8">
        <w:rPr>
          <w:rFonts w:ascii="Courier New" w:hAnsi="Courier New" w:cs="Courier New"/>
          <w:b/>
          <w:sz w:val="22"/>
        </w:rPr>
        <w:t>47</w:t>
      </w:r>
      <w:r w:rsidRPr="00E92AB8">
        <w:rPr>
          <w:rFonts w:ascii="Courier New" w:hAnsi="Courier New" w:cs="Courier New"/>
          <w:sz w:val="22"/>
        </w:rPr>
        <w:t>(4): p. 577-84.</w:t>
      </w:r>
    </w:p>
    <w:p w14:paraId="5EC2D92E"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10.</w:t>
      </w:r>
      <w:r w:rsidRPr="00E92AB8">
        <w:rPr>
          <w:rFonts w:ascii="Courier New" w:hAnsi="Courier New" w:cs="Courier New"/>
          <w:sz w:val="22"/>
        </w:rPr>
        <w:tab/>
        <w:t xml:space="preserve">Ulett, K.B., et al., </w:t>
      </w:r>
      <w:r w:rsidRPr="00E92AB8">
        <w:rPr>
          <w:rFonts w:ascii="Courier New" w:hAnsi="Courier New" w:cs="Courier New"/>
          <w:i/>
          <w:sz w:val="22"/>
        </w:rPr>
        <w:t>The therapeutic implications of timely linkage and early retention in HIV care.</w:t>
      </w:r>
      <w:r w:rsidRPr="00E92AB8">
        <w:rPr>
          <w:rFonts w:ascii="Courier New" w:hAnsi="Courier New" w:cs="Courier New"/>
          <w:sz w:val="22"/>
        </w:rPr>
        <w:t xml:space="preserve"> AIDS Patient Care STDS, 2009. </w:t>
      </w:r>
      <w:r w:rsidRPr="00E92AB8">
        <w:rPr>
          <w:rFonts w:ascii="Courier New" w:hAnsi="Courier New" w:cs="Courier New"/>
          <w:b/>
          <w:sz w:val="22"/>
        </w:rPr>
        <w:t>23</w:t>
      </w:r>
      <w:r w:rsidRPr="00E92AB8">
        <w:rPr>
          <w:rFonts w:ascii="Courier New" w:hAnsi="Courier New" w:cs="Courier New"/>
          <w:sz w:val="22"/>
        </w:rPr>
        <w:t>(1): p. 41-9.</w:t>
      </w:r>
    </w:p>
    <w:p w14:paraId="7412B078"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11.</w:t>
      </w:r>
      <w:r w:rsidRPr="00E92AB8">
        <w:rPr>
          <w:rFonts w:ascii="Courier New" w:hAnsi="Courier New" w:cs="Courier New"/>
          <w:sz w:val="22"/>
        </w:rPr>
        <w:tab/>
        <w:t xml:space="preserve">Cohen, M.S., et al., </w:t>
      </w:r>
      <w:r w:rsidRPr="00E92AB8">
        <w:rPr>
          <w:rFonts w:ascii="Courier New" w:hAnsi="Courier New" w:cs="Courier New"/>
          <w:i/>
          <w:sz w:val="22"/>
        </w:rPr>
        <w:t>Antiretroviral therapy for the prevention of HIV-1 transmission.</w:t>
      </w:r>
      <w:r w:rsidRPr="00E92AB8">
        <w:rPr>
          <w:rFonts w:ascii="Courier New" w:hAnsi="Courier New" w:cs="Courier New"/>
          <w:sz w:val="22"/>
        </w:rPr>
        <w:t xml:space="preserve"> N Engl J Med, 2016. </w:t>
      </w:r>
      <w:r w:rsidRPr="00E92AB8">
        <w:rPr>
          <w:rFonts w:ascii="Courier New" w:hAnsi="Courier New" w:cs="Courier New"/>
          <w:b/>
          <w:sz w:val="22"/>
        </w:rPr>
        <w:t>375</w:t>
      </w:r>
      <w:r w:rsidRPr="00E92AB8">
        <w:rPr>
          <w:rFonts w:ascii="Courier New" w:hAnsi="Courier New" w:cs="Courier New"/>
          <w:sz w:val="22"/>
        </w:rPr>
        <w:t>(9): p. 830-9.</w:t>
      </w:r>
    </w:p>
    <w:p w14:paraId="0C08E7FA"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12.</w:t>
      </w:r>
      <w:r w:rsidRPr="00E92AB8">
        <w:rPr>
          <w:rFonts w:ascii="Courier New" w:hAnsi="Courier New" w:cs="Courier New"/>
          <w:sz w:val="22"/>
        </w:rPr>
        <w:tab/>
        <w:t xml:space="preserve">Cohen, M.S., et al., </w:t>
      </w:r>
      <w:r w:rsidRPr="00E92AB8">
        <w:rPr>
          <w:rFonts w:ascii="Courier New" w:hAnsi="Courier New" w:cs="Courier New"/>
          <w:i/>
          <w:sz w:val="22"/>
        </w:rPr>
        <w:t>Prevention of HIV-1 infection with early antiretroviral therapy.</w:t>
      </w:r>
      <w:r w:rsidRPr="00E92AB8">
        <w:rPr>
          <w:rFonts w:ascii="Courier New" w:hAnsi="Courier New" w:cs="Courier New"/>
          <w:sz w:val="22"/>
        </w:rPr>
        <w:t xml:space="preserve"> N Engl J Med, 2011. </w:t>
      </w:r>
      <w:r w:rsidRPr="00E92AB8">
        <w:rPr>
          <w:rFonts w:ascii="Courier New" w:hAnsi="Courier New" w:cs="Courier New"/>
          <w:b/>
          <w:sz w:val="22"/>
        </w:rPr>
        <w:t>365</w:t>
      </w:r>
      <w:r w:rsidRPr="00E92AB8">
        <w:rPr>
          <w:rFonts w:ascii="Courier New" w:hAnsi="Courier New" w:cs="Courier New"/>
          <w:sz w:val="22"/>
        </w:rPr>
        <w:t>(6): p. 493-505.</w:t>
      </w:r>
    </w:p>
    <w:p w14:paraId="4CB82960"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13.</w:t>
      </w:r>
      <w:r w:rsidRPr="00E92AB8">
        <w:rPr>
          <w:rFonts w:ascii="Courier New" w:hAnsi="Courier New" w:cs="Courier New"/>
          <w:sz w:val="22"/>
        </w:rPr>
        <w:tab/>
        <w:t xml:space="preserve">Rodger, A.J., et al., </w:t>
      </w:r>
      <w:r w:rsidRPr="00E92AB8">
        <w:rPr>
          <w:rFonts w:ascii="Courier New" w:hAnsi="Courier New" w:cs="Courier New"/>
          <w:i/>
          <w:sz w:val="22"/>
        </w:rPr>
        <w:t>Sexual activity without condoms and risk of HIV transmission in serodifferent couples when the HIV-positive partner is using suppressive antiretroviral therapy.</w:t>
      </w:r>
      <w:r w:rsidRPr="00E92AB8">
        <w:rPr>
          <w:rFonts w:ascii="Courier New" w:hAnsi="Courier New" w:cs="Courier New"/>
          <w:sz w:val="22"/>
        </w:rPr>
        <w:t xml:space="preserve"> Jama, 2016. </w:t>
      </w:r>
      <w:r w:rsidRPr="00E92AB8">
        <w:rPr>
          <w:rFonts w:ascii="Courier New" w:hAnsi="Courier New" w:cs="Courier New"/>
          <w:b/>
          <w:sz w:val="22"/>
        </w:rPr>
        <w:t>316</w:t>
      </w:r>
      <w:r w:rsidRPr="00E92AB8">
        <w:rPr>
          <w:rFonts w:ascii="Courier New" w:hAnsi="Courier New" w:cs="Courier New"/>
          <w:sz w:val="22"/>
        </w:rPr>
        <w:t>(2): p. 171-81.</w:t>
      </w:r>
    </w:p>
    <w:p w14:paraId="5018339F"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14.</w:t>
      </w:r>
      <w:r w:rsidRPr="00E92AB8">
        <w:rPr>
          <w:rFonts w:ascii="Courier New" w:hAnsi="Courier New" w:cs="Courier New"/>
          <w:sz w:val="22"/>
        </w:rPr>
        <w:tab/>
        <w:t xml:space="preserve">Christopoulos, K.A., et al., </w:t>
      </w:r>
      <w:r w:rsidRPr="00E92AB8">
        <w:rPr>
          <w:rFonts w:ascii="Courier New" w:hAnsi="Courier New" w:cs="Courier New"/>
          <w:i/>
          <w:sz w:val="22"/>
        </w:rPr>
        <w:t>"Taking a half day at a time:" Patient perspectives and the HIV engagement in care continuum.</w:t>
      </w:r>
      <w:r w:rsidRPr="00E92AB8">
        <w:rPr>
          <w:rFonts w:ascii="Courier New" w:hAnsi="Courier New" w:cs="Courier New"/>
          <w:sz w:val="22"/>
        </w:rPr>
        <w:t xml:space="preserve"> AIDS Patient Care STDS, 2013. </w:t>
      </w:r>
      <w:r w:rsidRPr="00E92AB8">
        <w:rPr>
          <w:rFonts w:ascii="Courier New" w:hAnsi="Courier New" w:cs="Courier New"/>
          <w:b/>
          <w:sz w:val="22"/>
        </w:rPr>
        <w:t>27</w:t>
      </w:r>
      <w:r w:rsidRPr="00E92AB8">
        <w:rPr>
          <w:rFonts w:ascii="Courier New" w:hAnsi="Courier New" w:cs="Courier New"/>
          <w:sz w:val="22"/>
        </w:rPr>
        <w:t>(4): p. 223-30.</w:t>
      </w:r>
    </w:p>
    <w:p w14:paraId="4B813C3E"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15.</w:t>
      </w:r>
      <w:r w:rsidRPr="00E92AB8">
        <w:rPr>
          <w:rFonts w:ascii="Courier New" w:hAnsi="Courier New" w:cs="Courier New"/>
          <w:sz w:val="22"/>
        </w:rPr>
        <w:tab/>
        <w:t xml:space="preserve">Cunningham, C.O., et al., </w:t>
      </w:r>
      <w:r w:rsidRPr="00E92AB8">
        <w:rPr>
          <w:rFonts w:ascii="Courier New" w:hAnsi="Courier New" w:cs="Courier New"/>
          <w:i/>
          <w:sz w:val="22"/>
        </w:rPr>
        <w:t>A comparison of HIV health services utilization measures in a marginalized population: Self-report versus medical records.</w:t>
      </w:r>
      <w:r w:rsidRPr="00E92AB8">
        <w:rPr>
          <w:rFonts w:ascii="Courier New" w:hAnsi="Courier New" w:cs="Courier New"/>
          <w:sz w:val="22"/>
        </w:rPr>
        <w:t xml:space="preserve"> Med Care, 2007. </w:t>
      </w:r>
      <w:r w:rsidRPr="00E92AB8">
        <w:rPr>
          <w:rFonts w:ascii="Courier New" w:hAnsi="Courier New" w:cs="Courier New"/>
          <w:b/>
          <w:sz w:val="22"/>
        </w:rPr>
        <w:t>45</w:t>
      </w:r>
      <w:r w:rsidRPr="00E92AB8">
        <w:rPr>
          <w:rFonts w:ascii="Courier New" w:hAnsi="Courier New" w:cs="Courier New"/>
          <w:sz w:val="22"/>
        </w:rPr>
        <w:t>(3): p. 264-8.</w:t>
      </w:r>
    </w:p>
    <w:p w14:paraId="37F0FC6D"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16.</w:t>
      </w:r>
      <w:r w:rsidRPr="00E92AB8">
        <w:rPr>
          <w:rFonts w:ascii="Courier New" w:hAnsi="Courier New" w:cs="Courier New"/>
          <w:sz w:val="22"/>
        </w:rPr>
        <w:tab/>
        <w:t xml:space="preserve">Mugavero, M.J., et al., </w:t>
      </w:r>
      <w:r w:rsidRPr="00E92AB8">
        <w:rPr>
          <w:rFonts w:ascii="Courier New" w:hAnsi="Courier New" w:cs="Courier New"/>
          <w:i/>
          <w:sz w:val="22"/>
        </w:rPr>
        <w:t>The state of engagement in HIV care in the United States: From cascade to continuum to control.</w:t>
      </w:r>
      <w:r w:rsidRPr="00E92AB8">
        <w:rPr>
          <w:rFonts w:ascii="Courier New" w:hAnsi="Courier New" w:cs="Courier New"/>
          <w:sz w:val="22"/>
        </w:rPr>
        <w:t xml:space="preserve"> Clin Infect Dis, 2013. </w:t>
      </w:r>
      <w:r w:rsidRPr="00E92AB8">
        <w:rPr>
          <w:rFonts w:ascii="Courier New" w:hAnsi="Courier New" w:cs="Courier New"/>
          <w:b/>
          <w:sz w:val="22"/>
        </w:rPr>
        <w:t>57</w:t>
      </w:r>
      <w:r w:rsidRPr="00E92AB8">
        <w:rPr>
          <w:rFonts w:ascii="Courier New" w:hAnsi="Courier New" w:cs="Courier New"/>
          <w:sz w:val="22"/>
        </w:rPr>
        <w:t>(8): p. 1164-71.</w:t>
      </w:r>
    </w:p>
    <w:p w14:paraId="3310BCA3"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17.</w:t>
      </w:r>
      <w:r w:rsidRPr="00E92AB8">
        <w:rPr>
          <w:rFonts w:ascii="Courier New" w:hAnsi="Courier New" w:cs="Courier New"/>
          <w:sz w:val="22"/>
        </w:rPr>
        <w:tab/>
        <w:t xml:space="preserve">Rebeiro, P., et al., </w:t>
      </w:r>
      <w:r w:rsidRPr="00E92AB8">
        <w:rPr>
          <w:rFonts w:ascii="Courier New" w:hAnsi="Courier New" w:cs="Courier New"/>
          <w:i/>
          <w:sz w:val="22"/>
        </w:rPr>
        <w:t>Retention among North American HIV-infected persons in clinical care, 2000-2008.</w:t>
      </w:r>
      <w:r w:rsidRPr="00E92AB8">
        <w:rPr>
          <w:rFonts w:ascii="Courier New" w:hAnsi="Courier New" w:cs="Courier New"/>
          <w:sz w:val="22"/>
        </w:rPr>
        <w:t xml:space="preserve"> J Acquir Immune Defic Syndr, 2013. </w:t>
      </w:r>
      <w:r w:rsidRPr="00E92AB8">
        <w:rPr>
          <w:rFonts w:ascii="Courier New" w:hAnsi="Courier New" w:cs="Courier New"/>
          <w:b/>
          <w:sz w:val="22"/>
        </w:rPr>
        <w:t>62</w:t>
      </w:r>
      <w:r w:rsidRPr="00E92AB8">
        <w:rPr>
          <w:rFonts w:ascii="Courier New" w:hAnsi="Courier New" w:cs="Courier New"/>
          <w:sz w:val="22"/>
        </w:rPr>
        <w:t>(3): p. 356-62.</w:t>
      </w:r>
    </w:p>
    <w:p w14:paraId="2421874B"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18.</w:t>
      </w:r>
      <w:r w:rsidRPr="00E92AB8">
        <w:rPr>
          <w:rFonts w:ascii="Courier New" w:hAnsi="Courier New" w:cs="Courier New"/>
          <w:sz w:val="22"/>
        </w:rPr>
        <w:tab/>
        <w:t xml:space="preserve">Institute of Medicine, </w:t>
      </w:r>
      <w:r w:rsidRPr="00E92AB8">
        <w:rPr>
          <w:rFonts w:ascii="Courier New" w:hAnsi="Courier New" w:cs="Courier New"/>
          <w:i/>
          <w:sz w:val="22"/>
        </w:rPr>
        <w:t>Access to Health Care in America</w:t>
      </w:r>
      <w:r w:rsidRPr="00E92AB8">
        <w:rPr>
          <w:rFonts w:ascii="Courier New" w:hAnsi="Courier New" w:cs="Courier New"/>
          <w:sz w:val="22"/>
        </w:rPr>
        <w:t>, M. Millman, Editor. 1993, National Academy Press: Washington, DC.</w:t>
      </w:r>
    </w:p>
    <w:p w14:paraId="35500610"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19.</w:t>
      </w:r>
      <w:r w:rsidRPr="00E92AB8">
        <w:rPr>
          <w:rFonts w:ascii="Courier New" w:hAnsi="Courier New" w:cs="Courier New"/>
          <w:sz w:val="22"/>
        </w:rPr>
        <w:tab/>
        <w:t xml:space="preserve">Remien, R.H., et al., </w:t>
      </w:r>
      <w:r w:rsidRPr="00E92AB8">
        <w:rPr>
          <w:rFonts w:ascii="Courier New" w:hAnsi="Courier New" w:cs="Courier New"/>
          <w:i/>
          <w:sz w:val="22"/>
        </w:rPr>
        <w:t>Barriers and facilitators to engagement of vulnerable populations in HIV primary care in New York City.</w:t>
      </w:r>
      <w:r w:rsidRPr="00E92AB8">
        <w:rPr>
          <w:rFonts w:ascii="Courier New" w:hAnsi="Courier New" w:cs="Courier New"/>
          <w:sz w:val="22"/>
        </w:rPr>
        <w:t xml:space="preserve"> J Acquir Immune Defic Syndr, 2015. </w:t>
      </w:r>
      <w:r w:rsidRPr="00E92AB8">
        <w:rPr>
          <w:rFonts w:ascii="Courier New" w:hAnsi="Courier New" w:cs="Courier New"/>
          <w:b/>
          <w:sz w:val="22"/>
        </w:rPr>
        <w:t>69 Suppl 1</w:t>
      </w:r>
      <w:r w:rsidRPr="00E92AB8">
        <w:rPr>
          <w:rFonts w:ascii="Courier New" w:hAnsi="Courier New" w:cs="Courier New"/>
          <w:sz w:val="22"/>
        </w:rPr>
        <w:t>: p. S16-24.</w:t>
      </w:r>
    </w:p>
    <w:p w14:paraId="5A056808"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20.</w:t>
      </w:r>
      <w:r w:rsidRPr="00E92AB8">
        <w:rPr>
          <w:rFonts w:ascii="Courier New" w:hAnsi="Courier New" w:cs="Courier New"/>
          <w:sz w:val="22"/>
        </w:rPr>
        <w:tab/>
        <w:t xml:space="preserve">Liau, A., et al., </w:t>
      </w:r>
      <w:r w:rsidRPr="00E92AB8">
        <w:rPr>
          <w:rFonts w:ascii="Courier New" w:hAnsi="Courier New" w:cs="Courier New"/>
          <w:i/>
          <w:sz w:val="22"/>
        </w:rPr>
        <w:t>Interventions to promote linkage to and utilization of HIV medical care among HIV-diagnosed persons: A qualitative systematic review, 1996-2011.</w:t>
      </w:r>
      <w:r w:rsidRPr="00E92AB8">
        <w:rPr>
          <w:rFonts w:ascii="Courier New" w:hAnsi="Courier New" w:cs="Courier New"/>
          <w:sz w:val="22"/>
        </w:rPr>
        <w:t xml:space="preserve"> AIDS Behav, 2013. </w:t>
      </w:r>
      <w:r w:rsidRPr="00E92AB8">
        <w:rPr>
          <w:rFonts w:ascii="Courier New" w:hAnsi="Courier New" w:cs="Courier New"/>
          <w:b/>
          <w:sz w:val="22"/>
        </w:rPr>
        <w:t>17</w:t>
      </w:r>
      <w:r w:rsidRPr="00E92AB8">
        <w:rPr>
          <w:rFonts w:ascii="Courier New" w:hAnsi="Courier New" w:cs="Courier New"/>
          <w:sz w:val="22"/>
        </w:rPr>
        <w:t>(6): p. 1941-62.</w:t>
      </w:r>
    </w:p>
    <w:p w14:paraId="1C74DB0B"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21.</w:t>
      </w:r>
      <w:r w:rsidRPr="00E92AB8">
        <w:rPr>
          <w:rFonts w:ascii="Courier New" w:hAnsi="Courier New" w:cs="Courier New"/>
          <w:sz w:val="22"/>
        </w:rPr>
        <w:tab/>
        <w:t xml:space="preserve">Dombrowski, J.C., et al., </w:t>
      </w:r>
      <w:r w:rsidRPr="00E92AB8">
        <w:rPr>
          <w:rFonts w:ascii="Courier New" w:hAnsi="Courier New" w:cs="Courier New"/>
          <w:i/>
          <w:sz w:val="22"/>
        </w:rPr>
        <w:t>HIV provider and patient perspectives on the Development of a Health Department “Data to Care” Program: A qualitative study.</w:t>
      </w:r>
      <w:r w:rsidRPr="00E92AB8">
        <w:rPr>
          <w:rFonts w:ascii="Courier New" w:hAnsi="Courier New" w:cs="Courier New"/>
          <w:sz w:val="22"/>
        </w:rPr>
        <w:t xml:space="preserve"> BMC Public Health, 2016. </w:t>
      </w:r>
      <w:r w:rsidRPr="00E92AB8">
        <w:rPr>
          <w:rFonts w:ascii="Courier New" w:hAnsi="Courier New" w:cs="Courier New"/>
          <w:b/>
          <w:sz w:val="22"/>
        </w:rPr>
        <w:t>16</w:t>
      </w:r>
      <w:r w:rsidRPr="00E92AB8">
        <w:rPr>
          <w:rFonts w:ascii="Courier New" w:hAnsi="Courier New" w:cs="Courier New"/>
          <w:sz w:val="22"/>
        </w:rPr>
        <w:t>: p. 491.</w:t>
      </w:r>
    </w:p>
    <w:p w14:paraId="4A03EA32"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22.</w:t>
      </w:r>
      <w:r w:rsidRPr="00E92AB8">
        <w:rPr>
          <w:rFonts w:ascii="Courier New" w:hAnsi="Courier New" w:cs="Courier New"/>
          <w:sz w:val="22"/>
        </w:rPr>
        <w:tab/>
        <w:t xml:space="preserve">Kelly, B., Margolis, M., McCormack, L., LeBaron, P.A., Chowdhury, D., </w:t>
      </w:r>
      <w:r w:rsidRPr="00E92AB8">
        <w:rPr>
          <w:rFonts w:ascii="Courier New" w:hAnsi="Courier New" w:cs="Courier New"/>
          <w:i/>
          <w:sz w:val="22"/>
        </w:rPr>
        <w:t>What Affects People’s Willingness to participate in qualitative research? An experimental comparison of five incentives</w:t>
      </w:r>
      <w:r w:rsidRPr="00E92AB8">
        <w:rPr>
          <w:rFonts w:ascii="Courier New" w:hAnsi="Courier New" w:cs="Courier New"/>
          <w:sz w:val="22"/>
        </w:rPr>
        <w:t xml:space="preserve">. Field Methods, 2017. </w:t>
      </w:r>
      <w:r w:rsidRPr="00E92AB8">
        <w:rPr>
          <w:rFonts w:ascii="Courier New" w:hAnsi="Courier New" w:cs="Courier New"/>
          <w:b/>
          <w:sz w:val="22"/>
        </w:rPr>
        <w:t>29</w:t>
      </w:r>
      <w:r w:rsidRPr="00E92AB8">
        <w:rPr>
          <w:rFonts w:ascii="Courier New" w:hAnsi="Courier New" w:cs="Courier New"/>
          <w:sz w:val="22"/>
        </w:rPr>
        <w:t xml:space="preserve"> (4): p. 333-350.</w:t>
      </w:r>
    </w:p>
    <w:p w14:paraId="133C58A8"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23.</w:t>
      </w:r>
      <w:r w:rsidRPr="00E92AB8">
        <w:rPr>
          <w:rFonts w:ascii="Courier New" w:hAnsi="Courier New" w:cs="Courier New"/>
          <w:sz w:val="22"/>
        </w:rPr>
        <w:tab/>
        <w:t xml:space="preserve">Centers for Disease Control and Prevention. </w:t>
      </w:r>
      <w:r w:rsidRPr="00E92AB8">
        <w:rPr>
          <w:rFonts w:ascii="Courier New" w:hAnsi="Courier New" w:cs="Courier New"/>
          <w:i/>
          <w:sz w:val="22"/>
        </w:rPr>
        <w:t>Medical Monitoring Project Resources</w:t>
      </w:r>
      <w:r w:rsidRPr="00E92AB8">
        <w:rPr>
          <w:rFonts w:ascii="Courier New" w:hAnsi="Courier New" w:cs="Courier New"/>
          <w:sz w:val="22"/>
        </w:rPr>
        <w:t xml:space="preserve">. 2017; Available from: </w:t>
      </w:r>
      <w:hyperlink r:id="rId14" w:history="1">
        <w:r w:rsidRPr="00E92AB8">
          <w:rPr>
            <w:rStyle w:val="Hyperlink"/>
            <w:rFonts w:ascii="Courier New" w:hAnsi="Courier New" w:cs="Courier New"/>
            <w:sz w:val="22"/>
          </w:rPr>
          <w:t>https://www.cdc.gov/hiv/statistics/systems/mmp/resources.html</w:t>
        </w:r>
      </w:hyperlink>
      <w:r w:rsidRPr="00E92AB8">
        <w:rPr>
          <w:rFonts w:ascii="Courier New" w:hAnsi="Courier New" w:cs="Courier New"/>
          <w:sz w:val="22"/>
        </w:rPr>
        <w:t>.</w:t>
      </w:r>
    </w:p>
    <w:p w14:paraId="0D21EC5E"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24.</w:t>
      </w:r>
      <w:r w:rsidRPr="00E92AB8">
        <w:rPr>
          <w:rFonts w:ascii="Courier New" w:hAnsi="Courier New" w:cs="Courier New"/>
          <w:sz w:val="22"/>
        </w:rPr>
        <w:tab/>
        <w:t xml:space="preserve">Centers for Disease Control and Prevention, </w:t>
      </w:r>
      <w:r w:rsidRPr="00E92AB8">
        <w:rPr>
          <w:rFonts w:ascii="Courier New" w:hAnsi="Courier New" w:cs="Courier New"/>
          <w:i/>
          <w:sz w:val="22"/>
        </w:rPr>
        <w:t>HIV Surveillance Report, 2015.</w:t>
      </w:r>
      <w:r w:rsidRPr="00E92AB8">
        <w:rPr>
          <w:rFonts w:ascii="Courier New" w:hAnsi="Courier New" w:cs="Courier New"/>
          <w:sz w:val="22"/>
        </w:rPr>
        <w:t xml:space="preserve"> 2016. </w:t>
      </w:r>
      <w:r w:rsidRPr="00E92AB8">
        <w:rPr>
          <w:rFonts w:ascii="Courier New" w:hAnsi="Courier New" w:cs="Courier New"/>
          <w:b/>
          <w:sz w:val="22"/>
        </w:rPr>
        <w:t>27</w:t>
      </w:r>
      <w:r w:rsidRPr="00E92AB8">
        <w:rPr>
          <w:rFonts w:ascii="Courier New" w:hAnsi="Courier New" w:cs="Courier New"/>
          <w:sz w:val="22"/>
        </w:rPr>
        <w:t>.</w:t>
      </w:r>
    </w:p>
    <w:p w14:paraId="697582A0"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25.</w:t>
      </w:r>
      <w:r w:rsidRPr="00E92AB8">
        <w:rPr>
          <w:rFonts w:ascii="Courier New" w:hAnsi="Courier New" w:cs="Courier New"/>
          <w:sz w:val="22"/>
        </w:rPr>
        <w:tab/>
        <w:t xml:space="preserve">Centers for Disease Control and Prevention, </w:t>
      </w:r>
      <w:r w:rsidRPr="00E92AB8">
        <w:rPr>
          <w:rFonts w:ascii="Courier New" w:hAnsi="Courier New" w:cs="Courier New"/>
          <w:i/>
          <w:sz w:val="22"/>
        </w:rPr>
        <w:t>Division of HIV/AIDS Prevention Strategic Plan 2017 - 2020</w:t>
      </w:r>
      <w:r w:rsidRPr="00E92AB8">
        <w:rPr>
          <w:rFonts w:ascii="Courier New" w:hAnsi="Courier New" w:cs="Courier New"/>
          <w:sz w:val="22"/>
        </w:rPr>
        <w:t>, D.o.H.A. Prevention, Editor. 2017. p. 1-25.</w:t>
      </w:r>
    </w:p>
    <w:p w14:paraId="5C2121F8"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26.</w:t>
      </w:r>
      <w:r w:rsidRPr="00E92AB8">
        <w:rPr>
          <w:rFonts w:ascii="Courier New" w:hAnsi="Courier New" w:cs="Courier New"/>
          <w:sz w:val="22"/>
        </w:rPr>
        <w:tab/>
        <w:t xml:space="preserve">Hennik, M.M., Kaiser, B.N., Macaroni, V.C., </w:t>
      </w:r>
      <w:r w:rsidRPr="00E92AB8">
        <w:rPr>
          <w:rFonts w:ascii="Courier New" w:hAnsi="Courier New" w:cs="Courier New"/>
          <w:i/>
          <w:sz w:val="22"/>
        </w:rPr>
        <w:t>Code Saturation versus meaning saturation: How many interviews are enough?</w:t>
      </w:r>
      <w:r w:rsidRPr="00E92AB8">
        <w:rPr>
          <w:rFonts w:ascii="Courier New" w:hAnsi="Courier New" w:cs="Courier New"/>
          <w:sz w:val="22"/>
        </w:rPr>
        <w:t xml:space="preserve"> Qual Health Res. 2017. </w:t>
      </w:r>
      <w:r w:rsidRPr="00E92AB8">
        <w:rPr>
          <w:rFonts w:ascii="Courier New" w:hAnsi="Courier New" w:cs="Courier New"/>
          <w:b/>
          <w:sz w:val="22"/>
        </w:rPr>
        <w:t>27</w:t>
      </w:r>
      <w:r w:rsidRPr="00E92AB8">
        <w:rPr>
          <w:rFonts w:ascii="Courier New" w:hAnsi="Courier New" w:cs="Courier New"/>
          <w:sz w:val="22"/>
        </w:rPr>
        <w:t xml:space="preserve"> (4): p. 591-608.</w:t>
      </w:r>
    </w:p>
    <w:p w14:paraId="7E210BDE"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 xml:space="preserve">27. </w:t>
      </w:r>
      <w:r w:rsidRPr="00E92AB8">
        <w:rPr>
          <w:rFonts w:ascii="Courier New" w:hAnsi="Courier New" w:cs="Courier New"/>
          <w:sz w:val="22"/>
        </w:rPr>
        <w:tab/>
        <w:t xml:space="preserve">Thiede, H., Romero, M., Bordelon, K., Hagan, H., Murrill, C.S., </w:t>
      </w:r>
      <w:r w:rsidRPr="00E92AB8">
        <w:rPr>
          <w:rFonts w:ascii="Courier New" w:hAnsi="Courier New" w:cs="Courier New"/>
          <w:i/>
          <w:sz w:val="22"/>
        </w:rPr>
        <w:t>Using a jail-based survey to monitor HIV and risk behaviors among Seattle area injection drug users.</w:t>
      </w:r>
      <w:r w:rsidRPr="00E92AB8">
        <w:rPr>
          <w:rFonts w:ascii="Courier New" w:hAnsi="Courier New" w:cs="Courier New"/>
          <w:sz w:val="22"/>
        </w:rPr>
        <w:t xml:space="preserve"> Journal of Urban Health. 2001. </w:t>
      </w:r>
      <w:r w:rsidRPr="00E92AB8">
        <w:rPr>
          <w:rFonts w:ascii="Courier New" w:hAnsi="Courier New" w:cs="Courier New"/>
          <w:b/>
          <w:sz w:val="22"/>
        </w:rPr>
        <w:t>78</w:t>
      </w:r>
      <w:r w:rsidRPr="00E92AB8">
        <w:rPr>
          <w:rFonts w:ascii="Courier New" w:hAnsi="Courier New" w:cs="Courier New"/>
          <w:sz w:val="22"/>
        </w:rPr>
        <w:t>(2): p. 264-78.</w:t>
      </w:r>
    </w:p>
    <w:p w14:paraId="54D14F9D" w14:textId="77777777" w:rsidR="00287B22" w:rsidRPr="00E92AB8" w:rsidRDefault="00287B22" w:rsidP="00287B22">
      <w:pPr>
        <w:pStyle w:val="EndNoteBibliography"/>
        <w:ind w:left="720" w:hanging="720"/>
        <w:rPr>
          <w:rFonts w:ascii="Courier New" w:hAnsi="Courier New" w:cs="Courier New"/>
          <w:sz w:val="22"/>
        </w:rPr>
      </w:pPr>
      <w:r w:rsidRPr="00E92AB8">
        <w:rPr>
          <w:rFonts w:ascii="Courier New" w:hAnsi="Courier New" w:cs="Courier New"/>
          <w:sz w:val="22"/>
        </w:rPr>
        <w:t xml:space="preserve">28. </w:t>
      </w:r>
      <w:r w:rsidRPr="00E92AB8">
        <w:rPr>
          <w:rFonts w:ascii="Courier New" w:hAnsi="Courier New" w:cs="Courier New"/>
          <w:sz w:val="22"/>
        </w:rPr>
        <w:tab/>
        <w:t xml:space="preserve">Mackellar D, Valleroy L, Karon J, Lemp G, Janssen R. </w:t>
      </w:r>
      <w:r w:rsidRPr="00E92AB8">
        <w:rPr>
          <w:rFonts w:ascii="Courier New" w:hAnsi="Courier New" w:cs="Courier New"/>
          <w:i/>
          <w:sz w:val="22"/>
        </w:rPr>
        <w:t>The Young Men's Survey: Methods for estimating HIV seroprevalence and risk factors among young men who have sex with men.</w:t>
      </w:r>
      <w:r w:rsidRPr="00E92AB8">
        <w:rPr>
          <w:rFonts w:ascii="Courier New" w:hAnsi="Courier New" w:cs="Courier New"/>
          <w:sz w:val="22"/>
        </w:rPr>
        <w:t xml:space="preserve"> Public Health Reports, 1996. </w:t>
      </w:r>
      <w:r w:rsidRPr="00E92AB8">
        <w:rPr>
          <w:rFonts w:ascii="Courier New" w:hAnsi="Courier New" w:cs="Courier New"/>
          <w:b/>
          <w:sz w:val="22"/>
        </w:rPr>
        <w:t>111</w:t>
      </w:r>
      <w:r w:rsidRPr="00E92AB8">
        <w:rPr>
          <w:rFonts w:ascii="Courier New" w:hAnsi="Courier New" w:cs="Courier New"/>
          <w:sz w:val="22"/>
        </w:rPr>
        <w:t xml:space="preserve">(S1): p. 138-144. </w:t>
      </w:r>
    </w:p>
    <w:p w14:paraId="7CE81F8F" w14:textId="77777777" w:rsidR="00287B22" w:rsidRPr="00E92AB8" w:rsidRDefault="00287B22" w:rsidP="00287B22">
      <w:pPr>
        <w:pStyle w:val="EndNoteBibliography"/>
        <w:ind w:left="720" w:hanging="720"/>
        <w:rPr>
          <w:rFonts w:ascii="Courier New" w:hAnsi="Courier New" w:cs="Courier New"/>
          <w:sz w:val="22"/>
        </w:rPr>
      </w:pPr>
    </w:p>
    <w:p w14:paraId="700FB5DF" w14:textId="77777777" w:rsidR="00287B22" w:rsidRPr="00E92AB8" w:rsidRDefault="00287B22" w:rsidP="00287B22">
      <w:pPr>
        <w:pStyle w:val="EndNoteBibliography"/>
        <w:ind w:left="720" w:hanging="720"/>
        <w:rPr>
          <w:rFonts w:ascii="Courier New" w:hAnsi="Courier New" w:cs="Courier New"/>
          <w:sz w:val="22"/>
        </w:rPr>
      </w:pPr>
    </w:p>
    <w:p w14:paraId="62B3A146" w14:textId="115735B7" w:rsidR="00BC5E84" w:rsidRPr="00287B22" w:rsidRDefault="00287B22" w:rsidP="00287B22">
      <w:pPr>
        <w:spacing w:before="21"/>
        <w:ind w:left="360" w:right="-20"/>
        <w:rPr>
          <w:rFonts w:ascii="Courier New" w:eastAsia="Tahoma" w:hAnsi="Courier New" w:cs="Courier New"/>
        </w:rPr>
      </w:pPr>
      <w:r w:rsidRPr="00E92AB8">
        <w:rPr>
          <w:rFonts w:ascii="Courier New" w:hAnsi="Courier New" w:cs="Courier New"/>
          <w:sz w:val="22"/>
          <w:szCs w:val="22"/>
        </w:rPr>
        <w:fldChar w:fldCharType="end"/>
      </w:r>
    </w:p>
    <w:sectPr w:rsidR="00BC5E84" w:rsidRPr="00287B22" w:rsidSect="00B14535">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052F3" w14:textId="77777777" w:rsidR="00A901B0" w:rsidRDefault="00A901B0" w:rsidP="008B5D54">
      <w:r>
        <w:separator/>
      </w:r>
    </w:p>
  </w:endnote>
  <w:endnote w:type="continuationSeparator" w:id="0">
    <w:p w14:paraId="7BD3F19E" w14:textId="77777777" w:rsidR="00A901B0" w:rsidRDefault="00A901B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rFonts w:ascii="Courier New" w:hAnsi="Courier New" w:cs="Courier New"/>
        <w:noProof/>
      </w:rPr>
    </w:sdtEndPr>
    <w:sdtContent>
      <w:p w14:paraId="6B34CF35" w14:textId="718BC03C" w:rsidR="00A901B0" w:rsidRPr="002953B3" w:rsidRDefault="00A901B0">
        <w:pPr>
          <w:pStyle w:val="Footer"/>
          <w:jc w:val="right"/>
          <w:rPr>
            <w:rFonts w:ascii="Courier New" w:hAnsi="Courier New" w:cs="Courier New"/>
          </w:rPr>
        </w:pPr>
        <w:r w:rsidRPr="002953B3">
          <w:rPr>
            <w:rFonts w:ascii="Courier New" w:hAnsi="Courier New" w:cs="Courier New"/>
          </w:rPr>
          <w:fldChar w:fldCharType="begin"/>
        </w:r>
        <w:r w:rsidRPr="002953B3">
          <w:rPr>
            <w:rFonts w:ascii="Courier New" w:hAnsi="Courier New" w:cs="Courier New"/>
          </w:rPr>
          <w:instrText xml:space="preserve"> PAGE   \* MERGEFORMAT </w:instrText>
        </w:r>
        <w:r w:rsidRPr="002953B3">
          <w:rPr>
            <w:rFonts w:ascii="Courier New" w:hAnsi="Courier New" w:cs="Courier New"/>
          </w:rPr>
          <w:fldChar w:fldCharType="separate"/>
        </w:r>
        <w:r w:rsidR="00C20B00">
          <w:rPr>
            <w:rFonts w:ascii="Courier New" w:hAnsi="Courier New" w:cs="Courier New"/>
            <w:noProof/>
          </w:rPr>
          <w:t>1</w:t>
        </w:r>
        <w:r w:rsidRPr="002953B3">
          <w:rPr>
            <w:rFonts w:ascii="Courier New" w:hAnsi="Courier New" w:cs="Courier New"/>
            <w:noProof/>
          </w:rPr>
          <w:fldChar w:fldCharType="end"/>
        </w:r>
      </w:p>
    </w:sdtContent>
  </w:sdt>
  <w:p w14:paraId="63FE24AE" w14:textId="77777777" w:rsidR="00A901B0" w:rsidRPr="002953B3" w:rsidRDefault="00A901B0">
    <w:pPr>
      <w:pStyle w:val="Footer"/>
      <w:rPr>
        <w:rFonts w:ascii="Courier New" w:hAnsi="Courier New" w:cs="Courier New"/>
      </w:rPr>
    </w:pPr>
  </w:p>
  <w:p w14:paraId="777F3D92" w14:textId="77777777" w:rsidR="00A901B0" w:rsidRDefault="00A901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33E4" w14:textId="77777777" w:rsidR="00A901B0" w:rsidRDefault="00A901B0" w:rsidP="00330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877D0" w14:textId="77777777" w:rsidR="00A901B0" w:rsidRDefault="00A901B0" w:rsidP="0033004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8D81C" w14:textId="039F9F8D" w:rsidR="00A901B0" w:rsidRDefault="00A901B0">
    <w:pPr>
      <w:pStyle w:val="Footer"/>
      <w:jc w:val="center"/>
    </w:pPr>
    <w:r>
      <w:fldChar w:fldCharType="begin"/>
    </w:r>
    <w:r>
      <w:instrText xml:space="preserve"> PAGE   \* MERGEFORMAT </w:instrText>
    </w:r>
    <w:r>
      <w:fldChar w:fldCharType="separate"/>
    </w:r>
    <w:r w:rsidR="00BF2B1B">
      <w:rPr>
        <w:noProof/>
      </w:rPr>
      <w:t>12</w:t>
    </w:r>
    <w:r>
      <w:rPr>
        <w:noProof/>
      </w:rPr>
      <w:fldChar w:fldCharType="end"/>
    </w:r>
  </w:p>
  <w:p w14:paraId="0F778836" w14:textId="77777777" w:rsidR="00A901B0" w:rsidRDefault="00A901B0" w:rsidP="0033004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65965" w14:textId="77777777" w:rsidR="00A901B0" w:rsidRDefault="00A901B0" w:rsidP="008B5D54">
      <w:r>
        <w:separator/>
      </w:r>
    </w:p>
  </w:footnote>
  <w:footnote w:type="continuationSeparator" w:id="0">
    <w:p w14:paraId="43E45166" w14:textId="77777777" w:rsidR="00A901B0" w:rsidRDefault="00A901B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873"/>
    <w:multiLevelType w:val="hybridMultilevel"/>
    <w:tmpl w:val="B90A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E63F53"/>
    <w:multiLevelType w:val="hybridMultilevel"/>
    <w:tmpl w:val="4920B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B12C7"/>
    <w:multiLevelType w:val="multilevel"/>
    <w:tmpl w:val="B302D322"/>
    <w:lvl w:ilvl="0">
      <w:start w:val="1"/>
      <w:numFmt w:val="decimal"/>
      <w:lvlText w:val="B.%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7C2F6D0B"/>
    <w:multiLevelType w:val="hybridMultilevel"/>
    <w:tmpl w:val="F790ED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FB"/>
    <w:rsid w:val="00003E17"/>
    <w:rsid w:val="00013F21"/>
    <w:rsid w:val="00020F57"/>
    <w:rsid w:val="00026893"/>
    <w:rsid w:val="00034CA9"/>
    <w:rsid w:val="000366A9"/>
    <w:rsid w:val="00037B05"/>
    <w:rsid w:val="00043ABB"/>
    <w:rsid w:val="00051C95"/>
    <w:rsid w:val="00074EF4"/>
    <w:rsid w:val="00076E2F"/>
    <w:rsid w:val="000850F4"/>
    <w:rsid w:val="00093F5A"/>
    <w:rsid w:val="000A2CFC"/>
    <w:rsid w:val="000C3851"/>
    <w:rsid w:val="000D03CA"/>
    <w:rsid w:val="000D45B7"/>
    <w:rsid w:val="000E0C3C"/>
    <w:rsid w:val="000E3B71"/>
    <w:rsid w:val="00103914"/>
    <w:rsid w:val="00104443"/>
    <w:rsid w:val="001114B7"/>
    <w:rsid w:val="00113573"/>
    <w:rsid w:val="0011670E"/>
    <w:rsid w:val="00133D83"/>
    <w:rsid w:val="00135E2D"/>
    <w:rsid w:val="00140EE0"/>
    <w:rsid w:val="001410BE"/>
    <w:rsid w:val="0014326C"/>
    <w:rsid w:val="0014661B"/>
    <w:rsid w:val="00157134"/>
    <w:rsid w:val="001572CF"/>
    <w:rsid w:val="00163FDB"/>
    <w:rsid w:val="00192851"/>
    <w:rsid w:val="00193DF4"/>
    <w:rsid w:val="001A0F2F"/>
    <w:rsid w:val="001B06D4"/>
    <w:rsid w:val="001B1065"/>
    <w:rsid w:val="001C0D92"/>
    <w:rsid w:val="001F3797"/>
    <w:rsid w:val="001F5C42"/>
    <w:rsid w:val="00210519"/>
    <w:rsid w:val="00227230"/>
    <w:rsid w:val="002272CA"/>
    <w:rsid w:val="002424EF"/>
    <w:rsid w:val="0027345D"/>
    <w:rsid w:val="00273BA0"/>
    <w:rsid w:val="00281431"/>
    <w:rsid w:val="00284880"/>
    <w:rsid w:val="00287B22"/>
    <w:rsid w:val="002953B3"/>
    <w:rsid w:val="002A3304"/>
    <w:rsid w:val="002C084E"/>
    <w:rsid w:val="002C13F4"/>
    <w:rsid w:val="002C47DB"/>
    <w:rsid w:val="002D2030"/>
    <w:rsid w:val="002D2843"/>
    <w:rsid w:val="002D366B"/>
    <w:rsid w:val="002D47E6"/>
    <w:rsid w:val="002D492D"/>
    <w:rsid w:val="002E0D94"/>
    <w:rsid w:val="002E6AD2"/>
    <w:rsid w:val="002F37A1"/>
    <w:rsid w:val="00311E64"/>
    <w:rsid w:val="003121F3"/>
    <w:rsid w:val="0031423B"/>
    <w:rsid w:val="0032129A"/>
    <w:rsid w:val="0033004C"/>
    <w:rsid w:val="00340359"/>
    <w:rsid w:val="00342902"/>
    <w:rsid w:val="003613EB"/>
    <w:rsid w:val="003648D9"/>
    <w:rsid w:val="00366BDF"/>
    <w:rsid w:val="003721DC"/>
    <w:rsid w:val="00387D7C"/>
    <w:rsid w:val="00392A22"/>
    <w:rsid w:val="003978FC"/>
    <w:rsid w:val="003A2A70"/>
    <w:rsid w:val="003C3AC0"/>
    <w:rsid w:val="003C6365"/>
    <w:rsid w:val="003D4505"/>
    <w:rsid w:val="003D4F04"/>
    <w:rsid w:val="003D7601"/>
    <w:rsid w:val="003D7C99"/>
    <w:rsid w:val="003E1191"/>
    <w:rsid w:val="003F15BD"/>
    <w:rsid w:val="004104ED"/>
    <w:rsid w:val="00411520"/>
    <w:rsid w:val="00423D20"/>
    <w:rsid w:val="004255C0"/>
    <w:rsid w:val="004414A2"/>
    <w:rsid w:val="004460BF"/>
    <w:rsid w:val="00457C20"/>
    <w:rsid w:val="0046442C"/>
    <w:rsid w:val="004774F5"/>
    <w:rsid w:val="00492789"/>
    <w:rsid w:val="004945A0"/>
    <w:rsid w:val="00496CAC"/>
    <w:rsid w:val="004A3222"/>
    <w:rsid w:val="004C4B4F"/>
    <w:rsid w:val="004E6BD2"/>
    <w:rsid w:val="004F1680"/>
    <w:rsid w:val="004F1C30"/>
    <w:rsid w:val="004F5C87"/>
    <w:rsid w:val="0050740F"/>
    <w:rsid w:val="00514EA7"/>
    <w:rsid w:val="00516F1B"/>
    <w:rsid w:val="005339B7"/>
    <w:rsid w:val="005342FB"/>
    <w:rsid w:val="00543004"/>
    <w:rsid w:val="005801CE"/>
    <w:rsid w:val="0058492B"/>
    <w:rsid w:val="005A3A8D"/>
    <w:rsid w:val="005A6CB0"/>
    <w:rsid w:val="005B3E31"/>
    <w:rsid w:val="005C1716"/>
    <w:rsid w:val="005C6F44"/>
    <w:rsid w:val="005D0F7C"/>
    <w:rsid w:val="005F3206"/>
    <w:rsid w:val="00606E0F"/>
    <w:rsid w:val="006078B5"/>
    <w:rsid w:val="00607C89"/>
    <w:rsid w:val="00613810"/>
    <w:rsid w:val="00617B31"/>
    <w:rsid w:val="006229E7"/>
    <w:rsid w:val="00627546"/>
    <w:rsid w:val="00630577"/>
    <w:rsid w:val="00644E20"/>
    <w:rsid w:val="006575E7"/>
    <w:rsid w:val="006605F8"/>
    <w:rsid w:val="00665DBE"/>
    <w:rsid w:val="00671AFE"/>
    <w:rsid w:val="006806BD"/>
    <w:rsid w:val="00680DFC"/>
    <w:rsid w:val="00687162"/>
    <w:rsid w:val="0069159E"/>
    <w:rsid w:val="00692B1A"/>
    <w:rsid w:val="006A7B20"/>
    <w:rsid w:val="006B0155"/>
    <w:rsid w:val="006B75E0"/>
    <w:rsid w:val="006C1C95"/>
    <w:rsid w:val="006C214D"/>
    <w:rsid w:val="006C6578"/>
    <w:rsid w:val="006D1425"/>
    <w:rsid w:val="00703DF2"/>
    <w:rsid w:val="0070584D"/>
    <w:rsid w:val="00706925"/>
    <w:rsid w:val="0070745E"/>
    <w:rsid w:val="007104CA"/>
    <w:rsid w:val="00712D06"/>
    <w:rsid w:val="00733EF8"/>
    <w:rsid w:val="00765410"/>
    <w:rsid w:val="00775BF7"/>
    <w:rsid w:val="0078425C"/>
    <w:rsid w:val="00792029"/>
    <w:rsid w:val="007A56E0"/>
    <w:rsid w:val="007B636E"/>
    <w:rsid w:val="007C43A0"/>
    <w:rsid w:val="007F199B"/>
    <w:rsid w:val="007F1DC2"/>
    <w:rsid w:val="007F23ED"/>
    <w:rsid w:val="007F29CE"/>
    <w:rsid w:val="007F4124"/>
    <w:rsid w:val="008005B0"/>
    <w:rsid w:val="008229A0"/>
    <w:rsid w:val="008253CC"/>
    <w:rsid w:val="00843469"/>
    <w:rsid w:val="00845025"/>
    <w:rsid w:val="00851A91"/>
    <w:rsid w:val="00856EAB"/>
    <w:rsid w:val="00861425"/>
    <w:rsid w:val="00863434"/>
    <w:rsid w:val="00880DD4"/>
    <w:rsid w:val="00892BA9"/>
    <w:rsid w:val="008963DF"/>
    <w:rsid w:val="008A18E1"/>
    <w:rsid w:val="008A1BE0"/>
    <w:rsid w:val="008A28BA"/>
    <w:rsid w:val="008B22CA"/>
    <w:rsid w:val="008B2F17"/>
    <w:rsid w:val="008B5D54"/>
    <w:rsid w:val="008C0A59"/>
    <w:rsid w:val="008D3A38"/>
    <w:rsid w:val="008D4703"/>
    <w:rsid w:val="008D7658"/>
    <w:rsid w:val="008E1D4C"/>
    <w:rsid w:val="008F01D6"/>
    <w:rsid w:val="008F1759"/>
    <w:rsid w:val="008F351F"/>
    <w:rsid w:val="008F519C"/>
    <w:rsid w:val="0090419D"/>
    <w:rsid w:val="0091008D"/>
    <w:rsid w:val="009201DC"/>
    <w:rsid w:val="00920F16"/>
    <w:rsid w:val="00931580"/>
    <w:rsid w:val="00934A03"/>
    <w:rsid w:val="00945D44"/>
    <w:rsid w:val="0095659A"/>
    <w:rsid w:val="00974F78"/>
    <w:rsid w:val="009829AB"/>
    <w:rsid w:val="00987073"/>
    <w:rsid w:val="009878FC"/>
    <w:rsid w:val="00991DC3"/>
    <w:rsid w:val="00995536"/>
    <w:rsid w:val="009A028D"/>
    <w:rsid w:val="009B5A44"/>
    <w:rsid w:val="009E5097"/>
    <w:rsid w:val="00A032DE"/>
    <w:rsid w:val="00A03D08"/>
    <w:rsid w:val="00A116B7"/>
    <w:rsid w:val="00A22810"/>
    <w:rsid w:val="00A50E9F"/>
    <w:rsid w:val="00A53AC4"/>
    <w:rsid w:val="00A56780"/>
    <w:rsid w:val="00A61D2C"/>
    <w:rsid w:val="00A6412B"/>
    <w:rsid w:val="00A70A86"/>
    <w:rsid w:val="00A877FB"/>
    <w:rsid w:val="00A901B0"/>
    <w:rsid w:val="00AA2F5F"/>
    <w:rsid w:val="00AB006E"/>
    <w:rsid w:val="00AC47D6"/>
    <w:rsid w:val="00AC62E5"/>
    <w:rsid w:val="00AD6D14"/>
    <w:rsid w:val="00AE0790"/>
    <w:rsid w:val="00B00603"/>
    <w:rsid w:val="00B11FB2"/>
    <w:rsid w:val="00B14535"/>
    <w:rsid w:val="00B14752"/>
    <w:rsid w:val="00B151BF"/>
    <w:rsid w:val="00B24CBA"/>
    <w:rsid w:val="00B2685E"/>
    <w:rsid w:val="00B33A11"/>
    <w:rsid w:val="00B55735"/>
    <w:rsid w:val="00B578E4"/>
    <w:rsid w:val="00B608AC"/>
    <w:rsid w:val="00B63522"/>
    <w:rsid w:val="00B705A5"/>
    <w:rsid w:val="00B95241"/>
    <w:rsid w:val="00BB05A7"/>
    <w:rsid w:val="00BC1EAD"/>
    <w:rsid w:val="00BC5E84"/>
    <w:rsid w:val="00BC5FDF"/>
    <w:rsid w:val="00BD3985"/>
    <w:rsid w:val="00BE51A7"/>
    <w:rsid w:val="00BE733F"/>
    <w:rsid w:val="00BF2B1B"/>
    <w:rsid w:val="00C05DC3"/>
    <w:rsid w:val="00C07CCA"/>
    <w:rsid w:val="00C12AA4"/>
    <w:rsid w:val="00C20B00"/>
    <w:rsid w:val="00C25DE1"/>
    <w:rsid w:val="00C55578"/>
    <w:rsid w:val="00C55B3A"/>
    <w:rsid w:val="00C62BA4"/>
    <w:rsid w:val="00C722C4"/>
    <w:rsid w:val="00C744F0"/>
    <w:rsid w:val="00C776B8"/>
    <w:rsid w:val="00C946C2"/>
    <w:rsid w:val="00C9513A"/>
    <w:rsid w:val="00CA7B3A"/>
    <w:rsid w:val="00CB4C02"/>
    <w:rsid w:val="00CC0906"/>
    <w:rsid w:val="00CC0D1E"/>
    <w:rsid w:val="00CD5527"/>
    <w:rsid w:val="00CD6D16"/>
    <w:rsid w:val="00CE38A8"/>
    <w:rsid w:val="00CE455A"/>
    <w:rsid w:val="00CE701C"/>
    <w:rsid w:val="00CF1C05"/>
    <w:rsid w:val="00CF38FD"/>
    <w:rsid w:val="00CF3953"/>
    <w:rsid w:val="00D01A83"/>
    <w:rsid w:val="00D025A5"/>
    <w:rsid w:val="00D042C9"/>
    <w:rsid w:val="00D05F5B"/>
    <w:rsid w:val="00D1154A"/>
    <w:rsid w:val="00D14157"/>
    <w:rsid w:val="00D143BD"/>
    <w:rsid w:val="00D207FC"/>
    <w:rsid w:val="00D22E9C"/>
    <w:rsid w:val="00D25FFD"/>
    <w:rsid w:val="00D31930"/>
    <w:rsid w:val="00D33A45"/>
    <w:rsid w:val="00D3747B"/>
    <w:rsid w:val="00D47673"/>
    <w:rsid w:val="00D5464C"/>
    <w:rsid w:val="00D554F6"/>
    <w:rsid w:val="00D6135A"/>
    <w:rsid w:val="00D63760"/>
    <w:rsid w:val="00D64E09"/>
    <w:rsid w:val="00D679B0"/>
    <w:rsid w:val="00D74B2E"/>
    <w:rsid w:val="00D76E88"/>
    <w:rsid w:val="00D80840"/>
    <w:rsid w:val="00D90173"/>
    <w:rsid w:val="00DA2D86"/>
    <w:rsid w:val="00DA6AEC"/>
    <w:rsid w:val="00DB147C"/>
    <w:rsid w:val="00DB5B61"/>
    <w:rsid w:val="00DC57CC"/>
    <w:rsid w:val="00DD0E43"/>
    <w:rsid w:val="00DD2391"/>
    <w:rsid w:val="00DD502C"/>
    <w:rsid w:val="00DE69FC"/>
    <w:rsid w:val="00DF0A3A"/>
    <w:rsid w:val="00DF0BF8"/>
    <w:rsid w:val="00DF1EDD"/>
    <w:rsid w:val="00DF6A21"/>
    <w:rsid w:val="00E04084"/>
    <w:rsid w:val="00E108F3"/>
    <w:rsid w:val="00E11103"/>
    <w:rsid w:val="00E12097"/>
    <w:rsid w:val="00E132FE"/>
    <w:rsid w:val="00E37BDC"/>
    <w:rsid w:val="00E451A4"/>
    <w:rsid w:val="00E54424"/>
    <w:rsid w:val="00E73892"/>
    <w:rsid w:val="00E9000D"/>
    <w:rsid w:val="00EA27EB"/>
    <w:rsid w:val="00EA76D6"/>
    <w:rsid w:val="00EC30E2"/>
    <w:rsid w:val="00EC7E30"/>
    <w:rsid w:val="00ED42E2"/>
    <w:rsid w:val="00EE1B8F"/>
    <w:rsid w:val="00EE2902"/>
    <w:rsid w:val="00EE6117"/>
    <w:rsid w:val="00EE63E2"/>
    <w:rsid w:val="00EE64BF"/>
    <w:rsid w:val="00EF056B"/>
    <w:rsid w:val="00EF1EB2"/>
    <w:rsid w:val="00F01194"/>
    <w:rsid w:val="00F149CF"/>
    <w:rsid w:val="00F20794"/>
    <w:rsid w:val="00F21E20"/>
    <w:rsid w:val="00F2647C"/>
    <w:rsid w:val="00F266A9"/>
    <w:rsid w:val="00F26B7C"/>
    <w:rsid w:val="00F26CC9"/>
    <w:rsid w:val="00F35F53"/>
    <w:rsid w:val="00F370DF"/>
    <w:rsid w:val="00F42748"/>
    <w:rsid w:val="00F4323D"/>
    <w:rsid w:val="00F43372"/>
    <w:rsid w:val="00F729B5"/>
    <w:rsid w:val="00F74B1E"/>
    <w:rsid w:val="00F75808"/>
    <w:rsid w:val="00F77048"/>
    <w:rsid w:val="00F93194"/>
    <w:rsid w:val="00FA09E0"/>
    <w:rsid w:val="00FA43BD"/>
    <w:rsid w:val="00FC0B16"/>
    <w:rsid w:val="00FD55E6"/>
    <w:rsid w:val="00FE1604"/>
    <w:rsid w:val="00FE66CC"/>
    <w:rsid w:val="00FE7B69"/>
    <w:rsid w:val="00FF1B1C"/>
    <w:rsid w:val="00FF55AF"/>
    <w:rsid w:val="00FF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3D2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styleId="BodyText2">
    <w:name w:val="Body Text 2"/>
    <w:basedOn w:val="Normal"/>
    <w:link w:val="BodyText2Char"/>
    <w:uiPriority w:val="99"/>
    <w:semiHidden/>
    <w:unhideWhenUsed/>
    <w:rsid w:val="009201DC"/>
    <w:pPr>
      <w:spacing w:after="120" w:line="480" w:lineRule="auto"/>
    </w:pPr>
  </w:style>
  <w:style w:type="character" w:customStyle="1" w:styleId="BodyText2Char">
    <w:name w:val="Body Text 2 Char"/>
    <w:basedOn w:val="DefaultParagraphFont"/>
    <w:link w:val="BodyText2"/>
    <w:uiPriority w:val="99"/>
    <w:semiHidden/>
    <w:rsid w:val="009201DC"/>
    <w:rPr>
      <w:rFonts w:ascii="Times New Roman" w:eastAsia="Times New Roman" w:hAnsi="Times New Roman" w:cs="Times New Roman"/>
      <w:sz w:val="24"/>
      <w:szCs w:val="24"/>
    </w:rPr>
  </w:style>
  <w:style w:type="character" w:styleId="PageNumber">
    <w:name w:val="page number"/>
    <w:rsid w:val="001B1065"/>
    <w:rPr>
      <w:rFonts w:cs="Times New Roman"/>
    </w:rPr>
  </w:style>
  <w:style w:type="table" w:customStyle="1" w:styleId="TableGrid1">
    <w:name w:val="Table Grid1"/>
    <w:basedOn w:val="TableNormal"/>
    <w:next w:val="TableGrid"/>
    <w:rsid w:val="00281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3304"/>
    <w:rPr>
      <w:color w:val="808080"/>
    </w:rPr>
  </w:style>
  <w:style w:type="paragraph" w:customStyle="1" w:styleId="msonormal0">
    <w:name w:val="msonormal"/>
    <w:basedOn w:val="Normal"/>
    <w:rsid w:val="00BC5E84"/>
    <w:pPr>
      <w:spacing w:before="100" w:beforeAutospacing="1" w:after="100" w:afterAutospacing="1"/>
    </w:pPr>
  </w:style>
  <w:style w:type="paragraph" w:styleId="TOC2">
    <w:name w:val="toc 2"/>
    <w:basedOn w:val="Normal"/>
    <w:next w:val="Normal"/>
    <w:autoRedefine/>
    <w:uiPriority w:val="39"/>
    <w:unhideWhenUsed/>
    <w:rsid w:val="00E37BDC"/>
    <w:pPr>
      <w:spacing w:after="100"/>
      <w:ind w:left="240"/>
    </w:pPr>
  </w:style>
  <w:style w:type="paragraph" w:customStyle="1" w:styleId="EndNoteBibliography">
    <w:name w:val="EndNote Bibliography"/>
    <w:basedOn w:val="Normal"/>
    <w:link w:val="EndNoteBibliographyChar"/>
    <w:rsid w:val="00287B22"/>
    <w:pPr>
      <w:contextualSpacing/>
      <w:jc w:val="both"/>
    </w:pPr>
    <w:rPr>
      <w:rFonts w:ascii="Calibri Light" w:eastAsiaTheme="minorHAnsi" w:hAnsi="Calibri Light" w:cs="Calibri Light"/>
      <w:noProof/>
      <w:szCs w:val="22"/>
    </w:rPr>
  </w:style>
  <w:style w:type="character" w:customStyle="1" w:styleId="EndNoteBibliographyChar">
    <w:name w:val="EndNote Bibliography Char"/>
    <w:basedOn w:val="DefaultParagraphFont"/>
    <w:link w:val="EndNoteBibliography"/>
    <w:rsid w:val="00287B22"/>
    <w:rPr>
      <w:rFonts w:ascii="Calibri Light" w:hAnsi="Calibri Light" w:cs="Calibri Light"/>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styleId="BodyText2">
    <w:name w:val="Body Text 2"/>
    <w:basedOn w:val="Normal"/>
    <w:link w:val="BodyText2Char"/>
    <w:uiPriority w:val="99"/>
    <w:semiHidden/>
    <w:unhideWhenUsed/>
    <w:rsid w:val="009201DC"/>
    <w:pPr>
      <w:spacing w:after="120" w:line="480" w:lineRule="auto"/>
    </w:pPr>
  </w:style>
  <w:style w:type="character" w:customStyle="1" w:styleId="BodyText2Char">
    <w:name w:val="Body Text 2 Char"/>
    <w:basedOn w:val="DefaultParagraphFont"/>
    <w:link w:val="BodyText2"/>
    <w:uiPriority w:val="99"/>
    <w:semiHidden/>
    <w:rsid w:val="009201DC"/>
    <w:rPr>
      <w:rFonts w:ascii="Times New Roman" w:eastAsia="Times New Roman" w:hAnsi="Times New Roman" w:cs="Times New Roman"/>
      <w:sz w:val="24"/>
      <w:szCs w:val="24"/>
    </w:rPr>
  </w:style>
  <w:style w:type="character" w:styleId="PageNumber">
    <w:name w:val="page number"/>
    <w:rsid w:val="001B1065"/>
    <w:rPr>
      <w:rFonts w:cs="Times New Roman"/>
    </w:rPr>
  </w:style>
  <w:style w:type="table" w:customStyle="1" w:styleId="TableGrid1">
    <w:name w:val="Table Grid1"/>
    <w:basedOn w:val="TableNormal"/>
    <w:next w:val="TableGrid"/>
    <w:rsid w:val="002814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3304"/>
    <w:rPr>
      <w:color w:val="808080"/>
    </w:rPr>
  </w:style>
  <w:style w:type="paragraph" w:customStyle="1" w:styleId="msonormal0">
    <w:name w:val="msonormal"/>
    <w:basedOn w:val="Normal"/>
    <w:rsid w:val="00BC5E84"/>
    <w:pPr>
      <w:spacing w:before="100" w:beforeAutospacing="1" w:after="100" w:afterAutospacing="1"/>
    </w:pPr>
  </w:style>
  <w:style w:type="paragraph" w:styleId="TOC2">
    <w:name w:val="toc 2"/>
    <w:basedOn w:val="Normal"/>
    <w:next w:val="Normal"/>
    <w:autoRedefine/>
    <w:uiPriority w:val="39"/>
    <w:unhideWhenUsed/>
    <w:rsid w:val="00E37BDC"/>
    <w:pPr>
      <w:spacing w:after="100"/>
      <w:ind w:left="240"/>
    </w:pPr>
  </w:style>
  <w:style w:type="paragraph" w:customStyle="1" w:styleId="EndNoteBibliography">
    <w:name w:val="EndNote Bibliography"/>
    <w:basedOn w:val="Normal"/>
    <w:link w:val="EndNoteBibliographyChar"/>
    <w:rsid w:val="00287B22"/>
    <w:pPr>
      <w:contextualSpacing/>
      <w:jc w:val="both"/>
    </w:pPr>
    <w:rPr>
      <w:rFonts w:ascii="Calibri Light" w:eastAsiaTheme="minorHAnsi" w:hAnsi="Calibri Light" w:cs="Calibri Light"/>
      <w:noProof/>
      <w:szCs w:val="22"/>
    </w:rPr>
  </w:style>
  <w:style w:type="character" w:customStyle="1" w:styleId="EndNoteBibliographyChar">
    <w:name w:val="EndNote Bibliography Char"/>
    <w:basedOn w:val="DefaultParagraphFont"/>
    <w:link w:val="EndNoteBibliography"/>
    <w:rsid w:val="00287B22"/>
    <w:rPr>
      <w:rFonts w:ascii="Calibri Light" w:hAnsi="Calibri Light" w:cs="Calibri Light"/>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6985">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51675955">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36909928">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mj0@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dj2@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dc.gov/hiv/statistics/systems/mmp/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020C40B-FF3E-43E1-8007-76F5415B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SYSTEM</cp:lastModifiedBy>
  <cp:revision>2</cp:revision>
  <cp:lastPrinted>2017-07-28T13:10:00Z</cp:lastPrinted>
  <dcterms:created xsi:type="dcterms:W3CDTF">2018-04-24T15:24:00Z</dcterms:created>
  <dcterms:modified xsi:type="dcterms:W3CDTF">2018-04-24T15:24:00Z</dcterms:modified>
</cp:coreProperties>
</file>