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C2176" w14:textId="77777777" w:rsidR="00E312D2" w:rsidRDefault="00E312D2" w:rsidP="00043695">
      <w:pPr>
        <w:widowControl w:val="0"/>
        <w:adjustRightInd w:val="0"/>
        <w:snapToGrid w:val="0"/>
        <w:rPr>
          <w:b/>
        </w:rPr>
      </w:pPr>
    </w:p>
    <w:p w14:paraId="553C9763" w14:textId="77777777" w:rsidR="00043695" w:rsidRDefault="00043695" w:rsidP="00043695">
      <w:pPr>
        <w:widowControl w:val="0"/>
        <w:adjustRightInd w:val="0"/>
        <w:snapToGrid w:val="0"/>
        <w:rPr>
          <w:b/>
        </w:rPr>
      </w:pPr>
    </w:p>
    <w:p w14:paraId="1088A3E8" w14:textId="77777777" w:rsidR="00E312D2" w:rsidRPr="00945FE9" w:rsidRDefault="00E312D2" w:rsidP="00945FE9">
      <w:pPr>
        <w:widowControl w:val="0"/>
        <w:adjustRightInd w:val="0"/>
        <w:snapToGrid w:val="0"/>
        <w:jc w:val="center"/>
      </w:pPr>
    </w:p>
    <w:p w14:paraId="6504C72F" w14:textId="74E60C49" w:rsidR="00E312D2" w:rsidRPr="00945FE9" w:rsidRDefault="00E312D2" w:rsidP="00945FE9">
      <w:pPr>
        <w:widowControl w:val="0"/>
        <w:adjustRightInd w:val="0"/>
        <w:snapToGrid w:val="0"/>
        <w:jc w:val="center"/>
      </w:pPr>
      <w:r w:rsidRPr="00945FE9">
        <w:t>Supporting Statement A for</w:t>
      </w:r>
    </w:p>
    <w:p w14:paraId="035A2FFE" w14:textId="77777777" w:rsidR="00134643" w:rsidRPr="00945FE9" w:rsidRDefault="00134643" w:rsidP="00945FE9">
      <w:pPr>
        <w:widowControl w:val="0"/>
        <w:adjustRightInd w:val="0"/>
        <w:snapToGrid w:val="0"/>
        <w:jc w:val="center"/>
      </w:pPr>
      <w:r w:rsidRPr="00945FE9">
        <w:t>The effectiveness of donor notification, HIV counseling, and</w:t>
      </w:r>
    </w:p>
    <w:p w14:paraId="35EFD58D" w14:textId="77777777" w:rsidR="00E312D2" w:rsidRPr="00945FE9" w:rsidRDefault="00134643" w:rsidP="00945FE9">
      <w:pPr>
        <w:widowControl w:val="0"/>
        <w:adjustRightInd w:val="0"/>
        <w:snapToGrid w:val="0"/>
        <w:jc w:val="center"/>
      </w:pPr>
      <w:proofErr w:type="gramStart"/>
      <w:r w:rsidRPr="00945FE9">
        <w:t>linkage</w:t>
      </w:r>
      <w:proofErr w:type="gramEnd"/>
      <w:r w:rsidRPr="00945FE9">
        <w:t xml:space="preserve"> of HIV positive donors to health care in Brazil</w:t>
      </w:r>
    </w:p>
    <w:p w14:paraId="4CE0577E" w14:textId="77777777" w:rsidR="00134643" w:rsidRPr="00945FE9" w:rsidRDefault="00134643" w:rsidP="00945FE9">
      <w:pPr>
        <w:widowControl w:val="0"/>
        <w:adjustRightInd w:val="0"/>
        <w:snapToGrid w:val="0"/>
        <w:jc w:val="center"/>
      </w:pPr>
    </w:p>
    <w:p w14:paraId="55894B5F" w14:textId="77777777" w:rsidR="000A1A0C" w:rsidRPr="00945FE9" w:rsidRDefault="000A1A0C" w:rsidP="00945FE9">
      <w:pPr>
        <w:widowControl w:val="0"/>
        <w:adjustRightInd w:val="0"/>
        <w:snapToGrid w:val="0"/>
        <w:jc w:val="center"/>
        <w:rPr>
          <w:sz w:val="22"/>
          <w:szCs w:val="22"/>
        </w:rPr>
      </w:pPr>
      <w:r w:rsidRPr="00945FE9">
        <w:t xml:space="preserve">OMB Number: </w:t>
      </w:r>
      <w:r w:rsidR="00134643" w:rsidRPr="00945FE9">
        <w:rPr>
          <w:rFonts w:ascii="Melior" w:hAnsi="Melior" w:cs="Melior"/>
          <w:sz w:val="22"/>
          <w:szCs w:val="22"/>
        </w:rPr>
        <w:t>TBD</w:t>
      </w:r>
    </w:p>
    <w:p w14:paraId="0F1D6A1C" w14:textId="77777777" w:rsidR="00E312D2" w:rsidRPr="00945FE9" w:rsidRDefault="00E312D2" w:rsidP="00945FE9">
      <w:pPr>
        <w:widowControl w:val="0"/>
        <w:adjustRightInd w:val="0"/>
        <w:snapToGrid w:val="0"/>
        <w:jc w:val="center"/>
      </w:pPr>
    </w:p>
    <w:p w14:paraId="767C6B8A" w14:textId="77777777" w:rsidR="000A1A0C" w:rsidRPr="00945FE9" w:rsidRDefault="000A1A0C" w:rsidP="00945FE9">
      <w:pPr>
        <w:widowControl w:val="0"/>
        <w:adjustRightInd w:val="0"/>
        <w:snapToGrid w:val="0"/>
        <w:jc w:val="center"/>
      </w:pPr>
    </w:p>
    <w:p w14:paraId="4CCF36B3" w14:textId="6AFA4A7C" w:rsidR="00A07C5F" w:rsidRPr="00945FE9" w:rsidRDefault="00A07C5F" w:rsidP="00945FE9">
      <w:pPr>
        <w:widowControl w:val="0"/>
        <w:adjustRightInd w:val="0"/>
        <w:snapToGrid w:val="0"/>
        <w:jc w:val="center"/>
      </w:pPr>
    </w:p>
    <w:p w14:paraId="1E369641" w14:textId="5F80819A" w:rsidR="00E312D2" w:rsidRPr="00945FE9" w:rsidRDefault="00B37DE8" w:rsidP="00945FE9">
      <w:pPr>
        <w:widowControl w:val="0"/>
        <w:adjustRightInd w:val="0"/>
        <w:snapToGrid w:val="0"/>
        <w:jc w:val="center"/>
      </w:pPr>
      <w:r w:rsidRPr="00945FE9">
        <w:t>June</w:t>
      </w:r>
      <w:r w:rsidR="00D74AE9" w:rsidRPr="00945FE9">
        <w:t xml:space="preserve"> 2015</w:t>
      </w:r>
    </w:p>
    <w:p w14:paraId="2F2EFEAD" w14:textId="77777777" w:rsidR="008437B1" w:rsidRPr="00945FE9" w:rsidRDefault="008437B1" w:rsidP="00945FE9">
      <w:pPr>
        <w:widowControl w:val="0"/>
        <w:adjustRightInd w:val="0"/>
        <w:snapToGrid w:val="0"/>
        <w:jc w:val="center"/>
      </w:pPr>
    </w:p>
    <w:p w14:paraId="38ECFC21" w14:textId="77777777" w:rsidR="0030089D" w:rsidRPr="00D15C0B" w:rsidRDefault="0030089D" w:rsidP="00043695">
      <w:pPr>
        <w:widowControl w:val="0"/>
        <w:adjustRightInd w:val="0"/>
        <w:snapToGrid w:val="0"/>
      </w:pPr>
    </w:p>
    <w:p w14:paraId="76914A30" w14:textId="77777777" w:rsidR="000A1A0C" w:rsidRPr="00D15C0B" w:rsidRDefault="000A1A0C" w:rsidP="00043695">
      <w:pPr>
        <w:widowControl w:val="0"/>
        <w:adjustRightInd w:val="0"/>
        <w:snapToGrid w:val="0"/>
      </w:pPr>
    </w:p>
    <w:p w14:paraId="3ED8093A" w14:textId="77777777" w:rsidR="000A1A0C" w:rsidRPr="00D15C0B" w:rsidRDefault="000A1A0C" w:rsidP="00043695">
      <w:pPr>
        <w:widowControl w:val="0"/>
        <w:adjustRightInd w:val="0"/>
        <w:snapToGrid w:val="0"/>
      </w:pPr>
    </w:p>
    <w:p w14:paraId="00E6BE3B" w14:textId="77777777" w:rsidR="008437B1" w:rsidRPr="00D15C0B" w:rsidRDefault="008437B1" w:rsidP="00043695">
      <w:pPr>
        <w:widowControl w:val="0"/>
        <w:adjustRightInd w:val="0"/>
        <w:snapToGrid w:val="0"/>
      </w:pPr>
      <w:r w:rsidRPr="00D15C0B">
        <w:t>Sponsored by:</w:t>
      </w:r>
    </w:p>
    <w:p w14:paraId="2F1C8DD7" w14:textId="77777777" w:rsidR="008437B1" w:rsidRPr="00D15C0B" w:rsidRDefault="008437B1" w:rsidP="00043695">
      <w:pPr>
        <w:widowControl w:val="0"/>
        <w:adjustRightInd w:val="0"/>
        <w:snapToGrid w:val="0"/>
      </w:pPr>
    </w:p>
    <w:p w14:paraId="757A319E" w14:textId="77777777" w:rsidR="008437B1" w:rsidRPr="00D15C0B" w:rsidRDefault="008437B1" w:rsidP="00043695">
      <w:pPr>
        <w:widowControl w:val="0"/>
        <w:adjustRightInd w:val="0"/>
        <w:snapToGrid w:val="0"/>
      </w:pPr>
      <w:r w:rsidRPr="00D15C0B">
        <w:t>The National Heart, Lung, and Blood Institute</w:t>
      </w:r>
    </w:p>
    <w:p w14:paraId="6BCE6ECC" w14:textId="77777777" w:rsidR="008437B1" w:rsidRPr="00D15C0B" w:rsidRDefault="00A0011B" w:rsidP="00043695">
      <w:pPr>
        <w:widowControl w:val="0"/>
        <w:adjustRightInd w:val="0"/>
        <w:snapToGrid w:val="0"/>
      </w:pPr>
      <w:r w:rsidRPr="00D15C0B">
        <w:t>Blood Epidemiology and Clinical Therapeutics</w:t>
      </w:r>
      <w:r w:rsidR="00A738FE" w:rsidRPr="00D15C0B">
        <w:t xml:space="preserve"> </w:t>
      </w:r>
      <w:r w:rsidR="008437B1" w:rsidRPr="00D15C0B">
        <w:t>Branch</w:t>
      </w:r>
    </w:p>
    <w:p w14:paraId="697D7C05" w14:textId="77777777" w:rsidR="008437B1" w:rsidRPr="00D15C0B" w:rsidRDefault="008437B1" w:rsidP="00043695">
      <w:pPr>
        <w:widowControl w:val="0"/>
        <w:adjustRightInd w:val="0"/>
        <w:snapToGrid w:val="0"/>
      </w:pPr>
      <w:r w:rsidRPr="00D15C0B">
        <w:t>National Institute</w:t>
      </w:r>
      <w:r w:rsidR="00A738FE" w:rsidRPr="00D15C0B">
        <w:t>s</w:t>
      </w:r>
      <w:r w:rsidRPr="00D15C0B">
        <w:t xml:space="preserve"> of Health</w:t>
      </w:r>
    </w:p>
    <w:p w14:paraId="0E0BCC06" w14:textId="77777777" w:rsidR="008437B1" w:rsidRPr="00D15C0B" w:rsidRDefault="008437B1" w:rsidP="00043695">
      <w:pPr>
        <w:widowControl w:val="0"/>
        <w:adjustRightInd w:val="0"/>
        <w:snapToGrid w:val="0"/>
      </w:pPr>
    </w:p>
    <w:p w14:paraId="759EAD7C" w14:textId="77777777" w:rsidR="008437B1" w:rsidRPr="00D15C0B" w:rsidRDefault="008437B1" w:rsidP="00043695">
      <w:pPr>
        <w:widowControl w:val="0"/>
        <w:adjustRightInd w:val="0"/>
        <w:snapToGrid w:val="0"/>
      </w:pPr>
    </w:p>
    <w:p w14:paraId="63726DCC" w14:textId="77777777" w:rsidR="008437B1" w:rsidRPr="00D15C0B" w:rsidRDefault="008437B1" w:rsidP="00043695">
      <w:pPr>
        <w:widowControl w:val="0"/>
        <w:adjustRightInd w:val="0"/>
        <w:snapToGrid w:val="0"/>
      </w:pPr>
    </w:p>
    <w:p w14:paraId="37EB1FC6" w14:textId="77777777" w:rsidR="008437B1" w:rsidRPr="00D15C0B" w:rsidRDefault="008437B1" w:rsidP="00043695">
      <w:pPr>
        <w:widowControl w:val="0"/>
        <w:adjustRightInd w:val="0"/>
        <w:snapToGrid w:val="0"/>
      </w:pPr>
    </w:p>
    <w:p w14:paraId="522EC1A6" w14:textId="77777777" w:rsidR="008437B1" w:rsidRPr="00D15C0B" w:rsidRDefault="008437B1" w:rsidP="00043695">
      <w:pPr>
        <w:widowControl w:val="0"/>
        <w:adjustRightInd w:val="0"/>
        <w:snapToGrid w:val="0"/>
      </w:pPr>
    </w:p>
    <w:p w14:paraId="66C7EB86" w14:textId="77777777" w:rsidR="008437B1" w:rsidRPr="00D15C0B" w:rsidRDefault="008437B1" w:rsidP="00043695">
      <w:pPr>
        <w:widowControl w:val="0"/>
        <w:adjustRightInd w:val="0"/>
        <w:snapToGrid w:val="0"/>
      </w:pPr>
    </w:p>
    <w:p w14:paraId="1EA354F0" w14:textId="77777777" w:rsidR="008437B1" w:rsidRPr="00D15C0B" w:rsidRDefault="008437B1" w:rsidP="00043695">
      <w:pPr>
        <w:widowControl w:val="0"/>
        <w:adjustRightInd w:val="0"/>
        <w:snapToGrid w:val="0"/>
      </w:pPr>
    </w:p>
    <w:p w14:paraId="7AFE4C2F" w14:textId="77777777" w:rsidR="008437B1" w:rsidRPr="00D15C0B" w:rsidRDefault="008437B1" w:rsidP="00043695">
      <w:pPr>
        <w:widowControl w:val="0"/>
        <w:adjustRightInd w:val="0"/>
        <w:snapToGrid w:val="0"/>
      </w:pPr>
    </w:p>
    <w:p w14:paraId="08BD8E7B" w14:textId="77777777" w:rsidR="008437B1" w:rsidRPr="00D15C0B" w:rsidRDefault="008437B1" w:rsidP="00043695">
      <w:pPr>
        <w:widowControl w:val="0"/>
        <w:adjustRightInd w:val="0"/>
        <w:snapToGrid w:val="0"/>
      </w:pPr>
    </w:p>
    <w:p w14:paraId="6B0FAB45" w14:textId="77777777" w:rsidR="008437B1" w:rsidRPr="00D15C0B" w:rsidRDefault="008437B1" w:rsidP="00043695">
      <w:pPr>
        <w:widowControl w:val="0"/>
        <w:adjustRightInd w:val="0"/>
        <w:snapToGrid w:val="0"/>
      </w:pPr>
      <w:r w:rsidRPr="00D15C0B">
        <w:t xml:space="preserve">Project Officer/ICD Contact: </w:t>
      </w:r>
      <w:r w:rsidRPr="00D15C0B">
        <w:tab/>
      </w:r>
      <w:r w:rsidRPr="00D15C0B">
        <w:tab/>
        <w:t>Simone Glynn, MD</w:t>
      </w:r>
    </w:p>
    <w:p w14:paraId="532A64CF" w14:textId="77777777" w:rsidR="008437B1" w:rsidRPr="00D15C0B" w:rsidRDefault="008437B1" w:rsidP="00043695">
      <w:pPr>
        <w:widowControl w:val="0"/>
        <w:adjustRightInd w:val="0"/>
        <w:snapToGrid w:val="0"/>
      </w:pPr>
      <w:r w:rsidRPr="00D15C0B">
        <w:tab/>
      </w:r>
      <w:r w:rsidRPr="00D15C0B">
        <w:tab/>
      </w:r>
      <w:r w:rsidRPr="00D15C0B">
        <w:tab/>
      </w:r>
      <w:r w:rsidRPr="00D15C0B">
        <w:tab/>
      </w:r>
      <w:r w:rsidRPr="00D15C0B">
        <w:tab/>
      </w:r>
      <w:r w:rsidR="00A0011B" w:rsidRPr="00D15C0B">
        <w:t>Blood Epidemiology and Clinical Therapeutics Branch</w:t>
      </w:r>
    </w:p>
    <w:p w14:paraId="1C6A4506" w14:textId="77777777" w:rsidR="008437B1" w:rsidRPr="00D15C0B" w:rsidRDefault="008437B1" w:rsidP="00043695">
      <w:pPr>
        <w:widowControl w:val="0"/>
        <w:adjustRightInd w:val="0"/>
        <w:snapToGrid w:val="0"/>
      </w:pPr>
      <w:r w:rsidRPr="00D15C0B">
        <w:tab/>
      </w:r>
      <w:r w:rsidRPr="00D15C0B">
        <w:tab/>
      </w:r>
      <w:r w:rsidRPr="00D15C0B">
        <w:tab/>
      </w:r>
      <w:r w:rsidRPr="00D15C0B">
        <w:tab/>
      </w:r>
      <w:r w:rsidRPr="00D15C0B">
        <w:tab/>
        <w:t>Division of Blood Diseases and Resources</w:t>
      </w:r>
    </w:p>
    <w:p w14:paraId="33E6B944" w14:textId="77777777" w:rsidR="008437B1" w:rsidRPr="00D15C0B" w:rsidRDefault="008437B1" w:rsidP="00043695">
      <w:pPr>
        <w:widowControl w:val="0"/>
        <w:adjustRightInd w:val="0"/>
        <w:snapToGrid w:val="0"/>
      </w:pPr>
      <w:r w:rsidRPr="00D15C0B">
        <w:tab/>
      </w:r>
      <w:r w:rsidRPr="00D15C0B">
        <w:tab/>
      </w:r>
      <w:r w:rsidRPr="00D15C0B">
        <w:tab/>
      </w:r>
      <w:r w:rsidRPr="00D15C0B">
        <w:tab/>
      </w:r>
      <w:r w:rsidRPr="00D15C0B">
        <w:tab/>
        <w:t>National Heart, Lung, and Blood Institute</w:t>
      </w:r>
    </w:p>
    <w:p w14:paraId="355E477C" w14:textId="77777777" w:rsidR="008437B1" w:rsidRPr="00D15C0B" w:rsidRDefault="008437B1" w:rsidP="00043695">
      <w:pPr>
        <w:widowControl w:val="0"/>
        <w:adjustRightInd w:val="0"/>
        <w:snapToGrid w:val="0"/>
      </w:pPr>
      <w:r w:rsidRPr="00D15C0B">
        <w:tab/>
      </w:r>
      <w:r w:rsidRPr="00D15C0B">
        <w:tab/>
      </w:r>
      <w:r w:rsidRPr="00D15C0B">
        <w:tab/>
      </w:r>
      <w:r w:rsidRPr="00D15C0B">
        <w:tab/>
      </w:r>
      <w:r w:rsidRPr="00D15C0B">
        <w:tab/>
        <w:t>Two Rockledge Center</w:t>
      </w:r>
    </w:p>
    <w:p w14:paraId="7CE93B75" w14:textId="77777777" w:rsidR="008437B1" w:rsidRPr="00D15C0B" w:rsidRDefault="008437B1" w:rsidP="00043695">
      <w:pPr>
        <w:widowControl w:val="0"/>
        <w:adjustRightInd w:val="0"/>
        <w:snapToGrid w:val="0"/>
      </w:pPr>
      <w:r w:rsidRPr="00D15C0B">
        <w:tab/>
      </w:r>
      <w:r w:rsidRPr="00D15C0B">
        <w:tab/>
      </w:r>
      <w:r w:rsidRPr="00D15C0B">
        <w:tab/>
      </w:r>
      <w:r w:rsidRPr="00D15C0B">
        <w:tab/>
      </w:r>
      <w:r w:rsidRPr="00D15C0B">
        <w:tab/>
        <w:t>Suite 9142</w:t>
      </w:r>
    </w:p>
    <w:p w14:paraId="1A9AE86C" w14:textId="77777777" w:rsidR="008437B1" w:rsidRPr="00D15C0B" w:rsidRDefault="008437B1" w:rsidP="00043695">
      <w:pPr>
        <w:widowControl w:val="0"/>
        <w:adjustRightInd w:val="0"/>
        <w:snapToGrid w:val="0"/>
      </w:pPr>
      <w:r w:rsidRPr="00D15C0B">
        <w:tab/>
      </w:r>
      <w:r w:rsidRPr="00D15C0B">
        <w:tab/>
      </w:r>
      <w:r w:rsidRPr="00D15C0B">
        <w:tab/>
      </w:r>
      <w:r w:rsidRPr="00D15C0B">
        <w:tab/>
      </w:r>
      <w:r w:rsidRPr="00D15C0B">
        <w:tab/>
        <w:t>6701 Rockledge Drive</w:t>
      </w:r>
    </w:p>
    <w:p w14:paraId="43D346E2" w14:textId="77777777" w:rsidR="008437B1" w:rsidRPr="00D15C0B" w:rsidRDefault="008437B1" w:rsidP="00043695">
      <w:pPr>
        <w:widowControl w:val="0"/>
        <w:adjustRightInd w:val="0"/>
        <w:snapToGrid w:val="0"/>
      </w:pPr>
      <w:r w:rsidRPr="00D15C0B">
        <w:tab/>
      </w:r>
      <w:r w:rsidRPr="00D15C0B">
        <w:tab/>
      </w:r>
      <w:r w:rsidRPr="00D15C0B">
        <w:tab/>
      </w:r>
      <w:r w:rsidRPr="00D15C0B">
        <w:tab/>
      </w:r>
      <w:r w:rsidRPr="00D15C0B">
        <w:tab/>
        <w:t>Bethesda, MD 20892</w:t>
      </w:r>
    </w:p>
    <w:p w14:paraId="1B53292A" w14:textId="77777777" w:rsidR="008437B1" w:rsidRPr="00D15C0B" w:rsidRDefault="008437B1" w:rsidP="00043695">
      <w:pPr>
        <w:widowControl w:val="0"/>
        <w:adjustRightInd w:val="0"/>
        <w:snapToGrid w:val="0"/>
      </w:pPr>
      <w:r w:rsidRPr="00D15C0B">
        <w:tab/>
      </w:r>
      <w:r w:rsidRPr="00D15C0B">
        <w:tab/>
      </w:r>
      <w:r w:rsidRPr="00D15C0B">
        <w:tab/>
      </w:r>
      <w:r w:rsidRPr="00D15C0B">
        <w:tab/>
      </w:r>
      <w:r w:rsidRPr="00D15C0B">
        <w:tab/>
        <w:t>Phone: (301) 435-0065</w:t>
      </w:r>
    </w:p>
    <w:p w14:paraId="605EFAA9" w14:textId="77777777" w:rsidR="008437B1" w:rsidRPr="00D15C0B" w:rsidRDefault="008437B1" w:rsidP="00043695">
      <w:pPr>
        <w:widowControl w:val="0"/>
        <w:adjustRightInd w:val="0"/>
        <w:snapToGrid w:val="0"/>
      </w:pPr>
      <w:r w:rsidRPr="00D15C0B">
        <w:tab/>
      </w:r>
      <w:r w:rsidRPr="00D15C0B">
        <w:tab/>
      </w:r>
      <w:r w:rsidRPr="00D15C0B">
        <w:tab/>
      </w:r>
      <w:r w:rsidRPr="00D15C0B">
        <w:tab/>
      </w:r>
      <w:r w:rsidRPr="00D15C0B">
        <w:tab/>
        <w:t>Fax: (301) 480-0868</w:t>
      </w:r>
    </w:p>
    <w:p w14:paraId="36C30D65" w14:textId="77777777" w:rsidR="008437B1" w:rsidRPr="00D15C0B" w:rsidRDefault="008437B1" w:rsidP="00043695">
      <w:pPr>
        <w:widowControl w:val="0"/>
        <w:adjustRightInd w:val="0"/>
        <w:snapToGrid w:val="0"/>
      </w:pPr>
      <w:r w:rsidRPr="00D15C0B">
        <w:tab/>
      </w:r>
      <w:r w:rsidRPr="00D15C0B">
        <w:tab/>
      </w:r>
      <w:r w:rsidRPr="00D15C0B">
        <w:tab/>
      </w:r>
      <w:r w:rsidRPr="00D15C0B">
        <w:tab/>
      </w:r>
      <w:r w:rsidRPr="00D15C0B">
        <w:tab/>
        <w:t xml:space="preserve">Email: </w:t>
      </w:r>
      <w:hyperlink r:id="rId9" w:history="1">
        <w:r w:rsidRPr="00D15C0B">
          <w:rPr>
            <w:rStyle w:val="Hyperlink"/>
          </w:rPr>
          <w:t>glynnsa@nhlbi.nih.gov</w:t>
        </w:r>
      </w:hyperlink>
    </w:p>
    <w:p w14:paraId="73E5BA06" w14:textId="77777777" w:rsidR="008437B1" w:rsidRPr="00D15C0B" w:rsidRDefault="008437B1" w:rsidP="00043695">
      <w:pPr>
        <w:widowControl w:val="0"/>
        <w:adjustRightInd w:val="0"/>
        <w:snapToGrid w:val="0"/>
        <w:rPr>
          <w:b/>
        </w:rPr>
      </w:pPr>
    </w:p>
    <w:p w14:paraId="4F1E6C51" w14:textId="77777777" w:rsidR="007E61A1" w:rsidRPr="00D15C0B" w:rsidRDefault="007E61A1" w:rsidP="00043695">
      <w:pPr>
        <w:rPr>
          <w:b/>
        </w:rPr>
      </w:pPr>
      <w:r w:rsidRPr="00D15C0B">
        <w:rPr>
          <w:b/>
        </w:rPr>
        <w:br w:type="page"/>
      </w:r>
    </w:p>
    <w:p w14:paraId="5D2E4E3E" w14:textId="77777777" w:rsidR="008437B1" w:rsidRPr="00D15C0B" w:rsidRDefault="008437B1" w:rsidP="00043695">
      <w:pPr>
        <w:widowControl w:val="0"/>
        <w:adjustRightInd w:val="0"/>
        <w:snapToGrid w:val="0"/>
        <w:rPr>
          <w:b/>
        </w:rPr>
      </w:pPr>
      <w:r w:rsidRPr="00D15C0B">
        <w:rPr>
          <w:b/>
        </w:rPr>
        <w:lastRenderedPageBreak/>
        <w:t>TABLE OF CONTENTS</w:t>
      </w:r>
      <w:r w:rsidR="007D390B" w:rsidRPr="00D15C0B">
        <w:rPr>
          <w:b/>
        </w:rPr>
        <w:t xml:space="preserve"> </w:t>
      </w:r>
    </w:p>
    <w:p w14:paraId="547C932A" w14:textId="77777777" w:rsidR="008437B1" w:rsidRPr="00D15C0B" w:rsidRDefault="008437B1" w:rsidP="00043695">
      <w:pPr>
        <w:widowControl w:val="0"/>
        <w:adjustRightInd w:val="0"/>
        <w:snapToGrid w:val="0"/>
        <w:rPr>
          <w:b/>
        </w:rPr>
      </w:pPr>
    </w:p>
    <w:p w14:paraId="4A2688A6" w14:textId="77777777" w:rsidR="008437B1" w:rsidRPr="00D15C0B" w:rsidRDefault="00513F5F" w:rsidP="00043695">
      <w:pPr>
        <w:pStyle w:val="TOC3"/>
        <w:widowControl w:val="0"/>
        <w:adjustRightInd w:val="0"/>
        <w:snapToGrid w:val="0"/>
        <w:spacing w:line="240" w:lineRule="auto"/>
        <w:rPr>
          <w:sz w:val="24"/>
          <w:szCs w:val="24"/>
        </w:rPr>
      </w:pPr>
      <w:r w:rsidRPr="00D15C0B">
        <w:rPr>
          <w:b/>
          <w:sz w:val="24"/>
          <w:szCs w:val="24"/>
        </w:rPr>
        <w:fldChar w:fldCharType="begin"/>
      </w:r>
      <w:r w:rsidR="008437B1" w:rsidRPr="00D15C0B">
        <w:rPr>
          <w:b/>
          <w:sz w:val="24"/>
          <w:szCs w:val="24"/>
        </w:rPr>
        <w:instrText xml:space="preserve"> TOC \o "1-3" \h \z \t "E-mail Signature,4,Date,5" </w:instrText>
      </w:r>
      <w:r w:rsidRPr="00D15C0B">
        <w:rPr>
          <w:b/>
          <w:sz w:val="24"/>
          <w:szCs w:val="24"/>
        </w:rPr>
        <w:fldChar w:fldCharType="separate"/>
      </w:r>
      <w:hyperlink w:anchor="_Toc153351580" w:history="1">
        <w:r w:rsidR="008437B1" w:rsidRPr="00D15C0B">
          <w:rPr>
            <w:rStyle w:val="Hyperlink"/>
            <w:color w:val="auto"/>
            <w:sz w:val="24"/>
            <w:szCs w:val="24"/>
          </w:rPr>
          <w:t>SUPPORTING STATEMENT</w:t>
        </w:r>
        <w:r w:rsidR="008437B1" w:rsidRPr="00D15C0B">
          <w:rPr>
            <w:webHidden/>
            <w:sz w:val="24"/>
            <w:szCs w:val="24"/>
          </w:rPr>
          <w:tab/>
        </w:r>
        <w:r w:rsidRPr="00D15C0B">
          <w:rPr>
            <w:webHidden/>
            <w:sz w:val="24"/>
            <w:szCs w:val="24"/>
          </w:rPr>
          <w:fldChar w:fldCharType="begin"/>
        </w:r>
        <w:r w:rsidR="008437B1" w:rsidRPr="00D15C0B">
          <w:rPr>
            <w:webHidden/>
            <w:sz w:val="24"/>
            <w:szCs w:val="24"/>
          </w:rPr>
          <w:instrText xml:space="preserve"> PAGEREF _Toc153351580 \h </w:instrText>
        </w:r>
        <w:r w:rsidRPr="00D15C0B">
          <w:rPr>
            <w:webHidden/>
            <w:sz w:val="24"/>
            <w:szCs w:val="24"/>
          </w:rPr>
        </w:r>
        <w:r w:rsidRPr="00D15C0B">
          <w:rPr>
            <w:webHidden/>
            <w:sz w:val="24"/>
            <w:szCs w:val="24"/>
          </w:rPr>
          <w:fldChar w:fldCharType="separate"/>
        </w:r>
        <w:r w:rsidR="00F212E7">
          <w:rPr>
            <w:webHidden/>
            <w:sz w:val="24"/>
            <w:szCs w:val="24"/>
          </w:rPr>
          <w:t>1</w:t>
        </w:r>
        <w:r w:rsidRPr="00D15C0B">
          <w:rPr>
            <w:webHidden/>
            <w:sz w:val="24"/>
            <w:szCs w:val="24"/>
          </w:rPr>
          <w:fldChar w:fldCharType="end"/>
        </w:r>
      </w:hyperlink>
    </w:p>
    <w:p w14:paraId="435532B4" w14:textId="77777777" w:rsidR="008437B1" w:rsidRPr="00D15C0B" w:rsidRDefault="00FF099A" w:rsidP="00043695">
      <w:pPr>
        <w:pStyle w:val="TOC3"/>
        <w:widowControl w:val="0"/>
        <w:adjustRightInd w:val="0"/>
        <w:snapToGrid w:val="0"/>
        <w:spacing w:line="240" w:lineRule="auto"/>
        <w:rPr>
          <w:sz w:val="24"/>
          <w:szCs w:val="24"/>
        </w:rPr>
      </w:pPr>
      <w:hyperlink w:anchor="_Toc153351581" w:history="1">
        <w:r w:rsidR="008437B1" w:rsidRPr="00D15C0B">
          <w:rPr>
            <w:rStyle w:val="Hyperlink"/>
            <w:color w:val="auto"/>
            <w:sz w:val="24"/>
            <w:szCs w:val="24"/>
          </w:rPr>
          <w:t>Introduction and Summary</w:t>
        </w:r>
        <w:r w:rsidR="008437B1" w:rsidRPr="00D15C0B">
          <w:rPr>
            <w:webHidden/>
            <w:sz w:val="24"/>
            <w:szCs w:val="24"/>
          </w:rPr>
          <w:tab/>
        </w:r>
        <w:r w:rsidR="00513F5F" w:rsidRPr="00D15C0B">
          <w:rPr>
            <w:webHidden/>
            <w:sz w:val="24"/>
            <w:szCs w:val="24"/>
          </w:rPr>
          <w:fldChar w:fldCharType="begin"/>
        </w:r>
        <w:r w:rsidR="008437B1" w:rsidRPr="00D15C0B">
          <w:rPr>
            <w:webHidden/>
            <w:sz w:val="24"/>
            <w:szCs w:val="24"/>
          </w:rPr>
          <w:instrText xml:space="preserve"> PAGEREF _Toc153351581 \h </w:instrText>
        </w:r>
        <w:r w:rsidR="00513F5F" w:rsidRPr="00D15C0B">
          <w:rPr>
            <w:webHidden/>
            <w:sz w:val="24"/>
            <w:szCs w:val="24"/>
          </w:rPr>
        </w:r>
        <w:r w:rsidR="00513F5F" w:rsidRPr="00D15C0B">
          <w:rPr>
            <w:webHidden/>
            <w:sz w:val="24"/>
            <w:szCs w:val="24"/>
          </w:rPr>
          <w:fldChar w:fldCharType="separate"/>
        </w:r>
        <w:r w:rsidR="00F212E7">
          <w:rPr>
            <w:webHidden/>
            <w:sz w:val="24"/>
            <w:szCs w:val="24"/>
          </w:rPr>
          <w:t>1</w:t>
        </w:r>
        <w:r w:rsidR="00513F5F" w:rsidRPr="00D15C0B">
          <w:rPr>
            <w:webHidden/>
            <w:sz w:val="24"/>
            <w:szCs w:val="24"/>
          </w:rPr>
          <w:fldChar w:fldCharType="end"/>
        </w:r>
      </w:hyperlink>
    </w:p>
    <w:p w14:paraId="3686FA88" w14:textId="11379806" w:rsidR="008437B1" w:rsidRPr="00D15C0B" w:rsidRDefault="00FF099A" w:rsidP="00043695">
      <w:pPr>
        <w:pStyle w:val="TOC3"/>
        <w:widowControl w:val="0"/>
        <w:adjustRightInd w:val="0"/>
        <w:snapToGrid w:val="0"/>
        <w:spacing w:line="240" w:lineRule="auto"/>
        <w:rPr>
          <w:sz w:val="24"/>
          <w:szCs w:val="24"/>
        </w:rPr>
      </w:pPr>
      <w:hyperlink w:anchor="_Toc153351582" w:history="1">
        <w:r w:rsidR="008437B1" w:rsidRPr="00D15C0B">
          <w:rPr>
            <w:rStyle w:val="Hyperlink"/>
            <w:color w:val="auto"/>
            <w:sz w:val="24"/>
            <w:szCs w:val="24"/>
          </w:rPr>
          <w:t>A.  Justification</w:t>
        </w:r>
        <w:r w:rsidR="008437B1" w:rsidRPr="00D15C0B">
          <w:rPr>
            <w:webHidden/>
            <w:sz w:val="24"/>
            <w:szCs w:val="24"/>
          </w:rPr>
          <w:tab/>
          <w:t>………………………………………………………………………........</w:t>
        </w:r>
        <w:r w:rsidR="00513F5F" w:rsidRPr="00D15C0B">
          <w:rPr>
            <w:webHidden/>
            <w:sz w:val="24"/>
            <w:szCs w:val="24"/>
          </w:rPr>
          <w:fldChar w:fldCharType="begin"/>
        </w:r>
        <w:r w:rsidR="008437B1" w:rsidRPr="00D15C0B">
          <w:rPr>
            <w:webHidden/>
            <w:sz w:val="24"/>
            <w:szCs w:val="24"/>
          </w:rPr>
          <w:instrText xml:space="preserve"> PAGEREF _Toc153351582 \h </w:instrText>
        </w:r>
        <w:r w:rsidR="00513F5F" w:rsidRPr="00D15C0B">
          <w:rPr>
            <w:webHidden/>
            <w:sz w:val="24"/>
            <w:szCs w:val="24"/>
          </w:rPr>
        </w:r>
        <w:r w:rsidR="00513F5F" w:rsidRPr="00D15C0B">
          <w:rPr>
            <w:webHidden/>
            <w:sz w:val="24"/>
            <w:szCs w:val="24"/>
          </w:rPr>
          <w:fldChar w:fldCharType="separate"/>
        </w:r>
        <w:r w:rsidR="00F212E7">
          <w:rPr>
            <w:webHidden/>
            <w:sz w:val="24"/>
            <w:szCs w:val="24"/>
          </w:rPr>
          <w:t>1</w:t>
        </w:r>
        <w:r w:rsidR="00513F5F" w:rsidRPr="00D15C0B">
          <w:rPr>
            <w:webHidden/>
            <w:sz w:val="24"/>
            <w:szCs w:val="24"/>
          </w:rPr>
          <w:fldChar w:fldCharType="end"/>
        </w:r>
      </w:hyperlink>
    </w:p>
    <w:p w14:paraId="734616C2" w14:textId="1CCFCD50" w:rsidR="008437B1" w:rsidRPr="00D15C0B" w:rsidRDefault="00FF099A" w:rsidP="00043695">
      <w:pPr>
        <w:pStyle w:val="TOC4"/>
        <w:widowControl w:val="0"/>
        <w:adjustRightInd w:val="0"/>
        <w:snapToGrid w:val="0"/>
        <w:spacing w:line="240" w:lineRule="auto"/>
        <w:rPr>
          <w:sz w:val="24"/>
          <w:szCs w:val="24"/>
        </w:rPr>
      </w:pPr>
      <w:hyperlink w:anchor="_Toc153351583" w:history="1">
        <w:r w:rsidR="008437B1" w:rsidRPr="00D15C0B">
          <w:rPr>
            <w:rStyle w:val="Hyperlink"/>
            <w:color w:val="auto"/>
            <w:sz w:val="24"/>
            <w:szCs w:val="24"/>
          </w:rPr>
          <w:t>A.1.</w:t>
        </w:r>
        <w:r w:rsidR="008437B1" w:rsidRPr="00D15C0B">
          <w:rPr>
            <w:sz w:val="24"/>
            <w:szCs w:val="24"/>
          </w:rPr>
          <w:tab/>
        </w:r>
        <w:r w:rsidR="008437B1" w:rsidRPr="00D15C0B">
          <w:rPr>
            <w:rStyle w:val="Hyperlink"/>
            <w:color w:val="auto"/>
            <w:sz w:val="24"/>
            <w:szCs w:val="24"/>
          </w:rPr>
          <w:t>Circumstances Making the Collection of Information Necessary</w:t>
        </w:r>
        <w:r w:rsidR="008437B1" w:rsidRPr="00D15C0B">
          <w:rPr>
            <w:webHidden/>
            <w:sz w:val="24"/>
            <w:szCs w:val="24"/>
          </w:rPr>
          <w:tab/>
        </w:r>
        <w:r w:rsidR="00513F5F" w:rsidRPr="00D15C0B">
          <w:rPr>
            <w:webHidden/>
            <w:sz w:val="24"/>
            <w:szCs w:val="24"/>
          </w:rPr>
          <w:fldChar w:fldCharType="begin"/>
        </w:r>
        <w:r w:rsidR="008437B1" w:rsidRPr="00D15C0B">
          <w:rPr>
            <w:webHidden/>
            <w:sz w:val="24"/>
            <w:szCs w:val="24"/>
          </w:rPr>
          <w:instrText xml:space="preserve"> PAGEREF _Toc153351583 \h </w:instrText>
        </w:r>
        <w:r w:rsidR="00513F5F" w:rsidRPr="00D15C0B">
          <w:rPr>
            <w:webHidden/>
            <w:sz w:val="24"/>
            <w:szCs w:val="24"/>
          </w:rPr>
        </w:r>
        <w:r w:rsidR="00513F5F" w:rsidRPr="00D15C0B">
          <w:rPr>
            <w:webHidden/>
            <w:sz w:val="24"/>
            <w:szCs w:val="24"/>
          </w:rPr>
          <w:fldChar w:fldCharType="separate"/>
        </w:r>
        <w:r w:rsidR="00F212E7">
          <w:rPr>
            <w:webHidden/>
            <w:sz w:val="24"/>
            <w:szCs w:val="24"/>
          </w:rPr>
          <w:t>1</w:t>
        </w:r>
        <w:r w:rsidR="00513F5F" w:rsidRPr="00D15C0B">
          <w:rPr>
            <w:webHidden/>
            <w:sz w:val="24"/>
            <w:szCs w:val="24"/>
          </w:rPr>
          <w:fldChar w:fldCharType="end"/>
        </w:r>
      </w:hyperlink>
    </w:p>
    <w:p w14:paraId="62E40B22" w14:textId="146EECE5" w:rsidR="008437B1" w:rsidRPr="00D15C0B" w:rsidRDefault="00FF099A" w:rsidP="00043695">
      <w:pPr>
        <w:pStyle w:val="TOC4"/>
        <w:widowControl w:val="0"/>
        <w:adjustRightInd w:val="0"/>
        <w:snapToGrid w:val="0"/>
        <w:spacing w:line="240" w:lineRule="auto"/>
        <w:rPr>
          <w:sz w:val="24"/>
          <w:szCs w:val="24"/>
        </w:rPr>
      </w:pPr>
      <w:hyperlink w:anchor="_Toc153351585" w:history="1">
        <w:r w:rsidR="008437B1" w:rsidRPr="00D15C0B">
          <w:rPr>
            <w:rStyle w:val="Hyperlink"/>
            <w:color w:val="auto"/>
            <w:sz w:val="24"/>
            <w:szCs w:val="24"/>
          </w:rPr>
          <w:t>A.2.</w:t>
        </w:r>
        <w:r w:rsidR="008437B1" w:rsidRPr="00D15C0B">
          <w:rPr>
            <w:sz w:val="24"/>
            <w:szCs w:val="24"/>
          </w:rPr>
          <w:tab/>
        </w:r>
        <w:r w:rsidR="008437B1" w:rsidRPr="00D15C0B">
          <w:rPr>
            <w:rStyle w:val="Hyperlink"/>
            <w:color w:val="auto"/>
            <w:sz w:val="24"/>
            <w:szCs w:val="24"/>
          </w:rPr>
          <w:t>Purpose and Use of the Information</w:t>
        </w:r>
        <w:r w:rsidR="008437B1" w:rsidRPr="00D15C0B">
          <w:rPr>
            <w:webHidden/>
            <w:sz w:val="24"/>
            <w:szCs w:val="24"/>
          </w:rPr>
          <w:tab/>
        </w:r>
        <w:r w:rsidR="00513F5F" w:rsidRPr="00D15C0B">
          <w:rPr>
            <w:webHidden/>
            <w:sz w:val="24"/>
            <w:szCs w:val="24"/>
          </w:rPr>
          <w:fldChar w:fldCharType="begin"/>
        </w:r>
        <w:r w:rsidR="008437B1" w:rsidRPr="00D15C0B">
          <w:rPr>
            <w:webHidden/>
            <w:sz w:val="24"/>
            <w:szCs w:val="24"/>
          </w:rPr>
          <w:instrText xml:space="preserve"> PAGEREF _Toc153351585 \h </w:instrText>
        </w:r>
        <w:r w:rsidR="00513F5F" w:rsidRPr="00D15C0B">
          <w:rPr>
            <w:webHidden/>
            <w:sz w:val="24"/>
            <w:szCs w:val="24"/>
          </w:rPr>
        </w:r>
        <w:r w:rsidR="00513F5F" w:rsidRPr="00D15C0B">
          <w:rPr>
            <w:webHidden/>
            <w:sz w:val="24"/>
            <w:szCs w:val="24"/>
          </w:rPr>
          <w:fldChar w:fldCharType="separate"/>
        </w:r>
        <w:r w:rsidR="00F212E7">
          <w:rPr>
            <w:webHidden/>
            <w:sz w:val="24"/>
            <w:szCs w:val="24"/>
          </w:rPr>
          <w:t>3</w:t>
        </w:r>
        <w:r w:rsidR="00513F5F" w:rsidRPr="00D15C0B">
          <w:rPr>
            <w:webHidden/>
            <w:sz w:val="24"/>
            <w:szCs w:val="24"/>
          </w:rPr>
          <w:fldChar w:fldCharType="end"/>
        </w:r>
      </w:hyperlink>
    </w:p>
    <w:p w14:paraId="618BFE87" w14:textId="7E82BC05" w:rsidR="008437B1" w:rsidRPr="00D15C0B" w:rsidRDefault="00FF099A" w:rsidP="00043695">
      <w:pPr>
        <w:pStyle w:val="TOC4"/>
        <w:widowControl w:val="0"/>
        <w:adjustRightInd w:val="0"/>
        <w:snapToGrid w:val="0"/>
        <w:spacing w:line="240" w:lineRule="auto"/>
        <w:rPr>
          <w:sz w:val="24"/>
          <w:szCs w:val="24"/>
        </w:rPr>
      </w:pPr>
      <w:hyperlink w:anchor="_Toc153351586" w:history="1">
        <w:r w:rsidR="008437B1" w:rsidRPr="00D15C0B">
          <w:rPr>
            <w:rStyle w:val="Hyperlink"/>
            <w:color w:val="auto"/>
            <w:sz w:val="24"/>
            <w:szCs w:val="24"/>
          </w:rPr>
          <w:t>A.3.</w:t>
        </w:r>
        <w:r w:rsidR="008437B1" w:rsidRPr="00D15C0B">
          <w:rPr>
            <w:rStyle w:val="Hyperlink"/>
            <w:color w:val="auto"/>
            <w:sz w:val="24"/>
            <w:szCs w:val="24"/>
          </w:rPr>
          <w:tab/>
          <w:t>Use of Information Technology and Burden Reduction</w:t>
        </w:r>
        <w:r w:rsidR="008437B1" w:rsidRPr="00D15C0B">
          <w:rPr>
            <w:webHidden/>
            <w:sz w:val="24"/>
            <w:szCs w:val="24"/>
          </w:rPr>
          <w:tab/>
        </w:r>
        <w:r w:rsidR="00513F5F" w:rsidRPr="00D15C0B">
          <w:rPr>
            <w:webHidden/>
            <w:sz w:val="24"/>
            <w:szCs w:val="24"/>
          </w:rPr>
          <w:fldChar w:fldCharType="begin"/>
        </w:r>
        <w:r w:rsidR="008437B1" w:rsidRPr="00D15C0B">
          <w:rPr>
            <w:webHidden/>
            <w:sz w:val="24"/>
            <w:szCs w:val="24"/>
          </w:rPr>
          <w:instrText xml:space="preserve"> PAGEREF _Toc153351586 \h </w:instrText>
        </w:r>
        <w:r w:rsidR="00513F5F" w:rsidRPr="00D15C0B">
          <w:rPr>
            <w:webHidden/>
            <w:sz w:val="24"/>
            <w:szCs w:val="24"/>
          </w:rPr>
        </w:r>
        <w:r w:rsidR="00513F5F" w:rsidRPr="00D15C0B">
          <w:rPr>
            <w:webHidden/>
            <w:sz w:val="24"/>
            <w:szCs w:val="24"/>
          </w:rPr>
          <w:fldChar w:fldCharType="separate"/>
        </w:r>
        <w:r w:rsidR="00F212E7">
          <w:rPr>
            <w:webHidden/>
            <w:sz w:val="24"/>
            <w:szCs w:val="24"/>
          </w:rPr>
          <w:t>4</w:t>
        </w:r>
        <w:r w:rsidR="00513F5F" w:rsidRPr="00D15C0B">
          <w:rPr>
            <w:webHidden/>
            <w:sz w:val="24"/>
            <w:szCs w:val="24"/>
          </w:rPr>
          <w:fldChar w:fldCharType="end"/>
        </w:r>
      </w:hyperlink>
    </w:p>
    <w:p w14:paraId="52B05F74" w14:textId="7873F9CF" w:rsidR="008437B1" w:rsidRPr="00D15C0B" w:rsidRDefault="00FF099A" w:rsidP="00043695">
      <w:pPr>
        <w:pStyle w:val="TOC4"/>
        <w:widowControl w:val="0"/>
        <w:adjustRightInd w:val="0"/>
        <w:snapToGrid w:val="0"/>
        <w:spacing w:line="240" w:lineRule="auto"/>
        <w:rPr>
          <w:sz w:val="24"/>
          <w:szCs w:val="24"/>
        </w:rPr>
      </w:pPr>
      <w:hyperlink w:anchor="_Toc153351587" w:history="1">
        <w:r w:rsidR="008437B1" w:rsidRPr="00D15C0B">
          <w:rPr>
            <w:rStyle w:val="Hyperlink"/>
            <w:color w:val="auto"/>
            <w:sz w:val="24"/>
            <w:szCs w:val="24"/>
          </w:rPr>
          <w:t>A.4.</w:t>
        </w:r>
        <w:r w:rsidR="008437B1" w:rsidRPr="00D15C0B">
          <w:rPr>
            <w:sz w:val="24"/>
            <w:szCs w:val="24"/>
          </w:rPr>
          <w:tab/>
        </w:r>
        <w:r w:rsidR="008437B1" w:rsidRPr="00D15C0B">
          <w:rPr>
            <w:rStyle w:val="Hyperlink"/>
            <w:color w:val="auto"/>
            <w:sz w:val="24"/>
            <w:szCs w:val="24"/>
          </w:rPr>
          <w:t>Efforts to Identify Duplication and Use of Similar Information</w:t>
        </w:r>
        <w:r w:rsidR="008437B1" w:rsidRPr="00D15C0B">
          <w:rPr>
            <w:webHidden/>
            <w:sz w:val="24"/>
            <w:szCs w:val="24"/>
          </w:rPr>
          <w:tab/>
        </w:r>
        <w:r w:rsidR="00513F5F" w:rsidRPr="00D15C0B">
          <w:rPr>
            <w:webHidden/>
            <w:sz w:val="24"/>
            <w:szCs w:val="24"/>
          </w:rPr>
          <w:fldChar w:fldCharType="begin"/>
        </w:r>
        <w:r w:rsidR="008437B1" w:rsidRPr="00D15C0B">
          <w:rPr>
            <w:webHidden/>
            <w:sz w:val="24"/>
            <w:szCs w:val="24"/>
          </w:rPr>
          <w:instrText xml:space="preserve"> PAGEREF _Toc153351587 \h </w:instrText>
        </w:r>
        <w:r w:rsidR="00513F5F" w:rsidRPr="00D15C0B">
          <w:rPr>
            <w:webHidden/>
            <w:sz w:val="24"/>
            <w:szCs w:val="24"/>
          </w:rPr>
        </w:r>
        <w:r w:rsidR="00513F5F" w:rsidRPr="00D15C0B">
          <w:rPr>
            <w:webHidden/>
            <w:sz w:val="24"/>
            <w:szCs w:val="24"/>
          </w:rPr>
          <w:fldChar w:fldCharType="separate"/>
        </w:r>
        <w:r w:rsidR="00F212E7">
          <w:rPr>
            <w:webHidden/>
            <w:sz w:val="24"/>
            <w:szCs w:val="24"/>
          </w:rPr>
          <w:t>5</w:t>
        </w:r>
        <w:r w:rsidR="00513F5F" w:rsidRPr="00D15C0B">
          <w:rPr>
            <w:webHidden/>
            <w:sz w:val="24"/>
            <w:szCs w:val="24"/>
          </w:rPr>
          <w:fldChar w:fldCharType="end"/>
        </w:r>
      </w:hyperlink>
    </w:p>
    <w:p w14:paraId="534AB9E2" w14:textId="14436CEB" w:rsidR="008437B1" w:rsidRPr="00D15C0B" w:rsidRDefault="00FF099A" w:rsidP="00043695">
      <w:pPr>
        <w:pStyle w:val="TOC4"/>
        <w:widowControl w:val="0"/>
        <w:adjustRightInd w:val="0"/>
        <w:snapToGrid w:val="0"/>
        <w:spacing w:line="240" w:lineRule="auto"/>
        <w:rPr>
          <w:sz w:val="24"/>
          <w:szCs w:val="24"/>
        </w:rPr>
      </w:pPr>
      <w:hyperlink w:anchor="_Toc153351588" w:history="1">
        <w:r w:rsidR="008437B1" w:rsidRPr="00D15C0B">
          <w:rPr>
            <w:rStyle w:val="Hyperlink"/>
            <w:color w:val="auto"/>
            <w:sz w:val="24"/>
            <w:szCs w:val="24"/>
          </w:rPr>
          <w:t>A.5.</w:t>
        </w:r>
        <w:r w:rsidR="008437B1" w:rsidRPr="00D15C0B">
          <w:rPr>
            <w:sz w:val="24"/>
            <w:szCs w:val="24"/>
          </w:rPr>
          <w:tab/>
        </w:r>
        <w:r w:rsidR="008437B1" w:rsidRPr="00D15C0B">
          <w:rPr>
            <w:rStyle w:val="Hyperlink"/>
            <w:color w:val="auto"/>
            <w:sz w:val="24"/>
            <w:szCs w:val="24"/>
          </w:rPr>
          <w:t>Impact on Small Businesses or Other Small Entities</w:t>
        </w:r>
        <w:r w:rsidR="008437B1" w:rsidRPr="00D15C0B">
          <w:rPr>
            <w:webHidden/>
            <w:sz w:val="24"/>
            <w:szCs w:val="24"/>
          </w:rPr>
          <w:tab/>
        </w:r>
        <w:r w:rsidR="00513F5F" w:rsidRPr="00D15C0B">
          <w:rPr>
            <w:webHidden/>
            <w:sz w:val="24"/>
            <w:szCs w:val="24"/>
          </w:rPr>
          <w:fldChar w:fldCharType="begin"/>
        </w:r>
        <w:r w:rsidR="008437B1" w:rsidRPr="00D15C0B">
          <w:rPr>
            <w:webHidden/>
            <w:sz w:val="24"/>
            <w:szCs w:val="24"/>
          </w:rPr>
          <w:instrText xml:space="preserve"> PAGEREF _Toc153351588 \h </w:instrText>
        </w:r>
        <w:r w:rsidR="00513F5F" w:rsidRPr="00D15C0B">
          <w:rPr>
            <w:webHidden/>
            <w:sz w:val="24"/>
            <w:szCs w:val="24"/>
          </w:rPr>
        </w:r>
        <w:r w:rsidR="00513F5F" w:rsidRPr="00D15C0B">
          <w:rPr>
            <w:webHidden/>
            <w:sz w:val="24"/>
            <w:szCs w:val="24"/>
          </w:rPr>
          <w:fldChar w:fldCharType="separate"/>
        </w:r>
        <w:r w:rsidR="00F212E7">
          <w:rPr>
            <w:webHidden/>
            <w:sz w:val="24"/>
            <w:szCs w:val="24"/>
          </w:rPr>
          <w:t>5</w:t>
        </w:r>
        <w:r w:rsidR="00513F5F" w:rsidRPr="00D15C0B">
          <w:rPr>
            <w:webHidden/>
            <w:sz w:val="24"/>
            <w:szCs w:val="24"/>
          </w:rPr>
          <w:fldChar w:fldCharType="end"/>
        </w:r>
      </w:hyperlink>
    </w:p>
    <w:p w14:paraId="74C9FDA6" w14:textId="360261F6" w:rsidR="008437B1" w:rsidRPr="00D15C0B" w:rsidRDefault="00FF099A" w:rsidP="00043695">
      <w:pPr>
        <w:pStyle w:val="TOC4"/>
        <w:widowControl w:val="0"/>
        <w:adjustRightInd w:val="0"/>
        <w:snapToGrid w:val="0"/>
        <w:spacing w:line="240" w:lineRule="auto"/>
        <w:rPr>
          <w:sz w:val="24"/>
          <w:szCs w:val="24"/>
        </w:rPr>
      </w:pPr>
      <w:hyperlink w:anchor="_Toc153351589" w:history="1">
        <w:r w:rsidR="008437B1" w:rsidRPr="00D15C0B">
          <w:rPr>
            <w:rStyle w:val="Hyperlink"/>
            <w:color w:val="auto"/>
            <w:sz w:val="24"/>
            <w:szCs w:val="24"/>
          </w:rPr>
          <w:t>A.6.</w:t>
        </w:r>
        <w:r w:rsidR="008437B1" w:rsidRPr="00D15C0B">
          <w:rPr>
            <w:sz w:val="24"/>
            <w:szCs w:val="24"/>
          </w:rPr>
          <w:tab/>
        </w:r>
        <w:r w:rsidR="008437B1" w:rsidRPr="00D15C0B">
          <w:rPr>
            <w:rStyle w:val="Hyperlink"/>
            <w:color w:val="auto"/>
            <w:sz w:val="24"/>
            <w:szCs w:val="24"/>
          </w:rPr>
          <w:t>Consequences of Collecting the Information at a Chosen Frequency</w:t>
        </w:r>
        <w:r w:rsidR="008437B1" w:rsidRPr="00D15C0B">
          <w:rPr>
            <w:webHidden/>
            <w:sz w:val="24"/>
            <w:szCs w:val="24"/>
          </w:rPr>
          <w:tab/>
        </w:r>
        <w:r w:rsidR="00513F5F" w:rsidRPr="00D15C0B">
          <w:rPr>
            <w:webHidden/>
            <w:sz w:val="24"/>
            <w:szCs w:val="24"/>
          </w:rPr>
          <w:fldChar w:fldCharType="begin"/>
        </w:r>
        <w:r w:rsidR="008437B1" w:rsidRPr="00D15C0B">
          <w:rPr>
            <w:webHidden/>
            <w:sz w:val="24"/>
            <w:szCs w:val="24"/>
          </w:rPr>
          <w:instrText xml:space="preserve"> PAGEREF _Toc153351589 \h </w:instrText>
        </w:r>
        <w:r w:rsidR="00513F5F" w:rsidRPr="00D15C0B">
          <w:rPr>
            <w:webHidden/>
            <w:sz w:val="24"/>
            <w:szCs w:val="24"/>
          </w:rPr>
        </w:r>
        <w:r w:rsidR="00513F5F" w:rsidRPr="00D15C0B">
          <w:rPr>
            <w:webHidden/>
            <w:sz w:val="24"/>
            <w:szCs w:val="24"/>
          </w:rPr>
          <w:fldChar w:fldCharType="separate"/>
        </w:r>
        <w:r w:rsidR="00F212E7">
          <w:rPr>
            <w:webHidden/>
            <w:sz w:val="24"/>
            <w:szCs w:val="24"/>
          </w:rPr>
          <w:t>5</w:t>
        </w:r>
        <w:r w:rsidR="00513F5F" w:rsidRPr="00D15C0B">
          <w:rPr>
            <w:webHidden/>
            <w:sz w:val="24"/>
            <w:szCs w:val="24"/>
          </w:rPr>
          <w:fldChar w:fldCharType="end"/>
        </w:r>
      </w:hyperlink>
    </w:p>
    <w:p w14:paraId="0414AE63" w14:textId="308FF527" w:rsidR="008437B1" w:rsidRPr="00D15C0B" w:rsidRDefault="00FF099A" w:rsidP="00043695">
      <w:pPr>
        <w:pStyle w:val="TOC4"/>
        <w:widowControl w:val="0"/>
        <w:adjustRightInd w:val="0"/>
        <w:snapToGrid w:val="0"/>
        <w:spacing w:line="240" w:lineRule="auto"/>
        <w:rPr>
          <w:sz w:val="24"/>
          <w:szCs w:val="24"/>
        </w:rPr>
      </w:pPr>
      <w:hyperlink w:anchor="_Toc153351590" w:history="1">
        <w:r w:rsidR="008437B1" w:rsidRPr="00D15C0B">
          <w:rPr>
            <w:rStyle w:val="Hyperlink"/>
            <w:color w:val="auto"/>
            <w:sz w:val="24"/>
            <w:szCs w:val="24"/>
          </w:rPr>
          <w:t>A.7.</w:t>
        </w:r>
        <w:r w:rsidR="008437B1" w:rsidRPr="00D15C0B">
          <w:rPr>
            <w:sz w:val="24"/>
            <w:szCs w:val="24"/>
          </w:rPr>
          <w:tab/>
        </w:r>
        <w:r w:rsidR="008437B1" w:rsidRPr="00D15C0B">
          <w:rPr>
            <w:rStyle w:val="Hyperlink"/>
            <w:color w:val="auto"/>
            <w:sz w:val="24"/>
            <w:szCs w:val="24"/>
          </w:rPr>
          <w:t>Special Circumstances Relating to the Guidelines of 5 CFR 1320.5</w:t>
        </w:r>
        <w:r w:rsidR="008437B1" w:rsidRPr="00D15C0B">
          <w:rPr>
            <w:webHidden/>
            <w:sz w:val="24"/>
            <w:szCs w:val="24"/>
          </w:rPr>
          <w:tab/>
        </w:r>
        <w:r w:rsidR="00513F5F" w:rsidRPr="00D15C0B">
          <w:rPr>
            <w:webHidden/>
            <w:sz w:val="24"/>
            <w:szCs w:val="24"/>
          </w:rPr>
          <w:fldChar w:fldCharType="begin"/>
        </w:r>
        <w:r w:rsidR="008437B1" w:rsidRPr="00D15C0B">
          <w:rPr>
            <w:webHidden/>
            <w:sz w:val="24"/>
            <w:szCs w:val="24"/>
          </w:rPr>
          <w:instrText xml:space="preserve"> PAGEREF _Toc153351590 \h </w:instrText>
        </w:r>
        <w:r w:rsidR="00513F5F" w:rsidRPr="00D15C0B">
          <w:rPr>
            <w:webHidden/>
            <w:sz w:val="24"/>
            <w:szCs w:val="24"/>
          </w:rPr>
        </w:r>
        <w:r w:rsidR="00513F5F" w:rsidRPr="00D15C0B">
          <w:rPr>
            <w:webHidden/>
            <w:sz w:val="24"/>
            <w:szCs w:val="24"/>
          </w:rPr>
          <w:fldChar w:fldCharType="separate"/>
        </w:r>
        <w:r w:rsidR="00F212E7">
          <w:rPr>
            <w:webHidden/>
            <w:sz w:val="24"/>
            <w:szCs w:val="24"/>
          </w:rPr>
          <w:t>6</w:t>
        </w:r>
        <w:r w:rsidR="00513F5F" w:rsidRPr="00D15C0B">
          <w:rPr>
            <w:webHidden/>
            <w:sz w:val="24"/>
            <w:szCs w:val="24"/>
          </w:rPr>
          <w:fldChar w:fldCharType="end"/>
        </w:r>
      </w:hyperlink>
    </w:p>
    <w:p w14:paraId="2872C0CB" w14:textId="30356832" w:rsidR="008437B1" w:rsidRPr="00D15C0B" w:rsidRDefault="00FF099A" w:rsidP="002507C9">
      <w:pPr>
        <w:pStyle w:val="TOC4"/>
        <w:widowControl w:val="0"/>
        <w:adjustRightInd w:val="0"/>
        <w:snapToGrid w:val="0"/>
        <w:spacing w:line="240" w:lineRule="auto"/>
        <w:rPr>
          <w:sz w:val="24"/>
          <w:szCs w:val="24"/>
        </w:rPr>
      </w:pPr>
      <w:hyperlink w:anchor="_Toc153351591" w:history="1">
        <w:r w:rsidR="008437B1" w:rsidRPr="00D15C0B">
          <w:rPr>
            <w:rStyle w:val="Hyperlink"/>
            <w:color w:val="auto"/>
            <w:sz w:val="24"/>
            <w:szCs w:val="24"/>
          </w:rPr>
          <w:t>A.8.</w:t>
        </w:r>
        <w:r w:rsidR="008437B1" w:rsidRPr="00D15C0B">
          <w:rPr>
            <w:sz w:val="24"/>
            <w:szCs w:val="24"/>
          </w:rPr>
          <w:tab/>
        </w:r>
        <w:r w:rsidR="008437B1" w:rsidRPr="00D15C0B">
          <w:rPr>
            <w:rStyle w:val="Hyperlink"/>
            <w:color w:val="auto"/>
            <w:sz w:val="24"/>
            <w:szCs w:val="24"/>
          </w:rPr>
          <w:t xml:space="preserve">Comments in Response to the Federal Register Notice and Efforts to </w:t>
        </w:r>
        <w:r w:rsidR="002507C9" w:rsidRPr="00D15C0B">
          <w:rPr>
            <w:rStyle w:val="Hyperlink"/>
            <w:color w:val="auto"/>
            <w:sz w:val="24"/>
            <w:szCs w:val="24"/>
          </w:rPr>
          <w:tab/>
        </w:r>
        <w:r w:rsidR="002507C9" w:rsidRPr="00D15C0B">
          <w:rPr>
            <w:rStyle w:val="Hyperlink"/>
            <w:color w:val="auto"/>
            <w:sz w:val="24"/>
            <w:szCs w:val="24"/>
          </w:rPr>
          <w:tab/>
        </w:r>
        <w:r w:rsidR="008437B1" w:rsidRPr="00D15C0B">
          <w:rPr>
            <w:rStyle w:val="Hyperlink"/>
            <w:color w:val="auto"/>
            <w:sz w:val="24"/>
            <w:szCs w:val="24"/>
          </w:rPr>
          <w:t>Consult Outside Agency</w:t>
        </w:r>
        <w:r w:rsidR="008437B1" w:rsidRPr="00D15C0B">
          <w:rPr>
            <w:webHidden/>
            <w:sz w:val="24"/>
            <w:szCs w:val="24"/>
          </w:rPr>
          <w:tab/>
        </w:r>
        <w:r w:rsidR="00513F5F" w:rsidRPr="00D15C0B">
          <w:rPr>
            <w:webHidden/>
            <w:sz w:val="24"/>
            <w:szCs w:val="24"/>
          </w:rPr>
          <w:fldChar w:fldCharType="begin"/>
        </w:r>
        <w:r w:rsidR="008437B1" w:rsidRPr="00D15C0B">
          <w:rPr>
            <w:webHidden/>
            <w:sz w:val="24"/>
            <w:szCs w:val="24"/>
          </w:rPr>
          <w:instrText xml:space="preserve"> PAGEREF _Toc153351591 \h </w:instrText>
        </w:r>
        <w:r w:rsidR="00513F5F" w:rsidRPr="00D15C0B">
          <w:rPr>
            <w:webHidden/>
            <w:sz w:val="24"/>
            <w:szCs w:val="24"/>
          </w:rPr>
        </w:r>
        <w:r w:rsidR="00513F5F" w:rsidRPr="00D15C0B">
          <w:rPr>
            <w:webHidden/>
            <w:sz w:val="24"/>
            <w:szCs w:val="24"/>
          </w:rPr>
          <w:fldChar w:fldCharType="separate"/>
        </w:r>
        <w:r w:rsidR="00F212E7">
          <w:rPr>
            <w:webHidden/>
            <w:sz w:val="24"/>
            <w:szCs w:val="24"/>
          </w:rPr>
          <w:t>6</w:t>
        </w:r>
        <w:r w:rsidR="00513F5F" w:rsidRPr="00D15C0B">
          <w:rPr>
            <w:webHidden/>
            <w:sz w:val="24"/>
            <w:szCs w:val="24"/>
          </w:rPr>
          <w:fldChar w:fldCharType="end"/>
        </w:r>
      </w:hyperlink>
    </w:p>
    <w:p w14:paraId="555AE165" w14:textId="79B62A71" w:rsidR="008437B1" w:rsidRPr="00D15C0B" w:rsidRDefault="00FF099A" w:rsidP="00043695">
      <w:pPr>
        <w:pStyle w:val="TOC4"/>
        <w:widowControl w:val="0"/>
        <w:adjustRightInd w:val="0"/>
        <w:snapToGrid w:val="0"/>
        <w:spacing w:line="240" w:lineRule="auto"/>
        <w:rPr>
          <w:sz w:val="24"/>
          <w:szCs w:val="24"/>
        </w:rPr>
      </w:pPr>
      <w:hyperlink w:anchor="_Toc153351592" w:history="1">
        <w:r w:rsidR="008437B1" w:rsidRPr="00D15C0B">
          <w:rPr>
            <w:rStyle w:val="Hyperlink"/>
            <w:color w:val="auto"/>
            <w:sz w:val="24"/>
            <w:szCs w:val="24"/>
          </w:rPr>
          <w:t>A.9.</w:t>
        </w:r>
        <w:r w:rsidR="008437B1" w:rsidRPr="00D15C0B">
          <w:rPr>
            <w:rStyle w:val="Hyperlink"/>
            <w:color w:val="auto"/>
            <w:sz w:val="24"/>
            <w:szCs w:val="24"/>
          </w:rPr>
          <w:tab/>
          <w:t>Explanation of Any Payment or Gifts to Respondents</w:t>
        </w:r>
        <w:r w:rsidR="008437B1" w:rsidRPr="00D15C0B">
          <w:rPr>
            <w:webHidden/>
            <w:sz w:val="24"/>
            <w:szCs w:val="24"/>
          </w:rPr>
          <w:tab/>
        </w:r>
        <w:r w:rsidR="00513F5F" w:rsidRPr="00D15C0B">
          <w:rPr>
            <w:webHidden/>
            <w:sz w:val="24"/>
            <w:szCs w:val="24"/>
          </w:rPr>
          <w:fldChar w:fldCharType="begin"/>
        </w:r>
        <w:r w:rsidR="008437B1" w:rsidRPr="00D15C0B">
          <w:rPr>
            <w:webHidden/>
            <w:sz w:val="24"/>
            <w:szCs w:val="24"/>
          </w:rPr>
          <w:instrText xml:space="preserve"> PAGEREF _Toc153351592 \h </w:instrText>
        </w:r>
        <w:r w:rsidR="00513F5F" w:rsidRPr="00D15C0B">
          <w:rPr>
            <w:webHidden/>
            <w:sz w:val="24"/>
            <w:szCs w:val="24"/>
          </w:rPr>
        </w:r>
        <w:r w:rsidR="00513F5F" w:rsidRPr="00D15C0B">
          <w:rPr>
            <w:webHidden/>
            <w:sz w:val="24"/>
            <w:szCs w:val="24"/>
          </w:rPr>
          <w:fldChar w:fldCharType="separate"/>
        </w:r>
        <w:r w:rsidR="00F212E7">
          <w:rPr>
            <w:webHidden/>
            <w:sz w:val="24"/>
            <w:szCs w:val="24"/>
          </w:rPr>
          <w:t>6</w:t>
        </w:r>
        <w:r w:rsidR="00513F5F" w:rsidRPr="00D15C0B">
          <w:rPr>
            <w:webHidden/>
            <w:sz w:val="24"/>
            <w:szCs w:val="24"/>
          </w:rPr>
          <w:fldChar w:fldCharType="end"/>
        </w:r>
      </w:hyperlink>
    </w:p>
    <w:p w14:paraId="1A85BBA2" w14:textId="77777777" w:rsidR="008437B1" w:rsidRPr="00D15C0B" w:rsidRDefault="008437B1" w:rsidP="00043695">
      <w:pPr>
        <w:pStyle w:val="TOC4"/>
        <w:widowControl w:val="0"/>
        <w:adjustRightInd w:val="0"/>
        <w:snapToGrid w:val="0"/>
        <w:spacing w:line="240" w:lineRule="auto"/>
        <w:rPr>
          <w:webHidden/>
          <w:sz w:val="24"/>
          <w:szCs w:val="24"/>
        </w:rPr>
      </w:pPr>
      <w:r w:rsidRPr="00D15C0B">
        <w:rPr>
          <w:rStyle w:val="Hyperlink"/>
          <w:color w:val="auto"/>
          <w:sz w:val="24"/>
          <w:szCs w:val="24"/>
          <w:u w:val="none"/>
        </w:rPr>
        <w:t>A.10.</w:t>
      </w:r>
      <w:r w:rsidRPr="00D15C0B">
        <w:rPr>
          <w:sz w:val="24"/>
          <w:szCs w:val="24"/>
        </w:rPr>
        <w:tab/>
      </w:r>
      <w:r w:rsidRPr="00D15C0B">
        <w:rPr>
          <w:rStyle w:val="Hyperlink"/>
          <w:color w:val="auto"/>
          <w:sz w:val="24"/>
          <w:szCs w:val="24"/>
          <w:u w:val="none"/>
        </w:rPr>
        <w:t>Assurance of Confidentiality Provided to Respondents</w:t>
      </w:r>
      <w:r w:rsidRPr="00D15C0B">
        <w:rPr>
          <w:webHidden/>
          <w:sz w:val="24"/>
          <w:szCs w:val="24"/>
        </w:rPr>
        <w:tab/>
        <w:t>6</w:t>
      </w:r>
    </w:p>
    <w:p w14:paraId="177BE476" w14:textId="6C291A04" w:rsidR="008437B1" w:rsidRPr="00D15C0B" w:rsidRDefault="00FF099A" w:rsidP="00043695">
      <w:pPr>
        <w:pStyle w:val="TOC4"/>
        <w:widowControl w:val="0"/>
        <w:adjustRightInd w:val="0"/>
        <w:snapToGrid w:val="0"/>
        <w:spacing w:line="240" w:lineRule="auto"/>
        <w:rPr>
          <w:sz w:val="24"/>
          <w:szCs w:val="24"/>
        </w:rPr>
      </w:pPr>
      <w:hyperlink w:anchor="_Toc153351594" w:history="1">
        <w:r w:rsidR="008437B1" w:rsidRPr="00D15C0B">
          <w:rPr>
            <w:rStyle w:val="Hyperlink"/>
            <w:color w:val="auto"/>
            <w:sz w:val="24"/>
            <w:szCs w:val="24"/>
          </w:rPr>
          <w:t>A.11.</w:t>
        </w:r>
        <w:r w:rsidR="008437B1" w:rsidRPr="00D15C0B">
          <w:rPr>
            <w:sz w:val="24"/>
            <w:szCs w:val="24"/>
          </w:rPr>
          <w:tab/>
        </w:r>
        <w:r w:rsidR="008437B1" w:rsidRPr="00D15C0B">
          <w:rPr>
            <w:rStyle w:val="Hyperlink"/>
            <w:color w:val="auto"/>
            <w:sz w:val="24"/>
            <w:szCs w:val="24"/>
          </w:rPr>
          <w:t>Justification for Sensitive Questions</w:t>
        </w:r>
        <w:r w:rsidR="008437B1" w:rsidRPr="00D15C0B">
          <w:rPr>
            <w:webHidden/>
            <w:sz w:val="24"/>
            <w:szCs w:val="24"/>
          </w:rPr>
          <w:tab/>
        </w:r>
        <w:r w:rsidR="00513F5F" w:rsidRPr="00D15C0B">
          <w:rPr>
            <w:webHidden/>
            <w:sz w:val="24"/>
            <w:szCs w:val="24"/>
          </w:rPr>
          <w:fldChar w:fldCharType="begin"/>
        </w:r>
        <w:r w:rsidR="008437B1" w:rsidRPr="00D15C0B">
          <w:rPr>
            <w:webHidden/>
            <w:sz w:val="24"/>
            <w:szCs w:val="24"/>
          </w:rPr>
          <w:instrText xml:space="preserve"> PAGEREF _Toc153351594 \h </w:instrText>
        </w:r>
        <w:r w:rsidR="00513F5F" w:rsidRPr="00D15C0B">
          <w:rPr>
            <w:webHidden/>
            <w:sz w:val="24"/>
            <w:szCs w:val="24"/>
          </w:rPr>
        </w:r>
        <w:r w:rsidR="00513F5F" w:rsidRPr="00D15C0B">
          <w:rPr>
            <w:webHidden/>
            <w:sz w:val="24"/>
            <w:szCs w:val="24"/>
          </w:rPr>
          <w:fldChar w:fldCharType="separate"/>
        </w:r>
        <w:r w:rsidR="00F212E7">
          <w:rPr>
            <w:webHidden/>
            <w:sz w:val="24"/>
            <w:szCs w:val="24"/>
          </w:rPr>
          <w:t>8</w:t>
        </w:r>
        <w:r w:rsidR="00513F5F" w:rsidRPr="00D15C0B">
          <w:rPr>
            <w:webHidden/>
            <w:sz w:val="24"/>
            <w:szCs w:val="24"/>
          </w:rPr>
          <w:fldChar w:fldCharType="end"/>
        </w:r>
      </w:hyperlink>
    </w:p>
    <w:p w14:paraId="06F83599" w14:textId="54E6FEFC" w:rsidR="008437B1" w:rsidRPr="00D15C0B" w:rsidRDefault="00FF099A" w:rsidP="00043695">
      <w:pPr>
        <w:pStyle w:val="TOC4"/>
        <w:widowControl w:val="0"/>
        <w:adjustRightInd w:val="0"/>
        <w:snapToGrid w:val="0"/>
        <w:spacing w:line="240" w:lineRule="auto"/>
        <w:rPr>
          <w:sz w:val="24"/>
          <w:szCs w:val="24"/>
        </w:rPr>
      </w:pPr>
      <w:hyperlink w:anchor="_Toc153351595" w:history="1">
        <w:r w:rsidR="008437B1" w:rsidRPr="00D15C0B">
          <w:rPr>
            <w:rStyle w:val="Hyperlink"/>
            <w:color w:val="auto"/>
            <w:sz w:val="24"/>
            <w:szCs w:val="24"/>
          </w:rPr>
          <w:t>A.12.</w:t>
        </w:r>
        <w:r w:rsidR="008437B1" w:rsidRPr="00D15C0B">
          <w:rPr>
            <w:sz w:val="24"/>
            <w:szCs w:val="24"/>
          </w:rPr>
          <w:tab/>
        </w:r>
        <w:r w:rsidR="008437B1" w:rsidRPr="00D15C0B">
          <w:rPr>
            <w:rStyle w:val="Hyperlink"/>
            <w:color w:val="auto"/>
            <w:sz w:val="24"/>
            <w:szCs w:val="24"/>
          </w:rPr>
          <w:t xml:space="preserve">Estimates of Burden </w:t>
        </w:r>
        <w:r w:rsidR="008C524C" w:rsidRPr="00D15C0B">
          <w:rPr>
            <w:rStyle w:val="Hyperlink"/>
            <w:color w:val="auto"/>
            <w:sz w:val="24"/>
            <w:szCs w:val="24"/>
          </w:rPr>
          <w:t xml:space="preserve">Hours </w:t>
        </w:r>
        <w:r w:rsidR="008437B1" w:rsidRPr="00D15C0B">
          <w:rPr>
            <w:rStyle w:val="Hyperlink"/>
            <w:color w:val="auto"/>
            <w:sz w:val="24"/>
            <w:szCs w:val="24"/>
          </w:rPr>
          <w:t>Including Annualized Hourly Costs</w:t>
        </w:r>
        <w:r w:rsidR="008437B1" w:rsidRPr="00D15C0B">
          <w:rPr>
            <w:webHidden/>
            <w:sz w:val="24"/>
            <w:szCs w:val="24"/>
          </w:rPr>
          <w:tab/>
        </w:r>
        <w:r w:rsidR="00513F5F" w:rsidRPr="00D15C0B">
          <w:rPr>
            <w:webHidden/>
            <w:sz w:val="24"/>
            <w:szCs w:val="24"/>
          </w:rPr>
          <w:fldChar w:fldCharType="begin"/>
        </w:r>
        <w:r w:rsidR="008437B1" w:rsidRPr="00D15C0B">
          <w:rPr>
            <w:webHidden/>
            <w:sz w:val="24"/>
            <w:szCs w:val="24"/>
          </w:rPr>
          <w:instrText xml:space="preserve"> PAGEREF _Toc153351595 \h </w:instrText>
        </w:r>
        <w:r w:rsidR="00513F5F" w:rsidRPr="00D15C0B">
          <w:rPr>
            <w:webHidden/>
            <w:sz w:val="24"/>
            <w:szCs w:val="24"/>
          </w:rPr>
        </w:r>
        <w:r w:rsidR="00513F5F" w:rsidRPr="00D15C0B">
          <w:rPr>
            <w:webHidden/>
            <w:sz w:val="24"/>
            <w:szCs w:val="24"/>
          </w:rPr>
          <w:fldChar w:fldCharType="separate"/>
        </w:r>
        <w:r w:rsidR="00F212E7">
          <w:rPr>
            <w:webHidden/>
            <w:sz w:val="24"/>
            <w:szCs w:val="24"/>
          </w:rPr>
          <w:t>10</w:t>
        </w:r>
        <w:r w:rsidR="00513F5F" w:rsidRPr="00D15C0B">
          <w:rPr>
            <w:webHidden/>
            <w:sz w:val="24"/>
            <w:szCs w:val="24"/>
          </w:rPr>
          <w:fldChar w:fldCharType="end"/>
        </w:r>
      </w:hyperlink>
    </w:p>
    <w:p w14:paraId="7B2CE0EE" w14:textId="7F203F5B" w:rsidR="008437B1" w:rsidRPr="00D15C0B" w:rsidRDefault="00FF099A" w:rsidP="00043695">
      <w:pPr>
        <w:pStyle w:val="TOC4"/>
        <w:widowControl w:val="0"/>
        <w:adjustRightInd w:val="0"/>
        <w:snapToGrid w:val="0"/>
        <w:spacing w:line="240" w:lineRule="auto"/>
        <w:rPr>
          <w:sz w:val="24"/>
          <w:szCs w:val="24"/>
        </w:rPr>
      </w:pPr>
      <w:hyperlink w:anchor="_Toc153351596" w:history="1">
        <w:r w:rsidR="008437B1" w:rsidRPr="00D15C0B">
          <w:rPr>
            <w:rStyle w:val="Hyperlink"/>
            <w:color w:val="auto"/>
            <w:sz w:val="24"/>
            <w:szCs w:val="24"/>
          </w:rPr>
          <w:t>A.13.</w:t>
        </w:r>
        <w:r w:rsidR="008437B1" w:rsidRPr="00D15C0B">
          <w:rPr>
            <w:sz w:val="24"/>
            <w:szCs w:val="24"/>
          </w:rPr>
          <w:tab/>
        </w:r>
        <w:r w:rsidR="008437B1" w:rsidRPr="00D15C0B">
          <w:rPr>
            <w:rStyle w:val="Hyperlink"/>
            <w:color w:val="auto"/>
            <w:sz w:val="24"/>
            <w:szCs w:val="24"/>
          </w:rPr>
          <w:t>Estimates of Other Total Annual Cost Burden to Respondents or Record</w:t>
        </w:r>
        <w:r w:rsidR="002507C9" w:rsidRPr="00D15C0B">
          <w:rPr>
            <w:rStyle w:val="Hyperlink"/>
            <w:color w:val="auto"/>
            <w:sz w:val="24"/>
            <w:szCs w:val="24"/>
          </w:rPr>
          <w:tab/>
        </w:r>
        <w:r w:rsidR="002507C9" w:rsidRPr="00D15C0B">
          <w:rPr>
            <w:rStyle w:val="Hyperlink"/>
            <w:color w:val="auto"/>
            <w:sz w:val="24"/>
            <w:szCs w:val="24"/>
          </w:rPr>
          <w:tab/>
        </w:r>
        <w:r w:rsidR="008437B1" w:rsidRPr="00D15C0B">
          <w:rPr>
            <w:rStyle w:val="Hyperlink"/>
            <w:color w:val="auto"/>
            <w:sz w:val="24"/>
            <w:szCs w:val="24"/>
          </w:rPr>
          <w:t xml:space="preserve"> Keepers</w:t>
        </w:r>
        <w:r w:rsidR="004909FD" w:rsidRPr="00D15C0B">
          <w:rPr>
            <w:rStyle w:val="Hyperlink"/>
            <w:color w:val="auto"/>
            <w:sz w:val="24"/>
            <w:szCs w:val="24"/>
          </w:rPr>
          <w:t xml:space="preserve"> …....</w:t>
        </w:r>
        <w:r w:rsidR="004909FD" w:rsidRPr="00D15C0B">
          <w:rPr>
            <w:webHidden/>
            <w:sz w:val="24"/>
            <w:szCs w:val="24"/>
          </w:rPr>
          <w:tab/>
        </w:r>
        <w:r w:rsidR="00513F5F" w:rsidRPr="00D15C0B">
          <w:rPr>
            <w:webHidden/>
            <w:sz w:val="24"/>
            <w:szCs w:val="24"/>
          </w:rPr>
          <w:fldChar w:fldCharType="begin"/>
        </w:r>
        <w:r w:rsidR="008437B1" w:rsidRPr="00D15C0B">
          <w:rPr>
            <w:webHidden/>
            <w:sz w:val="24"/>
            <w:szCs w:val="24"/>
          </w:rPr>
          <w:instrText xml:space="preserve"> PAGEREF _Toc153351596 \h </w:instrText>
        </w:r>
        <w:r w:rsidR="00513F5F" w:rsidRPr="00D15C0B">
          <w:rPr>
            <w:webHidden/>
            <w:sz w:val="24"/>
            <w:szCs w:val="24"/>
          </w:rPr>
        </w:r>
        <w:r w:rsidR="00513F5F" w:rsidRPr="00D15C0B">
          <w:rPr>
            <w:webHidden/>
            <w:sz w:val="24"/>
            <w:szCs w:val="24"/>
          </w:rPr>
          <w:fldChar w:fldCharType="separate"/>
        </w:r>
        <w:r w:rsidR="00F212E7">
          <w:rPr>
            <w:webHidden/>
            <w:sz w:val="24"/>
            <w:szCs w:val="24"/>
          </w:rPr>
          <w:t>11</w:t>
        </w:r>
        <w:r w:rsidR="00513F5F" w:rsidRPr="00D15C0B">
          <w:rPr>
            <w:webHidden/>
            <w:sz w:val="24"/>
            <w:szCs w:val="24"/>
          </w:rPr>
          <w:fldChar w:fldCharType="end"/>
        </w:r>
      </w:hyperlink>
    </w:p>
    <w:p w14:paraId="03BE0D11" w14:textId="3CD0F6B8" w:rsidR="008437B1" w:rsidRPr="00D15C0B" w:rsidRDefault="00FF099A" w:rsidP="00043695">
      <w:pPr>
        <w:pStyle w:val="TOC4"/>
        <w:widowControl w:val="0"/>
        <w:adjustRightInd w:val="0"/>
        <w:snapToGrid w:val="0"/>
        <w:spacing w:line="240" w:lineRule="auto"/>
        <w:rPr>
          <w:sz w:val="24"/>
          <w:szCs w:val="24"/>
        </w:rPr>
      </w:pPr>
      <w:hyperlink w:anchor="_Toc153351597" w:history="1">
        <w:r w:rsidR="008437B1" w:rsidRPr="00D15C0B">
          <w:rPr>
            <w:rStyle w:val="Hyperlink"/>
            <w:color w:val="auto"/>
            <w:sz w:val="24"/>
            <w:szCs w:val="24"/>
          </w:rPr>
          <w:t>A.14.</w:t>
        </w:r>
        <w:r w:rsidR="008437B1" w:rsidRPr="00D15C0B">
          <w:rPr>
            <w:sz w:val="24"/>
            <w:szCs w:val="24"/>
          </w:rPr>
          <w:tab/>
        </w:r>
        <w:r w:rsidR="008437B1" w:rsidRPr="00D15C0B">
          <w:rPr>
            <w:rStyle w:val="Hyperlink"/>
            <w:color w:val="auto"/>
            <w:sz w:val="24"/>
            <w:szCs w:val="24"/>
          </w:rPr>
          <w:t>Annualized Cost to the Federal Government</w:t>
        </w:r>
        <w:r w:rsidR="008437B1" w:rsidRPr="00D15C0B">
          <w:rPr>
            <w:webHidden/>
            <w:sz w:val="24"/>
            <w:szCs w:val="24"/>
          </w:rPr>
          <w:tab/>
        </w:r>
        <w:r w:rsidR="00513F5F" w:rsidRPr="00D15C0B">
          <w:rPr>
            <w:webHidden/>
            <w:sz w:val="24"/>
            <w:szCs w:val="24"/>
          </w:rPr>
          <w:fldChar w:fldCharType="begin"/>
        </w:r>
        <w:r w:rsidR="008437B1" w:rsidRPr="00D15C0B">
          <w:rPr>
            <w:webHidden/>
            <w:sz w:val="24"/>
            <w:szCs w:val="24"/>
          </w:rPr>
          <w:instrText xml:space="preserve"> PAGEREF _Toc153351597 \h </w:instrText>
        </w:r>
        <w:r w:rsidR="00513F5F" w:rsidRPr="00D15C0B">
          <w:rPr>
            <w:webHidden/>
            <w:sz w:val="24"/>
            <w:szCs w:val="24"/>
          </w:rPr>
        </w:r>
        <w:r w:rsidR="00513F5F" w:rsidRPr="00D15C0B">
          <w:rPr>
            <w:webHidden/>
            <w:sz w:val="24"/>
            <w:szCs w:val="24"/>
          </w:rPr>
          <w:fldChar w:fldCharType="separate"/>
        </w:r>
        <w:r w:rsidR="00F212E7">
          <w:rPr>
            <w:webHidden/>
            <w:sz w:val="24"/>
            <w:szCs w:val="24"/>
          </w:rPr>
          <w:t>11</w:t>
        </w:r>
        <w:r w:rsidR="00513F5F" w:rsidRPr="00D15C0B">
          <w:rPr>
            <w:webHidden/>
            <w:sz w:val="24"/>
            <w:szCs w:val="24"/>
          </w:rPr>
          <w:fldChar w:fldCharType="end"/>
        </w:r>
      </w:hyperlink>
    </w:p>
    <w:p w14:paraId="2D07E95E" w14:textId="23D30D64" w:rsidR="008437B1" w:rsidRPr="00D15C0B" w:rsidRDefault="00FF099A" w:rsidP="00043695">
      <w:pPr>
        <w:pStyle w:val="TOC4"/>
        <w:widowControl w:val="0"/>
        <w:adjustRightInd w:val="0"/>
        <w:snapToGrid w:val="0"/>
        <w:spacing w:line="240" w:lineRule="auto"/>
        <w:rPr>
          <w:sz w:val="24"/>
          <w:szCs w:val="24"/>
        </w:rPr>
      </w:pPr>
      <w:hyperlink w:anchor="_Toc153351598" w:history="1">
        <w:r w:rsidR="008437B1" w:rsidRPr="00D15C0B">
          <w:rPr>
            <w:rStyle w:val="Hyperlink"/>
            <w:color w:val="auto"/>
            <w:sz w:val="24"/>
            <w:szCs w:val="24"/>
          </w:rPr>
          <w:t>A.15.</w:t>
        </w:r>
        <w:r w:rsidR="008437B1" w:rsidRPr="00D15C0B">
          <w:rPr>
            <w:sz w:val="24"/>
            <w:szCs w:val="24"/>
          </w:rPr>
          <w:tab/>
        </w:r>
        <w:r w:rsidR="008437B1" w:rsidRPr="00D15C0B">
          <w:rPr>
            <w:rStyle w:val="Hyperlink"/>
            <w:color w:val="auto"/>
            <w:sz w:val="24"/>
            <w:szCs w:val="24"/>
          </w:rPr>
          <w:t>Explanation for Program Changes or Adjustments</w:t>
        </w:r>
        <w:r w:rsidR="008437B1" w:rsidRPr="00D15C0B">
          <w:rPr>
            <w:webHidden/>
            <w:sz w:val="24"/>
            <w:szCs w:val="24"/>
          </w:rPr>
          <w:tab/>
        </w:r>
        <w:r w:rsidR="00513F5F" w:rsidRPr="00D15C0B">
          <w:rPr>
            <w:webHidden/>
            <w:sz w:val="24"/>
            <w:szCs w:val="24"/>
          </w:rPr>
          <w:fldChar w:fldCharType="begin"/>
        </w:r>
        <w:r w:rsidR="008437B1" w:rsidRPr="00D15C0B">
          <w:rPr>
            <w:webHidden/>
            <w:sz w:val="24"/>
            <w:szCs w:val="24"/>
          </w:rPr>
          <w:instrText xml:space="preserve"> PAGEREF _Toc153351598 \h </w:instrText>
        </w:r>
        <w:r w:rsidR="00513F5F" w:rsidRPr="00D15C0B">
          <w:rPr>
            <w:webHidden/>
            <w:sz w:val="24"/>
            <w:szCs w:val="24"/>
          </w:rPr>
        </w:r>
        <w:r w:rsidR="00513F5F" w:rsidRPr="00D15C0B">
          <w:rPr>
            <w:webHidden/>
            <w:sz w:val="24"/>
            <w:szCs w:val="24"/>
          </w:rPr>
          <w:fldChar w:fldCharType="separate"/>
        </w:r>
        <w:r w:rsidR="00F212E7">
          <w:rPr>
            <w:webHidden/>
            <w:sz w:val="24"/>
            <w:szCs w:val="24"/>
          </w:rPr>
          <w:t>12</w:t>
        </w:r>
        <w:r w:rsidR="00513F5F" w:rsidRPr="00D15C0B">
          <w:rPr>
            <w:webHidden/>
            <w:sz w:val="24"/>
            <w:szCs w:val="24"/>
          </w:rPr>
          <w:fldChar w:fldCharType="end"/>
        </w:r>
      </w:hyperlink>
    </w:p>
    <w:p w14:paraId="23908AB9" w14:textId="2FF91373" w:rsidR="008437B1" w:rsidRPr="00D15C0B" w:rsidRDefault="00FF099A" w:rsidP="00043695">
      <w:pPr>
        <w:pStyle w:val="TOC4"/>
        <w:widowControl w:val="0"/>
        <w:adjustRightInd w:val="0"/>
        <w:snapToGrid w:val="0"/>
        <w:spacing w:line="240" w:lineRule="auto"/>
        <w:rPr>
          <w:sz w:val="24"/>
          <w:szCs w:val="24"/>
        </w:rPr>
      </w:pPr>
      <w:hyperlink w:anchor="_Toc153351599" w:history="1">
        <w:r w:rsidR="008437B1" w:rsidRPr="00D15C0B">
          <w:rPr>
            <w:rStyle w:val="Hyperlink"/>
            <w:color w:val="auto"/>
            <w:sz w:val="24"/>
            <w:szCs w:val="24"/>
          </w:rPr>
          <w:t>A.16.</w:t>
        </w:r>
        <w:r w:rsidR="008437B1" w:rsidRPr="00D15C0B">
          <w:rPr>
            <w:sz w:val="24"/>
            <w:szCs w:val="24"/>
          </w:rPr>
          <w:tab/>
        </w:r>
        <w:r w:rsidR="008437B1" w:rsidRPr="00D15C0B">
          <w:rPr>
            <w:rStyle w:val="Hyperlink"/>
            <w:color w:val="auto"/>
            <w:sz w:val="24"/>
            <w:szCs w:val="24"/>
          </w:rPr>
          <w:t>Plans for Tabulation and Publication and Project Time Schedule</w:t>
        </w:r>
        <w:r w:rsidR="008437B1" w:rsidRPr="00D15C0B">
          <w:rPr>
            <w:webHidden/>
            <w:sz w:val="24"/>
            <w:szCs w:val="24"/>
          </w:rPr>
          <w:tab/>
        </w:r>
        <w:r w:rsidR="00513F5F" w:rsidRPr="00D15C0B">
          <w:rPr>
            <w:webHidden/>
            <w:sz w:val="24"/>
            <w:szCs w:val="24"/>
          </w:rPr>
          <w:fldChar w:fldCharType="begin"/>
        </w:r>
        <w:r w:rsidR="008437B1" w:rsidRPr="00D15C0B">
          <w:rPr>
            <w:webHidden/>
            <w:sz w:val="24"/>
            <w:szCs w:val="24"/>
          </w:rPr>
          <w:instrText xml:space="preserve"> PAGEREF _Toc153351599 \h </w:instrText>
        </w:r>
        <w:r w:rsidR="00513F5F" w:rsidRPr="00D15C0B">
          <w:rPr>
            <w:webHidden/>
            <w:sz w:val="24"/>
            <w:szCs w:val="24"/>
          </w:rPr>
        </w:r>
        <w:r w:rsidR="00513F5F" w:rsidRPr="00D15C0B">
          <w:rPr>
            <w:webHidden/>
            <w:sz w:val="24"/>
            <w:szCs w:val="24"/>
          </w:rPr>
          <w:fldChar w:fldCharType="separate"/>
        </w:r>
        <w:r w:rsidR="00F212E7">
          <w:rPr>
            <w:webHidden/>
            <w:sz w:val="24"/>
            <w:szCs w:val="24"/>
          </w:rPr>
          <w:t>12</w:t>
        </w:r>
        <w:r w:rsidR="00513F5F" w:rsidRPr="00D15C0B">
          <w:rPr>
            <w:webHidden/>
            <w:sz w:val="24"/>
            <w:szCs w:val="24"/>
          </w:rPr>
          <w:fldChar w:fldCharType="end"/>
        </w:r>
      </w:hyperlink>
    </w:p>
    <w:p w14:paraId="7B26B14C" w14:textId="068AE466" w:rsidR="008437B1" w:rsidRPr="00D15C0B" w:rsidRDefault="00FF099A" w:rsidP="00043695">
      <w:pPr>
        <w:pStyle w:val="TOC4"/>
        <w:widowControl w:val="0"/>
        <w:adjustRightInd w:val="0"/>
        <w:snapToGrid w:val="0"/>
        <w:spacing w:line="240" w:lineRule="auto"/>
        <w:rPr>
          <w:sz w:val="24"/>
          <w:szCs w:val="24"/>
        </w:rPr>
      </w:pPr>
      <w:hyperlink w:anchor="_Toc153351600" w:history="1">
        <w:r w:rsidR="008437B1" w:rsidRPr="00D15C0B">
          <w:rPr>
            <w:rStyle w:val="Hyperlink"/>
            <w:color w:val="auto"/>
            <w:sz w:val="24"/>
            <w:szCs w:val="24"/>
          </w:rPr>
          <w:t>A.17.</w:t>
        </w:r>
        <w:r w:rsidR="008437B1" w:rsidRPr="00D15C0B">
          <w:rPr>
            <w:sz w:val="24"/>
            <w:szCs w:val="24"/>
          </w:rPr>
          <w:tab/>
        </w:r>
        <w:r w:rsidR="008437B1" w:rsidRPr="00D15C0B">
          <w:rPr>
            <w:rStyle w:val="Hyperlink"/>
            <w:color w:val="auto"/>
            <w:sz w:val="24"/>
            <w:szCs w:val="24"/>
          </w:rPr>
          <w:t>Reason(s) Display of OMB Expiration Date is Inappropriate</w:t>
        </w:r>
        <w:r w:rsidR="008437B1" w:rsidRPr="00D15C0B">
          <w:rPr>
            <w:webHidden/>
            <w:sz w:val="24"/>
            <w:szCs w:val="24"/>
          </w:rPr>
          <w:tab/>
        </w:r>
        <w:r w:rsidR="00513F5F" w:rsidRPr="00D15C0B">
          <w:rPr>
            <w:webHidden/>
            <w:sz w:val="24"/>
            <w:szCs w:val="24"/>
          </w:rPr>
          <w:fldChar w:fldCharType="begin"/>
        </w:r>
        <w:r w:rsidR="008437B1" w:rsidRPr="00D15C0B">
          <w:rPr>
            <w:webHidden/>
            <w:sz w:val="24"/>
            <w:szCs w:val="24"/>
          </w:rPr>
          <w:instrText xml:space="preserve"> PAGEREF _Toc153351600 \h </w:instrText>
        </w:r>
        <w:r w:rsidR="00513F5F" w:rsidRPr="00D15C0B">
          <w:rPr>
            <w:webHidden/>
            <w:sz w:val="24"/>
            <w:szCs w:val="24"/>
          </w:rPr>
        </w:r>
        <w:r w:rsidR="00513F5F" w:rsidRPr="00D15C0B">
          <w:rPr>
            <w:webHidden/>
            <w:sz w:val="24"/>
            <w:szCs w:val="24"/>
          </w:rPr>
          <w:fldChar w:fldCharType="separate"/>
        </w:r>
        <w:r w:rsidR="00F212E7">
          <w:rPr>
            <w:webHidden/>
            <w:sz w:val="24"/>
            <w:szCs w:val="24"/>
          </w:rPr>
          <w:t>12</w:t>
        </w:r>
        <w:r w:rsidR="00513F5F" w:rsidRPr="00D15C0B">
          <w:rPr>
            <w:webHidden/>
            <w:sz w:val="24"/>
            <w:szCs w:val="24"/>
          </w:rPr>
          <w:fldChar w:fldCharType="end"/>
        </w:r>
      </w:hyperlink>
    </w:p>
    <w:p w14:paraId="166CA580" w14:textId="5C871E4B" w:rsidR="008437B1" w:rsidRPr="00D15C0B" w:rsidRDefault="00FF099A" w:rsidP="00043695">
      <w:pPr>
        <w:pStyle w:val="TOC4"/>
        <w:widowControl w:val="0"/>
        <w:adjustRightInd w:val="0"/>
        <w:snapToGrid w:val="0"/>
        <w:spacing w:line="240" w:lineRule="auto"/>
      </w:pPr>
      <w:hyperlink w:anchor="_Toc153351601" w:history="1">
        <w:r w:rsidR="008437B1" w:rsidRPr="00D15C0B">
          <w:rPr>
            <w:rStyle w:val="Hyperlink"/>
            <w:color w:val="auto"/>
            <w:sz w:val="24"/>
            <w:szCs w:val="24"/>
          </w:rPr>
          <w:t>A.18.</w:t>
        </w:r>
        <w:r w:rsidR="008437B1" w:rsidRPr="00D15C0B">
          <w:rPr>
            <w:sz w:val="24"/>
            <w:szCs w:val="24"/>
          </w:rPr>
          <w:tab/>
        </w:r>
        <w:r w:rsidR="008437B1" w:rsidRPr="00D15C0B">
          <w:rPr>
            <w:rStyle w:val="Hyperlink"/>
            <w:color w:val="auto"/>
            <w:sz w:val="24"/>
            <w:szCs w:val="24"/>
          </w:rPr>
          <w:t>Exceptions to Certification for Paperwork Reduction Act Submissions</w:t>
        </w:r>
        <w:r w:rsidR="008437B1" w:rsidRPr="00D15C0B">
          <w:rPr>
            <w:webHidden/>
            <w:sz w:val="24"/>
            <w:szCs w:val="24"/>
          </w:rPr>
          <w:tab/>
        </w:r>
        <w:r w:rsidR="00513F5F" w:rsidRPr="00D15C0B">
          <w:rPr>
            <w:webHidden/>
            <w:sz w:val="24"/>
            <w:szCs w:val="24"/>
          </w:rPr>
          <w:fldChar w:fldCharType="begin"/>
        </w:r>
        <w:r w:rsidR="008437B1" w:rsidRPr="00D15C0B">
          <w:rPr>
            <w:webHidden/>
            <w:sz w:val="24"/>
            <w:szCs w:val="24"/>
          </w:rPr>
          <w:instrText xml:space="preserve"> PAGEREF _Toc153351601 \h </w:instrText>
        </w:r>
        <w:r w:rsidR="00513F5F" w:rsidRPr="00D15C0B">
          <w:rPr>
            <w:webHidden/>
            <w:sz w:val="24"/>
            <w:szCs w:val="24"/>
          </w:rPr>
        </w:r>
        <w:r w:rsidR="00513F5F" w:rsidRPr="00D15C0B">
          <w:rPr>
            <w:webHidden/>
            <w:sz w:val="24"/>
            <w:szCs w:val="24"/>
          </w:rPr>
          <w:fldChar w:fldCharType="separate"/>
        </w:r>
        <w:r w:rsidR="00F212E7">
          <w:rPr>
            <w:webHidden/>
            <w:sz w:val="24"/>
            <w:szCs w:val="24"/>
          </w:rPr>
          <w:t>12</w:t>
        </w:r>
        <w:r w:rsidR="00513F5F" w:rsidRPr="00D15C0B">
          <w:rPr>
            <w:webHidden/>
            <w:sz w:val="24"/>
            <w:szCs w:val="24"/>
          </w:rPr>
          <w:fldChar w:fldCharType="end"/>
        </w:r>
      </w:hyperlink>
    </w:p>
    <w:p w14:paraId="6115E0C3" w14:textId="77777777" w:rsidR="008437B1" w:rsidRPr="00D15C0B" w:rsidRDefault="008437B1" w:rsidP="00043695">
      <w:pPr>
        <w:pStyle w:val="TOC4"/>
        <w:widowControl w:val="0"/>
        <w:adjustRightInd w:val="0"/>
        <w:snapToGrid w:val="0"/>
        <w:spacing w:line="240" w:lineRule="auto"/>
        <w:rPr>
          <w:rStyle w:val="Hyperlink"/>
          <w:color w:val="auto"/>
          <w:sz w:val="24"/>
          <w:szCs w:val="24"/>
        </w:rPr>
      </w:pPr>
    </w:p>
    <w:p w14:paraId="1F5C7AB3" w14:textId="1474E65A" w:rsidR="008437B1" w:rsidRPr="00D15C0B" w:rsidRDefault="008437B1" w:rsidP="00AA5801">
      <w:pPr>
        <w:pStyle w:val="TOC4"/>
        <w:widowControl w:val="0"/>
        <w:adjustRightInd w:val="0"/>
        <w:snapToGrid w:val="0"/>
        <w:spacing w:line="240" w:lineRule="auto"/>
        <w:rPr>
          <w:sz w:val="24"/>
          <w:szCs w:val="24"/>
        </w:rPr>
      </w:pPr>
      <w:r w:rsidRPr="00D15C0B">
        <w:rPr>
          <w:rStyle w:val="Hyperlink"/>
          <w:color w:val="auto"/>
          <w:sz w:val="24"/>
          <w:szCs w:val="24"/>
          <w:u w:val="none"/>
        </w:rPr>
        <w:t>REFERENCES</w:t>
      </w:r>
      <w:r w:rsidR="007E61A1" w:rsidRPr="00D15C0B">
        <w:rPr>
          <w:webHidden/>
          <w:sz w:val="24"/>
          <w:szCs w:val="24"/>
        </w:rPr>
        <w:t>………………………………………………………</w:t>
      </w:r>
      <w:r w:rsidR="006670D9" w:rsidRPr="00D15C0B">
        <w:rPr>
          <w:webHidden/>
          <w:sz w:val="24"/>
          <w:szCs w:val="24"/>
        </w:rPr>
        <w:t>………</w:t>
      </w:r>
      <w:r w:rsidRPr="00D15C0B">
        <w:rPr>
          <w:webHidden/>
          <w:sz w:val="24"/>
          <w:szCs w:val="24"/>
        </w:rPr>
        <w:t>…</w:t>
      </w:r>
      <w:r w:rsidR="002507C9" w:rsidRPr="00D15C0B">
        <w:rPr>
          <w:webHidden/>
          <w:sz w:val="24"/>
          <w:szCs w:val="24"/>
        </w:rPr>
        <w:t>…….....</w:t>
      </w:r>
      <w:r w:rsidRPr="00D15C0B">
        <w:rPr>
          <w:webHidden/>
          <w:sz w:val="24"/>
          <w:szCs w:val="24"/>
        </w:rPr>
        <w:t>.1</w:t>
      </w:r>
      <w:r w:rsidR="00AA5801" w:rsidRPr="00D15C0B">
        <w:rPr>
          <w:webHidden/>
          <w:sz w:val="24"/>
          <w:szCs w:val="24"/>
        </w:rPr>
        <w:t>3</w:t>
      </w:r>
    </w:p>
    <w:p w14:paraId="39DBE10C" w14:textId="77777777" w:rsidR="008437B1" w:rsidRPr="00D15C0B" w:rsidRDefault="00513F5F" w:rsidP="00043695">
      <w:pPr>
        <w:widowControl w:val="0"/>
        <w:adjustRightInd w:val="0"/>
        <w:snapToGrid w:val="0"/>
      </w:pPr>
      <w:r w:rsidRPr="00D15C0B">
        <w:rPr>
          <w:b/>
        </w:rPr>
        <w:fldChar w:fldCharType="end"/>
      </w:r>
    </w:p>
    <w:p w14:paraId="43554FCB" w14:textId="77777777" w:rsidR="008437B1" w:rsidRPr="00D15C0B" w:rsidRDefault="008437B1" w:rsidP="00043695">
      <w:pPr>
        <w:widowControl w:val="0"/>
        <w:adjustRightInd w:val="0"/>
        <w:snapToGrid w:val="0"/>
      </w:pPr>
      <w:r w:rsidRPr="00D15C0B">
        <w:t>ATTACHMENTS</w:t>
      </w:r>
    </w:p>
    <w:p w14:paraId="3AE2EEB2" w14:textId="77777777" w:rsidR="008437B1" w:rsidRPr="00D15C0B" w:rsidRDefault="008437B1" w:rsidP="00043695">
      <w:pPr>
        <w:widowControl w:val="0"/>
        <w:adjustRightInd w:val="0"/>
        <w:snapToGrid w:val="0"/>
        <w:ind w:left="1080" w:hanging="360"/>
      </w:pPr>
    </w:p>
    <w:p w14:paraId="2EEBF53D" w14:textId="05182BAB" w:rsidR="00464DFB" w:rsidRPr="00D15C0B" w:rsidRDefault="008437B1" w:rsidP="00CC7547">
      <w:pPr>
        <w:widowControl w:val="0"/>
        <w:tabs>
          <w:tab w:val="left" w:pos="5460"/>
        </w:tabs>
        <w:adjustRightInd w:val="0"/>
        <w:snapToGrid w:val="0"/>
        <w:ind w:left="1080" w:hanging="360"/>
      </w:pPr>
      <w:r w:rsidRPr="00D15C0B">
        <w:t xml:space="preserve">Attachment 1: </w:t>
      </w:r>
      <w:r w:rsidR="003E26F6" w:rsidRPr="00D15C0B">
        <w:t xml:space="preserve">ACASI </w:t>
      </w:r>
      <w:r w:rsidR="007F46BE">
        <w:t>Questionnaire English</w:t>
      </w:r>
      <w:r w:rsidR="00CC7547">
        <w:tab/>
      </w:r>
    </w:p>
    <w:p w14:paraId="2D2BDF15" w14:textId="2394F78F" w:rsidR="008437B1" w:rsidRPr="00D15C0B" w:rsidRDefault="008437B1" w:rsidP="00043695">
      <w:pPr>
        <w:widowControl w:val="0"/>
        <w:adjustRightInd w:val="0"/>
        <w:snapToGrid w:val="0"/>
        <w:ind w:left="1080" w:hanging="360"/>
      </w:pPr>
      <w:r w:rsidRPr="00D15C0B">
        <w:t xml:space="preserve">Attachment 2: </w:t>
      </w:r>
      <w:r w:rsidR="007F46BE">
        <w:t xml:space="preserve">ACASI Questionnaire </w:t>
      </w:r>
      <w:r w:rsidRPr="00D15C0B">
        <w:t>Informed Consent</w:t>
      </w:r>
      <w:r w:rsidRPr="00D15C0B" w:rsidDel="00F75765">
        <w:t xml:space="preserve"> </w:t>
      </w:r>
    </w:p>
    <w:p w14:paraId="0719EBC5" w14:textId="77777777" w:rsidR="008437B1" w:rsidRPr="00D15C0B" w:rsidRDefault="008437B1" w:rsidP="00043695">
      <w:pPr>
        <w:widowControl w:val="0"/>
        <w:adjustRightInd w:val="0"/>
        <w:snapToGrid w:val="0"/>
        <w:ind w:left="1080" w:hanging="360"/>
      </w:pPr>
      <w:r w:rsidRPr="00D15C0B">
        <w:t>Attachment 3: Supporting Documents</w:t>
      </w:r>
    </w:p>
    <w:p w14:paraId="08768E74" w14:textId="77777777" w:rsidR="008437B1" w:rsidRPr="00D15C0B" w:rsidRDefault="007E61A1" w:rsidP="00043695">
      <w:pPr>
        <w:widowControl w:val="0"/>
        <w:adjustRightInd w:val="0"/>
        <w:snapToGrid w:val="0"/>
        <w:ind w:left="900"/>
      </w:pPr>
      <w:r w:rsidRPr="00D15C0B">
        <w:tab/>
      </w:r>
      <w:r w:rsidR="008437B1" w:rsidRPr="00D15C0B">
        <w:t>3.1 OSMB members</w:t>
      </w:r>
    </w:p>
    <w:p w14:paraId="4743C039" w14:textId="66273AF0" w:rsidR="008437B1" w:rsidRPr="00D15C0B" w:rsidRDefault="008437B1" w:rsidP="007F46BE">
      <w:pPr>
        <w:widowControl w:val="0"/>
        <w:adjustRightInd w:val="0"/>
        <w:snapToGrid w:val="0"/>
        <w:ind w:left="1440"/>
      </w:pPr>
      <w:r w:rsidRPr="00D15C0B">
        <w:t xml:space="preserve">3.2 </w:t>
      </w:r>
      <w:r w:rsidR="00331EDE" w:rsidRPr="00D15C0B">
        <w:t xml:space="preserve">ACASI </w:t>
      </w:r>
      <w:r w:rsidRPr="00D15C0B">
        <w:t xml:space="preserve">Questionnaire: Description </w:t>
      </w:r>
      <w:r w:rsidR="007E61A1" w:rsidRPr="00D15C0B">
        <w:t>of each item, source, and goal</w:t>
      </w:r>
    </w:p>
    <w:p w14:paraId="0D321A82" w14:textId="2E4B543D" w:rsidR="008437B1" w:rsidRPr="00D15C0B" w:rsidRDefault="008C524C" w:rsidP="007F46BE">
      <w:pPr>
        <w:widowControl w:val="0"/>
        <w:adjustRightInd w:val="0"/>
        <w:snapToGrid w:val="0"/>
        <w:ind w:left="900"/>
      </w:pPr>
      <w:r w:rsidRPr="00D15C0B">
        <w:tab/>
        <w:t xml:space="preserve">3.3 </w:t>
      </w:r>
      <w:r w:rsidR="007F46BE">
        <w:t xml:space="preserve">Brazil HIV IAC </w:t>
      </w:r>
    </w:p>
    <w:p w14:paraId="562FB1DC" w14:textId="1AEB727E" w:rsidR="008437B1" w:rsidRPr="00D15C0B" w:rsidRDefault="008437B1" w:rsidP="007F46BE">
      <w:pPr>
        <w:widowControl w:val="0"/>
        <w:adjustRightInd w:val="0"/>
        <w:snapToGrid w:val="0"/>
        <w:ind w:left="720"/>
      </w:pPr>
      <w:r w:rsidRPr="00D15C0B">
        <w:t xml:space="preserve">Attachment 4: </w:t>
      </w:r>
      <w:r w:rsidR="007F46BE">
        <w:t xml:space="preserve">REDSIII Brazil Notification HIV </w:t>
      </w:r>
      <w:r w:rsidRPr="00D15C0B">
        <w:t>Protocol</w:t>
      </w:r>
    </w:p>
    <w:p w14:paraId="7EC72D71" w14:textId="065E8E00" w:rsidR="007F0408" w:rsidRPr="00D15C0B" w:rsidRDefault="007F0408" w:rsidP="007F46BE">
      <w:pPr>
        <w:widowControl w:val="0"/>
        <w:adjustRightInd w:val="0"/>
        <w:snapToGrid w:val="0"/>
        <w:ind w:left="720"/>
      </w:pPr>
      <w:r w:rsidRPr="00D15C0B">
        <w:t xml:space="preserve">Attachment 5: </w:t>
      </w:r>
      <w:r w:rsidR="000B0CAF" w:rsidRPr="00D15C0B">
        <w:t xml:space="preserve">ACASI </w:t>
      </w:r>
      <w:r w:rsidR="004057E6">
        <w:t>Questionnaire</w:t>
      </w:r>
      <w:r w:rsidR="000B0CAF" w:rsidRPr="00D15C0B">
        <w:t xml:space="preserve"> Portuguese</w:t>
      </w:r>
    </w:p>
    <w:p w14:paraId="3A27572A" w14:textId="43D50E09" w:rsidR="0012481B" w:rsidRPr="00D15C0B" w:rsidRDefault="0012481B" w:rsidP="00043695">
      <w:pPr>
        <w:widowControl w:val="0"/>
        <w:adjustRightInd w:val="0"/>
        <w:snapToGrid w:val="0"/>
        <w:ind w:left="720"/>
      </w:pPr>
      <w:r w:rsidRPr="00D15C0B">
        <w:t xml:space="preserve">Attachment </w:t>
      </w:r>
      <w:r w:rsidR="000B0CAF" w:rsidRPr="00D15C0B">
        <w:t>6</w:t>
      </w:r>
      <w:r w:rsidRPr="00D15C0B">
        <w:t xml:space="preserve">: </w:t>
      </w:r>
      <w:r w:rsidR="007F46BE">
        <w:t xml:space="preserve">ACASI Questionnaire </w:t>
      </w:r>
      <w:r w:rsidRPr="00D15C0B">
        <w:t>Informed Consent Portuguese</w:t>
      </w:r>
    </w:p>
    <w:p w14:paraId="1247BDB4" w14:textId="77777777" w:rsidR="00A73D2E" w:rsidRPr="00D15C0B" w:rsidRDefault="00A73D2E" w:rsidP="00043695">
      <w:pPr>
        <w:widowControl w:val="0"/>
        <w:adjustRightInd w:val="0"/>
        <w:snapToGrid w:val="0"/>
        <w:ind w:left="720"/>
      </w:pPr>
      <w:r w:rsidRPr="00D15C0B">
        <w:t xml:space="preserve">Attachment </w:t>
      </w:r>
      <w:r w:rsidR="000B0CAF" w:rsidRPr="00D15C0B">
        <w:t>7</w:t>
      </w:r>
      <w:r w:rsidRPr="00D15C0B">
        <w:t xml:space="preserve">: </w:t>
      </w:r>
      <w:r w:rsidR="00621FB9" w:rsidRPr="00D15C0B">
        <w:t xml:space="preserve">Invitation to Study Letter </w:t>
      </w:r>
      <w:r w:rsidR="00464DFB" w:rsidRPr="00D15C0B">
        <w:t>–</w:t>
      </w:r>
      <w:r w:rsidR="00621FB9" w:rsidRPr="00D15C0B">
        <w:t xml:space="preserve"> </w:t>
      </w:r>
      <w:r w:rsidR="00464DFB" w:rsidRPr="00D15C0B">
        <w:t xml:space="preserve">English and </w:t>
      </w:r>
      <w:r w:rsidR="00621FB9" w:rsidRPr="00D15C0B">
        <w:t>Portuguese</w:t>
      </w:r>
    </w:p>
    <w:p w14:paraId="654554E4" w14:textId="77777777" w:rsidR="008437B1" w:rsidRPr="00D15C0B" w:rsidRDefault="008437B1" w:rsidP="00043695">
      <w:pPr>
        <w:widowControl w:val="0"/>
        <w:adjustRightInd w:val="0"/>
        <w:snapToGrid w:val="0"/>
        <w:ind w:left="900"/>
        <w:rPr>
          <w:b/>
        </w:rPr>
      </w:pPr>
      <w:r w:rsidRPr="00D15C0B">
        <w:tab/>
      </w:r>
      <w:r w:rsidRPr="00D15C0B">
        <w:tab/>
      </w:r>
    </w:p>
    <w:p w14:paraId="2FD69901" w14:textId="77777777" w:rsidR="008437B1" w:rsidRPr="00D15C0B" w:rsidRDefault="008437B1" w:rsidP="00043695">
      <w:pPr>
        <w:widowControl w:val="0"/>
        <w:adjustRightInd w:val="0"/>
        <w:snapToGrid w:val="0"/>
        <w:rPr>
          <w:b/>
        </w:rPr>
        <w:sectPr w:rsidR="008437B1" w:rsidRPr="00D15C0B" w:rsidSect="007E61A1">
          <w:footerReference w:type="even" r:id="rId10"/>
          <w:footerReference w:type="default" r:id="rId11"/>
          <w:pgSz w:w="12240" w:h="15840"/>
          <w:pgMar w:top="1440" w:right="1440" w:bottom="1440" w:left="1440" w:header="720" w:footer="720" w:gutter="0"/>
          <w:cols w:space="720"/>
          <w:docGrid w:linePitch="360"/>
        </w:sectPr>
      </w:pPr>
      <w:bookmarkStart w:id="0" w:name="_GoBack"/>
      <w:bookmarkEnd w:id="0"/>
    </w:p>
    <w:p w14:paraId="56B87D99" w14:textId="77777777" w:rsidR="008437B1" w:rsidRPr="00D15C0B" w:rsidRDefault="008437B1" w:rsidP="000D1146">
      <w:pPr>
        <w:pStyle w:val="Heading3"/>
        <w:keepNext w:val="0"/>
        <w:widowControl w:val="0"/>
        <w:adjustRightInd w:val="0"/>
        <w:snapToGrid w:val="0"/>
        <w:spacing w:before="0" w:after="0"/>
        <w:rPr>
          <w:rFonts w:ascii="Times New Roman" w:hAnsi="Times New Roman" w:cs="Times New Roman"/>
          <w:sz w:val="24"/>
          <w:szCs w:val="24"/>
        </w:rPr>
      </w:pPr>
      <w:bookmarkStart w:id="1" w:name="_Toc153351580"/>
      <w:r w:rsidRPr="00D15C0B">
        <w:rPr>
          <w:rFonts w:ascii="Times New Roman" w:hAnsi="Times New Roman" w:cs="Times New Roman"/>
          <w:sz w:val="24"/>
          <w:szCs w:val="24"/>
        </w:rPr>
        <w:lastRenderedPageBreak/>
        <w:t>SUPPORTING STATEMENT</w:t>
      </w:r>
      <w:bookmarkEnd w:id="1"/>
    </w:p>
    <w:p w14:paraId="7EB7464C" w14:textId="77777777" w:rsidR="00E43A95" w:rsidRPr="00D15C0B" w:rsidRDefault="00E43A95" w:rsidP="00043695">
      <w:pPr>
        <w:pStyle w:val="Heading3"/>
        <w:keepNext w:val="0"/>
        <w:widowControl w:val="0"/>
        <w:adjustRightInd w:val="0"/>
        <w:snapToGrid w:val="0"/>
        <w:spacing w:before="0" w:after="0"/>
        <w:rPr>
          <w:rFonts w:ascii="Times New Roman" w:hAnsi="Times New Roman" w:cs="Times New Roman"/>
          <w:sz w:val="24"/>
          <w:szCs w:val="24"/>
          <w:u w:val="single"/>
        </w:rPr>
      </w:pPr>
      <w:bookmarkStart w:id="2" w:name="_Toc153351581"/>
    </w:p>
    <w:p w14:paraId="5810CB24" w14:textId="77777777" w:rsidR="008437B1" w:rsidRPr="00D15C0B" w:rsidRDefault="008437B1" w:rsidP="00043695">
      <w:pPr>
        <w:pStyle w:val="Heading3"/>
        <w:keepNext w:val="0"/>
        <w:widowControl w:val="0"/>
        <w:adjustRightInd w:val="0"/>
        <w:snapToGrid w:val="0"/>
        <w:spacing w:before="0" w:after="0"/>
        <w:rPr>
          <w:rFonts w:ascii="Times New Roman" w:hAnsi="Times New Roman" w:cs="Times New Roman"/>
          <w:sz w:val="24"/>
          <w:szCs w:val="24"/>
          <w:u w:val="single"/>
        </w:rPr>
      </w:pPr>
      <w:r w:rsidRPr="00D15C0B">
        <w:rPr>
          <w:rFonts w:ascii="Times New Roman" w:hAnsi="Times New Roman" w:cs="Times New Roman"/>
          <w:sz w:val="24"/>
          <w:szCs w:val="24"/>
          <w:u w:val="single"/>
        </w:rPr>
        <w:t>Introduction and Summary</w:t>
      </w:r>
      <w:bookmarkEnd w:id="2"/>
      <w:r w:rsidRPr="00D15C0B">
        <w:rPr>
          <w:rFonts w:ascii="Times New Roman" w:hAnsi="Times New Roman" w:cs="Times New Roman"/>
          <w:sz w:val="24"/>
          <w:szCs w:val="24"/>
          <w:u w:val="single"/>
        </w:rPr>
        <w:br/>
      </w:r>
    </w:p>
    <w:p w14:paraId="2C17F79F" w14:textId="4EFADBA0" w:rsidR="00B9669B" w:rsidRPr="00D15C0B" w:rsidRDefault="00D726E7" w:rsidP="00B9669B">
      <w:pPr>
        <w:widowControl w:val="0"/>
        <w:adjustRightInd w:val="0"/>
        <w:snapToGrid w:val="0"/>
        <w:ind w:firstLine="720"/>
      </w:pPr>
      <w:r w:rsidRPr="00D15C0B">
        <w:t>The</w:t>
      </w:r>
      <w:r w:rsidR="00134643" w:rsidRPr="00D15C0B">
        <w:t xml:space="preserve"> prevention of transfusion-associated transmission </w:t>
      </w:r>
      <w:r w:rsidR="00EE177F" w:rsidRPr="00D15C0B">
        <w:t xml:space="preserve">of HIV </w:t>
      </w:r>
      <w:r w:rsidR="00134643" w:rsidRPr="00D15C0B">
        <w:t>is one of the greatest success stories in the fight against the HIV epidemic</w:t>
      </w:r>
      <w:r w:rsidRPr="00D15C0B">
        <w:t>;</w:t>
      </w:r>
      <w:r w:rsidR="00EE177F" w:rsidRPr="00D15C0B">
        <w:t xml:space="preserve"> however</w:t>
      </w:r>
      <w:r w:rsidRPr="00D15C0B">
        <w:t>,</w:t>
      </w:r>
      <w:r w:rsidR="00134643" w:rsidRPr="00D15C0B">
        <w:t xml:space="preserve"> the job is unfinished. In some middle-and low-income countries, </w:t>
      </w:r>
      <w:r w:rsidRPr="00D15C0B">
        <w:t xml:space="preserve">blood </w:t>
      </w:r>
      <w:r w:rsidR="00134643" w:rsidRPr="00D15C0B">
        <w:t>transfusion may account for up to 6% of HIV infections</w:t>
      </w:r>
      <w:r w:rsidR="00393253" w:rsidRPr="00D15C0B">
        <w:t xml:space="preserve"> (1)</w:t>
      </w:r>
      <w:r w:rsidR="00134643" w:rsidRPr="00D15C0B">
        <w:t>.</w:t>
      </w:r>
      <w:r w:rsidR="006C10AF" w:rsidRPr="00D15C0B">
        <w:t xml:space="preserve"> Currently, all blood donors who test positive or inconclusive for HIV or</w:t>
      </w:r>
      <w:r w:rsidR="00EE177F" w:rsidRPr="00D15C0B">
        <w:t xml:space="preserve"> other sexually transmitted diseases are notified (donor notification) and requested to </w:t>
      </w:r>
      <w:r w:rsidR="008636BD" w:rsidRPr="00D15C0B">
        <w:t xml:space="preserve">follow-up with </w:t>
      </w:r>
      <w:r w:rsidR="00EE177F" w:rsidRPr="00D15C0B">
        <w:t xml:space="preserve"> </w:t>
      </w:r>
      <w:r w:rsidR="008636BD" w:rsidRPr="00D15C0B">
        <w:t xml:space="preserve">the </w:t>
      </w:r>
      <w:r w:rsidR="00EE177F" w:rsidRPr="00D15C0B">
        <w:t xml:space="preserve">blood bank for </w:t>
      </w:r>
      <w:r w:rsidR="008636BD" w:rsidRPr="00D15C0B">
        <w:t xml:space="preserve">potential </w:t>
      </w:r>
      <w:r w:rsidR="00EE177F" w:rsidRPr="00D15C0B">
        <w:t>confirmatory testing and referral to specific health services</w:t>
      </w:r>
      <w:r w:rsidR="008636BD" w:rsidRPr="00D15C0B">
        <w:t>,</w:t>
      </w:r>
      <w:r w:rsidR="00EE177F" w:rsidRPr="00D15C0B">
        <w:t xml:space="preserve"> </w:t>
      </w:r>
      <w:r w:rsidRPr="00D15C0B">
        <w:t>such as</w:t>
      </w:r>
      <w:r w:rsidR="00EE177F" w:rsidRPr="00D15C0B">
        <w:t xml:space="preserve"> monitoring and treatment. </w:t>
      </w:r>
      <w:r w:rsidR="006C10AF" w:rsidRPr="00D15C0B">
        <w:t>Little is</w:t>
      </w:r>
      <w:r w:rsidR="00134643" w:rsidRPr="00D15C0B">
        <w:t xml:space="preserve"> known about the consequences </w:t>
      </w:r>
      <w:r w:rsidRPr="00D15C0B">
        <w:t>of</w:t>
      </w:r>
      <w:r w:rsidR="00134643" w:rsidRPr="00D15C0B">
        <w:t xml:space="preserve"> </w:t>
      </w:r>
      <w:r w:rsidR="00447FE6" w:rsidRPr="00D15C0B">
        <w:t xml:space="preserve">blood </w:t>
      </w:r>
      <w:r w:rsidR="00134643" w:rsidRPr="00D15C0B">
        <w:t>donor</w:t>
      </w:r>
      <w:r w:rsidR="00EE177F" w:rsidRPr="00D15C0B">
        <w:t xml:space="preserve"> notification and subsequent </w:t>
      </w:r>
      <w:r w:rsidRPr="00D15C0B">
        <w:t xml:space="preserve">monitoring and </w:t>
      </w:r>
      <w:r w:rsidR="00EE177F" w:rsidRPr="00D15C0B">
        <w:t xml:space="preserve">counseling on efforts to control the HIV epidemic in the United States and internationally. </w:t>
      </w:r>
      <w:r w:rsidR="00134643" w:rsidRPr="00D15C0B">
        <w:t xml:space="preserve"> </w:t>
      </w:r>
    </w:p>
    <w:p w14:paraId="37AA1364" w14:textId="26A9ED66" w:rsidR="008437B1" w:rsidRPr="00D15C0B" w:rsidRDefault="002557A9" w:rsidP="00D000C5">
      <w:pPr>
        <w:rPr>
          <w:color w:val="000000"/>
        </w:rPr>
      </w:pPr>
      <w:r w:rsidRPr="00D15C0B">
        <w:tab/>
      </w:r>
      <w:r w:rsidR="00F0455C" w:rsidRPr="00D15C0B">
        <w:t>This</w:t>
      </w:r>
      <w:r w:rsidR="00695FCE" w:rsidRPr="00D15C0B">
        <w:t xml:space="preserve"> proposed study</w:t>
      </w:r>
      <w:r w:rsidR="00447FE6" w:rsidRPr="00D15C0B">
        <w:t xml:space="preserve">, </w:t>
      </w:r>
      <w:r w:rsidR="00B9669B" w:rsidRPr="00D15C0B">
        <w:t>“</w:t>
      </w:r>
      <w:r w:rsidR="00447FE6" w:rsidRPr="00D15C0B">
        <w:t>The effectiveness of donor notification, HIV counseling, and</w:t>
      </w:r>
      <w:r w:rsidR="00B9669B" w:rsidRPr="00D15C0B">
        <w:t xml:space="preserve"> </w:t>
      </w:r>
      <w:r w:rsidR="00447FE6" w:rsidRPr="00D15C0B">
        <w:t>linkage of HIV positive donors to health care in</w:t>
      </w:r>
      <w:r w:rsidR="00447FE6" w:rsidRPr="00D15C0B">
        <w:rPr>
          <w:i/>
          <w:iCs/>
        </w:rPr>
        <w:t xml:space="preserve"> Brazil</w:t>
      </w:r>
      <w:r w:rsidR="00372461" w:rsidRPr="00D15C0B">
        <w:rPr>
          <w:i/>
          <w:iCs/>
        </w:rPr>
        <w:t>”</w:t>
      </w:r>
      <w:r w:rsidR="00372461" w:rsidRPr="00D15C0B">
        <w:t xml:space="preserve"> (The Brazil Notification Study)</w:t>
      </w:r>
      <w:r w:rsidR="00B9669B" w:rsidRPr="00D15C0B">
        <w:t>”</w:t>
      </w:r>
      <w:r w:rsidR="00372461" w:rsidRPr="00D15C0B">
        <w:t>,</w:t>
      </w:r>
      <w:r w:rsidR="00447FE6" w:rsidRPr="00D15C0B">
        <w:t xml:space="preserve"> </w:t>
      </w:r>
      <w:r w:rsidR="00DA7D2B" w:rsidRPr="00D15C0B">
        <w:t>addresses</w:t>
      </w:r>
      <w:r w:rsidR="00F0455C" w:rsidRPr="00D15C0B">
        <w:t xml:space="preserve"> this significant information gap</w:t>
      </w:r>
      <w:r w:rsidR="00DA7D2B" w:rsidRPr="00D15C0B">
        <w:t xml:space="preserve"> with </w:t>
      </w:r>
      <w:r w:rsidRPr="00D15C0B">
        <w:t>three</w:t>
      </w:r>
      <w:r w:rsidR="00DA7D2B" w:rsidRPr="00D15C0B">
        <w:t xml:space="preserve"> objectives.</w:t>
      </w:r>
      <w:r w:rsidR="00695FCE" w:rsidRPr="00D15C0B">
        <w:t xml:space="preserve"> </w:t>
      </w:r>
      <w:r w:rsidR="00A07C5F" w:rsidRPr="00D15C0B">
        <w:t>The first objective formally measure</w:t>
      </w:r>
      <w:r w:rsidR="00B05F9E" w:rsidRPr="00D15C0B">
        <w:t>s</w:t>
      </w:r>
      <w:r w:rsidR="00A07C5F" w:rsidRPr="00D15C0B">
        <w:t xml:space="preserve"> donor notification rates in Brazil. The second objective </w:t>
      </w:r>
      <w:r w:rsidR="00DD29D1" w:rsidRPr="00D15C0B">
        <w:t>measures</w:t>
      </w:r>
      <w:r w:rsidR="00A07C5F" w:rsidRPr="00D15C0B">
        <w:t xml:space="preserve"> HIV follow-up</w:t>
      </w:r>
      <w:r w:rsidR="006C10AF" w:rsidRPr="00D15C0B">
        <w:t xml:space="preserve"> rates and donor behavior </w:t>
      </w:r>
      <w:r w:rsidR="00D726E7" w:rsidRPr="00D15C0B">
        <w:t xml:space="preserve">in relation to </w:t>
      </w:r>
      <w:r w:rsidR="006C10AF" w:rsidRPr="00D15C0B">
        <w:t>activities</w:t>
      </w:r>
      <w:r w:rsidR="008636BD" w:rsidRPr="00D15C0B">
        <w:t>,</w:t>
      </w:r>
      <w:r w:rsidR="006C10AF" w:rsidRPr="00D15C0B">
        <w:t xml:space="preserve"> such as linkage to health care</w:t>
      </w:r>
      <w:r w:rsidR="00D726E7" w:rsidRPr="00D15C0B">
        <w:t xml:space="preserve"> resources</w:t>
      </w:r>
      <w:r w:rsidR="006C10AF" w:rsidRPr="00D15C0B">
        <w:t xml:space="preserve"> and behavioral risk reduction</w:t>
      </w:r>
      <w:r w:rsidR="00A07C5F" w:rsidRPr="00D15C0B">
        <w:t xml:space="preserve"> </w:t>
      </w:r>
      <w:r w:rsidR="00D726E7" w:rsidRPr="00D15C0B">
        <w:t xml:space="preserve">through monitoring and counseling </w:t>
      </w:r>
      <w:r w:rsidR="00A07C5F" w:rsidRPr="00D15C0B">
        <w:t xml:space="preserve">after </w:t>
      </w:r>
      <w:r w:rsidR="00D726E7" w:rsidRPr="00D15C0B">
        <w:t xml:space="preserve">donor notification. </w:t>
      </w:r>
      <w:r w:rsidR="005A0876" w:rsidRPr="00D15C0B">
        <w:t>The third objective seeks to find ways to improve the disclosure of HIV risks during donor eligibility assessment</w:t>
      </w:r>
      <w:r w:rsidR="006877DA" w:rsidRPr="00D15C0B">
        <w:t xml:space="preserve"> at the time of blood donation</w:t>
      </w:r>
      <w:r w:rsidR="005A0876" w:rsidRPr="00D15C0B">
        <w:t xml:space="preserve">.  </w:t>
      </w:r>
      <w:r w:rsidR="00CD31C4" w:rsidRPr="00D15C0B">
        <w:t xml:space="preserve">We will enroll a </w:t>
      </w:r>
      <w:r w:rsidR="00A07C5F" w:rsidRPr="00D15C0B">
        <w:t xml:space="preserve">cohort of HIV-positive donors </w:t>
      </w:r>
      <w:r w:rsidR="00D233C8" w:rsidRPr="00D15C0B">
        <w:t xml:space="preserve">to </w:t>
      </w:r>
      <w:r w:rsidR="00A07C5F" w:rsidRPr="00D15C0B">
        <w:t xml:space="preserve">assess </w:t>
      </w:r>
      <w:r w:rsidR="006C10AF" w:rsidRPr="00D15C0B">
        <w:t xml:space="preserve">these </w:t>
      </w:r>
      <w:r w:rsidR="005A0876" w:rsidRPr="00D15C0B">
        <w:t>three</w:t>
      </w:r>
      <w:r w:rsidR="006C10AF" w:rsidRPr="00D15C0B">
        <w:t xml:space="preserve"> objectives. </w:t>
      </w:r>
      <w:r w:rsidR="00A07C5F" w:rsidRPr="00D15C0B">
        <w:t xml:space="preserve">Our findings </w:t>
      </w:r>
      <w:r w:rsidR="006C10AF" w:rsidRPr="00D15C0B">
        <w:t>will</w:t>
      </w:r>
      <w:r w:rsidR="00A07C5F" w:rsidRPr="00D15C0B">
        <w:t xml:space="preserve"> yield insights into improved methods for donor </w:t>
      </w:r>
      <w:r w:rsidR="00AE12AE" w:rsidRPr="00D15C0B">
        <w:t>self-</w:t>
      </w:r>
      <w:r w:rsidR="00A07C5F" w:rsidRPr="00D15C0B">
        <w:t>selection and qualification</w:t>
      </w:r>
      <w:r w:rsidR="00AE12AE" w:rsidRPr="00D15C0B">
        <w:t xml:space="preserve"> post donation</w:t>
      </w:r>
      <w:r w:rsidR="00B9669B" w:rsidRPr="00D15C0B">
        <w:t>, which will serve to</w:t>
      </w:r>
      <w:r w:rsidR="00AE12AE" w:rsidRPr="00D15C0B">
        <w:t xml:space="preserve"> </w:t>
      </w:r>
      <w:r w:rsidR="00A07C5F" w:rsidRPr="00D15C0B">
        <w:t>decrease the frequency</w:t>
      </w:r>
      <w:r w:rsidR="00AE12AE" w:rsidRPr="00D15C0B">
        <w:t xml:space="preserve"> of</w:t>
      </w:r>
      <w:r w:rsidR="00A07C5F" w:rsidRPr="00D15C0B">
        <w:t xml:space="preserve"> higher-risk persons </w:t>
      </w:r>
      <w:r w:rsidR="00AE12AE" w:rsidRPr="00D15C0B">
        <w:t>acting as donors</w:t>
      </w:r>
      <w:r w:rsidR="006877DA" w:rsidRPr="00D15C0B">
        <w:t xml:space="preserve">. </w:t>
      </w:r>
      <w:r w:rsidR="00DA7D2B" w:rsidRPr="00D15C0B">
        <w:t>Our</w:t>
      </w:r>
      <w:r w:rsidR="00A07C5F" w:rsidRPr="00D15C0B">
        <w:t xml:space="preserve"> findings on improved methods for </w:t>
      </w:r>
      <w:r w:rsidR="00B05F9E" w:rsidRPr="00D15C0B">
        <w:t xml:space="preserve">Brazilian </w:t>
      </w:r>
      <w:r w:rsidR="00A07C5F" w:rsidRPr="00D15C0B">
        <w:t xml:space="preserve">donor notification and linkage to health care services </w:t>
      </w:r>
      <w:r w:rsidR="00EA1342" w:rsidRPr="00D15C0B">
        <w:t>may</w:t>
      </w:r>
      <w:r w:rsidR="00A07C5F" w:rsidRPr="00D15C0B">
        <w:t xml:space="preserve"> also be </w:t>
      </w:r>
      <w:r w:rsidR="00F2761D" w:rsidRPr="00D15C0B">
        <w:t>applicable</w:t>
      </w:r>
      <w:r w:rsidR="00A07C5F" w:rsidRPr="00D15C0B">
        <w:t xml:space="preserve"> to developed countries</w:t>
      </w:r>
      <w:r w:rsidR="008636BD" w:rsidRPr="00D15C0B">
        <w:t>, including</w:t>
      </w:r>
      <w:r w:rsidR="00A07C5F" w:rsidRPr="00D15C0B">
        <w:t xml:space="preserve"> the US</w:t>
      </w:r>
      <w:r w:rsidR="008636BD" w:rsidRPr="00D15C0B">
        <w:t>. Results of the Brazil Notification Study will identify how to improve</w:t>
      </w:r>
      <w:r w:rsidR="0027037E" w:rsidRPr="00D15C0B">
        <w:t xml:space="preserve"> </w:t>
      </w:r>
      <w:r w:rsidR="00A07C5F" w:rsidRPr="00D15C0B">
        <w:t xml:space="preserve">notification and counseling strategies </w:t>
      </w:r>
      <w:r w:rsidR="008636BD" w:rsidRPr="00D15C0B">
        <w:t>that</w:t>
      </w:r>
      <w:r w:rsidR="00A07C5F" w:rsidRPr="00D15C0B">
        <w:t xml:space="preserve"> increase</w:t>
      </w:r>
      <w:r w:rsidR="008636BD" w:rsidRPr="00D15C0B">
        <w:t xml:space="preserve"> the</w:t>
      </w:r>
      <w:r w:rsidR="00A07C5F" w:rsidRPr="00D15C0B">
        <w:t xml:space="preserve"> number of HIV-positive donors seeking </w:t>
      </w:r>
      <w:r w:rsidR="006877DA" w:rsidRPr="00D15C0B">
        <w:t xml:space="preserve">prompt </w:t>
      </w:r>
      <w:r w:rsidR="00A07C5F" w:rsidRPr="00D15C0B">
        <w:t>medical care</w:t>
      </w:r>
      <w:r w:rsidR="00290A70" w:rsidRPr="00D15C0B">
        <w:t xml:space="preserve">.  This might </w:t>
      </w:r>
      <w:r w:rsidR="00113891" w:rsidRPr="00D15C0B">
        <w:t xml:space="preserve">ultimately </w:t>
      </w:r>
      <w:r w:rsidR="0027037E" w:rsidRPr="00D15C0B">
        <w:t xml:space="preserve">boost </w:t>
      </w:r>
      <w:r w:rsidR="00113891" w:rsidRPr="00D15C0B">
        <w:t xml:space="preserve">strategies to prevent </w:t>
      </w:r>
      <w:r w:rsidR="008636BD" w:rsidRPr="00D15C0B">
        <w:t xml:space="preserve">secondary HIV transmission </w:t>
      </w:r>
      <w:r w:rsidR="00C531EA" w:rsidRPr="00D15C0B">
        <w:t>and reduce the risk of transfusion-transmission.</w:t>
      </w:r>
    </w:p>
    <w:p w14:paraId="0DB17A7F" w14:textId="77777777" w:rsidR="002E2BB1" w:rsidRPr="00D15C0B" w:rsidRDefault="002E2BB1" w:rsidP="00043695">
      <w:pPr>
        <w:rPr>
          <w:b/>
        </w:rPr>
      </w:pPr>
      <w:bookmarkStart w:id="3" w:name="_Toc153351582"/>
    </w:p>
    <w:p w14:paraId="12B6C437" w14:textId="77777777" w:rsidR="0034606F" w:rsidRPr="00D15C0B" w:rsidRDefault="008437B1" w:rsidP="00043695">
      <w:pPr>
        <w:rPr>
          <w:b/>
        </w:rPr>
      </w:pPr>
      <w:r w:rsidRPr="00D15C0B">
        <w:rPr>
          <w:b/>
        </w:rPr>
        <w:t>A. Justification</w:t>
      </w:r>
      <w:bookmarkEnd w:id="3"/>
    </w:p>
    <w:p w14:paraId="08922024" w14:textId="77777777" w:rsidR="008437B1" w:rsidRPr="00D15C0B" w:rsidRDefault="008437B1" w:rsidP="00043695">
      <w:pPr>
        <w:widowControl w:val="0"/>
        <w:adjustRightInd w:val="0"/>
        <w:snapToGrid w:val="0"/>
      </w:pPr>
    </w:p>
    <w:p w14:paraId="68E7B45B" w14:textId="77777777" w:rsidR="008437B1" w:rsidRPr="00D15C0B" w:rsidRDefault="008437B1" w:rsidP="00043695">
      <w:pPr>
        <w:pStyle w:val="E-mailSignature"/>
        <w:widowControl w:val="0"/>
        <w:adjustRightInd w:val="0"/>
        <w:snapToGrid w:val="0"/>
      </w:pPr>
      <w:bookmarkStart w:id="4" w:name="_Toc153351583"/>
      <w:r w:rsidRPr="00D15C0B">
        <w:rPr>
          <w:b/>
        </w:rPr>
        <w:t>A.1.</w:t>
      </w:r>
      <w:r w:rsidRPr="00D15C0B">
        <w:rPr>
          <w:b/>
        </w:rPr>
        <w:tab/>
        <w:t>Circumstances Making the Collection of Information Necessary</w:t>
      </w:r>
      <w:bookmarkEnd w:id="4"/>
    </w:p>
    <w:p w14:paraId="1BFEF881" w14:textId="77777777" w:rsidR="00E43A95" w:rsidRPr="00D15C0B" w:rsidRDefault="00E43A95" w:rsidP="00043695">
      <w:pPr>
        <w:widowControl w:val="0"/>
        <w:autoSpaceDE w:val="0"/>
        <w:autoSpaceDN w:val="0"/>
        <w:adjustRightInd w:val="0"/>
        <w:snapToGrid w:val="0"/>
      </w:pPr>
    </w:p>
    <w:p w14:paraId="773B3B04" w14:textId="4752A1FF" w:rsidR="00134643" w:rsidRPr="00D15C0B" w:rsidRDefault="008437B1" w:rsidP="007441BA">
      <w:pPr>
        <w:widowControl w:val="0"/>
        <w:autoSpaceDE w:val="0"/>
        <w:autoSpaceDN w:val="0"/>
        <w:adjustRightInd w:val="0"/>
        <w:snapToGrid w:val="0"/>
      </w:pPr>
      <w:r w:rsidRPr="00D15C0B">
        <w:tab/>
      </w:r>
      <w:r w:rsidR="007441BA" w:rsidRPr="00C657BF">
        <w:t>As noted in the Part 1 Worksheet, u</w:t>
      </w:r>
      <w:r w:rsidR="00C6762F" w:rsidRPr="00C657BF">
        <w:t xml:space="preserve">nder </w:t>
      </w:r>
      <w:hyperlink r:id="rId12" w:tooltip="Title 42 - THE PUBLIC HEALTH AND WELFARE" w:history="1">
        <w:r w:rsidR="00C6762F" w:rsidRPr="00C657BF">
          <w:rPr>
            <w:rStyle w:val="Hyperlink"/>
          </w:rPr>
          <w:t>Title 42</w:t>
        </w:r>
      </w:hyperlink>
      <w:r w:rsidR="00C6762F" w:rsidRPr="00D15C0B">
        <w:t xml:space="preserve"> › </w:t>
      </w:r>
      <w:hyperlink r:id="rId13" w:tooltip="Chapter 6A - PUBLIC HEALTH SERVICE" w:history="1">
        <w:r w:rsidR="00C6762F" w:rsidRPr="00D15C0B">
          <w:rPr>
            <w:rStyle w:val="Hyperlink"/>
          </w:rPr>
          <w:t>Chapter 6A</w:t>
        </w:r>
      </w:hyperlink>
      <w:r w:rsidR="00C6762F" w:rsidRPr="00D15C0B">
        <w:t xml:space="preserve"> › </w:t>
      </w:r>
      <w:hyperlink r:id="rId14" w:tooltip="Subchapter III - NATIONAL RESEARCH INSTITUTES" w:history="1">
        <w:r w:rsidR="00C6762F" w:rsidRPr="00D15C0B">
          <w:rPr>
            <w:rStyle w:val="Hyperlink"/>
          </w:rPr>
          <w:t>Subchapter III</w:t>
        </w:r>
      </w:hyperlink>
      <w:r w:rsidR="00C6762F" w:rsidRPr="00D15C0B">
        <w:t xml:space="preserve"> › </w:t>
      </w:r>
      <w:hyperlink r:id="rId15" w:tooltip="Part C - Specific Provisions Respecting National Research Institutes" w:history="1">
        <w:r w:rsidR="00C6762F" w:rsidRPr="00D15C0B">
          <w:rPr>
            <w:rStyle w:val="Hyperlink"/>
          </w:rPr>
          <w:t>Part C</w:t>
        </w:r>
      </w:hyperlink>
      <w:r w:rsidR="00C6762F" w:rsidRPr="00D15C0B">
        <w:t xml:space="preserve"> › </w:t>
      </w:r>
      <w:hyperlink r:id="rId16" w:tooltip="Subpart 2 - national heart, lung, and blood institute" w:history="1">
        <w:r w:rsidR="00C6762F" w:rsidRPr="00D15C0B">
          <w:rPr>
            <w:rStyle w:val="Hyperlink"/>
          </w:rPr>
          <w:t>Subpart 2</w:t>
        </w:r>
      </w:hyperlink>
      <w:r w:rsidR="00C6762F" w:rsidRPr="00D15C0B">
        <w:t xml:space="preserve"> › § 285b–1 the Director of the National Heart, </w:t>
      </w:r>
      <w:r w:rsidR="00095A03" w:rsidRPr="00D15C0B">
        <w:t xml:space="preserve">Lung and </w:t>
      </w:r>
      <w:r w:rsidR="00C6762F" w:rsidRPr="00D15C0B">
        <w:t xml:space="preserve">Blood Institute </w:t>
      </w:r>
      <w:r w:rsidR="00095A03" w:rsidRPr="00D15C0B">
        <w:t xml:space="preserve">(NHLBI) </w:t>
      </w:r>
      <w:r w:rsidR="00C6762F" w:rsidRPr="00D15C0B">
        <w:t xml:space="preserve">shall conduct and support programs for the prevention and control of heart, blood vessel, lung, and blood diseases. Such programs shall include community-based and population-based programs carried out in cooperation with other Federal agencies, with public health agencies of State or local governments, with nonprofit private entities that are community-based health agencies, or with other appropriate public or nonprofit private entities. The proposed study, </w:t>
      </w:r>
      <w:r w:rsidR="003524E3" w:rsidRPr="00D15C0B">
        <w:t>“</w:t>
      </w:r>
      <w:r w:rsidR="00134643" w:rsidRPr="00D15C0B">
        <w:t>The effectiveness of donor notification, HIV counseling, and</w:t>
      </w:r>
      <w:r w:rsidR="00E74623" w:rsidRPr="00D15C0B">
        <w:t xml:space="preserve"> </w:t>
      </w:r>
      <w:r w:rsidR="00134643" w:rsidRPr="00D15C0B">
        <w:t>linkage of HIV positive donors to health care in Brazil</w:t>
      </w:r>
      <w:r w:rsidR="00C6762F" w:rsidRPr="00D15C0B">
        <w:t>,</w:t>
      </w:r>
      <w:r w:rsidR="003524E3" w:rsidRPr="00D15C0B">
        <w:t>”</w:t>
      </w:r>
      <w:r w:rsidR="00C6762F" w:rsidRPr="00D15C0B">
        <w:t xml:space="preserve"> </w:t>
      </w:r>
      <w:r w:rsidR="000E0EF8" w:rsidRPr="00D15C0B">
        <w:t>(</w:t>
      </w:r>
      <w:r w:rsidR="000E0EF8" w:rsidRPr="00D15C0B">
        <w:rPr>
          <w:color w:val="000000" w:themeColor="text1"/>
        </w:rPr>
        <w:t>REDS-III HIV case surveillance risk factor study</w:t>
      </w:r>
      <w:r w:rsidR="000E0EF8" w:rsidRPr="00D15C0B">
        <w:t xml:space="preserve">) </w:t>
      </w:r>
      <w:r w:rsidR="00C6762F" w:rsidRPr="00D15C0B">
        <w:t xml:space="preserve">fits within the NHLBI’s research agenda as described here and in the other supporting documents.  </w:t>
      </w:r>
    </w:p>
    <w:p w14:paraId="20D852A0" w14:textId="2963FAFA" w:rsidR="00B610D8" w:rsidRPr="00D15C0B" w:rsidRDefault="00A8191A" w:rsidP="00F95908">
      <w:pPr>
        <w:widowControl w:val="0"/>
        <w:adjustRightInd w:val="0"/>
        <w:snapToGrid w:val="0"/>
        <w:ind w:firstLine="720"/>
      </w:pPr>
      <w:r w:rsidRPr="00D15C0B">
        <w:t xml:space="preserve">In the US </w:t>
      </w:r>
      <w:r w:rsidR="00B9669B" w:rsidRPr="00D15C0B">
        <w:t>and</w:t>
      </w:r>
      <w:r w:rsidRPr="00D15C0B">
        <w:t xml:space="preserve"> in Brazil, t</w:t>
      </w:r>
      <w:r w:rsidR="00134643" w:rsidRPr="00D15C0B">
        <w:t xml:space="preserve">he safety of the blood supply </w:t>
      </w:r>
      <w:proofErr w:type="gramStart"/>
      <w:r w:rsidR="00DC0451" w:rsidRPr="00D15C0B">
        <w:t xml:space="preserve">has </w:t>
      </w:r>
      <w:r w:rsidR="00290A70" w:rsidRPr="00D15C0B">
        <w:t>been achieved</w:t>
      </w:r>
      <w:proofErr w:type="gramEnd"/>
      <w:r w:rsidR="00134643" w:rsidRPr="00D15C0B">
        <w:t xml:space="preserve"> by a </w:t>
      </w:r>
      <w:r w:rsidR="00134643" w:rsidRPr="00D15C0B">
        <w:lastRenderedPageBreak/>
        <w:t xml:space="preserve">combination of donor self-deferral, the donor selection process, testing for known pathogens, and thoughtful management of donors and blood component inventories by blood centers. None of these </w:t>
      </w:r>
      <w:proofErr w:type="gramStart"/>
      <w:r w:rsidR="00134643" w:rsidRPr="00D15C0B">
        <w:t>are</w:t>
      </w:r>
      <w:proofErr w:type="gramEnd"/>
      <w:r w:rsidR="00134643" w:rsidRPr="00D15C0B">
        <w:t xml:space="preserve"> foolproof on their own. However, together they provide layers of safety that protect the blood supply. Donor selection ultimately relies on a relationship of trust between blood donors and blood centers</w:t>
      </w:r>
      <w:r w:rsidR="006877DA" w:rsidRPr="00D15C0B">
        <w:t>. T</w:t>
      </w:r>
      <w:r w:rsidR="00134643" w:rsidRPr="00D15C0B">
        <w:t xml:space="preserve">he collection of donations from donors with undisclosed risk factors may result in increased risk of transfusion-transmitted infection due to the presence of window period infections in which </w:t>
      </w:r>
      <w:r w:rsidR="00766224" w:rsidRPr="00D15C0B">
        <w:t xml:space="preserve">these </w:t>
      </w:r>
      <w:r w:rsidR="00134643" w:rsidRPr="00D15C0B">
        <w:t xml:space="preserve">newly acquired infections </w:t>
      </w:r>
      <w:proofErr w:type="gramStart"/>
      <w:r w:rsidR="00134643" w:rsidRPr="00D15C0B">
        <w:t>may not be detected</w:t>
      </w:r>
      <w:proofErr w:type="gramEnd"/>
      <w:r w:rsidR="00766224" w:rsidRPr="00D15C0B">
        <w:t xml:space="preserve"> by available testing methods</w:t>
      </w:r>
      <w:r w:rsidR="00CB544B" w:rsidRPr="00D15C0B">
        <w:t>.</w:t>
      </w:r>
      <w:r w:rsidR="00BE2C64" w:rsidRPr="00D15C0B">
        <w:t xml:space="preserve"> </w:t>
      </w:r>
      <w:r w:rsidR="00B9669B" w:rsidRPr="00D15C0B">
        <w:t>Further, e</w:t>
      </w:r>
      <w:r w:rsidR="00BE2C64" w:rsidRPr="00D15C0B">
        <w:t>ven with the adoption of N</w:t>
      </w:r>
      <w:r w:rsidR="00F020B5" w:rsidRPr="00D15C0B">
        <w:t xml:space="preserve">ucleic </w:t>
      </w:r>
      <w:r w:rsidR="00BE2C64" w:rsidRPr="00D15C0B">
        <w:t>A</w:t>
      </w:r>
      <w:r w:rsidR="00F020B5" w:rsidRPr="00D15C0B">
        <w:t xml:space="preserve">cid </w:t>
      </w:r>
      <w:r w:rsidR="00BE2C64" w:rsidRPr="00D15C0B">
        <w:t>T</w:t>
      </w:r>
      <w:r w:rsidR="00F020B5" w:rsidRPr="00D15C0B">
        <w:t>esting</w:t>
      </w:r>
      <w:r w:rsidR="00BE2C64" w:rsidRPr="00D15C0B">
        <w:t xml:space="preserve"> (</w:t>
      </w:r>
      <w:r w:rsidR="00F020B5" w:rsidRPr="00D15C0B">
        <w:t>NAT)</w:t>
      </w:r>
      <w:r w:rsidR="00705984" w:rsidRPr="00D15C0B">
        <w:t xml:space="preserve"> for HIV</w:t>
      </w:r>
      <w:r w:rsidR="00C64B4C" w:rsidRPr="00D15C0B">
        <w:t>;</w:t>
      </w:r>
      <w:r w:rsidR="00705984" w:rsidRPr="00D15C0B">
        <w:t xml:space="preserve"> </w:t>
      </w:r>
      <w:r w:rsidR="00BE2C64" w:rsidRPr="00D15C0B">
        <w:t>a small risk of HIV transmission remains</w:t>
      </w:r>
      <w:r w:rsidR="00C64B4C" w:rsidRPr="00D15C0B">
        <w:t>, due to low-level viremia</w:t>
      </w:r>
      <w:r w:rsidR="00702E68" w:rsidRPr="00D15C0B">
        <w:t xml:space="preserve"> during the testing window period capable of causing transfusion-transmission</w:t>
      </w:r>
      <w:r w:rsidR="00F020B5" w:rsidRPr="00D15C0B">
        <w:t>,</w:t>
      </w:r>
      <w:r w:rsidR="00702E68" w:rsidRPr="00D15C0B">
        <w:t xml:space="preserve"> and the possibility of mutated virus strains that could be missed by current testing technologies</w:t>
      </w:r>
      <w:proofErr w:type="gramStart"/>
      <w:r w:rsidR="00702E68" w:rsidRPr="00D15C0B">
        <w:t>,</w:t>
      </w:r>
      <w:r w:rsidR="00F95908">
        <w:t xml:space="preserve"> </w:t>
      </w:r>
      <w:r w:rsidR="00702E68" w:rsidRPr="00D15C0B">
        <w:t>including</w:t>
      </w:r>
      <w:proofErr w:type="gramEnd"/>
      <w:r w:rsidR="00702E68" w:rsidRPr="00D15C0B">
        <w:t xml:space="preserve"> recombinant subtypes</w:t>
      </w:r>
      <w:r w:rsidR="00D15C0B">
        <w:t xml:space="preserve"> </w:t>
      </w:r>
      <w:r w:rsidR="00BE2C64" w:rsidRPr="00D15C0B">
        <w:t>(18-19).</w:t>
      </w:r>
    </w:p>
    <w:p w14:paraId="51295B3B" w14:textId="7BC0EF38" w:rsidR="00BA7A6A" w:rsidRPr="00D15C0B" w:rsidRDefault="00134643" w:rsidP="00F85DEF">
      <w:pPr>
        <w:widowControl w:val="0"/>
        <w:adjustRightInd w:val="0"/>
        <w:snapToGrid w:val="0"/>
        <w:ind w:firstLine="720"/>
      </w:pPr>
      <w:r w:rsidRPr="00D15C0B">
        <w:t>When donors test positive for infections</w:t>
      </w:r>
      <w:r w:rsidR="006877DA" w:rsidRPr="00D15C0B">
        <w:t>,</w:t>
      </w:r>
      <w:r w:rsidRPr="00D15C0B">
        <w:t xml:space="preserve"> a series of follow-up activities are important including informing the donor of the results.</w:t>
      </w:r>
      <w:r w:rsidR="00D224C8" w:rsidRPr="00D15C0B">
        <w:t xml:space="preserve"> </w:t>
      </w:r>
      <w:r w:rsidR="00CA0BC1" w:rsidRPr="00D15C0B">
        <w:t>I</w:t>
      </w:r>
      <w:r w:rsidR="00113AC7" w:rsidRPr="00D15C0B">
        <w:t>n the United States</w:t>
      </w:r>
      <w:r w:rsidR="00E74623" w:rsidRPr="00D15C0B">
        <w:t>,</w:t>
      </w:r>
      <w:r w:rsidR="00113AC7" w:rsidRPr="00D15C0B">
        <w:t xml:space="preserve"> for </w:t>
      </w:r>
      <w:r w:rsidR="00D224C8" w:rsidRPr="00D15C0B">
        <w:t xml:space="preserve">blood donors with positive </w:t>
      </w:r>
      <w:r w:rsidR="006877DA" w:rsidRPr="00D15C0B">
        <w:t>and/</w:t>
      </w:r>
      <w:r w:rsidR="00D224C8" w:rsidRPr="00D15C0B">
        <w:t xml:space="preserve">or inconclusive markers for HTLV, Syphilis, Hepatitis B </w:t>
      </w:r>
      <w:r w:rsidR="00113AC7" w:rsidRPr="00D15C0B">
        <w:t xml:space="preserve">and C, Chagas Disease and other </w:t>
      </w:r>
      <w:r w:rsidR="00CA0BC1" w:rsidRPr="00D15C0B">
        <w:t>m</w:t>
      </w:r>
      <w:r w:rsidR="00113AC7" w:rsidRPr="00D15C0B">
        <w:t>arkers, t</w:t>
      </w:r>
      <w:r w:rsidR="00D224C8" w:rsidRPr="00D15C0B">
        <w:t>he blood bank sends a letter to the blood donor wi</w:t>
      </w:r>
      <w:r w:rsidR="00113AC7" w:rsidRPr="00D15C0B">
        <w:t>th the test results information</w:t>
      </w:r>
      <w:r w:rsidR="00B11A94" w:rsidRPr="00D15C0B">
        <w:t xml:space="preserve">. The letter </w:t>
      </w:r>
      <w:r w:rsidR="00113AC7" w:rsidRPr="00D15C0B">
        <w:t xml:space="preserve">provides donors with blood center contact information </w:t>
      </w:r>
      <w:r w:rsidR="00D224C8" w:rsidRPr="00D15C0B">
        <w:t xml:space="preserve">in case </w:t>
      </w:r>
      <w:r w:rsidR="00113AC7" w:rsidRPr="00D15C0B">
        <w:t>the donor</w:t>
      </w:r>
      <w:r w:rsidR="00D224C8" w:rsidRPr="00D15C0B">
        <w:t xml:space="preserve"> needs further information</w:t>
      </w:r>
      <w:r w:rsidR="00113AC7" w:rsidRPr="00D15C0B">
        <w:t xml:space="preserve">; the letter also </w:t>
      </w:r>
      <w:r w:rsidR="00E74623" w:rsidRPr="00D15C0B">
        <w:t xml:space="preserve">suggests that </w:t>
      </w:r>
      <w:r w:rsidR="00113AC7" w:rsidRPr="00D15C0B">
        <w:t xml:space="preserve">the donor make an appointment with </w:t>
      </w:r>
      <w:r w:rsidR="00D224C8" w:rsidRPr="00D15C0B">
        <w:t xml:space="preserve">their physician for further analyses and treatment if necessary.  </w:t>
      </w:r>
      <w:r w:rsidR="00113AC7" w:rsidRPr="00D15C0B">
        <w:t>T</w:t>
      </w:r>
      <w:r w:rsidR="00D224C8" w:rsidRPr="00D15C0B">
        <w:t>hose donors with positive or inconclusive marker</w:t>
      </w:r>
      <w:r w:rsidR="00FE4B87" w:rsidRPr="00D15C0B">
        <w:t>s</w:t>
      </w:r>
      <w:r w:rsidR="00113AC7" w:rsidRPr="00D15C0B">
        <w:t xml:space="preserve"> for HIV</w:t>
      </w:r>
      <w:r w:rsidR="00D224C8" w:rsidRPr="00D15C0B">
        <w:t xml:space="preserve"> </w:t>
      </w:r>
      <w:proofErr w:type="gramStart"/>
      <w:r w:rsidR="00D224C8" w:rsidRPr="00D15C0B">
        <w:t>are invited</w:t>
      </w:r>
      <w:proofErr w:type="gramEnd"/>
      <w:r w:rsidR="00D224C8" w:rsidRPr="00D15C0B">
        <w:t xml:space="preserve"> to return to the blood bank for</w:t>
      </w:r>
      <w:r w:rsidR="00022C96" w:rsidRPr="00D15C0B">
        <w:t xml:space="preserve"> </w:t>
      </w:r>
      <w:r w:rsidR="00D224C8" w:rsidRPr="00D15C0B">
        <w:t>in</w:t>
      </w:r>
      <w:r w:rsidR="00113AC7" w:rsidRPr="00D15C0B">
        <w:t>-</w:t>
      </w:r>
      <w:r w:rsidR="00D224C8" w:rsidRPr="00D15C0B">
        <w:t xml:space="preserve">person counseling and notification with a trained physician. </w:t>
      </w:r>
      <w:r w:rsidR="00BA7A6A" w:rsidRPr="00D15C0B">
        <w:t>Unfortunately, blood banks do</w:t>
      </w:r>
      <w:r w:rsidR="00E74623" w:rsidRPr="00D15C0B">
        <w:t xml:space="preserve"> </w:t>
      </w:r>
      <w:r w:rsidR="00022C96" w:rsidRPr="00D15C0B">
        <w:t>n</w:t>
      </w:r>
      <w:r w:rsidR="00E74623" w:rsidRPr="00D15C0B">
        <w:t>o</w:t>
      </w:r>
      <w:r w:rsidR="00022C96" w:rsidRPr="00D15C0B">
        <w:t xml:space="preserve">t </w:t>
      </w:r>
      <w:r w:rsidR="00D224C8" w:rsidRPr="00D15C0B">
        <w:t>follow</w:t>
      </w:r>
      <w:r w:rsidR="00CA0BC1" w:rsidRPr="00D15C0B">
        <w:t xml:space="preserve">-up </w:t>
      </w:r>
      <w:r w:rsidR="00BA7A6A" w:rsidRPr="00D15C0B">
        <w:t xml:space="preserve">with </w:t>
      </w:r>
      <w:r w:rsidR="00CA0BC1" w:rsidRPr="00D15C0B">
        <w:t>those donors who do</w:t>
      </w:r>
      <w:r w:rsidR="00E74623" w:rsidRPr="00D15C0B">
        <w:t xml:space="preserve"> </w:t>
      </w:r>
      <w:r w:rsidR="00CA0BC1" w:rsidRPr="00D15C0B">
        <w:t>n</w:t>
      </w:r>
      <w:r w:rsidR="00E74623" w:rsidRPr="00D15C0B">
        <w:t>o</w:t>
      </w:r>
      <w:r w:rsidR="00CA0BC1" w:rsidRPr="00D15C0B">
        <w:t xml:space="preserve">t reach out to the blood center after </w:t>
      </w:r>
      <w:r w:rsidR="00BA7A6A" w:rsidRPr="00D15C0B">
        <w:t>they receive their letter.</w:t>
      </w:r>
      <w:r w:rsidR="00CA0BC1" w:rsidRPr="00D15C0B">
        <w:t xml:space="preserve"> </w:t>
      </w:r>
    </w:p>
    <w:p w14:paraId="28DC23BC" w14:textId="285C812E" w:rsidR="00473DCA" w:rsidRPr="00D15C0B" w:rsidRDefault="000B4922" w:rsidP="00F95908">
      <w:pPr>
        <w:widowControl w:val="0"/>
        <w:adjustRightInd w:val="0"/>
        <w:snapToGrid w:val="0"/>
        <w:ind w:firstLine="720"/>
      </w:pPr>
      <w:r w:rsidRPr="00D15C0B">
        <w:t xml:space="preserve">The donor notification </w:t>
      </w:r>
      <w:r w:rsidR="000B1C7C" w:rsidRPr="00D15C0B">
        <w:t>procedures used in Brazil</w:t>
      </w:r>
      <w:r w:rsidRPr="00D15C0B">
        <w:t xml:space="preserve"> are similar </w:t>
      </w:r>
      <w:r w:rsidR="000B1C7C" w:rsidRPr="00D15C0B">
        <w:t xml:space="preserve">to those in the US. </w:t>
      </w:r>
      <w:r w:rsidRPr="00D15C0B">
        <w:t xml:space="preserve"> </w:t>
      </w:r>
      <w:r w:rsidR="00BA7A6A" w:rsidRPr="00D15C0B">
        <w:t>Brazilian blood bank regulations establish that blood donors with positive or inconclusive testing markers for HIV, hepatitis B or C, Syphilis, Chagas diseases and HTLV must come back to the blood bank for confirmatory testing and referral to specific health services to confirm the diagnosis and</w:t>
      </w:r>
      <w:r w:rsidR="00913B7C" w:rsidRPr="00D15C0B">
        <w:t xml:space="preserve"> subsequent</w:t>
      </w:r>
      <w:r w:rsidR="00BA7A6A" w:rsidRPr="00D15C0B">
        <w:t xml:space="preserve"> monitoring and treatment. Specifically, </w:t>
      </w:r>
      <w:r w:rsidR="00913B7C" w:rsidRPr="00D15C0B">
        <w:t>each</w:t>
      </w:r>
      <w:r w:rsidR="00BA7A6A" w:rsidRPr="00D15C0B">
        <w:t xml:space="preserve"> blood donor with any positive or inconclusive serologic marker</w:t>
      </w:r>
      <w:r w:rsidR="00913B7C" w:rsidRPr="00D15C0B">
        <w:t>s</w:t>
      </w:r>
      <w:r w:rsidR="00BA7A6A" w:rsidRPr="00D15C0B">
        <w:t xml:space="preserve"> receive</w:t>
      </w:r>
      <w:r w:rsidR="00913B7C" w:rsidRPr="00D15C0B">
        <w:t>s</w:t>
      </w:r>
      <w:r w:rsidR="00BA7A6A" w:rsidRPr="00D15C0B">
        <w:t xml:space="preserve"> a letter asking him/her to return to the blood bank for further counseling. That letter does not give any</w:t>
      </w:r>
      <w:r w:rsidR="00913B7C" w:rsidRPr="00D15C0B">
        <w:t xml:space="preserve"> </w:t>
      </w:r>
      <w:r w:rsidR="00BA7A6A" w:rsidRPr="00D15C0B">
        <w:t xml:space="preserve">information </w:t>
      </w:r>
      <w:r w:rsidRPr="00D15C0B">
        <w:t>about</w:t>
      </w:r>
      <w:r w:rsidR="00BA7A6A" w:rsidRPr="00D15C0B">
        <w:t xml:space="preserve"> test result</w:t>
      </w:r>
      <w:r w:rsidRPr="00D15C0B">
        <w:t>s,</w:t>
      </w:r>
      <w:r w:rsidR="00BA7A6A" w:rsidRPr="00D15C0B">
        <w:t xml:space="preserve"> but </w:t>
      </w:r>
      <w:r w:rsidRPr="00D15C0B">
        <w:t xml:space="preserve">just </w:t>
      </w:r>
      <w:r w:rsidR="00BA7A6A" w:rsidRPr="00D15C0B">
        <w:t xml:space="preserve">asks the donor to return as soon as possible. </w:t>
      </w:r>
    </w:p>
    <w:p w14:paraId="152BECD5" w14:textId="70D3337C" w:rsidR="00BA7A6A" w:rsidRPr="00D15C0B" w:rsidRDefault="00BA7A6A" w:rsidP="00F85DEF">
      <w:pPr>
        <w:widowControl w:val="0"/>
        <w:adjustRightInd w:val="0"/>
        <w:snapToGrid w:val="0"/>
        <w:ind w:firstLine="720"/>
      </w:pPr>
      <w:r w:rsidRPr="00D15C0B">
        <w:t>HIV counseling and testing (HCT) is the entrée to care for infected persons</w:t>
      </w:r>
      <w:r w:rsidR="00473DCA" w:rsidRPr="00D15C0B">
        <w:t xml:space="preserve"> in Brazil</w:t>
      </w:r>
      <w:r w:rsidRPr="00D15C0B">
        <w:t xml:space="preserve"> and when successful</w:t>
      </w:r>
      <w:r w:rsidR="00F020B5" w:rsidRPr="00D15C0B">
        <w:t>, provides</w:t>
      </w:r>
      <w:r w:rsidRPr="00D15C0B">
        <w:t xml:space="preserve"> direct and indirect prevention benefits. However, before a blood donor </w:t>
      </w:r>
      <w:proofErr w:type="gramStart"/>
      <w:r w:rsidRPr="00D15C0B">
        <w:t>c</w:t>
      </w:r>
      <w:r w:rsidR="00473DCA" w:rsidRPr="00D15C0B">
        <w:t>an</w:t>
      </w:r>
      <w:r w:rsidR="0000246A" w:rsidRPr="00D15C0B">
        <w:t xml:space="preserve"> </w:t>
      </w:r>
      <w:r w:rsidRPr="00D15C0B">
        <w:t xml:space="preserve">be </w:t>
      </w:r>
      <w:r w:rsidR="0000246A" w:rsidRPr="00D15C0B">
        <w:t>referred</w:t>
      </w:r>
      <w:proofErr w:type="gramEnd"/>
      <w:r w:rsidR="00473DCA" w:rsidRPr="00D15C0B">
        <w:t xml:space="preserve"> to a</w:t>
      </w:r>
      <w:r w:rsidR="00D63471" w:rsidRPr="00D15C0B">
        <w:t xml:space="preserve"> HCT</w:t>
      </w:r>
      <w:r w:rsidRPr="00D15C0B">
        <w:t xml:space="preserve">, a donor must come back to the blood center for notification and counseling related to the donation testing results. Approximately 60% of HIV-positive donors in Brazil </w:t>
      </w:r>
      <w:r w:rsidR="004075B9" w:rsidRPr="00D15C0B">
        <w:t>return for notification</w:t>
      </w:r>
      <w:r w:rsidRPr="00D15C0B">
        <w:t xml:space="preserve"> (2)</w:t>
      </w:r>
      <w:r w:rsidR="004075B9" w:rsidRPr="00D15C0B">
        <w:t>, but</w:t>
      </w:r>
      <w:r w:rsidRPr="00D15C0B">
        <w:t xml:space="preserve"> there are no published data showing </w:t>
      </w:r>
      <w:r w:rsidR="004075B9" w:rsidRPr="00D15C0B">
        <w:t>how many of those donors actually</w:t>
      </w:r>
      <w:r w:rsidRPr="00D15C0B">
        <w:t xml:space="preserve"> attend the HCT centers for follow up care and treatment.</w:t>
      </w:r>
      <w:r w:rsidR="002F00DF" w:rsidRPr="00D15C0B">
        <w:t xml:space="preserve">  </w:t>
      </w:r>
      <w:r w:rsidR="004075B9" w:rsidRPr="00D15C0B">
        <w:t xml:space="preserve">In addition, the </w:t>
      </w:r>
      <w:r w:rsidRPr="00D15C0B">
        <w:t xml:space="preserve">40% </w:t>
      </w:r>
      <w:r w:rsidR="000B4922" w:rsidRPr="00D15C0B">
        <w:t xml:space="preserve">who </w:t>
      </w:r>
      <w:r w:rsidRPr="00D15C0B">
        <w:t xml:space="preserve">do not return may unknowingly contribute to the transmission of HIV and other infections in the broader community.  </w:t>
      </w:r>
    </w:p>
    <w:p w14:paraId="51D2CAB8" w14:textId="1C3900A9" w:rsidR="00AB29F5" w:rsidRPr="00D15C0B" w:rsidRDefault="00F8430A" w:rsidP="008A6EF3">
      <w:pPr>
        <w:widowControl w:val="0"/>
        <w:adjustRightInd w:val="0"/>
        <w:snapToGrid w:val="0"/>
        <w:ind w:firstLine="720"/>
      </w:pPr>
      <w:r w:rsidRPr="00D15C0B">
        <w:t xml:space="preserve"> HIV positive persons may </w:t>
      </w:r>
      <w:r w:rsidR="00AB29F5" w:rsidRPr="00D15C0B">
        <w:t xml:space="preserve">reduce their risk of transmitting the virus to others through behavior change following </w:t>
      </w:r>
      <w:r w:rsidRPr="00D15C0B">
        <w:t>HCT,</w:t>
      </w:r>
      <w:r w:rsidR="00AB29F5" w:rsidRPr="00D15C0B">
        <w:t xml:space="preserve"> </w:t>
      </w:r>
      <w:r w:rsidR="00B955B4" w:rsidRPr="00D15C0B">
        <w:t>viral load suppression by antiretroviral therapy (ART), a</w:t>
      </w:r>
      <w:r w:rsidR="00AB29F5" w:rsidRPr="00D15C0B">
        <w:t xml:space="preserve">nd referrals to other preventive and social services (3-7). </w:t>
      </w:r>
      <w:r w:rsidR="006877DA" w:rsidRPr="00D15C0B">
        <w:t>T</w:t>
      </w:r>
      <w:r w:rsidR="00AB29F5" w:rsidRPr="00D15C0B">
        <w:t xml:space="preserve">he evidence of the impact of HIV counseling and testing on subsequent high-risk sexual behavior </w:t>
      </w:r>
      <w:proofErr w:type="gramStart"/>
      <w:r w:rsidR="00AB29F5" w:rsidRPr="00D15C0B">
        <w:t>has been mixed</w:t>
      </w:r>
      <w:proofErr w:type="gramEnd"/>
      <w:r w:rsidR="00AB29F5" w:rsidRPr="00D15C0B">
        <w:t>. While some studies have found significant declines in the reporting of multiple sex partners and unprotected sex, other studies have found limited or negative effects of testing on behavior change (8, 9).</w:t>
      </w:r>
    </w:p>
    <w:p w14:paraId="73DFC5AF" w14:textId="00081BBB" w:rsidR="00315774" w:rsidRPr="00D15C0B" w:rsidRDefault="008A6EF3" w:rsidP="00043695">
      <w:pPr>
        <w:widowControl w:val="0"/>
        <w:tabs>
          <w:tab w:val="left" w:pos="720"/>
          <w:tab w:val="left" w:pos="6732"/>
        </w:tabs>
        <w:adjustRightInd w:val="0"/>
        <w:snapToGrid w:val="0"/>
      </w:pPr>
      <w:r w:rsidRPr="00D15C0B">
        <w:lastRenderedPageBreak/>
        <w:tab/>
      </w:r>
      <w:r w:rsidR="00F8430A" w:rsidRPr="00D15C0B">
        <w:t xml:space="preserve">This proposed </w:t>
      </w:r>
      <w:r w:rsidR="00473DCA" w:rsidRPr="00D15C0B">
        <w:t>Brazil Notification Study</w:t>
      </w:r>
      <w:r w:rsidR="00F8430A" w:rsidRPr="00D15C0B">
        <w:t xml:space="preserve"> seeks to gather formal detailed data about the donor notification </w:t>
      </w:r>
      <w:r w:rsidR="00D57627" w:rsidRPr="00D15C0B">
        <w:t>process and</w:t>
      </w:r>
      <w:r w:rsidR="00F8430A" w:rsidRPr="00D15C0B">
        <w:t xml:space="preserve"> the consequences of the notification </w:t>
      </w:r>
      <w:r w:rsidR="00D57627" w:rsidRPr="00D15C0B">
        <w:t xml:space="preserve">and post-notification </w:t>
      </w:r>
      <w:r w:rsidR="00F8430A" w:rsidRPr="00D15C0B">
        <w:t>process</w:t>
      </w:r>
      <w:r w:rsidR="00D57627" w:rsidRPr="00D15C0B">
        <w:t>es</w:t>
      </w:r>
      <w:r w:rsidR="00F8430A" w:rsidRPr="00D15C0B">
        <w:t xml:space="preserve"> on </w:t>
      </w:r>
      <w:r w:rsidR="005A0876" w:rsidRPr="00D15C0B">
        <w:t xml:space="preserve">HIV positive </w:t>
      </w:r>
      <w:r w:rsidR="00F8430A" w:rsidRPr="00D15C0B">
        <w:t xml:space="preserve">blood donor behavior. </w:t>
      </w:r>
      <w:r w:rsidR="00D57627" w:rsidRPr="00D15C0B">
        <w:t xml:space="preserve">The findings from this project will </w:t>
      </w:r>
      <w:r w:rsidR="00473DCA" w:rsidRPr="00D15C0B">
        <w:t>enhance</w:t>
      </w:r>
      <w:r w:rsidR="00D57627" w:rsidRPr="00D15C0B">
        <w:t xml:space="preserve"> notification of blood donors about infectious disease markers</w:t>
      </w:r>
      <w:r w:rsidR="00290A70" w:rsidRPr="00D15C0B">
        <w:t>.</w:t>
      </w:r>
      <w:bookmarkStart w:id="5" w:name="_Toc153351585"/>
    </w:p>
    <w:p w14:paraId="751FC4BE" w14:textId="77777777" w:rsidR="00315774" w:rsidRPr="00D15C0B" w:rsidRDefault="00315774" w:rsidP="00043695">
      <w:pPr>
        <w:widowControl w:val="0"/>
        <w:tabs>
          <w:tab w:val="left" w:pos="720"/>
          <w:tab w:val="left" w:pos="6732"/>
        </w:tabs>
        <w:adjustRightInd w:val="0"/>
        <w:snapToGrid w:val="0"/>
      </w:pPr>
    </w:p>
    <w:p w14:paraId="235791B8" w14:textId="6AAFCB86" w:rsidR="008437B1" w:rsidRPr="00D15C0B" w:rsidRDefault="008437B1" w:rsidP="00043695">
      <w:pPr>
        <w:widowControl w:val="0"/>
        <w:tabs>
          <w:tab w:val="left" w:pos="720"/>
          <w:tab w:val="left" w:pos="6732"/>
        </w:tabs>
        <w:adjustRightInd w:val="0"/>
        <w:snapToGrid w:val="0"/>
        <w:rPr>
          <w:b/>
        </w:rPr>
      </w:pPr>
      <w:r w:rsidRPr="00D15C0B">
        <w:rPr>
          <w:b/>
        </w:rPr>
        <w:t xml:space="preserve">A.2. Purpose and </w:t>
      </w:r>
      <w:r w:rsidR="0056633F" w:rsidRPr="00D15C0B">
        <w:rPr>
          <w:b/>
        </w:rPr>
        <w:t>U</w:t>
      </w:r>
      <w:r w:rsidRPr="00D15C0B">
        <w:rPr>
          <w:b/>
        </w:rPr>
        <w:t xml:space="preserve">se of the </w:t>
      </w:r>
      <w:r w:rsidR="0056633F" w:rsidRPr="00D15C0B">
        <w:rPr>
          <w:b/>
        </w:rPr>
        <w:t>I</w:t>
      </w:r>
      <w:r w:rsidRPr="00D15C0B">
        <w:rPr>
          <w:b/>
        </w:rPr>
        <w:t>nformation</w:t>
      </w:r>
      <w:bookmarkEnd w:id="5"/>
    </w:p>
    <w:p w14:paraId="717E0021" w14:textId="77777777" w:rsidR="00E43A95" w:rsidRPr="00D15C0B" w:rsidRDefault="00E43A95" w:rsidP="00043695">
      <w:pPr>
        <w:widowControl w:val="0"/>
        <w:adjustRightInd w:val="0"/>
        <w:snapToGrid w:val="0"/>
        <w:ind w:left="90" w:firstLine="630"/>
      </w:pPr>
    </w:p>
    <w:p w14:paraId="0B5188B1" w14:textId="50B9CF87" w:rsidR="00250176" w:rsidRPr="00D15C0B" w:rsidRDefault="00792F7E" w:rsidP="003F4E0E">
      <w:pPr>
        <w:widowControl w:val="0"/>
        <w:adjustRightInd w:val="0"/>
        <w:snapToGrid w:val="0"/>
        <w:ind w:firstLine="720"/>
      </w:pPr>
      <w:r w:rsidRPr="00D15C0B">
        <w:tab/>
      </w:r>
      <w:r w:rsidR="000B4922" w:rsidRPr="00D15C0B">
        <w:t>Since 1989, the NHLBI-sponsored REDS program as well as its second phase, REDS-II, and the current REDS-III, have conducted epidemiologic, laboratory and survey research in the field of blood safety. The goal of the REDS-III International Component</w:t>
      </w:r>
      <w:r w:rsidR="00066417" w:rsidRPr="00D15C0B">
        <w:t xml:space="preserve"> </w:t>
      </w:r>
      <w:r w:rsidR="000B4922" w:rsidRPr="00D15C0B">
        <w:t>is to conduct epidemiologic, laboratory, and survey research in blood banking and transfusion medicine in selected resource-limited countries in regions seriously affected by the AIDS epidemic to help increase the safety and availability of blood for transfusion</w:t>
      </w:r>
      <w:r w:rsidR="00A82A8D" w:rsidRPr="00D15C0B">
        <w:t xml:space="preserve">. </w:t>
      </w:r>
      <w:proofErr w:type="gramStart"/>
      <w:r w:rsidR="0035642E" w:rsidRPr="00D15C0B">
        <w:t xml:space="preserve">To achieve those goals, the REDS-III Brazil </w:t>
      </w:r>
      <w:r w:rsidR="00E7499B" w:rsidRPr="00D15C0B">
        <w:t xml:space="preserve">program </w:t>
      </w:r>
      <w:r w:rsidR="008C1B4E" w:rsidRPr="00D15C0B">
        <w:t xml:space="preserve">and particularly </w:t>
      </w:r>
      <w:r w:rsidR="008419A2" w:rsidRPr="00D15C0B">
        <w:t xml:space="preserve">the </w:t>
      </w:r>
      <w:r w:rsidR="00250176" w:rsidRPr="00D15C0B">
        <w:t>objectives</w:t>
      </w:r>
      <w:r w:rsidR="000B4922" w:rsidRPr="00D15C0B">
        <w:t xml:space="preserve"> </w:t>
      </w:r>
      <w:r w:rsidR="008419A2" w:rsidRPr="00D15C0B">
        <w:t xml:space="preserve">of this study </w:t>
      </w:r>
      <w:r w:rsidR="00250176" w:rsidRPr="00D15C0B">
        <w:t>are</w:t>
      </w:r>
      <w:r w:rsidR="00372461" w:rsidRPr="00D15C0B">
        <w:t xml:space="preserve"> as follows</w:t>
      </w:r>
      <w:r w:rsidR="00250176" w:rsidRPr="00D15C0B">
        <w:t xml:space="preserve">: a) </w:t>
      </w:r>
      <w:r w:rsidR="008A6EF3" w:rsidRPr="00D15C0B">
        <w:t xml:space="preserve"> </w:t>
      </w:r>
      <w:r w:rsidR="00E7499B" w:rsidRPr="00D15C0B">
        <w:t>a</w:t>
      </w:r>
      <w:r w:rsidR="00250176" w:rsidRPr="00D15C0B">
        <w:t xml:space="preserve">ssessment of blood donors return  rate for notification and </w:t>
      </w:r>
      <w:r w:rsidR="00E7499B" w:rsidRPr="00D15C0B">
        <w:t>the</w:t>
      </w:r>
      <w:r w:rsidR="00250176" w:rsidRPr="00D15C0B">
        <w:t xml:space="preserve"> association with each blood-borne infectio</w:t>
      </w:r>
      <w:r w:rsidR="00E7499B" w:rsidRPr="00D15C0B">
        <w:t>n</w:t>
      </w:r>
      <w:r w:rsidR="00250176" w:rsidRPr="00D15C0B">
        <w:t xml:space="preserve"> tested by the four </w:t>
      </w:r>
      <w:r w:rsidR="0035642E" w:rsidRPr="00D15C0B">
        <w:t xml:space="preserve">Brazil </w:t>
      </w:r>
      <w:r w:rsidR="00250176" w:rsidRPr="00D15C0B">
        <w:t>blood centers  (Hemorio</w:t>
      </w:r>
      <w:r w:rsidR="009F1222" w:rsidRPr="00D15C0B">
        <w:t xml:space="preserve">, </w:t>
      </w:r>
      <w:r w:rsidR="00250176" w:rsidRPr="00D15C0B">
        <w:t>Rio de Janeiro</w:t>
      </w:r>
      <w:r w:rsidR="008C1B4E" w:rsidRPr="00D15C0B">
        <w:t>;</w:t>
      </w:r>
      <w:r w:rsidR="00131250" w:rsidRPr="00D15C0B">
        <w:t xml:space="preserve"> </w:t>
      </w:r>
      <w:proofErr w:type="spellStart"/>
      <w:r w:rsidR="00250176" w:rsidRPr="00D15C0B">
        <w:t>Hemope</w:t>
      </w:r>
      <w:r w:rsidR="00131250" w:rsidRPr="00D15C0B">
        <w:t>,</w:t>
      </w:r>
      <w:r w:rsidR="00250176" w:rsidRPr="00D15C0B">
        <w:t>Recife</w:t>
      </w:r>
      <w:proofErr w:type="spellEnd"/>
      <w:r w:rsidR="008C1B4E" w:rsidRPr="00D15C0B">
        <w:t>;</w:t>
      </w:r>
      <w:r w:rsidR="00250176" w:rsidRPr="00D15C0B">
        <w:t xml:space="preserve"> </w:t>
      </w:r>
      <w:proofErr w:type="spellStart"/>
      <w:r w:rsidR="00250176" w:rsidRPr="00D15C0B">
        <w:t>Hemominas</w:t>
      </w:r>
      <w:proofErr w:type="spellEnd"/>
      <w:r w:rsidR="009F1222" w:rsidRPr="00D15C0B">
        <w:t xml:space="preserve">, </w:t>
      </w:r>
      <w:r w:rsidR="00250176" w:rsidRPr="00D15C0B">
        <w:t xml:space="preserve">Minas </w:t>
      </w:r>
      <w:proofErr w:type="spellStart"/>
      <w:r w:rsidR="00250176" w:rsidRPr="00D15C0B">
        <w:t>Ger</w:t>
      </w:r>
      <w:r w:rsidR="00DD37EB" w:rsidRPr="00D15C0B">
        <w:t>ais</w:t>
      </w:r>
      <w:proofErr w:type="spellEnd"/>
      <w:r w:rsidR="008C1B4E" w:rsidRPr="00D15C0B">
        <w:t xml:space="preserve">; </w:t>
      </w:r>
      <w:r w:rsidR="00250176" w:rsidRPr="00D15C0B">
        <w:t>and</w:t>
      </w:r>
      <w:r w:rsidR="008C1B4E" w:rsidRPr="00D15C0B">
        <w:t>,</w:t>
      </w:r>
      <w:r w:rsidR="00250176" w:rsidRPr="00D15C0B">
        <w:t xml:space="preserve"> </w:t>
      </w:r>
      <w:proofErr w:type="spellStart"/>
      <w:r w:rsidR="004567A2" w:rsidRPr="00D15C0B">
        <w:t>Fundação</w:t>
      </w:r>
      <w:proofErr w:type="spellEnd"/>
      <w:r w:rsidR="00250176" w:rsidRPr="00D15C0B">
        <w:t xml:space="preserve"> </w:t>
      </w:r>
      <w:proofErr w:type="spellStart"/>
      <w:r w:rsidR="00250176" w:rsidRPr="00D15C0B">
        <w:t>Pr</w:t>
      </w:r>
      <w:r w:rsidR="004567A2" w:rsidRPr="00D15C0B">
        <w:t>ó</w:t>
      </w:r>
      <w:r w:rsidR="00250176" w:rsidRPr="00D15C0B">
        <w:t>-Sangue</w:t>
      </w:r>
      <w:proofErr w:type="spellEnd"/>
      <w:r w:rsidR="009F1222" w:rsidRPr="00D15C0B">
        <w:t xml:space="preserve">, </w:t>
      </w:r>
      <w:r w:rsidR="00250176" w:rsidRPr="00D15C0B">
        <w:t>S</w:t>
      </w:r>
      <w:r w:rsidR="004567A2" w:rsidRPr="00D15C0B">
        <w:t>ã</w:t>
      </w:r>
      <w:r w:rsidR="00372461" w:rsidRPr="00D15C0B">
        <w:t>o Paulo);</w:t>
      </w:r>
      <w:r w:rsidR="00250176" w:rsidRPr="00D15C0B">
        <w:t xml:space="preserve"> b)</w:t>
      </w:r>
      <w:r w:rsidR="008A6EF3" w:rsidRPr="00D15C0B">
        <w:t xml:space="preserve"> </w:t>
      </w:r>
      <w:r w:rsidR="00E7499B" w:rsidRPr="00D15C0B">
        <w:t>a</w:t>
      </w:r>
      <w:r w:rsidR="00250176" w:rsidRPr="00D15C0B">
        <w:t xml:space="preserve">ssessment of changes in risk behaviors among HIV-positive donors who participated in a prior REDS-II </w:t>
      </w:r>
      <w:r w:rsidR="00E7499B" w:rsidRPr="00D15C0B">
        <w:t xml:space="preserve">HIV study </w:t>
      </w:r>
      <w:r w:rsidR="00250176" w:rsidRPr="00D15C0B">
        <w:t xml:space="preserve">or have enrolled in the ongoing REDS-III </w:t>
      </w:r>
      <w:r w:rsidR="00372461" w:rsidRPr="00D15C0B">
        <w:t>HIV study;</w:t>
      </w:r>
      <w:r w:rsidR="00250176" w:rsidRPr="00D15C0B">
        <w:t xml:space="preserve"> c</w:t>
      </w:r>
      <w:r w:rsidR="008A6EF3" w:rsidRPr="00D15C0B">
        <w:t xml:space="preserve">) </w:t>
      </w:r>
      <w:r w:rsidR="00250176" w:rsidRPr="00D15C0B">
        <w:t>collection of data that may provide insight on how to improve the disclosure of HIV risks dur</w:t>
      </w:r>
      <w:r w:rsidR="00372461" w:rsidRPr="00D15C0B">
        <w:t>ing the donor screening process;</w:t>
      </w:r>
      <w:r w:rsidR="00250176" w:rsidRPr="00D15C0B">
        <w:t xml:space="preserve"> and</w:t>
      </w:r>
      <w:r w:rsidR="00372461" w:rsidRPr="00D15C0B">
        <w:t>,</w:t>
      </w:r>
      <w:r w:rsidR="00250176" w:rsidRPr="00D15C0B">
        <w:t xml:space="preserve"> d) </w:t>
      </w:r>
      <w:r w:rsidR="009F1222" w:rsidRPr="00D15C0B">
        <w:t xml:space="preserve">to gain a </w:t>
      </w:r>
      <w:r w:rsidR="00250176" w:rsidRPr="00D15C0B">
        <w:t>better understanding of the motivating factors that lead higher risk persons to donate blood.</w:t>
      </w:r>
      <w:proofErr w:type="gramEnd"/>
      <w:r w:rsidR="00250176" w:rsidRPr="00D15C0B">
        <w:t xml:space="preserve"> Exploring blood donor behaviors and attitudes</w:t>
      </w:r>
      <w:r w:rsidR="009F1222" w:rsidRPr="00D15C0B">
        <w:t xml:space="preserve">, </w:t>
      </w:r>
      <w:proofErr w:type="gramStart"/>
      <w:r w:rsidR="009F1222" w:rsidRPr="00D15C0B">
        <w:t>including</w:t>
      </w:r>
      <w:r w:rsidR="00250176" w:rsidRPr="00D15C0B">
        <w:t xml:space="preserve">  sexual</w:t>
      </w:r>
      <w:proofErr w:type="gramEnd"/>
      <w:r w:rsidR="00250176" w:rsidRPr="00D15C0B">
        <w:t xml:space="preserve"> practices, disclosure of HIV positivity to partners, the length of time between the blood bank's notification and </w:t>
      </w:r>
      <w:r w:rsidR="00E7499B" w:rsidRPr="00D15C0B">
        <w:t xml:space="preserve">seeking </w:t>
      </w:r>
      <w:r w:rsidR="00250176" w:rsidRPr="00D15C0B">
        <w:t xml:space="preserve">appropriate health care will </w:t>
      </w:r>
      <w:r w:rsidR="009F1222" w:rsidRPr="00D15C0B">
        <w:t>help to elucidate</w:t>
      </w:r>
      <w:r w:rsidR="00250176" w:rsidRPr="00D15C0B">
        <w:t xml:space="preserve"> important pattern</w:t>
      </w:r>
      <w:r w:rsidR="009F1222" w:rsidRPr="00D15C0B">
        <w:t>s</w:t>
      </w:r>
      <w:r w:rsidR="00250176" w:rsidRPr="00D15C0B">
        <w:t xml:space="preserve"> related to HIV transmission</w:t>
      </w:r>
      <w:r w:rsidR="00E7499B" w:rsidRPr="00D15C0B">
        <w:t>. These data</w:t>
      </w:r>
      <w:r w:rsidR="00250176" w:rsidRPr="00D15C0B">
        <w:t xml:space="preserve"> will help </w:t>
      </w:r>
      <w:r w:rsidR="00E7499B" w:rsidRPr="00D15C0B">
        <w:t xml:space="preserve">to </w:t>
      </w:r>
      <w:r w:rsidR="00250176" w:rsidRPr="00D15C0B">
        <w:t xml:space="preserve">develop strategies to improve the notification process and care which ultimately </w:t>
      </w:r>
      <w:r w:rsidR="0080435A" w:rsidRPr="00D15C0B">
        <w:t>may improve</w:t>
      </w:r>
      <w:r w:rsidR="00D15C0B">
        <w:t xml:space="preserve"> </w:t>
      </w:r>
      <w:r w:rsidR="00250176" w:rsidRPr="00D15C0B">
        <w:t>blood safety.</w:t>
      </w:r>
    </w:p>
    <w:p w14:paraId="7A289C03" w14:textId="6BA9B887" w:rsidR="008F4937" w:rsidRPr="00D15C0B" w:rsidRDefault="00D57627" w:rsidP="00372461">
      <w:pPr>
        <w:widowControl w:val="0"/>
        <w:adjustRightInd w:val="0"/>
        <w:snapToGrid w:val="0"/>
        <w:ind w:firstLine="720"/>
      </w:pPr>
      <w:r w:rsidRPr="00D15C0B">
        <w:rPr>
          <w:color w:val="000000"/>
        </w:rPr>
        <w:t>Focused on these</w:t>
      </w:r>
      <w:r w:rsidR="00BC41D0" w:rsidRPr="00D15C0B">
        <w:rPr>
          <w:color w:val="000000"/>
        </w:rPr>
        <w:t xml:space="preserve"> REDS</w:t>
      </w:r>
      <w:r w:rsidR="004567A2" w:rsidRPr="00D15C0B">
        <w:rPr>
          <w:color w:val="000000"/>
        </w:rPr>
        <w:t>-III</w:t>
      </w:r>
      <w:r w:rsidR="00372461" w:rsidRPr="00D15C0B">
        <w:rPr>
          <w:color w:val="000000"/>
        </w:rPr>
        <w:t xml:space="preserve"> objectives</w:t>
      </w:r>
      <w:r w:rsidR="00481101" w:rsidRPr="00D15C0B">
        <w:rPr>
          <w:color w:val="000000"/>
        </w:rPr>
        <w:t>,</w:t>
      </w:r>
      <w:r w:rsidR="00372461" w:rsidRPr="00D15C0B">
        <w:rPr>
          <w:color w:val="000000"/>
        </w:rPr>
        <w:t xml:space="preserve"> the </w:t>
      </w:r>
      <w:r w:rsidR="00BC41D0" w:rsidRPr="00D15C0B">
        <w:rPr>
          <w:color w:val="000000"/>
        </w:rPr>
        <w:t xml:space="preserve">Brazil HIV Notification </w:t>
      </w:r>
      <w:r w:rsidR="0018087C" w:rsidRPr="00D15C0B">
        <w:rPr>
          <w:color w:val="000000"/>
        </w:rPr>
        <w:t xml:space="preserve">study team proposes to enroll all </w:t>
      </w:r>
      <w:r w:rsidR="00BC41D0" w:rsidRPr="00D15C0B">
        <w:t>f</w:t>
      </w:r>
      <w:r w:rsidR="00AD4F8B" w:rsidRPr="00D15C0B">
        <w:t xml:space="preserve">ormer </w:t>
      </w:r>
      <w:r w:rsidR="00BC41D0" w:rsidRPr="00D15C0B">
        <w:t xml:space="preserve">blood </w:t>
      </w:r>
      <w:r w:rsidR="00AD4F8B" w:rsidRPr="00D15C0B">
        <w:t>donors who participated in th</w:t>
      </w:r>
      <w:r w:rsidR="005854D7" w:rsidRPr="00D15C0B">
        <w:t xml:space="preserve">e </w:t>
      </w:r>
      <w:r w:rsidR="00AD4F8B" w:rsidRPr="00D15C0B">
        <w:t>REDS-II HIV case-control study (OMB 0925- 0597, expired on February 29, 2012)</w:t>
      </w:r>
      <w:r w:rsidR="005854D7" w:rsidRPr="00D15C0B">
        <w:t xml:space="preserve"> and</w:t>
      </w:r>
      <w:r w:rsidR="00AD4F8B" w:rsidRPr="00D15C0B">
        <w:t xml:space="preserve"> </w:t>
      </w:r>
      <w:r w:rsidR="00147C20" w:rsidRPr="00D15C0B">
        <w:t xml:space="preserve">those </w:t>
      </w:r>
      <w:r w:rsidR="00AD4F8B" w:rsidRPr="00D15C0B">
        <w:t xml:space="preserve"> enrolled </w:t>
      </w:r>
      <w:r w:rsidR="00147C20" w:rsidRPr="00D15C0B">
        <w:t xml:space="preserve">during </w:t>
      </w:r>
      <w:r w:rsidR="00AD4F8B" w:rsidRPr="00D15C0B">
        <w:t xml:space="preserve"> the </w:t>
      </w:r>
      <w:r w:rsidR="000E0EF8" w:rsidRPr="00D15C0B">
        <w:rPr>
          <w:color w:val="000000" w:themeColor="text1"/>
        </w:rPr>
        <w:t>REDS-III HIV case surveillance risk factor study</w:t>
      </w:r>
      <w:r w:rsidR="00AD4F8B" w:rsidRPr="00D15C0B">
        <w:t xml:space="preserve"> (OMB 0925-0597, expiration date, July 31, 2015), between 2012 and 2014.  </w:t>
      </w:r>
      <w:r w:rsidR="00C07B55" w:rsidRPr="00D15C0B">
        <w:t>Donor enrollees at any of the four blood centers participating in these studies</w:t>
      </w:r>
      <w:r w:rsidR="0018087C" w:rsidRPr="00D15C0B">
        <w:t xml:space="preserve"> completed</w:t>
      </w:r>
      <w:r w:rsidR="00AD4F8B" w:rsidRPr="00D15C0B">
        <w:t xml:space="preserve"> an audio computer-assisted structured interview (ACASI) that elicited responses on demographics, risk factors/behaviors, and HIV knowledge.  At the same time, a blood sample was drawn and tested for HIV genotype and drug resistance. In addition, recent infection status was determined using detuned antibody testing of samples from the original blood donation. </w:t>
      </w:r>
      <w:r w:rsidR="006877DA" w:rsidRPr="00D15C0B">
        <w:t>A</w:t>
      </w:r>
      <w:r w:rsidR="00AD4F8B" w:rsidRPr="00D15C0B">
        <w:t>ll enrolled participants receive</w:t>
      </w:r>
      <w:r w:rsidR="00481101" w:rsidRPr="00D15C0B">
        <w:t>d</w:t>
      </w:r>
      <w:r w:rsidR="00AD4F8B" w:rsidRPr="00D15C0B">
        <w:t xml:space="preserve"> counseling by a blood bank physician and </w:t>
      </w:r>
      <w:proofErr w:type="gramStart"/>
      <w:r w:rsidR="00481101" w:rsidRPr="00D15C0B">
        <w:t>were</w:t>
      </w:r>
      <w:r w:rsidR="00147C20" w:rsidRPr="00D15C0B">
        <w:t xml:space="preserve"> </w:t>
      </w:r>
      <w:r w:rsidR="00AD4F8B" w:rsidRPr="00D15C0B">
        <w:t>referred</w:t>
      </w:r>
      <w:proofErr w:type="gramEnd"/>
      <w:r w:rsidR="00AD4F8B" w:rsidRPr="00D15C0B">
        <w:t xml:space="preserve"> to HIV counseling </w:t>
      </w:r>
      <w:r w:rsidR="00C07B55" w:rsidRPr="00D15C0B">
        <w:t xml:space="preserve">and testing </w:t>
      </w:r>
      <w:r w:rsidR="00AD4F8B" w:rsidRPr="00D15C0B">
        <w:t>centers</w:t>
      </w:r>
      <w:r w:rsidR="00C07B55" w:rsidRPr="00D15C0B">
        <w:t xml:space="preserve"> (HCT)</w:t>
      </w:r>
      <w:r w:rsidR="00AD4F8B" w:rsidRPr="00D15C0B">
        <w:t>.</w:t>
      </w:r>
    </w:p>
    <w:p w14:paraId="6216FFA3" w14:textId="6C7267C0" w:rsidR="008F4937" w:rsidRPr="00D15C0B" w:rsidRDefault="00E460E1" w:rsidP="00F85DEF">
      <w:pPr>
        <w:pStyle w:val="E-mailSignature"/>
        <w:widowControl w:val="0"/>
        <w:adjustRightInd w:val="0"/>
        <w:snapToGrid w:val="0"/>
        <w:ind w:firstLine="720"/>
      </w:pPr>
      <w:r w:rsidRPr="00D15C0B">
        <w:t>New i</w:t>
      </w:r>
      <w:r w:rsidR="008F4937" w:rsidRPr="00D15C0B">
        <w:t xml:space="preserve">nformation gathered from these enrollees will serve </w:t>
      </w:r>
      <w:r w:rsidR="004014F7" w:rsidRPr="00D15C0B">
        <w:t xml:space="preserve">the </w:t>
      </w:r>
      <w:r w:rsidR="008F4937" w:rsidRPr="00D15C0B">
        <w:t>three aims</w:t>
      </w:r>
      <w:r w:rsidR="004014F7" w:rsidRPr="00D15C0B">
        <w:t xml:space="preserve"> proposed</w:t>
      </w:r>
      <w:r w:rsidR="008F4937" w:rsidRPr="00D15C0B">
        <w:t xml:space="preserve"> </w:t>
      </w:r>
      <w:r w:rsidR="004014F7" w:rsidRPr="00D15C0B">
        <w:t>for this</w:t>
      </w:r>
      <w:r w:rsidR="00D15C0B">
        <w:t xml:space="preserve"> </w:t>
      </w:r>
      <w:r w:rsidR="00BC41D0" w:rsidRPr="00D15C0B">
        <w:t xml:space="preserve">study. </w:t>
      </w:r>
      <w:r w:rsidR="004014F7" w:rsidRPr="00D15C0B">
        <w:t>The first aim of this study</w:t>
      </w:r>
      <w:r w:rsidR="008F4937" w:rsidRPr="00D15C0B">
        <w:t xml:space="preserve"> will </w:t>
      </w:r>
      <w:r w:rsidR="004014F7" w:rsidRPr="00D15C0B">
        <w:t xml:space="preserve">be to </w:t>
      </w:r>
      <w:r w:rsidR="008F4937" w:rsidRPr="00D15C0B">
        <w:t xml:space="preserve">analyze the </w:t>
      </w:r>
      <w:r w:rsidR="00BC41D0" w:rsidRPr="00D15C0B">
        <w:t>actual percentage</w:t>
      </w:r>
      <w:r w:rsidR="008F4937" w:rsidRPr="00D15C0B">
        <w:t xml:space="preserve"> of blood donors who </w:t>
      </w:r>
      <w:proofErr w:type="gramStart"/>
      <w:r w:rsidR="008F4937" w:rsidRPr="00D15C0B">
        <w:t>are successfully notified</w:t>
      </w:r>
      <w:proofErr w:type="gramEnd"/>
      <w:r w:rsidR="008F4937" w:rsidRPr="00D15C0B">
        <w:t xml:space="preserve"> </w:t>
      </w:r>
      <w:r w:rsidR="006877DA" w:rsidRPr="00D15C0B">
        <w:t xml:space="preserve">of </w:t>
      </w:r>
      <w:r w:rsidR="008F4937" w:rsidRPr="00D15C0B">
        <w:t>their infection testing results. In this aim</w:t>
      </w:r>
      <w:r w:rsidRPr="00D15C0B">
        <w:t>,</w:t>
      </w:r>
      <w:r w:rsidR="008F4937" w:rsidRPr="00D15C0B">
        <w:t xml:space="preserve"> we will expand the </w:t>
      </w:r>
      <w:r w:rsidR="004014F7" w:rsidRPr="00D15C0B">
        <w:t xml:space="preserve">notification </w:t>
      </w:r>
      <w:r w:rsidR="008F4937" w:rsidRPr="00D15C0B">
        <w:t xml:space="preserve">focus to include all infections that blood centers in Brazil test for because differences in rates of notification by type of infection are unknown. The second aim will assess the effectiveness of HIV notification and counseling. </w:t>
      </w:r>
      <w:r w:rsidR="004014F7" w:rsidRPr="00D15C0B">
        <w:t xml:space="preserve">HIV-positive donors </w:t>
      </w:r>
      <w:proofErr w:type="gramStart"/>
      <w:r w:rsidR="004014F7" w:rsidRPr="00D15C0B">
        <w:t>will be interviewed</w:t>
      </w:r>
      <w:proofErr w:type="gramEnd"/>
      <w:r w:rsidR="004014F7" w:rsidRPr="00D15C0B">
        <w:t xml:space="preserve"> to evaluate their follow-up activities with regard to HIV infection treatment and infection transmission prevention behavior after notification by the blood center. This </w:t>
      </w:r>
      <w:proofErr w:type="gramStart"/>
      <w:r w:rsidR="004014F7" w:rsidRPr="00D15C0B">
        <w:t>will be accomplished</w:t>
      </w:r>
      <w:proofErr w:type="gramEnd"/>
      <w:r w:rsidR="004014F7" w:rsidRPr="00D15C0B">
        <w:t xml:space="preserve"> using a</w:t>
      </w:r>
      <w:r w:rsidR="008B74B1" w:rsidRPr="00D15C0B">
        <w:t xml:space="preserve"> </w:t>
      </w:r>
      <w:r w:rsidR="004014F7" w:rsidRPr="00D15C0B">
        <w:t>n</w:t>
      </w:r>
      <w:r w:rsidR="008B74B1" w:rsidRPr="00D15C0B">
        <w:t>ew</w:t>
      </w:r>
      <w:r w:rsidR="004014F7" w:rsidRPr="00D15C0B">
        <w:t xml:space="preserve"> audio computer-assisted structured </w:t>
      </w:r>
      <w:r w:rsidR="004014F7" w:rsidRPr="00D15C0B">
        <w:lastRenderedPageBreak/>
        <w:t xml:space="preserve">interview (ACASI) (See Attachment 1, Brazil HIV Follow up ACASI Survey). </w:t>
      </w:r>
      <w:r w:rsidR="008F4937" w:rsidRPr="00D15C0B">
        <w:t xml:space="preserve">The third aim will consist of asking HIV-positive blood donors about ways to improve the disclosure of HIV risks during donor eligibility assessment </w:t>
      </w:r>
      <w:proofErr w:type="gramStart"/>
      <w:r w:rsidR="00BC41D0" w:rsidRPr="00D15C0B">
        <w:t>to</w:t>
      </w:r>
      <w:r w:rsidR="008F4937" w:rsidRPr="00D15C0B">
        <w:t xml:space="preserve"> better understand</w:t>
      </w:r>
      <w:proofErr w:type="gramEnd"/>
      <w:r w:rsidR="008F4937" w:rsidRPr="00D15C0B">
        <w:t xml:space="preserve"> the motivating factors that drive higher risk persons to donate blood.</w:t>
      </w:r>
    </w:p>
    <w:p w14:paraId="07969CA4" w14:textId="73E65C95" w:rsidR="005A0876" w:rsidRPr="00D15C0B" w:rsidRDefault="00357899" w:rsidP="00372461">
      <w:pPr>
        <w:widowControl w:val="0"/>
        <w:adjustRightInd w:val="0"/>
        <w:snapToGrid w:val="0"/>
        <w:ind w:firstLine="720"/>
      </w:pPr>
      <w:r w:rsidRPr="00D15C0B">
        <w:t xml:space="preserve">Because our study will build off the routine blood donor procedures </w:t>
      </w:r>
      <w:r w:rsidR="008B74B1" w:rsidRPr="00D15C0B">
        <w:t>in</w:t>
      </w:r>
      <w:r w:rsidRPr="00D15C0B">
        <w:t xml:space="preserve"> f</w:t>
      </w:r>
      <w:r w:rsidR="00C07B55" w:rsidRPr="00D15C0B">
        <w:t xml:space="preserve">our large blood banks in Brazil, </w:t>
      </w:r>
      <w:r w:rsidRPr="00D15C0B">
        <w:t xml:space="preserve">it may lead to </w:t>
      </w:r>
      <w:r w:rsidR="001758E2" w:rsidRPr="00D15C0B">
        <w:t xml:space="preserve">more informed conversations around and possible changes in </w:t>
      </w:r>
      <w:r w:rsidRPr="00D15C0B">
        <w:t>donor screening, notification and counseling policies in Latin America. Results of these aims may also help to better integrate blood centers within the context of broader HIV testing, counseling and treatment sites in Brazil. Similarly</w:t>
      </w:r>
      <w:r w:rsidR="00372461" w:rsidRPr="00D15C0B">
        <w:t>,</w:t>
      </w:r>
      <w:r w:rsidRPr="00D15C0B">
        <w:t xml:space="preserve"> in the US little </w:t>
      </w:r>
      <w:proofErr w:type="gramStart"/>
      <w:r w:rsidRPr="00D15C0B">
        <w:t>is known</w:t>
      </w:r>
      <w:proofErr w:type="gramEnd"/>
      <w:r w:rsidRPr="00D15C0B">
        <w:t xml:space="preserve"> about donor behavior after notification of testing results by blood centers. The results from this study can be used to develop insights and hypotheses focused on developing improved strategies for notification and counseling of HIV-positive (or hepatitis C or B-positive) donors in the U</w:t>
      </w:r>
      <w:r w:rsidR="005A0876" w:rsidRPr="00D15C0B">
        <w:t>.</w:t>
      </w:r>
      <w:r w:rsidRPr="00D15C0B">
        <w:t>S.</w:t>
      </w:r>
    </w:p>
    <w:p w14:paraId="140438A3" w14:textId="02B991C8" w:rsidR="008437B1" w:rsidRPr="00D15C0B" w:rsidRDefault="008437B1" w:rsidP="00F85DEF">
      <w:pPr>
        <w:widowControl w:val="0"/>
        <w:adjustRightInd w:val="0"/>
        <w:snapToGrid w:val="0"/>
        <w:ind w:firstLine="720"/>
      </w:pPr>
      <w:r w:rsidRPr="00D15C0B">
        <w:t xml:space="preserve">In addition to the traditional route </w:t>
      </w:r>
      <w:r w:rsidR="006877DA" w:rsidRPr="00D15C0B">
        <w:t xml:space="preserve">of scientific dissemination through </w:t>
      </w:r>
      <w:r w:rsidRPr="00D15C0B">
        <w:t>peer reviewed scientific publication, previous REDS</w:t>
      </w:r>
      <w:r w:rsidR="000D6645" w:rsidRPr="00D15C0B">
        <w:t xml:space="preserve"> and REDS</w:t>
      </w:r>
      <w:r w:rsidRPr="00D15C0B">
        <w:t>-</w:t>
      </w:r>
      <w:r w:rsidR="000D6645" w:rsidRPr="00D15C0B">
        <w:t>I</w:t>
      </w:r>
      <w:r w:rsidRPr="00D15C0B">
        <w:t>I study data were the subject of numerous requested presentations by Federal and non-Federal agencies, including the FDA Blood Products Advisory Committee, the HHS Advisory committee on Blood Safety and Availability, the AABB Transfusion-Transmitted Diseases Committee, and the Americas Blood Centers</w:t>
      </w:r>
      <w:r w:rsidR="007D0BB1" w:rsidRPr="00D15C0B">
        <w:t xml:space="preserve"> (ABC)</w:t>
      </w:r>
      <w:r w:rsidRPr="00D15C0B">
        <w:t xml:space="preserve">. We anticipate similar requests for </w:t>
      </w:r>
      <w:r w:rsidR="007D0BB1" w:rsidRPr="00D15C0B">
        <w:t>results</w:t>
      </w:r>
      <w:r w:rsidRPr="00D15C0B">
        <w:t xml:space="preserve"> generated from this study.</w:t>
      </w:r>
      <w:r w:rsidR="00B715EC" w:rsidRPr="00D15C0B">
        <w:t xml:space="preserve"> D</w:t>
      </w:r>
      <w:r w:rsidR="006877DA" w:rsidRPr="00D15C0B">
        <w:t>ata collected in this proposed notification and HIV follow-up study of donors will be of practical use to the blood banking and infectious disease communities in the US and internationally.</w:t>
      </w:r>
    </w:p>
    <w:p w14:paraId="00FD7121" w14:textId="77777777" w:rsidR="00330D38" w:rsidRPr="00D15C0B" w:rsidRDefault="00330D38" w:rsidP="00043695">
      <w:pPr>
        <w:pStyle w:val="E-mailSignature"/>
        <w:widowControl w:val="0"/>
        <w:adjustRightInd w:val="0"/>
        <w:snapToGrid w:val="0"/>
        <w:rPr>
          <w:b/>
        </w:rPr>
      </w:pPr>
      <w:bookmarkStart w:id="6" w:name="_Toc153351586"/>
    </w:p>
    <w:p w14:paraId="15E99D0A" w14:textId="77777777" w:rsidR="008437B1" w:rsidRPr="00D15C0B" w:rsidRDefault="008437B1" w:rsidP="00043695">
      <w:pPr>
        <w:pStyle w:val="E-mailSignature"/>
        <w:widowControl w:val="0"/>
        <w:adjustRightInd w:val="0"/>
        <w:snapToGrid w:val="0"/>
        <w:rPr>
          <w:b/>
        </w:rPr>
      </w:pPr>
      <w:r w:rsidRPr="00D15C0B">
        <w:rPr>
          <w:b/>
        </w:rPr>
        <w:t>A.3. Use of Information Technology and Burden Reduction</w:t>
      </w:r>
      <w:bookmarkEnd w:id="6"/>
    </w:p>
    <w:p w14:paraId="3E3A35E4" w14:textId="77777777" w:rsidR="00E43A95" w:rsidRPr="00D15C0B" w:rsidRDefault="00E43A95" w:rsidP="00043695">
      <w:pPr>
        <w:widowControl w:val="0"/>
        <w:adjustRightInd w:val="0"/>
        <w:snapToGrid w:val="0"/>
        <w:ind w:firstLine="720"/>
        <w:rPr>
          <w:color w:val="000000"/>
        </w:rPr>
      </w:pPr>
    </w:p>
    <w:p w14:paraId="5A324614" w14:textId="77777777" w:rsidR="00C25848" w:rsidRPr="00D15C0B" w:rsidRDefault="003E26F6" w:rsidP="00043695">
      <w:pPr>
        <w:widowControl w:val="0"/>
        <w:adjustRightInd w:val="0"/>
        <w:snapToGrid w:val="0"/>
        <w:ind w:firstLine="720"/>
      </w:pPr>
      <w:r w:rsidRPr="00D15C0B">
        <w:rPr>
          <w:color w:val="000000"/>
        </w:rPr>
        <w:t xml:space="preserve"> A detailed questionnaire on the topics of access to health care and risk behaviors will be completed</w:t>
      </w:r>
      <w:r w:rsidR="00C25848" w:rsidRPr="00D15C0B">
        <w:rPr>
          <w:color w:val="000000"/>
        </w:rPr>
        <w:t xml:space="preserve"> (See </w:t>
      </w:r>
      <w:r w:rsidR="00C25848" w:rsidRPr="00D15C0B">
        <w:rPr>
          <w:i/>
          <w:color w:val="000000"/>
        </w:rPr>
        <w:t>Attachment 1</w:t>
      </w:r>
      <w:r w:rsidR="00C25848" w:rsidRPr="00D15C0B">
        <w:rPr>
          <w:color w:val="000000"/>
        </w:rPr>
        <w:t xml:space="preserve">) </w:t>
      </w:r>
      <w:r w:rsidR="003524E3" w:rsidRPr="00D15C0B">
        <w:rPr>
          <w:color w:val="000000"/>
        </w:rPr>
        <w:t>at four (</w:t>
      </w:r>
      <w:r w:rsidR="00C25848" w:rsidRPr="00D15C0B">
        <w:rPr>
          <w:color w:val="000000"/>
        </w:rPr>
        <w:t>4</w:t>
      </w:r>
      <w:r w:rsidR="003524E3" w:rsidRPr="00D15C0B">
        <w:rPr>
          <w:color w:val="000000"/>
        </w:rPr>
        <w:t>)</w:t>
      </w:r>
      <w:r w:rsidR="00C25848" w:rsidRPr="00D15C0B">
        <w:rPr>
          <w:color w:val="000000"/>
        </w:rPr>
        <w:t xml:space="preserve"> Brazil </w:t>
      </w:r>
      <w:r w:rsidR="006B6E30" w:rsidRPr="00D15C0B">
        <w:rPr>
          <w:color w:val="000000"/>
        </w:rPr>
        <w:t>blood centers</w:t>
      </w:r>
      <w:r w:rsidR="003524E3" w:rsidRPr="00D15C0B">
        <w:rPr>
          <w:color w:val="000000"/>
        </w:rPr>
        <w:t xml:space="preserve"> in the cities of </w:t>
      </w:r>
      <w:r w:rsidR="00C25848" w:rsidRPr="00D15C0B">
        <w:rPr>
          <w:color w:val="000000"/>
        </w:rPr>
        <w:t>Recife, Belo Horizonte, S</w:t>
      </w:r>
      <w:r w:rsidR="005E4A6F" w:rsidRPr="00D15C0B">
        <w:rPr>
          <w:rFonts w:ascii="Calibri" w:hAnsi="Calibri"/>
          <w:color w:val="000000"/>
        </w:rPr>
        <w:t>ã</w:t>
      </w:r>
      <w:r w:rsidR="00C25848" w:rsidRPr="00D15C0B">
        <w:rPr>
          <w:color w:val="000000"/>
        </w:rPr>
        <w:t xml:space="preserve">o Paulo and Rio de Janeiro. </w:t>
      </w:r>
    </w:p>
    <w:p w14:paraId="55B7521E" w14:textId="57A320E5" w:rsidR="00623F08" w:rsidRPr="00D15C0B" w:rsidRDefault="003E26F6" w:rsidP="00F85DEF">
      <w:pPr>
        <w:widowControl w:val="0"/>
        <w:adjustRightInd w:val="0"/>
        <w:snapToGrid w:val="0"/>
        <w:ind w:firstLine="720"/>
        <w:rPr>
          <w:color w:val="000000"/>
        </w:rPr>
      </w:pPr>
      <w:r w:rsidRPr="00D15C0B">
        <w:rPr>
          <w:color w:val="000000"/>
        </w:rPr>
        <w:t xml:space="preserve">These interviews </w:t>
      </w:r>
      <w:proofErr w:type="gramStart"/>
      <w:r w:rsidRPr="00D15C0B">
        <w:rPr>
          <w:color w:val="000000"/>
        </w:rPr>
        <w:t>will be completed</w:t>
      </w:r>
      <w:proofErr w:type="gramEnd"/>
      <w:r w:rsidRPr="00D15C0B">
        <w:rPr>
          <w:color w:val="000000"/>
        </w:rPr>
        <w:t xml:space="preserve"> using the </w:t>
      </w:r>
      <w:r w:rsidR="00B715EC" w:rsidRPr="00D15C0B">
        <w:rPr>
          <w:color w:val="000000"/>
        </w:rPr>
        <w:t>computers</w:t>
      </w:r>
      <w:r w:rsidRPr="00D15C0B">
        <w:rPr>
          <w:color w:val="000000"/>
        </w:rPr>
        <w:t xml:space="preserve"> that were purchased for </w:t>
      </w:r>
      <w:r w:rsidR="00B715EC" w:rsidRPr="00D15C0B">
        <w:rPr>
          <w:color w:val="000000"/>
        </w:rPr>
        <w:t xml:space="preserve">the </w:t>
      </w:r>
      <w:r w:rsidRPr="00D15C0B">
        <w:rPr>
          <w:color w:val="000000"/>
        </w:rPr>
        <w:t xml:space="preserve">REDS-III </w:t>
      </w:r>
      <w:r w:rsidR="00854073" w:rsidRPr="00D15C0B">
        <w:rPr>
          <w:color w:val="000000"/>
        </w:rPr>
        <w:t xml:space="preserve">Brazil </w:t>
      </w:r>
      <w:r w:rsidRPr="00D15C0B">
        <w:rPr>
          <w:color w:val="000000"/>
        </w:rPr>
        <w:t>study</w:t>
      </w:r>
      <w:r w:rsidR="005A0876" w:rsidRPr="00D15C0B">
        <w:rPr>
          <w:color w:val="000000"/>
        </w:rPr>
        <w:t xml:space="preserve"> (</w:t>
      </w:r>
      <w:r w:rsidR="00854073" w:rsidRPr="00D15C0B">
        <w:rPr>
          <w:color w:val="000000"/>
        </w:rPr>
        <w:t>Dengue Virus Incidence and Prevalence in Brazilian Donors and Recipients, Rates and Correlates of Transfusion-Transmission, and Clinical Outcomes of Infection in Recipients, CE 2011-11-002)</w:t>
      </w:r>
      <w:r w:rsidR="00802279" w:rsidRPr="00D15C0B">
        <w:rPr>
          <w:color w:val="000000"/>
        </w:rPr>
        <w:t xml:space="preserve">. </w:t>
      </w:r>
      <w:r w:rsidR="00B715EC" w:rsidRPr="00D15C0B">
        <w:rPr>
          <w:color w:val="000000"/>
        </w:rPr>
        <w:t xml:space="preserve">Using these non-HIV study computers will ensure </w:t>
      </w:r>
      <w:r w:rsidR="00250176" w:rsidRPr="00D15C0B">
        <w:rPr>
          <w:color w:val="000000"/>
        </w:rPr>
        <w:t>that the</w:t>
      </w:r>
      <w:r w:rsidRPr="00D15C0B">
        <w:rPr>
          <w:color w:val="000000"/>
        </w:rPr>
        <w:t xml:space="preserve"> research assistant initiat</w:t>
      </w:r>
      <w:r w:rsidR="00B715EC" w:rsidRPr="00D15C0B">
        <w:rPr>
          <w:color w:val="000000"/>
        </w:rPr>
        <w:t>es</w:t>
      </w:r>
      <w:r w:rsidRPr="00D15C0B">
        <w:rPr>
          <w:color w:val="000000"/>
        </w:rPr>
        <w:t xml:space="preserve"> the correct interview. </w:t>
      </w:r>
      <w:r w:rsidR="007146F9" w:rsidRPr="00D15C0B">
        <w:rPr>
          <w:color w:val="000000"/>
        </w:rPr>
        <w:t xml:space="preserve">Private locations in each blood center </w:t>
      </w:r>
      <w:proofErr w:type="gramStart"/>
      <w:r w:rsidR="007146F9" w:rsidRPr="00D15C0B">
        <w:rPr>
          <w:color w:val="000000"/>
        </w:rPr>
        <w:t>will be made</w:t>
      </w:r>
      <w:proofErr w:type="gramEnd"/>
      <w:r w:rsidR="007146F9" w:rsidRPr="00D15C0B">
        <w:rPr>
          <w:color w:val="000000"/>
        </w:rPr>
        <w:t xml:space="preserve"> available for the participant to complete the ACASI. </w:t>
      </w:r>
      <w:r w:rsidR="00C25848" w:rsidRPr="00D15C0B">
        <w:rPr>
          <w:color w:val="000000"/>
        </w:rPr>
        <w:t xml:space="preserve">The administration of the questionnaire </w:t>
      </w:r>
      <w:proofErr w:type="gramStart"/>
      <w:r w:rsidR="00C25848" w:rsidRPr="00D15C0B">
        <w:rPr>
          <w:color w:val="000000"/>
        </w:rPr>
        <w:t>will be performed</w:t>
      </w:r>
      <w:proofErr w:type="gramEnd"/>
      <w:r w:rsidR="00C25848" w:rsidRPr="00D15C0B">
        <w:rPr>
          <w:color w:val="000000"/>
        </w:rPr>
        <w:t xml:space="preserve"> using self-</w:t>
      </w:r>
      <w:r w:rsidR="00015FDF" w:rsidRPr="00D15C0B">
        <w:rPr>
          <w:color w:val="000000"/>
        </w:rPr>
        <w:t>administered ACASI</w:t>
      </w:r>
      <w:r w:rsidR="00C25848" w:rsidRPr="00D15C0B">
        <w:rPr>
          <w:color w:val="000000"/>
        </w:rPr>
        <w:t xml:space="preserve"> on computer to maximize reporting of stigmatizing or socially sensitive behaviors. </w:t>
      </w:r>
      <w:r w:rsidR="00E2271E" w:rsidRPr="00D15C0B">
        <w:rPr>
          <w:color w:val="000000"/>
        </w:rPr>
        <w:t xml:space="preserve">This format </w:t>
      </w:r>
      <w:proofErr w:type="gramStart"/>
      <w:r w:rsidR="00E2271E" w:rsidRPr="00D15C0B">
        <w:rPr>
          <w:color w:val="000000"/>
        </w:rPr>
        <w:t>has been proven</w:t>
      </w:r>
      <w:proofErr w:type="gramEnd"/>
      <w:r w:rsidR="00E2271E" w:rsidRPr="00D15C0B">
        <w:rPr>
          <w:color w:val="000000"/>
        </w:rPr>
        <w:t xml:space="preserve"> to encourage </w:t>
      </w:r>
      <w:r w:rsidR="00490CAC" w:rsidRPr="00D15C0B">
        <w:rPr>
          <w:color w:val="000000"/>
        </w:rPr>
        <w:t xml:space="preserve">risk disclosure and enhance </w:t>
      </w:r>
      <w:r w:rsidR="00E2271E" w:rsidRPr="00D15C0B">
        <w:rPr>
          <w:color w:val="000000"/>
        </w:rPr>
        <w:t xml:space="preserve">participation in the </w:t>
      </w:r>
      <w:r w:rsidR="00490CAC" w:rsidRPr="00D15C0B">
        <w:rPr>
          <w:color w:val="000000"/>
        </w:rPr>
        <w:t xml:space="preserve">previous REDS-II and </w:t>
      </w:r>
      <w:r w:rsidR="00E2271E" w:rsidRPr="00D15C0B">
        <w:rPr>
          <w:color w:val="000000"/>
        </w:rPr>
        <w:t xml:space="preserve">current REDS-III </w:t>
      </w:r>
      <w:r w:rsidR="00623F08" w:rsidRPr="00D15C0B">
        <w:rPr>
          <w:color w:val="000000"/>
        </w:rPr>
        <w:t>HIV case surveillance s</w:t>
      </w:r>
      <w:r w:rsidR="00E2271E" w:rsidRPr="00D15C0B">
        <w:rPr>
          <w:color w:val="000000"/>
        </w:rPr>
        <w:t>tud</w:t>
      </w:r>
      <w:r w:rsidR="00490CAC" w:rsidRPr="00D15C0B">
        <w:rPr>
          <w:color w:val="000000"/>
        </w:rPr>
        <w:t>ies</w:t>
      </w:r>
      <w:r w:rsidR="00E2271E" w:rsidRPr="00D15C0B">
        <w:rPr>
          <w:color w:val="000000"/>
        </w:rPr>
        <w:t xml:space="preserve">. </w:t>
      </w:r>
    </w:p>
    <w:p w14:paraId="74D63577" w14:textId="0828EB85" w:rsidR="008437B1" w:rsidRPr="00D15C0B" w:rsidRDefault="00C25848" w:rsidP="00F85DEF">
      <w:pPr>
        <w:widowControl w:val="0"/>
        <w:adjustRightInd w:val="0"/>
        <w:snapToGrid w:val="0"/>
        <w:ind w:firstLine="720"/>
      </w:pPr>
      <w:r w:rsidRPr="00D15C0B">
        <w:rPr>
          <w:color w:val="000000"/>
        </w:rPr>
        <w:t>A research assistant or nurse will direct the participant to a private room where the ACASI computer (</w:t>
      </w:r>
      <w:r w:rsidR="00B715EC" w:rsidRPr="00D15C0B">
        <w:rPr>
          <w:color w:val="000000"/>
        </w:rPr>
        <w:t xml:space="preserve">with </w:t>
      </w:r>
      <w:r w:rsidR="00372461" w:rsidRPr="00D15C0B">
        <w:rPr>
          <w:color w:val="000000"/>
        </w:rPr>
        <w:t>earphones to</w:t>
      </w:r>
      <w:r w:rsidRPr="00D15C0B">
        <w:rPr>
          <w:color w:val="000000"/>
        </w:rPr>
        <w:t xml:space="preserve"> </w:t>
      </w:r>
      <w:r w:rsidR="00B715EC" w:rsidRPr="00D15C0B">
        <w:rPr>
          <w:color w:val="000000"/>
        </w:rPr>
        <w:t>assure privacy</w:t>
      </w:r>
      <w:r w:rsidRPr="00D15C0B">
        <w:rPr>
          <w:color w:val="000000"/>
        </w:rPr>
        <w:t xml:space="preserve">) is located at each blood center. The study subject will </w:t>
      </w:r>
      <w:proofErr w:type="gramStart"/>
      <w:r w:rsidRPr="00D15C0B">
        <w:rPr>
          <w:color w:val="000000"/>
        </w:rPr>
        <w:t>be shown</w:t>
      </w:r>
      <w:proofErr w:type="gramEnd"/>
      <w:r w:rsidRPr="00D15C0B">
        <w:rPr>
          <w:color w:val="000000"/>
        </w:rPr>
        <w:t xml:space="preserve"> how to use the computer to complete the interview by </w:t>
      </w:r>
      <w:r w:rsidRPr="00D15C0B">
        <w:rPr>
          <w:rStyle w:val="PageNumber"/>
          <w:color w:val="000000"/>
        </w:rPr>
        <w:t>entering basic demographic data with the help of the research staff</w:t>
      </w:r>
      <w:r w:rsidRPr="00D15C0B">
        <w:rPr>
          <w:color w:val="000000"/>
        </w:rPr>
        <w:t>, but will be given privacy to complete the rest of the question</w:t>
      </w:r>
      <w:r w:rsidR="007146F9" w:rsidRPr="00D15C0B">
        <w:rPr>
          <w:color w:val="000000"/>
        </w:rPr>
        <w:t xml:space="preserve">naire. </w:t>
      </w:r>
      <w:r w:rsidR="00B572E2">
        <w:rPr>
          <w:color w:val="000000"/>
        </w:rPr>
        <w:t xml:space="preserve">A Privacy Impact Assessment is in process for the computer systems. </w:t>
      </w:r>
      <w:r w:rsidR="007146F9" w:rsidRPr="00D15C0B">
        <w:rPr>
          <w:color w:val="000000"/>
        </w:rPr>
        <w:t>The research assistant</w:t>
      </w:r>
      <w:r w:rsidRPr="00D15C0B">
        <w:rPr>
          <w:color w:val="000000"/>
        </w:rPr>
        <w:t xml:space="preserve"> will remain available to answer questions and provide help as necessary. We chose ACASI to maximize reporting of stigmatized risk behaviors and to streamline the interview</w:t>
      </w:r>
      <w:r w:rsidR="00B715EC" w:rsidRPr="00D15C0B">
        <w:rPr>
          <w:color w:val="000000"/>
        </w:rPr>
        <w:t xml:space="preserve">. Gate questions and skip patterns assure that only necessary questions </w:t>
      </w:r>
      <w:proofErr w:type="gramStart"/>
      <w:r w:rsidR="00B715EC" w:rsidRPr="00D15C0B">
        <w:rPr>
          <w:color w:val="000000"/>
        </w:rPr>
        <w:t>are asked</w:t>
      </w:r>
      <w:proofErr w:type="gramEnd"/>
      <w:r w:rsidR="00B715EC" w:rsidRPr="00D15C0B">
        <w:rPr>
          <w:color w:val="000000"/>
        </w:rPr>
        <w:t xml:space="preserve">. </w:t>
      </w:r>
      <w:r w:rsidRPr="00D15C0B">
        <w:rPr>
          <w:color w:val="000000"/>
        </w:rPr>
        <w:t xml:space="preserve"> The ACASI format also uses </w:t>
      </w:r>
      <w:r w:rsidRPr="00D15C0B">
        <w:rPr>
          <w:color w:val="000000"/>
        </w:rPr>
        <w:lastRenderedPageBreak/>
        <w:t>electronic data capture</w:t>
      </w:r>
      <w:r w:rsidR="00372461" w:rsidRPr="00D15C0B">
        <w:rPr>
          <w:color w:val="000000"/>
        </w:rPr>
        <w:t>,</w:t>
      </w:r>
      <w:r w:rsidRPr="00D15C0B">
        <w:rPr>
          <w:color w:val="000000"/>
        </w:rPr>
        <w:t xml:space="preserve"> which reduces data entry errors. </w:t>
      </w:r>
      <w:r w:rsidRPr="00D15C0B">
        <w:t xml:space="preserve">The ACASI program has </w:t>
      </w:r>
      <w:r w:rsidR="00B715EC" w:rsidRPr="00D15C0B">
        <w:t>proven successful</w:t>
      </w:r>
      <w:r w:rsidRPr="00D15C0B">
        <w:t xml:space="preserve"> during the </w:t>
      </w:r>
      <w:r w:rsidR="00B06C8B" w:rsidRPr="00D15C0B">
        <w:t>previous HIV studies conducted in Brazil.</w:t>
      </w:r>
      <w:r w:rsidRPr="00D15C0B">
        <w:t xml:space="preserve"> T</w:t>
      </w:r>
      <w:r w:rsidRPr="00D15C0B">
        <w:rPr>
          <w:color w:val="000000"/>
        </w:rPr>
        <w:t xml:space="preserve">he young Brazilian subjects adapted easily to the </w:t>
      </w:r>
      <w:r w:rsidR="00B06C8B" w:rsidRPr="00D15C0B">
        <w:rPr>
          <w:color w:val="000000"/>
        </w:rPr>
        <w:t xml:space="preserve">touch-screen </w:t>
      </w:r>
      <w:r w:rsidRPr="00D15C0B">
        <w:rPr>
          <w:color w:val="000000"/>
        </w:rPr>
        <w:t xml:space="preserve">computer interview, while older or </w:t>
      </w:r>
      <w:r w:rsidR="0028047D" w:rsidRPr="00D15C0B">
        <w:rPr>
          <w:color w:val="000000"/>
        </w:rPr>
        <w:t xml:space="preserve">less literate </w:t>
      </w:r>
      <w:r w:rsidRPr="00D15C0B">
        <w:rPr>
          <w:color w:val="000000"/>
        </w:rPr>
        <w:t xml:space="preserve">donors relied more heavily on the audio component and/or assistance from the research assistant and/or nurse.  </w:t>
      </w:r>
      <w:r w:rsidR="003E26F6" w:rsidRPr="00D15C0B">
        <w:rPr>
          <w:color w:val="000000"/>
        </w:rPr>
        <w:t xml:space="preserve">Additionally, to support our objectives we will access the responses from the two previous ACASI questionnaires, the original HIV-positive case interviews from the REDS-II </w:t>
      </w:r>
      <w:r w:rsidR="00FD067D" w:rsidRPr="00D15C0B">
        <w:rPr>
          <w:color w:val="000000"/>
        </w:rPr>
        <w:t xml:space="preserve">case control </w:t>
      </w:r>
      <w:r w:rsidR="0000191B" w:rsidRPr="00D15C0B">
        <w:rPr>
          <w:color w:val="000000"/>
        </w:rPr>
        <w:t>and the</w:t>
      </w:r>
      <w:r w:rsidR="003E26F6" w:rsidRPr="00D15C0B">
        <w:rPr>
          <w:color w:val="000000"/>
        </w:rPr>
        <w:t xml:space="preserve"> </w:t>
      </w:r>
      <w:r w:rsidR="00FE46B2" w:rsidRPr="00D15C0B">
        <w:t xml:space="preserve">REDS-III HIV risk factor and molecular case surveillance </w:t>
      </w:r>
      <w:r w:rsidRPr="00D15C0B">
        <w:rPr>
          <w:color w:val="000000"/>
        </w:rPr>
        <w:t>studies</w:t>
      </w:r>
      <w:r w:rsidR="00FE6423" w:rsidRPr="00D15C0B">
        <w:rPr>
          <w:color w:val="000000"/>
        </w:rPr>
        <w:t>.</w:t>
      </w:r>
      <w:r w:rsidR="008437B1" w:rsidRPr="00D15C0B">
        <w:rPr>
          <w:color w:val="000000"/>
        </w:rPr>
        <w:t xml:space="preserve"> </w:t>
      </w:r>
    </w:p>
    <w:p w14:paraId="58CE1E00" w14:textId="22174138" w:rsidR="008437B1" w:rsidRPr="00D15C0B" w:rsidRDefault="008437B1" w:rsidP="00DA7D2B">
      <w:pPr>
        <w:widowControl w:val="0"/>
        <w:adjustRightInd w:val="0"/>
        <w:snapToGrid w:val="0"/>
      </w:pPr>
      <w:r w:rsidRPr="00D15C0B">
        <w:tab/>
      </w:r>
      <w:r w:rsidR="00E2271E" w:rsidRPr="00D15C0B">
        <w:t>Respondents</w:t>
      </w:r>
      <w:r w:rsidRPr="00D15C0B">
        <w:t xml:space="preserve"> will </w:t>
      </w:r>
      <w:r w:rsidR="0013432C" w:rsidRPr="00D15C0B">
        <w:t xml:space="preserve">continue to </w:t>
      </w:r>
      <w:proofErr w:type="gramStart"/>
      <w:r w:rsidR="0013432C" w:rsidRPr="00D15C0B">
        <w:t xml:space="preserve">be </w:t>
      </w:r>
      <w:r w:rsidRPr="00D15C0B">
        <w:t>assured</w:t>
      </w:r>
      <w:proofErr w:type="gramEnd"/>
      <w:r w:rsidRPr="00D15C0B">
        <w:t xml:space="preserve"> of the </w:t>
      </w:r>
      <w:r w:rsidR="00DA7D2B" w:rsidRPr="00D15C0B">
        <w:t xml:space="preserve">privacy </w:t>
      </w:r>
      <w:r w:rsidRPr="00D15C0B">
        <w:t>of their responses</w:t>
      </w:r>
      <w:r w:rsidR="00DA7D2B" w:rsidRPr="00D15C0B">
        <w:t xml:space="preserve"> to the extent permitted by law</w:t>
      </w:r>
      <w:r w:rsidRPr="00D15C0B">
        <w:t>. Use of a Subject ID on the questionnaire allow</w:t>
      </w:r>
      <w:r w:rsidR="00B715EC" w:rsidRPr="00D15C0B">
        <w:t>s</w:t>
      </w:r>
      <w:r w:rsidRPr="00D15C0B">
        <w:t xml:space="preserve"> for tracking of survey responses without entering</w:t>
      </w:r>
      <w:r w:rsidR="000C42A2" w:rsidRPr="00D15C0B">
        <w:t xml:space="preserve"> any personally</w:t>
      </w:r>
      <w:r w:rsidRPr="00D15C0B">
        <w:t xml:space="preserve"> identifying information into the study database. The link between the Subject ID number and the identity of the donor </w:t>
      </w:r>
      <w:proofErr w:type="gramStart"/>
      <w:r w:rsidRPr="00D15C0B">
        <w:t>is only maintained</w:t>
      </w:r>
      <w:proofErr w:type="gramEnd"/>
      <w:r w:rsidRPr="00D15C0B">
        <w:t xml:space="preserve"> by </w:t>
      </w:r>
      <w:r w:rsidR="00B06C8B" w:rsidRPr="00D15C0B">
        <w:t xml:space="preserve">each </w:t>
      </w:r>
      <w:r w:rsidRPr="00D15C0B">
        <w:t xml:space="preserve">blood center. This link </w:t>
      </w:r>
      <w:proofErr w:type="gramStart"/>
      <w:r w:rsidRPr="00D15C0B">
        <w:t>is maintained</w:t>
      </w:r>
      <w:proofErr w:type="gramEnd"/>
      <w:r w:rsidRPr="00D15C0B">
        <w:t xml:space="preserve"> so that HIV</w:t>
      </w:r>
      <w:r w:rsidR="00986D68" w:rsidRPr="00D15C0B">
        <w:t>-</w:t>
      </w:r>
      <w:r w:rsidRPr="00D15C0B">
        <w:t xml:space="preserve">positive participants can be re-contacted with their genotyping and drug resistance test results or in a </w:t>
      </w:r>
      <w:r w:rsidR="00B06C8B" w:rsidRPr="00D15C0B">
        <w:t>situation</w:t>
      </w:r>
      <w:r w:rsidRPr="00D15C0B">
        <w:t xml:space="preserve"> where the donor wishes to withdraw from the study. The </w:t>
      </w:r>
      <w:r w:rsidR="00D03313" w:rsidRPr="00D15C0B">
        <w:t xml:space="preserve">US-based </w:t>
      </w:r>
      <w:r w:rsidR="00C94834" w:rsidRPr="00D15C0B">
        <w:t xml:space="preserve">Data </w:t>
      </w:r>
      <w:r w:rsidRPr="00D15C0B">
        <w:t>Coordinating Center (</w:t>
      </w:r>
      <w:r w:rsidR="00C94834" w:rsidRPr="00D15C0B">
        <w:t>D</w:t>
      </w:r>
      <w:r w:rsidRPr="00D15C0B">
        <w:t xml:space="preserve">CC) will not have access to any </w:t>
      </w:r>
      <w:r w:rsidR="00B06C8B" w:rsidRPr="00D15C0B">
        <w:t>personal</w:t>
      </w:r>
      <w:r w:rsidRPr="00D15C0B">
        <w:t xml:space="preserve"> identifying information.</w:t>
      </w:r>
      <w:r w:rsidR="007146F9" w:rsidRPr="00D15C0B">
        <w:t xml:space="preserve"> </w:t>
      </w:r>
    </w:p>
    <w:p w14:paraId="7661C4EE" w14:textId="77777777" w:rsidR="008437B1" w:rsidRPr="00D15C0B" w:rsidRDefault="008437B1" w:rsidP="00043695">
      <w:pPr>
        <w:widowControl w:val="0"/>
        <w:adjustRightInd w:val="0"/>
        <w:snapToGrid w:val="0"/>
      </w:pPr>
    </w:p>
    <w:p w14:paraId="1FCCE3FC" w14:textId="77777777" w:rsidR="008437B1" w:rsidRPr="00D15C0B" w:rsidRDefault="008437B1" w:rsidP="00043695">
      <w:pPr>
        <w:pStyle w:val="E-mailSignature"/>
        <w:widowControl w:val="0"/>
        <w:adjustRightInd w:val="0"/>
        <w:snapToGrid w:val="0"/>
        <w:rPr>
          <w:b/>
        </w:rPr>
      </w:pPr>
      <w:bookmarkStart w:id="7" w:name="_Toc153351587"/>
      <w:r w:rsidRPr="00D15C0B">
        <w:rPr>
          <w:b/>
        </w:rPr>
        <w:t>A.4.</w:t>
      </w:r>
      <w:r w:rsidRPr="00D15C0B">
        <w:rPr>
          <w:b/>
        </w:rPr>
        <w:tab/>
        <w:t>Efforts to Identify Duplication and Use of Similar Information</w:t>
      </w:r>
      <w:bookmarkEnd w:id="7"/>
    </w:p>
    <w:p w14:paraId="12530867" w14:textId="77777777" w:rsidR="00E43A95" w:rsidRPr="00D15C0B" w:rsidRDefault="008437B1" w:rsidP="00043695">
      <w:pPr>
        <w:widowControl w:val="0"/>
        <w:tabs>
          <w:tab w:val="left" w:pos="720"/>
        </w:tabs>
        <w:adjustRightInd w:val="0"/>
        <w:snapToGrid w:val="0"/>
      </w:pPr>
      <w:r w:rsidRPr="00D15C0B">
        <w:tab/>
      </w:r>
    </w:p>
    <w:p w14:paraId="41234EFE" w14:textId="7A55935A" w:rsidR="00F471EB" w:rsidRPr="00D15C0B" w:rsidRDefault="00E43A95" w:rsidP="00372461">
      <w:r w:rsidRPr="00D15C0B">
        <w:tab/>
      </w:r>
      <w:r w:rsidR="00E2271E" w:rsidRPr="00D15C0B">
        <w:t xml:space="preserve">This study seeks to provide critical supplemental information to the </w:t>
      </w:r>
      <w:r w:rsidR="003524E3" w:rsidRPr="00D15C0B">
        <w:t>HIV-positive donor (</w:t>
      </w:r>
      <w:r w:rsidR="00C05788" w:rsidRPr="00D15C0B">
        <w:t>case</w:t>
      </w:r>
      <w:r w:rsidR="003524E3" w:rsidRPr="00D15C0B">
        <w:t>)</w:t>
      </w:r>
      <w:r w:rsidR="00C05788" w:rsidRPr="00D15C0B">
        <w:t xml:space="preserve"> </w:t>
      </w:r>
      <w:r w:rsidR="003524E3" w:rsidRPr="00D15C0B">
        <w:t xml:space="preserve">surveillance </w:t>
      </w:r>
      <w:r w:rsidR="00E2271E" w:rsidRPr="00D15C0B">
        <w:t xml:space="preserve">risk factor information being collected </w:t>
      </w:r>
      <w:r w:rsidR="006C0E5F" w:rsidRPr="00D15C0B">
        <w:t>in</w:t>
      </w:r>
      <w:r w:rsidR="00E2271E" w:rsidRPr="00D15C0B">
        <w:t xml:space="preserve"> the current </w:t>
      </w:r>
      <w:r w:rsidR="00FE46B2" w:rsidRPr="00D15C0B">
        <w:t>REDS-III HIV risk factor study</w:t>
      </w:r>
      <w:r w:rsidR="00372461" w:rsidRPr="00D15C0B">
        <w:t xml:space="preserve"> previously described</w:t>
      </w:r>
      <w:r w:rsidR="00BD1B36" w:rsidRPr="00D15C0B">
        <w:t xml:space="preserve"> (OMB 0925-0597, expiration date, July 31, 2015)</w:t>
      </w:r>
      <w:r w:rsidR="00372461" w:rsidRPr="00D15C0B">
        <w:t>,</w:t>
      </w:r>
      <w:r w:rsidR="00BD1B36" w:rsidRPr="00D15C0B">
        <w:t xml:space="preserve"> and the REDS-II HIV case-control study (OMB 0925- 0597 expired on February 29, 2012)</w:t>
      </w:r>
      <w:r w:rsidR="00372461" w:rsidRPr="00D15C0B">
        <w:t xml:space="preserve">. </w:t>
      </w:r>
      <w:r w:rsidR="00BD1B36" w:rsidRPr="00D15C0B">
        <w:t xml:space="preserve"> </w:t>
      </w:r>
      <w:r w:rsidR="00E1308D" w:rsidRPr="00D15C0B">
        <w:t>The REDS</w:t>
      </w:r>
      <w:r w:rsidR="00BD1B36" w:rsidRPr="00D15C0B">
        <w:t>-</w:t>
      </w:r>
      <w:r w:rsidR="00E1308D" w:rsidRPr="00D15C0B">
        <w:t>II and REDS</w:t>
      </w:r>
      <w:r w:rsidR="00BD1B36" w:rsidRPr="00D15C0B">
        <w:t>-</w:t>
      </w:r>
      <w:r w:rsidR="00E1308D" w:rsidRPr="00D15C0B">
        <w:t>III studies provide a well-</w:t>
      </w:r>
      <w:r w:rsidR="00502E7A" w:rsidRPr="00D15C0B">
        <w:t xml:space="preserve">defined </w:t>
      </w:r>
      <w:r w:rsidR="00E1308D" w:rsidRPr="00D15C0B">
        <w:t xml:space="preserve">cohort of HIV positive donors. </w:t>
      </w:r>
      <w:r w:rsidR="00502E7A" w:rsidRPr="00D15C0B">
        <w:t>Based on investigating what actually occurs in these blood centers, this study will provide an u</w:t>
      </w:r>
      <w:r w:rsidR="00BD1B36" w:rsidRPr="00D15C0B">
        <w:t xml:space="preserve">nderstanding </w:t>
      </w:r>
      <w:r w:rsidR="00502E7A" w:rsidRPr="00D15C0B">
        <w:t xml:space="preserve">of </w:t>
      </w:r>
      <w:r w:rsidR="00E1308D" w:rsidRPr="00D15C0B">
        <w:t>behavioral patterns pre and post notification</w:t>
      </w:r>
      <w:r w:rsidR="00502E7A" w:rsidRPr="00D15C0B">
        <w:t xml:space="preserve">, </w:t>
      </w:r>
      <w:r w:rsidR="00BD1B36" w:rsidRPr="00D15C0B">
        <w:t xml:space="preserve">processes for </w:t>
      </w:r>
      <w:r w:rsidR="00E1308D" w:rsidRPr="00D15C0B">
        <w:t>refer</w:t>
      </w:r>
      <w:r w:rsidR="00BD1B36" w:rsidRPr="00D15C0B">
        <w:t xml:space="preserve">ral </w:t>
      </w:r>
      <w:r w:rsidR="00E1308D" w:rsidRPr="00D15C0B">
        <w:t>to proper</w:t>
      </w:r>
      <w:r w:rsidR="00502E7A" w:rsidRPr="00D15C0B">
        <w:t xml:space="preserve"> HIV</w:t>
      </w:r>
      <w:r w:rsidR="00BD1B36" w:rsidRPr="00D15C0B">
        <w:t xml:space="preserve"> </w:t>
      </w:r>
      <w:r w:rsidR="00502E7A" w:rsidRPr="00D15C0B">
        <w:t xml:space="preserve">disease </w:t>
      </w:r>
      <w:r w:rsidR="00E1308D" w:rsidRPr="00D15C0B">
        <w:t>care</w:t>
      </w:r>
      <w:proofErr w:type="gramStart"/>
      <w:r w:rsidR="00E1308D" w:rsidRPr="00D15C0B">
        <w:t xml:space="preserve">, </w:t>
      </w:r>
      <w:r w:rsidR="00502E7A" w:rsidRPr="00D15C0B">
        <w:t xml:space="preserve"> and</w:t>
      </w:r>
      <w:proofErr w:type="gramEnd"/>
      <w:r w:rsidR="00502E7A" w:rsidRPr="00D15C0B">
        <w:t xml:space="preserve"> </w:t>
      </w:r>
      <w:r w:rsidR="00E1308D" w:rsidRPr="00D15C0B">
        <w:t xml:space="preserve">will provide a </w:t>
      </w:r>
      <w:r w:rsidR="00BD1B36" w:rsidRPr="00D15C0B">
        <w:t xml:space="preserve">clearer picture </w:t>
      </w:r>
      <w:r w:rsidR="00E1308D" w:rsidRPr="00D15C0B">
        <w:t>of</w:t>
      </w:r>
      <w:r w:rsidR="00502E7A" w:rsidRPr="00D15C0B">
        <w:t xml:space="preserve"> the gaps in the transitioning of HIV positive individuals from blood centers to health care clinics. </w:t>
      </w:r>
      <w:r w:rsidR="00461E27" w:rsidRPr="00D15C0B">
        <w:t>The assessment of the</w:t>
      </w:r>
      <w:r w:rsidR="00BD1B36" w:rsidRPr="00D15C0B">
        <w:t xml:space="preserve"> behavior </w:t>
      </w:r>
      <w:r w:rsidR="000E0EF8" w:rsidRPr="00D15C0B">
        <w:t xml:space="preserve">of </w:t>
      </w:r>
      <w:r w:rsidR="00461E27" w:rsidRPr="00D15C0B">
        <w:t xml:space="preserve">blood </w:t>
      </w:r>
      <w:r w:rsidR="000E0EF8" w:rsidRPr="00D15C0B">
        <w:t xml:space="preserve">donors with respect to notification and referral to HCT centers </w:t>
      </w:r>
      <w:r w:rsidR="00BD1B36" w:rsidRPr="00D15C0B">
        <w:t xml:space="preserve">should </w:t>
      </w:r>
      <w:r w:rsidR="000E0EF8" w:rsidRPr="00D15C0B">
        <w:t xml:space="preserve">directly, and </w:t>
      </w:r>
      <w:r w:rsidR="00461E27" w:rsidRPr="00D15C0B">
        <w:t>affirmatively</w:t>
      </w:r>
      <w:r w:rsidR="000E0EF8" w:rsidRPr="00D15C0B">
        <w:t xml:space="preserve">, </w:t>
      </w:r>
      <w:r w:rsidR="00E1308D" w:rsidRPr="00D15C0B">
        <w:t xml:space="preserve">affect the epidemiology and </w:t>
      </w:r>
      <w:r w:rsidR="00BD1B36" w:rsidRPr="00D15C0B">
        <w:t xml:space="preserve">spread of HIV in Brazil. </w:t>
      </w:r>
    </w:p>
    <w:p w14:paraId="16760055" w14:textId="49BDA92C" w:rsidR="009E5D1F" w:rsidRPr="00D15C0B" w:rsidRDefault="009E5D1F" w:rsidP="001736B8">
      <w:pPr>
        <w:widowControl w:val="0"/>
        <w:tabs>
          <w:tab w:val="left" w:pos="720"/>
        </w:tabs>
        <w:adjustRightInd w:val="0"/>
        <w:snapToGrid w:val="0"/>
      </w:pPr>
    </w:p>
    <w:p w14:paraId="47F77719" w14:textId="77777777" w:rsidR="008437B1" w:rsidRPr="00D15C0B" w:rsidRDefault="008437B1" w:rsidP="00043695">
      <w:pPr>
        <w:widowControl w:val="0"/>
        <w:tabs>
          <w:tab w:val="left" w:pos="720"/>
        </w:tabs>
        <w:adjustRightInd w:val="0"/>
        <w:snapToGrid w:val="0"/>
      </w:pPr>
      <w:r w:rsidRPr="00D15C0B">
        <w:rPr>
          <w:color w:val="000000"/>
        </w:rPr>
        <w:tab/>
      </w:r>
    </w:p>
    <w:p w14:paraId="7BA0D916" w14:textId="77777777" w:rsidR="008437B1" w:rsidRPr="00D15C0B" w:rsidRDefault="008437B1" w:rsidP="00043695">
      <w:pPr>
        <w:widowControl w:val="0"/>
        <w:tabs>
          <w:tab w:val="left" w:pos="720"/>
        </w:tabs>
        <w:adjustRightInd w:val="0"/>
        <w:snapToGrid w:val="0"/>
        <w:rPr>
          <w:b/>
        </w:rPr>
      </w:pPr>
      <w:bookmarkStart w:id="8" w:name="_Toc153351588"/>
      <w:r w:rsidRPr="00D15C0B">
        <w:rPr>
          <w:b/>
        </w:rPr>
        <w:t>A.5.</w:t>
      </w:r>
      <w:r w:rsidRPr="00D15C0B">
        <w:rPr>
          <w:b/>
        </w:rPr>
        <w:tab/>
        <w:t>Impact on Small Businesses or Other Small Entities</w:t>
      </w:r>
      <w:bookmarkEnd w:id="8"/>
    </w:p>
    <w:p w14:paraId="64B52D7B" w14:textId="77777777" w:rsidR="00E43A95" w:rsidRPr="00D15C0B" w:rsidRDefault="00E43A95" w:rsidP="00043695">
      <w:pPr>
        <w:widowControl w:val="0"/>
        <w:adjustRightInd w:val="0"/>
        <w:snapToGrid w:val="0"/>
      </w:pPr>
    </w:p>
    <w:p w14:paraId="159EB7B4" w14:textId="77777777" w:rsidR="008437B1" w:rsidRPr="00D15C0B" w:rsidRDefault="008437B1" w:rsidP="00043695">
      <w:pPr>
        <w:widowControl w:val="0"/>
        <w:adjustRightInd w:val="0"/>
        <w:snapToGrid w:val="0"/>
      </w:pPr>
      <w:r w:rsidRPr="00D15C0B">
        <w:tab/>
        <w:t>Small businesses or entities are not involved. All respondents are individual blood donors.</w:t>
      </w:r>
    </w:p>
    <w:p w14:paraId="04FA3D13" w14:textId="77777777" w:rsidR="0077356E" w:rsidRPr="00D15C0B" w:rsidRDefault="0077356E" w:rsidP="00043695">
      <w:pPr>
        <w:pStyle w:val="E-mailSignature"/>
        <w:widowControl w:val="0"/>
        <w:adjustRightInd w:val="0"/>
        <w:snapToGrid w:val="0"/>
        <w:rPr>
          <w:b/>
        </w:rPr>
      </w:pPr>
      <w:bookmarkStart w:id="9" w:name="_Toc153351589"/>
    </w:p>
    <w:p w14:paraId="0F05BCB9" w14:textId="77777777" w:rsidR="008437B1" w:rsidRPr="00D15C0B" w:rsidRDefault="008437B1" w:rsidP="00043695">
      <w:pPr>
        <w:pStyle w:val="E-mailSignature"/>
        <w:widowControl w:val="0"/>
        <w:adjustRightInd w:val="0"/>
        <w:snapToGrid w:val="0"/>
        <w:rPr>
          <w:b/>
        </w:rPr>
      </w:pPr>
      <w:r w:rsidRPr="00D15C0B">
        <w:rPr>
          <w:b/>
        </w:rPr>
        <w:t>A.6.</w:t>
      </w:r>
      <w:r w:rsidRPr="00D15C0B">
        <w:rPr>
          <w:b/>
        </w:rPr>
        <w:tab/>
        <w:t>Consequences of Collecting the Information at a Chosen Frequency</w:t>
      </w:r>
      <w:bookmarkEnd w:id="9"/>
    </w:p>
    <w:p w14:paraId="6A25CF3C" w14:textId="77777777" w:rsidR="00E43A95" w:rsidRPr="00D15C0B" w:rsidRDefault="00E43A95" w:rsidP="00043695">
      <w:pPr>
        <w:pStyle w:val="E-mailSignature"/>
        <w:widowControl w:val="0"/>
        <w:adjustRightInd w:val="0"/>
        <w:snapToGrid w:val="0"/>
        <w:rPr>
          <w:b/>
        </w:rPr>
      </w:pPr>
    </w:p>
    <w:p w14:paraId="478C1C52" w14:textId="010F44DF" w:rsidR="008437B1" w:rsidRPr="00D15C0B" w:rsidRDefault="008437B1" w:rsidP="00372461">
      <w:pPr>
        <w:pStyle w:val="E-mailSignature"/>
        <w:widowControl w:val="0"/>
        <w:adjustRightInd w:val="0"/>
        <w:snapToGrid w:val="0"/>
      </w:pPr>
      <w:r w:rsidRPr="00D15C0B">
        <w:rPr>
          <w:b/>
        </w:rPr>
        <w:t xml:space="preserve"> </w:t>
      </w:r>
      <w:r w:rsidRPr="00D15C0B">
        <w:tab/>
        <w:t xml:space="preserve">Questionnaires will be administered only once to all </w:t>
      </w:r>
      <w:r w:rsidR="00461E27" w:rsidRPr="00D15C0B">
        <w:t xml:space="preserve">participants </w:t>
      </w:r>
      <w:r w:rsidRPr="00D15C0B">
        <w:t xml:space="preserve">in an ACASI format on a computer. </w:t>
      </w:r>
      <w:proofErr w:type="gramStart"/>
      <w:r w:rsidRPr="00D15C0B">
        <w:t>The content</w:t>
      </w:r>
      <w:r w:rsidR="00461E27" w:rsidRPr="00D15C0B">
        <w:t xml:space="preserve"> domains</w:t>
      </w:r>
      <w:r w:rsidRPr="00D15C0B">
        <w:t xml:space="preserve"> of this interv</w:t>
      </w:r>
      <w:r w:rsidR="00066D6E" w:rsidRPr="00D15C0B">
        <w:t>iew include</w:t>
      </w:r>
      <w:r w:rsidR="00372461" w:rsidRPr="00D15C0B">
        <w:t>;</w:t>
      </w:r>
      <w:r w:rsidR="00066D6E" w:rsidRPr="00D15C0B">
        <w:t xml:space="preserve"> what has happened to the donor since being notified of </w:t>
      </w:r>
      <w:r w:rsidR="00461E27" w:rsidRPr="00D15C0B">
        <w:t>his/her</w:t>
      </w:r>
      <w:r w:rsidR="00066D6E" w:rsidRPr="00D15C0B">
        <w:t xml:space="preserve"> HIV infection status at the </w:t>
      </w:r>
      <w:r w:rsidR="00B66A81" w:rsidRPr="00D15C0B">
        <w:t>blood center</w:t>
      </w:r>
      <w:r w:rsidR="00372461" w:rsidRPr="00D15C0B">
        <w:t xml:space="preserve">, </w:t>
      </w:r>
      <w:r w:rsidR="00066D6E" w:rsidRPr="00D15C0B">
        <w:t>questions related to access to health care and treatment, risk reduction after HIV notification, HIV status disclosure to sexual partners, family and friends,</w:t>
      </w:r>
      <w:r w:rsidR="00372461" w:rsidRPr="00D15C0B">
        <w:t xml:space="preserve"> </w:t>
      </w:r>
      <w:r w:rsidR="00461E27" w:rsidRPr="00D15C0B">
        <w:t xml:space="preserve">perceptions of </w:t>
      </w:r>
      <w:r w:rsidR="00066D6E" w:rsidRPr="00D15C0B">
        <w:t>stigma and prejudice</w:t>
      </w:r>
      <w:r w:rsidR="00F36318" w:rsidRPr="00D15C0B">
        <w:t>,</w:t>
      </w:r>
      <w:r w:rsidR="00066D6E" w:rsidRPr="00D15C0B">
        <w:t xml:space="preserve"> </w:t>
      </w:r>
      <w:r w:rsidR="00461E27" w:rsidRPr="00D15C0B">
        <w:t xml:space="preserve">and </w:t>
      </w:r>
      <w:r w:rsidR="00372461" w:rsidRPr="00D15C0B">
        <w:t>enhancements that the donor thinks</w:t>
      </w:r>
      <w:r w:rsidR="00066D6E" w:rsidRPr="00D15C0B">
        <w:t xml:space="preserve"> can be made to </w:t>
      </w:r>
      <w:r w:rsidR="0042422A" w:rsidRPr="00D15C0B">
        <w:t xml:space="preserve">increase </w:t>
      </w:r>
      <w:r w:rsidR="00066D6E" w:rsidRPr="00D15C0B">
        <w:t xml:space="preserve">HIV </w:t>
      </w:r>
      <w:r w:rsidR="0042422A" w:rsidRPr="00D15C0B">
        <w:t xml:space="preserve">risk </w:t>
      </w:r>
      <w:r w:rsidR="00066D6E" w:rsidRPr="00D15C0B">
        <w:t>disclosure during the donor eligibility assessment.</w:t>
      </w:r>
      <w:proofErr w:type="gramEnd"/>
      <w:r w:rsidR="00066D6E" w:rsidRPr="00D15C0B">
        <w:t xml:space="preserve"> </w:t>
      </w:r>
      <w:r w:rsidRPr="00D15C0B">
        <w:rPr>
          <w:color w:val="000000"/>
        </w:rPr>
        <w:t xml:space="preserve">Data collected from each respondent during this interview are essential to understanding </w:t>
      </w:r>
      <w:r w:rsidR="0042422A" w:rsidRPr="00D15C0B">
        <w:rPr>
          <w:color w:val="000000"/>
        </w:rPr>
        <w:t xml:space="preserve">health care seeking </w:t>
      </w:r>
      <w:r w:rsidR="0042422A" w:rsidRPr="00D15C0B">
        <w:rPr>
          <w:color w:val="000000"/>
        </w:rPr>
        <w:lastRenderedPageBreak/>
        <w:t>behavior in</w:t>
      </w:r>
      <w:r w:rsidRPr="00D15C0B">
        <w:rPr>
          <w:color w:val="000000"/>
        </w:rPr>
        <w:t xml:space="preserve"> the study population</w:t>
      </w:r>
      <w:r w:rsidR="00461E27" w:rsidRPr="00D15C0B">
        <w:rPr>
          <w:color w:val="000000"/>
        </w:rPr>
        <w:t xml:space="preserve"> and </w:t>
      </w:r>
      <w:r w:rsidRPr="00D15C0B">
        <w:rPr>
          <w:color w:val="000000"/>
        </w:rPr>
        <w:t xml:space="preserve">the interview itself constitutes a minimal level of burden on </w:t>
      </w:r>
      <w:r w:rsidR="00C43CC4" w:rsidRPr="00D15C0B">
        <w:rPr>
          <w:color w:val="000000"/>
        </w:rPr>
        <w:t xml:space="preserve">the </w:t>
      </w:r>
      <w:r w:rsidRPr="00D15C0B">
        <w:rPr>
          <w:color w:val="000000"/>
        </w:rPr>
        <w:t xml:space="preserve">respondents. </w:t>
      </w:r>
    </w:p>
    <w:p w14:paraId="6527425D" w14:textId="77777777" w:rsidR="00281870" w:rsidRPr="00D15C0B" w:rsidRDefault="00281870" w:rsidP="00043695">
      <w:pPr>
        <w:pStyle w:val="E-mailSignature"/>
        <w:widowControl w:val="0"/>
        <w:adjustRightInd w:val="0"/>
        <w:snapToGrid w:val="0"/>
        <w:rPr>
          <w:b/>
        </w:rPr>
      </w:pPr>
      <w:bookmarkStart w:id="10" w:name="_Toc153351590"/>
    </w:p>
    <w:p w14:paraId="2E29DC0D" w14:textId="77777777" w:rsidR="00281870" w:rsidRPr="00D15C0B" w:rsidRDefault="00281870" w:rsidP="00043695">
      <w:pPr>
        <w:pStyle w:val="E-mailSignature"/>
        <w:widowControl w:val="0"/>
        <w:adjustRightInd w:val="0"/>
        <w:snapToGrid w:val="0"/>
        <w:rPr>
          <w:b/>
        </w:rPr>
      </w:pPr>
    </w:p>
    <w:p w14:paraId="16EBB8A4" w14:textId="77777777" w:rsidR="008437B1" w:rsidRPr="00D15C0B" w:rsidRDefault="008437B1" w:rsidP="00043695">
      <w:pPr>
        <w:pStyle w:val="E-mailSignature"/>
        <w:widowControl w:val="0"/>
        <w:adjustRightInd w:val="0"/>
        <w:snapToGrid w:val="0"/>
        <w:rPr>
          <w:b/>
        </w:rPr>
      </w:pPr>
      <w:r w:rsidRPr="00D15C0B">
        <w:rPr>
          <w:b/>
        </w:rPr>
        <w:t>A.7.</w:t>
      </w:r>
      <w:r w:rsidRPr="00D15C0B">
        <w:rPr>
          <w:b/>
        </w:rPr>
        <w:tab/>
        <w:t xml:space="preserve">Special Circumstances Relating to the Guidelines of </w:t>
      </w:r>
      <w:proofErr w:type="gramStart"/>
      <w:r w:rsidRPr="00D15C0B">
        <w:rPr>
          <w:b/>
        </w:rPr>
        <w:t>5</w:t>
      </w:r>
      <w:proofErr w:type="gramEnd"/>
      <w:r w:rsidRPr="00D15C0B">
        <w:rPr>
          <w:b/>
        </w:rPr>
        <w:t xml:space="preserve"> CFR 1320.5</w:t>
      </w:r>
      <w:bookmarkEnd w:id="10"/>
    </w:p>
    <w:p w14:paraId="6C171DDA" w14:textId="77777777" w:rsidR="00E43A95" w:rsidRPr="00D15C0B" w:rsidRDefault="00E43A95" w:rsidP="00043695">
      <w:pPr>
        <w:widowControl w:val="0"/>
        <w:adjustRightInd w:val="0"/>
        <w:snapToGrid w:val="0"/>
      </w:pPr>
    </w:p>
    <w:p w14:paraId="4DE12FD4" w14:textId="77777777" w:rsidR="0077356E" w:rsidRPr="00D15C0B" w:rsidRDefault="008437B1" w:rsidP="00043695">
      <w:pPr>
        <w:widowControl w:val="0"/>
        <w:adjustRightInd w:val="0"/>
        <w:snapToGrid w:val="0"/>
      </w:pPr>
      <w:r w:rsidRPr="00D15C0B">
        <w:tab/>
        <w:t xml:space="preserve">The proposed data collection is consistent with </w:t>
      </w:r>
      <w:proofErr w:type="gramStart"/>
      <w:r w:rsidRPr="00D15C0B">
        <w:t>5</w:t>
      </w:r>
      <w:proofErr w:type="gramEnd"/>
      <w:r w:rsidRPr="00D15C0B">
        <w:t xml:space="preserve"> CFR 1320.5.</w:t>
      </w:r>
    </w:p>
    <w:p w14:paraId="52F4A6C4" w14:textId="77777777" w:rsidR="008437B1" w:rsidRPr="00D15C0B" w:rsidRDefault="008437B1" w:rsidP="00043695">
      <w:pPr>
        <w:widowControl w:val="0"/>
        <w:adjustRightInd w:val="0"/>
        <w:snapToGrid w:val="0"/>
      </w:pPr>
      <w:r w:rsidRPr="00D15C0B">
        <w:t xml:space="preserve"> </w:t>
      </w:r>
    </w:p>
    <w:p w14:paraId="0EAE8360" w14:textId="77777777" w:rsidR="008437B1" w:rsidRPr="00D15C0B" w:rsidRDefault="008437B1" w:rsidP="00043695">
      <w:pPr>
        <w:pStyle w:val="E-mailSignature"/>
        <w:widowControl w:val="0"/>
        <w:adjustRightInd w:val="0"/>
        <w:snapToGrid w:val="0"/>
        <w:rPr>
          <w:b/>
        </w:rPr>
      </w:pPr>
      <w:bookmarkStart w:id="11" w:name="_Toc153351591"/>
      <w:r w:rsidRPr="00D15C0B">
        <w:rPr>
          <w:b/>
        </w:rPr>
        <w:t>A.8.</w:t>
      </w:r>
      <w:r w:rsidRPr="00D15C0B">
        <w:rPr>
          <w:b/>
        </w:rPr>
        <w:tab/>
        <w:t>Comments in Response to the Federal Register Notice and Efforts to Consult Outside Agency</w:t>
      </w:r>
      <w:bookmarkEnd w:id="11"/>
    </w:p>
    <w:p w14:paraId="57F2A901" w14:textId="77777777" w:rsidR="00E43A95" w:rsidRPr="00D15C0B" w:rsidRDefault="00E43A95" w:rsidP="00043695">
      <w:pPr>
        <w:widowControl w:val="0"/>
        <w:tabs>
          <w:tab w:val="left" w:pos="6060"/>
        </w:tabs>
        <w:adjustRightInd w:val="0"/>
        <w:snapToGrid w:val="0"/>
        <w:ind w:firstLine="720"/>
      </w:pPr>
    </w:p>
    <w:p w14:paraId="686737DE" w14:textId="43768E83" w:rsidR="00315774" w:rsidRPr="00D15C0B" w:rsidRDefault="007441BA" w:rsidP="0082649E">
      <w:pPr>
        <w:widowControl w:val="0"/>
        <w:tabs>
          <w:tab w:val="left" w:pos="6060"/>
        </w:tabs>
        <w:adjustRightInd w:val="0"/>
        <w:snapToGrid w:val="0"/>
        <w:ind w:firstLine="720"/>
        <w:rPr>
          <w:color w:val="000000"/>
        </w:rPr>
      </w:pPr>
      <w:r w:rsidRPr="00945FE9">
        <w:t>As noted in the Part II Worksheet, t</w:t>
      </w:r>
      <w:r w:rsidR="00AF785F" w:rsidRPr="00945FE9">
        <w:t xml:space="preserve">he 60-day Federal Register Notice </w:t>
      </w:r>
      <w:proofErr w:type="gramStart"/>
      <w:r w:rsidR="00AF785F" w:rsidRPr="00945FE9">
        <w:t>was</w:t>
      </w:r>
      <w:r w:rsidR="0082649E" w:rsidRPr="00945FE9">
        <w:t xml:space="preserve"> </w:t>
      </w:r>
      <w:r w:rsidR="00AF785F" w:rsidRPr="00945FE9">
        <w:t>published</w:t>
      </w:r>
      <w:proofErr w:type="gramEnd"/>
      <w:r w:rsidR="00AF785F" w:rsidRPr="00945FE9">
        <w:t xml:space="preserve"> in Volume</w:t>
      </w:r>
      <w:r w:rsidRPr="00945FE9">
        <w:t xml:space="preserve"> 80</w:t>
      </w:r>
      <w:r w:rsidR="00AF785F" w:rsidRPr="00945FE9">
        <w:t xml:space="preserve"> page</w:t>
      </w:r>
      <w:r w:rsidRPr="00945FE9">
        <w:t xml:space="preserve"> 18853</w:t>
      </w:r>
      <w:r w:rsidR="00AF785F" w:rsidRPr="00945FE9">
        <w:t xml:space="preserve"> on</w:t>
      </w:r>
      <w:r w:rsidRPr="00945FE9">
        <w:t xml:space="preserve"> April 8, 2015.</w:t>
      </w:r>
      <w:r w:rsidR="00AF785F" w:rsidRPr="00945FE9">
        <w:t xml:space="preserve">   </w:t>
      </w:r>
      <w:r w:rsidRPr="00945FE9">
        <w:t>N</w:t>
      </w:r>
      <w:r w:rsidR="00AF785F" w:rsidRPr="00945FE9">
        <w:t>o public comments were</w:t>
      </w:r>
      <w:r w:rsidR="0082649E" w:rsidRPr="00945FE9">
        <w:t xml:space="preserve"> </w:t>
      </w:r>
      <w:r w:rsidR="00AF785F" w:rsidRPr="00945FE9">
        <w:t>received during that public comment period.  There was consultation outside of NHLBI to conceptualize and design the study. The final study design was developed, reviewed, and approved by the</w:t>
      </w:r>
      <w:r w:rsidR="00F84F37" w:rsidRPr="00945FE9">
        <w:t xml:space="preserve"> </w:t>
      </w:r>
      <w:r w:rsidR="00AF785F" w:rsidRPr="00945FE9">
        <w:t>REDS-II</w:t>
      </w:r>
      <w:r w:rsidR="00910125" w:rsidRPr="00945FE9">
        <w:t>I</w:t>
      </w:r>
      <w:r w:rsidR="00AF785F" w:rsidRPr="00945FE9">
        <w:t xml:space="preserve"> </w:t>
      </w:r>
      <w:r w:rsidR="00C301AC" w:rsidRPr="00945FE9">
        <w:t xml:space="preserve">Brazil </w:t>
      </w:r>
      <w:r w:rsidR="00AF785F" w:rsidRPr="00945FE9">
        <w:t>Steering Committee</w:t>
      </w:r>
      <w:r w:rsidR="00AF785F" w:rsidRPr="00D15C0B">
        <w:t xml:space="preserve">, </w:t>
      </w:r>
      <w:r w:rsidR="00F84F37" w:rsidRPr="00D15C0B">
        <w:t xml:space="preserve">REDS-III Executive Committee </w:t>
      </w:r>
      <w:r w:rsidR="00AF785F" w:rsidRPr="00D15C0B">
        <w:t xml:space="preserve">and the Observational Study Monitoring Board (OSMB). The OSMB reviewed the final protocol and provided input and comments. Revisions </w:t>
      </w:r>
      <w:proofErr w:type="gramStart"/>
      <w:r w:rsidR="00AF785F" w:rsidRPr="00D15C0B">
        <w:t>were</w:t>
      </w:r>
      <w:r w:rsidR="0082649E">
        <w:t xml:space="preserve"> </w:t>
      </w:r>
      <w:r w:rsidR="00AF785F" w:rsidRPr="00D15C0B">
        <w:t>made</w:t>
      </w:r>
      <w:proofErr w:type="gramEnd"/>
      <w:r w:rsidR="00AF785F" w:rsidRPr="00D15C0B">
        <w:t xml:space="preserve"> to the Informed Consent</w:t>
      </w:r>
      <w:r w:rsidR="00F84F37" w:rsidRPr="00D15C0B">
        <w:t xml:space="preserve"> document participants will sign to address OSMB comments asking the study investigators </w:t>
      </w:r>
      <w:r w:rsidR="00AF785F" w:rsidRPr="00D15C0B">
        <w:t xml:space="preserve">to </w:t>
      </w:r>
      <w:r w:rsidR="00AF785F" w:rsidRPr="00D15C0B">
        <w:rPr>
          <w:color w:val="000000"/>
        </w:rPr>
        <w:t>clearly state that strict privacy safeguards will be maintained throughout the study.</w:t>
      </w:r>
      <w:r w:rsidR="00AF785F" w:rsidRPr="00D15C0B">
        <w:t xml:space="preserve">  </w:t>
      </w:r>
      <w:r w:rsidR="00315774" w:rsidRPr="00D15C0B">
        <w:t xml:space="preserve">The </w:t>
      </w:r>
      <w:r w:rsidR="00F84F37" w:rsidRPr="00D15C0B">
        <w:t xml:space="preserve">revised protocol </w:t>
      </w:r>
      <w:r w:rsidR="00315774" w:rsidRPr="00D15C0B">
        <w:t>has been reviewed and approved by the REDS-III Brazil Steering Committee and the REDS-III International Advisory Committee (See Attachment 3.3 for a complete list of members) and will be monitored  by the REDS-III OSMB (See Attachment 3.1 for a complete list of members).</w:t>
      </w:r>
    </w:p>
    <w:p w14:paraId="298C1CE2" w14:textId="77777777" w:rsidR="00C62EB1" w:rsidRPr="00D15C0B" w:rsidRDefault="00C62EB1" w:rsidP="00315774">
      <w:pPr>
        <w:widowControl w:val="0"/>
        <w:tabs>
          <w:tab w:val="left" w:pos="6060"/>
        </w:tabs>
        <w:adjustRightInd w:val="0"/>
        <w:snapToGrid w:val="0"/>
        <w:ind w:firstLine="720"/>
        <w:rPr>
          <w:b/>
        </w:rPr>
      </w:pPr>
      <w:bookmarkStart w:id="12" w:name="_Toc153351592"/>
    </w:p>
    <w:p w14:paraId="7F3CC298" w14:textId="77777777" w:rsidR="008437B1" w:rsidRPr="00D15C0B" w:rsidRDefault="008437B1" w:rsidP="00043695">
      <w:pPr>
        <w:pStyle w:val="E-mailSignature"/>
        <w:widowControl w:val="0"/>
        <w:adjustRightInd w:val="0"/>
        <w:snapToGrid w:val="0"/>
        <w:rPr>
          <w:b/>
        </w:rPr>
      </w:pPr>
      <w:r w:rsidRPr="00D15C0B">
        <w:rPr>
          <w:b/>
        </w:rPr>
        <w:t>A.9. Explanation of Any Payment or Gifts to Respondents</w:t>
      </w:r>
      <w:bookmarkEnd w:id="12"/>
    </w:p>
    <w:p w14:paraId="59023FC5" w14:textId="77777777" w:rsidR="00E43A95" w:rsidRPr="00D15C0B" w:rsidRDefault="00E43A95" w:rsidP="00043695">
      <w:pPr>
        <w:pStyle w:val="E-mailSignature"/>
        <w:widowControl w:val="0"/>
        <w:adjustRightInd w:val="0"/>
        <w:snapToGrid w:val="0"/>
        <w:rPr>
          <w:b/>
        </w:rPr>
      </w:pPr>
    </w:p>
    <w:p w14:paraId="465560D4" w14:textId="10B77AC0" w:rsidR="00A73B8B" w:rsidRPr="00D15C0B" w:rsidRDefault="008437B1" w:rsidP="00D15C0B">
      <w:pPr>
        <w:pStyle w:val="E-mailSignature"/>
        <w:widowControl w:val="0"/>
        <w:adjustRightInd w:val="0"/>
        <w:snapToGrid w:val="0"/>
        <w:rPr>
          <w:color w:val="000000" w:themeColor="text1"/>
        </w:rPr>
      </w:pPr>
      <w:r w:rsidRPr="00D15C0B">
        <w:rPr>
          <w:b/>
        </w:rPr>
        <w:tab/>
      </w:r>
      <w:r w:rsidR="00A73B8B" w:rsidRPr="00D15C0B">
        <w:rPr>
          <w:color w:val="000000" w:themeColor="text1"/>
        </w:rPr>
        <w:t>The reimbursement amount offered to study participants will be US$35</w:t>
      </w:r>
      <w:r w:rsidR="00940C0C" w:rsidRPr="00D15C0B">
        <w:rPr>
          <w:color w:val="000000" w:themeColor="text1"/>
        </w:rPr>
        <w:t xml:space="preserve"> (R$75 in Brazil currency)</w:t>
      </w:r>
      <w:r w:rsidR="00A73B8B" w:rsidRPr="00D15C0B">
        <w:rPr>
          <w:color w:val="000000" w:themeColor="text1"/>
        </w:rPr>
        <w:t xml:space="preserve">, considering the following issues. First, </w:t>
      </w:r>
      <w:r w:rsidR="0055786C" w:rsidRPr="00D15C0B">
        <w:rPr>
          <w:color w:val="000000" w:themeColor="text1"/>
        </w:rPr>
        <w:t xml:space="preserve">since </w:t>
      </w:r>
      <w:r w:rsidR="00A73B8B" w:rsidRPr="00D15C0B">
        <w:rPr>
          <w:color w:val="000000" w:themeColor="text1"/>
        </w:rPr>
        <w:t xml:space="preserve">a time period as long as </w:t>
      </w:r>
      <w:r w:rsidR="00800074" w:rsidRPr="00D15C0B">
        <w:rPr>
          <w:color w:val="000000" w:themeColor="text1"/>
        </w:rPr>
        <w:t>7</w:t>
      </w:r>
      <w:r w:rsidR="00A73B8B" w:rsidRPr="00D15C0B">
        <w:rPr>
          <w:color w:val="000000" w:themeColor="text1"/>
        </w:rPr>
        <w:t xml:space="preserve"> years may have elapsed since </w:t>
      </w:r>
      <w:r w:rsidR="00940C0C" w:rsidRPr="00D15C0B">
        <w:rPr>
          <w:color w:val="000000" w:themeColor="text1"/>
        </w:rPr>
        <w:t xml:space="preserve">some of </w:t>
      </w:r>
      <w:r w:rsidR="00A73B8B" w:rsidRPr="00D15C0B">
        <w:rPr>
          <w:color w:val="000000" w:themeColor="text1"/>
        </w:rPr>
        <w:t>these donors participated in the HIV case-control study under REDS-II</w:t>
      </w:r>
      <w:r w:rsidR="00B6215B" w:rsidRPr="00D15C0B">
        <w:rPr>
          <w:color w:val="000000" w:themeColor="text1"/>
        </w:rPr>
        <w:t xml:space="preserve"> </w:t>
      </w:r>
      <w:r w:rsidR="00B6215B" w:rsidRPr="00D15C0B">
        <w:t>(OMB 0925- 0597, expired on February 29, 2012),</w:t>
      </w:r>
      <w:r w:rsidR="00A73B8B" w:rsidRPr="00D15C0B">
        <w:rPr>
          <w:color w:val="000000" w:themeColor="text1"/>
        </w:rPr>
        <w:t xml:space="preserve"> a higher participation</w:t>
      </w:r>
      <w:r w:rsidR="00800074" w:rsidRPr="00D15C0B">
        <w:rPr>
          <w:color w:val="000000" w:themeColor="text1"/>
        </w:rPr>
        <w:t xml:space="preserve"> reimbursement</w:t>
      </w:r>
      <w:r w:rsidR="009C00D7" w:rsidRPr="00D15C0B">
        <w:rPr>
          <w:color w:val="000000" w:themeColor="text1"/>
        </w:rPr>
        <w:t xml:space="preserve"> is planned</w:t>
      </w:r>
      <w:r w:rsidR="0055786C" w:rsidRPr="00D15C0B">
        <w:rPr>
          <w:color w:val="000000" w:themeColor="text1"/>
        </w:rPr>
        <w:t xml:space="preserve"> that</w:t>
      </w:r>
      <w:r w:rsidR="00A73B8B" w:rsidRPr="00D15C0B">
        <w:rPr>
          <w:color w:val="000000" w:themeColor="text1"/>
        </w:rPr>
        <w:t xml:space="preserve"> </w:t>
      </w:r>
      <w:r w:rsidR="0047640E" w:rsidRPr="00D15C0B">
        <w:rPr>
          <w:color w:val="000000" w:themeColor="text1"/>
        </w:rPr>
        <w:t xml:space="preserve">better </w:t>
      </w:r>
      <w:r w:rsidR="00C0290A" w:rsidRPr="00D15C0B">
        <w:rPr>
          <w:color w:val="000000" w:themeColor="text1"/>
        </w:rPr>
        <w:t>reflect</w:t>
      </w:r>
      <w:r w:rsidR="0055786C" w:rsidRPr="00D15C0B">
        <w:rPr>
          <w:color w:val="000000" w:themeColor="text1"/>
        </w:rPr>
        <w:t>s</w:t>
      </w:r>
      <w:r w:rsidR="00C0290A" w:rsidRPr="00D15C0B">
        <w:rPr>
          <w:color w:val="000000" w:themeColor="text1"/>
        </w:rPr>
        <w:t xml:space="preserve"> current Brazilian wage structures</w:t>
      </w:r>
      <w:r w:rsidR="00A73B8B" w:rsidRPr="00D15C0B">
        <w:rPr>
          <w:color w:val="000000" w:themeColor="text1"/>
        </w:rPr>
        <w:t>. Second, US$</w:t>
      </w:r>
      <w:r w:rsidR="00A525D1" w:rsidRPr="00D15C0B">
        <w:rPr>
          <w:color w:val="000000" w:themeColor="text1"/>
        </w:rPr>
        <w:t xml:space="preserve"> 8</w:t>
      </w:r>
      <w:r w:rsidR="00A73B8B" w:rsidRPr="00D15C0B">
        <w:rPr>
          <w:color w:val="000000" w:themeColor="text1"/>
        </w:rPr>
        <w:t xml:space="preserve"> </w:t>
      </w:r>
      <w:proofErr w:type="gramStart"/>
      <w:r w:rsidR="00A73B8B" w:rsidRPr="00D15C0B">
        <w:rPr>
          <w:color w:val="000000" w:themeColor="text1"/>
        </w:rPr>
        <w:t>was used</w:t>
      </w:r>
      <w:proofErr w:type="gramEnd"/>
      <w:r w:rsidR="00A73B8B" w:rsidRPr="00D15C0B">
        <w:rPr>
          <w:color w:val="000000" w:themeColor="text1"/>
        </w:rPr>
        <w:t xml:space="preserve"> in REDS-II HIV case-control study and</w:t>
      </w:r>
      <w:r w:rsidR="00A525D1" w:rsidRPr="00D15C0B">
        <w:rPr>
          <w:color w:val="000000" w:themeColor="text1"/>
        </w:rPr>
        <w:t xml:space="preserve"> </w:t>
      </w:r>
      <w:r w:rsidR="00BF11B3" w:rsidRPr="00D15C0B">
        <w:rPr>
          <w:color w:val="000000" w:themeColor="text1"/>
        </w:rPr>
        <w:t>R</w:t>
      </w:r>
      <w:r w:rsidR="00A73B8B" w:rsidRPr="00D15C0B">
        <w:rPr>
          <w:color w:val="000000" w:themeColor="text1"/>
        </w:rPr>
        <w:t>$15 is currently being used in the REDS-III HIV case surveillance</w:t>
      </w:r>
      <w:r w:rsidR="0055786C" w:rsidRPr="00D15C0B">
        <w:rPr>
          <w:color w:val="000000" w:themeColor="text1"/>
        </w:rPr>
        <w:t xml:space="preserve"> risk factor</w:t>
      </w:r>
      <w:r w:rsidR="00A73B8B" w:rsidRPr="00D15C0B">
        <w:rPr>
          <w:color w:val="000000" w:themeColor="text1"/>
        </w:rPr>
        <w:t xml:space="preserve"> study</w:t>
      </w:r>
      <w:r w:rsidR="00B6215B" w:rsidRPr="00D15C0B">
        <w:rPr>
          <w:color w:val="000000" w:themeColor="text1"/>
        </w:rPr>
        <w:t xml:space="preserve"> </w:t>
      </w:r>
      <w:r w:rsidR="00B6215B" w:rsidRPr="00D15C0B">
        <w:t>(OMB Approval Number: 0925–0597, Expiration Date: July 31, 2015</w:t>
      </w:r>
      <w:r w:rsidR="00B6215B" w:rsidRPr="00D15C0B">
        <w:rPr>
          <w:color w:val="000000"/>
        </w:rPr>
        <w:t>)</w:t>
      </w:r>
      <w:r w:rsidR="00A73B8B" w:rsidRPr="00D15C0B">
        <w:rPr>
          <w:color w:val="000000" w:themeColor="text1"/>
        </w:rPr>
        <w:t xml:space="preserve">. </w:t>
      </w:r>
      <w:r w:rsidR="0055786C" w:rsidRPr="00D15C0B">
        <w:rPr>
          <w:color w:val="000000" w:themeColor="text1"/>
        </w:rPr>
        <w:t>This proposed</w:t>
      </w:r>
      <w:r w:rsidR="00A73B8B" w:rsidRPr="00D15C0B">
        <w:rPr>
          <w:color w:val="000000" w:themeColor="text1"/>
        </w:rPr>
        <w:t xml:space="preserve"> new study</w:t>
      </w:r>
      <w:r w:rsidR="009C00D7" w:rsidRPr="00D15C0B">
        <w:rPr>
          <w:color w:val="000000" w:themeColor="text1"/>
        </w:rPr>
        <w:t xml:space="preserve"> depends </w:t>
      </w:r>
      <w:r w:rsidR="00A73B8B" w:rsidRPr="00D15C0B">
        <w:rPr>
          <w:color w:val="000000" w:themeColor="text1"/>
        </w:rPr>
        <w:t>on successfully getting these same participants</w:t>
      </w:r>
      <w:r w:rsidR="00940C0C" w:rsidRPr="00D15C0B">
        <w:rPr>
          <w:color w:val="000000" w:themeColor="text1"/>
        </w:rPr>
        <w:t xml:space="preserve"> enrolled </w:t>
      </w:r>
      <w:r w:rsidR="009C00D7" w:rsidRPr="00D15C0B">
        <w:rPr>
          <w:color w:val="000000" w:themeColor="text1"/>
        </w:rPr>
        <w:t>again.</w:t>
      </w:r>
      <w:r w:rsidR="00A73B8B" w:rsidRPr="00D15C0B">
        <w:rPr>
          <w:color w:val="000000" w:themeColor="text1"/>
        </w:rPr>
        <w:t xml:space="preserve"> There is no alternate study population we can use, so </w:t>
      </w:r>
      <w:r w:rsidR="00C0290A" w:rsidRPr="00D15C0B">
        <w:rPr>
          <w:color w:val="000000" w:themeColor="text1"/>
        </w:rPr>
        <w:t xml:space="preserve">using the </w:t>
      </w:r>
      <w:r w:rsidR="009C00D7" w:rsidRPr="00D15C0B">
        <w:rPr>
          <w:color w:val="000000" w:themeColor="text1"/>
        </w:rPr>
        <w:t>planned</w:t>
      </w:r>
      <w:r w:rsidR="00A73B8B" w:rsidRPr="00D15C0B">
        <w:rPr>
          <w:color w:val="000000" w:themeColor="text1"/>
        </w:rPr>
        <w:t xml:space="preserve"> </w:t>
      </w:r>
      <w:r w:rsidR="00800074" w:rsidRPr="00D15C0B">
        <w:rPr>
          <w:color w:val="000000" w:themeColor="text1"/>
        </w:rPr>
        <w:t xml:space="preserve">reimbursement </w:t>
      </w:r>
      <w:r w:rsidR="00C0290A" w:rsidRPr="00D15C0B">
        <w:rPr>
          <w:color w:val="000000" w:themeColor="text1"/>
        </w:rPr>
        <w:t xml:space="preserve">structure </w:t>
      </w:r>
      <w:r w:rsidR="009C00D7" w:rsidRPr="00D15C0B">
        <w:rPr>
          <w:color w:val="000000" w:themeColor="text1"/>
        </w:rPr>
        <w:t xml:space="preserve">will acknowledge participants for taking time away from other activities to participate in this study. </w:t>
      </w:r>
      <w:r w:rsidR="00A73B8B" w:rsidRPr="00D15C0B">
        <w:rPr>
          <w:color w:val="000000" w:themeColor="text1"/>
        </w:rPr>
        <w:t xml:space="preserve"> Third, a recent non-REDS R01 study conducted in one of the REDS-III blood centers in Brazil offered a higher reimbursement (US$50), and was successful at achieving a return rate of 85% in a subsequent qualitative study. </w:t>
      </w:r>
      <w:r w:rsidR="00940C0C" w:rsidRPr="00D15C0B">
        <w:rPr>
          <w:color w:val="000000" w:themeColor="text1"/>
        </w:rPr>
        <w:t xml:space="preserve"> F</w:t>
      </w:r>
      <w:r w:rsidR="00A73B8B" w:rsidRPr="00D15C0B">
        <w:rPr>
          <w:color w:val="000000" w:themeColor="text1"/>
        </w:rPr>
        <w:t xml:space="preserve">ourth, the budget impact is relatively small. </w:t>
      </w:r>
    </w:p>
    <w:p w14:paraId="54706CF2" w14:textId="77777777" w:rsidR="00A73B8B" w:rsidRPr="00D15C0B" w:rsidRDefault="00A73B8B" w:rsidP="00043695">
      <w:pPr>
        <w:pStyle w:val="E-mailSignature"/>
        <w:widowControl w:val="0"/>
        <w:adjustRightInd w:val="0"/>
        <w:snapToGrid w:val="0"/>
      </w:pPr>
    </w:p>
    <w:p w14:paraId="78106823" w14:textId="77777777" w:rsidR="005D7DCB" w:rsidRPr="00D15C0B" w:rsidRDefault="005D7DCB" w:rsidP="00043695">
      <w:pPr>
        <w:pStyle w:val="E-mailSignature"/>
        <w:widowControl w:val="0"/>
        <w:adjustRightInd w:val="0"/>
        <w:snapToGrid w:val="0"/>
        <w:rPr>
          <w:b/>
        </w:rPr>
      </w:pPr>
    </w:p>
    <w:p w14:paraId="2877F9F5" w14:textId="77777777" w:rsidR="008437B1" w:rsidRPr="00D15C0B" w:rsidRDefault="008437B1" w:rsidP="00043695">
      <w:pPr>
        <w:pStyle w:val="E-mailSignature"/>
        <w:widowControl w:val="0"/>
        <w:adjustRightInd w:val="0"/>
        <w:snapToGrid w:val="0"/>
        <w:rPr>
          <w:b/>
        </w:rPr>
      </w:pPr>
      <w:r w:rsidRPr="00D15C0B">
        <w:rPr>
          <w:b/>
        </w:rPr>
        <w:t>A.10. Assurance of Confidentiality Provided to Respondents</w:t>
      </w:r>
    </w:p>
    <w:p w14:paraId="1DBCED92" w14:textId="77777777" w:rsidR="00E43A95" w:rsidRPr="00D15C0B" w:rsidRDefault="00E43A95" w:rsidP="00043695">
      <w:pPr>
        <w:widowControl w:val="0"/>
        <w:adjustRightInd w:val="0"/>
        <w:snapToGrid w:val="0"/>
      </w:pPr>
    </w:p>
    <w:p w14:paraId="73F2AB0A" w14:textId="78169CAA" w:rsidR="008437B1" w:rsidRPr="00D15C0B" w:rsidRDefault="008437B1" w:rsidP="00DA7D2B">
      <w:pPr>
        <w:widowControl w:val="0"/>
        <w:adjustRightInd w:val="0"/>
        <w:snapToGrid w:val="0"/>
      </w:pPr>
      <w:r w:rsidRPr="00D15C0B">
        <w:tab/>
      </w:r>
      <w:r w:rsidR="003531AF" w:rsidRPr="00D15C0B">
        <w:rPr>
          <w:bCs/>
        </w:rPr>
        <w:t xml:space="preserve">All respondents </w:t>
      </w:r>
      <w:proofErr w:type="gramStart"/>
      <w:r w:rsidR="003531AF" w:rsidRPr="00D15C0B">
        <w:rPr>
          <w:bCs/>
        </w:rPr>
        <w:t>will be assured</w:t>
      </w:r>
      <w:proofErr w:type="gramEnd"/>
      <w:r w:rsidR="003531AF" w:rsidRPr="00D15C0B">
        <w:rPr>
          <w:bCs/>
        </w:rPr>
        <w:t xml:space="preserve"> of the actions taken</w:t>
      </w:r>
      <w:r w:rsidR="0085381E" w:rsidRPr="00D15C0B">
        <w:rPr>
          <w:bCs/>
        </w:rPr>
        <w:t xml:space="preserve"> by the blood centers, study staff in Brazil and collaborators in the US</w:t>
      </w:r>
      <w:r w:rsidR="003531AF" w:rsidRPr="00D15C0B">
        <w:rPr>
          <w:bCs/>
        </w:rPr>
        <w:t xml:space="preserve"> to safeguard </w:t>
      </w:r>
      <w:r w:rsidR="0085381E" w:rsidRPr="00D15C0B">
        <w:rPr>
          <w:bCs/>
        </w:rPr>
        <w:t xml:space="preserve">participant </w:t>
      </w:r>
      <w:r w:rsidR="00DA7D2B" w:rsidRPr="00D15C0B">
        <w:rPr>
          <w:bCs/>
        </w:rPr>
        <w:t>privacy</w:t>
      </w:r>
      <w:r w:rsidR="0017338B" w:rsidRPr="00D15C0B">
        <w:rPr>
          <w:bCs/>
        </w:rPr>
        <w:t>.</w:t>
      </w:r>
      <w:r w:rsidR="000F2E54" w:rsidRPr="00D15C0B">
        <w:rPr>
          <w:bCs/>
        </w:rPr>
        <w:t xml:space="preserve"> </w:t>
      </w:r>
      <w:r w:rsidR="0085381E" w:rsidRPr="00D15C0B">
        <w:t>P</w:t>
      </w:r>
      <w:r w:rsidR="005B0BC3" w:rsidRPr="00D15C0B">
        <w:t xml:space="preserve">rocedures </w:t>
      </w:r>
      <w:r w:rsidR="0017338B" w:rsidRPr="00D15C0B">
        <w:lastRenderedPageBreak/>
        <w:t>planned</w:t>
      </w:r>
      <w:r w:rsidR="003E3798" w:rsidRPr="00D15C0B">
        <w:t xml:space="preserve"> for this study </w:t>
      </w:r>
      <w:proofErr w:type="gramStart"/>
      <w:r w:rsidR="005B0BC3" w:rsidRPr="00D15C0B">
        <w:t xml:space="preserve">are </w:t>
      </w:r>
      <w:r w:rsidR="003E3798" w:rsidRPr="00D15C0B">
        <w:t xml:space="preserve">being </w:t>
      </w:r>
      <w:r w:rsidR="006F23E0" w:rsidRPr="00D15C0B">
        <w:t>successfully implemented</w:t>
      </w:r>
      <w:proofErr w:type="gramEnd"/>
      <w:r w:rsidR="003E3798" w:rsidRPr="00D15C0B">
        <w:t xml:space="preserve"> on the current </w:t>
      </w:r>
      <w:r w:rsidR="000E0EF8" w:rsidRPr="00D15C0B">
        <w:rPr>
          <w:color w:val="000000" w:themeColor="text1"/>
        </w:rPr>
        <w:t>REDS-III HIV case surveillance risk factor study</w:t>
      </w:r>
      <w:r w:rsidR="000E0EF8" w:rsidRPr="00D15C0B" w:rsidDel="000E0EF8">
        <w:t xml:space="preserve"> </w:t>
      </w:r>
      <w:r w:rsidR="005B0BC3" w:rsidRPr="00D15C0B">
        <w:t>and they are described here</w:t>
      </w:r>
      <w:r w:rsidR="003E3798" w:rsidRPr="00D15C0B">
        <w:t xml:space="preserve">. </w:t>
      </w:r>
      <w:r w:rsidR="005B0BC3" w:rsidRPr="00D15C0B">
        <w:t>Respondents</w:t>
      </w:r>
      <w:r w:rsidR="007B2A84" w:rsidRPr="00D15C0B">
        <w:t xml:space="preserve"> will </w:t>
      </w:r>
      <w:proofErr w:type="gramStart"/>
      <w:r w:rsidR="007B2A84" w:rsidRPr="00D15C0B">
        <w:t>be shown</w:t>
      </w:r>
      <w:proofErr w:type="gramEnd"/>
      <w:r w:rsidR="007B2A84" w:rsidRPr="00D15C0B">
        <w:t xml:space="preserve"> how to use the computer to complete the interview by entering basic demographic data with the help of the research assistant or nurse, but will be given privacy to complete the rest of the questionnaire. </w:t>
      </w:r>
      <w:r w:rsidR="008F4665" w:rsidRPr="00D15C0B">
        <w:t>Respondents</w:t>
      </w:r>
      <w:r w:rsidR="0069537F" w:rsidRPr="00D15C0B">
        <w:t xml:space="preserve"> </w:t>
      </w:r>
      <w:proofErr w:type="gramStart"/>
      <w:r w:rsidR="0069537F" w:rsidRPr="00D15C0B">
        <w:t>will be assured</w:t>
      </w:r>
      <w:proofErr w:type="gramEnd"/>
      <w:r w:rsidR="0069537F" w:rsidRPr="00D15C0B">
        <w:t xml:space="preserve"> of the </w:t>
      </w:r>
      <w:r w:rsidR="00DA7D2B" w:rsidRPr="00D15C0B">
        <w:t xml:space="preserve">privacy </w:t>
      </w:r>
      <w:r w:rsidR="0069537F" w:rsidRPr="00D15C0B">
        <w:t>of their responses</w:t>
      </w:r>
      <w:r w:rsidR="00DA7D2B" w:rsidRPr="00D15C0B">
        <w:t xml:space="preserve"> to the extent permitted by law</w:t>
      </w:r>
      <w:r w:rsidR="0069537F" w:rsidRPr="00D15C0B">
        <w:t xml:space="preserve">. </w:t>
      </w:r>
      <w:r w:rsidR="00121090" w:rsidRPr="00D15C0B">
        <w:t>T</w:t>
      </w:r>
      <w:r w:rsidR="007146F9" w:rsidRPr="00D15C0B">
        <w:t>o assist respondents, t</w:t>
      </w:r>
      <w:r w:rsidR="007146F9" w:rsidRPr="00D15C0B">
        <w:rPr>
          <w:rFonts w:cstheme="minorHAnsi"/>
        </w:rPr>
        <w:t xml:space="preserve">rained counselors will be on site during and after the ACASI interviews should participants want additional counseling. </w:t>
      </w:r>
      <w:r w:rsidR="0069537F" w:rsidRPr="00D15C0B">
        <w:t xml:space="preserve">Use of a Subject ID on the </w:t>
      </w:r>
      <w:r w:rsidR="0085381E" w:rsidRPr="00D15C0B">
        <w:t xml:space="preserve">ACASI </w:t>
      </w:r>
      <w:r w:rsidR="0069537F" w:rsidRPr="00D15C0B">
        <w:t xml:space="preserve">questionnaire will allow for tracking of survey responses without entering identifying information into the study database. The link between the Subject ID number and the identity of the donor </w:t>
      </w:r>
      <w:proofErr w:type="gramStart"/>
      <w:r w:rsidR="0069537F" w:rsidRPr="00D15C0B">
        <w:t>is only maintained</w:t>
      </w:r>
      <w:proofErr w:type="gramEnd"/>
      <w:r w:rsidR="0069537F" w:rsidRPr="00D15C0B">
        <w:t xml:space="preserve"> by the blood centers. This link is maintained so that </w:t>
      </w:r>
      <w:proofErr w:type="gramStart"/>
      <w:r w:rsidR="0069537F" w:rsidRPr="00D15C0B">
        <w:t>HIV positive participants</w:t>
      </w:r>
      <w:r w:rsidR="0085381E" w:rsidRPr="00D15C0B">
        <w:t xml:space="preserve"> can be identified by study staff in Brazil</w:t>
      </w:r>
      <w:r w:rsidR="0069537F" w:rsidRPr="00D15C0B">
        <w:t xml:space="preserve"> in a </w:t>
      </w:r>
      <w:r w:rsidR="0085381E" w:rsidRPr="00D15C0B">
        <w:t>situation</w:t>
      </w:r>
      <w:proofErr w:type="gramEnd"/>
      <w:r w:rsidR="0069537F" w:rsidRPr="00D15C0B">
        <w:t xml:space="preserve"> where the donor wishes to withdraw</w:t>
      </w:r>
      <w:r w:rsidR="004E6BE2" w:rsidRPr="00D15C0B">
        <w:t xml:space="preserve"> from the study. The </w:t>
      </w:r>
      <w:r w:rsidR="006003A9" w:rsidRPr="00D15C0B">
        <w:t xml:space="preserve">US-based Data </w:t>
      </w:r>
      <w:r w:rsidR="004E6BE2" w:rsidRPr="00D15C0B">
        <w:t>Coordinati</w:t>
      </w:r>
      <w:r w:rsidR="0069537F" w:rsidRPr="00D15C0B">
        <w:t>ng Center (</w:t>
      </w:r>
      <w:r w:rsidR="006003A9" w:rsidRPr="00D15C0B">
        <w:t>D</w:t>
      </w:r>
      <w:r w:rsidR="0069537F" w:rsidRPr="00D15C0B">
        <w:t>CC)</w:t>
      </w:r>
      <w:r w:rsidR="0085381E" w:rsidRPr="00D15C0B">
        <w:t xml:space="preserve"> and study investigators</w:t>
      </w:r>
      <w:r w:rsidR="0069537F" w:rsidRPr="00D15C0B">
        <w:t xml:space="preserve"> w</w:t>
      </w:r>
      <w:r w:rsidR="008F4665" w:rsidRPr="00D15C0B">
        <w:t>ill not have access to any respondent</w:t>
      </w:r>
      <w:r w:rsidR="0069537F" w:rsidRPr="00D15C0B">
        <w:t xml:space="preserve"> identifying information.</w:t>
      </w:r>
      <w:r w:rsidR="00121090" w:rsidRPr="00D15C0B">
        <w:t xml:space="preserve"> In addition, a special data security plan </w:t>
      </w:r>
      <w:proofErr w:type="gramStart"/>
      <w:r w:rsidR="00121090" w:rsidRPr="00D15C0B">
        <w:t>has been developed</w:t>
      </w:r>
      <w:proofErr w:type="gramEnd"/>
      <w:r w:rsidR="00121090" w:rsidRPr="00D15C0B">
        <w:t xml:space="preserve"> for this study with enhanced effort to protect participant privacy</w:t>
      </w:r>
      <w:r w:rsidR="00DA7D2B" w:rsidRPr="00D15C0B">
        <w:t>.</w:t>
      </w:r>
      <w:r w:rsidR="00121090" w:rsidRPr="00D15C0B">
        <w:t xml:space="preserve"> </w:t>
      </w:r>
    </w:p>
    <w:p w14:paraId="3F9896E5" w14:textId="4F2B0948" w:rsidR="00E357AF" w:rsidRPr="00D15C0B" w:rsidRDefault="00DA7D2B" w:rsidP="00372461">
      <w:pPr>
        <w:pStyle w:val="Date"/>
      </w:pPr>
      <w:r w:rsidRPr="00D15C0B">
        <w:tab/>
      </w:r>
      <w:r w:rsidR="00E9601F" w:rsidRPr="00D15C0B">
        <w:t xml:space="preserve">The </w:t>
      </w:r>
      <w:r w:rsidR="00113AC7" w:rsidRPr="00D15C0B">
        <w:t>data security plan</w:t>
      </w:r>
      <w:r w:rsidR="00E9601F" w:rsidRPr="00D15C0B">
        <w:t xml:space="preserve"> </w:t>
      </w:r>
      <w:proofErr w:type="gramStart"/>
      <w:r w:rsidR="00E9601F" w:rsidRPr="00D15C0B">
        <w:t>has been specially</w:t>
      </w:r>
      <w:r w:rsidR="00372461" w:rsidRPr="00D15C0B">
        <w:t xml:space="preserve"> </w:t>
      </w:r>
      <w:r w:rsidR="00E9601F" w:rsidRPr="00D15C0B">
        <w:t>designed</w:t>
      </w:r>
      <w:proofErr w:type="gramEnd"/>
      <w:r w:rsidR="00E9601F" w:rsidRPr="00D15C0B">
        <w:t xml:space="preserve"> to assure </w:t>
      </w:r>
      <w:r w:rsidRPr="00D15C0B">
        <w:t xml:space="preserve">privacy </w:t>
      </w:r>
      <w:r w:rsidR="00E9601F" w:rsidRPr="00D15C0B">
        <w:t>of the research conducted by the study team before, during</w:t>
      </w:r>
      <w:r w:rsidR="0080692D" w:rsidRPr="00D15C0B">
        <w:t>,</w:t>
      </w:r>
      <w:r w:rsidR="00E9601F" w:rsidRPr="00D15C0B">
        <w:t xml:space="preserve"> and after the study</w:t>
      </w:r>
      <w:r w:rsidR="00113AC7" w:rsidRPr="00D15C0B">
        <w:t xml:space="preserve"> (details can be found in</w:t>
      </w:r>
      <w:r w:rsidR="0080692D" w:rsidRPr="00D15C0B">
        <w:t xml:space="preserve"> </w:t>
      </w:r>
      <w:r w:rsidR="0080692D" w:rsidRPr="00D15C0B">
        <w:rPr>
          <w:i/>
          <w:iCs/>
        </w:rPr>
        <w:t>Appendix 1</w:t>
      </w:r>
      <w:r w:rsidR="0080692D" w:rsidRPr="00D15C0B">
        <w:t xml:space="preserve"> of</w:t>
      </w:r>
      <w:r w:rsidR="00113AC7" w:rsidRPr="00D15C0B">
        <w:t xml:space="preserve"> </w:t>
      </w:r>
      <w:r w:rsidR="00113AC7" w:rsidRPr="00D15C0B">
        <w:rPr>
          <w:i/>
          <w:iCs/>
        </w:rPr>
        <w:t>Attac</w:t>
      </w:r>
      <w:r w:rsidR="0080692D" w:rsidRPr="00D15C0B">
        <w:rPr>
          <w:i/>
          <w:iCs/>
        </w:rPr>
        <w:t>hment 4</w:t>
      </w:r>
      <w:r w:rsidR="00113AC7" w:rsidRPr="00D15C0B">
        <w:t>)</w:t>
      </w:r>
      <w:r w:rsidR="00E9601F" w:rsidRPr="00D15C0B">
        <w:t>. For instance, participant</w:t>
      </w:r>
      <w:r w:rsidR="00E357AF" w:rsidRPr="00D15C0B">
        <w:t xml:space="preserve"> names and other personally identifying information </w:t>
      </w:r>
      <w:proofErr w:type="gramStart"/>
      <w:r w:rsidR="00E357AF" w:rsidRPr="00D15C0B">
        <w:t>will be used</w:t>
      </w:r>
      <w:proofErr w:type="gramEnd"/>
      <w:r w:rsidR="00E357AF" w:rsidRPr="00D15C0B">
        <w:t xml:space="preserve"> to conduct this study and there will be written, signed consent and identifying information from donors that is temporarily linkable to the laboratory results, routine donation records and our study specific-questionnaire. We will take several steps to minimize the possibility of inadvertent disclosure of the identity and information of participants. First, data </w:t>
      </w:r>
      <w:proofErr w:type="gramStart"/>
      <w:r w:rsidR="00E357AF" w:rsidRPr="00D15C0B">
        <w:t>are tracked and linked with a donor registration number (RID)</w:t>
      </w:r>
      <w:proofErr w:type="gramEnd"/>
      <w:r w:rsidR="00E357AF" w:rsidRPr="00D15C0B">
        <w:t xml:space="preserve"> created at the time a person first presents for donation. For our study, none of the datasets created for analysis and transferred to the US will contain the participants name or contact information, rather the RID </w:t>
      </w:r>
      <w:proofErr w:type="gramStart"/>
      <w:r w:rsidR="00E357AF" w:rsidRPr="00D15C0B">
        <w:t>will be used</w:t>
      </w:r>
      <w:proofErr w:type="gramEnd"/>
      <w:r w:rsidR="00E357AF" w:rsidRPr="00D15C0B">
        <w:t xml:space="preserve"> to link the donation history, health and risk screening data, laboratory results and study specific questionnaires entered into the study database.</w:t>
      </w:r>
      <w:r w:rsidR="00953C47" w:rsidRPr="00D15C0B">
        <w:t xml:space="preserve"> To increase the epidemiological power of the study, we will get participants’ consent to obtain HIV infection status information, such as viral load and CD4/CD8 counts (Aim 2), which </w:t>
      </w:r>
      <w:proofErr w:type="gramStart"/>
      <w:r w:rsidR="00953C47" w:rsidRPr="00D15C0B">
        <w:t>have been captured</w:t>
      </w:r>
      <w:proofErr w:type="gramEnd"/>
      <w:r w:rsidR="00953C47" w:rsidRPr="00D15C0B">
        <w:t xml:space="preserve"> in the Brazilian Ministry of Health (MOH) National HIV treatment and progression databases (SI-CTA).</w:t>
      </w:r>
      <w:r w:rsidR="000E0EF8" w:rsidRPr="00D15C0B">
        <w:t xml:space="preserve"> </w:t>
      </w:r>
      <w:r w:rsidR="00953C47" w:rsidRPr="00D15C0B">
        <w:t xml:space="preserve"> </w:t>
      </w:r>
      <w:r w:rsidR="00E357AF" w:rsidRPr="00D15C0B">
        <w:t>In order to conduct the linkage to the Brazil</w:t>
      </w:r>
      <w:r w:rsidR="00B57279" w:rsidRPr="00D15C0B">
        <w:t>ian</w:t>
      </w:r>
      <w:r w:rsidR="00E357AF" w:rsidRPr="00D15C0B">
        <w:t xml:space="preserve"> SI-CTA database</w:t>
      </w:r>
      <w:r w:rsidR="00B57279" w:rsidRPr="00D15C0B">
        <w:t>s</w:t>
      </w:r>
      <w:r w:rsidR="00E357AF" w:rsidRPr="00D15C0B">
        <w:t xml:space="preserve">, personal identifiers </w:t>
      </w:r>
      <w:r w:rsidR="000E0EF8" w:rsidRPr="00D15C0B">
        <w:t>are required.</w:t>
      </w:r>
      <w:r w:rsidR="00E357AF" w:rsidRPr="00D15C0B">
        <w:t xml:space="preserve"> The research staff that conducts this portion of the study </w:t>
      </w:r>
      <w:proofErr w:type="gramStart"/>
      <w:r w:rsidR="00E357AF" w:rsidRPr="00D15C0B">
        <w:t>will be based</w:t>
      </w:r>
      <w:proofErr w:type="gramEnd"/>
      <w:r w:rsidR="00E357AF" w:rsidRPr="00D15C0B">
        <w:t xml:space="preserve"> solely in Brazil and will have previous experience maintaining appropriate privacy protections. These will include only working on password protected workstations that require individual usernames and passwords. Any electronic transfer of information with the Brazil MOH </w:t>
      </w:r>
      <w:proofErr w:type="gramStart"/>
      <w:r w:rsidR="00E357AF" w:rsidRPr="00D15C0B">
        <w:t>will be conducted</w:t>
      </w:r>
      <w:proofErr w:type="gramEnd"/>
      <w:r w:rsidR="00E357AF" w:rsidRPr="00D15C0B">
        <w:t xml:space="preserve"> using encrypted files only accessible by passwords that will not accompany the datasets during transmission. A single person (TBN) from each site will work with the Brazil MOH database</w:t>
      </w:r>
      <w:r w:rsidR="00660383" w:rsidRPr="00D15C0B">
        <w:t>s</w:t>
      </w:r>
      <w:r w:rsidR="00E357AF" w:rsidRPr="00D15C0B">
        <w:t xml:space="preserve"> to obtain the data in accord with all required ethical committee approvals and MOH security requirements. The HIV </w:t>
      </w:r>
      <w:proofErr w:type="gramStart"/>
      <w:r w:rsidR="00E357AF" w:rsidRPr="00D15C0B">
        <w:t>disease monitoring</w:t>
      </w:r>
      <w:proofErr w:type="gramEnd"/>
      <w:r w:rsidR="00E357AF" w:rsidRPr="00D15C0B">
        <w:t xml:space="preserve"> data will then be entered into the research databases using the RID and study number as the unique identifiers. The written consent forms will not contain the RID. These numbers will be stored separately from study data in locked filing cabinets at the blood banks. Once data collection is complete and all data verified, the RID </w:t>
      </w:r>
      <w:proofErr w:type="gramStart"/>
      <w:r w:rsidR="00E357AF" w:rsidRPr="00D15C0B">
        <w:t>will be permanently removed</w:t>
      </w:r>
      <w:proofErr w:type="gramEnd"/>
      <w:r w:rsidR="00E357AF" w:rsidRPr="00D15C0B">
        <w:t xml:space="preserve"> from the study database thus eliminating any possibility of re-identifying participants and any information on individuals in our study. Only non-linkable study identification numbers </w:t>
      </w:r>
      <w:proofErr w:type="gramStart"/>
      <w:r w:rsidR="00E357AF" w:rsidRPr="00D15C0B">
        <w:t>will be used</w:t>
      </w:r>
      <w:proofErr w:type="gramEnd"/>
      <w:r w:rsidR="00E357AF" w:rsidRPr="00D15C0B">
        <w:t xml:space="preserve"> in the research databases. No </w:t>
      </w:r>
      <w:r w:rsidR="00E357AF" w:rsidRPr="00D15C0B">
        <w:lastRenderedPageBreak/>
        <w:t xml:space="preserve">names or individual identifiers </w:t>
      </w:r>
      <w:proofErr w:type="gramStart"/>
      <w:r w:rsidR="00E357AF" w:rsidRPr="00D15C0B">
        <w:t>will be used</w:t>
      </w:r>
      <w:proofErr w:type="gramEnd"/>
      <w:r w:rsidR="00E357AF" w:rsidRPr="00D15C0B">
        <w:t xml:space="preserve"> in any reports of publications resulting from this study. </w:t>
      </w:r>
    </w:p>
    <w:p w14:paraId="5BE19732" w14:textId="77777777" w:rsidR="00E357AF" w:rsidRPr="00D15C0B" w:rsidRDefault="00E357AF" w:rsidP="00621755"/>
    <w:p w14:paraId="7872485B" w14:textId="77777777" w:rsidR="002D4198" w:rsidRPr="00D15C0B" w:rsidRDefault="002D4198" w:rsidP="00621755">
      <w:bookmarkStart w:id="13" w:name="_Toc153351594"/>
    </w:p>
    <w:p w14:paraId="534EBA2D" w14:textId="77777777" w:rsidR="00433DD7" w:rsidRPr="00D15C0B" w:rsidRDefault="008437B1" w:rsidP="00043695">
      <w:pPr>
        <w:pStyle w:val="E-mailSignature"/>
        <w:widowControl w:val="0"/>
        <w:adjustRightInd w:val="0"/>
        <w:snapToGrid w:val="0"/>
        <w:rPr>
          <w:b/>
        </w:rPr>
      </w:pPr>
      <w:r w:rsidRPr="00D15C0B">
        <w:rPr>
          <w:b/>
        </w:rPr>
        <w:t>A.11.</w:t>
      </w:r>
      <w:r w:rsidRPr="00D15C0B">
        <w:rPr>
          <w:b/>
        </w:rPr>
        <w:tab/>
        <w:t>Justification for Sensitive Questions</w:t>
      </w:r>
      <w:bookmarkEnd w:id="13"/>
    </w:p>
    <w:p w14:paraId="0E493894" w14:textId="77777777" w:rsidR="00E43A95" w:rsidRPr="00D15C0B" w:rsidRDefault="00E43A95" w:rsidP="00043695">
      <w:pPr>
        <w:widowControl w:val="0"/>
        <w:adjustRightInd w:val="0"/>
        <w:snapToGrid w:val="0"/>
      </w:pPr>
    </w:p>
    <w:p w14:paraId="3FB07A41" w14:textId="5FEEB177" w:rsidR="0060600C" w:rsidRPr="00D15C0B" w:rsidRDefault="00E42C98" w:rsidP="00E828F4">
      <w:pPr>
        <w:widowControl w:val="0"/>
        <w:adjustRightInd w:val="0"/>
        <w:snapToGrid w:val="0"/>
        <w:rPr>
          <w:rStyle w:val="Hyperlink"/>
        </w:rPr>
      </w:pPr>
      <w:r w:rsidRPr="00D15C0B">
        <w:t>The first two sections (A and B) of the ACASI contain questions are not considered sensitive</w:t>
      </w:r>
      <w:r w:rsidR="00591D23" w:rsidRPr="00D15C0B">
        <w:t>,</w:t>
      </w:r>
      <w:r w:rsidRPr="00D15C0B">
        <w:t xml:space="preserve"> such as study administrative information and participant demographics.</w:t>
      </w:r>
      <w:r w:rsidR="00D02EC5" w:rsidRPr="00D15C0B">
        <w:t xml:space="preserve"> </w:t>
      </w:r>
      <w:r w:rsidR="00E828F4" w:rsidRPr="00D15C0B">
        <w:rPr>
          <w:color w:val="000000"/>
        </w:rPr>
        <w:t>Note that the r</w:t>
      </w:r>
      <w:r w:rsidR="00E828F4" w:rsidRPr="00D15C0B">
        <w:t xml:space="preserve">ace categories asked of respondents in the questionnaire are consistent with the Federal Government of Brazil Census </w:t>
      </w:r>
      <w:r w:rsidR="00591D23" w:rsidRPr="00D15C0B">
        <w:t xml:space="preserve">(IBGE) </w:t>
      </w:r>
      <w:r w:rsidR="00E828F4" w:rsidRPr="00D15C0B">
        <w:t xml:space="preserve">categories. </w:t>
      </w:r>
      <w:hyperlink r:id="rId17" w:history="1">
        <w:r w:rsidR="00E828F4" w:rsidRPr="00D15C0B">
          <w:rPr>
            <w:rStyle w:val="Hyperlink"/>
          </w:rPr>
          <w:t>http://www.ibge.gov.br/home/estatistica/populacao/caracteristicas_raciais/default_raciais.shtm</w:t>
        </w:r>
      </w:hyperlink>
      <w:r w:rsidR="00E828F4" w:rsidRPr="00D15C0B">
        <w:rPr>
          <w:rStyle w:val="Hyperlink"/>
        </w:rPr>
        <w:t xml:space="preserve">. </w:t>
      </w:r>
    </w:p>
    <w:p w14:paraId="14EA43D1" w14:textId="1DC94A44" w:rsidR="00FF61D8" w:rsidRPr="00D15C0B" w:rsidRDefault="00433DD7" w:rsidP="00D15C0B">
      <w:pPr>
        <w:widowControl w:val="0"/>
        <w:adjustRightInd w:val="0"/>
        <w:snapToGrid w:val="0"/>
        <w:ind w:firstLine="720"/>
        <w:rPr>
          <w:color w:val="000000"/>
        </w:rPr>
      </w:pPr>
      <w:r w:rsidRPr="00D15C0B">
        <w:t xml:space="preserve">Special attention has been devoted to </w:t>
      </w:r>
      <w:r w:rsidR="00E42C98" w:rsidRPr="00D15C0B">
        <w:t xml:space="preserve">the wording of </w:t>
      </w:r>
      <w:r w:rsidRPr="00D15C0B">
        <w:t xml:space="preserve">potentially sensitive questions </w:t>
      </w:r>
      <w:r w:rsidR="005F22D0" w:rsidRPr="00D15C0B">
        <w:t xml:space="preserve">in subsequent sections </w:t>
      </w:r>
      <w:r w:rsidR="00FF61D8" w:rsidRPr="00D15C0B">
        <w:t xml:space="preserve">with the objective of asking content </w:t>
      </w:r>
      <w:r w:rsidRPr="00D15C0B">
        <w:t xml:space="preserve">in a straightforward and non-judgmental </w:t>
      </w:r>
      <w:r w:rsidR="00FF61D8" w:rsidRPr="00D15C0B">
        <w:t>manner</w:t>
      </w:r>
      <w:r w:rsidRPr="00D15C0B">
        <w:t xml:space="preserve">. </w:t>
      </w:r>
      <w:r w:rsidR="000766A6" w:rsidRPr="00D15C0B">
        <w:rPr>
          <w:color w:val="000000"/>
        </w:rPr>
        <w:t xml:space="preserve">Please see </w:t>
      </w:r>
      <w:r w:rsidR="000766A6" w:rsidRPr="00D15C0B">
        <w:rPr>
          <w:i/>
          <w:color w:val="000000"/>
        </w:rPr>
        <w:t>Attachment 3.2</w:t>
      </w:r>
      <w:r w:rsidR="000766A6" w:rsidRPr="00D15C0B">
        <w:rPr>
          <w:color w:val="000000"/>
        </w:rPr>
        <w:t xml:space="preserve"> for a detailed justification for each question</w:t>
      </w:r>
      <w:r w:rsidR="0060600C" w:rsidRPr="00D15C0B">
        <w:rPr>
          <w:color w:val="000000"/>
        </w:rPr>
        <w:t xml:space="preserve">. </w:t>
      </w:r>
    </w:p>
    <w:p w14:paraId="300B8792" w14:textId="7A386AEF" w:rsidR="00433DD7" w:rsidRPr="00D15C0B" w:rsidRDefault="007F3F6A" w:rsidP="00D15C0B">
      <w:pPr>
        <w:widowControl w:val="0"/>
        <w:adjustRightInd w:val="0"/>
        <w:snapToGrid w:val="0"/>
        <w:ind w:firstLine="720"/>
        <w:rPr>
          <w:color w:val="000000"/>
        </w:rPr>
      </w:pPr>
      <w:r w:rsidRPr="00D15C0B">
        <w:rPr>
          <w:color w:val="000000"/>
        </w:rPr>
        <w:t xml:space="preserve">Section C. </w:t>
      </w:r>
      <w:r w:rsidR="00433DD7" w:rsidRPr="00D15C0B">
        <w:rPr>
          <w:color w:val="000000"/>
        </w:rPr>
        <w:t xml:space="preserve">In Brazil, there is no </w:t>
      </w:r>
      <w:r w:rsidR="00372461" w:rsidRPr="00D15C0B">
        <w:rPr>
          <w:color w:val="000000"/>
        </w:rPr>
        <w:t>countrywide</w:t>
      </w:r>
      <w:r w:rsidR="00433DD7" w:rsidRPr="00D15C0B">
        <w:rPr>
          <w:color w:val="000000"/>
        </w:rPr>
        <w:t xml:space="preserve"> system, such as a deferred donor registry, to prevent a donor from attempting to donate at another blood center. A person at risk for HIV infection might donate blood at many blood banks and these questions will capture information on a donor donating at multiple locations. </w:t>
      </w:r>
      <w:r w:rsidR="006003A9" w:rsidRPr="00D15C0B">
        <w:rPr>
          <w:color w:val="000000"/>
          <w:lang w:val="en-GB"/>
        </w:rPr>
        <w:t>S</w:t>
      </w:r>
      <w:r w:rsidR="00433DD7" w:rsidRPr="00D15C0B">
        <w:rPr>
          <w:color w:val="000000"/>
          <w:lang w:val="en-GB"/>
        </w:rPr>
        <w:t>ection</w:t>
      </w:r>
      <w:r w:rsidR="006003A9" w:rsidRPr="00D15C0B">
        <w:rPr>
          <w:color w:val="000000"/>
          <w:lang w:val="en-GB"/>
        </w:rPr>
        <w:t xml:space="preserve"> C</w:t>
      </w:r>
      <w:r w:rsidR="00AD7973" w:rsidRPr="00D15C0B">
        <w:rPr>
          <w:color w:val="000000"/>
          <w:lang w:val="en-GB"/>
        </w:rPr>
        <w:t>,</w:t>
      </w:r>
      <w:r w:rsidR="00433DD7" w:rsidRPr="00D15C0B">
        <w:rPr>
          <w:color w:val="000000"/>
          <w:lang w:val="en-GB"/>
        </w:rPr>
        <w:t xml:space="preserve"> </w:t>
      </w:r>
      <w:r w:rsidR="00540D19" w:rsidRPr="00D15C0B">
        <w:rPr>
          <w:color w:val="000000"/>
          <w:lang w:val="en-GB"/>
        </w:rPr>
        <w:t>p</w:t>
      </w:r>
      <w:r w:rsidR="00433DD7" w:rsidRPr="00D15C0B">
        <w:rPr>
          <w:color w:val="000000"/>
          <w:lang w:val="en-GB"/>
        </w:rPr>
        <w:t xml:space="preserve">revious </w:t>
      </w:r>
      <w:r w:rsidR="00C966D9" w:rsidRPr="00D15C0B">
        <w:rPr>
          <w:color w:val="000000"/>
          <w:lang w:val="en-GB"/>
        </w:rPr>
        <w:t>d</w:t>
      </w:r>
      <w:r w:rsidR="00433DD7" w:rsidRPr="00D15C0B">
        <w:rPr>
          <w:color w:val="000000"/>
          <w:lang w:val="en-GB"/>
        </w:rPr>
        <w:t xml:space="preserve">onation and HIV </w:t>
      </w:r>
      <w:r w:rsidR="00540D19" w:rsidRPr="00D15C0B">
        <w:rPr>
          <w:color w:val="000000"/>
          <w:lang w:val="en-GB"/>
        </w:rPr>
        <w:t>testing</w:t>
      </w:r>
      <w:r w:rsidR="00433DD7" w:rsidRPr="00D15C0B">
        <w:rPr>
          <w:color w:val="000000"/>
          <w:lang w:val="en-GB"/>
        </w:rPr>
        <w:t xml:space="preserve"> in the survey instrument, comprises questions designed </w:t>
      </w:r>
      <w:r w:rsidR="00433DD7" w:rsidRPr="00D15C0B">
        <w:rPr>
          <w:color w:val="000000"/>
        </w:rPr>
        <w:t xml:space="preserve">to determine among HIV positive donors, their </w:t>
      </w:r>
      <w:r w:rsidR="004C1A28" w:rsidRPr="00D15C0B">
        <w:rPr>
          <w:color w:val="000000"/>
        </w:rPr>
        <w:t xml:space="preserve">level of </w:t>
      </w:r>
      <w:r w:rsidR="0063265D" w:rsidRPr="00D15C0B">
        <w:rPr>
          <w:color w:val="000000"/>
        </w:rPr>
        <w:t>effort</w:t>
      </w:r>
      <w:r w:rsidR="00AD7973" w:rsidRPr="00D15C0B">
        <w:rPr>
          <w:color w:val="000000"/>
        </w:rPr>
        <w:t xml:space="preserve"> and</w:t>
      </w:r>
      <w:r w:rsidR="00433DD7" w:rsidRPr="00D15C0B">
        <w:rPr>
          <w:color w:val="000000"/>
        </w:rPr>
        <w:t xml:space="preserve"> intention to get HIV testing through blood donation (test seeking behavior) or at alternative testing sites</w:t>
      </w:r>
      <w:r w:rsidR="008D5D10" w:rsidRPr="00D15C0B">
        <w:rPr>
          <w:color w:val="000000"/>
        </w:rPr>
        <w:t>,</w:t>
      </w:r>
      <w:r w:rsidR="00433DD7" w:rsidRPr="00D15C0B">
        <w:rPr>
          <w:color w:val="000000"/>
        </w:rPr>
        <w:t xml:space="preserve"> such as </w:t>
      </w:r>
      <w:r w:rsidR="0063265D" w:rsidRPr="00D15C0B">
        <w:rPr>
          <w:color w:val="000000"/>
        </w:rPr>
        <w:t>HC</w:t>
      </w:r>
      <w:r w:rsidR="008D5D10" w:rsidRPr="00D15C0B">
        <w:rPr>
          <w:color w:val="000000"/>
        </w:rPr>
        <w:t>Ts</w:t>
      </w:r>
      <w:r w:rsidR="00433DD7" w:rsidRPr="00D15C0B">
        <w:rPr>
          <w:color w:val="000000"/>
        </w:rPr>
        <w:t xml:space="preserve">, </w:t>
      </w:r>
      <w:r w:rsidR="0095588B" w:rsidRPr="00D15C0B">
        <w:rPr>
          <w:color w:val="000000"/>
        </w:rPr>
        <w:t xml:space="preserve">after </w:t>
      </w:r>
      <w:r w:rsidR="00433DD7" w:rsidRPr="00D15C0B">
        <w:rPr>
          <w:color w:val="000000"/>
        </w:rPr>
        <w:t xml:space="preserve">they learned about their HIV status. </w:t>
      </w:r>
      <w:r w:rsidR="00AD7973" w:rsidRPr="00D15C0B">
        <w:rPr>
          <w:color w:val="000000"/>
        </w:rPr>
        <w:t>A</w:t>
      </w:r>
      <w:r w:rsidR="00433DD7" w:rsidRPr="00D15C0B">
        <w:rPr>
          <w:color w:val="000000"/>
        </w:rPr>
        <w:t>mong those high risk individual</w:t>
      </w:r>
      <w:r w:rsidR="008D5D10" w:rsidRPr="00D15C0B">
        <w:rPr>
          <w:color w:val="000000"/>
        </w:rPr>
        <w:t>s</w:t>
      </w:r>
      <w:r w:rsidR="00433DD7" w:rsidRPr="00D15C0B">
        <w:rPr>
          <w:color w:val="000000"/>
        </w:rPr>
        <w:t xml:space="preserve">, perceptions/confidence and </w:t>
      </w:r>
      <w:r w:rsidR="008D5D10" w:rsidRPr="00D15C0B">
        <w:rPr>
          <w:color w:val="000000"/>
        </w:rPr>
        <w:t xml:space="preserve">testing </w:t>
      </w:r>
      <w:r w:rsidR="00433DD7" w:rsidRPr="00D15C0B">
        <w:rPr>
          <w:color w:val="000000"/>
        </w:rPr>
        <w:t xml:space="preserve">frequency </w:t>
      </w:r>
      <w:r w:rsidR="008D5D10" w:rsidRPr="00D15C0B">
        <w:rPr>
          <w:color w:val="000000"/>
        </w:rPr>
        <w:t xml:space="preserve">for </w:t>
      </w:r>
      <w:r w:rsidR="00433DD7" w:rsidRPr="00D15C0B">
        <w:rPr>
          <w:color w:val="000000"/>
        </w:rPr>
        <w:t>HIV</w:t>
      </w:r>
      <w:r w:rsidR="00C966D9" w:rsidRPr="00D15C0B">
        <w:rPr>
          <w:color w:val="000000"/>
        </w:rPr>
        <w:t xml:space="preserve"> </w:t>
      </w:r>
      <w:r w:rsidR="00433DD7" w:rsidRPr="00D15C0B">
        <w:rPr>
          <w:color w:val="000000"/>
        </w:rPr>
        <w:t>at the blood bank and</w:t>
      </w:r>
      <w:r w:rsidR="00AD7973" w:rsidRPr="00D15C0B">
        <w:rPr>
          <w:color w:val="000000"/>
        </w:rPr>
        <w:t>/or</w:t>
      </w:r>
      <w:r w:rsidR="00433DD7" w:rsidRPr="00D15C0B">
        <w:rPr>
          <w:color w:val="000000"/>
        </w:rPr>
        <w:t xml:space="preserve"> elsewhere</w:t>
      </w:r>
      <w:r w:rsidR="00AD7973" w:rsidRPr="00D15C0B">
        <w:rPr>
          <w:color w:val="000000"/>
        </w:rPr>
        <w:t xml:space="preserve"> </w:t>
      </w:r>
      <w:proofErr w:type="gramStart"/>
      <w:r w:rsidR="00AD7973" w:rsidRPr="00D15C0B">
        <w:rPr>
          <w:color w:val="000000"/>
        </w:rPr>
        <w:t>will be elicited</w:t>
      </w:r>
      <w:proofErr w:type="gramEnd"/>
      <w:r w:rsidR="00433DD7" w:rsidRPr="00D15C0B">
        <w:rPr>
          <w:color w:val="000000"/>
        </w:rPr>
        <w:t>. Blood bank testing may be more attractive to people seeking</w:t>
      </w:r>
      <w:r w:rsidR="00070308" w:rsidRPr="00D15C0B">
        <w:rPr>
          <w:color w:val="000000"/>
        </w:rPr>
        <w:t xml:space="preserve"> highly sensitive</w:t>
      </w:r>
      <w:r w:rsidR="00433DD7" w:rsidRPr="00D15C0B">
        <w:rPr>
          <w:color w:val="000000"/>
        </w:rPr>
        <w:t xml:space="preserve"> HIV</w:t>
      </w:r>
      <w:r w:rsidR="00EC2C97" w:rsidRPr="00D15C0B">
        <w:rPr>
          <w:rFonts w:hint="cs"/>
          <w:color w:val="000000"/>
          <w:rtl/>
        </w:rPr>
        <w:t xml:space="preserve"> </w:t>
      </w:r>
      <w:r w:rsidR="00433DD7" w:rsidRPr="00D15C0B">
        <w:rPr>
          <w:color w:val="000000"/>
        </w:rPr>
        <w:t>testing</w:t>
      </w:r>
      <w:r w:rsidR="00433DD7" w:rsidRPr="00D15C0B">
        <w:rPr>
          <w:b/>
          <w:color w:val="000000"/>
        </w:rPr>
        <w:t>,</w:t>
      </w:r>
      <w:r w:rsidR="00433DD7" w:rsidRPr="00D15C0B">
        <w:rPr>
          <w:color w:val="000000"/>
        </w:rPr>
        <w:t xml:space="preserve"> particularly with</w:t>
      </w:r>
      <w:r w:rsidR="00AD7973" w:rsidRPr="00D15C0B">
        <w:rPr>
          <w:color w:val="000000"/>
        </w:rPr>
        <w:t xml:space="preserve"> the</w:t>
      </w:r>
      <w:r w:rsidR="00433DD7" w:rsidRPr="00D15C0B">
        <w:rPr>
          <w:color w:val="000000"/>
        </w:rPr>
        <w:t xml:space="preserve"> </w:t>
      </w:r>
      <w:r w:rsidR="00070308" w:rsidRPr="00D15C0B">
        <w:rPr>
          <w:color w:val="000000"/>
        </w:rPr>
        <w:t>implementation</w:t>
      </w:r>
      <w:r w:rsidR="00433DD7" w:rsidRPr="00D15C0B">
        <w:rPr>
          <w:color w:val="000000"/>
        </w:rPr>
        <w:t xml:space="preserve"> of </w:t>
      </w:r>
      <w:r w:rsidR="006003A9" w:rsidRPr="00D15C0B">
        <w:rPr>
          <w:color w:val="000000"/>
        </w:rPr>
        <w:t xml:space="preserve">nucleic acid testing (NAT) </w:t>
      </w:r>
      <w:r w:rsidR="00AD7973" w:rsidRPr="00D15C0B">
        <w:rPr>
          <w:color w:val="000000"/>
        </w:rPr>
        <w:t xml:space="preserve">for HIV and HCV </w:t>
      </w:r>
      <w:r w:rsidR="00433DD7" w:rsidRPr="00D15C0B">
        <w:rPr>
          <w:color w:val="000000"/>
        </w:rPr>
        <w:t xml:space="preserve">in Brazil blood </w:t>
      </w:r>
      <w:r w:rsidR="00070308" w:rsidRPr="00D15C0B">
        <w:rPr>
          <w:color w:val="000000"/>
        </w:rPr>
        <w:t>banks</w:t>
      </w:r>
      <w:r w:rsidR="004C1A28" w:rsidRPr="00D15C0B">
        <w:rPr>
          <w:color w:val="000000"/>
        </w:rPr>
        <w:t xml:space="preserve">—in </w:t>
      </w:r>
      <w:r w:rsidR="00433DD7" w:rsidRPr="00D15C0B">
        <w:rPr>
          <w:color w:val="000000"/>
        </w:rPr>
        <w:t xml:space="preserve">contrast to </w:t>
      </w:r>
      <w:r w:rsidR="008D5D10" w:rsidRPr="00D15C0B">
        <w:rPr>
          <w:color w:val="000000"/>
        </w:rPr>
        <w:t>HCT</w:t>
      </w:r>
      <w:r w:rsidR="00433DD7" w:rsidRPr="00D15C0B">
        <w:rPr>
          <w:color w:val="000000"/>
        </w:rPr>
        <w:t xml:space="preserve">s that are still not performing NAT. </w:t>
      </w:r>
      <w:r w:rsidR="007867CF" w:rsidRPr="00D15C0B">
        <w:rPr>
          <w:color w:val="000000"/>
        </w:rPr>
        <w:t>D</w:t>
      </w:r>
      <w:r w:rsidR="001B5F64" w:rsidRPr="00D15C0B">
        <w:rPr>
          <w:color w:val="000000"/>
        </w:rPr>
        <w:t>i</w:t>
      </w:r>
      <w:r w:rsidR="00433DD7" w:rsidRPr="00D15C0B">
        <w:rPr>
          <w:color w:val="000000"/>
        </w:rPr>
        <w:t>ssatisfaction with alternative testing sites has been described as a motivation for individuals testing at blood banks. Identifying factors that contribute or restrain high</w:t>
      </w:r>
      <w:r w:rsidR="003B46EE" w:rsidRPr="00D15C0B">
        <w:rPr>
          <w:color w:val="000000"/>
        </w:rPr>
        <w:t>er</w:t>
      </w:r>
      <w:r w:rsidR="00433DD7" w:rsidRPr="00D15C0B">
        <w:rPr>
          <w:color w:val="000000"/>
        </w:rPr>
        <w:t xml:space="preserve"> risk individuals from seeking HIV testing at blood banks will help </w:t>
      </w:r>
      <w:r w:rsidR="00540D19" w:rsidRPr="00D15C0B">
        <w:rPr>
          <w:color w:val="000000"/>
        </w:rPr>
        <w:t xml:space="preserve">in </w:t>
      </w:r>
      <w:r w:rsidR="00433DD7" w:rsidRPr="00D15C0B">
        <w:rPr>
          <w:color w:val="000000"/>
        </w:rPr>
        <w:t>the development of public health strategies</w:t>
      </w:r>
      <w:r w:rsidR="00AD7973" w:rsidRPr="00D15C0B">
        <w:rPr>
          <w:color w:val="000000"/>
        </w:rPr>
        <w:t>,</w:t>
      </w:r>
      <w:r w:rsidR="00433DD7" w:rsidRPr="00D15C0B">
        <w:rPr>
          <w:color w:val="000000"/>
        </w:rPr>
        <w:t xml:space="preserve"> directing high</w:t>
      </w:r>
      <w:r w:rsidR="003B46EE" w:rsidRPr="00D15C0B">
        <w:rPr>
          <w:color w:val="000000"/>
        </w:rPr>
        <w:t>er</w:t>
      </w:r>
      <w:r w:rsidR="00433DD7" w:rsidRPr="00D15C0B">
        <w:rPr>
          <w:color w:val="000000"/>
        </w:rPr>
        <w:t xml:space="preserve"> risk individuals toward </w:t>
      </w:r>
      <w:r w:rsidR="008D5D10" w:rsidRPr="00D15C0B">
        <w:rPr>
          <w:color w:val="000000"/>
        </w:rPr>
        <w:t>HCT</w:t>
      </w:r>
      <w:r w:rsidR="00433DD7" w:rsidRPr="00D15C0B">
        <w:rPr>
          <w:color w:val="000000"/>
        </w:rPr>
        <w:t>s</w:t>
      </w:r>
      <w:r w:rsidR="00540D19" w:rsidRPr="00D15C0B">
        <w:rPr>
          <w:color w:val="000000"/>
        </w:rPr>
        <w:t xml:space="preserve"> instead</w:t>
      </w:r>
      <w:r w:rsidR="00433DD7" w:rsidRPr="00D15C0B">
        <w:rPr>
          <w:color w:val="000000"/>
        </w:rPr>
        <w:t>.</w:t>
      </w:r>
    </w:p>
    <w:p w14:paraId="455CB578" w14:textId="767701B3" w:rsidR="00433DD7" w:rsidRPr="00D15C0B" w:rsidRDefault="00433DD7" w:rsidP="001736B8">
      <w:pPr>
        <w:widowControl w:val="0"/>
        <w:adjustRightInd w:val="0"/>
        <w:snapToGrid w:val="0"/>
        <w:ind w:firstLine="720"/>
        <w:rPr>
          <w:color w:val="000000"/>
        </w:rPr>
      </w:pPr>
      <w:r w:rsidRPr="00D15C0B">
        <w:rPr>
          <w:color w:val="000000"/>
        </w:rPr>
        <w:t>The sections related to sexual history</w:t>
      </w:r>
      <w:r w:rsidR="000F66FA" w:rsidRPr="00D15C0B">
        <w:rPr>
          <w:color w:val="000000"/>
        </w:rPr>
        <w:t xml:space="preserve"> (Section D)</w:t>
      </w:r>
      <w:r w:rsidRPr="00D15C0B">
        <w:rPr>
          <w:color w:val="000000"/>
        </w:rPr>
        <w:t>; sexual behavior</w:t>
      </w:r>
      <w:r w:rsidR="000F66FA" w:rsidRPr="00D15C0B">
        <w:rPr>
          <w:color w:val="000000"/>
        </w:rPr>
        <w:t xml:space="preserve"> </w:t>
      </w:r>
      <w:r w:rsidRPr="00D15C0B">
        <w:rPr>
          <w:color w:val="000000"/>
        </w:rPr>
        <w:t>and sexual partners</w:t>
      </w:r>
      <w:r w:rsidR="001736B8" w:rsidRPr="00D15C0B">
        <w:rPr>
          <w:color w:val="000000"/>
        </w:rPr>
        <w:t>’</w:t>
      </w:r>
      <w:r w:rsidRPr="00D15C0B">
        <w:rPr>
          <w:color w:val="000000"/>
        </w:rPr>
        <w:t xml:space="preserve"> </w:t>
      </w:r>
      <w:r w:rsidR="000F66FA" w:rsidRPr="00D15C0B">
        <w:rPr>
          <w:color w:val="000000"/>
        </w:rPr>
        <w:t xml:space="preserve">risks (Section E) </w:t>
      </w:r>
      <w:r w:rsidRPr="00D15C0B">
        <w:rPr>
          <w:color w:val="000000"/>
        </w:rPr>
        <w:t>will give an overview of participants’ current and past sexual life style. Sexual history, including self-declared sexual orientation, age of sexual debut</w:t>
      </w:r>
      <w:proofErr w:type="gramStart"/>
      <w:r w:rsidRPr="00D15C0B">
        <w:rPr>
          <w:color w:val="000000"/>
        </w:rPr>
        <w:t>;</w:t>
      </w:r>
      <w:proofErr w:type="gramEnd"/>
      <w:r w:rsidRPr="00D15C0B">
        <w:rPr>
          <w:color w:val="000000"/>
        </w:rPr>
        <w:t xml:space="preserve"> number of sexual partners during the lifetime</w:t>
      </w:r>
      <w:r w:rsidR="00AC5FB5" w:rsidRPr="00D15C0B">
        <w:rPr>
          <w:color w:val="000000"/>
        </w:rPr>
        <w:t>, and</w:t>
      </w:r>
      <w:r w:rsidR="00C966D9" w:rsidRPr="00D15C0B">
        <w:rPr>
          <w:color w:val="000000"/>
        </w:rPr>
        <w:t xml:space="preserve"> </w:t>
      </w:r>
      <w:r w:rsidRPr="00D15C0B">
        <w:rPr>
          <w:color w:val="000000"/>
        </w:rPr>
        <w:t>current or past physical and sexual abuse</w:t>
      </w:r>
      <w:r w:rsidR="003424D8" w:rsidRPr="00D15C0B">
        <w:rPr>
          <w:color w:val="000000"/>
        </w:rPr>
        <w:t xml:space="preserve"> may all be related to test seeking behavior and non-disclosure of risk during donation.</w:t>
      </w:r>
      <w:r w:rsidRPr="00D15C0B">
        <w:rPr>
          <w:color w:val="000000"/>
        </w:rPr>
        <w:t xml:space="preserve"> </w:t>
      </w:r>
      <w:r w:rsidR="007539C4" w:rsidRPr="00D15C0B">
        <w:rPr>
          <w:color w:val="000000"/>
        </w:rPr>
        <w:t>Changes in</w:t>
      </w:r>
      <w:r w:rsidRPr="00D15C0B">
        <w:rPr>
          <w:color w:val="000000"/>
        </w:rPr>
        <w:t xml:space="preserve"> condom use,</w:t>
      </w:r>
      <w:r w:rsidR="007F58A0" w:rsidRPr="00D15C0B">
        <w:rPr>
          <w:color w:val="000000"/>
        </w:rPr>
        <w:t xml:space="preserve"> </w:t>
      </w:r>
      <w:r w:rsidR="004C1A28" w:rsidRPr="00D15C0B">
        <w:rPr>
          <w:color w:val="000000"/>
        </w:rPr>
        <w:t>men who have sex with men (</w:t>
      </w:r>
      <w:r w:rsidRPr="00D15C0B">
        <w:rPr>
          <w:color w:val="000000"/>
        </w:rPr>
        <w:t>MSM</w:t>
      </w:r>
      <w:r w:rsidR="004C1A28" w:rsidRPr="00D15C0B">
        <w:rPr>
          <w:color w:val="000000"/>
        </w:rPr>
        <w:t>)</w:t>
      </w:r>
      <w:r w:rsidRPr="00D15C0B">
        <w:rPr>
          <w:color w:val="000000"/>
        </w:rPr>
        <w:t xml:space="preserve"> </w:t>
      </w:r>
      <w:proofErr w:type="gramStart"/>
      <w:r w:rsidR="00A902AD" w:rsidRPr="00D15C0B">
        <w:rPr>
          <w:color w:val="000000"/>
        </w:rPr>
        <w:t>behavior</w:t>
      </w:r>
      <w:r w:rsidRPr="00D15C0B">
        <w:rPr>
          <w:color w:val="000000"/>
        </w:rPr>
        <w:t>,</w:t>
      </w:r>
      <w:proofErr w:type="gramEnd"/>
      <w:r w:rsidRPr="00D15C0B">
        <w:rPr>
          <w:color w:val="000000"/>
        </w:rPr>
        <w:t xml:space="preserve"> and </w:t>
      </w:r>
      <w:r w:rsidR="00015FDF" w:rsidRPr="00D15C0B">
        <w:rPr>
          <w:color w:val="000000"/>
        </w:rPr>
        <w:t>the</w:t>
      </w:r>
      <w:r w:rsidR="00A902AD" w:rsidRPr="00D15C0B">
        <w:rPr>
          <w:color w:val="000000"/>
        </w:rPr>
        <w:t xml:space="preserve"> risk factors the </w:t>
      </w:r>
      <w:r w:rsidR="008F7305" w:rsidRPr="00D15C0B">
        <w:rPr>
          <w:color w:val="000000"/>
        </w:rPr>
        <w:t>respondents’ sexual</w:t>
      </w:r>
      <w:r w:rsidRPr="00D15C0B">
        <w:rPr>
          <w:color w:val="000000"/>
        </w:rPr>
        <w:t xml:space="preserve"> partners </w:t>
      </w:r>
      <w:r w:rsidR="00A902AD" w:rsidRPr="00D15C0B">
        <w:rPr>
          <w:color w:val="000000"/>
        </w:rPr>
        <w:t xml:space="preserve">may have </w:t>
      </w:r>
      <w:r w:rsidRPr="00D15C0B">
        <w:rPr>
          <w:color w:val="000000"/>
        </w:rPr>
        <w:t xml:space="preserve">will provide a better understanding of </w:t>
      </w:r>
      <w:r w:rsidR="007539C4" w:rsidRPr="00D15C0B">
        <w:rPr>
          <w:color w:val="000000"/>
        </w:rPr>
        <w:t xml:space="preserve">risk reduction </w:t>
      </w:r>
      <w:r w:rsidR="00F07FD2" w:rsidRPr="00D15C0B">
        <w:rPr>
          <w:color w:val="000000"/>
        </w:rPr>
        <w:t>after HIV results notification.</w:t>
      </w:r>
      <w:r w:rsidRPr="00D15C0B">
        <w:rPr>
          <w:color w:val="000000"/>
        </w:rPr>
        <w:t xml:space="preserve"> The sexual history responses will allow us to determine the most prevalent </w:t>
      </w:r>
      <w:r w:rsidR="00A902AD" w:rsidRPr="00D15C0B">
        <w:rPr>
          <w:color w:val="000000"/>
        </w:rPr>
        <w:t xml:space="preserve">patterns of </w:t>
      </w:r>
      <w:r w:rsidRPr="00D15C0B">
        <w:rPr>
          <w:color w:val="000000"/>
        </w:rPr>
        <w:t xml:space="preserve">sexual </w:t>
      </w:r>
      <w:r w:rsidR="00A902AD" w:rsidRPr="00D15C0B">
        <w:rPr>
          <w:color w:val="000000"/>
        </w:rPr>
        <w:t xml:space="preserve">behavior </w:t>
      </w:r>
      <w:r w:rsidRPr="00D15C0B">
        <w:rPr>
          <w:color w:val="000000"/>
        </w:rPr>
        <w:t>for HIV</w:t>
      </w:r>
      <w:r w:rsidR="000F66FA" w:rsidRPr="00D15C0B">
        <w:rPr>
          <w:color w:val="000000"/>
        </w:rPr>
        <w:t>-</w:t>
      </w:r>
      <w:r w:rsidRPr="00D15C0B">
        <w:rPr>
          <w:color w:val="000000"/>
        </w:rPr>
        <w:t>positive blood donors</w:t>
      </w:r>
      <w:r w:rsidR="00A902AD" w:rsidRPr="00D15C0B">
        <w:rPr>
          <w:color w:val="000000"/>
        </w:rPr>
        <w:t xml:space="preserve"> in Brazil</w:t>
      </w:r>
      <w:r w:rsidRPr="00D15C0B">
        <w:rPr>
          <w:color w:val="000000"/>
        </w:rPr>
        <w:t>, whether th</w:t>
      </w:r>
      <w:r w:rsidR="00A902AD" w:rsidRPr="00D15C0B">
        <w:rPr>
          <w:color w:val="000000"/>
        </w:rPr>
        <w:t>ese</w:t>
      </w:r>
      <w:r w:rsidRPr="00D15C0B">
        <w:rPr>
          <w:color w:val="000000"/>
        </w:rPr>
        <w:t xml:space="preserve"> pattern</w:t>
      </w:r>
      <w:r w:rsidR="00A902AD" w:rsidRPr="00D15C0B">
        <w:rPr>
          <w:color w:val="000000"/>
        </w:rPr>
        <w:t>s</w:t>
      </w:r>
      <w:r w:rsidRPr="00D15C0B">
        <w:rPr>
          <w:color w:val="000000"/>
        </w:rPr>
        <w:t xml:space="preserve"> may or </w:t>
      </w:r>
      <w:proofErr w:type="gramStart"/>
      <w:r w:rsidRPr="00D15C0B">
        <w:rPr>
          <w:color w:val="000000"/>
        </w:rPr>
        <w:t>may not be correlated</w:t>
      </w:r>
      <w:proofErr w:type="gramEnd"/>
      <w:r w:rsidRPr="00D15C0B">
        <w:rPr>
          <w:color w:val="000000"/>
        </w:rPr>
        <w:t xml:space="preserve"> with risk behavior changes, </w:t>
      </w:r>
      <w:r w:rsidR="00A902AD" w:rsidRPr="00D15C0B">
        <w:rPr>
          <w:color w:val="000000"/>
        </w:rPr>
        <w:t xml:space="preserve">and with </w:t>
      </w:r>
      <w:r w:rsidRPr="00D15C0B">
        <w:rPr>
          <w:color w:val="000000"/>
        </w:rPr>
        <w:t>specific serologic markers and routes of transmission.</w:t>
      </w:r>
      <w:r w:rsidR="004166D9" w:rsidRPr="00D15C0B">
        <w:rPr>
          <w:color w:val="000000"/>
        </w:rPr>
        <w:t xml:space="preserve"> Inquiring about the same risk behaviors as those covered during </w:t>
      </w:r>
      <w:r w:rsidR="00623AAB" w:rsidRPr="00D15C0B">
        <w:rPr>
          <w:color w:val="000000"/>
        </w:rPr>
        <w:t xml:space="preserve">the </w:t>
      </w:r>
      <w:r w:rsidR="004166D9" w:rsidRPr="00D15C0B">
        <w:rPr>
          <w:color w:val="000000"/>
        </w:rPr>
        <w:t xml:space="preserve">previous REDS-II and REDS-III Brazil </w:t>
      </w:r>
      <w:r w:rsidR="00A902AD" w:rsidRPr="00D15C0B">
        <w:rPr>
          <w:color w:val="000000"/>
        </w:rPr>
        <w:t xml:space="preserve">HIV </w:t>
      </w:r>
      <w:r w:rsidR="004166D9" w:rsidRPr="00D15C0B">
        <w:rPr>
          <w:color w:val="000000"/>
        </w:rPr>
        <w:t xml:space="preserve">studies is critical so that we can compare previous responses to responses from this study to demonstrate the degree of behavioral risk reduction (if any). </w:t>
      </w:r>
    </w:p>
    <w:p w14:paraId="10AA96BC" w14:textId="1C72B750" w:rsidR="00433DD7" w:rsidRPr="00D15C0B" w:rsidRDefault="00433DD7" w:rsidP="0066305A">
      <w:pPr>
        <w:widowControl w:val="0"/>
        <w:adjustRightInd w:val="0"/>
        <w:snapToGrid w:val="0"/>
        <w:rPr>
          <w:color w:val="000000"/>
        </w:rPr>
      </w:pPr>
      <w:r w:rsidRPr="00D15C0B">
        <w:rPr>
          <w:color w:val="000000"/>
        </w:rPr>
        <w:tab/>
        <w:t>In many countries</w:t>
      </w:r>
      <w:r w:rsidR="000F66FA" w:rsidRPr="00D15C0B">
        <w:rPr>
          <w:color w:val="000000"/>
        </w:rPr>
        <w:t>,</w:t>
      </w:r>
      <w:r w:rsidRPr="00D15C0B">
        <w:rPr>
          <w:color w:val="000000"/>
        </w:rPr>
        <w:t xml:space="preserve"> including Brazil, the path of HIV spread</w:t>
      </w:r>
      <w:r w:rsidR="00E43E7B" w:rsidRPr="00D15C0B">
        <w:rPr>
          <w:color w:val="000000"/>
        </w:rPr>
        <w:t xml:space="preserve"> is </w:t>
      </w:r>
      <w:r w:rsidR="00623AAB" w:rsidRPr="00D15C0B">
        <w:rPr>
          <w:color w:val="000000"/>
        </w:rPr>
        <w:t xml:space="preserve">by </w:t>
      </w:r>
      <w:r w:rsidR="00E43E7B" w:rsidRPr="00D15C0B">
        <w:rPr>
          <w:color w:val="000000"/>
        </w:rPr>
        <w:t>both</w:t>
      </w:r>
      <w:r w:rsidRPr="00D15C0B">
        <w:rPr>
          <w:color w:val="000000"/>
        </w:rPr>
        <w:t xml:space="preserve"> </w:t>
      </w:r>
      <w:r w:rsidRPr="00D15C0B">
        <w:rPr>
          <w:color w:val="000000"/>
        </w:rPr>
        <w:lastRenderedPageBreak/>
        <w:t xml:space="preserve">homosexual </w:t>
      </w:r>
      <w:r w:rsidR="00E43E7B" w:rsidRPr="00D15C0B">
        <w:rPr>
          <w:color w:val="000000"/>
        </w:rPr>
        <w:t xml:space="preserve">and </w:t>
      </w:r>
      <w:r w:rsidRPr="00D15C0B">
        <w:rPr>
          <w:color w:val="000000"/>
        </w:rPr>
        <w:t xml:space="preserve">heterosexual transmission. The social matrix </w:t>
      </w:r>
      <w:r w:rsidR="000F66FA" w:rsidRPr="00D15C0B">
        <w:rPr>
          <w:color w:val="000000"/>
        </w:rPr>
        <w:t>section (S</w:t>
      </w:r>
      <w:r w:rsidRPr="00D15C0B">
        <w:rPr>
          <w:color w:val="000000"/>
        </w:rPr>
        <w:t xml:space="preserve">ection </w:t>
      </w:r>
      <w:r w:rsidR="000F66FA" w:rsidRPr="00D15C0B">
        <w:rPr>
          <w:color w:val="000000"/>
        </w:rPr>
        <w:t xml:space="preserve">F) </w:t>
      </w:r>
      <w:proofErr w:type="gramStart"/>
      <w:r w:rsidRPr="00D15C0B">
        <w:rPr>
          <w:color w:val="000000"/>
        </w:rPr>
        <w:t>is designed</w:t>
      </w:r>
      <w:proofErr w:type="gramEnd"/>
      <w:r w:rsidRPr="00D15C0B">
        <w:rPr>
          <w:color w:val="000000"/>
        </w:rPr>
        <w:t xml:space="preserve"> to capture detailed sexual information in the 12 months </w:t>
      </w:r>
      <w:r w:rsidR="00A902AD" w:rsidRPr="00D15C0B">
        <w:rPr>
          <w:color w:val="000000"/>
        </w:rPr>
        <w:t>before participating in this study</w:t>
      </w:r>
      <w:r w:rsidRPr="00D15C0B">
        <w:rPr>
          <w:color w:val="000000"/>
        </w:rPr>
        <w:t xml:space="preserve">.  </w:t>
      </w:r>
      <w:proofErr w:type="gramStart"/>
      <w:r w:rsidRPr="00D15C0B">
        <w:rPr>
          <w:color w:val="000000"/>
        </w:rPr>
        <w:t xml:space="preserve">Reasons for focusing on this period of time include that: </w:t>
      </w:r>
      <w:r w:rsidR="00C6200C" w:rsidRPr="00D15C0B">
        <w:rPr>
          <w:color w:val="000000"/>
        </w:rPr>
        <w:t>a</w:t>
      </w:r>
      <w:r w:rsidR="00470CC2" w:rsidRPr="00D15C0B">
        <w:rPr>
          <w:color w:val="000000"/>
        </w:rPr>
        <w:t xml:space="preserve">) </w:t>
      </w:r>
      <w:r w:rsidRPr="00D15C0B">
        <w:rPr>
          <w:color w:val="000000"/>
        </w:rPr>
        <w:t>in general, persons tend to maintain a standard pattern of sexual behavior in their lifetime (MSM, bisexual, heterosexual)</w:t>
      </w:r>
      <w:r w:rsidR="0066305A" w:rsidRPr="00D15C0B">
        <w:rPr>
          <w:color w:val="000000"/>
        </w:rPr>
        <w:t>, and</w:t>
      </w:r>
      <w:r w:rsidR="00C6200C" w:rsidRPr="00D15C0B">
        <w:rPr>
          <w:color w:val="000000"/>
        </w:rPr>
        <w:t xml:space="preserve"> recent sexual activity </w:t>
      </w:r>
      <w:r w:rsidR="00E44C9B" w:rsidRPr="00D15C0B">
        <w:rPr>
          <w:color w:val="000000"/>
        </w:rPr>
        <w:t xml:space="preserve">after </w:t>
      </w:r>
      <w:r w:rsidR="00C6200C" w:rsidRPr="00D15C0B">
        <w:rPr>
          <w:color w:val="000000"/>
        </w:rPr>
        <w:t>HIV notification is of greatest interest for this study</w:t>
      </w:r>
      <w:r w:rsidR="0066305A" w:rsidRPr="00D15C0B">
        <w:rPr>
          <w:color w:val="000000"/>
        </w:rPr>
        <w:t>, and</w:t>
      </w:r>
      <w:r w:rsidR="00470CC2" w:rsidRPr="00D15C0B">
        <w:rPr>
          <w:color w:val="000000"/>
        </w:rPr>
        <w:t xml:space="preserve"> </w:t>
      </w:r>
      <w:r w:rsidR="00C6200C" w:rsidRPr="00D15C0B">
        <w:rPr>
          <w:color w:val="000000"/>
        </w:rPr>
        <w:t>b</w:t>
      </w:r>
      <w:r w:rsidR="00470CC2" w:rsidRPr="00D15C0B">
        <w:rPr>
          <w:color w:val="000000"/>
        </w:rPr>
        <w:t xml:space="preserve">) </w:t>
      </w:r>
      <w:r w:rsidR="00E44C9B" w:rsidRPr="00D15C0B">
        <w:rPr>
          <w:color w:val="000000"/>
        </w:rPr>
        <w:t xml:space="preserve">recent </w:t>
      </w:r>
      <w:r w:rsidRPr="00D15C0B">
        <w:rPr>
          <w:color w:val="000000"/>
        </w:rPr>
        <w:t xml:space="preserve">specific sexual practices are relevant to identify </w:t>
      </w:r>
      <w:r w:rsidR="00C6200C" w:rsidRPr="00D15C0B">
        <w:rPr>
          <w:color w:val="000000"/>
        </w:rPr>
        <w:t xml:space="preserve">if </w:t>
      </w:r>
      <w:r w:rsidRPr="00D15C0B">
        <w:rPr>
          <w:color w:val="000000"/>
        </w:rPr>
        <w:t>higher risk behaviors for HIV transmission</w:t>
      </w:r>
      <w:r w:rsidR="00C6200C" w:rsidRPr="00D15C0B">
        <w:rPr>
          <w:color w:val="000000"/>
        </w:rPr>
        <w:t xml:space="preserve"> are still occurring</w:t>
      </w:r>
      <w:r w:rsidRPr="00D15C0B">
        <w:rPr>
          <w:color w:val="000000"/>
        </w:rPr>
        <w:t>.</w:t>
      </w:r>
      <w:proofErr w:type="gramEnd"/>
      <w:r w:rsidRPr="00D15C0B">
        <w:rPr>
          <w:color w:val="000000"/>
        </w:rPr>
        <w:t xml:space="preserve"> Responses from different partners </w:t>
      </w:r>
      <w:proofErr w:type="gramStart"/>
      <w:r w:rsidRPr="00D15C0B">
        <w:rPr>
          <w:color w:val="000000"/>
        </w:rPr>
        <w:t>will be combined</w:t>
      </w:r>
      <w:proofErr w:type="gramEnd"/>
      <w:r w:rsidRPr="00D15C0B">
        <w:rPr>
          <w:color w:val="000000"/>
        </w:rPr>
        <w:t xml:space="preserve"> to determine the frequency that a </w:t>
      </w:r>
      <w:r w:rsidR="0053323C" w:rsidRPr="00D15C0B">
        <w:rPr>
          <w:color w:val="000000"/>
        </w:rPr>
        <w:t>participant</w:t>
      </w:r>
      <w:r w:rsidRPr="00D15C0B">
        <w:rPr>
          <w:color w:val="000000"/>
        </w:rPr>
        <w:t xml:space="preserve"> has engaged in higher risk sexual behaviors</w:t>
      </w:r>
      <w:r w:rsidR="0053323C" w:rsidRPr="00D15C0B">
        <w:rPr>
          <w:color w:val="000000"/>
        </w:rPr>
        <w:t xml:space="preserve"> after notification</w:t>
      </w:r>
      <w:r w:rsidRPr="00D15C0B">
        <w:rPr>
          <w:color w:val="000000"/>
        </w:rPr>
        <w:t>. We also intend to correlate</w:t>
      </w:r>
      <w:r w:rsidR="00672801" w:rsidRPr="00D15C0B">
        <w:rPr>
          <w:color w:val="000000"/>
        </w:rPr>
        <w:t>,</w:t>
      </w:r>
      <w:r w:rsidRPr="00D15C0B">
        <w:rPr>
          <w:color w:val="000000"/>
        </w:rPr>
        <w:t xml:space="preserve"> in this very well characterized HIV population, </w:t>
      </w:r>
      <w:r w:rsidR="00672801" w:rsidRPr="00D15C0B">
        <w:rPr>
          <w:color w:val="000000"/>
        </w:rPr>
        <w:t>risk reduction after the HIV notification</w:t>
      </w:r>
      <w:r w:rsidR="006C0A03" w:rsidRPr="00D15C0B">
        <w:rPr>
          <w:color w:val="000000"/>
        </w:rPr>
        <w:t xml:space="preserve"> and </w:t>
      </w:r>
      <w:r w:rsidRPr="00D15C0B">
        <w:rPr>
          <w:color w:val="000000"/>
        </w:rPr>
        <w:t>social interaction</w:t>
      </w:r>
      <w:r w:rsidR="006B74AC" w:rsidRPr="00D15C0B">
        <w:rPr>
          <w:color w:val="000000"/>
        </w:rPr>
        <w:t>,</w:t>
      </w:r>
      <w:r w:rsidRPr="00D15C0B">
        <w:rPr>
          <w:color w:val="000000"/>
        </w:rPr>
        <w:t xml:space="preserve"> </w:t>
      </w:r>
      <w:r w:rsidR="006B74AC" w:rsidRPr="00D15C0B">
        <w:rPr>
          <w:color w:val="000000"/>
        </w:rPr>
        <w:t>in</w:t>
      </w:r>
      <w:r w:rsidR="002A2A69" w:rsidRPr="00D15C0B">
        <w:rPr>
          <w:color w:val="000000"/>
        </w:rPr>
        <w:t>cluding behaviors that could further</w:t>
      </w:r>
      <w:r w:rsidRPr="00D15C0B">
        <w:rPr>
          <w:color w:val="000000"/>
        </w:rPr>
        <w:t xml:space="preserve"> spread</w:t>
      </w:r>
      <w:r w:rsidR="002A2A69" w:rsidRPr="00D15C0B">
        <w:rPr>
          <w:color w:val="000000"/>
        </w:rPr>
        <w:t xml:space="preserve"> HIV</w:t>
      </w:r>
      <w:r w:rsidRPr="00D15C0B">
        <w:rPr>
          <w:color w:val="000000"/>
        </w:rPr>
        <w:t xml:space="preserve">.  </w:t>
      </w:r>
      <w:r w:rsidR="009B6538" w:rsidRPr="00D15C0B">
        <w:rPr>
          <w:color w:val="000000"/>
        </w:rPr>
        <w:t>Answers to thes</w:t>
      </w:r>
      <w:r w:rsidRPr="00D15C0B">
        <w:rPr>
          <w:color w:val="000000"/>
        </w:rPr>
        <w:t xml:space="preserve">e questions will guide future efforts to develop donor health history questions </w:t>
      </w:r>
      <w:r w:rsidR="002A2A69" w:rsidRPr="00D15C0B">
        <w:rPr>
          <w:color w:val="000000"/>
        </w:rPr>
        <w:t xml:space="preserve">in Brazil </w:t>
      </w:r>
      <w:r w:rsidR="00070308" w:rsidRPr="00D15C0B">
        <w:rPr>
          <w:color w:val="000000"/>
        </w:rPr>
        <w:t xml:space="preserve">(and potentially elsewhere) </w:t>
      </w:r>
      <w:r w:rsidRPr="00D15C0B">
        <w:rPr>
          <w:color w:val="000000"/>
        </w:rPr>
        <w:t xml:space="preserve">that </w:t>
      </w:r>
      <w:r w:rsidR="002A2A69" w:rsidRPr="00D15C0B">
        <w:rPr>
          <w:color w:val="000000"/>
        </w:rPr>
        <w:t xml:space="preserve">can </w:t>
      </w:r>
      <w:r w:rsidR="0039387B" w:rsidRPr="00D15C0B">
        <w:rPr>
          <w:color w:val="000000"/>
        </w:rPr>
        <w:t>better</w:t>
      </w:r>
      <w:r w:rsidR="00180B19" w:rsidRPr="00D15C0B">
        <w:rPr>
          <w:color w:val="000000"/>
        </w:rPr>
        <w:t xml:space="preserve"> </w:t>
      </w:r>
      <w:r w:rsidRPr="00D15C0B">
        <w:rPr>
          <w:color w:val="000000"/>
        </w:rPr>
        <w:t>exclude donors with high</w:t>
      </w:r>
      <w:r w:rsidR="00E44C9B" w:rsidRPr="00D15C0B">
        <w:rPr>
          <w:color w:val="000000"/>
        </w:rPr>
        <w:t>er</w:t>
      </w:r>
      <w:r w:rsidRPr="00D15C0B">
        <w:rPr>
          <w:color w:val="000000"/>
        </w:rPr>
        <w:t xml:space="preserve"> risk.</w:t>
      </w:r>
    </w:p>
    <w:p w14:paraId="7B65717A" w14:textId="4404C2EE" w:rsidR="00433DD7" w:rsidRPr="00D15C0B" w:rsidRDefault="00433DD7" w:rsidP="0055786C">
      <w:pPr>
        <w:widowControl w:val="0"/>
        <w:adjustRightInd w:val="0"/>
        <w:snapToGrid w:val="0"/>
        <w:rPr>
          <w:color w:val="000000"/>
        </w:rPr>
      </w:pPr>
      <w:r w:rsidRPr="00D15C0B">
        <w:rPr>
          <w:color w:val="000000"/>
        </w:rPr>
        <w:tab/>
        <w:t xml:space="preserve">The medical history section </w:t>
      </w:r>
      <w:r w:rsidR="00470CC2" w:rsidRPr="00D15C0B">
        <w:rPr>
          <w:color w:val="000000"/>
        </w:rPr>
        <w:t xml:space="preserve">(Section G) </w:t>
      </w:r>
      <w:r w:rsidRPr="00D15C0B">
        <w:rPr>
          <w:color w:val="000000"/>
        </w:rPr>
        <w:t>will capture information about</w:t>
      </w:r>
      <w:r w:rsidR="00180B19" w:rsidRPr="00D15C0B">
        <w:rPr>
          <w:color w:val="000000"/>
        </w:rPr>
        <w:t xml:space="preserve"> medical care</w:t>
      </w:r>
      <w:r w:rsidR="00405949" w:rsidRPr="00D15C0B">
        <w:rPr>
          <w:color w:val="000000"/>
        </w:rPr>
        <w:t xml:space="preserve"> </w:t>
      </w:r>
      <w:r w:rsidR="00672801" w:rsidRPr="00D15C0B">
        <w:rPr>
          <w:color w:val="000000"/>
        </w:rPr>
        <w:t xml:space="preserve">after </w:t>
      </w:r>
      <w:r w:rsidRPr="00D15C0B">
        <w:rPr>
          <w:color w:val="000000"/>
        </w:rPr>
        <w:t xml:space="preserve">the participant learned about his/her HIV status. Questions about current or past anti-retroviral therapy (ART) </w:t>
      </w:r>
      <w:proofErr w:type="gramStart"/>
      <w:r w:rsidRPr="00D15C0B">
        <w:rPr>
          <w:color w:val="000000"/>
        </w:rPr>
        <w:t>will be correlated</w:t>
      </w:r>
      <w:proofErr w:type="gramEnd"/>
      <w:r w:rsidRPr="00D15C0B">
        <w:rPr>
          <w:color w:val="000000"/>
        </w:rPr>
        <w:t xml:space="preserve"> with CD4 and CD8 count</w:t>
      </w:r>
      <w:r w:rsidR="00405949" w:rsidRPr="00D15C0B">
        <w:rPr>
          <w:color w:val="000000"/>
        </w:rPr>
        <w:t>s</w:t>
      </w:r>
      <w:r w:rsidRPr="00D15C0B">
        <w:rPr>
          <w:color w:val="000000"/>
        </w:rPr>
        <w:t xml:space="preserve">. In addition, questions about blood transfusion and surgery may provide information </w:t>
      </w:r>
      <w:r w:rsidRPr="00D15C0B">
        <w:t>about the</w:t>
      </w:r>
      <w:r w:rsidRPr="00D15C0B">
        <w:rPr>
          <w:color w:val="000000"/>
        </w:rPr>
        <w:t xml:space="preserve"> </w:t>
      </w:r>
      <w:r w:rsidRPr="00D15C0B">
        <w:t>immune dysfunction</w:t>
      </w:r>
      <w:r w:rsidRPr="00D15C0B">
        <w:rPr>
          <w:color w:val="000000"/>
        </w:rPr>
        <w:t xml:space="preserve"> </w:t>
      </w:r>
      <w:r w:rsidRPr="00D15C0B">
        <w:t xml:space="preserve">as HIV infected patients are </w:t>
      </w:r>
      <w:r w:rsidR="00405949" w:rsidRPr="00D15C0B">
        <w:t xml:space="preserve">more </w:t>
      </w:r>
      <w:r w:rsidRPr="00D15C0B">
        <w:t xml:space="preserve">susceptible to postoperative </w:t>
      </w:r>
      <w:r w:rsidR="00405949" w:rsidRPr="00D15C0B">
        <w:t>adverse events</w:t>
      </w:r>
      <w:r w:rsidR="0066305A" w:rsidRPr="00D15C0B">
        <w:t xml:space="preserve"> that include</w:t>
      </w:r>
      <w:r w:rsidR="00405949" w:rsidRPr="00D15C0B">
        <w:t xml:space="preserve"> </w:t>
      </w:r>
      <w:r w:rsidR="00953A0A" w:rsidRPr="00D15C0B">
        <w:t>sepsis.</w:t>
      </w:r>
      <w:r w:rsidRPr="00D15C0B">
        <w:t xml:space="preserve"> Moreover, </w:t>
      </w:r>
      <w:r w:rsidRPr="00D15C0B">
        <w:rPr>
          <w:lang w:val="en"/>
        </w:rPr>
        <w:t>HIV-infected individuals have a higher risk of developing infectious complications after surgery, even after minor procedures</w:t>
      </w:r>
      <w:r w:rsidR="00C67C80" w:rsidRPr="00D15C0B">
        <w:rPr>
          <w:lang w:val="en"/>
        </w:rPr>
        <w:t xml:space="preserve"> (</w:t>
      </w:r>
      <w:r w:rsidR="009E1221" w:rsidRPr="00D15C0B">
        <w:rPr>
          <w:lang w:val="en"/>
        </w:rPr>
        <w:t>20</w:t>
      </w:r>
      <w:r w:rsidR="004C1A28" w:rsidRPr="00D15C0B">
        <w:rPr>
          <w:lang w:val="en"/>
        </w:rPr>
        <w:t>, 21</w:t>
      </w:r>
      <w:r w:rsidR="008F3C82" w:rsidRPr="00D15C0B">
        <w:rPr>
          <w:lang w:val="en"/>
        </w:rPr>
        <w:t>)</w:t>
      </w:r>
      <w:r w:rsidRPr="00D15C0B">
        <w:rPr>
          <w:lang w:val="en"/>
        </w:rPr>
        <w:t xml:space="preserve">. </w:t>
      </w:r>
    </w:p>
    <w:p w14:paraId="7DBF4496" w14:textId="77777777" w:rsidR="00433DD7" w:rsidRPr="00D15C0B" w:rsidRDefault="00433DD7" w:rsidP="00043695">
      <w:pPr>
        <w:widowControl w:val="0"/>
        <w:adjustRightInd w:val="0"/>
        <w:snapToGrid w:val="0"/>
        <w:ind w:firstLine="720"/>
        <w:rPr>
          <w:color w:val="000000"/>
        </w:rPr>
      </w:pPr>
      <w:r w:rsidRPr="00D15C0B">
        <w:rPr>
          <w:color w:val="000000"/>
        </w:rPr>
        <w:t xml:space="preserve">The section on general </w:t>
      </w:r>
      <w:r w:rsidR="00470CC2" w:rsidRPr="00D15C0B">
        <w:rPr>
          <w:color w:val="000000"/>
        </w:rPr>
        <w:t xml:space="preserve">activities </w:t>
      </w:r>
      <w:r w:rsidRPr="00D15C0B">
        <w:rPr>
          <w:color w:val="000000"/>
        </w:rPr>
        <w:t xml:space="preserve">or exposures </w:t>
      </w:r>
      <w:r w:rsidR="00470CC2" w:rsidRPr="00D15C0B">
        <w:rPr>
          <w:color w:val="000000"/>
        </w:rPr>
        <w:t xml:space="preserve">(Section H) </w:t>
      </w:r>
      <w:r w:rsidRPr="00D15C0B">
        <w:rPr>
          <w:color w:val="000000"/>
        </w:rPr>
        <w:t>will obtain data related to rare risk factors for HIV infection and includes questions related to tattoos, acupuncture treatment, time spent in jail, prison, or a detention center, body piercings as well as pedicure and manicure treatments at a salon or barber shop.</w:t>
      </w:r>
      <w:r w:rsidR="00953A0A" w:rsidRPr="00D15C0B">
        <w:rPr>
          <w:color w:val="000000"/>
        </w:rPr>
        <w:t xml:space="preserve"> All are routes where exposure to the participant</w:t>
      </w:r>
      <w:r w:rsidR="005F1C20" w:rsidRPr="00D15C0B">
        <w:rPr>
          <w:color w:val="000000"/>
        </w:rPr>
        <w:t>’</w:t>
      </w:r>
      <w:r w:rsidR="00953A0A" w:rsidRPr="00D15C0B">
        <w:rPr>
          <w:color w:val="000000"/>
        </w:rPr>
        <w:t xml:space="preserve">s blood could lead to further </w:t>
      </w:r>
      <w:r w:rsidR="00C20BC9" w:rsidRPr="00D15C0B">
        <w:rPr>
          <w:color w:val="000000"/>
        </w:rPr>
        <w:t xml:space="preserve">onward </w:t>
      </w:r>
      <w:r w:rsidR="00953A0A" w:rsidRPr="00D15C0B">
        <w:rPr>
          <w:color w:val="000000"/>
        </w:rPr>
        <w:t>HIV transmission.</w:t>
      </w:r>
      <w:r w:rsidRPr="00D15C0B">
        <w:rPr>
          <w:color w:val="000000"/>
        </w:rPr>
        <w:t xml:space="preserve"> </w:t>
      </w:r>
    </w:p>
    <w:p w14:paraId="2DB724A8" w14:textId="69ECD6D6" w:rsidR="00F72988" w:rsidRPr="00D15C0B" w:rsidRDefault="00433DD7" w:rsidP="00D15C0B">
      <w:pPr>
        <w:autoSpaceDE w:val="0"/>
        <w:autoSpaceDN w:val="0"/>
        <w:adjustRightInd w:val="0"/>
        <w:ind w:firstLine="720"/>
        <w:rPr>
          <w:color w:val="000000"/>
        </w:rPr>
      </w:pPr>
      <w:r w:rsidRPr="00D15C0B">
        <w:rPr>
          <w:color w:val="000000"/>
        </w:rPr>
        <w:t xml:space="preserve">The counseling and notification questions </w:t>
      </w:r>
      <w:r w:rsidR="00470CC2" w:rsidRPr="00D15C0B">
        <w:rPr>
          <w:color w:val="000000"/>
        </w:rPr>
        <w:t xml:space="preserve">(Section I) </w:t>
      </w:r>
      <w:r w:rsidRPr="00D15C0B">
        <w:rPr>
          <w:color w:val="000000"/>
        </w:rPr>
        <w:t>will be used to ascertain when and where the participant first learned about the</w:t>
      </w:r>
      <w:r w:rsidR="00EC509A" w:rsidRPr="00D15C0B">
        <w:rPr>
          <w:color w:val="000000"/>
        </w:rPr>
        <w:t>ir</w:t>
      </w:r>
      <w:r w:rsidRPr="00D15C0B">
        <w:rPr>
          <w:color w:val="000000"/>
        </w:rPr>
        <w:t xml:space="preserve"> HIV status and whether it occurred before or after the blood donation. </w:t>
      </w:r>
      <w:r w:rsidR="0066305A" w:rsidRPr="00D15C0B">
        <w:rPr>
          <w:color w:val="000000"/>
        </w:rPr>
        <w:t>To the best of our knowledge</w:t>
      </w:r>
      <w:r w:rsidR="00F72988" w:rsidRPr="00D15C0B">
        <w:rPr>
          <w:color w:val="000000"/>
        </w:rPr>
        <w:t xml:space="preserve"> q</w:t>
      </w:r>
      <w:r w:rsidRPr="00D15C0B">
        <w:rPr>
          <w:color w:val="000000"/>
        </w:rPr>
        <w:t>uestions about participant’s confidence in the physician</w:t>
      </w:r>
      <w:r w:rsidR="00C46EAB" w:rsidRPr="00D15C0B">
        <w:rPr>
          <w:color w:val="000000"/>
        </w:rPr>
        <w:t>’</w:t>
      </w:r>
      <w:r w:rsidRPr="00D15C0B">
        <w:rPr>
          <w:color w:val="000000"/>
        </w:rPr>
        <w:t>s skills</w:t>
      </w:r>
      <w:r w:rsidR="00216063" w:rsidRPr="00D15C0B">
        <w:rPr>
          <w:color w:val="000000"/>
        </w:rPr>
        <w:t>,</w:t>
      </w:r>
      <w:r w:rsidR="00D15C0B">
        <w:rPr>
          <w:color w:val="000000"/>
        </w:rPr>
        <w:t xml:space="preserve"> </w:t>
      </w:r>
      <w:r w:rsidRPr="00D15C0B">
        <w:rPr>
          <w:color w:val="000000"/>
        </w:rPr>
        <w:t>the physician</w:t>
      </w:r>
      <w:r w:rsidR="00C46EAB" w:rsidRPr="00D15C0B">
        <w:rPr>
          <w:color w:val="000000"/>
        </w:rPr>
        <w:t>’</w:t>
      </w:r>
      <w:r w:rsidRPr="00D15C0B">
        <w:rPr>
          <w:color w:val="000000"/>
        </w:rPr>
        <w:t>s relevance to the participant</w:t>
      </w:r>
      <w:r w:rsidR="00C46EAB" w:rsidRPr="00D15C0B">
        <w:rPr>
          <w:color w:val="000000"/>
        </w:rPr>
        <w:t>’</w:t>
      </w:r>
      <w:r w:rsidRPr="00D15C0B">
        <w:rPr>
          <w:color w:val="000000"/>
        </w:rPr>
        <w:t>s decision in seeking health care</w:t>
      </w:r>
      <w:r w:rsidR="0066305A" w:rsidRPr="00D15C0B">
        <w:rPr>
          <w:color w:val="000000"/>
        </w:rPr>
        <w:t>,</w:t>
      </w:r>
      <w:r w:rsidRPr="00D15C0B">
        <w:rPr>
          <w:color w:val="000000"/>
        </w:rPr>
        <w:t xml:space="preserve"> and how long </w:t>
      </w:r>
      <w:r w:rsidR="006455C3" w:rsidRPr="00D15C0B">
        <w:rPr>
          <w:color w:val="000000"/>
        </w:rPr>
        <w:t xml:space="preserve">it </w:t>
      </w:r>
      <w:r w:rsidRPr="00D15C0B">
        <w:rPr>
          <w:color w:val="000000"/>
        </w:rPr>
        <w:t xml:space="preserve">took </w:t>
      </w:r>
      <w:r w:rsidR="006455C3" w:rsidRPr="00D15C0B">
        <w:rPr>
          <w:color w:val="000000"/>
        </w:rPr>
        <w:t>for</w:t>
      </w:r>
      <w:r w:rsidRPr="00D15C0B">
        <w:rPr>
          <w:color w:val="000000"/>
        </w:rPr>
        <w:t xml:space="preserve"> the participant to seek health care have never been assessed</w:t>
      </w:r>
      <w:r w:rsidR="00F72988" w:rsidRPr="00D15C0B">
        <w:rPr>
          <w:color w:val="000000"/>
        </w:rPr>
        <w:t xml:space="preserve"> in </w:t>
      </w:r>
      <w:r w:rsidR="00267BA2" w:rsidRPr="00D15C0B">
        <w:rPr>
          <w:color w:val="000000"/>
        </w:rPr>
        <w:t xml:space="preserve">a </w:t>
      </w:r>
      <w:r w:rsidR="00F72988" w:rsidRPr="00D15C0B">
        <w:rPr>
          <w:color w:val="000000"/>
        </w:rPr>
        <w:t>former blood donor population</w:t>
      </w:r>
      <w:r w:rsidR="00216063" w:rsidRPr="00D15C0B">
        <w:rPr>
          <w:color w:val="000000"/>
        </w:rPr>
        <w:t>.</w:t>
      </w:r>
      <w:r w:rsidRPr="00D15C0B">
        <w:rPr>
          <w:color w:val="000000"/>
        </w:rPr>
        <w:t xml:space="preserve"> </w:t>
      </w:r>
      <w:r w:rsidR="00216063" w:rsidRPr="00D15C0B">
        <w:rPr>
          <w:color w:val="000000"/>
        </w:rPr>
        <w:t>These questions</w:t>
      </w:r>
      <w:r w:rsidRPr="00D15C0B">
        <w:rPr>
          <w:color w:val="000000"/>
        </w:rPr>
        <w:t xml:space="preserve"> will provide </w:t>
      </w:r>
      <w:r w:rsidR="00770D66" w:rsidRPr="00D15C0B">
        <w:rPr>
          <w:color w:val="000000"/>
        </w:rPr>
        <w:t xml:space="preserve">highly </w:t>
      </w:r>
      <w:r w:rsidRPr="00D15C0B">
        <w:rPr>
          <w:color w:val="000000"/>
        </w:rPr>
        <w:t>relevant information</w:t>
      </w:r>
      <w:r w:rsidR="00770D66" w:rsidRPr="00D15C0B">
        <w:rPr>
          <w:color w:val="000000"/>
        </w:rPr>
        <w:t xml:space="preserve"> on health seeking behavior and access to care</w:t>
      </w:r>
      <w:r w:rsidRPr="00D15C0B">
        <w:rPr>
          <w:color w:val="000000"/>
        </w:rPr>
        <w:t xml:space="preserve">. </w:t>
      </w:r>
    </w:p>
    <w:p w14:paraId="660605BD" w14:textId="3DFACDB2" w:rsidR="00387904" w:rsidRPr="00D15C0B" w:rsidRDefault="00F72988" w:rsidP="00D15C0B">
      <w:pPr>
        <w:widowControl w:val="0"/>
        <w:adjustRightInd w:val="0"/>
        <w:snapToGrid w:val="0"/>
        <w:ind w:firstLine="720"/>
        <w:rPr>
          <w:color w:val="000000"/>
        </w:rPr>
      </w:pPr>
      <w:r w:rsidRPr="00D15C0B">
        <w:rPr>
          <w:color w:val="000000"/>
        </w:rPr>
        <w:t>Section J includes questions on t</w:t>
      </w:r>
      <w:r w:rsidR="00433DD7" w:rsidRPr="00D15C0B">
        <w:rPr>
          <w:color w:val="000000"/>
        </w:rPr>
        <w:t>he impact of the HIV results to the participant</w:t>
      </w:r>
      <w:r w:rsidR="00321EF6" w:rsidRPr="00D15C0B">
        <w:rPr>
          <w:color w:val="000000"/>
        </w:rPr>
        <w:t>’</w:t>
      </w:r>
      <w:r w:rsidR="00433DD7" w:rsidRPr="00D15C0B">
        <w:rPr>
          <w:color w:val="000000"/>
        </w:rPr>
        <w:t>s life</w:t>
      </w:r>
      <w:r w:rsidR="00267BA2" w:rsidRPr="00D15C0B">
        <w:rPr>
          <w:color w:val="000000"/>
        </w:rPr>
        <w:t xml:space="preserve"> and social context</w:t>
      </w:r>
      <w:r w:rsidRPr="00D15C0B">
        <w:rPr>
          <w:color w:val="000000"/>
        </w:rPr>
        <w:t xml:space="preserve">, </w:t>
      </w:r>
      <w:r w:rsidR="00433DD7" w:rsidRPr="00D15C0B">
        <w:rPr>
          <w:color w:val="000000"/>
        </w:rPr>
        <w:t>HIV</w:t>
      </w:r>
      <w:r w:rsidR="00321EF6" w:rsidRPr="00D15C0B">
        <w:rPr>
          <w:color w:val="000000"/>
        </w:rPr>
        <w:t xml:space="preserve"> status</w:t>
      </w:r>
      <w:r w:rsidR="00433DD7" w:rsidRPr="00D15C0B">
        <w:rPr>
          <w:color w:val="000000"/>
        </w:rPr>
        <w:t xml:space="preserve"> disclosure</w:t>
      </w:r>
      <w:r w:rsidR="00321EF6" w:rsidRPr="00D15C0B">
        <w:rPr>
          <w:color w:val="000000"/>
        </w:rPr>
        <w:t xml:space="preserve"> to close personal contacts and other</w:t>
      </w:r>
      <w:r w:rsidRPr="00D15C0B">
        <w:rPr>
          <w:color w:val="000000"/>
        </w:rPr>
        <w:t xml:space="preserve"> people</w:t>
      </w:r>
      <w:r w:rsidR="00433DD7" w:rsidRPr="00D15C0B">
        <w:rPr>
          <w:color w:val="000000"/>
        </w:rPr>
        <w:t xml:space="preserve">, </w:t>
      </w:r>
      <w:r w:rsidRPr="00D15C0B">
        <w:rPr>
          <w:color w:val="000000"/>
        </w:rPr>
        <w:t xml:space="preserve">and </w:t>
      </w:r>
      <w:r w:rsidR="00433DD7" w:rsidRPr="00D15C0B">
        <w:rPr>
          <w:color w:val="000000"/>
        </w:rPr>
        <w:t xml:space="preserve">discrimination and stigma/prejudice. </w:t>
      </w:r>
      <w:r w:rsidR="0066305A" w:rsidRPr="00D15C0B">
        <w:t xml:space="preserve">HIV/AIDS related stigmas </w:t>
      </w:r>
      <w:proofErr w:type="gramStart"/>
      <w:r w:rsidR="0066305A" w:rsidRPr="00D15C0B">
        <w:t>are</w:t>
      </w:r>
      <w:r w:rsidR="00433DD7" w:rsidRPr="00D15C0B">
        <w:t xml:space="preserve"> invoked</w:t>
      </w:r>
      <w:proofErr w:type="gramEnd"/>
      <w:r w:rsidR="00433DD7" w:rsidRPr="00D15C0B">
        <w:t xml:space="preserve"> as </w:t>
      </w:r>
      <w:r w:rsidR="00A1288E" w:rsidRPr="00D15C0B">
        <w:t xml:space="preserve">a </w:t>
      </w:r>
      <w:r w:rsidR="00433DD7" w:rsidRPr="00D15C0B">
        <w:t>persistent problem</w:t>
      </w:r>
      <w:r w:rsidR="00A1288E" w:rsidRPr="00D15C0B">
        <w:t xml:space="preserve"> </w:t>
      </w:r>
      <w:r w:rsidR="00433DD7" w:rsidRPr="00D15C0B">
        <w:t xml:space="preserve">in any discussion about effective responses to the </w:t>
      </w:r>
      <w:r w:rsidR="00321EF6" w:rsidRPr="00D15C0B">
        <w:t xml:space="preserve">HIV </w:t>
      </w:r>
      <w:r w:rsidR="00433DD7" w:rsidRPr="00D15C0B">
        <w:t xml:space="preserve">epidemic. In addition to </w:t>
      </w:r>
      <w:r w:rsidR="00321EF6" w:rsidRPr="00D15C0B">
        <w:t>altering</w:t>
      </w:r>
      <w:r w:rsidR="00433DD7" w:rsidRPr="00D15C0B">
        <w:t xml:space="preserve"> the familial, social, and economic liv</w:t>
      </w:r>
      <w:r w:rsidR="00321EF6" w:rsidRPr="00D15C0B">
        <w:t>elihoods</w:t>
      </w:r>
      <w:r w:rsidR="00433DD7" w:rsidRPr="00D15C0B">
        <w:t xml:space="preserve"> of individuals, H</w:t>
      </w:r>
      <w:r w:rsidR="00AD1326" w:rsidRPr="00D15C0B">
        <w:t xml:space="preserve">IV/AIDS-related </w:t>
      </w:r>
      <w:r w:rsidR="00433DD7" w:rsidRPr="00D15C0B">
        <w:t>stigma</w:t>
      </w:r>
      <w:r w:rsidR="0066305A" w:rsidRPr="00D15C0B">
        <w:t xml:space="preserve">s </w:t>
      </w:r>
      <w:proofErr w:type="gramStart"/>
      <w:r w:rsidR="0066305A" w:rsidRPr="00D15C0B">
        <w:t>are</w:t>
      </w:r>
      <w:r w:rsidR="00D15C0B">
        <w:t xml:space="preserve"> </w:t>
      </w:r>
      <w:r w:rsidR="0066305A" w:rsidRPr="00D15C0B">
        <w:t>cited</w:t>
      </w:r>
      <w:proofErr w:type="gramEnd"/>
      <w:r w:rsidR="0066305A" w:rsidRPr="00D15C0B">
        <w:t xml:space="preserve"> as </w:t>
      </w:r>
      <w:r w:rsidR="00433DD7" w:rsidRPr="00D15C0B">
        <w:t>major barrier</w:t>
      </w:r>
      <w:r w:rsidR="0066305A" w:rsidRPr="00D15C0B">
        <w:t>s</w:t>
      </w:r>
      <w:r w:rsidR="00433DD7" w:rsidRPr="00D15C0B">
        <w:t xml:space="preserve"> to accessing prevention, care, and treatment services</w:t>
      </w:r>
      <w:r w:rsidR="00321EF6" w:rsidRPr="00D15C0B">
        <w:t xml:space="preserve"> in non-blood donor populations.</w:t>
      </w:r>
      <w:r w:rsidR="00433DD7" w:rsidRPr="00D15C0B">
        <w:t xml:space="preserve"> </w:t>
      </w:r>
      <w:r w:rsidR="00321EF6" w:rsidRPr="00D15C0B">
        <w:t>Prejudice/stigma can create a substantial barrier to care seeking and it is unknown if blood donors in Brazil are concerned about these issues.</w:t>
      </w:r>
    </w:p>
    <w:p w14:paraId="702484AF" w14:textId="77777777" w:rsidR="00E01A5C" w:rsidRPr="00D15C0B" w:rsidRDefault="008437B1" w:rsidP="00DA7D2B">
      <w:pPr>
        <w:widowControl w:val="0"/>
        <w:adjustRightInd w:val="0"/>
        <w:snapToGrid w:val="0"/>
        <w:rPr>
          <w:color w:val="000000"/>
        </w:rPr>
      </w:pPr>
      <w:r w:rsidRPr="00D15C0B">
        <w:rPr>
          <w:color w:val="000000"/>
        </w:rPr>
        <w:tab/>
      </w:r>
    </w:p>
    <w:p w14:paraId="10171328" w14:textId="51A90FB4" w:rsidR="008437B1" w:rsidRPr="00D15C0B" w:rsidRDefault="006374E4" w:rsidP="00D15C0B">
      <w:pPr>
        <w:widowControl w:val="0"/>
        <w:adjustRightInd w:val="0"/>
        <w:snapToGrid w:val="0"/>
        <w:ind w:firstLine="360"/>
        <w:rPr>
          <w:color w:val="000000"/>
        </w:rPr>
      </w:pPr>
      <w:r w:rsidRPr="00D15C0B">
        <w:rPr>
          <w:color w:val="000000"/>
        </w:rPr>
        <w:t>I</w:t>
      </w:r>
      <w:r w:rsidR="008437B1" w:rsidRPr="00D15C0B">
        <w:rPr>
          <w:color w:val="000000"/>
        </w:rPr>
        <w:t xml:space="preserve">n awareness of the possible sensitive nature of the </w:t>
      </w:r>
      <w:r w:rsidR="00A24D51" w:rsidRPr="00D15C0B">
        <w:rPr>
          <w:color w:val="000000"/>
        </w:rPr>
        <w:t xml:space="preserve">content of the </w:t>
      </w:r>
      <w:r w:rsidR="008437B1" w:rsidRPr="00D15C0B">
        <w:rPr>
          <w:color w:val="000000"/>
        </w:rPr>
        <w:t>questions, the following steps will be taken to ensure the</w:t>
      </w:r>
      <w:r w:rsidR="00DA7D2B" w:rsidRPr="00D15C0B">
        <w:rPr>
          <w:color w:val="000000"/>
        </w:rPr>
        <w:t xml:space="preserve"> privacy</w:t>
      </w:r>
      <w:r w:rsidR="008437B1" w:rsidRPr="00D15C0B">
        <w:rPr>
          <w:color w:val="000000"/>
        </w:rPr>
        <w:t xml:space="preserve"> of respondents</w:t>
      </w:r>
      <w:r w:rsidR="00AF5078" w:rsidRPr="00D15C0B">
        <w:rPr>
          <w:color w:val="000000"/>
        </w:rPr>
        <w:t xml:space="preserve"> </w:t>
      </w:r>
      <w:r w:rsidR="006427BA" w:rsidRPr="00D15C0B">
        <w:rPr>
          <w:color w:val="000000"/>
        </w:rPr>
        <w:t>even though</w:t>
      </w:r>
      <w:r w:rsidR="00AF5078" w:rsidRPr="00D15C0B">
        <w:rPr>
          <w:color w:val="000000"/>
        </w:rPr>
        <w:t xml:space="preserve"> personal identifiable information is not collected</w:t>
      </w:r>
      <w:r w:rsidR="006427BA" w:rsidRPr="00D15C0B">
        <w:rPr>
          <w:color w:val="000000"/>
        </w:rPr>
        <w:t xml:space="preserve"> on the study forms</w:t>
      </w:r>
      <w:r w:rsidR="00AF5078" w:rsidRPr="00D15C0B">
        <w:rPr>
          <w:color w:val="000000"/>
        </w:rPr>
        <w:t>:</w:t>
      </w:r>
    </w:p>
    <w:p w14:paraId="6046A3CC" w14:textId="79ADBCA5" w:rsidR="008437B1" w:rsidRPr="00D15C0B" w:rsidRDefault="008437B1" w:rsidP="00043695">
      <w:pPr>
        <w:widowControl w:val="0"/>
        <w:numPr>
          <w:ilvl w:val="0"/>
          <w:numId w:val="17"/>
        </w:numPr>
        <w:adjustRightInd w:val="0"/>
        <w:snapToGrid w:val="0"/>
      </w:pPr>
      <w:r w:rsidRPr="00D15C0B">
        <w:rPr>
          <w:color w:val="000000"/>
        </w:rPr>
        <w:t xml:space="preserve">The questionnaire is </w:t>
      </w:r>
      <w:r w:rsidR="0066305A" w:rsidRPr="00D15C0B">
        <w:rPr>
          <w:color w:val="000000"/>
        </w:rPr>
        <w:t xml:space="preserve">being </w:t>
      </w:r>
      <w:r w:rsidRPr="00D15C0B">
        <w:rPr>
          <w:color w:val="000000"/>
        </w:rPr>
        <w:t xml:space="preserve">administered using </w:t>
      </w:r>
      <w:r w:rsidR="00387904" w:rsidRPr="00D15C0B">
        <w:rPr>
          <w:color w:val="000000"/>
        </w:rPr>
        <w:t xml:space="preserve">an </w:t>
      </w:r>
      <w:r w:rsidRPr="00D15C0B">
        <w:rPr>
          <w:color w:val="000000"/>
        </w:rPr>
        <w:t xml:space="preserve">ACASI program. The purpose </w:t>
      </w:r>
      <w:r w:rsidRPr="00D15C0B">
        <w:rPr>
          <w:color w:val="000000"/>
        </w:rPr>
        <w:lastRenderedPageBreak/>
        <w:t xml:space="preserve">of using a self-administered instrument is to ensure </w:t>
      </w:r>
      <w:r w:rsidR="001F6E62" w:rsidRPr="00D15C0B">
        <w:rPr>
          <w:color w:val="000000"/>
        </w:rPr>
        <w:t xml:space="preserve">privacy to answer questions as honestly as possible and so </w:t>
      </w:r>
      <w:r w:rsidRPr="00D15C0B">
        <w:rPr>
          <w:color w:val="000000"/>
        </w:rPr>
        <w:t xml:space="preserve">that potentially stigmatizing behaviors will be reported as honestly as possible without fear or concern that an interviewer would stand in judgment. </w:t>
      </w:r>
    </w:p>
    <w:p w14:paraId="1106A0C7" w14:textId="77777777" w:rsidR="008437B1" w:rsidRPr="00D15C0B" w:rsidRDefault="008437B1" w:rsidP="00043695">
      <w:pPr>
        <w:widowControl w:val="0"/>
        <w:numPr>
          <w:ilvl w:val="0"/>
          <w:numId w:val="6"/>
        </w:numPr>
        <w:adjustRightInd w:val="0"/>
        <w:snapToGrid w:val="0"/>
      </w:pPr>
      <w:r w:rsidRPr="00D15C0B">
        <w:t>All data will be stored in a secure location, accessible only to authorized study personnel.</w:t>
      </w:r>
      <w:r w:rsidR="00B83AD7" w:rsidRPr="00D15C0B">
        <w:t xml:space="preserve"> In addition, due to the sensitive nature of the study, an in-country “Data Security Plan”</w:t>
      </w:r>
      <w:r w:rsidR="00F929D2" w:rsidRPr="00D15C0B">
        <w:t xml:space="preserve"> as detailed in the study protocol</w:t>
      </w:r>
      <w:r w:rsidR="00B83AD7" w:rsidRPr="00D15C0B">
        <w:t xml:space="preserve"> </w:t>
      </w:r>
      <w:r w:rsidR="00387904" w:rsidRPr="00D15C0B">
        <w:t>has been developed</w:t>
      </w:r>
      <w:r w:rsidR="00B83AD7" w:rsidRPr="00D15C0B">
        <w:t xml:space="preserve"> </w:t>
      </w:r>
      <w:r w:rsidR="00387904" w:rsidRPr="00D15C0B">
        <w:t xml:space="preserve">for </w:t>
      </w:r>
      <w:r w:rsidR="00B83AD7" w:rsidRPr="00D15C0B">
        <w:t xml:space="preserve">the four blood sites in Brazil with the </w:t>
      </w:r>
      <w:r w:rsidR="00387904" w:rsidRPr="00D15C0B">
        <w:t xml:space="preserve">objective </w:t>
      </w:r>
      <w:r w:rsidR="00B83AD7" w:rsidRPr="00D15C0B">
        <w:t>to reduce the risk of release of personal or sensitive information related to the study population.</w:t>
      </w:r>
    </w:p>
    <w:p w14:paraId="4652B9B3" w14:textId="0C809BC0" w:rsidR="008437B1" w:rsidRPr="00D15C0B" w:rsidRDefault="00387904" w:rsidP="00DA7D2B">
      <w:pPr>
        <w:widowControl w:val="0"/>
        <w:numPr>
          <w:ilvl w:val="0"/>
          <w:numId w:val="6"/>
        </w:numPr>
        <w:adjustRightInd w:val="0"/>
        <w:snapToGrid w:val="0"/>
      </w:pPr>
      <w:r w:rsidRPr="00D15C0B">
        <w:t>Participants</w:t>
      </w:r>
      <w:r w:rsidR="008437B1" w:rsidRPr="00D15C0B">
        <w:t xml:space="preserve"> are advised of the voluntary nature of their participation in the study and of the steps taken to ensure the </w:t>
      </w:r>
      <w:r w:rsidR="00DA7D2B" w:rsidRPr="00D15C0B">
        <w:t xml:space="preserve">privacy </w:t>
      </w:r>
      <w:r w:rsidR="008437B1" w:rsidRPr="00D15C0B">
        <w:t>of the information collected. See Informed Consent Document</w:t>
      </w:r>
      <w:r w:rsidR="00775F12" w:rsidRPr="00D15C0B">
        <w:t xml:space="preserve"> in </w:t>
      </w:r>
      <w:r w:rsidR="008437B1" w:rsidRPr="00D15C0B">
        <w:rPr>
          <w:i/>
        </w:rPr>
        <w:t>Attachment 2</w:t>
      </w:r>
      <w:r w:rsidR="008437B1" w:rsidRPr="00D15C0B">
        <w:t>.</w:t>
      </w:r>
      <w:r w:rsidRPr="00D15C0B">
        <w:t xml:space="preserve"> Participants may request to be de-enrolled from the study at any time during the period that fieldwork is being conducted.</w:t>
      </w:r>
    </w:p>
    <w:p w14:paraId="6EAAE5D6" w14:textId="77777777" w:rsidR="00A859D4" w:rsidRPr="00D15C0B" w:rsidRDefault="00A859D4" w:rsidP="00043695">
      <w:pPr>
        <w:pStyle w:val="E-mailSignature"/>
        <w:widowControl w:val="0"/>
        <w:adjustRightInd w:val="0"/>
        <w:snapToGrid w:val="0"/>
        <w:rPr>
          <w:b/>
        </w:rPr>
      </w:pPr>
      <w:bookmarkStart w:id="14" w:name="_Toc153351595"/>
    </w:p>
    <w:p w14:paraId="2D402C78" w14:textId="77777777" w:rsidR="008437B1" w:rsidRPr="00D15C0B" w:rsidRDefault="008437B1" w:rsidP="00043695">
      <w:pPr>
        <w:pStyle w:val="E-mailSignature"/>
        <w:widowControl w:val="0"/>
        <w:adjustRightInd w:val="0"/>
        <w:snapToGrid w:val="0"/>
        <w:rPr>
          <w:b/>
        </w:rPr>
      </w:pPr>
      <w:r w:rsidRPr="00D15C0B">
        <w:rPr>
          <w:b/>
        </w:rPr>
        <w:t>A.12.</w:t>
      </w:r>
      <w:r w:rsidRPr="00D15C0B">
        <w:rPr>
          <w:b/>
        </w:rPr>
        <w:tab/>
        <w:t>Estimates of Burden Hour</w:t>
      </w:r>
      <w:r w:rsidR="00D93607" w:rsidRPr="00D15C0B">
        <w:rPr>
          <w:b/>
        </w:rPr>
        <w:t>s</w:t>
      </w:r>
      <w:r w:rsidRPr="00D15C0B">
        <w:rPr>
          <w:b/>
        </w:rPr>
        <w:t xml:space="preserve"> Including Annualized Hourly Costs</w:t>
      </w:r>
      <w:bookmarkEnd w:id="14"/>
    </w:p>
    <w:p w14:paraId="11F6B676" w14:textId="77777777" w:rsidR="00E43A95" w:rsidRPr="00D15C0B" w:rsidRDefault="00E43A95" w:rsidP="00043695">
      <w:pPr>
        <w:widowControl w:val="0"/>
        <w:adjustRightInd w:val="0"/>
        <w:snapToGrid w:val="0"/>
        <w:rPr>
          <w:b/>
        </w:rPr>
      </w:pPr>
    </w:p>
    <w:p w14:paraId="40C28F8E" w14:textId="04293434" w:rsidR="008437B1" w:rsidRPr="00D15C0B" w:rsidRDefault="008437B1" w:rsidP="0066305A">
      <w:pPr>
        <w:widowControl w:val="0"/>
        <w:adjustRightInd w:val="0"/>
        <w:snapToGrid w:val="0"/>
        <w:rPr>
          <w:color w:val="000000"/>
        </w:rPr>
      </w:pPr>
      <w:r w:rsidRPr="00D15C0B">
        <w:rPr>
          <w:b/>
        </w:rPr>
        <w:tab/>
      </w:r>
      <w:r w:rsidRPr="00D15C0B">
        <w:t>The annualized cost to respondents is estimated at $</w:t>
      </w:r>
      <w:r w:rsidR="00362E9B" w:rsidRPr="00D15C0B">
        <w:t>1,4</w:t>
      </w:r>
      <w:r w:rsidR="00D15C0B">
        <w:t>90</w:t>
      </w:r>
      <w:r w:rsidRPr="00D15C0B">
        <w:t xml:space="preserve"> based on $6.50 per hour. It is</w:t>
      </w:r>
      <w:r w:rsidR="0066305A" w:rsidRPr="00D15C0B">
        <w:t xml:space="preserve"> </w:t>
      </w:r>
      <w:r w:rsidRPr="00D15C0B">
        <w:t>estimated that eac</w:t>
      </w:r>
      <w:r w:rsidR="008F4665" w:rsidRPr="00D15C0B">
        <w:t xml:space="preserve">h respondent will spend about </w:t>
      </w:r>
      <w:r w:rsidR="00B66C36" w:rsidRPr="00D15C0B">
        <w:t xml:space="preserve">50 </w:t>
      </w:r>
      <w:r w:rsidRPr="00D15C0B">
        <w:t xml:space="preserve">minutes including administration of the informed consent form </w:t>
      </w:r>
      <w:r w:rsidR="00F929D2" w:rsidRPr="00D15C0B">
        <w:t xml:space="preserve">(10 minutes) </w:t>
      </w:r>
      <w:r w:rsidRPr="00D15C0B">
        <w:t>and questionnaire completion</w:t>
      </w:r>
      <w:r w:rsidR="00F929D2" w:rsidRPr="00D15C0B">
        <w:t xml:space="preserve"> (40 minutes)</w:t>
      </w:r>
      <w:r w:rsidRPr="00D15C0B">
        <w:t xml:space="preserve">. </w:t>
      </w:r>
      <w:r w:rsidR="00C76B84" w:rsidRPr="00D15C0B">
        <w:t xml:space="preserve">Since we will be working with a subset of </w:t>
      </w:r>
      <w:r w:rsidR="0096768B" w:rsidRPr="00D15C0B">
        <w:t xml:space="preserve">enrollees of </w:t>
      </w:r>
      <w:r w:rsidR="00C76B84" w:rsidRPr="00D15C0B">
        <w:t>the OMB approved Brazilian Study that is currently in the field “Prevalence, Incidence, Epidemiology and Molecular Variants of HIV in Blood Donors in Brazil”, OMB Approval Number: 0925–0597, Expiration Date: July 31, 2015, we are using those same wage rate calculations. (</w:t>
      </w:r>
      <w:r w:rsidRPr="00D15C0B">
        <w:rPr>
          <w:color w:val="000000"/>
        </w:rPr>
        <w:t>The Brazilian minimum wage translates to approximately $1.</w:t>
      </w:r>
      <w:r w:rsidR="004B5C45" w:rsidRPr="00D15C0B">
        <w:rPr>
          <w:color w:val="000000"/>
        </w:rPr>
        <w:t>67</w:t>
      </w:r>
      <w:r w:rsidRPr="00D15C0B">
        <w:rPr>
          <w:color w:val="000000"/>
        </w:rPr>
        <w:t>/hour.  Through previous research, the Brazilian blood banks have learned that the majority of their blood donors work in jobs categorized by the Brazilian census as “Technical” positions.  According to the census, these “Technical” workers make between $5 and $8/hour.  For the purpose of this study, we have taken the mean of these salaries, $6.50/hour, to calculate an estimated cost of participation.</w:t>
      </w:r>
      <w:r w:rsidR="00C76B84" w:rsidRPr="00D15C0B">
        <w:rPr>
          <w:color w:val="000000"/>
        </w:rPr>
        <w:t>)</w:t>
      </w:r>
    </w:p>
    <w:p w14:paraId="030A0764" w14:textId="77777777" w:rsidR="004538B1" w:rsidRPr="00D15C0B" w:rsidRDefault="004538B1" w:rsidP="00043695">
      <w:pPr>
        <w:widowControl w:val="0"/>
        <w:adjustRightInd w:val="0"/>
        <w:snapToGrid w:val="0"/>
        <w:rPr>
          <w:color w:val="000000"/>
        </w:rPr>
      </w:pPr>
    </w:p>
    <w:p w14:paraId="32CA41C6" w14:textId="77777777" w:rsidR="008437B1" w:rsidRPr="00D15C0B" w:rsidRDefault="003F30EF" w:rsidP="00043695">
      <w:pPr>
        <w:widowControl w:val="0"/>
        <w:adjustRightInd w:val="0"/>
        <w:snapToGrid w:val="0"/>
        <w:rPr>
          <w:b/>
          <w:caps/>
          <w:sz w:val="22"/>
          <w:szCs w:val="22"/>
        </w:rPr>
      </w:pPr>
      <w:r w:rsidRPr="00D15C0B">
        <w:rPr>
          <w:b/>
          <w:sz w:val="22"/>
          <w:szCs w:val="22"/>
        </w:rPr>
        <w:t xml:space="preserve">A.12.1 – </w:t>
      </w:r>
      <w:r w:rsidRPr="00D15C0B">
        <w:rPr>
          <w:b/>
          <w:caps/>
          <w:sz w:val="22"/>
          <w:szCs w:val="22"/>
        </w:rPr>
        <w:t>Annualized Burden Hours to Respondents</w:t>
      </w:r>
    </w:p>
    <w:tbl>
      <w:tblPr>
        <w:tblW w:w="8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366"/>
        <w:gridCol w:w="1467"/>
        <w:gridCol w:w="1382"/>
        <w:gridCol w:w="1183"/>
        <w:gridCol w:w="1216"/>
      </w:tblGrid>
      <w:tr w:rsidR="00F02FD3" w:rsidRPr="00D15C0B" w14:paraId="6900A081" w14:textId="77777777" w:rsidTr="00B674B8">
        <w:trPr>
          <w:jc w:val="center"/>
        </w:trPr>
        <w:tc>
          <w:tcPr>
            <w:tcW w:w="1697" w:type="dxa"/>
          </w:tcPr>
          <w:p w14:paraId="144A167C" w14:textId="77777777" w:rsidR="00F02FD3" w:rsidRPr="00D15C0B" w:rsidRDefault="00F02FD3" w:rsidP="00043695">
            <w:r w:rsidRPr="00D15C0B">
              <w:t>Form Name</w:t>
            </w:r>
          </w:p>
        </w:tc>
        <w:tc>
          <w:tcPr>
            <w:tcW w:w="1379" w:type="dxa"/>
          </w:tcPr>
          <w:p w14:paraId="794D5D73" w14:textId="77777777" w:rsidR="00F02FD3" w:rsidRPr="00D15C0B" w:rsidRDefault="00F02FD3" w:rsidP="00043695">
            <w:r w:rsidRPr="00D15C0B">
              <w:t>Type of Respondent</w:t>
            </w:r>
          </w:p>
        </w:tc>
        <w:tc>
          <w:tcPr>
            <w:tcW w:w="1486" w:type="dxa"/>
          </w:tcPr>
          <w:p w14:paraId="2806ECC8" w14:textId="77777777" w:rsidR="00F02FD3" w:rsidRPr="00D15C0B" w:rsidRDefault="00F02FD3" w:rsidP="00043695">
            <w:r w:rsidRPr="00D15C0B">
              <w:t>Number of Respondents</w:t>
            </w:r>
          </w:p>
        </w:tc>
        <w:tc>
          <w:tcPr>
            <w:tcW w:w="1406" w:type="dxa"/>
          </w:tcPr>
          <w:p w14:paraId="2CB66CA1" w14:textId="77777777" w:rsidR="00F02FD3" w:rsidRPr="00D15C0B" w:rsidRDefault="00F02FD3" w:rsidP="00043695">
            <w:r w:rsidRPr="00D15C0B">
              <w:t>Number of Responses per Respondent</w:t>
            </w:r>
          </w:p>
        </w:tc>
        <w:tc>
          <w:tcPr>
            <w:tcW w:w="1220" w:type="dxa"/>
          </w:tcPr>
          <w:p w14:paraId="6D722A43" w14:textId="77777777" w:rsidR="00F02FD3" w:rsidRPr="00D15C0B" w:rsidRDefault="00F02FD3" w:rsidP="00043695">
            <w:r w:rsidRPr="00D15C0B">
              <w:t xml:space="preserve">Average Burden Per Response </w:t>
            </w:r>
          </w:p>
        </w:tc>
        <w:tc>
          <w:tcPr>
            <w:tcW w:w="1065" w:type="dxa"/>
          </w:tcPr>
          <w:p w14:paraId="4FCC3B02" w14:textId="77777777" w:rsidR="00F02FD3" w:rsidRPr="00D15C0B" w:rsidRDefault="00F02FD3" w:rsidP="00043695">
            <w:r w:rsidRPr="00D15C0B">
              <w:t>Estimated Total Annual Burden Hours Requested</w:t>
            </w:r>
          </w:p>
        </w:tc>
      </w:tr>
      <w:tr w:rsidR="00F02FD3" w:rsidRPr="00D15C0B" w14:paraId="7594D012" w14:textId="77777777" w:rsidTr="00B674B8">
        <w:trPr>
          <w:jc w:val="center"/>
        </w:trPr>
        <w:tc>
          <w:tcPr>
            <w:tcW w:w="1697" w:type="dxa"/>
          </w:tcPr>
          <w:p w14:paraId="581A5A77" w14:textId="4411691D" w:rsidR="00F02FD3" w:rsidRPr="00D15C0B" w:rsidRDefault="00F02FD3" w:rsidP="00043695">
            <w:r w:rsidRPr="00D15C0B">
              <w:t>ACASI Questionnaire</w:t>
            </w:r>
            <w:r w:rsidR="00D43C70" w:rsidRPr="00D15C0B">
              <w:t xml:space="preserve"> </w:t>
            </w:r>
            <w:r w:rsidRPr="00D15C0B">
              <w:t>Informed Consent</w:t>
            </w:r>
          </w:p>
        </w:tc>
        <w:tc>
          <w:tcPr>
            <w:tcW w:w="1379" w:type="dxa"/>
          </w:tcPr>
          <w:p w14:paraId="060D6CC3" w14:textId="77777777" w:rsidR="00F02FD3" w:rsidRPr="00D15C0B" w:rsidRDefault="00F02FD3" w:rsidP="00043695">
            <w:r w:rsidRPr="00D15C0B">
              <w:t>Adults</w:t>
            </w:r>
          </w:p>
        </w:tc>
        <w:tc>
          <w:tcPr>
            <w:tcW w:w="1486" w:type="dxa"/>
          </w:tcPr>
          <w:p w14:paraId="4C122D09" w14:textId="77777777" w:rsidR="00F02FD3" w:rsidRPr="00D15C0B" w:rsidRDefault="00362E9B" w:rsidP="00043695">
            <w:r w:rsidRPr="00D15C0B">
              <w:t>275</w:t>
            </w:r>
          </w:p>
        </w:tc>
        <w:tc>
          <w:tcPr>
            <w:tcW w:w="1406" w:type="dxa"/>
          </w:tcPr>
          <w:p w14:paraId="705694F3" w14:textId="77777777" w:rsidR="00F02FD3" w:rsidRPr="00D15C0B" w:rsidRDefault="00F02FD3" w:rsidP="00043695">
            <w:r w:rsidRPr="00D15C0B">
              <w:t>1</w:t>
            </w:r>
          </w:p>
        </w:tc>
        <w:tc>
          <w:tcPr>
            <w:tcW w:w="1220" w:type="dxa"/>
          </w:tcPr>
          <w:p w14:paraId="449D1095" w14:textId="77777777" w:rsidR="00F02FD3" w:rsidRPr="00D15C0B" w:rsidRDefault="00F02FD3" w:rsidP="00043695">
            <w:r w:rsidRPr="00D15C0B">
              <w:t>10/60</w:t>
            </w:r>
          </w:p>
        </w:tc>
        <w:tc>
          <w:tcPr>
            <w:tcW w:w="1065" w:type="dxa"/>
          </w:tcPr>
          <w:p w14:paraId="589209F5" w14:textId="555E7136" w:rsidR="00F02FD3" w:rsidRPr="00D15C0B" w:rsidRDefault="00362E9B" w:rsidP="00B1358B">
            <w:r w:rsidRPr="00D15C0B">
              <w:t>4</w:t>
            </w:r>
            <w:r w:rsidR="00B1358B" w:rsidRPr="00D15C0B">
              <w:t>6</w:t>
            </w:r>
          </w:p>
        </w:tc>
      </w:tr>
      <w:tr w:rsidR="00F02FD3" w:rsidRPr="00D15C0B" w14:paraId="25D2A007" w14:textId="77777777" w:rsidTr="00B674B8">
        <w:trPr>
          <w:jc w:val="center"/>
        </w:trPr>
        <w:tc>
          <w:tcPr>
            <w:tcW w:w="1697" w:type="dxa"/>
          </w:tcPr>
          <w:p w14:paraId="68FF3B19" w14:textId="77777777" w:rsidR="00F02FD3" w:rsidRPr="00D15C0B" w:rsidRDefault="00F02FD3" w:rsidP="00043695">
            <w:r w:rsidRPr="00D15C0B">
              <w:t>ACASI Questionnaire</w:t>
            </w:r>
          </w:p>
        </w:tc>
        <w:tc>
          <w:tcPr>
            <w:tcW w:w="1379" w:type="dxa"/>
          </w:tcPr>
          <w:p w14:paraId="228B11F7" w14:textId="77777777" w:rsidR="00F02FD3" w:rsidRPr="00D15C0B" w:rsidRDefault="00F02FD3" w:rsidP="00043695">
            <w:r w:rsidRPr="00D15C0B">
              <w:t>Adults</w:t>
            </w:r>
          </w:p>
        </w:tc>
        <w:tc>
          <w:tcPr>
            <w:tcW w:w="1486" w:type="dxa"/>
          </w:tcPr>
          <w:p w14:paraId="4C3CE913" w14:textId="77777777" w:rsidR="00F02FD3" w:rsidRPr="00D15C0B" w:rsidRDefault="00362E9B" w:rsidP="00043695">
            <w:r w:rsidRPr="00D15C0B">
              <w:t>275</w:t>
            </w:r>
          </w:p>
        </w:tc>
        <w:tc>
          <w:tcPr>
            <w:tcW w:w="1406" w:type="dxa"/>
          </w:tcPr>
          <w:p w14:paraId="57C66E85" w14:textId="77777777" w:rsidR="00F02FD3" w:rsidRPr="00D15C0B" w:rsidRDefault="00F02FD3" w:rsidP="00043695">
            <w:r w:rsidRPr="00D15C0B">
              <w:t>1</w:t>
            </w:r>
          </w:p>
        </w:tc>
        <w:tc>
          <w:tcPr>
            <w:tcW w:w="1220" w:type="dxa"/>
          </w:tcPr>
          <w:p w14:paraId="728ABE61" w14:textId="77777777" w:rsidR="00F02FD3" w:rsidRPr="00D15C0B" w:rsidRDefault="00F02FD3" w:rsidP="00043695">
            <w:r w:rsidRPr="00D15C0B">
              <w:t>40/60</w:t>
            </w:r>
          </w:p>
        </w:tc>
        <w:tc>
          <w:tcPr>
            <w:tcW w:w="1065" w:type="dxa"/>
          </w:tcPr>
          <w:p w14:paraId="4FB675D1" w14:textId="3B760F88" w:rsidR="00F02FD3" w:rsidRPr="00D15C0B" w:rsidRDefault="008A6280" w:rsidP="00043695">
            <w:r w:rsidRPr="00D15C0B">
              <w:t>18</w:t>
            </w:r>
            <w:r w:rsidR="00AE5CAE" w:rsidRPr="00D15C0B">
              <w:t>3</w:t>
            </w:r>
          </w:p>
        </w:tc>
      </w:tr>
    </w:tbl>
    <w:p w14:paraId="1144955B" w14:textId="77777777" w:rsidR="00E8657F" w:rsidRPr="00D15C0B" w:rsidRDefault="00E8657F" w:rsidP="00043695">
      <w:pPr>
        <w:rPr>
          <w:b/>
          <w:smallCaps/>
        </w:rPr>
      </w:pPr>
      <w:bookmarkStart w:id="15" w:name="_Toc153351596"/>
    </w:p>
    <w:p w14:paraId="5A543D18" w14:textId="77777777" w:rsidR="00D15C0B" w:rsidRDefault="00D15C0B" w:rsidP="00043695">
      <w:pPr>
        <w:rPr>
          <w:b/>
          <w:smallCaps/>
        </w:rPr>
      </w:pPr>
    </w:p>
    <w:p w14:paraId="6CB898A2" w14:textId="77777777" w:rsidR="00D15C0B" w:rsidRDefault="00D15C0B" w:rsidP="00043695">
      <w:pPr>
        <w:rPr>
          <w:b/>
          <w:smallCaps/>
        </w:rPr>
      </w:pPr>
    </w:p>
    <w:p w14:paraId="00C473AB" w14:textId="77777777" w:rsidR="00D15C0B" w:rsidRDefault="00D15C0B" w:rsidP="00043695">
      <w:pPr>
        <w:rPr>
          <w:b/>
          <w:smallCaps/>
        </w:rPr>
      </w:pPr>
    </w:p>
    <w:p w14:paraId="0F2278F6" w14:textId="77777777" w:rsidR="00E8657F" w:rsidRPr="00D15C0B" w:rsidRDefault="00E8657F" w:rsidP="00043695">
      <w:pPr>
        <w:rPr>
          <w:b/>
          <w:smallCaps/>
        </w:rPr>
      </w:pPr>
      <w:r w:rsidRPr="00D15C0B">
        <w:rPr>
          <w:b/>
          <w:smallCaps/>
        </w:rPr>
        <w:lastRenderedPageBreak/>
        <w:t>A.12 - 2   Annualized Cost To Respondents</w:t>
      </w:r>
    </w:p>
    <w:tbl>
      <w:tblPr>
        <w:tblW w:w="868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350"/>
        <w:gridCol w:w="1260"/>
        <w:gridCol w:w="1316"/>
        <w:gridCol w:w="969"/>
        <w:gridCol w:w="1364"/>
      </w:tblGrid>
      <w:tr w:rsidR="00F02FD3" w:rsidRPr="00D15C0B" w14:paraId="7CDF379A" w14:textId="77777777" w:rsidTr="00D43C70">
        <w:trPr>
          <w:trHeight w:val="1005"/>
        </w:trPr>
        <w:tc>
          <w:tcPr>
            <w:tcW w:w="1170" w:type="dxa"/>
          </w:tcPr>
          <w:p w14:paraId="388731FC" w14:textId="77777777" w:rsidR="00F02FD3" w:rsidRPr="00D15C0B" w:rsidRDefault="00F02FD3" w:rsidP="00043695">
            <w:pPr>
              <w:rPr>
                <w:sz w:val="22"/>
                <w:szCs w:val="22"/>
              </w:rPr>
            </w:pPr>
            <w:r w:rsidRPr="00D15C0B">
              <w:rPr>
                <w:sz w:val="22"/>
                <w:szCs w:val="22"/>
              </w:rPr>
              <w:t>Form Name</w:t>
            </w:r>
          </w:p>
        </w:tc>
        <w:tc>
          <w:tcPr>
            <w:tcW w:w="1260" w:type="dxa"/>
          </w:tcPr>
          <w:p w14:paraId="3595685D" w14:textId="77777777" w:rsidR="00F02FD3" w:rsidRPr="00D15C0B" w:rsidRDefault="00F02FD3" w:rsidP="00043695">
            <w:pPr>
              <w:rPr>
                <w:sz w:val="22"/>
                <w:szCs w:val="22"/>
              </w:rPr>
            </w:pPr>
            <w:r w:rsidRPr="00D15C0B">
              <w:rPr>
                <w:sz w:val="22"/>
                <w:szCs w:val="22"/>
              </w:rPr>
              <w:t>Type of Respondent</w:t>
            </w:r>
          </w:p>
        </w:tc>
        <w:tc>
          <w:tcPr>
            <w:tcW w:w="1350" w:type="dxa"/>
          </w:tcPr>
          <w:p w14:paraId="3FD18D21" w14:textId="77777777" w:rsidR="00F02FD3" w:rsidRPr="00D15C0B" w:rsidRDefault="00F02FD3" w:rsidP="00043695">
            <w:pPr>
              <w:rPr>
                <w:sz w:val="22"/>
                <w:szCs w:val="22"/>
              </w:rPr>
            </w:pPr>
            <w:r w:rsidRPr="00D15C0B">
              <w:rPr>
                <w:sz w:val="22"/>
                <w:szCs w:val="22"/>
              </w:rPr>
              <w:t>Number of Respondents</w:t>
            </w:r>
          </w:p>
        </w:tc>
        <w:tc>
          <w:tcPr>
            <w:tcW w:w="1260" w:type="dxa"/>
          </w:tcPr>
          <w:p w14:paraId="6520008E" w14:textId="77777777" w:rsidR="00F02FD3" w:rsidRPr="00D15C0B" w:rsidRDefault="00F02FD3" w:rsidP="00043695">
            <w:pPr>
              <w:rPr>
                <w:sz w:val="22"/>
                <w:szCs w:val="22"/>
              </w:rPr>
            </w:pPr>
            <w:r w:rsidRPr="00D15C0B">
              <w:rPr>
                <w:sz w:val="22"/>
                <w:szCs w:val="22"/>
              </w:rPr>
              <w:t>Number of Responses per Respondent</w:t>
            </w:r>
          </w:p>
        </w:tc>
        <w:tc>
          <w:tcPr>
            <w:tcW w:w="1316" w:type="dxa"/>
          </w:tcPr>
          <w:p w14:paraId="17C23210" w14:textId="77777777" w:rsidR="00F02FD3" w:rsidRPr="00D15C0B" w:rsidRDefault="00F02FD3" w:rsidP="00043695">
            <w:pPr>
              <w:rPr>
                <w:sz w:val="22"/>
                <w:szCs w:val="22"/>
              </w:rPr>
            </w:pPr>
            <w:r w:rsidRPr="00D15C0B">
              <w:rPr>
                <w:sz w:val="22"/>
                <w:szCs w:val="22"/>
              </w:rPr>
              <w:t>Average Time per Respondent</w:t>
            </w:r>
          </w:p>
        </w:tc>
        <w:tc>
          <w:tcPr>
            <w:tcW w:w="969" w:type="dxa"/>
          </w:tcPr>
          <w:p w14:paraId="10074790" w14:textId="77777777" w:rsidR="00F02FD3" w:rsidRPr="00D15C0B" w:rsidRDefault="00F02FD3" w:rsidP="00043695">
            <w:pPr>
              <w:rPr>
                <w:sz w:val="22"/>
                <w:szCs w:val="22"/>
              </w:rPr>
            </w:pPr>
            <w:r w:rsidRPr="00D15C0B">
              <w:rPr>
                <w:sz w:val="22"/>
                <w:szCs w:val="22"/>
              </w:rPr>
              <w:t>Hourly Wage Rate</w:t>
            </w:r>
            <w:r w:rsidR="00AE2FBC" w:rsidRPr="00D15C0B">
              <w:rPr>
                <w:sz w:val="22"/>
                <w:szCs w:val="22"/>
              </w:rPr>
              <w:t>*</w:t>
            </w:r>
          </w:p>
        </w:tc>
        <w:tc>
          <w:tcPr>
            <w:tcW w:w="1364" w:type="dxa"/>
          </w:tcPr>
          <w:p w14:paraId="02511830" w14:textId="77777777" w:rsidR="00F02FD3" w:rsidRPr="00D15C0B" w:rsidRDefault="00F02FD3" w:rsidP="00043695">
            <w:pPr>
              <w:rPr>
                <w:sz w:val="22"/>
                <w:szCs w:val="22"/>
              </w:rPr>
            </w:pPr>
            <w:r w:rsidRPr="00D15C0B">
              <w:rPr>
                <w:sz w:val="22"/>
                <w:szCs w:val="22"/>
              </w:rPr>
              <w:t>Respondent</w:t>
            </w:r>
          </w:p>
          <w:p w14:paraId="7C1997BD" w14:textId="77777777" w:rsidR="00F02FD3" w:rsidRPr="00D15C0B" w:rsidRDefault="00F02FD3" w:rsidP="00043695">
            <w:pPr>
              <w:rPr>
                <w:sz w:val="22"/>
                <w:szCs w:val="22"/>
              </w:rPr>
            </w:pPr>
            <w:r w:rsidRPr="00D15C0B">
              <w:rPr>
                <w:sz w:val="22"/>
                <w:szCs w:val="22"/>
              </w:rPr>
              <w:t>Cost – all respondents</w:t>
            </w:r>
          </w:p>
        </w:tc>
      </w:tr>
      <w:tr w:rsidR="00F02FD3" w:rsidRPr="00D15C0B" w14:paraId="59B3B1F7" w14:textId="77777777" w:rsidTr="00D43C70">
        <w:trPr>
          <w:trHeight w:val="1005"/>
        </w:trPr>
        <w:tc>
          <w:tcPr>
            <w:tcW w:w="1170" w:type="dxa"/>
          </w:tcPr>
          <w:p w14:paraId="1A650F26" w14:textId="599AB956" w:rsidR="00F02FD3" w:rsidRPr="00D15C0B" w:rsidRDefault="00F02FD3" w:rsidP="00043695">
            <w:pPr>
              <w:rPr>
                <w:sz w:val="22"/>
                <w:szCs w:val="22"/>
              </w:rPr>
            </w:pPr>
            <w:r w:rsidRPr="00D15C0B">
              <w:rPr>
                <w:sz w:val="22"/>
                <w:szCs w:val="22"/>
              </w:rPr>
              <w:t>ACASI Question</w:t>
            </w:r>
            <w:r w:rsidR="00712690" w:rsidRPr="00D15C0B">
              <w:rPr>
                <w:sz w:val="22"/>
                <w:szCs w:val="22"/>
              </w:rPr>
              <w:t>-</w:t>
            </w:r>
            <w:proofErr w:type="spellStart"/>
            <w:r w:rsidRPr="00D15C0B">
              <w:rPr>
                <w:sz w:val="22"/>
                <w:szCs w:val="22"/>
              </w:rPr>
              <w:t>naire</w:t>
            </w:r>
            <w:proofErr w:type="spellEnd"/>
            <w:r w:rsidRPr="00D15C0B">
              <w:rPr>
                <w:sz w:val="22"/>
                <w:szCs w:val="22"/>
              </w:rPr>
              <w:t xml:space="preserve"> Informed Consent</w:t>
            </w:r>
          </w:p>
        </w:tc>
        <w:tc>
          <w:tcPr>
            <w:tcW w:w="1260" w:type="dxa"/>
          </w:tcPr>
          <w:p w14:paraId="3202F68D" w14:textId="77777777" w:rsidR="00F02FD3" w:rsidRPr="00D15C0B" w:rsidRDefault="00F02FD3" w:rsidP="00043695">
            <w:pPr>
              <w:rPr>
                <w:sz w:val="22"/>
                <w:szCs w:val="22"/>
              </w:rPr>
            </w:pPr>
            <w:r w:rsidRPr="00D15C0B">
              <w:rPr>
                <w:sz w:val="22"/>
                <w:szCs w:val="22"/>
              </w:rPr>
              <w:t>Adults</w:t>
            </w:r>
          </w:p>
        </w:tc>
        <w:tc>
          <w:tcPr>
            <w:tcW w:w="1350" w:type="dxa"/>
          </w:tcPr>
          <w:p w14:paraId="36B95F95" w14:textId="77777777" w:rsidR="00F02FD3" w:rsidRPr="00D15C0B" w:rsidRDefault="00362E9B" w:rsidP="00043695">
            <w:pPr>
              <w:rPr>
                <w:sz w:val="22"/>
                <w:szCs w:val="22"/>
              </w:rPr>
            </w:pPr>
            <w:r w:rsidRPr="00D15C0B">
              <w:rPr>
                <w:sz w:val="22"/>
                <w:szCs w:val="22"/>
              </w:rPr>
              <w:t>275</w:t>
            </w:r>
          </w:p>
        </w:tc>
        <w:tc>
          <w:tcPr>
            <w:tcW w:w="1260" w:type="dxa"/>
          </w:tcPr>
          <w:p w14:paraId="0094A13D" w14:textId="77777777" w:rsidR="00F02FD3" w:rsidRPr="00D15C0B" w:rsidRDefault="00F02FD3" w:rsidP="00043695">
            <w:pPr>
              <w:rPr>
                <w:sz w:val="22"/>
                <w:szCs w:val="22"/>
              </w:rPr>
            </w:pPr>
            <w:r w:rsidRPr="00D15C0B">
              <w:rPr>
                <w:sz w:val="22"/>
                <w:szCs w:val="22"/>
              </w:rPr>
              <w:t>1</w:t>
            </w:r>
          </w:p>
        </w:tc>
        <w:tc>
          <w:tcPr>
            <w:tcW w:w="1316" w:type="dxa"/>
          </w:tcPr>
          <w:p w14:paraId="60FA46EC" w14:textId="77777777" w:rsidR="00F02FD3" w:rsidRPr="00D15C0B" w:rsidRDefault="00F02FD3" w:rsidP="00043695">
            <w:pPr>
              <w:rPr>
                <w:sz w:val="22"/>
                <w:szCs w:val="22"/>
              </w:rPr>
            </w:pPr>
            <w:r w:rsidRPr="00D15C0B">
              <w:rPr>
                <w:sz w:val="22"/>
                <w:szCs w:val="22"/>
              </w:rPr>
              <w:t>10/60</w:t>
            </w:r>
          </w:p>
        </w:tc>
        <w:tc>
          <w:tcPr>
            <w:tcW w:w="969" w:type="dxa"/>
          </w:tcPr>
          <w:p w14:paraId="7C7FBA8D" w14:textId="1891173A" w:rsidR="00F02FD3" w:rsidRPr="00D15C0B" w:rsidRDefault="00A9701E" w:rsidP="00043695">
            <w:pPr>
              <w:rPr>
                <w:sz w:val="22"/>
                <w:szCs w:val="22"/>
              </w:rPr>
            </w:pPr>
            <w:r w:rsidRPr="00D15C0B">
              <w:rPr>
                <w:sz w:val="22"/>
                <w:szCs w:val="22"/>
              </w:rPr>
              <w:t>$</w:t>
            </w:r>
            <w:r w:rsidR="00AE2FBC" w:rsidRPr="00D15C0B">
              <w:rPr>
                <w:sz w:val="22"/>
                <w:szCs w:val="22"/>
              </w:rPr>
              <w:t>6.50</w:t>
            </w:r>
          </w:p>
        </w:tc>
        <w:tc>
          <w:tcPr>
            <w:tcW w:w="1364" w:type="dxa"/>
          </w:tcPr>
          <w:p w14:paraId="4B24B154" w14:textId="37A5C672" w:rsidR="00F02FD3" w:rsidRPr="00D15C0B" w:rsidRDefault="00AE2FBC" w:rsidP="00043695">
            <w:pPr>
              <w:rPr>
                <w:sz w:val="22"/>
                <w:szCs w:val="22"/>
              </w:rPr>
            </w:pPr>
            <w:r w:rsidRPr="00D15C0B">
              <w:rPr>
                <w:sz w:val="22"/>
                <w:szCs w:val="22"/>
              </w:rPr>
              <w:t>$</w:t>
            </w:r>
            <w:r w:rsidR="00362E9B" w:rsidRPr="00D15C0B">
              <w:rPr>
                <w:sz w:val="22"/>
                <w:szCs w:val="22"/>
              </w:rPr>
              <w:t>29</w:t>
            </w:r>
            <w:r w:rsidR="00615B8E" w:rsidRPr="00D15C0B">
              <w:rPr>
                <w:sz w:val="22"/>
                <w:szCs w:val="22"/>
              </w:rPr>
              <w:t>8</w:t>
            </w:r>
          </w:p>
        </w:tc>
      </w:tr>
      <w:tr w:rsidR="00F02FD3" w:rsidRPr="00D15C0B" w14:paraId="62543162" w14:textId="77777777" w:rsidTr="00D15C0B">
        <w:trPr>
          <w:trHeight w:val="864"/>
        </w:trPr>
        <w:tc>
          <w:tcPr>
            <w:tcW w:w="1170" w:type="dxa"/>
          </w:tcPr>
          <w:p w14:paraId="5DBF3163" w14:textId="1FC4F11C" w:rsidR="00F02FD3" w:rsidRPr="00D15C0B" w:rsidRDefault="00F02FD3" w:rsidP="00043695">
            <w:pPr>
              <w:rPr>
                <w:sz w:val="22"/>
                <w:szCs w:val="22"/>
              </w:rPr>
            </w:pPr>
            <w:r w:rsidRPr="00D15C0B">
              <w:rPr>
                <w:sz w:val="22"/>
                <w:szCs w:val="22"/>
              </w:rPr>
              <w:t>ACASI Question</w:t>
            </w:r>
            <w:r w:rsidR="00712690" w:rsidRPr="00D15C0B">
              <w:rPr>
                <w:sz w:val="22"/>
                <w:szCs w:val="22"/>
              </w:rPr>
              <w:t>-</w:t>
            </w:r>
            <w:proofErr w:type="spellStart"/>
            <w:r w:rsidRPr="00D15C0B">
              <w:rPr>
                <w:sz w:val="22"/>
                <w:szCs w:val="22"/>
              </w:rPr>
              <w:t>naire</w:t>
            </w:r>
            <w:proofErr w:type="spellEnd"/>
          </w:p>
        </w:tc>
        <w:tc>
          <w:tcPr>
            <w:tcW w:w="1260" w:type="dxa"/>
          </w:tcPr>
          <w:p w14:paraId="0AD688F2" w14:textId="77777777" w:rsidR="00F02FD3" w:rsidRPr="00D15C0B" w:rsidRDefault="00F02FD3" w:rsidP="00043695">
            <w:pPr>
              <w:rPr>
                <w:sz w:val="22"/>
                <w:szCs w:val="22"/>
              </w:rPr>
            </w:pPr>
            <w:r w:rsidRPr="00D15C0B">
              <w:rPr>
                <w:sz w:val="22"/>
                <w:szCs w:val="22"/>
              </w:rPr>
              <w:t>Adults</w:t>
            </w:r>
          </w:p>
        </w:tc>
        <w:tc>
          <w:tcPr>
            <w:tcW w:w="1350" w:type="dxa"/>
          </w:tcPr>
          <w:p w14:paraId="6350678E" w14:textId="77777777" w:rsidR="00F02FD3" w:rsidRPr="00D15C0B" w:rsidRDefault="00362E9B" w:rsidP="00043695">
            <w:pPr>
              <w:rPr>
                <w:sz w:val="22"/>
                <w:szCs w:val="22"/>
              </w:rPr>
            </w:pPr>
            <w:r w:rsidRPr="00D15C0B">
              <w:rPr>
                <w:sz w:val="22"/>
                <w:szCs w:val="22"/>
              </w:rPr>
              <w:t>275</w:t>
            </w:r>
          </w:p>
        </w:tc>
        <w:tc>
          <w:tcPr>
            <w:tcW w:w="1260" w:type="dxa"/>
          </w:tcPr>
          <w:p w14:paraId="1EA1A2E8" w14:textId="77777777" w:rsidR="00F02FD3" w:rsidRPr="00D15C0B" w:rsidRDefault="00F02FD3" w:rsidP="00043695">
            <w:pPr>
              <w:rPr>
                <w:sz w:val="22"/>
                <w:szCs w:val="22"/>
              </w:rPr>
            </w:pPr>
            <w:r w:rsidRPr="00D15C0B">
              <w:rPr>
                <w:sz w:val="22"/>
                <w:szCs w:val="22"/>
              </w:rPr>
              <w:t>1</w:t>
            </w:r>
          </w:p>
        </w:tc>
        <w:tc>
          <w:tcPr>
            <w:tcW w:w="1316" w:type="dxa"/>
          </w:tcPr>
          <w:p w14:paraId="39F35C79" w14:textId="77777777" w:rsidR="00F02FD3" w:rsidRPr="00D15C0B" w:rsidRDefault="00AE2FBC" w:rsidP="00043695">
            <w:pPr>
              <w:rPr>
                <w:sz w:val="22"/>
                <w:szCs w:val="22"/>
              </w:rPr>
            </w:pPr>
            <w:r w:rsidRPr="00D15C0B">
              <w:rPr>
                <w:sz w:val="22"/>
                <w:szCs w:val="22"/>
              </w:rPr>
              <w:t>40/60</w:t>
            </w:r>
          </w:p>
        </w:tc>
        <w:tc>
          <w:tcPr>
            <w:tcW w:w="969" w:type="dxa"/>
          </w:tcPr>
          <w:p w14:paraId="482F5EA8" w14:textId="77777777" w:rsidR="00F02FD3" w:rsidRPr="00D15C0B" w:rsidRDefault="00AE2FBC" w:rsidP="00043695">
            <w:pPr>
              <w:rPr>
                <w:sz w:val="22"/>
                <w:szCs w:val="22"/>
              </w:rPr>
            </w:pPr>
            <w:r w:rsidRPr="00D15C0B">
              <w:rPr>
                <w:sz w:val="22"/>
                <w:szCs w:val="22"/>
              </w:rPr>
              <w:t>$6.50</w:t>
            </w:r>
          </w:p>
        </w:tc>
        <w:tc>
          <w:tcPr>
            <w:tcW w:w="1364" w:type="dxa"/>
          </w:tcPr>
          <w:p w14:paraId="5C4F1E8F" w14:textId="33E3C281" w:rsidR="00F02FD3" w:rsidRPr="00D15C0B" w:rsidRDefault="00AE2FBC" w:rsidP="00615B8E">
            <w:pPr>
              <w:rPr>
                <w:sz w:val="22"/>
                <w:szCs w:val="22"/>
              </w:rPr>
            </w:pPr>
            <w:r w:rsidRPr="00D15C0B">
              <w:rPr>
                <w:sz w:val="22"/>
                <w:szCs w:val="22"/>
              </w:rPr>
              <w:t>$</w:t>
            </w:r>
            <w:r w:rsidR="00362E9B" w:rsidRPr="00D15C0B">
              <w:rPr>
                <w:sz w:val="22"/>
                <w:szCs w:val="22"/>
              </w:rPr>
              <w:t>1</w:t>
            </w:r>
            <w:r w:rsidR="000766A6" w:rsidRPr="00D15C0B">
              <w:rPr>
                <w:sz w:val="22"/>
                <w:szCs w:val="22"/>
              </w:rPr>
              <w:t>,</w:t>
            </w:r>
            <w:r w:rsidR="00362E9B" w:rsidRPr="00D15C0B">
              <w:rPr>
                <w:sz w:val="22"/>
                <w:szCs w:val="22"/>
              </w:rPr>
              <w:t>19</w:t>
            </w:r>
            <w:r w:rsidR="00615B8E" w:rsidRPr="00D15C0B">
              <w:rPr>
                <w:sz w:val="22"/>
                <w:szCs w:val="22"/>
              </w:rPr>
              <w:t>2</w:t>
            </w:r>
          </w:p>
        </w:tc>
      </w:tr>
    </w:tbl>
    <w:p w14:paraId="434B4CCD" w14:textId="39765437" w:rsidR="00B1358B" w:rsidRPr="00D15C0B" w:rsidRDefault="00B1358B" w:rsidP="00E86DA3">
      <w:pPr>
        <w:rPr>
          <w:bCs/>
        </w:rPr>
      </w:pPr>
      <w:r w:rsidRPr="00D15C0B">
        <w:rPr>
          <w:bCs/>
        </w:rPr>
        <w:t>*</w:t>
      </w:r>
      <w:hyperlink r:id="rId18" w:history="1">
        <w:r w:rsidR="0055786C" w:rsidRPr="00D15C0B">
          <w:rPr>
            <w:rStyle w:val="Hyperlink"/>
            <w:bCs/>
          </w:rPr>
          <w:t>http://www.bc.edu/content/dam/files/research_sites/agingandwork/pdf/publications/MTG_Brazil_Employee.pdf</w:t>
        </w:r>
      </w:hyperlink>
    </w:p>
    <w:p w14:paraId="41FC0350" w14:textId="77777777" w:rsidR="0055786C" w:rsidRPr="00D15C0B" w:rsidRDefault="0055786C" w:rsidP="00B1358B">
      <w:pPr>
        <w:pStyle w:val="E-mailSignature"/>
        <w:widowControl w:val="0"/>
        <w:adjustRightInd w:val="0"/>
        <w:snapToGrid w:val="0"/>
        <w:ind w:right="-180"/>
        <w:rPr>
          <w:bCs/>
        </w:rPr>
      </w:pPr>
    </w:p>
    <w:p w14:paraId="5964FA47" w14:textId="77777777" w:rsidR="008437B1" w:rsidRPr="00D15C0B" w:rsidRDefault="008437B1" w:rsidP="00043695">
      <w:pPr>
        <w:pStyle w:val="E-mailSignature"/>
        <w:widowControl w:val="0"/>
        <w:adjustRightInd w:val="0"/>
        <w:snapToGrid w:val="0"/>
        <w:ind w:right="-187"/>
        <w:rPr>
          <w:b/>
        </w:rPr>
      </w:pPr>
      <w:r w:rsidRPr="00D15C0B">
        <w:rPr>
          <w:b/>
        </w:rPr>
        <w:t>A.13.</w:t>
      </w:r>
      <w:r w:rsidRPr="00D15C0B">
        <w:rPr>
          <w:b/>
        </w:rPr>
        <w:tab/>
        <w:t>Estimates of Other Total Annual Cost Burden to Respondents or Record Keepers</w:t>
      </w:r>
      <w:bookmarkEnd w:id="15"/>
    </w:p>
    <w:p w14:paraId="11E25854" w14:textId="77777777" w:rsidR="008437B1" w:rsidRPr="00D15C0B" w:rsidRDefault="008437B1" w:rsidP="00043695">
      <w:pPr>
        <w:widowControl w:val="0"/>
        <w:adjustRightInd w:val="0"/>
        <w:snapToGrid w:val="0"/>
      </w:pPr>
      <w:r w:rsidRPr="00D15C0B">
        <w:tab/>
      </w:r>
      <w:r w:rsidR="00D95E3B" w:rsidRPr="00D15C0B">
        <w:t>T</w:t>
      </w:r>
      <w:r w:rsidRPr="00D15C0B">
        <w:t>here are no capital or start-up costs, and no maintenance or service cost components to report.</w:t>
      </w:r>
    </w:p>
    <w:p w14:paraId="33633C86" w14:textId="77777777" w:rsidR="005C3C5C" w:rsidRPr="00D15C0B" w:rsidRDefault="005C3C5C" w:rsidP="00043695">
      <w:pPr>
        <w:pStyle w:val="E-mailSignature"/>
        <w:widowControl w:val="0"/>
        <w:adjustRightInd w:val="0"/>
        <w:snapToGrid w:val="0"/>
        <w:rPr>
          <w:b/>
        </w:rPr>
      </w:pPr>
      <w:bookmarkStart w:id="16" w:name="_Toc153351597"/>
    </w:p>
    <w:p w14:paraId="0115A864" w14:textId="77777777" w:rsidR="008437B1" w:rsidRPr="00D15C0B" w:rsidRDefault="008437B1" w:rsidP="00043695">
      <w:pPr>
        <w:pStyle w:val="E-mailSignature"/>
        <w:widowControl w:val="0"/>
        <w:adjustRightInd w:val="0"/>
        <w:snapToGrid w:val="0"/>
        <w:rPr>
          <w:b/>
        </w:rPr>
      </w:pPr>
      <w:r w:rsidRPr="00D15C0B">
        <w:rPr>
          <w:b/>
        </w:rPr>
        <w:t>A.14.</w:t>
      </w:r>
      <w:r w:rsidRPr="00D15C0B">
        <w:rPr>
          <w:b/>
        </w:rPr>
        <w:tab/>
        <w:t>Annualized Cost to the Federal Government</w:t>
      </w:r>
      <w:bookmarkEnd w:id="16"/>
    </w:p>
    <w:p w14:paraId="36E9B149" w14:textId="77777777" w:rsidR="00E43A95" w:rsidRPr="00D15C0B" w:rsidRDefault="00E43A95" w:rsidP="00043695">
      <w:pPr>
        <w:widowControl w:val="0"/>
        <w:adjustRightInd w:val="0"/>
        <w:snapToGrid w:val="0"/>
      </w:pPr>
    </w:p>
    <w:p w14:paraId="3E4316C3" w14:textId="77777777" w:rsidR="008437B1" w:rsidRPr="00D15C0B" w:rsidRDefault="008437B1" w:rsidP="00043695">
      <w:pPr>
        <w:widowControl w:val="0"/>
        <w:adjustRightInd w:val="0"/>
        <w:snapToGrid w:val="0"/>
      </w:pPr>
      <w:r w:rsidRPr="00D15C0B">
        <w:tab/>
        <w:t xml:space="preserve">The </w:t>
      </w:r>
      <w:r w:rsidR="005E7542" w:rsidRPr="00D15C0B">
        <w:t xml:space="preserve">annualized </w:t>
      </w:r>
      <w:r w:rsidRPr="00D15C0B">
        <w:t>cost to the Federal Government for the proposed study is estimated to be approximately</w:t>
      </w:r>
      <w:r w:rsidR="00761A64" w:rsidRPr="00D15C0B">
        <w:t xml:space="preserve"> $</w:t>
      </w:r>
      <w:r w:rsidR="00B85878" w:rsidRPr="00D15C0B">
        <w:t>131,724</w:t>
      </w:r>
      <w:r w:rsidR="00761A64" w:rsidRPr="00D15C0B">
        <w:t xml:space="preserve"> for activities in Brazil.</w:t>
      </w:r>
    </w:p>
    <w:p w14:paraId="2ECD0298" w14:textId="77777777" w:rsidR="00D52C78" w:rsidRPr="00D15C0B" w:rsidRDefault="00D52C78" w:rsidP="00043695">
      <w:pPr>
        <w:widowControl w:val="0"/>
        <w:adjustRightInd w:val="0"/>
        <w:snapToGrid w:val="0"/>
      </w:pPr>
    </w:p>
    <w:tbl>
      <w:tblPr>
        <w:tblW w:w="7860" w:type="dxa"/>
        <w:tblInd w:w="708" w:type="dxa"/>
        <w:tblLayout w:type="fixed"/>
        <w:tblCellMar>
          <w:left w:w="0" w:type="dxa"/>
          <w:right w:w="0" w:type="dxa"/>
        </w:tblCellMar>
        <w:tblLook w:val="04A0" w:firstRow="1" w:lastRow="0" w:firstColumn="1" w:lastColumn="0" w:noHBand="0" w:noVBand="1"/>
      </w:tblPr>
      <w:tblGrid>
        <w:gridCol w:w="3000"/>
        <w:gridCol w:w="1142"/>
        <w:gridCol w:w="1035"/>
        <w:gridCol w:w="879"/>
        <w:gridCol w:w="1804"/>
      </w:tblGrid>
      <w:tr w:rsidR="00885F36" w:rsidRPr="00D15C0B" w14:paraId="735777A0" w14:textId="77777777" w:rsidTr="00D15C0B">
        <w:trPr>
          <w:trHeight w:val="20"/>
        </w:trPr>
        <w:tc>
          <w:tcPr>
            <w:tcW w:w="30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E94D33" w14:textId="77777777" w:rsidR="00885F36" w:rsidRPr="00D15C0B" w:rsidRDefault="002A47B2" w:rsidP="00D15C0B">
            <w:pPr>
              <w:rPr>
                <w:rFonts w:asciiTheme="majorBidi" w:hAnsiTheme="majorBidi" w:cstheme="majorBidi"/>
                <w:color w:val="000000" w:themeColor="text1"/>
              </w:rPr>
            </w:pPr>
            <w:r w:rsidRPr="00D15C0B">
              <w:rPr>
                <w:rFonts w:asciiTheme="majorBidi" w:hAnsiTheme="majorBidi" w:cstheme="majorBidi"/>
                <w:color w:val="000000" w:themeColor="text1"/>
              </w:rPr>
              <w:t>Item</w:t>
            </w:r>
          </w:p>
        </w:tc>
        <w:tc>
          <w:tcPr>
            <w:tcW w:w="11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3580C" w14:textId="77777777" w:rsidR="00885F36" w:rsidRPr="00D15C0B" w:rsidRDefault="00885F36" w:rsidP="00D15C0B">
            <w:pPr>
              <w:rPr>
                <w:rFonts w:asciiTheme="majorBidi" w:hAnsiTheme="majorBidi" w:cstheme="majorBidi"/>
                <w:color w:val="000000" w:themeColor="text1"/>
              </w:rPr>
            </w:pPr>
            <w:r w:rsidRPr="00D15C0B">
              <w:rPr>
                <w:rFonts w:asciiTheme="majorBidi" w:hAnsiTheme="majorBidi" w:cstheme="majorBidi"/>
                <w:color w:val="000000" w:themeColor="text1"/>
              </w:rPr>
              <w:t>Salary</w:t>
            </w:r>
          </w:p>
        </w:tc>
        <w:tc>
          <w:tcPr>
            <w:tcW w:w="10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9598E0" w14:textId="77777777" w:rsidR="00885F36" w:rsidRPr="00D15C0B" w:rsidRDefault="00885F36" w:rsidP="00D15C0B">
            <w:pPr>
              <w:rPr>
                <w:rFonts w:asciiTheme="majorBidi" w:hAnsiTheme="majorBidi" w:cstheme="majorBidi"/>
                <w:color w:val="000000" w:themeColor="text1"/>
              </w:rPr>
            </w:pPr>
            <w:r w:rsidRPr="00D15C0B">
              <w:rPr>
                <w:rFonts w:asciiTheme="majorBidi" w:hAnsiTheme="majorBidi" w:cstheme="majorBidi"/>
                <w:color w:val="000000" w:themeColor="text1"/>
              </w:rPr>
              <w:t>Fringe Rate (%)</w:t>
            </w:r>
          </w:p>
        </w:tc>
        <w:tc>
          <w:tcPr>
            <w:tcW w:w="8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16C562" w14:textId="77777777" w:rsidR="00885F36" w:rsidRPr="00D15C0B" w:rsidRDefault="00885F36" w:rsidP="00D15C0B">
            <w:pPr>
              <w:rPr>
                <w:rFonts w:asciiTheme="majorBidi" w:hAnsiTheme="majorBidi" w:cstheme="majorBidi"/>
                <w:color w:val="000000" w:themeColor="text1"/>
              </w:rPr>
            </w:pPr>
            <w:r w:rsidRPr="00D15C0B">
              <w:rPr>
                <w:rFonts w:asciiTheme="majorBidi" w:hAnsiTheme="majorBidi" w:cstheme="majorBidi"/>
                <w:color w:val="000000" w:themeColor="text1"/>
              </w:rPr>
              <w:t>% Effort</w:t>
            </w:r>
          </w:p>
        </w:tc>
        <w:tc>
          <w:tcPr>
            <w:tcW w:w="1804" w:type="dxa"/>
            <w:tcBorders>
              <w:top w:val="single" w:sz="8" w:space="0" w:color="auto"/>
              <w:left w:val="nil"/>
              <w:bottom w:val="single" w:sz="8" w:space="0" w:color="auto"/>
              <w:right w:val="single" w:sz="8" w:space="0" w:color="auto"/>
            </w:tcBorders>
            <w:hideMark/>
          </w:tcPr>
          <w:p w14:paraId="7CABAA06" w14:textId="77777777" w:rsidR="00885F36" w:rsidRPr="00D15C0B" w:rsidRDefault="00885F36" w:rsidP="00D15C0B">
            <w:pPr>
              <w:rPr>
                <w:rFonts w:asciiTheme="majorBidi" w:hAnsiTheme="majorBidi" w:cstheme="majorBidi"/>
                <w:color w:val="000000" w:themeColor="text1"/>
              </w:rPr>
            </w:pPr>
            <w:r w:rsidRPr="00D15C0B">
              <w:rPr>
                <w:rFonts w:asciiTheme="majorBidi" w:hAnsiTheme="majorBidi" w:cstheme="majorBidi"/>
                <w:color w:val="000000" w:themeColor="text1"/>
              </w:rPr>
              <w:t>Annualized</w:t>
            </w:r>
          </w:p>
          <w:p w14:paraId="60A6A010" w14:textId="77777777" w:rsidR="00885F36" w:rsidRPr="00D15C0B" w:rsidRDefault="00885F36" w:rsidP="00D15C0B">
            <w:pPr>
              <w:rPr>
                <w:rFonts w:asciiTheme="majorBidi" w:hAnsiTheme="majorBidi" w:cstheme="majorBidi"/>
                <w:color w:val="000000" w:themeColor="text1"/>
              </w:rPr>
            </w:pPr>
            <w:r w:rsidRPr="00D15C0B">
              <w:rPr>
                <w:rFonts w:asciiTheme="majorBidi" w:hAnsiTheme="majorBidi" w:cstheme="majorBidi"/>
                <w:color w:val="000000" w:themeColor="text1"/>
              </w:rPr>
              <w:t>Data Collection Cost</w:t>
            </w:r>
          </w:p>
        </w:tc>
      </w:tr>
      <w:tr w:rsidR="00885F36" w:rsidRPr="00D15C0B" w14:paraId="1D543FEC" w14:textId="77777777" w:rsidTr="002A47B2">
        <w:trPr>
          <w:trHeight w:val="430"/>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9531F4" w14:textId="77777777" w:rsidR="00885F36" w:rsidRPr="00D15C0B" w:rsidRDefault="00885F36" w:rsidP="00043695">
            <w:pPr>
              <w:rPr>
                <w:rFonts w:asciiTheme="majorBidi" w:hAnsiTheme="majorBidi" w:cstheme="majorBidi"/>
              </w:rPr>
            </w:pPr>
            <w:r w:rsidRPr="00D15C0B">
              <w:rPr>
                <w:rFonts w:asciiTheme="majorBidi" w:hAnsiTheme="majorBidi" w:cstheme="majorBidi"/>
              </w:rPr>
              <w:t>NIH Project Oversight Officer - GS15-10</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tcPr>
          <w:p w14:paraId="5FAA4F28" w14:textId="77777777" w:rsidR="00885F36" w:rsidRPr="00D15C0B" w:rsidRDefault="00885F36" w:rsidP="00043695">
            <w:pPr>
              <w:rPr>
                <w:rFonts w:asciiTheme="majorBidi" w:hAnsiTheme="majorBidi" w:cstheme="majorBidi"/>
              </w:rPr>
            </w:pPr>
            <w:r w:rsidRPr="00D15C0B">
              <w:rPr>
                <w:rFonts w:asciiTheme="majorBidi" w:hAnsiTheme="majorBidi" w:cstheme="majorBidi"/>
              </w:rPr>
              <w:t>157,100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tcPr>
          <w:p w14:paraId="23AB9291" w14:textId="77777777" w:rsidR="00885F36" w:rsidRPr="00D15C0B" w:rsidRDefault="00885F36" w:rsidP="00043695">
            <w:pPr>
              <w:rPr>
                <w:rFonts w:asciiTheme="majorBidi" w:hAnsiTheme="majorBidi" w:cstheme="majorBidi"/>
              </w:rPr>
            </w:pPr>
            <w:r w:rsidRPr="00D15C0B">
              <w:rPr>
                <w:rFonts w:asciiTheme="majorBidi" w:hAnsiTheme="majorBidi" w:cstheme="majorBidi"/>
              </w:rPr>
              <w:t>20</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tcPr>
          <w:p w14:paraId="082280C6" w14:textId="77777777" w:rsidR="00885F36" w:rsidRPr="00D15C0B" w:rsidRDefault="00885F36" w:rsidP="00043695">
            <w:pPr>
              <w:rPr>
                <w:rFonts w:asciiTheme="majorBidi" w:hAnsiTheme="majorBidi" w:cstheme="majorBidi"/>
              </w:rPr>
            </w:pPr>
            <w:r w:rsidRPr="00D15C0B">
              <w:rPr>
                <w:rFonts w:asciiTheme="majorBidi" w:hAnsiTheme="majorBidi" w:cstheme="majorBidi"/>
              </w:rPr>
              <w:t>1.5</w:t>
            </w:r>
          </w:p>
        </w:tc>
        <w:tc>
          <w:tcPr>
            <w:tcW w:w="1804" w:type="dxa"/>
            <w:tcBorders>
              <w:top w:val="nil"/>
              <w:left w:val="nil"/>
              <w:bottom w:val="single" w:sz="8" w:space="0" w:color="auto"/>
              <w:right w:val="single" w:sz="8" w:space="0" w:color="auto"/>
            </w:tcBorders>
            <w:vAlign w:val="center"/>
          </w:tcPr>
          <w:p w14:paraId="2EB2D2F8" w14:textId="77777777" w:rsidR="00885F36" w:rsidRPr="00D15C0B" w:rsidRDefault="00885F36" w:rsidP="00043695">
            <w:pPr>
              <w:rPr>
                <w:rFonts w:asciiTheme="majorBidi" w:hAnsiTheme="majorBidi" w:cstheme="majorBidi"/>
              </w:rPr>
            </w:pPr>
            <w:r w:rsidRPr="00D15C0B">
              <w:rPr>
                <w:rFonts w:asciiTheme="majorBidi" w:hAnsiTheme="majorBidi" w:cstheme="majorBidi"/>
              </w:rPr>
              <w:t>2</w:t>
            </w:r>
            <w:r w:rsidR="002A47B2" w:rsidRPr="00D15C0B">
              <w:rPr>
                <w:rFonts w:asciiTheme="majorBidi" w:hAnsiTheme="majorBidi" w:cstheme="majorBidi"/>
              </w:rPr>
              <w:t>,</w:t>
            </w:r>
            <w:r w:rsidRPr="00D15C0B">
              <w:rPr>
                <w:rFonts w:asciiTheme="majorBidi" w:hAnsiTheme="majorBidi" w:cstheme="majorBidi"/>
              </w:rPr>
              <w:t>35</w:t>
            </w:r>
            <w:r w:rsidR="002C02F8" w:rsidRPr="00D15C0B">
              <w:rPr>
                <w:rFonts w:asciiTheme="majorBidi" w:hAnsiTheme="majorBidi" w:cstheme="majorBidi"/>
              </w:rPr>
              <w:t>7</w:t>
            </w:r>
          </w:p>
        </w:tc>
      </w:tr>
      <w:tr w:rsidR="006A661F" w:rsidRPr="00D15C0B" w14:paraId="116377B5" w14:textId="77777777" w:rsidTr="002A47B2">
        <w:trPr>
          <w:trHeight w:val="430"/>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2513AE" w14:textId="77777777" w:rsidR="006A661F" w:rsidRPr="00D15C0B" w:rsidRDefault="00D52C78" w:rsidP="00043695">
            <w:pPr>
              <w:rPr>
                <w:rFonts w:asciiTheme="majorBidi" w:hAnsiTheme="majorBidi" w:cstheme="majorBidi"/>
                <w:color w:val="000000" w:themeColor="text1"/>
              </w:rPr>
            </w:pPr>
            <w:r w:rsidRPr="00D15C0B">
              <w:rPr>
                <w:rFonts w:asciiTheme="majorBidi" w:hAnsiTheme="majorBidi" w:cstheme="majorBidi"/>
                <w:color w:val="000000" w:themeColor="text1"/>
              </w:rPr>
              <w:t>1</w:t>
            </w:r>
            <w:r w:rsidR="006A661F" w:rsidRPr="00D15C0B">
              <w:rPr>
                <w:rFonts w:asciiTheme="majorBidi" w:hAnsiTheme="majorBidi" w:cstheme="majorBidi"/>
                <w:color w:val="000000" w:themeColor="text1"/>
              </w:rPr>
              <w:t xml:space="preserve"> in-house contractor staff (RTI Staff)</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tcPr>
          <w:p w14:paraId="5D70D6F8" w14:textId="77777777" w:rsidR="006A661F" w:rsidRPr="00D15C0B" w:rsidRDefault="006A661F" w:rsidP="00043695">
            <w:pPr>
              <w:rPr>
                <w:rFonts w:eastAsiaTheme="minorHAnsi"/>
                <w:color w:val="000000"/>
                <w:lang w:eastAsia="zh-CN"/>
              </w:rPr>
            </w:pPr>
            <w:r w:rsidRPr="00D15C0B">
              <w:rPr>
                <w:color w:val="000000"/>
              </w:rPr>
              <w:t>141,296</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tcPr>
          <w:p w14:paraId="4CF3E35A" w14:textId="77777777" w:rsidR="006A661F" w:rsidRPr="00D15C0B" w:rsidRDefault="006A661F" w:rsidP="00043695">
            <w:pPr>
              <w:rPr>
                <w:rFonts w:eastAsiaTheme="minorHAnsi"/>
                <w:color w:val="000000"/>
                <w:lang w:eastAsia="zh-CN"/>
              </w:rPr>
            </w:pPr>
            <w:r w:rsidRPr="00D15C0B">
              <w:rPr>
                <w:color w:val="000000"/>
              </w:rPr>
              <w:t>39</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tcPr>
          <w:p w14:paraId="4365C5D1" w14:textId="77777777" w:rsidR="006A661F" w:rsidRPr="00D15C0B" w:rsidRDefault="006A661F" w:rsidP="00043695">
            <w:pPr>
              <w:rPr>
                <w:rFonts w:eastAsiaTheme="minorHAnsi"/>
                <w:color w:val="000000"/>
                <w:lang w:eastAsia="zh-CN"/>
              </w:rPr>
            </w:pPr>
            <w:r w:rsidRPr="00D15C0B">
              <w:rPr>
                <w:color w:val="000000"/>
              </w:rPr>
              <w:t>2.6</w:t>
            </w:r>
          </w:p>
        </w:tc>
        <w:tc>
          <w:tcPr>
            <w:tcW w:w="1804" w:type="dxa"/>
            <w:tcBorders>
              <w:top w:val="nil"/>
              <w:left w:val="nil"/>
              <w:bottom w:val="single" w:sz="8" w:space="0" w:color="auto"/>
              <w:right w:val="single" w:sz="8" w:space="0" w:color="auto"/>
            </w:tcBorders>
            <w:vAlign w:val="center"/>
          </w:tcPr>
          <w:p w14:paraId="3262BFC3" w14:textId="77777777" w:rsidR="006A661F" w:rsidRPr="00D15C0B" w:rsidRDefault="006A661F" w:rsidP="00043695">
            <w:pPr>
              <w:rPr>
                <w:rFonts w:eastAsiaTheme="minorHAnsi"/>
                <w:color w:val="000000"/>
              </w:rPr>
            </w:pPr>
            <w:r w:rsidRPr="00D15C0B">
              <w:rPr>
                <w:color w:val="000000"/>
              </w:rPr>
              <w:t>3,</w:t>
            </w:r>
            <w:r w:rsidR="00D52C78" w:rsidRPr="00D15C0B">
              <w:rPr>
                <w:color w:val="000000"/>
              </w:rPr>
              <w:t>674</w:t>
            </w:r>
          </w:p>
        </w:tc>
      </w:tr>
      <w:tr w:rsidR="00885F36" w:rsidRPr="00D15C0B" w14:paraId="74BD2A68" w14:textId="77777777" w:rsidTr="002A47B2">
        <w:trPr>
          <w:trHeight w:val="413"/>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F40264" w14:textId="77777777" w:rsidR="00885F36" w:rsidRPr="00D15C0B" w:rsidRDefault="002A47B2" w:rsidP="00043695">
            <w:pPr>
              <w:rPr>
                <w:rFonts w:asciiTheme="majorBidi" w:hAnsiTheme="majorBidi" w:cstheme="majorBidi"/>
                <w:color w:val="000000" w:themeColor="text1"/>
              </w:rPr>
            </w:pPr>
            <w:r w:rsidRPr="00D15C0B">
              <w:rPr>
                <w:rFonts w:asciiTheme="majorBidi" w:hAnsiTheme="majorBidi" w:cstheme="majorBidi"/>
                <w:color w:val="000000" w:themeColor="text1"/>
              </w:rPr>
              <w:t>6</w:t>
            </w:r>
            <w:r w:rsidR="00885F36" w:rsidRPr="00D15C0B">
              <w:rPr>
                <w:rFonts w:asciiTheme="majorBidi" w:hAnsiTheme="majorBidi" w:cstheme="majorBidi"/>
                <w:color w:val="000000" w:themeColor="text1"/>
              </w:rPr>
              <w:t xml:space="preserve"> of field contractor staff</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tcPr>
          <w:p w14:paraId="3F0C938A" w14:textId="77777777" w:rsidR="00885F36" w:rsidRPr="00D15C0B" w:rsidRDefault="00D52C78" w:rsidP="00043695">
            <w:pPr>
              <w:rPr>
                <w:rFonts w:asciiTheme="majorBidi" w:hAnsiTheme="majorBidi" w:cstheme="majorBidi"/>
                <w:color w:val="000000" w:themeColor="text1"/>
              </w:rPr>
            </w:pPr>
            <w:r w:rsidRPr="00D15C0B">
              <w:rPr>
                <w:rFonts w:asciiTheme="majorBidi" w:hAnsiTheme="majorBidi" w:cstheme="majorBidi"/>
                <w:color w:val="000000" w:themeColor="text1"/>
              </w:rPr>
              <w:t>39,648</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tcPr>
          <w:p w14:paraId="6084ED79" w14:textId="77777777" w:rsidR="00885F36" w:rsidRPr="00D15C0B" w:rsidRDefault="00D52C78" w:rsidP="00043695">
            <w:pPr>
              <w:rPr>
                <w:rFonts w:asciiTheme="majorBidi" w:hAnsiTheme="majorBidi" w:cstheme="majorBidi"/>
                <w:color w:val="000000" w:themeColor="text1"/>
              </w:rPr>
            </w:pPr>
            <w:r w:rsidRPr="00D15C0B">
              <w:rPr>
                <w:rFonts w:asciiTheme="majorBidi" w:hAnsiTheme="majorBidi" w:cstheme="majorBidi"/>
                <w:color w:val="000000" w:themeColor="text1"/>
              </w:rPr>
              <w:t>0</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971AB7" w14:textId="77777777" w:rsidR="00885F36" w:rsidRPr="00D15C0B" w:rsidRDefault="00D52C78" w:rsidP="00043695">
            <w:pPr>
              <w:rPr>
                <w:rFonts w:asciiTheme="majorBidi" w:hAnsiTheme="majorBidi" w:cstheme="majorBidi"/>
                <w:color w:val="000000" w:themeColor="text1"/>
              </w:rPr>
            </w:pPr>
            <w:r w:rsidRPr="00D15C0B">
              <w:rPr>
                <w:rFonts w:asciiTheme="majorBidi" w:hAnsiTheme="majorBidi" w:cstheme="majorBidi"/>
                <w:color w:val="000000" w:themeColor="text1"/>
              </w:rPr>
              <w:t>156</w:t>
            </w:r>
          </w:p>
        </w:tc>
        <w:tc>
          <w:tcPr>
            <w:tcW w:w="1804" w:type="dxa"/>
            <w:tcBorders>
              <w:top w:val="nil"/>
              <w:left w:val="nil"/>
              <w:bottom w:val="single" w:sz="8" w:space="0" w:color="auto"/>
              <w:right w:val="single" w:sz="8" w:space="0" w:color="auto"/>
            </w:tcBorders>
            <w:vAlign w:val="center"/>
          </w:tcPr>
          <w:p w14:paraId="4DE8BD90" w14:textId="77777777" w:rsidR="00885F36" w:rsidRPr="00D15C0B" w:rsidRDefault="002C02F8" w:rsidP="00043695">
            <w:pPr>
              <w:rPr>
                <w:rFonts w:asciiTheme="majorBidi" w:hAnsiTheme="majorBidi" w:cstheme="majorBidi"/>
                <w:color w:val="000000" w:themeColor="text1"/>
              </w:rPr>
            </w:pPr>
            <w:r w:rsidRPr="00D15C0B">
              <w:rPr>
                <w:rFonts w:asciiTheme="majorBidi" w:hAnsiTheme="majorBidi" w:cstheme="majorBidi"/>
                <w:color w:val="000000" w:themeColor="text1"/>
              </w:rPr>
              <w:t>61,851</w:t>
            </w:r>
          </w:p>
        </w:tc>
      </w:tr>
      <w:tr w:rsidR="001C4D98" w:rsidRPr="00D15C0B" w14:paraId="39238643" w14:textId="77777777" w:rsidTr="006455C3">
        <w:trPr>
          <w:trHeight w:val="1168"/>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10C39B" w14:textId="77777777" w:rsidR="001C4D98" w:rsidRPr="00D15C0B" w:rsidRDefault="001C4D98" w:rsidP="00043695">
            <w:pPr>
              <w:rPr>
                <w:rFonts w:asciiTheme="majorBidi" w:hAnsiTheme="majorBidi" w:cstheme="majorBidi"/>
              </w:rPr>
            </w:pPr>
            <w:r w:rsidRPr="00D15C0B">
              <w:rPr>
                <w:rFonts w:asciiTheme="majorBidi" w:hAnsiTheme="majorBidi" w:cstheme="majorBidi"/>
              </w:rPr>
              <w:t>Operational Costs for Data Collection Activities –Printing, equipment, overhead</w:t>
            </w:r>
            <w:r w:rsidR="00927A8E" w:rsidRPr="00D15C0B">
              <w:rPr>
                <w:rFonts w:asciiTheme="majorBidi" w:hAnsiTheme="majorBidi" w:cstheme="majorBidi"/>
              </w:rPr>
              <w:t>, respondent reimbursement,</w:t>
            </w:r>
            <w:r w:rsidRPr="00D15C0B">
              <w:rPr>
                <w:rFonts w:asciiTheme="majorBidi" w:hAnsiTheme="majorBidi" w:cstheme="majorBidi"/>
              </w:rPr>
              <w:t>, non-labor</w:t>
            </w:r>
          </w:p>
        </w:tc>
        <w:tc>
          <w:tcPr>
            <w:tcW w:w="3056" w:type="dxa"/>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562CD378" w14:textId="77777777" w:rsidR="001C4D98" w:rsidRPr="00D15C0B" w:rsidRDefault="001C4D98" w:rsidP="00043695">
            <w:pPr>
              <w:rPr>
                <w:rFonts w:asciiTheme="majorBidi" w:hAnsiTheme="majorBidi" w:cstheme="majorBidi"/>
              </w:rPr>
            </w:pPr>
          </w:p>
        </w:tc>
        <w:tc>
          <w:tcPr>
            <w:tcW w:w="1804" w:type="dxa"/>
            <w:tcBorders>
              <w:top w:val="nil"/>
              <w:left w:val="nil"/>
              <w:bottom w:val="single" w:sz="8" w:space="0" w:color="auto"/>
              <w:right w:val="single" w:sz="8" w:space="0" w:color="auto"/>
            </w:tcBorders>
            <w:vAlign w:val="center"/>
          </w:tcPr>
          <w:p w14:paraId="10B98B59" w14:textId="77777777" w:rsidR="001C4D98" w:rsidRPr="00D15C0B" w:rsidRDefault="001C4D98" w:rsidP="00043695">
            <w:pPr>
              <w:rPr>
                <w:rFonts w:asciiTheme="majorBidi" w:hAnsiTheme="majorBidi" w:cstheme="majorBidi"/>
              </w:rPr>
            </w:pPr>
            <w:r w:rsidRPr="00D15C0B">
              <w:rPr>
                <w:rFonts w:asciiTheme="majorBidi" w:hAnsiTheme="majorBidi" w:cstheme="majorBidi"/>
              </w:rPr>
              <w:t>4</w:t>
            </w:r>
            <w:r w:rsidR="003A1314" w:rsidRPr="00D15C0B">
              <w:rPr>
                <w:rFonts w:asciiTheme="majorBidi" w:hAnsiTheme="majorBidi" w:cstheme="majorBidi"/>
              </w:rPr>
              <w:t>8</w:t>
            </w:r>
            <w:r w:rsidRPr="00D15C0B">
              <w:rPr>
                <w:rFonts w:asciiTheme="majorBidi" w:hAnsiTheme="majorBidi" w:cstheme="majorBidi"/>
              </w:rPr>
              <w:t>,</w:t>
            </w:r>
            <w:r w:rsidR="003A1314" w:rsidRPr="00D15C0B">
              <w:rPr>
                <w:rFonts w:asciiTheme="majorBidi" w:hAnsiTheme="majorBidi" w:cstheme="majorBidi"/>
              </w:rPr>
              <w:t>4</w:t>
            </w:r>
            <w:r w:rsidRPr="00D15C0B">
              <w:rPr>
                <w:rFonts w:asciiTheme="majorBidi" w:hAnsiTheme="majorBidi" w:cstheme="majorBidi"/>
              </w:rPr>
              <w:t>81</w:t>
            </w:r>
          </w:p>
        </w:tc>
      </w:tr>
      <w:tr w:rsidR="001C4D98" w:rsidRPr="00D15C0B" w14:paraId="1A65AE27" w14:textId="77777777" w:rsidTr="006455C3">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E28345" w14:textId="77777777" w:rsidR="001C4D98" w:rsidRPr="00D15C0B" w:rsidRDefault="001C4D98" w:rsidP="00043695">
            <w:pPr>
              <w:rPr>
                <w:rFonts w:asciiTheme="majorBidi" w:hAnsiTheme="majorBidi" w:cstheme="majorBidi"/>
              </w:rPr>
            </w:pPr>
            <w:r w:rsidRPr="00D15C0B">
              <w:rPr>
                <w:rFonts w:asciiTheme="majorBidi" w:hAnsiTheme="majorBidi" w:cstheme="majorBidi"/>
              </w:rPr>
              <w:t>Other Contractual costs for data collection, non-labor</w:t>
            </w:r>
          </w:p>
        </w:tc>
        <w:tc>
          <w:tcPr>
            <w:tcW w:w="3056" w:type="dxa"/>
            <w:gridSpan w:val="3"/>
            <w:vMerge/>
            <w:tcBorders>
              <w:top w:val="nil"/>
              <w:left w:val="single" w:sz="8" w:space="0" w:color="auto"/>
              <w:bottom w:val="single" w:sz="8" w:space="0" w:color="auto"/>
              <w:right w:val="single" w:sz="8" w:space="0" w:color="auto"/>
            </w:tcBorders>
            <w:vAlign w:val="center"/>
          </w:tcPr>
          <w:p w14:paraId="66D2BA1E" w14:textId="77777777" w:rsidR="001C4D98" w:rsidRPr="00D15C0B" w:rsidRDefault="001C4D98" w:rsidP="00043695">
            <w:pPr>
              <w:rPr>
                <w:rFonts w:asciiTheme="majorBidi" w:hAnsiTheme="majorBidi" w:cstheme="majorBidi"/>
              </w:rPr>
            </w:pPr>
          </w:p>
        </w:tc>
        <w:tc>
          <w:tcPr>
            <w:tcW w:w="1804" w:type="dxa"/>
            <w:tcBorders>
              <w:top w:val="nil"/>
              <w:left w:val="nil"/>
              <w:bottom w:val="single" w:sz="8" w:space="0" w:color="auto"/>
              <w:right w:val="single" w:sz="8" w:space="0" w:color="auto"/>
            </w:tcBorders>
            <w:vAlign w:val="center"/>
          </w:tcPr>
          <w:p w14:paraId="3D3AF8C0" w14:textId="77777777" w:rsidR="001C4D98" w:rsidRPr="00D15C0B" w:rsidRDefault="001C4D98" w:rsidP="00043695">
            <w:pPr>
              <w:rPr>
                <w:rFonts w:asciiTheme="majorBidi" w:hAnsiTheme="majorBidi" w:cstheme="majorBidi"/>
              </w:rPr>
            </w:pPr>
            <w:r w:rsidRPr="00D15C0B">
              <w:rPr>
                <w:rFonts w:asciiTheme="majorBidi" w:hAnsiTheme="majorBidi" w:cstheme="majorBidi"/>
              </w:rPr>
              <w:t>0</w:t>
            </w:r>
          </w:p>
        </w:tc>
      </w:tr>
      <w:tr w:rsidR="001C4D98" w:rsidRPr="00D15C0B" w14:paraId="7DA6E195" w14:textId="77777777" w:rsidTr="006455C3">
        <w:trPr>
          <w:trHeight w:val="898"/>
        </w:trPr>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D6BDD2" w14:textId="77777777" w:rsidR="001C4D98" w:rsidRPr="00D15C0B" w:rsidRDefault="001C4D98" w:rsidP="00043695">
            <w:pPr>
              <w:rPr>
                <w:rFonts w:asciiTheme="majorBidi" w:hAnsiTheme="majorBidi" w:cstheme="majorBidi"/>
              </w:rPr>
            </w:pPr>
            <w:r w:rsidRPr="00D15C0B">
              <w:rPr>
                <w:rFonts w:asciiTheme="majorBidi" w:hAnsiTheme="majorBidi" w:cstheme="majorBidi"/>
              </w:rPr>
              <w:t>Travel costs associated with data collection and study launch</w:t>
            </w:r>
          </w:p>
        </w:tc>
        <w:tc>
          <w:tcPr>
            <w:tcW w:w="3056" w:type="dxa"/>
            <w:gridSpan w:val="3"/>
            <w:vMerge/>
            <w:tcBorders>
              <w:top w:val="nil"/>
              <w:left w:val="single" w:sz="8" w:space="0" w:color="auto"/>
              <w:bottom w:val="single" w:sz="8" w:space="0" w:color="auto"/>
              <w:right w:val="single" w:sz="8" w:space="0" w:color="auto"/>
            </w:tcBorders>
            <w:vAlign w:val="center"/>
            <w:hideMark/>
          </w:tcPr>
          <w:p w14:paraId="4E3D0F35" w14:textId="77777777" w:rsidR="001C4D98" w:rsidRPr="00D15C0B" w:rsidRDefault="001C4D98" w:rsidP="00043695">
            <w:pPr>
              <w:rPr>
                <w:rFonts w:asciiTheme="majorBidi" w:hAnsiTheme="majorBidi" w:cstheme="majorBidi"/>
              </w:rPr>
            </w:pPr>
          </w:p>
        </w:tc>
        <w:tc>
          <w:tcPr>
            <w:tcW w:w="1804" w:type="dxa"/>
            <w:tcBorders>
              <w:top w:val="nil"/>
              <w:left w:val="nil"/>
              <w:bottom w:val="single" w:sz="8" w:space="0" w:color="auto"/>
              <w:right w:val="single" w:sz="8" w:space="0" w:color="auto"/>
            </w:tcBorders>
            <w:vAlign w:val="center"/>
            <w:hideMark/>
          </w:tcPr>
          <w:p w14:paraId="177D5001" w14:textId="77777777" w:rsidR="001C4D98" w:rsidRPr="00D15C0B" w:rsidRDefault="001C4D98" w:rsidP="00043695">
            <w:pPr>
              <w:ind w:right="440"/>
              <w:rPr>
                <w:rFonts w:asciiTheme="majorBidi" w:hAnsiTheme="majorBidi" w:cstheme="majorBidi"/>
              </w:rPr>
            </w:pPr>
          </w:p>
          <w:p w14:paraId="3D72F17B" w14:textId="77777777" w:rsidR="001C4D98" w:rsidRPr="00D15C0B" w:rsidRDefault="001C4D98" w:rsidP="00043695">
            <w:pPr>
              <w:tabs>
                <w:tab w:val="left" w:pos="2070"/>
              </w:tabs>
              <w:rPr>
                <w:rFonts w:asciiTheme="majorBidi" w:hAnsiTheme="majorBidi" w:cstheme="majorBidi"/>
              </w:rPr>
            </w:pPr>
            <w:r w:rsidRPr="00D15C0B">
              <w:rPr>
                <w:rFonts w:asciiTheme="majorBidi" w:hAnsiTheme="majorBidi" w:cstheme="majorBidi"/>
              </w:rPr>
              <w:t>5,736</w:t>
            </w:r>
          </w:p>
        </w:tc>
      </w:tr>
      <w:tr w:rsidR="001C4D98" w:rsidRPr="00D15C0B" w14:paraId="729F678B" w14:textId="77777777" w:rsidTr="006455C3">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291289" w14:textId="77777777" w:rsidR="001C4D98" w:rsidRPr="00D15C0B" w:rsidRDefault="001C4D98" w:rsidP="00043695">
            <w:pPr>
              <w:rPr>
                <w:rFonts w:asciiTheme="majorBidi" w:hAnsiTheme="majorBidi" w:cstheme="majorBidi"/>
              </w:rPr>
            </w:pPr>
            <w:r w:rsidRPr="00D15C0B">
              <w:rPr>
                <w:rFonts w:asciiTheme="majorBidi" w:hAnsiTheme="majorBidi" w:cstheme="majorBidi"/>
              </w:rPr>
              <w:t>Other costs, non-labor</w:t>
            </w:r>
          </w:p>
        </w:tc>
        <w:tc>
          <w:tcPr>
            <w:tcW w:w="3056" w:type="dxa"/>
            <w:gridSpan w:val="3"/>
            <w:vMerge/>
            <w:tcBorders>
              <w:top w:val="nil"/>
              <w:left w:val="single" w:sz="8" w:space="0" w:color="auto"/>
              <w:bottom w:val="single" w:sz="8" w:space="0" w:color="auto"/>
              <w:right w:val="single" w:sz="8" w:space="0" w:color="auto"/>
            </w:tcBorders>
            <w:vAlign w:val="center"/>
            <w:hideMark/>
          </w:tcPr>
          <w:p w14:paraId="70B8B98E" w14:textId="77777777" w:rsidR="001C4D98" w:rsidRPr="00D15C0B" w:rsidRDefault="001C4D98" w:rsidP="00043695">
            <w:pPr>
              <w:rPr>
                <w:rFonts w:asciiTheme="majorBidi" w:hAnsiTheme="majorBidi" w:cstheme="majorBidi"/>
              </w:rPr>
            </w:pPr>
          </w:p>
        </w:tc>
        <w:tc>
          <w:tcPr>
            <w:tcW w:w="1804" w:type="dxa"/>
            <w:tcBorders>
              <w:top w:val="nil"/>
              <w:left w:val="nil"/>
              <w:bottom w:val="single" w:sz="8" w:space="0" w:color="auto"/>
              <w:right w:val="single" w:sz="8" w:space="0" w:color="auto"/>
            </w:tcBorders>
            <w:vAlign w:val="center"/>
          </w:tcPr>
          <w:p w14:paraId="79B367BB" w14:textId="77777777" w:rsidR="001C4D98" w:rsidRPr="00D15C0B" w:rsidRDefault="00CD0D36" w:rsidP="00043695">
            <w:pPr>
              <w:rPr>
                <w:rFonts w:asciiTheme="majorBidi" w:hAnsiTheme="majorBidi" w:cstheme="majorBidi"/>
              </w:rPr>
            </w:pPr>
            <w:r w:rsidRPr="00D15C0B">
              <w:rPr>
                <w:rFonts w:asciiTheme="majorBidi" w:hAnsiTheme="majorBidi" w:cstheme="majorBidi"/>
              </w:rPr>
              <w:t>9,</w:t>
            </w:r>
            <w:r w:rsidR="009F438E" w:rsidRPr="00D15C0B">
              <w:rPr>
                <w:rFonts w:asciiTheme="majorBidi" w:hAnsiTheme="majorBidi" w:cstheme="majorBidi"/>
              </w:rPr>
              <w:t>6</w:t>
            </w:r>
            <w:r w:rsidRPr="00D15C0B">
              <w:rPr>
                <w:rFonts w:asciiTheme="majorBidi" w:hAnsiTheme="majorBidi" w:cstheme="majorBidi"/>
              </w:rPr>
              <w:t>25</w:t>
            </w:r>
          </w:p>
        </w:tc>
      </w:tr>
      <w:tr w:rsidR="001C4D98" w:rsidRPr="00D15C0B" w14:paraId="7A0BCC22" w14:textId="77777777" w:rsidTr="006455C3">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42E03" w14:textId="77777777" w:rsidR="001C4D98" w:rsidRPr="00D15C0B" w:rsidRDefault="001C4D98" w:rsidP="00043695">
            <w:pPr>
              <w:rPr>
                <w:rFonts w:asciiTheme="majorBidi" w:hAnsiTheme="majorBidi" w:cstheme="majorBidi"/>
              </w:rPr>
            </w:pPr>
            <w:r w:rsidRPr="00D15C0B">
              <w:rPr>
                <w:rFonts w:asciiTheme="majorBidi" w:hAnsiTheme="majorBidi" w:cstheme="majorBidi"/>
              </w:rPr>
              <w:t>Total</w:t>
            </w:r>
          </w:p>
        </w:tc>
        <w:tc>
          <w:tcPr>
            <w:tcW w:w="3056" w:type="dxa"/>
            <w:gridSpan w:val="3"/>
            <w:vMerge/>
            <w:tcBorders>
              <w:top w:val="nil"/>
              <w:left w:val="single" w:sz="8" w:space="0" w:color="auto"/>
              <w:bottom w:val="single" w:sz="8" w:space="0" w:color="auto"/>
              <w:right w:val="single" w:sz="8" w:space="0" w:color="auto"/>
            </w:tcBorders>
            <w:vAlign w:val="center"/>
            <w:hideMark/>
          </w:tcPr>
          <w:p w14:paraId="0076264D" w14:textId="77777777" w:rsidR="001C4D98" w:rsidRPr="00D15C0B" w:rsidRDefault="001C4D98" w:rsidP="00043695">
            <w:pPr>
              <w:rPr>
                <w:rFonts w:asciiTheme="majorBidi" w:hAnsiTheme="majorBidi" w:cstheme="majorBidi"/>
              </w:rPr>
            </w:pPr>
          </w:p>
        </w:tc>
        <w:tc>
          <w:tcPr>
            <w:tcW w:w="1804" w:type="dxa"/>
            <w:tcBorders>
              <w:top w:val="nil"/>
              <w:left w:val="nil"/>
              <w:bottom w:val="single" w:sz="8" w:space="0" w:color="auto"/>
              <w:right w:val="single" w:sz="8" w:space="0" w:color="auto"/>
            </w:tcBorders>
            <w:vAlign w:val="center"/>
            <w:hideMark/>
          </w:tcPr>
          <w:p w14:paraId="4FA7F917" w14:textId="77777777" w:rsidR="001C4D98" w:rsidRPr="00D15C0B" w:rsidRDefault="00B85878" w:rsidP="00043695">
            <w:pPr>
              <w:tabs>
                <w:tab w:val="left" w:pos="195"/>
              </w:tabs>
              <w:rPr>
                <w:rFonts w:asciiTheme="majorBidi" w:hAnsiTheme="majorBidi" w:cstheme="majorBidi"/>
              </w:rPr>
            </w:pPr>
            <w:r w:rsidRPr="00D15C0B">
              <w:rPr>
                <w:rFonts w:asciiTheme="majorBidi" w:hAnsiTheme="majorBidi" w:cstheme="majorBidi"/>
              </w:rPr>
              <w:t>131,724</w:t>
            </w:r>
          </w:p>
        </w:tc>
      </w:tr>
    </w:tbl>
    <w:p w14:paraId="31A3256B" w14:textId="77777777" w:rsidR="00885F36" w:rsidRPr="00D15C0B" w:rsidRDefault="00885F36" w:rsidP="00043695">
      <w:pPr>
        <w:widowControl w:val="0"/>
        <w:adjustRightInd w:val="0"/>
        <w:snapToGrid w:val="0"/>
        <w:rPr>
          <w:color w:val="0000FF"/>
        </w:rPr>
      </w:pPr>
    </w:p>
    <w:p w14:paraId="42B12765" w14:textId="77777777" w:rsidR="0066305A" w:rsidRPr="00D15C0B" w:rsidRDefault="0066305A" w:rsidP="00043695">
      <w:pPr>
        <w:widowControl w:val="0"/>
        <w:adjustRightInd w:val="0"/>
        <w:snapToGrid w:val="0"/>
        <w:rPr>
          <w:color w:val="0000FF"/>
        </w:rPr>
      </w:pPr>
    </w:p>
    <w:p w14:paraId="21412715" w14:textId="77777777" w:rsidR="0066305A" w:rsidRPr="00D15C0B" w:rsidRDefault="0066305A" w:rsidP="00043695">
      <w:pPr>
        <w:widowControl w:val="0"/>
        <w:adjustRightInd w:val="0"/>
        <w:snapToGrid w:val="0"/>
        <w:rPr>
          <w:color w:val="0000FF"/>
        </w:rPr>
      </w:pPr>
    </w:p>
    <w:p w14:paraId="452AF853" w14:textId="77777777" w:rsidR="008437B1" w:rsidRPr="00D15C0B" w:rsidRDefault="008437B1" w:rsidP="00043695">
      <w:pPr>
        <w:pStyle w:val="E-mailSignature"/>
        <w:widowControl w:val="0"/>
        <w:adjustRightInd w:val="0"/>
        <w:snapToGrid w:val="0"/>
        <w:rPr>
          <w:b/>
        </w:rPr>
      </w:pPr>
      <w:bookmarkStart w:id="17" w:name="_Toc153351598"/>
      <w:r w:rsidRPr="00D15C0B">
        <w:rPr>
          <w:b/>
        </w:rPr>
        <w:t>A.15.</w:t>
      </w:r>
      <w:r w:rsidRPr="00D15C0B">
        <w:rPr>
          <w:b/>
        </w:rPr>
        <w:tab/>
        <w:t>Explanation for Program Changes or Adjustments</w:t>
      </w:r>
      <w:bookmarkEnd w:id="17"/>
    </w:p>
    <w:p w14:paraId="1C85534F" w14:textId="77777777" w:rsidR="00E43A95" w:rsidRPr="00D15C0B" w:rsidRDefault="00E43A95" w:rsidP="00043695">
      <w:pPr>
        <w:widowControl w:val="0"/>
        <w:adjustRightInd w:val="0"/>
        <w:snapToGrid w:val="0"/>
      </w:pPr>
    </w:p>
    <w:p w14:paraId="41D9B84B" w14:textId="77777777" w:rsidR="008437B1" w:rsidRPr="00D15C0B" w:rsidRDefault="008437B1" w:rsidP="00043695">
      <w:pPr>
        <w:widowControl w:val="0"/>
        <w:adjustRightInd w:val="0"/>
        <w:snapToGrid w:val="0"/>
      </w:pPr>
      <w:r w:rsidRPr="00D15C0B">
        <w:tab/>
      </w:r>
      <w:r w:rsidR="004E505B" w:rsidRPr="00D15C0B">
        <w:t>This is a new collection request.</w:t>
      </w:r>
    </w:p>
    <w:p w14:paraId="3F432DD2" w14:textId="77777777" w:rsidR="001C799F" w:rsidRPr="00D15C0B" w:rsidRDefault="001C799F" w:rsidP="00043695">
      <w:pPr>
        <w:widowControl w:val="0"/>
        <w:adjustRightInd w:val="0"/>
        <w:snapToGrid w:val="0"/>
      </w:pPr>
    </w:p>
    <w:p w14:paraId="0F419CBF" w14:textId="77777777" w:rsidR="008437B1" w:rsidRPr="00D15C0B" w:rsidRDefault="008437B1" w:rsidP="00043695">
      <w:pPr>
        <w:pStyle w:val="E-mailSignature"/>
        <w:widowControl w:val="0"/>
        <w:adjustRightInd w:val="0"/>
        <w:snapToGrid w:val="0"/>
        <w:rPr>
          <w:b/>
        </w:rPr>
      </w:pPr>
      <w:bookmarkStart w:id="18" w:name="_Toc153351599"/>
      <w:r w:rsidRPr="00D15C0B">
        <w:rPr>
          <w:b/>
        </w:rPr>
        <w:t>A.16.</w:t>
      </w:r>
      <w:r w:rsidRPr="00D15C0B">
        <w:rPr>
          <w:b/>
        </w:rPr>
        <w:tab/>
        <w:t>Plans for Tabulation and Publication and Project Time Schedule</w:t>
      </w:r>
      <w:bookmarkEnd w:id="18"/>
    </w:p>
    <w:p w14:paraId="6326FB7D" w14:textId="77777777" w:rsidR="008437B1" w:rsidRPr="00D15C0B" w:rsidRDefault="008437B1" w:rsidP="00043695">
      <w:pPr>
        <w:pStyle w:val="E-mailSignature"/>
        <w:widowControl w:val="0"/>
        <w:adjustRightInd w:val="0"/>
        <w:snapToGrid w:val="0"/>
        <w:rPr>
          <w:b/>
        </w:rPr>
      </w:pPr>
    </w:p>
    <w:p w14:paraId="698ADBC6" w14:textId="77777777" w:rsidR="008437B1" w:rsidRPr="00D15C0B" w:rsidRDefault="008437B1" w:rsidP="00043695">
      <w:pPr>
        <w:widowControl w:val="0"/>
        <w:adjustRightInd w:val="0"/>
        <w:snapToGrid w:val="0"/>
        <w:rPr>
          <w:b/>
          <w:bCs/>
        </w:rPr>
      </w:pPr>
      <w:r w:rsidRPr="00D15C0B">
        <w:tab/>
      </w:r>
      <w:r w:rsidRPr="00D15C0B">
        <w:rPr>
          <w:b/>
          <w:bCs/>
        </w:rPr>
        <w:t>The schedule for study ac</w:t>
      </w:r>
      <w:r w:rsidR="009C0F80" w:rsidRPr="00D15C0B">
        <w:rPr>
          <w:b/>
          <w:bCs/>
        </w:rPr>
        <w:t>tivities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4"/>
        <w:gridCol w:w="4984"/>
      </w:tblGrid>
      <w:tr w:rsidR="008437B1" w:rsidRPr="00D15C0B" w14:paraId="1B8F7085" w14:textId="77777777" w:rsidTr="008E030C">
        <w:tc>
          <w:tcPr>
            <w:tcW w:w="3764" w:type="dxa"/>
          </w:tcPr>
          <w:p w14:paraId="0F1E3451" w14:textId="77777777" w:rsidR="008437B1" w:rsidRPr="00D15C0B" w:rsidRDefault="008437B1" w:rsidP="00043695">
            <w:pPr>
              <w:widowControl w:val="0"/>
              <w:adjustRightInd w:val="0"/>
              <w:snapToGrid w:val="0"/>
              <w:rPr>
                <w:b/>
              </w:rPr>
            </w:pPr>
            <w:r w:rsidRPr="00D15C0B">
              <w:rPr>
                <w:b/>
              </w:rPr>
              <w:t>Activity</w:t>
            </w:r>
          </w:p>
        </w:tc>
        <w:tc>
          <w:tcPr>
            <w:tcW w:w="4984" w:type="dxa"/>
          </w:tcPr>
          <w:p w14:paraId="14C9C4CC" w14:textId="77777777" w:rsidR="008437B1" w:rsidRPr="00D15C0B" w:rsidRDefault="008437B1" w:rsidP="00043695">
            <w:pPr>
              <w:widowControl w:val="0"/>
              <w:adjustRightInd w:val="0"/>
              <w:snapToGrid w:val="0"/>
              <w:rPr>
                <w:b/>
              </w:rPr>
            </w:pPr>
            <w:r w:rsidRPr="00D15C0B">
              <w:rPr>
                <w:b/>
              </w:rPr>
              <w:t>Time Schedule</w:t>
            </w:r>
          </w:p>
        </w:tc>
      </w:tr>
      <w:tr w:rsidR="008437B1" w:rsidRPr="00D15C0B" w14:paraId="2687E2FF" w14:textId="77777777" w:rsidTr="008E030C">
        <w:tc>
          <w:tcPr>
            <w:tcW w:w="3764" w:type="dxa"/>
          </w:tcPr>
          <w:p w14:paraId="68DC70CF" w14:textId="77777777" w:rsidR="008437B1" w:rsidRPr="00D15C0B" w:rsidRDefault="008437B1" w:rsidP="00043695">
            <w:pPr>
              <w:widowControl w:val="0"/>
              <w:adjustRightInd w:val="0"/>
              <w:snapToGrid w:val="0"/>
            </w:pPr>
            <w:r w:rsidRPr="00D15C0B">
              <w:rPr>
                <w:color w:val="000000"/>
              </w:rPr>
              <w:t>Initiate Study Recruitment Activities</w:t>
            </w:r>
          </w:p>
        </w:tc>
        <w:tc>
          <w:tcPr>
            <w:tcW w:w="4984" w:type="dxa"/>
          </w:tcPr>
          <w:p w14:paraId="6BE0B4E0" w14:textId="77777777" w:rsidR="008437B1" w:rsidRPr="00D15C0B" w:rsidRDefault="0046024C" w:rsidP="00043695">
            <w:pPr>
              <w:widowControl w:val="0"/>
              <w:adjustRightInd w:val="0"/>
              <w:snapToGrid w:val="0"/>
            </w:pPr>
            <w:r w:rsidRPr="00D15C0B">
              <w:t>Immediately following OMB approval</w:t>
            </w:r>
          </w:p>
        </w:tc>
      </w:tr>
      <w:tr w:rsidR="008437B1" w:rsidRPr="00D15C0B" w14:paraId="3D1E0538" w14:textId="77777777" w:rsidTr="008E030C">
        <w:tc>
          <w:tcPr>
            <w:tcW w:w="3764" w:type="dxa"/>
          </w:tcPr>
          <w:p w14:paraId="461C2096" w14:textId="77777777" w:rsidR="008437B1" w:rsidRPr="00D15C0B" w:rsidRDefault="008437B1" w:rsidP="00043695">
            <w:pPr>
              <w:widowControl w:val="0"/>
              <w:adjustRightInd w:val="0"/>
              <w:snapToGrid w:val="0"/>
              <w:rPr>
                <w:color w:val="000000"/>
              </w:rPr>
            </w:pPr>
            <w:r w:rsidRPr="00D15C0B">
              <w:rPr>
                <w:color w:val="000000"/>
              </w:rPr>
              <w:t xml:space="preserve">Participant Enrollment and </w:t>
            </w:r>
          </w:p>
          <w:p w14:paraId="401AED10" w14:textId="77777777" w:rsidR="008437B1" w:rsidRPr="00D15C0B" w:rsidRDefault="008437B1" w:rsidP="00043695">
            <w:pPr>
              <w:widowControl w:val="0"/>
              <w:adjustRightInd w:val="0"/>
              <w:snapToGrid w:val="0"/>
            </w:pPr>
            <w:r w:rsidRPr="00D15C0B">
              <w:rPr>
                <w:color w:val="000000"/>
              </w:rPr>
              <w:t>Data Collection (</w:t>
            </w:r>
            <w:r w:rsidR="0000118A" w:rsidRPr="00D15C0B">
              <w:rPr>
                <w:color w:val="000000"/>
              </w:rPr>
              <w:t>1</w:t>
            </w:r>
            <w:r w:rsidRPr="00D15C0B">
              <w:rPr>
                <w:color w:val="000000"/>
              </w:rPr>
              <w:t xml:space="preserve"> year)</w:t>
            </w:r>
            <w:r w:rsidR="009522A0" w:rsidRPr="00D15C0B">
              <w:rPr>
                <w:color w:val="000000"/>
              </w:rPr>
              <w:t>*</w:t>
            </w:r>
          </w:p>
        </w:tc>
        <w:tc>
          <w:tcPr>
            <w:tcW w:w="4984" w:type="dxa"/>
          </w:tcPr>
          <w:p w14:paraId="64055F18" w14:textId="77777777" w:rsidR="008437B1" w:rsidRPr="00D15C0B" w:rsidRDefault="00F4711F" w:rsidP="00043695">
            <w:pPr>
              <w:widowControl w:val="0"/>
              <w:adjustRightInd w:val="0"/>
              <w:snapToGrid w:val="0"/>
            </w:pPr>
            <w:r w:rsidRPr="00D15C0B">
              <w:t>Immediately after</w:t>
            </w:r>
            <w:r w:rsidR="0046024C" w:rsidRPr="00D15C0B">
              <w:t xml:space="preserve"> OMB approval.</w:t>
            </w:r>
          </w:p>
        </w:tc>
      </w:tr>
      <w:tr w:rsidR="008437B1" w:rsidRPr="00D15C0B" w14:paraId="39C539C6" w14:textId="77777777" w:rsidTr="008E030C">
        <w:tc>
          <w:tcPr>
            <w:tcW w:w="3764" w:type="dxa"/>
          </w:tcPr>
          <w:p w14:paraId="43BB0598" w14:textId="77777777" w:rsidR="008437B1" w:rsidRPr="00D15C0B" w:rsidRDefault="008437B1" w:rsidP="00043695">
            <w:pPr>
              <w:widowControl w:val="0"/>
              <w:adjustRightInd w:val="0"/>
              <w:snapToGrid w:val="0"/>
            </w:pPr>
            <w:r w:rsidRPr="00D15C0B">
              <w:rPr>
                <w:color w:val="000000"/>
              </w:rPr>
              <w:t>Data Management and Analysis</w:t>
            </w:r>
          </w:p>
        </w:tc>
        <w:tc>
          <w:tcPr>
            <w:tcW w:w="4984" w:type="dxa"/>
          </w:tcPr>
          <w:p w14:paraId="78D2604C" w14:textId="77777777" w:rsidR="008437B1" w:rsidRPr="00D15C0B" w:rsidRDefault="008437B1" w:rsidP="00043695">
            <w:pPr>
              <w:widowControl w:val="0"/>
              <w:adjustRightInd w:val="0"/>
              <w:snapToGrid w:val="0"/>
            </w:pPr>
            <w:r w:rsidRPr="00D15C0B">
              <w:rPr>
                <w:color w:val="000000"/>
              </w:rPr>
              <w:t xml:space="preserve">Ongoing through </w:t>
            </w:r>
            <w:r w:rsidR="0000118A" w:rsidRPr="00D15C0B">
              <w:rPr>
                <w:color w:val="000000"/>
              </w:rPr>
              <w:t>March 14,</w:t>
            </w:r>
            <w:r w:rsidRPr="00D15C0B">
              <w:rPr>
                <w:color w:val="000000"/>
              </w:rPr>
              <w:t xml:space="preserve"> 2017</w:t>
            </w:r>
          </w:p>
        </w:tc>
      </w:tr>
    </w:tbl>
    <w:p w14:paraId="5E4625A3" w14:textId="77777777" w:rsidR="008E030C" w:rsidRPr="00D15C0B" w:rsidRDefault="008E030C" w:rsidP="00043695">
      <w:pPr>
        <w:widowControl w:val="0"/>
        <w:adjustRightInd w:val="0"/>
        <w:snapToGrid w:val="0"/>
      </w:pPr>
    </w:p>
    <w:p w14:paraId="441ECDB5" w14:textId="77777777" w:rsidR="008437B1" w:rsidRPr="00D15C0B" w:rsidRDefault="008437B1" w:rsidP="00043695">
      <w:pPr>
        <w:widowControl w:val="0"/>
        <w:adjustRightInd w:val="0"/>
        <w:snapToGrid w:val="0"/>
      </w:pPr>
      <w:r w:rsidRPr="00D15C0B">
        <w:tab/>
        <w:t xml:space="preserve">Subject to NHLBI </w:t>
      </w:r>
      <w:r w:rsidR="004052A5" w:rsidRPr="00D15C0B">
        <w:t>review</w:t>
      </w:r>
      <w:r w:rsidRPr="00D15C0B">
        <w:t>, data will be disseminated to the scientific and blood banking community and others through peer-review journal publications, and presentations at government (</w:t>
      </w:r>
      <w:r w:rsidR="008C133A" w:rsidRPr="00D15C0B">
        <w:t xml:space="preserve">e.g. </w:t>
      </w:r>
      <w:r w:rsidRPr="00D15C0B">
        <w:t>FDA Blood Products Advisory Committee) and professional meetings (</w:t>
      </w:r>
      <w:r w:rsidR="008C133A" w:rsidRPr="00D15C0B">
        <w:t xml:space="preserve">e.g. </w:t>
      </w:r>
      <w:r w:rsidRPr="00D15C0B">
        <w:t>American Association of Blood Banks).</w:t>
      </w:r>
    </w:p>
    <w:p w14:paraId="6CC67D61" w14:textId="77777777" w:rsidR="005400EB" w:rsidRPr="00D15C0B" w:rsidRDefault="005400EB" w:rsidP="00043695">
      <w:pPr>
        <w:widowControl w:val="0"/>
        <w:adjustRightInd w:val="0"/>
        <w:snapToGrid w:val="0"/>
        <w:rPr>
          <w:b/>
        </w:rPr>
      </w:pPr>
      <w:bookmarkStart w:id="19" w:name="_Toc153351600"/>
    </w:p>
    <w:p w14:paraId="15C4F045" w14:textId="77777777" w:rsidR="008437B1" w:rsidRPr="00D15C0B" w:rsidRDefault="008437B1" w:rsidP="00043695">
      <w:pPr>
        <w:widowControl w:val="0"/>
        <w:adjustRightInd w:val="0"/>
        <w:snapToGrid w:val="0"/>
        <w:rPr>
          <w:b/>
        </w:rPr>
      </w:pPr>
      <w:r w:rsidRPr="00D15C0B">
        <w:rPr>
          <w:b/>
        </w:rPr>
        <w:t>A.17.</w:t>
      </w:r>
      <w:r w:rsidRPr="00D15C0B">
        <w:rPr>
          <w:b/>
        </w:rPr>
        <w:tab/>
        <w:t>Reason(s) Display of OMB Expiration Date is Inappropriate</w:t>
      </w:r>
      <w:bookmarkEnd w:id="19"/>
    </w:p>
    <w:p w14:paraId="3F424EA0" w14:textId="77777777" w:rsidR="00E43A95" w:rsidRPr="00D15C0B" w:rsidRDefault="00E43A95" w:rsidP="00043695">
      <w:pPr>
        <w:widowControl w:val="0"/>
        <w:adjustRightInd w:val="0"/>
        <w:snapToGrid w:val="0"/>
        <w:rPr>
          <w:b/>
        </w:rPr>
      </w:pPr>
    </w:p>
    <w:p w14:paraId="6DCF1582" w14:textId="77777777" w:rsidR="008437B1" w:rsidRPr="00D15C0B" w:rsidRDefault="008437B1" w:rsidP="00043695">
      <w:pPr>
        <w:widowControl w:val="0"/>
        <w:adjustRightInd w:val="0"/>
        <w:snapToGrid w:val="0"/>
      </w:pPr>
      <w:r w:rsidRPr="00D15C0B">
        <w:rPr>
          <w:b/>
        </w:rPr>
        <w:tab/>
      </w:r>
      <w:r w:rsidRPr="00D15C0B">
        <w:t>The OMB expiration date will be displayed in the upper-right hand corner of the questionnaire.</w:t>
      </w:r>
    </w:p>
    <w:p w14:paraId="3C78FDB5" w14:textId="77777777" w:rsidR="006A2EC8" w:rsidRPr="00D15C0B" w:rsidRDefault="006A2EC8" w:rsidP="00043695">
      <w:pPr>
        <w:pStyle w:val="E-mailSignature"/>
        <w:widowControl w:val="0"/>
        <w:adjustRightInd w:val="0"/>
        <w:snapToGrid w:val="0"/>
        <w:rPr>
          <w:b/>
        </w:rPr>
      </w:pPr>
      <w:bookmarkStart w:id="20" w:name="_Toc153351601"/>
    </w:p>
    <w:p w14:paraId="08A9EEBC" w14:textId="77777777" w:rsidR="008437B1" w:rsidRPr="00D15C0B" w:rsidRDefault="008437B1" w:rsidP="00043695">
      <w:pPr>
        <w:pStyle w:val="E-mailSignature"/>
        <w:widowControl w:val="0"/>
        <w:adjustRightInd w:val="0"/>
        <w:snapToGrid w:val="0"/>
        <w:rPr>
          <w:b/>
        </w:rPr>
      </w:pPr>
      <w:r w:rsidRPr="00D15C0B">
        <w:rPr>
          <w:b/>
        </w:rPr>
        <w:t>A.18.</w:t>
      </w:r>
      <w:r w:rsidRPr="00D15C0B">
        <w:rPr>
          <w:b/>
        </w:rPr>
        <w:tab/>
        <w:t>Exceptions to Certification for Paperwork Reduction Act Submissions</w:t>
      </w:r>
      <w:bookmarkEnd w:id="20"/>
    </w:p>
    <w:p w14:paraId="7A385DF0" w14:textId="77777777" w:rsidR="00E43A95" w:rsidRPr="00D15C0B" w:rsidRDefault="00E43A95" w:rsidP="00043695">
      <w:pPr>
        <w:widowControl w:val="0"/>
        <w:adjustRightInd w:val="0"/>
        <w:snapToGrid w:val="0"/>
      </w:pPr>
    </w:p>
    <w:p w14:paraId="5F78B081" w14:textId="52BFD5EE" w:rsidR="000245C4" w:rsidRPr="00D15C0B" w:rsidRDefault="008437B1" w:rsidP="00043695">
      <w:pPr>
        <w:rPr>
          <w:b/>
          <w:bCs/>
        </w:rPr>
      </w:pPr>
      <w:r w:rsidRPr="00D15C0B">
        <w:tab/>
        <w:t>There are no exceptions to the certification statement of OMB Form 83-I.</w:t>
      </w:r>
      <w:r w:rsidR="000245C4" w:rsidRPr="00D15C0B">
        <w:br w:type="page"/>
      </w:r>
    </w:p>
    <w:p w14:paraId="3418297E" w14:textId="77777777" w:rsidR="000245C4" w:rsidRPr="00D15C0B" w:rsidRDefault="000245C4" w:rsidP="00043695">
      <w:pPr>
        <w:pStyle w:val="Heading3"/>
        <w:keepNext w:val="0"/>
        <w:widowControl w:val="0"/>
        <w:adjustRightInd w:val="0"/>
        <w:snapToGrid w:val="0"/>
        <w:rPr>
          <w:rFonts w:ascii="Times New Roman" w:hAnsi="Times New Roman" w:cs="Times New Roman"/>
          <w:sz w:val="24"/>
          <w:szCs w:val="24"/>
        </w:rPr>
      </w:pPr>
      <w:r w:rsidRPr="00D15C0B">
        <w:rPr>
          <w:rFonts w:ascii="Times New Roman" w:hAnsi="Times New Roman" w:cs="Times New Roman"/>
          <w:sz w:val="24"/>
          <w:szCs w:val="24"/>
        </w:rPr>
        <w:lastRenderedPageBreak/>
        <w:t>REFERENCES</w:t>
      </w:r>
    </w:p>
    <w:p w14:paraId="1DFC9E71" w14:textId="77777777" w:rsidR="000245C4" w:rsidRPr="00D15C0B" w:rsidRDefault="000245C4" w:rsidP="00043695">
      <w:pPr>
        <w:widowControl w:val="0"/>
        <w:adjustRightInd w:val="0"/>
        <w:snapToGrid w:val="0"/>
      </w:pPr>
    </w:p>
    <w:p w14:paraId="7F571C74" w14:textId="77777777" w:rsidR="00582B0C" w:rsidRPr="00D15C0B" w:rsidRDefault="00582B0C" w:rsidP="00EB3867">
      <w:pPr>
        <w:pStyle w:val="ListParagraph"/>
        <w:numPr>
          <w:ilvl w:val="0"/>
          <w:numId w:val="24"/>
        </w:numPr>
      </w:pPr>
      <w:r w:rsidRPr="00D15C0B">
        <w:t xml:space="preserve">UNAIDS. 2008 Report on the global AIDS epidemic. Geneva: Joint United Nations </w:t>
      </w:r>
      <w:proofErr w:type="spellStart"/>
      <w:r w:rsidRPr="00D15C0B">
        <w:t>Programme</w:t>
      </w:r>
      <w:proofErr w:type="spellEnd"/>
      <w:r w:rsidRPr="00D15C0B">
        <w:t xml:space="preserve"> on HIV/AIDS. 2008 [updated October 2009].</w:t>
      </w:r>
    </w:p>
    <w:p w14:paraId="4BEB9250" w14:textId="77777777" w:rsidR="00582B0C" w:rsidRPr="00D15C0B" w:rsidRDefault="00582B0C" w:rsidP="00EB3867">
      <w:pPr>
        <w:pStyle w:val="ListParagraph"/>
        <w:numPr>
          <w:ilvl w:val="0"/>
          <w:numId w:val="24"/>
        </w:numPr>
      </w:pPr>
      <w:proofErr w:type="spellStart"/>
      <w:r w:rsidRPr="00D15C0B">
        <w:t>Sabino</w:t>
      </w:r>
      <w:proofErr w:type="spellEnd"/>
      <w:r w:rsidRPr="00D15C0B">
        <w:t xml:space="preserve"> EC, </w:t>
      </w:r>
      <w:proofErr w:type="spellStart"/>
      <w:r w:rsidRPr="00D15C0B">
        <w:t>Salles</w:t>
      </w:r>
      <w:proofErr w:type="spellEnd"/>
      <w:r w:rsidRPr="00D15C0B">
        <w:t xml:space="preserve"> NA, de Almeida-</w:t>
      </w:r>
      <w:proofErr w:type="spellStart"/>
      <w:r w:rsidRPr="00D15C0B">
        <w:t>Neto</w:t>
      </w:r>
      <w:proofErr w:type="spellEnd"/>
      <w:r w:rsidRPr="00D15C0B">
        <w:t xml:space="preserve"> C, </w:t>
      </w:r>
      <w:proofErr w:type="spellStart"/>
      <w:r w:rsidRPr="00D15C0B">
        <w:t>Barreto</w:t>
      </w:r>
      <w:proofErr w:type="spellEnd"/>
      <w:r w:rsidRPr="00D15C0B">
        <w:t xml:space="preserve"> AM, Basques F, Barros EA, et al. Performance of parallel screening of Brazilian blood donors with two human immunodeficiency virus immunoassays: implications for sequential immunoassay testing algorithms in other countries. Transfusion. 2011;51(1):175-83. </w:t>
      </w:r>
      <w:proofErr w:type="spellStart"/>
      <w:r w:rsidRPr="00D15C0B">
        <w:t>Epub</w:t>
      </w:r>
      <w:proofErr w:type="spellEnd"/>
      <w:r w:rsidRPr="00D15C0B">
        <w:t xml:space="preserve"> 2010/07/17.</w:t>
      </w:r>
    </w:p>
    <w:p w14:paraId="2758F0CA" w14:textId="77777777" w:rsidR="00582B0C" w:rsidRPr="00D15C0B" w:rsidRDefault="00582B0C" w:rsidP="00EB3867">
      <w:pPr>
        <w:pStyle w:val="ListParagraph"/>
        <w:numPr>
          <w:ilvl w:val="0"/>
          <w:numId w:val="24"/>
        </w:numPr>
      </w:pPr>
      <w:proofErr w:type="spellStart"/>
      <w:r w:rsidRPr="00D15C0B">
        <w:t>Holtgrave</w:t>
      </w:r>
      <w:proofErr w:type="spellEnd"/>
      <w:r w:rsidRPr="00D15C0B">
        <w:t xml:space="preserve"> DR. Strategies for preventing HIV transmission. JAMA. 2009;302(14):1530-1; author reply 1-2. </w:t>
      </w:r>
      <w:proofErr w:type="spellStart"/>
      <w:r w:rsidRPr="00D15C0B">
        <w:t>Epub</w:t>
      </w:r>
      <w:proofErr w:type="spellEnd"/>
      <w:r w:rsidRPr="00D15C0B">
        <w:t xml:space="preserve"> 2009/10/15.</w:t>
      </w:r>
    </w:p>
    <w:p w14:paraId="1A1A342D" w14:textId="77777777" w:rsidR="00582B0C" w:rsidRPr="00D15C0B" w:rsidRDefault="00582B0C" w:rsidP="00EB3867">
      <w:pPr>
        <w:pStyle w:val="ListParagraph"/>
        <w:numPr>
          <w:ilvl w:val="0"/>
          <w:numId w:val="24"/>
        </w:numPr>
        <w:rPr>
          <w:lang w:val="pt-BR"/>
        </w:rPr>
      </w:pPr>
      <w:r w:rsidRPr="00D15C0B">
        <w:rPr>
          <w:lang w:val="pt-BR"/>
        </w:rPr>
        <w:t xml:space="preserve">Franca Junior I, Calazans G, Zucchi EM. </w:t>
      </w:r>
      <w:r w:rsidRPr="00D15C0B">
        <w:t xml:space="preserve">[Changes in HIV testing in Brazil between 1998 and 2005]. </w:t>
      </w:r>
      <w:r w:rsidRPr="00D15C0B">
        <w:rPr>
          <w:lang w:val="pt-BR"/>
        </w:rPr>
        <w:t>Rev Saude Publica. 2008;42 Suppl 1:84-97. Mudancas no ambito da testagem anti-HIV no Brasil entre 1998 e 2005.</w:t>
      </w:r>
    </w:p>
    <w:p w14:paraId="7A505E10" w14:textId="77777777" w:rsidR="00582B0C" w:rsidRPr="00D15C0B" w:rsidRDefault="00582B0C" w:rsidP="00EB3867">
      <w:pPr>
        <w:pStyle w:val="ListParagraph"/>
        <w:numPr>
          <w:ilvl w:val="0"/>
          <w:numId w:val="24"/>
        </w:numPr>
      </w:pPr>
      <w:proofErr w:type="spellStart"/>
      <w:r w:rsidRPr="00D15C0B">
        <w:t>Granich</w:t>
      </w:r>
      <w:proofErr w:type="spellEnd"/>
      <w:r w:rsidRPr="00D15C0B">
        <w:t xml:space="preserve"> RM, </w:t>
      </w:r>
      <w:proofErr w:type="spellStart"/>
      <w:r w:rsidRPr="00D15C0B">
        <w:t>Gilks</w:t>
      </w:r>
      <w:proofErr w:type="spellEnd"/>
      <w:r w:rsidRPr="00D15C0B">
        <w:t xml:space="preserve"> CF, Dye C, De Cock KM, Williams BG. Universal voluntary HIV testing with immediate antiretroviral therapy as a strategy for elimination of HIV transmission: a mathematical model. Lancet. 2009;373(9657):48-57.</w:t>
      </w:r>
    </w:p>
    <w:p w14:paraId="78358318" w14:textId="77777777" w:rsidR="00582B0C" w:rsidRPr="00D15C0B" w:rsidRDefault="00582B0C" w:rsidP="00EB3867">
      <w:pPr>
        <w:pStyle w:val="ListParagraph"/>
        <w:numPr>
          <w:ilvl w:val="0"/>
          <w:numId w:val="24"/>
        </w:numPr>
      </w:pPr>
      <w:r w:rsidRPr="00D15C0B">
        <w:t xml:space="preserve">Branson BM, </w:t>
      </w:r>
      <w:proofErr w:type="spellStart"/>
      <w:r w:rsidRPr="00D15C0B">
        <w:t>Handsfield</w:t>
      </w:r>
      <w:proofErr w:type="spellEnd"/>
      <w:r w:rsidRPr="00D15C0B">
        <w:t xml:space="preserve"> HH, Lampe MA, Janssen RS, Taylor AW, </w:t>
      </w:r>
      <w:proofErr w:type="spellStart"/>
      <w:r w:rsidRPr="00D15C0B">
        <w:t>Lyss</w:t>
      </w:r>
      <w:proofErr w:type="spellEnd"/>
      <w:r w:rsidRPr="00D15C0B">
        <w:t xml:space="preserve"> SB, et al. Revised recommendations for HIV testing of adults, adolescents, and pregnant women in health-care settings. MMWR </w:t>
      </w:r>
      <w:proofErr w:type="spellStart"/>
      <w:r w:rsidRPr="00D15C0B">
        <w:t>Recomm</w:t>
      </w:r>
      <w:proofErr w:type="spellEnd"/>
      <w:r w:rsidRPr="00D15C0B">
        <w:t xml:space="preserve"> Rep. 2006;55(RR-14):1-17; quiz CE1-4.</w:t>
      </w:r>
    </w:p>
    <w:p w14:paraId="37F33684" w14:textId="77777777" w:rsidR="00582B0C" w:rsidRPr="00D15C0B" w:rsidRDefault="00582B0C" w:rsidP="00EB3867">
      <w:pPr>
        <w:pStyle w:val="ListParagraph"/>
        <w:numPr>
          <w:ilvl w:val="0"/>
          <w:numId w:val="24"/>
        </w:numPr>
      </w:pPr>
      <w:r w:rsidRPr="00D15C0B">
        <w:t xml:space="preserve">Coates TJ, Richter L, Caceres C. </w:t>
      </w:r>
      <w:proofErr w:type="spellStart"/>
      <w:r w:rsidRPr="00D15C0B">
        <w:t>Behavioural</w:t>
      </w:r>
      <w:proofErr w:type="spellEnd"/>
      <w:r w:rsidRPr="00D15C0B">
        <w:t xml:space="preserve"> strategies to reduce HIV transmission: how to make them work better. Lancet. 2008;372(9639):669-84.</w:t>
      </w:r>
    </w:p>
    <w:p w14:paraId="087F371B" w14:textId="77777777" w:rsidR="00582B0C" w:rsidRPr="00D15C0B" w:rsidRDefault="00582B0C" w:rsidP="00EB3867">
      <w:pPr>
        <w:pStyle w:val="ListParagraph"/>
        <w:numPr>
          <w:ilvl w:val="0"/>
          <w:numId w:val="24"/>
        </w:numPr>
      </w:pPr>
      <w:proofErr w:type="spellStart"/>
      <w:r w:rsidRPr="00D15C0B">
        <w:t>Cremin</w:t>
      </w:r>
      <w:proofErr w:type="spellEnd"/>
      <w:r w:rsidRPr="00D15C0B">
        <w:t xml:space="preserve"> I, </w:t>
      </w:r>
      <w:proofErr w:type="spellStart"/>
      <w:r w:rsidRPr="00D15C0B">
        <w:t>Nyamukapa</w:t>
      </w:r>
      <w:proofErr w:type="spellEnd"/>
      <w:r w:rsidRPr="00D15C0B">
        <w:t xml:space="preserve"> C, </w:t>
      </w:r>
      <w:proofErr w:type="spellStart"/>
      <w:r w:rsidRPr="00D15C0B">
        <w:t>Sherr</w:t>
      </w:r>
      <w:proofErr w:type="spellEnd"/>
      <w:r w:rsidRPr="00D15C0B">
        <w:t xml:space="preserve"> L, </w:t>
      </w:r>
      <w:proofErr w:type="spellStart"/>
      <w:r w:rsidRPr="00D15C0B">
        <w:t>Hallett</w:t>
      </w:r>
      <w:proofErr w:type="spellEnd"/>
      <w:r w:rsidRPr="00D15C0B">
        <w:t xml:space="preserve"> TB, </w:t>
      </w:r>
      <w:proofErr w:type="spellStart"/>
      <w:r w:rsidRPr="00D15C0B">
        <w:t>Chawira</w:t>
      </w:r>
      <w:proofErr w:type="spellEnd"/>
      <w:r w:rsidRPr="00D15C0B">
        <w:t xml:space="preserve"> G, </w:t>
      </w:r>
      <w:proofErr w:type="spellStart"/>
      <w:r w:rsidRPr="00D15C0B">
        <w:t>Cauchemez</w:t>
      </w:r>
      <w:proofErr w:type="spellEnd"/>
      <w:r w:rsidRPr="00D15C0B">
        <w:t xml:space="preserve"> S, et al. Patterns of self-reported </w:t>
      </w:r>
      <w:proofErr w:type="spellStart"/>
      <w:r w:rsidRPr="00D15C0B">
        <w:t>behaviour</w:t>
      </w:r>
      <w:proofErr w:type="spellEnd"/>
      <w:r w:rsidRPr="00D15C0B">
        <w:t xml:space="preserve"> change associated with receiving voluntary counselling and testing in a longitudinal study from </w:t>
      </w:r>
      <w:proofErr w:type="spellStart"/>
      <w:r w:rsidRPr="00D15C0B">
        <w:t>Manicaland</w:t>
      </w:r>
      <w:proofErr w:type="spellEnd"/>
      <w:r w:rsidRPr="00D15C0B">
        <w:t xml:space="preserve">, Zimbabwe. AIDS and behavior. 2010;14(3):708-15. </w:t>
      </w:r>
      <w:proofErr w:type="spellStart"/>
      <w:r w:rsidRPr="00D15C0B">
        <w:t>Epub</w:t>
      </w:r>
      <w:proofErr w:type="spellEnd"/>
      <w:r w:rsidRPr="00D15C0B">
        <w:t xml:space="preserve"> 2009/07/23.</w:t>
      </w:r>
    </w:p>
    <w:p w14:paraId="1371AF6C" w14:textId="77777777" w:rsidR="00582B0C" w:rsidRPr="00D15C0B" w:rsidRDefault="00582B0C" w:rsidP="00EB3867">
      <w:pPr>
        <w:pStyle w:val="ListParagraph"/>
        <w:numPr>
          <w:ilvl w:val="0"/>
          <w:numId w:val="24"/>
        </w:numPr>
      </w:pPr>
      <w:r w:rsidRPr="00D15C0B">
        <w:t xml:space="preserve">Arthur G, </w:t>
      </w:r>
      <w:proofErr w:type="spellStart"/>
      <w:r w:rsidRPr="00D15C0B">
        <w:t>Nduba</w:t>
      </w:r>
      <w:proofErr w:type="spellEnd"/>
      <w:r w:rsidRPr="00D15C0B">
        <w:t xml:space="preserve"> V, Forsythe S, </w:t>
      </w:r>
      <w:proofErr w:type="spellStart"/>
      <w:r w:rsidRPr="00D15C0B">
        <w:t>Mutemi</w:t>
      </w:r>
      <w:proofErr w:type="spellEnd"/>
      <w:r w:rsidRPr="00D15C0B">
        <w:t xml:space="preserve"> R, </w:t>
      </w:r>
      <w:proofErr w:type="spellStart"/>
      <w:r w:rsidRPr="00D15C0B">
        <w:t>Odhiambo</w:t>
      </w:r>
      <w:proofErr w:type="spellEnd"/>
      <w:r w:rsidRPr="00D15C0B">
        <w:t xml:space="preserve"> J, </w:t>
      </w:r>
      <w:proofErr w:type="spellStart"/>
      <w:r w:rsidRPr="00D15C0B">
        <w:t>Gilks</w:t>
      </w:r>
      <w:proofErr w:type="spellEnd"/>
      <w:r w:rsidRPr="00D15C0B">
        <w:t xml:space="preserve"> C. </w:t>
      </w:r>
      <w:proofErr w:type="spellStart"/>
      <w:r w:rsidRPr="00D15C0B">
        <w:t>Behaviour</w:t>
      </w:r>
      <w:proofErr w:type="spellEnd"/>
      <w:r w:rsidRPr="00D15C0B">
        <w:t xml:space="preserve"> change in clients of health </w:t>
      </w:r>
      <w:proofErr w:type="spellStart"/>
      <w:r w:rsidRPr="00D15C0B">
        <w:t>centre</w:t>
      </w:r>
      <w:proofErr w:type="spellEnd"/>
      <w:r w:rsidRPr="00D15C0B">
        <w:t xml:space="preserve">-based voluntary HIV counselling and testing services in Kenya. Sexually transmitted infections. 2007;83(7):541-6. </w:t>
      </w:r>
      <w:proofErr w:type="spellStart"/>
      <w:r w:rsidRPr="00D15C0B">
        <w:t>Epub</w:t>
      </w:r>
      <w:proofErr w:type="spellEnd"/>
      <w:r w:rsidRPr="00D15C0B">
        <w:t xml:space="preserve"> 2007/11/10.</w:t>
      </w:r>
    </w:p>
    <w:p w14:paraId="0B6386F2" w14:textId="77777777" w:rsidR="00582B0C" w:rsidRPr="00D15C0B" w:rsidRDefault="00582B0C" w:rsidP="00EB3867">
      <w:pPr>
        <w:pStyle w:val="ListParagraph"/>
        <w:numPr>
          <w:ilvl w:val="0"/>
          <w:numId w:val="24"/>
        </w:numPr>
      </w:pPr>
      <w:proofErr w:type="spellStart"/>
      <w:r w:rsidRPr="00D15C0B">
        <w:t>Laperche</w:t>
      </w:r>
      <w:proofErr w:type="spellEnd"/>
      <w:r w:rsidRPr="00D15C0B">
        <w:t xml:space="preserve"> S. Antigen-antibody combination assays for blood donor screening: weighing the advantages and costs. Transfusion. 2008;48(4):576-9.</w:t>
      </w:r>
    </w:p>
    <w:p w14:paraId="043CBB0C" w14:textId="77777777" w:rsidR="00B534C1" w:rsidRPr="00D15C0B" w:rsidRDefault="00B534C1" w:rsidP="00B534C1">
      <w:pPr>
        <w:pStyle w:val="ListParagraph"/>
        <w:numPr>
          <w:ilvl w:val="0"/>
          <w:numId w:val="24"/>
        </w:numPr>
      </w:pPr>
      <w:proofErr w:type="spellStart"/>
      <w:r w:rsidRPr="00D15C0B">
        <w:t>Scuracchio</w:t>
      </w:r>
      <w:proofErr w:type="spellEnd"/>
      <w:r w:rsidRPr="00D15C0B">
        <w:t xml:space="preserve"> PS1, </w:t>
      </w:r>
      <w:proofErr w:type="spellStart"/>
      <w:r w:rsidRPr="00D15C0B">
        <w:t>Poli</w:t>
      </w:r>
      <w:proofErr w:type="spellEnd"/>
      <w:r w:rsidRPr="00D15C0B">
        <w:t xml:space="preserve"> MC, </w:t>
      </w:r>
      <w:proofErr w:type="spellStart"/>
      <w:r w:rsidRPr="00D15C0B">
        <w:t>Lemos</w:t>
      </w:r>
      <w:proofErr w:type="spellEnd"/>
      <w:r w:rsidRPr="00D15C0B">
        <w:t xml:space="preserve"> MM, Oliveira </w:t>
      </w:r>
      <w:proofErr w:type="spellStart"/>
      <w:r w:rsidRPr="00D15C0B">
        <w:t>Filho</w:t>
      </w:r>
      <w:proofErr w:type="spellEnd"/>
      <w:r w:rsidRPr="00D15C0B">
        <w:t xml:space="preserve"> AG, </w:t>
      </w:r>
      <w:proofErr w:type="spellStart"/>
      <w:r w:rsidRPr="00D15C0B">
        <w:t>Salles</w:t>
      </w:r>
      <w:proofErr w:type="spellEnd"/>
      <w:r w:rsidRPr="00D15C0B">
        <w:t xml:space="preserve"> NA, </w:t>
      </w:r>
      <w:proofErr w:type="spellStart"/>
      <w:r w:rsidRPr="00D15C0B">
        <w:t>Chamone</w:t>
      </w:r>
      <w:proofErr w:type="spellEnd"/>
      <w:r w:rsidRPr="00D15C0B">
        <w:t xml:space="preserve"> DA, </w:t>
      </w:r>
      <w:proofErr w:type="spellStart"/>
      <w:r w:rsidRPr="00D15C0B">
        <w:t>Magri</w:t>
      </w:r>
      <w:proofErr w:type="spellEnd"/>
      <w:r w:rsidRPr="00D15C0B">
        <w:t xml:space="preserve"> M, </w:t>
      </w:r>
      <w:proofErr w:type="spellStart"/>
      <w:r w:rsidRPr="00D15C0B">
        <w:t>Cavalcante</w:t>
      </w:r>
      <w:proofErr w:type="spellEnd"/>
      <w:r w:rsidRPr="00D15C0B">
        <w:t xml:space="preserve"> NJ, </w:t>
      </w:r>
      <w:proofErr w:type="spellStart"/>
      <w:r w:rsidRPr="00D15C0B">
        <w:t>Collela</w:t>
      </w:r>
      <w:proofErr w:type="spellEnd"/>
      <w:r w:rsidRPr="00D15C0B">
        <w:t xml:space="preserve"> R. Detection of HIV-1 infection in blood donors during the immunological window period using the nucleic acid-amplification technology. </w:t>
      </w:r>
      <w:proofErr w:type="spellStart"/>
      <w:r w:rsidRPr="00D15C0B">
        <w:t>Transfus</w:t>
      </w:r>
      <w:proofErr w:type="spellEnd"/>
      <w:r w:rsidRPr="00D15C0B">
        <w:t xml:space="preserve"> Med. 2007 Jun;17(3):200-4.</w:t>
      </w:r>
    </w:p>
    <w:p w14:paraId="28E079A0" w14:textId="77777777" w:rsidR="00B534C1" w:rsidRPr="00D15C0B" w:rsidRDefault="00B534C1" w:rsidP="00697FD4">
      <w:pPr>
        <w:pStyle w:val="ListParagraph"/>
        <w:numPr>
          <w:ilvl w:val="0"/>
          <w:numId w:val="24"/>
        </w:numPr>
      </w:pPr>
      <w:r w:rsidRPr="00D15C0B">
        <w:rPr>
          <w:lang w:val="pt-BR"/>
        </w:rPr>
        <w:t xml:space="preserve">Salles NA1, Levi JE, Barreto CC, Sampaio LP, Romano CM, Sabino EC, Júnior AM. </w:t>
      </w:r>
      <w:r w:rsidRPr="00D15C0B">
        <w:t>Human immunodeficiency virus transfusion transmission despite nucleic acid testing. Transfusion. 2013 Oct</w:t>
      </w:r>
      <w:r w:rsidR="00697FD4" w:rsidRPr="00D15C0B">
        <w:t>:</w:t>
      </w:r>
      <w:r w:rsidRPr="00D15C0B">
        <w:t xml:space="preserve">53(10 Pt 2):2593-5. </w:t>
      </w:r>
      <w:proofErr w:type="spellStart"/>
      <w:r w:rsidRPr="00D15C0B">
        <w:t>doi</w:t>
      </w:r>
      <w:proofErr w:type="spellEnd"/>
      <w:r w:rsidRPr="00D15C0B">
        <w:t>: 10.1111/trf.12316</w:t>
      </w:r>
    </w:p>
    <w:p w14:paraId="46A6C6CB" w14:textId="77777777" w:rsidR="00582B0C" w:rsidRPr="00D15C0B" w:rsidRDefault="00582B0C" w:rsidP="00EB3867">
      <w:pPr>
        <w:pStyle w:val="ListParagraph"/>
        <w:numPr>
          <w:ilvl w:val="0"/>
          <w:numId w:val="24"/>
        </w:numPr>
      </w:pPr>
      <w:r w:rsidRPr="00D15C0B">
        <w:rPr>
          <w:lang w:val="pt-BR"/>
        </w:rPr>
        <w:t xml:space="preserve">Sabino EC, Goncalez TT, Carneiro-Proietti AB, Sarr M, Ferreira JE, Sampaio DA, et al. </w:t>
      </w:r>
      <w:r w:rsidRPr="00D15C0B">
        <w:t>Human immunodeficiency virus prevalence, incidence, and residual risk of transmission by transfusions at Retrovirus Epidemiology Donor Study-II blood centers in Brazil. Transfusion. 2012;52(4):870-9.</w:t>
      </w:r>
    </w:p>
    <w:p w14:paraId="07252128" w14:textId="77777777" w:rsidR="00582B0C" w:rsidRPr="00D15C0B" w:rsidRDefault="00582B0C" w:rsidP="00EB3867">
      <w:pPr>
        <w:pStyle w:val="ListParagraph"/>
        <w:numPr>
          <w:ilvl w:val="0"/>
          <w:numId w:val="24"/>
        </w:numPr>
      </w:pPr>
      <w:r w:rsidRPr="00D15C0B">
        <w:t xml:space="preserve">Busch MP, Glynn SA, </w:t>
      </w:r>
      <w:proofErr w:type="spellStart"/>
      <w:r w:rsidRPr="00D15C0B">
        <w:t>Stramer</w:t>
      </w:r>
      <w:proofErr w:type="spellEnd"/>
      <w:r w:rsidRPr="00D15C0B">
        <w:t xml:space="preserve"> SL, Strong DM, </w:t>
      </w:r>
      <w:proofErr w:type="spellStart"/>
      <w:r w:rsidRPr="00D15C0B">
        <w:t>Caglioti</w:t>
      </w:r>
      <w:proofErr w:type="spellEnd"/>
      <w:r w:rsidRPr="00D15C0B">
        <w:t xml:space="preserve"> S, Wright DJ, et al. A new strategy for estimating risks of transfusion-transmitted viral infections based on rates of detection of recently infected donors. Transfusion. 2005;45(2):254-64.</w:t>
      </w:r>
    </w:p>
    <w:p w14:paraId="3675B2FB" w14:textId="77777777" w:rsidR="00582B0C" w:rsidRPr="00D15C0B" w:rsidRDefault="00582B0C" w:rsidP="00EB3867">
      <w:pPr>
        <w:pStyle w:val="ListParagraph"/>
        <w:numPr>
          <w:ilvl w:val="0"/>
          <w:numId w:val="24"/>
        </w:numPr>
      </w:pPr>
      <w:proofErr w:type="spellStart"/>
      <w:r w:rsidRPr="00D15C0B">
        <w:lastRenderedPageBreak/>
        <w:t>Stramer</w:t>
      </w:r>
      <w:proofErr w:type="spellEnd"/>
      <w:r w:rsidRPr="00D15C0B">
        <w:t xml:space="preserve"> SL, Glynn SA, Kleinman SH, Strong DM, </w:t>
      </w:r>
      <w:proofErr w:type="spellStart"/>
      <w:r w:rsidRPr="00D15C0B">
        <w:t>Caglioti</w:t>
      </w:r>
      <w:proofErr w:type="spellEnd"/>
      <w:r w:rsidRPr="00D15C0B">
        <w:t xml:space="preserve"> S, Wright DJ, et al. Detection of HIV-1 and HCV infections among antibody-negative blood donors by nucleic acid-amplification testing. N </w:t>
      </w:r>
      <w:proofErr w:type="spellStart"/>
      <w:r w:rsidRPr="00D15C0B">
        <w:t>Engl</w:t>
      </w:r>
      <w:proofErr w:type="spellEnd"/>
      <w:r w:rsidRPr="00D15C0B">
        <w:t xml:space="preserve"> J Med. 2004;351(8):760-8.</w:t>
      </w:r>
    </w:p>
    <w:p w14:paraId="5C600A8B" w14:textId="5A1AE061" w:rsidR="008437B1" w:rsidRPr="00D15C0B" w:rsidRDefault="00582B0C" w:rsidP="00EB3867">
      <w:pPr>
        <w:pStyle w:val="ListParagraph"/>
        <w:numPr>
          <w:ilvl w:val="0"/>
          <w:numId w:val="24"/>
        </w:numPr>
      </w:pPr>
      <w:proofErr w:type="spellStart"/>
      <w:r w:rsidRPr="00D15C0B">
        <w:t>Barreto</w:t>
      </w:r>
      <w:proofErr w:type="spellEnd"/>
      <w:r w:rsidRPr="00D15C0B">
        <w:t xml:space="preserve"> CC, </w:t>
      </w:r>
      <w:proofErr w:type="spellStart"/>
      <w:r w:rsidRPr="00D15C0B">
        <w:t>Sabino</w:t>
      </w:r>
      <w:proofErr w:type="spellEnd"/>
      <w:r w:rsidRPr="00D15C0B">
        <w:t xml:space="preserve"> EC, </w:t>
      </w:r>
      <w:proofErr w:type="spellStart"/>
      <w:r w:rsidRPr="00D15C0B">
        <w:t>Goncalez</w:t>
      </w:r>
      <w:proofErr w:type="spellEnd"/>
      <w:r w:rsidRPr="00D15C0B">
        <w:t xml:space="preserve"> TT, </w:t>
      </w:r>
      <w:proofErr w:type="spellStart"/>
      <w:r w:rsidRPr="00D15C0B">
        <w:t>Laycock</w:t>
      </w:r>
      <w:proofErr w:type="spellEnd"/>
      <w:r w:rsidRPr="00D15C0B">
        <w:t xml:space="preserve"> ME, </w:t>
      </w:r>
      <w:proofErr w:type="spellStart"/>
      <w:r w:rsidRPr="00D15C0B">
        <w:t>Pappalardo</w:t>
      </w:r>
      <w:proofErr w:type="spellEnd"/>
      <w:r w:rsidRPr="00D15C0B">
        <w:t xml:space="preserve"> BL, </w:t>
      </w:r>
      <w:proofErr w:type="spellStart"/>
      <w:r w:rsidRPr="00D15C0B">
        <w:t>Salles</w:t>
      </w:r>
      <w:proofErr w:type="spellEnd"/>
      <w:r w:rsidRPr="00D15C0B">
        <w:t xml:space="preserve"> NA, et al. Prevalence, incidence, and residual risk of human immunodeficiency virus among community and replacement first-time blood donors in </w:t>
      </w:r>
      <w:r w:rsidR="00E86DA3" w:rsidRPr="00D15C0B">
        <w:t>São</w:t>
      </w:r>
      <w:r w:rsidRPr="00D15C0B">
        <w:t xml:space="preserve"> Paulo, Brazil. Transfusion. 2005;45(11):1709-14. </w:t>
      </w:r>
      <w:proofErr w:type="spellStart"/>
      <w:r w:rsidRPr="00D15C0B">
        <w:t>Epub</w:t>
      </w:r>
      <w:proofErr w:type="spellEnd"/>
      <w:r w:rsidRPr="00D15C0B">
        <w:t xml:space="preserve"> 2005/11/08.</w:t>
      </w:r>
    </w:p>
    <w:p w14:paraId="6B815BA6" w14:textId="77777777" w:rsidR="00386525" w:rsidRPr="00D15C0B" w:rsidRDefault="00386525" w:rsidP="00386525">
      <w:pPr>
        <w:pStyle w:val="ListParagraph"/>
        <w:numPr>
          <w:ilvl w:val="0"/>
          <w:numId w:val="24"/>
        </w:numPr>
      </w:pPr>
      <w:r w:rsidRPr="00D15C0B">
        <w:t>de Almeida-</w:t>
      </w:r>
      <w:proofErr w:type="spellStart"/>
      <w:r w:rsidRPr="00D15C0B">
        <w:t>Neto</w:t>
      </w:r>
      <w:proofErr w:type="spellEnd"/>
      <w:r w:rsidRPr="00D15C0B">
        <w:t xml:space="preserve"> C, </w:t>
      </w:r>
      <w:proofErr w:type="spellStart"/>
      <w:r w:rsidRPr="00D15C0B">
        <w:t>Goncalez</w:t>
      </w:r>
      <w:proofErr w:type="spellEnd"/>
      <w:r w:rsidRPr="00D15C0B">
        <w:t xml:space="preserve"> T, Birch RJ, de </w:t>
      </w:r>
      <w:proofErr w:type="spellStart"/>
      <w:r w:rsidRPr="00D15C0B">
        <w:t>Carvahlo</w:t>
      </w:r>
      <w:proofErr w:type="spellEnd"/>
      <w:r w:rsidRPr="00D15C0B">
        <w:t xml:space="preserve"> SMF, </w:t>
      </w:r>
      <w:proofErr w:type="spellStart"/>
      <w:r w:rsidRPr="00D15C0B">
        <w:t>Capuani</w:t>
      </w:r>
      <w:proofErr w:type="spellEnd"/>
      <w:r w:rsidRPr="00D15C0B">
        <w:t xml:space="preserve"> L, </w:t>
      </w:r>
      <w:proofErr w:type="spellStart"/>
      <w:r w:rsidRPr="00D15C0B">
        <w:t>Leao</w:t>
      </w:r>
      <w:proofErr w:type="spellEnd"/>
      <w:r w:rsidRPr="00D15C0B">
        <w:t xml:space="preserve"> S, et al. Risk factors for Human Immunodeficiency Virus infection among Brazilian blood donors; a multicenter case-control study using audio computer-assisted structured interviews. </w:t>
      </w:r>
      <w:proofErr w:type="spellStart"/>
      <w:r w:rsidRPr="00D15C0B">
        <w:t>Vox</w:t>
      </w:r>
      <w:proofErr w:type="spellEnd"/>
      <w:r w:rsidRPr="00D15C0B">
        <w:t xml:space="preserve"> Sang. 2013 Aug;105(2):91-9</w:t>
      </w:r>
      <w:r w:rsidR="009E1221" w:rsidRPr="00D15C0B">
        <w:t>.</w:t>
      </w:r>
    </w:p>
    <w:p w14:paraId="5CA5D162" w14:textId="77777777" w:rsidR="00386525" w:rsidRPr="00D15C0B" w:rsidRDefault="00386525" w:rsidP="00386525">
      <w:pPr>
        <w:pStyle w:val="ListParagraph"/>
        <w:numPr>
          <w:ilvl w:val="0"/>
          <w:numId w:val="24"/>
        </w:numPr>
      </w:pPr>
      <w:proofErr w:type="spellStart"/>
      <w:r w:rsidRPr="00D15C0B">
        <w:t>Delwart</w:t>
      </w:r>
      <w:proofErr w:type="spellEnd"/>
      <w:r w:rsidRPr="00D15C0B">
        <w:t xml:space="preserve"> EL, </w:t>
      </w:r>
      <w:proofErr w:type="spellStart"/>
      <w:r w:rsidRPr="00D15C0B">
        <w:t>Kalmin</w:t>
      </w:r>
      <w:proofErr w:type="spellEnd"/>
      <w:r w:rsidRPr="00D15C0B">
        <w:t xml:space="preserve"> ND, Jones TS, Ladd DJ, Foley B, Tobler LH, et al. First report of human immunodeficiency virus transmission via an RNA-screened blood donation. </w:t>
      </w:r>
      <w:proofErr w:type="spellStart"/>
      <w:r w:rsidRPr="00D15C0B">
        <w:t>Vox</w:t>
      </w:r>
      <w:proofErr w:type="spellEnd"/>
      <w:r w:rsidRPr="00D15C0B">
        <w:t xml:space="preserve"> Sang. 2004;86(3):171-7.</w:t>
      </w:r>
    </w:p>
    <w:p w14:paraId="605E93F6" w14:textId="77777777" w:rsidR="008F3C82" w:rsidRPr="00D15C0B" w:rsidRDefault="004C7E78" w:rsidP="008F3C82">
      <w:pPr>
        <w:pStyle w:val="ListParagraph"/>
        <w:numPr>
          <w:ilvl w:val="0"/>
          <w:numId w:val="24"/>
        </w:numPr>
      </w:pPr>
      <w:proofErr w:type="spellStart"/>
      <w:r w:rsidRPr="00D15C0B">
        <w:t>Venkatakrishna</w:t>
      </w:r>
      <w:proofErr w:type="spellEnd"/>
      <w:r w:rsidRPr="00D15C0B">
        <w:t xml:space="preserve"> </w:t>
      </w:r>
      <w:proofErr w:type="spellStart"/>
      <w:r w:rsidRPr="00D15C0B">
        <w:t>Shyamala.Factors</w:t>
      </w:r>
      <w:proofErr w:type="spellEnd"/>
      <w:r w:rsidRPr="00D15C0B">
        <w:t xml:space="preserve"> in enhancing blood safety by nucleic acid technology testing for human immunodeficiency virus, hepatitis C virus and hepatitis B virus. Asian Journal of Transfusion Science 01/2014; 8(1):13-18. DOI: 10.4103/0973-6247.126682</w:t>
      </w:r>
      <w:r w:rsidR="008F3C82" w:rsidRPr="00D15C0B">
        <w:t xml:space="preserve">Xia XJ1, Liu BC, Su JS, Pei H, Chen H, Li L, Liu YF. Preoperative CD4 count or CD4/CD8 ratio as a useful indicator for postoperative sepsis in HIV-infected patients undergoing abdominal operations. J </w:t>
      </w:r>
      <w:proofErr w:type="spellStart"/>
      <w:r w:rsidR="008F3C82" w:rsidRPr="00D15C0B">
        <w:t>Surg</w:t>
      </w:r>
      <w:proofErr w:type="spellEnd"/>
      <w:r w:rsidR="008F3C82" w:rsidRPr="00D15C0B">
        <w:t xml:space="preserve"> Res. 2012 May 1:174(1):e25-30. </w:t>
      </w:r>
      <w:proofErr w:type="spellStart"/>
      <w:r w:rsidR="008F3C82" w:rsidRPr="00D15C0B">
        <w:t>doi</w:t>
      </w:r>
      <w:proofErr w:type="spellEnd"/>
      <w:r w:rsidR="008F3C82" w:rsidRPr="00D15C0B">
        <w:t xml:space="preserve">: 10.1016/j.jss.2011.10.006. </w:t>
      </w:r>
      <w:proofErr w:type="spellStart"/>
      <w:r w:rsidR="008F3C82" w:rsidRPr="00D15C0B">
        <w:t>Epub</w:t>
      </w:r>
      <w:proofErr w:type="spellEnd"/>
      <w:r w:rsidR="008F3C82" w:rsidRPr="00D15C0B">
        <w:t xml:space="preserve"> 2011 Oct 25. </w:t>
      </w:r>
    </w:p>
    <w:p w14:paraId="275F2BC5" w14:textId="77777777" w:rsidR="004C7E78" w:rsidRPr="00D15C0B" w:rsidRDefault="004C7E78" w:rsidP="00AE2127">
      <w:pPr>
        <w:pStyle w:val="ListParagraph"/>
        <w:numPr>
          <w:ilvl w:val="0"/>
          <w:numId w:val="24"/>
        </w:numPr>
      </w:pPr>
      <w:r w:rsidRPr="00D15C0B">
        <w:rPr>
          <w:lang w:val="pt-BR"/>
        </w:rPr>
        <w:t xml:space="preserve">Xia XJ1, Liu BC, Su JS, Pei H, Chen H, Li L, Liu YF. </w:t>
      </w:r>
      <w:r w:rsidRPr="00D15C0B">
        <w:t xml:space="preserve">Preoperative CD4 count or CD4/CD8 ratio as a useful indicator for postoperative sepsis in HIV-infected patients undergoing abdominal </w:t>
      </w:r>
      <w:proofErr w:type="spellStart"/>
      <w:r w:rsidRPr="00D15C0B">
        <w:t>operations.J</w:t>
      </w:r>
      <w:proofErr w:type="spellEnd"/>
      <w:r w:rsidRPr="00D15C0B">
        <w:t xml:space="preserve"> </w:t>
      </w:r>
      <w:proofErr w:type="spellStart"/>
      <w:r w:rsidRPr="00D15C0B">
        <w:t>Surg</w:t>
      </w:r>
      <w:proofErr w:type="spellEnd"/>
      <w:r w:rsidRPr="00D15C0B">
        <w:t xml:space="preserve"> Res. 2012 May 1:174(1):e25-30. </w:t>
      </w:r>
      <w:proofErr w:type="spellStart"/>
      <w:r w:rsidRPr="00D15C0B">
        <w:t>doi</w:t>
      </w:r>
      <w:proofErr w:type="spellEnd"/>
      <w:r w:rsidRPr="00D15C0B">
        <w:t xml:space="preserve">: 10.1016/j.jss.2011.10.006. </w:t>
      </w:r>
      <w:proofErr w:type="spellStart"/>
      <w:r w:rsidRPr="00D15C0B">
        <w:t>Epub</w:t>
      </w:r>
      <w:proofErr w:type="spellEnd"/>
      <w:r w:rsidRPr="00D15C0B">
        <w:t xml:space="preserve"> 2011 Oct 25.</w:t>
      </w:r>
    </w:p>
    <w:p w14:paraId="091EF185" w14:textId="77777777" w:rsidR="009E1221" w:rsidRPr="00D15C0B" w:rsidRDefault="008F3C82" w:rsidP="00AE2127">
      <w:pPr>
        <w:pStyle w:val="ListParagraph"/>
        <w:numPr>
          <w:ilvl w:val="0"/>
          <w:numId w:val="24"/>
        </w:numPr>
      </w:pPr>
      <w:r w:rsidRPr="00D15C0B">
        <w:t xml:space="preserve">Su J1, </w:t>
      </w:r>
      <w:proofErr w:type="spellStart"/>
      <w:r w:rsidRPr="00D15C0B">
        <w:t>Tsun</w:t>
      </w:r>
      <w:proofErr w:type="spellEnd"/>
      <w:r w:rsidRPr="00D15C0B">
        <w:t xml:space="preserve"> A, Zhang L, Xia X, Li B, Guo R, Liu B. Preoperative risk factors influencing the incidence of postoperative sepsis in human immunodeficiency virus-infected patients: a retrospective cohort study. World J Surg. 2013 Apr:37(4):774-9. </w:t>
      </w:r>
      <w:proofErr w:type="spellStart"/>
      <w:r w:rsidRPr="00D15C0B">
        <w:t>doi</w:t>
      </w:r>
      <w:proofErr w:type="spellEnd"/>
      <w:r w:rsidRPr="00D15C0B">
        <w:t>: 10.1007/s00268-013-1915-y.</w:t>
      </w:r>
      <w:r w:rsidR="009E1221" w:rsidRPr="00D15C0B">
        <w:t xml:space="preserve">. </w:t>
      </w:r>
    </w:p>
    <w:sectPr w:rsidR="009E1221" w:rsidRPr="00D15C0B" w:rsidSect="00D15C0B">
      <w:footerReference w:type="default" r:id="rId19"/>
      <w:pgSz w:w="12240" w:h="15840"/>
      <w:pgMar w:top="1080" w:right="1800" w:bottom="1350" w:left="1800" w:header="72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7D306" w14:textId="77777777" w:rsidR="00FF099A" w:rsidRDefault="00FF099A">
      <w:r>
        <w:separator/>
      </w:r>
    </w:p>
  </w:endnote>
  <w:endnote w:type="continuationSeparator" w:id="0">
    <w:p w14:paraId="4B983EB4" w14:textId="77777777" w:rsidR="00FF099A" w:rsidRDefault="00FF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7234F" w14:textId="77777777" w:rsidR="00216063" w:rsidRDefault="00216063" w:rsidP="00033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325B54" w14:textId="77777777" w:rsidR="00216063" w:rsidRDefault="002160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94E0C" w14:textId="77777777" w:rsidR="00216063" w:rsidRDefault="00216063" w:rsidP="005D173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452652"/>
      <w:docPartObj>
        <w:docPartGallery w:val="Page Numbers (Bottom of Page)"/>
        <w:docPartUnique/>
      </w:docPartObj>
    </w:sdtPr>
    <w:sdtEndPr/>
    <w:sdtContent>
      <w:p w14:paraId="13FFFAF6" w14:textId="1F0019DE" w:rsidR="00216063" w:rsidRDefault="00216063" w:rsidP="00E86DA3">
        <w:pPr>
          <w:pStyle w:val="Footer"/>
          <w:tabs>
            <w:tab w:val="left" w:pos="3964"/>
          </w:tabs>
        </w:pPr>
        <w:r>
          <w:tab/>
        </w:r>
        <w:r>
          <w:tab/>
        </w:r>
        <w:r>
          <w:fldChar w:fldCharType="begin"/>
        </w:r>
        <w:r>
          <w:instrText xml:space="preserve"> PAGE   \* MERGEFORMAT </w:instrText>
        </w:r>
        <w:r>
          <w:fldChar w:fldCharType="separate"/>
        </w:r>
        <w:r w:rsidR="009E5A5A">
          <w:rPr>
            <w:noProof/>
          </w:rPr>
          <w:t>1</w:t>
        </w:r>
        <w:r>
          <w:rPr>
            <w:noProof/>
          </w:rPr>
          <w:fldChar w:fldCharType="end"/>
        </w:r>
      </w:p>
    </w:sdtContent>
  </w:sdt>
  <w:p w14:paraId="5E4B61CB" w14:textId="77777777" w:rsidR="00216063" w:rsidRPr="002A4759" w:rsidRDefault="00216063" w:rsidP="005D17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AD216" w14:textId="77777777" w:rsidR="00FF099A" w:rsidRDefault="00FF099A">
      <w:r>
        <w:separator/>
      </w:r>
    </w:p>
  </w:footnote>
  <w:footnote w:type="continuationSeparator" w:id="0">
    <w:p w14:paraId="5D6B5C9D" w14:textId="77777777" w:rsidR="00FF099A" w:rsidRDefault="00FF09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B7F"/>
    <w:multiLevelType w:val="hybridMultilevel"/>
    <w:tmpl w:val="1974D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D85869"/>
    <w:multiLevelType w:val="hybridMultilevel"/>
    <w:tmpl w:val="EBFCDD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BC250C2"/>
    <w:multiLevelType w:val="hybridMultilevel"/>
    <w:tmpl w:val="E8940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6D276B"/>
    <w:multiLevelType w:val="hybridMultilevel"/>
    <w:tmpl w:val="7EA863B6"/>
    <w:lvl w:ilvl="0" w:tplc="0040F70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65856FD"/>
    <w:multiLevelType w:val="multilevel"/>
    <w:tmpl w:val="F214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E8170D"/>
    <w:multiLevelType w:val="hybridMultilevel"/>
    <w:tmpl w:val="C4801862"/>
    <w:lvl w:ilvl="0" w:tplc="E67A52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EF6957"/>
    <w:multiLevelType w:val="hybridMultilevel"/>
    <w:tmpl w:val="63AE6048"/>
    <w:lvl w:ilvl="0" w:tplc="1A48AE74">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8A5028E"/>
    <w:multiLevelType w:val="hybridMultilevel"/>
    <w:tmpl w:val="6D467494"/>
    <w:lvl w:ilvl="0" w:tplc="891EC1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3A78EB"/>
    <w:multiLevelType w:val="multilevel"/>
    <w:tmpl w:val="A07C46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F905EC"/>
    <w:multiLevelType w:val="hybridMultilevel"/>
    <w:tmpl w:val="BDCA76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AB3975"/>
    <w:multiLevelType w:val="multilevel"/>
    <w:tmpl w:val="D8F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963A4D"/>
    <w:multiLevelType w:val="hybridMultilevel"/>
    <w:tmpl w:val="A07C4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097401"/>
    <w:multiLevelType w:val="hybridMultilevel"/>
    <w:tmpl w:val="2B0E20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19C7196"/>
    <w:multiLevelType w:val="hybridMultilevel"/>
    <w:tmpl w:val="CA024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12782F"/>
    <w:multiLevelType w:val="hybridMultilevel"/>
    <w:tmpl w:val="FD926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297BC2"/>
    <w:multiLevelType w:val="multilevel"/>
    <w:tmpl w:val="4380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1D375E"/>
    <w:multiLevelType w:val="hybridMultilevel"/>
    <w:tmpl w:val="DD2ED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2997377"/>
    <w:multiLevelType w:val="hybridMultilevel"/>
    <w:tmpl w:val="CE0E9644"/>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5987F10"/>
    <w:multiLevelType w:val="multilevel"/>
    <w:tmpl w:val="A7A8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883FB2"/>
    <w:multiLevelType w:val="hybridMultilevel"/>
    <w:tmpl w:val="A6E65EF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6FF13C6"/>
    <w:multiLevelType w:val="hybridMultilevel"/>
    <w:tmpl w:val="80140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8B3704D"/>
    <w:multiLevelType w:val="multilevel"/>
    <w:tmpl w:val="F09C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0E109B"/>
    <w:multiLevelType w:val="hybridMultilevel"/>
    <w:tmpl w:val="51582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A771C0D"/>
    <w:multiLevelType w:val="hybridMultilevel"/>
    <w:tmpl w:val="B64E6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0C1888"/>
    <w:multiLevelType w:val="hybridMultilevel"/>
    <w:tmpl w:val="BF769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410621C"/>
    <w:multiLevelType w:val="hybridMultilevel"/>
    <w:tmpl w:val="03B21142"/>
    <w:lvl w:ilvl="0" w:tplc="3F680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5273BC8"/>
    <w:multiLevelType w:val="hybridMultilevel"/>
    <w:tmpl w:val="7C9E49C2"/>
    <w:lvl w:ilvl="0" w:tplc="0409000F">
      <w:start w:val="1"/>
      <w:numFmt w:val="decimal"/>
      <w:lvlText w:val="%1."/>
      <w:lvlJc w:val="left"/>
      <w:pPr>
        <w:tabs>
          <w:tab w:val="num" w:pos="360"/>
        </w:tabs>
        <w:ind w:left="360" w:hanging="360"/>
      </w:pPr>
      <w:rPr>
        <w:rFonts w:cs="Times New Roman"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76450D5E"/>
    <w:multiLevelType w:val="hybridMultilevel"/>
    <w:tmpl w:val="6B32D58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nsid w:val="7D9522BC"/>
    <w:multiLevelType w:val="hybridMultilevel"/>
    <w:tmpl w:val="F7285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0015DF"/>
    <w:multiLevelType w:val="hybridMultilevel"/>
    <w:tmpl w:val="6FD24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4"/>
  </w:num>
  <w:num w:numId="3">
    <w:abstractNumId w:val="20"/>
  </w:num>
  <w:num w:numId="4">
    <w:abstractNumId w:val="14"/>
  </w:num>
  <w:num w:numId="5">
    <w:abstractNumId w:val="11"/>
  </w:num>
  <w:num w:numId="6">
    <w:abstractNumId w:val="23"/>
  </w:num>
  <w:num w:numId="7">
    <w:abstractNumId w:val="27"/>
  </w:num>
  <w:num w:numId="8">
    <w:abstractNumId w:val="6"/>
  </w:num>
  <w:num w:numId="9">
    <w:abstractNumId w:val="1"/>
  </w:num>
  <w:num w:numId="10">
    <w:abstractNumId w:val="17"/>
  </w:num>
  <w:num w:numId="11">
    <w:abstractNumId w:val="9"/>
  </w:num>
  <w:num w:numId="12">
    <w:abstractNumId w:val="3"/>
  </w:num>
  <w:num w:numId="13">
    <w:abstractNumId w:val="8"/>
  </w:num>
  <w:num w:numId="14">
    <w:abstractNumId w:val="0"/>
  </w:num>
  <w:num w:numId="15">
    <w:abstractNumId w:val="12"/>
  </w:num>
  <w:num w:numId="16">
    <w:abstractNumId w:val="26"/>
  </w:num>
  <w:num w:numId="17">
    <w:abstractNumId w:val="7"/>
  </w:num>
  <w:num w:numId="18">
    <w:abstractNumId w:val="16"/>
  </w:num>
  <w:num w:numId="19">
    <w:abstractNumId w:val="2"/>
  </w:num>
  <w:num w:numId="20">
    <w:abstractNumId w:val="29"/>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5"/>
  </w:num>
  <w:num w:numId="25">
    <w:abstractNumId w:val="21"/>
  </w:num>
  <w:num w:numId="26">
    <w:abstractNumId w:val="4"/>
  </w:num>
  <w:num w:numId="27">
    <w:abstractNumId w:val="10"/>
  </w:num>
  <w:num w:numId="28">
    <w:abstractNumId w:val="18"/>
  </w:num>
  <w:num w:numId="29">
    <w:abstractNumId w:val="15"/>
  </w:num>
  <w:num w:numId="30">
    <w:abstractNumId w:val="2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GB"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4B"/>
    <w:rsid w:val="0000118A"/>
    <w:rsid w:val="0000191B"/>
    <w:rsid w:val="0000246A"/>
    <w:rsid w:val="00002967"/>
    <w:rsid w:val="00003F0B"/>
    <w:rsid w:val="0000415D"/>
    <w:rsid w:val="00005DDA"/>
    <w:rsid w:val="00005FF4"/>
    <w:rsid w:val="00006F63"/>
    <w:rsid w:val="00014218"/>
    <w:rsid w:val="00015936"/>
    <w:rsid w:val="00015FDF"/>
    <w:rsid w:val="00020468"/>
    <w:rsid w:val="000209F5"/>
    <w:rsid w:val="00020F0C"/>
    <w:rsid w:val="00021DCC"/>
    <w:rsid w:val="00022C96"/>
    <w:rsid w:val="000245C4"/>
    <w:rsid w:val="00025E17"/>
    <w:rsid w:val="00026864"/>
    <w:rsid w:val="0002754C"/>
    <w:rsid w:val="000276AB"/>
    <w:rsid w:val="00030A14"/>
    <w:rsid w:val="00030A9F"/>
    <w:rsid w:val="00031467"/>
    <w:rsid w:val="000330D3"/>
    <w:rsid w:val="000337C1"/>
    <w:rsid w:val="00035359"/>
    <w:rsid w:val="0003564A"/>
    <w:rsid w:val="00037168"/>
    <w:rsid w:val="00041450"/>
    <w:rsid w:val="0004279B"/>
    <w:rsid w:val="00043695"/>
    <w:rsid w:val="00045B81"/>
    <w:rsid w:val="0004697C"/>
    <w:rsid w:val="00046AFF"/>
    <w:rsid w:val="00046C97"/>
    <w:rsid w:val="00050A33"/>
    <w:rsid w:val="00053040"/>
    <w:rsid w:val="00056565"/>
    <w:rsid w:val="00056B7A"/>
    <w:rsid w:val="000615CA"/>
    <w:rsid w:val="00062FCC"/>
    <w:rsid w:val="00066417"/>
    <w:rsid w:val="00066D6E"/>
    <w:rsid w:val="00070179"/>
    <w:rsid w:val="00070308"/>
    <w:rsid w:val="00071E56"/>
    <w:rsid w:val="00076007"/>
    <w:rsid w:val="000766A6"/>
    <w:rsid w:val="00077033"/>
    <w:rsid w:val="00080672"/>
    <w:rsid w:val="00081106"/>
    <w:rsid w:val="00083E7F"/>
    <w:rsid w:val="000879B7"/>
    <w:rsid w:val="00091CF4"/>
    <w:rsid w:val="00094A9B"/>
    <w:rsid w:val="00095A03"/>
    <w:rsid w:val="000A1A0C"/>
    <w:rsid w:val="000A350F"/>
    <w:rsid w:val="000A7387"/>
    <w:rsid w:val="000B08C2"/>
    <w:rsid w:val="000B0CAF"/>
    <w:rsid w:val="000B0E6C"/>
    <w:rsid w:val="000B1C7C"/>
    <w:rsid w:val="000B2749"/>
    <w:rsid w:val="000B2851"/>
    <w:rsid w:val="000B43EC"/>
    <w:rsid w:val="000B46F0"/>
    <w:rsid w:val="000B4922"/>
    <w:rsid w:val="000B7A6A"/>
    <w:rsid w:val="000C0E51"/>
    <w:rsid w:val="000C146F"/>
    <w:rsid w:val="000C1FE5"/>
    <w:rsid w:val="000C42A2"/>
    <w:rsid w:val="000D1146"/>
    <w:rsid w:val="000D461C"/>
    <w:rsid w:val="000D479D"/>
    <w:rsid w:val="000D4B36"/>
    <w:rsid w:val="000D6645"/>
    <w:rsid w:val="000D6AAC"/>
    <w:rsid w:val="000D6D88"/>
    <w:rsid w:val="000E01AE"/>
    <w:rsid w:val="000E07EC"/>
    <w:rsid w:val="000E0EF8"/>
    <w:rsid w:val="000F0193"/>
    <w:rsid w:val="000F0504"/>
    <w:rsid w:val="000F2E54"/>
    <w:rsid w:val="000F30D3"/>
    <w:rsid w:val="000F34A3"/>
    <w:rsid w:val="000F3F75"/>
    <w:rsid w:val="000F5E4B"/>
    <w:rsid w:val="000F645A"/>
    <w:rsid w:val="000F64DF"/>
    <w:rsid w:val="000F66FA"/>
    <w:rsid w:val="001057EB"/>
    <w:rsid w:val="00106E88"/>
    <w:rsid w:val="001119D1"/>
    <w:rsid w:val="00111BAF"/>
    <w:rsid w:val="00113564"/>
    <w:rsid w:val="00113891"/>
    <w:rsid w:val="00113AC7"/>
    <w:rsid w:val="0011722C"/>
    <w:rsid w:val="0012072E"/>
    <w:rsid w:val="00121090"/>
    <w:rsid w:val="00121B8C"/>
    <w:rsid w:val="0012341B"/>
    <w:rsid w:val="00123690"/>
    <w:rsid w:val="0012481B"/>
    <w:rsid w:val="00126EC3"/>
    <w:rsid w:val="0013094F"/>
    <w:rsid w:val="00131250"/>
    <w:rsid w:val="00132A0F"/>
    <w:rsid w:val="00133693"/>
    <w:rsid w:val="00133921"/>
    <w:rsid w:val="0013414D"/>
    <w:rsid w:val="0013432C"/>
    <w:rsid w:val="00134643"/>
    <w:rsid w:val="0013565E"/>
    <w:rsid w:val="00135F5B"/>
    <w:rsid w:val="0014082E"/>
    <w:rsid w:val="00143535"/>
    <w:rsid w:val="00147C20"/>
    <w:rsid w:val="001515D4"/>
    <w:rsid w:val="001524FC"/>
    <w:rsid w:val="001553B6"/>
    <w:rsid w:val="00156C6C"/>
    <w:rsid w:val="00161CEA"/>
    <w:rsid w:val="00163B0D"/>
    <w:rsid w:val="0016446A"/>
    <w:rsid w:val="00165FEE"/>
    <w:rsid w:val="00167046"/>
    <w:rsid w:val="00171D67"/>
    <w:rsid w:val="0017338B"/>
    <w:rsid w:val="001736B8"/>
    <w:rsid w:val="001758E2"/>
    <w:rsid w:val="001763D2"/>
    <w:rsid w:val="001803DE"/>
    <w:rsid w:val="0018087C"/>
    <w:rsid w:val="00180B19"/>
    <w:rsid w:val="00181928"/>
    <w:rsid w:val="00182FB8"/>
    <w:rsid w:val="001836F0"/>
    <w:rsid w:val="00184637"/>
    <w:rsid w:val="00185E49"/>
    <w:rsid w:val="001900F3"/>
    <w:rsid w:val="00192785"/>
    <w:rsid w:val="00192B29"/>
    <w:rsid w:val="001954EF"/>
    <w:rsid w:val="00195F89"/>
    <w:rsid w:val="001A2688"/>
    <w:rsid w:val="001A6353"/>
    <w:rsid w:val="001A64AB"/>
    <w:rsid w:val="001A7485"/>
    <w:rsid w:val="001B5F64"/>
    <w:rsid w:val="001B6E3E"/>
    <w:rsid w:val="001B735E"/>
    <w:rsid w:val="001C0618"/>
    <w:rsid w:val="001C2FF8"/>
    <w:rsid w:val="001C34DF"/>
    <w:rsid w:val="001C4D98"/>
    <w:rsid w:val="001C59FE"/>
    <w:rsid w:val="001C799F"/>
    <w:rsid w:val="001D064D"/>
    <w:rsid w:val="001D1A8F"/>
    <w:rsid w:val="001E105B"/>
    <w:rsid w:val="001E3CF9"/>
    <w:rsid w:val="001E46E0"/>
    <w:rsid w:val="001E5A5F"/>
    <w:rsid w:val="001E5C5B"/>
    <w:rsid w:val="001E6128"/>
    <w:rsid w:val="001F00AE"/>
    <w:rsid w:val="001F56C7"/>
    <w:rsid w:val="001F6E62"/>
    <w:rsid w:val="00200087"/>
    <w:rsid w:val="0020429B"/>
    <w:rsid w:val="0021129A"/>
    <w:rsid w:val="00211E79"/>
    <w:rsid w:val="00212FD6"/>
    <w:rsid w:val="00214C27"/>
    <w:rsid w:val="00216063"/>
    <w:rsid w:val="00216EF7"/>
    <w:rsid w:val="00216F35"/>
    <w:rsid w:val="002170CE"/>
    <w:rsid w:val="002173EA"/>
    <w:rsid w:val="00220E40"/>
    <w:rsid w:val="002214F3"/>
    <w:rsid w:val="00221E8C"/>
    <w:rsid w:val="00222D48"/>
    <w:rsid w:val="0022424F"/>
    <w:rsid w:val="002245C6"/>
    <w:rsid w:val="002254FE"/>
    <w:rsid w:val="0022581D"/>
    <w:rsid w:val="00225DC9"/>
    <w:rsid w:val="002265B0"/>
    <w:rsid w:val="002279B5"/>
    <w:rsid w:val="00227AD8"/>
    <w:rsid w:val="00230808"/>
    <w:rsid w:val="00232072"/>
    <w:rsid w:val="00232998"/>
    <w:rsid w:val="00232D71"/>
    <w:rsid w:val="00234185"/>
    <w:rsid w:val="00234804"/>
    <w:rsid w:val="002372A3"/>
    <w:rsid w:val="002404B2"/>
    <w:rsid w:val="00241449"/>
    <w:rsid w:val="0024344A"/>
    <w:rsid w:val="00245AFB"/>
    <w:rsid w:val="00246FA7"/>
    <w:rsid w:val="002474EC"/>
    <w:rsid w:val="00250176"/>
    <w:rsid w:val="002507C9"/>
    <w:rsid w:val="002509F7"/>
    <w:rsid w:val="00250D2F"/>
    <w:rsid w:val="00251F3A"/>
    <w:rsid w:val="00252829"/>
    <w:rsid w:val="00252AB3"/>
    <w:rsid w:val="00254402"/>
    <w:rsid w:val="002557A9"/>
    <w:rsid w:val="002613AD"/>
    <w:rsid w:val="002619AF"/>
    <w:rsid w:val="00266662"/>
    <w:rsid w:val="00267BA2"/>
    <w:rsid w:val="0027037E"/>
    <w:rsid w:val="00271D47"/>
    <w:rsid w:val="00276670"/>
    <w:rsid w:val="00280159"/>
    <w:rsid w:val="0028047D"/>
    <w:rsid w:val="002805A4"/>
    <w:rsid w:val="0028105B"/>
    <w:rsid w:val="00281551"/>
    <w:rsid w:val="00281870"/>
    <w:rsid w:val="00281D4F"/>
    <w:rsid w:val="00283051"/>
    <w:rsid w:val="00283A37"/>
    <w:rsid w:val="00285712"/>
    <w:rsid w:val="00290A70"/>
    <w:rsid w:val="00290A7F"/>
    <w:rsid w:val="00290E75"/>
    <w:rsid w:val="00291A15"/>
    <w:rsid w:val="002936EF"/>
    <w:rsid w:val="00293AD3"/>
    <w:rsid w:val="00294480"/>
    <w:rsid w:val="002968F7"/>
    <w:rsid w:val="0029694E"/>
    <w:rsid w:val="002A023F"/>
    <w:rsid w:val="002A11DC"/>
    <w:rsid w:val="002A1832"/>
    <w:rsid w:val="002A287F"/>
    <w:rsid w:val="002A2932"/>
    <w:rsid w:val="002A2A69"/>
    <w:rsid w:val="002A307D"/>
    <w:rsid w:val="002A4759"/>
    <w:rsid w:val="002A47B2"/>
    <w:rsid w:val="002A502D"/>
    <w:rsid w:val="002A6EF8"/>
    <w:rsid w:val="002B600B"/>
    <w:rsid w:val="002B6564"/>
    <w:rsid w:val="002C02F8"/>
    <w:rsid w:val="002C1CD0"/>
    <w:rsid w:val="002C1D35"/>
    <w:rsid w:val="002C2301"/>
    <w:rsid w:val="002C6BB3"/>
    <w:rsid w:val="002C7124"/>
    <w:rsid w:val="002D142D"/>
    <w:rsid w:val="002D4198"/>
    <w:rsid w:val="002D4A51"/>
    <w:rsid w:val="002D4A6A"/>
    <w:rsid w:val="002D6EE8"/>
    <w:rsid w:val="002E2BB1"/>
    <w:rsid w:val="002E4034"/>
    <w:rsid w:val="002F00DF"/>
    <w:rsid w:val="002F0A5F"/>
    <w:rsid w:val="002F1C92"/>
    <w:rsid w:val="002F2FEF"/>
    <w:rsid w:val="002F433B"/>
    <w:rsid w:val="002F574F"/>
    <w:rsid w:val="0030089D"/>
    <w:rsid w:val="00300F81"/>
    <w:rsid w:val="00305369"/>
    <w:rsid w:val="00310338"/>
    <w:rsid w:val="00313773"/>
    <w:rsid w:val="00315774"/>
    <w:rsid w:val="0031658B"/>
    <w:rsid w:val="00321CC4"/>
    <w:rsid w:val="00321EF6"/>
    <w:rsid w:val="003222B3"/>
    <w:rsid w:val="0032410C"/>
    <w:rsid w:val="00324C1E"/>
    <w:rsid w:val="0032511F"/>
    <w:rsid w:val="00330D38"/>
    <w:rsid w:val="00330F6D"/>
    <w:rsid w:val="003316A4"/>
    <w:rsid w:val="00331A9B"/>
    <w:rsid w:val="00331EDE"/>
    <w:rsid w:val="00333EEE"/>
    <w:rsid w:val="003358A7"/>
    <w:rsid w:val="003424D8"/>
    <w:rsid w:val="003455CF"/>
    <w:rsid w:val="0034606F"/>
    <w:rsid w:val="003470F1"/>
    <w:rsid w:val="003472D3"/>
    <w:rsid w:val="00350660"/>
    <w:rsid w:val="003524E3"/>
    <w:rsid w:val="003531AF"/>
    <w:rsid w:val="0035411C"/>
    <w:rsid w:val="003547C2"/>
    <w:rsid w:val="0035642E"/>
    <w:rsid w:val="003564B1"/>
    <w:rsid w:val="0035651E"/>
    <w:rsid w:val="00357899"/>
    <w:rsid w:val="00362E9B"/>
    <w:rsid w:val="0036474D"/>
    <w:rsid w:val="00364C0E"/>
    <w:rsid w:val="00371517"/>
    <w:rsid w:val="00372461"/>
    <w:rsid w:val="003746E6"/>
    <w:rsid w:val="0037589F"/>
    <w:rsid w:val="00375C85"/>
    <w:rsid w:val="00377644"/>
    <w:rsid w:val="00377E4B"/>
    <w:rsid w:val="00382F4C"/>
    <w:rsid w:val="00385C3E"/>
    <w:rsid w:val="00386525"/>
    <w:rsid w:val="00387904"/>
    <w:rsid w:val="0039026F"/>
    <w:rsid w:val="00390ED1"/>
    <w:rsid w:val="00393164"/>
    <w:rsid w:val="00393253"/>
    <w:rsid w:val="0039387B"/>
    <w:rsid w:val="0039544D"/>
    <w:rsid w:val="003972AE"/>
    <w:rsid w:val="003A06A4"/>
    <w:rsid w:val="003A0E67"/>
    <w:rsid w:val="003A1314"/>
    <w:rsid w:val="003A5481"/>
    <w:rsid w:val="003A7482"/>
    <w:rsid w:val="003A796E"/>
    <w:rsid w:val="003B11FE"/>
    <w:rsid w:val="003B12AE"/>
    <w:rsid w:val="003B2D32"/>
    <w:rsid w:val="003B46EE"/>
    <w:rsid w:val="003B50C1"/>
    <w:rsid w:val="003B52F0"/>
    <w:rsid w:val="003B6326"/>
    <w:rsid w:val="003B7B32"/>
    <w:rsid w:val="003C1713"/>
    <w:rsid w:val="003C2A3A"/>
    <w:rsid w:val="003C48F0"/>
    <w:rsid w:val="003C4BE6"/>
    <w:rsid w:val="003C5D90"/>
    <w:rsid w:val="003D4033"/>
    <w:rsid w:val="003D6332"/>
    <w:rsid w:val="003D7FF3"/>
    <w:rsid w:val="003E0E9A"/>
    <w:rsid w:val="003E1AE1"/>
    <w:rsid w:val="003E26F6"/>
    <w:rsid w:val="003E35C4"/>
    <w:rsid w:val="003E3798"/>
    <w:rsid w:val="003E3DCB"/>
    <w:rsid w:val="003F0737"/>
    <w:rsid w:val="003F30EF"/>
    <w:rsid w:val="003F4E0E"/>
    <w:rsid w:val="003F7832"/>
    <w:rsid w:val="004014F7"/>
    <w:rsid w:val="004052A5"/>
    <w:rsid w:val="004057E6"/>
    <w:rsid w:val="00405949"/>
    <w:rsid w:val="004067A4"/>
    <w:rsid w:val="004075B9"/>
    <w:rsid w:val="004110B9"/>
    <w:rsid w:val="0041115F"/>
    <w:rsid w:val="0041305B"/>
    <w:rsid w:val="004148AE"/>
    <w:rsid w:val="00414BF1"/>
    <w:rsid w:val="00415D56"/>
    <w:rsid w:val="004166D9"/>
    <w:rsid w:val="00421867"/>
    <w:rsid w:val="00421BEB"/>
    <w:rsid w:val="0042373E"/>
    <w:rsid w:val="00423D05"/>
    <w:rsid w:val="0042422A"/>
    <w:rsid w:val="00427559"/>
    <w:rsid w:val="00427644"/>
    <w:rsid w:val="004327F8"/>
    <w:rsid w:val="00433DD7"/>
    <w:rsid w:val="00440735"/>
    <w:rsid w:val="00440DE1"/>
    <w:rsid w:val="0044342A"/>
    <w:rsid w:val="00445AE2"/>
    <w:rsid w:val="00447FE6"/>
    <w:rsid w:val="00450A4C"/>
    <w:rsid w:val="004517D4"/>
    <w:rsid w:val="0045191F"/>
    <w:rsid w:val="00452A23"/>
    <w:rsid w:val="004538B1"/>
    <w:rsid w:val="00455443"/>
    <w:rsid w:val="004561D2"/>
    <w:rsid w:val="004567A2"/>
    <w:rsid w:val="00456F89"/>
    <w:rsid w:val="0046024C"/>
    <w:rsid w:val="00461E27"/>
    <w:rsid w:val="004626AB"/>
    <w:rsid w:val="004627B3"/>
    <w:rsid w:val="00462F09"/>
    <w:rsid w:val="00463C9F"/>
    <w:rsid w:val="00464DFB"/>
    <w:rsid w:val="00466DB1"/>
    <w:rsid w:val="00467508"/>
    <w:rsid w:val="0047010B"/>
    <w:rsid w:val="00470CC2"/>
    <w:rsid w:val="004726F6"/>
    <w:rsid w:val="00473DCA"/>
    <w:rsid w:val="00475208"/>
    <w:rsid w:val="0047640E"/>
    <w:rsid w:val="00477D1B"/>
    <w:rsid w:val="00481101"/>
    <w:rsid w:val="00482289"/>
    <w:rsid w:val="00482CB9"/>
    <w:rsid w:val="00485CB6"/>
    <w:rsid w:val="00486820"/>
    <w:rsid w:val="00487169"/>
    <w:rsid w:val="004909FD"/>
    <w:rsid w:val="00490CAC"/>
    <w:rsid w:val="00490E31"/>
    <w:rsid w:val="004920BD"/>
    <w:rsid w:val="00492AFD"/>
    <w:rsid w:val="00492D61"/>
    <w:rsid w:val="00494F53"/>
    <w:rsid w:val="00495573"/>
    <w:rsid w:val="004A2929"/>
    <w:rsid w:val="004A6AE5"/>
    <w:rsid w:val="004A6D8B"/>
    <w:rsid w:val="004B2160"/>
    <w:rsid w:val="004B2E3B"/>
    <w:rsid w:val="004B3869"/>
    <w:rsid w:val="004B5C45"/>
    <w:rsid w:val="004C1A28"/>
    <w:rsid w:val="004C1DDD"/>
    <w:rsid w:val="004C4443"/>
    <w:rsid w:val="004C5F61"/>
    <w:rsid w:val="004C7E78"/>
    <w:rsid w:val="004D0058"/>
    <w:rsid w:val="004D3CE9"/>
    <w:rsid w:val="004D43C0"/>
    <w:rsid w:val="004D4A62"/>
    <w:rsid w:val="004D640B"/>
    <w:rsid w:val="004E002E"/>
    <w:rsid w:val="004E505B"/>
    <w:rsid w:val="004E51D7"/>
    <w:rsid w:val="004E6BE2"/>
    <w:rsid w:val="004F08B7"/>
    <w:rsid w:val="004F28D7"/>
    <w:rsid w:val="004F369D"/>
    <w:rsid w:val="004F5E56"/>
    <w:rsid w:val="004F758D"/>
    <w:rsid w:val="00500A6F"/>
    <w:rsid w:val="00501634"/>
    <w:rsid w:val="00502060"/>
    <w:rsid w:val="00502E7A"/>
    <w:rsid w:val="005066B9"/>
    <w:rsid w:val="005135B5"/>
    <w:rsid w:val="00513F5F"/>
    <w:rsid w:val="005168C0"/>
    <w:rsid w:val="0051694B"/>
    <w:rsid w:val="0052030B"/>
    <w:rsid w:val="005222DA"/>
    <w:rsid w:val="005222EA"/>
    <w:rsid w:val="00522B7D"/>
    <w:rsid w:val="00523204"/>
    <w:rsid w:val="00524926"/>
    <w:rsid w:val="0052631E"/>
    <w:rsid w:val="005276F2"/>
    <w:rsid w:val="00530930"/>
    <w:rsid w:val="0053323C"/>
    <w:rsid w:val="005336BE"/>
    <w:rsid w:val="0053480E"/>
    <w:rsid w:val="00535D1F"/>
    <w:rsid w:val="005362B0"/>
    <w:rsid w:val="005400EB"/>
    <w:rsid w:val="00540D19"/>
    <w:rsid w:val="00541643"/>
    <w:rsid w:val="005419C6"/>
    <w:rsid w:val="00543158"/>
    <w:rsid w:val="005458E7"/>
    <w:rsid w:val="00550B76"/>
    <w:rsid w:val="00554F98"/>
    <w:rsid w:val="0055505D"/>
    <w:rsid w:val="0055761C"/>
    <w:rsid w:val="0055786C"/>
    <w:rsid w:val="00562F62"/>
    <w:rsid w:val="0056633F"/>
    <w:rsid w:val="005665DD"/>
    <w:rsid w:val="00566BDE"/>
    <w:rsid w:val="00570494"/>
    <w:rsid w:val="005706E1"/>
    <w:rsid w:val="005707A9"/>
    <w:rsid w:val="00573E6C"/>
    <w:rsid w:val="00577DB2"/>
    <w:rsid w:val="00582B0C"/>
    <w:rsid w:val="00583232"/>
    <w:rsid w:val="005850AD"/>
    <w:rsid w:val="005854D7"/>
    <w:rsid w:val="00585A58"/>
    <w:rsid w:val="00587BD3"/>
    <w:rsid w:val="00590137"/>
    <w:rsid w:val="00591D23"/>
    <w:rsid w:val="00592D6D"/>
    <w:rsid w:val="00594A3D"/>
    <w:rsid w:val="00595C5A"/>
    <w:rsid w:val="00597296"/>
    <w:rsid w:val="005A063A"/>
    <w:rsid w:val="005A0876"/>
    <w:rsid w:val="005A1C53"/>
    <w:rsid w:val="005A4462"/>
    <w:rsid w:val="005A5CC8"/>
    <w:rsid w:val="005B0970"/>
    <w:rsid w:val="005B0BC3"/>
    <w:rsid w:val="005B7DBA"/>
    <w:rsid w:val="005C05F7"/>
    <w:rsid w:val="005C0914"/>
    <w:rsid w:val="005C184C"/>
    <w:rsid w:val="005C2A4F"/>
    <w:rsid w:val="005C3BE7"/>
    <w:rsid w:val="005C3C5C"/>
    <w:rsid w:val="005C5130"/>
    <w:rsid w:val="005C5C5E"/>
    <w:rsid w:val="005C6BB3"/>
    <w:rsid w:val="005D05B6"/>
    <w:rsid w:val="005D0C8A"/>
    <w:rsid w:val="005D1735"/>
    <w:rsid w:val="005D318A"/>
    <w:rsid w:val="005D37D9"/>
    <w:rsid w:val="005D7086"/>
    <w:rsid w:val="005D7995"/>
    <w:rsid w:val="005D7DCB"/>
    <w:rsid w:val="005E21DC"/>
    <w:rsid w:val="005E3D7E"/>
    <w:rsid w:val="005E44E5"/>
    <w:rsid w:val="005E4780"/>
    <w:rsid w:val="005E4A6F"/>
    <w:rsid w:val="005E4F63"/>
    <w:rsid w:val="005E7542"/>
    <w:rsid w:val="005F1C20"/>
    <w:rsid w:val="005F22D0"/>
    <w:rsid w:val="005F30EE"/>
    <w:rsid w:val="005F3C91"/>
    <w:rsid w:val="006003A9"/>
    <w:rsid w:val="006011F5"/>
    <w:rsid w:val="0060141A"/>
    <w:rsid w:val="006014F0"/>
    <w:rsid w:val="0060463F"/>
    <w:rsid w:val="00605D99"/>
    <w:rsid w:val="0060600C"/>
    <w:rsid w:val="00606BA4"/>
    <w:rsid w:val="00607D8D"/>
    <w:rsid w:val="0061128E"/>
    <w:rsid w:val="00615B8E"/>
    <w:rsid w:val="00621155"/>
    <w:rsid w:val="00621755"/>
    <w:rsid w:val="00621FB9"/>
    <w:rsid w:val="00623AAB"/>
    <w:rsid w:val="00623F08"/>
    <w:rsid w:val="0062694B"/>
    <w:rsid w:val="006322F5"/>
    <w:rsid w:val="0063265D"/>
    <w:rsid w:val="006332AF"/>
    <w:rsid w:val="0063464C"/>
    <w:rsid w:val="00636B63"/>
    <w:rsid w:val="006374E4"/>
    <w:rsid w:val="00640FF2"/>
    <w:rsid w:val="00642793"/>
    <w:rsid w:val="006427BA"/>
    <w:rsid w:val="0064402C"/>
    <w:rsid w:val="006455C3"/>
    <w:rsid w:val="00651999"/>
    <w:rsid w:val="0065481B"/>
    <w:rsid w:val="006557E4"/>
    <w:rsid w:val="00656E66"/>
    <w:rsid w:val="00657E97"/>
    <w:rsid w:val="00657F80"/>
    <w:rsid w:val="0066005D"/>
    <w:rsid w:val="00660383"/>
    <w:rsid w:val="0066305A"/>
    <w:rsid w:val="00663A30"/>
    <w:rsid w:val="00663BC4"/>
    <w:rsid w:val="006648ED"/>
    <w:rsid w:val="006651BC"/>
    <w:rsid w:val="00665F20"/>
    <w:rsid w:val="006670D9"/>
    <w:rsid w:val="00672801"/>
    <w:rsid w:val="006745DC"/>
    <w:rsid w:val="00675F26"/>
    <w:rsid w:val="00677D2F"/>
    <w:rsid w:val="006805A7"/>
    <w:rsid w:val="006811F4"/>
    <w:rsid w:val="00683846"/>
    <w:rsid w:val="00683CB7"/>
    <w:rsid w:val="00685F81"/>
    <w:rsid w:val="006877DA"/>
    <w:rsid w:val="00692842"/>
    <w:rsid w:val="006944BE"/>
    <w:rsid w:val="0069537F"/>
    <w:rsid w:val="00695FCE"/>
    <w:rsid w:val="006967BD"/>
    <w:rsid w:val="00697EA7"/>
    <w:rsid w:val="00697FD4"/>
    <w:rsid w:val="006A1719"/>
    <w:rsid w:val="006A1937"/>
    <w:rsid w:val="006A2EC8"/>
    <w:rsid w:val="006A5683"/>
    <w:rsid w:val="006A6078"/>
    <w:rsid w:val="006A661F"/>
    <w:rsid w:val="006B3B33"/>
    <w:rsid w:val="006B65F4"/>
    <w:rsid w:val="006B6E30"/>
    <w:rsid w:val="006B6FC8"/>
    <w:rsid w:val="006B74AC"/>
    <w:rsid w:val="006C0A03"/>
    <w:rsid w:val="006C0E5F"/>
    <w:rsid w:val="006C10AF"/>
    <w:rsid w:val="006C3384"/>
    <w:rsid w:val="006C73B0"/>
    <w:rsid w:val="006D714E"/>
    <w:rsid w:val="006D7E3B"/>
    <w:rsid w:val="006E2EBB"/>
    <w:rsid w:val="006E428C"/>
    <w:rsid w:val="006F23E0"/>
    <w:rsid w:val="006F2540"/>
    <w:rsid w:val="006F3D6B"/>
    <w:rsid w:val="006F601D"/>
    <w:rsid w:val="0070280C"/>
    <w:rsid w:val="00702D04"/>
    <w:rsid w:val="00702E68"/>
    <w:rsid w:val="00702F0E"/>
    <w:rsid w:val="00703B82"/>
    <w:rsid w:val="00705984"/>
    <w:rsid w:val="00710B61"/>
    <w:rsid w:val="00712343"/>
    <w:rsid w:val="00712690"/>
    <w:rsid w:val="00712BFA"/>
    <w:rsid w:val="00713A8F"/>
    <w:rsid w:val="00713D78"/>
    <w:rsid w:val="007146F9"/>
    <w:rsid w:val="007152B0"/>
    <w:rsid w:val="00715E33"/>
    <w:rsid w:val="00716A67"/>
    <w:rsid w:val="00723137"/>
    <w:rsid w:val="0072318E"/>
    <w:rsid w:val="00723A06"/>
    <w:rsid w:val="00724500"/>
    <w:rsid w:val="00724596"/>
    <w:rsid w:val="007273FE"/>
    <w:rsid w:val="00727ED2"/>
    <w:rsid w:val="00730569"/>
    <w:rsid w:val="007312DD"/>
    <w:rsid w:val="00731E7F"/>
    <w:rsid w:val="00734D33"/>
    <w:rsid w:val="00735B6C"/>
    <w:rsid w:val="0073629B"/>
    <w:rsid w:val="0074172C"/>
    <w:rsid w:val="00741B00"/>
    <w:rsid w:val="00744040"/>
    <w:rsid w:val="007441BA"/>
    <w:rsid w:val="00745753"/>
    <w:rsid w:val="0075095F"/>
    <w:rsid w:val="00751C45"/>
    <w:rsid w:val="007538C9"/>
    <w:rsid w:val="007539C4"/>
    <w:rsid w:val="007539FB"/>
    <w:rsid w:val="007554CB"/>
    <w:rsid w:val="00756CE4"/>
    <w:rsid w:val="007607E7"/>
    <w:rsid w:val="00761A64"/>
    <w:rsid w:val="00766224"/>
    <w:rsid w:val="00767C23"/>
    <w:rsid w:val="00770BBB"/>
    <w:rsid w:val="00770D66"/>
    <w:rsid w:val="0077356E"/>
    <w:rsid w:val="00775F12"/>
    <w:rsid w:val="00777586"/>
    <w:rsid w:val="007801F1"/>
    <w:rsid w:val="007804EB"/>
    <w:rsid w:val="00781E8A"/>
    <w:rsid w:val="007867CF"/>
    <w:rsid w:val="00787483"/>
    <w:rsid w:val="00790F64"/>
    <w:rsid w:val="00792F7E"/>
    <w:rsid w:val="00793BE4"/>
    <w:rsid w:val="00794894"/>
    <w:rsid w:val="00796E38"/>
    <w:rsid w:val="007975F3"/>
    <w:rsid w:val="007A275B"/>
    <w:rsid w:val="007A34DD"/>
    <w:rsid w:val="007A36A1"/>
    <w:rsid w:val="007A44DF"/>
    <w:rsid w:val="007A4B18"/>
    <w:rsid w:val="007A57BC"/>
    <w:rsid w:val="007B20D3"/>
    <w:rsid w:val="007B2A84"/>
    <w:rsid w:val="007B5A40"/>
    <w:rsid w:val="007C2C96"/>
    <w:rsid w:val="007C6A06"/>
    <w:rsid w:val="007C6B24"/>
    <w:rsid w:val="007C784B"/>
    <w:rsid w:val="007D0BB1"/>
    <w:rsid w:val="007D1D0A"/>
    <w:rsid w:val="007D1F9F"/>
    <w:rsid w:val="007D2DD1"/>
    <w:rsid w:val="007D390B"/>
    <w:rsid w:val="007D4076"/>
    <w:rsid w:val="007D4DBD"/>
    <w:rsid w:val="007E029F"/>
    <w:rsid w:val="007E26ED"/>
    <w:rsid w:val="007E2943"/>
    <w:rsid w:val="007E37FC"/>
    <w:rsid w:val="007E3DB7"/>
    <w:rsid w:val="007E61A1"/>
    <w:rsid w:val="007F0408"/>
    <w:rsid w:val="007F0CEE"/>
    <w:rsid w:val="007F165D"/>
    <w:rsid w:val="007F1B33"/>
    <w:rsid w:val="007F25B0"/>
    <w:rsid w:val="007F29A1"/>
    <w:rsid w:val="007F3F6A"/>
    <w:rsid w:val="007F3FA0"/>
    <w:rsid w:val="007F46BE"/>
    <w:rsid w:val="007F4B9D"/>
    <w:rsid w:val="007F522D"/>
    <w:rsid w:val="007F58A0"/>
    <w:rsid w:val="007F7E66"/>
    <w:rsid w:val="00800074"/>
    <w:rsid w:val="00801C78"/>
    <w:rsid w:val="00801FF9"/>
    <w:rsid w:val="00802279"/>
    <w:rsid w:val="008026B8"/>
    <w:rsid w:val="008028F9"/>
    <w:rsid w:val="0080435A"/>
    <w:rsid w:val="00805583"/>
    <w:rsid w:val="008067C1"/>
    <w:rsid w:val="0080692D"/>
    <w:rsid w:val="008104DC"/>
    <w:rsid w:val="00810D1E"/>
    <w:rsid w:val="00816D3F"/>
    <w:rsid w:val="0082034E"/>
    <w:rsid w:val="0082133E"/>
    <w:rsid w:val="008218A8"/>
    <w:rsid w:val="00823195"/>
    <w:rsid w:val="008254D6"/>
    <w:rsid w:val="0082649E"/>
    <w:rsid w:val="008265E7"/>
    <w:rsid w:val="00831857"/>
    <w:rsid w:val="00836CCE"/>
    <w:rsid w:val="008370E9"/>
    <w:rsid w:val="008419A2"/>
    <w:rsid w:val="00842EC2"/>
    <w:rsid w:val="008437B1"/>
    <w:rsid w:val="00844B5E"/>
    <w:rsid w:val="0085381E"/>
    <w:rsid w:val="00854073"/>
    <w:rsid w:val="00855969"/>
    <w:rsid w:val="00863233"/>
    <w:rsid w:val="008636BD"/>
    <w:rsid w:val="0086420A"/>
    <w:rsid w:val="008679A4"/>
    <w:rsid w:val="00870187"/>
    <w:rsid w:val="00870E46"/>
    <w:rsid w:val="008752DC"/>
    <w:rsid w:val="00875C50"/>
    <w:rsid w:val="00880654"/>
    <w:rsid w:val="00885F36"/>
    <w:rsid w:val="00886AC3"/>
    <w:rsid w:val="00891E31"/>
    <w:rsid w:val="0089480E"/>
    <w:rsid w:val="00897B05"/>
    <w:rsid w:val="008A06E8"/>
    <w:rsid w:val="008A2450"/>
    <w:rsid w:val="008A2536"/>
    <w:rsid w:val="008A39DF"/>
    <w:rsid w:val="008A5D20"/>
    <w:rsid w:val="008A604B"/>
    <w:rsid w:val="008A6280"/>
    <w:rsid w:val="008A6B91"/>
    <w:rsid w:val="008A6EF3"/>
    <w:rsid w:val="008B3B5A"/>
    <w:rsid w:val="008B568F"/>
    <w:rsid w:val="008B74B1"/>
    <w:rsid w:val="008C133A"/>
    <w:rsid w:val="008C18BE"/>
    <w:rsid w:val="008C1B4E"/>
    <w:rsid w:val="008C1E7C"/>
    <w:rsid w:val="008C29C8"/>
    <w:rsid w:val="008C2B90"/>
    <w:rsid w:val="008C325D"/>
    <w:rsid w:val="008C4586"/>
    <w:rsid w:val="008C524C"/>
    <w:rsid w:val="008C5415"/>
    <w:rsid w:val="008D27A6"/>
    <w:rsid w:val="008D59D0"/>
    <w:rsid w:val="008D5D10"/>
    <w:rsid w:val="008D62A3"/>
    <w:rsid w:val="008D7CC3"/>
    <w:rsid w:val="008E030C"/>
    <w:rsid w:val="008E43A2"/>
    <w:rsid w:val="008E4FA8"/>
    <w:rsid w:val="008E6FAF"/>
    <w:rsid w:val="008F0067"/>
    <w:rsid w:val="008F3367"/>
    <w:rsid w:val="008F3C82"/>
    <w:rsid w:val="008F42D6"/>
    <w:rsid w:val="008F4665"/>
    <w:rsid w:val="008F4937"/>
    <w:rsid w:val="008F7305"/>
    <w:rsid w:val="009015DD"/>
    <w:rsid w:val="0090287E"/>
    <w:rsid w:val="0090656E"/>
    <w:rsid w:val="00910125"/>
    <w:rsid w:val="00911BFA"/>
    <w:rsid w:val="00913B7C"/>
    <w:rsid w:val="0092420F"/>
    <w:rsid w:val="00927410"/>
    <w:rsid w:val="00927A8E"/>
    <w:rsid w:val="00935BBA"/>
    <w:rsid w:val="00940854"/>
    <w:rsid w:val="00940C0C"/>
    <w:rsid w:val="0094208C"/>
    <w:rsid w:val="00942101"/>
    <w:rsid w:val="00942279"/>
    <w:rsid w:val="00943B19"/>
    <w:rsid w:val="00945FE9"/>
    <w:rsid w:val="00950E85"/>
    <w:rsid w:val="009522A0"/>
    <w:rsid w:val="00953A0A"/>
    <w:rsid w:val="00953C47"/>
    <w:rsid w:val="0095588B"/>
    <w:rsid w:val="009601E5"/>
    <w:rsid w:val="0096256D"/>
    <w:rsid w:val="0096768B"/>
    <w:rsid w:val="0097524D"/>
    <w:rsid w:val="009760F8"/>
    <w:rsid w:val="009765E0"/>
    <w:rsid w:val="00980733"/>
    <w:rsid w:val="00980B8E"/>
    <w:rsid w:val="009813F8"/>
    <w:rsid w:val="00982421"/>
    <w:rsid w:val="00984013"/>
    <w:rsid w:val="00984196"/>
    <w:rsid w:val="00986D68"/>
    <w:rsid w:val="00991F59"/>
    <w:rsid w:val="00993ABA"/>
    <w:rsid w:val="009949BC"/>
    <w:rsid w:val="009A39B3"/>
    <w:rsid w:val="009A461D"/>
    <w:rsid w:val="009A573B"/>
    <w:rsid w:val="009B040F"/>
    <w:rsid w:val="009B04F6"/>
    <w:rsid w:val="009B1D08"/>
    <w:rsid w:val="009B456A"/>
    <w:rsid w:val="009B6538"/>
    <w:rsid w:val="009B6C65"/>
    <w:rsid w:val="009B7734"/>
    <w:rsid w:val="009B783F"/>
    <w:rsid w:val="009B7E27"/>
    <w:rsid w:val="009C00D7"/>
    <w:rsid w:val="009C0F80"/>
    <w:rsid w:val="009C4D9B"/>
    <w:rsid w:val="009C660A"/>
    <w:rsid w:val="009D03B8"/>
    <w:rsid w:val="009D7862"/>
    <w:rsid w:val="009E0476"/>
    <w:rsid w:val="009E1221"/>
    <w:rsid w:val="009E1B49"/>
    <w:rsid w:val="009E1BAD"/>
    <w:rsid w:val="009E2457"/>
    <w:rsid w:val="009E5A5A"/>
    <w:rsid w:val="009E5D1F"/>
    <w:rsid w:val="009E7067"/>
    <w:rsid w:val="009F0D94"/>
    <w:rsid w:val="009F115F"/>
    <w:rsid w:val="009F1222"/>
    <w:rsid w:val="009F4198"/>
    <w:rsid w:val="009F438E"/>
    <w:rsid w:val="009F6A88"/>
    <w:rsid w:val="00A0011B"/>
    <w:rsid w:val="00A00B6C"/>
    <w:rsid w:val="00A0358A"/>
    <w:rsid w:val="00A05CE9"/>
    <w:rsid w:val="00A07C5F"/>
    <w:rsid w:val="00A1288E"/>
    <w:rsid w:val="00A12E91"/>
    <w:rsid w:val="00A1486D"/>
    <w:rsid w:val="00A14DCA"/>
    <w:rsid w:val="00A15B11"/>
    <w:rsid w:val="00A17C91"/>
    <w:rsid w:val="00A17D66"/>
    <w:rsid w:val="00A20E93"/>
    <w:rsid w:val="00A21607"/>
    <w:rsid w:val="00A2232E"/>
    <w:rsid w:val="00A24D51"/>
    <w:rsid w:val="00A27F1C"/>
    <w:rsid w:val="00A3247F"/>
    <w:rsid w:val="00A33023"/>
    <w:rsid w:val="00A33AB6"/>
    <w:rsid w:val="00A36140"/>
    <w:rsid w:val="00A3685C"/>
    <w:rsid w:val="00A36C57"/>
    <w:rsid w:val="00A41426"/>
    <w:rsid w:val="00A44221"/>
    <w:rsid w:val="00A45294"/>
    <w:rsid w:val="00A469F8"/>
    <w:rsid w:val="00A46A10"/>
    <w:rsid w:val="00A47FFC"/>
    <w:rsid w:val="00A51002"/>
    <w:rsid w:val="00A525D1"/>
    <w:rsid w:val="00A5323C"/>
    <w:rsid w:val="00A54FF9"/>
    <w:rsid w:val="00A55739"/>
    <w:rsid w:val="00A56299"/>
    <w:rsid w:val="00A61B2F"/>
    <w:rsid w:val="00A63847"/>
    <w:rsid w:val="00A66648"/>
    <w:rsid w:val="00A67909"/>
    <w:rsid w:val="00A67D05"/>
    <w:rsid w:val="00A71453"/>
    <w:rsid w:val="00A738FE"/>
    <w:rsid w:val="00A73B8B"/>
    <w:rsid w:val="00A73D2E"/>
    <w:rsid w:val="00A74299"/>
    <w:rsid w:val="00A745E0"/>
    <w:rsid w:val="00A7670E"/>
    <w:rsid w:val="00A8191A"/>
    <w:rsid w:val="00A81F3F"/>
    <w:rsid w:val="00A82A8D"/>
    <w:rsid w:val="00A839BB"/>
    <w:rsid w:val="00A85930"/>
    <w:rsid w:val="00A859D4"/>
    <w:rsid w:val="00A85EC4"/>
    <w:rsid w:val="00A8648E"/>
    <w:rsid w:val="00A902AD"/>
    <w:rsid w:val="00A90D5D"/>
    <w:rsid w:val="00A91940"/>
    <w:rsid w:val="00A922A3"/>
    <w:rsid w:val="00A929F0"/>
    <w:rsid w:val="00A9354F"/>
    <w:rsid w:val="00A94F22"/>
    <w:rsid w:val="00A950A6"/>
    <w:rsid w:val="00A96032"/>
    <w:rsid w:val="00A9701E"/>
    <w:rsid w:val="00AA1133"/>
    <w:rsid w:val="00AA2793"/>
    <w:rsid w:val="00AA5801"/>
    <w:rsid w:val="00AA7F66"/>
    <w:rsid w:val="00AB1343"/>
    <w:rsid w:val="00AB195C"/>
    <w:rsid w:val="00AB1B5A"/>
    <w:rsid w:val="00AB29F5"/>
    <w:rsid w:val="00AB7956"/>
    <w:rsid w:val="00AC0202"/>
    <w:rsid w:val="00AC2AFB"/>
    <w:rsid w:val="00AC5416"/>
    <w:rsid w:val="00AC59B4"/>
    <w:rsid w:val="00AC5FB5"/>
    <w:rsid w:val="00AD097B"/>
    <w:rsid w:val="00AD1326"/>
    <w:rsid w:val="00AD187A"/>
    <w:rsid w:val="00AD2BBF"/>
    <w:rsid w:val="00AD48E5"/>
    <w:rsid w:val="00AD4F8B"/>
    <w:rsid w:val="00AD55FB"/>
    <w:rsid w:val="00AD6DA0"/>
    <w:rsid w:val="00AD7973"/>
    <w:rsid w:val="00AE12AE"/>
    <w:rsid w:val="00AE2127"/>
    <w:rsid w:val="00AE2FBC"/>
    <w:rsid w:val="00AE3A94"/>
    <w:rsid w:val="00AE3EF0"/>
    <w:rsid w:val="00AE5CAE"/>
    <w:rsid w:val="00AE7AD7"/>
    <w:rsid w:val="00AF1743"/>
    <w:rsid w:val="00AF1C8A"/>
    <w:rsid w:val="00AF3036"/>
    <w:rsid w:val="00AF506D"/>
    <w:rsid w:val="00AF5078"/>
    <w:rsid w:val="00AF785F"/>
    <w:rsid w:val="00B005DA"/>
    <w:rsid w:val="00B0167E"/>
    <w:rsid w:val="00B0187B"/>
    <w:rsid w:val="00B03580"/>
    <w:rsid w:val="00B03E26"/>
    <w:rsid w:val="00B05F9E"/>
    <w:rsid w:val="00B06C8B"/>
    <w:rsid w:val="00B10C07"/>
    <w:rsid w:val="00B11A94"/>
    <w:rsid w:val="00B1358B"/>
    <w:rsid w:val="00B14179"/>
    <w:rsid w:val="00B14756"/>
    <w:rsid w:val="00B1589E"/>
    <w:rsid w:val="00B21E46"/>
    <w:rsid w:val="00B3069E"/>
    <w:rsid w:val="00B30FB0"/>
    <w:rsid w:val="00B3108E"/>
    <w:rsid w:val="00B3135F"/>
    <w:rsid w:val="00B352D8"/>
    <w:rsid w:val="00B370B1"/>
    <w:rsid w:val="00B37DE8"/>
    <w:rsid w:val="00B41BE4"/>
    <w:rsid w:val="00B41E28"/>
    <w:rsid w:val="00B41E3D"/>
    <w:rsid w:val="00B4268F"/>
    <w:rsid w:val="00B444C9"/>
    <w:rsid w:val="00B44A60"/>
    <w:rsid w:val="00B44D2A"/>
    <w:rsid w:val="00B46EBE"/>
    <w:rsid w:val="00B47E8C"/>
    <w:rsid w:val="00B53457"/>
    <w:rsid w:val="00B534C1"/>
    <w:rsid w:val="00B54FEC"/>
    <w:rsid w:val="00B56061"/>
    <w:rsid w:val="00B56563"/>
    <w:rsid w:val="00B57279"/>
    <w:rsid w:val="00B572E2"/>
    <w:rsid w:val="00B57479"/>
    <w:rsid w:val="00B610D8"/>
    <w:rsid w:val="00B6215B"/>
    <w:rsid w:val="00B639FE"/>
    <w:rsid w:val="00B66A81"/>
    <w:rsid w:val="00B66B9B"/>
    <w:rsid w:val="00B66C36"/>
    <w:rsid w:val="00B674B8"/>
    <w:rsid w:val="00B70488"/>
    <w:rsid w:val="00B715EC"/>
    <w:rsid w:val="00B77DF0"/>
    <w:rsid w:val="00B83AD7"/>
    <w:rsid w:val="00B85878"/>
    <w:rsid w:val="00B85DD6"/>
    <w:rsid w:val="00B8676D"/>
    <w:rsid w:val="00B9160B"/>
    <w:rsid w:val="00B930DF"/>
    <w:rsid w:val="00B93CEC"/>
    <w:rsid w:val="00B955B4"/>
    <w:rsid w:val="00B96513"/>
    <w:rsid w:val="00B9669B"/>
    <w:rsid w:val="00B971F7"/>
    <w:rsid w:val="00B97CC2"/>
    <w:rsid w:val="00BA1AEB"/>
    <w:rsid w:val="00BA389A"/>
    <w:rsid w:val="00BA64EB"/>
    <w:rsid w:val="00BA7A6A"/>
    <w:rsid w:val="00BB36BB"/>
    <w:rsid w:val="00BB3876"/>
    <w:rsid w:val="00BB58B8"/>
    <w:rsid w:val="00BB7A41"/>
    <w:rsid w:val="00BC41D0"/>
    <w:rsid w:val="00BC56D9"/>
    <w:rsid w:val="00BC6543"/>
    <w:rsid w:val="00BD0286"/>
    <w:rsid w:val="00BD1B36"/>
    <w:rsid w:val="00BD3B2E"/>
    <w:rsid w:val="00BD4BAE"/>
    <w:rsid w:val="00BD4FDD"/>
    <w:rsid w:val="00BD79B0"/>
    <w:rsid w:val="00BE2C32"/>
    <w:rsid w:val="00BE2C64"/>
    <w:rsid w:val="00BE2C93"/>
    <w:rsid w:val="00BF11B3"/>
    <w:rsid w:val="00BF1330"/>
    <w:rsid w:val="00BF3524"/>
    <w:rsid w:val="00BF3879"/>
    <w:rsid w:val="00BF4B92"/>
    <w:rsid w:val="00BF4D88"/>
    <w:rsid w:val="00BF7935"/>
    <w:rsid w:val="00BF7A88"/>
    <w:rsid w:val="00BF7D33"/>
    <w:rsid w:val="00C0290A"/>
    <w:rsid w:val="00C05233"/>
    <w:rsid w:val="00C05788"/>
    <w:rsid w:val="00C07B55"/>
    <w:rsid w:val="00C103B3"/>
    <w:rsid w:val="00C12566"/>
    <w:rsid w:val="00C15B5F"/>
    <w:rsid w:val="00C164C1"/>
    <w:rsid w:val="00C20BC9"/>
    <w:rsid w:val="00C237F3"/>
    <w:rsid w:val="00C23D23"/>
    <w:rsid w:val="00C24D3A"/>
    <w:rsid w:val="00C25848"/>
    <w:rsid w:val="00C301AC"/>
    <w:rsid w:val="00C30C06"/>
    <w:rsid w:val="00C33954"/>
    <w:rsid w:val="00C33A7D"/>
    <w:rsid w:val="00C34808"/>
    <w:rsid w:val="00C34FEA"/>
    <w:rsid w:val="00C371FF"/>
    <w:rsid w:val="00C37AAB"/>
    <w:rsid w:val="00C40887"/>
    <w:rsid w:val="00C41F86"/>
    <w:rsid w:val="00C43CC4"/>
    <w:rsid w:val="00C45393"/>
    <w:rsid w:val="00C45F5E"/>
    <w:rsid w:val="00C46EAB"/>
    <w:rsid w:val="00C51075"/>
    <w:rsid w:val="00C5275A"/>
    <w:rsid w:val="00C531EA"/>
    <w:rsid w:val="00C54132"/>
    <w:rsid w:val="00C55D3E"/>
    <w:rsid w:val="00C56CC9"/>
    <w:rsid w:val="00C608B0"/>
    <w:rsid w:val="00C6200C"/>
    <w:rsid w:val="00C62598"/>
    <w:rsid w:val="00C62EB1"/>
    <w:rsid w:val="00C635B2"/>
    <w:rsid w:val="00C63CC2"/>
    <w:rsid w:val="00C64B4C"/>
    <w:rsid w:val="00C657BF"/>
    <w:rsid w:val="00C670F3"/>
    <w:rsid w:val="00C6762F"/>
    <w:rsid w:val="00C67C80"/>
    <w:rsid w:val="00C71852"/>
    <w:rsid w:val="00C72E92"/>
    <w:rsid w:val="00C739FB"/>
    <w:rsid w:val="00C741A7"/>
    <w:rsid w:val="00C754E1"/>
    <w:rsid w:val="00C76B84"/>
    <w:rsid w:val="00C76DD9"/>
    <w:rsid w:val="00C83696"/>
    <w:rsid w:val="00C843E8"/>
    <w:rsid w:val="00C84939"/>
    <w:rsid w:val="00C8548A"/>
    <w:rsid w:val="00C86422"/>
    <w:rsid w:val="00C87F8F"/>
    <w:rsid w:val="00C90AD2"/>
    <w:rsid w:val="00C91396"/>
    <w:rsid w:val="00C91691"/>
    <w:rsid w:val="00C935DF"/>
    <w:rsid w:val="00C937F0"/>
    <w:rsid w:val="00C94273"/>
    <w:rsid w:val="00C94834"/>
    <w:rsid w:val="00C966D9"/>
    <w:rsid w:val="00C96B65"/>
    <w:rsid w:val="00C97B70"/>
    <w:rsid w:val="00C97C07"/>
    <w:rsid w:val="00C97ED4"/>
    <w:rsid w:val="00CA0BC1"/>
    <w:rsid w:val="00CA2F75"/>
    <w:rsid w:val="00CA6D42"/>
    <w:rsid w:val="00CA6D8C"/>
    <w:rsid w:val="00CA7744"/>
    <w:rsid w:val="00CB14B6"/>
    <w:rsid w:val="00CB2C7A"/>
    <w:rsid w:val="00CB347D"/>
    <w:rsid w:val="00CB5024"/>
    <w:rsid w:val="00CB544B"/>
    <w:rsid w:val="00CC0504"/>
    <w:rsid w:val="00CC1D6E"/>
    <w:rsid w:val="00CC5908"/>
    <w:rsid w:val="00CC6065"/>
    <w:rsid w:val="00CC7547"/>
    <w:rsid w:val="00CC7F12"/>
    <w:rsid w:val="00CD0152"/>
    <w:rsid w:val="00CD0D36"/>
    <w:rsid w:val="00CD1442"/>
    <w:rsid w:val="00CD1BF2"/>
    <w:rsid w:val="00CD31C4"/>
    <w:rsid w:val="00CD35E9"/>
    <w:rsid w:val="00CD3A30"/>
    <w:rsid w:val="00CE2148"/>
    <w:rsid w:val="00CE3CFF"/>
    <w:rsid w:val="00CE611B"/>
    <w:rsid w:val="00CF2D22"/>
    <w:rsid w:val="00CF3AA2"/>
    <w:rsid w:val="00CF72FF"/>
    <w:rsid w:val="00D000C5"/>
    <w:rsid w:val="00D0038D"/>
    <w:rsid w:val="00D00DE3"/>
    <w:rsid w:val="00D02EC5"/>
    <w:rsid w:val="00D03313"/>
    <w:rsid w:val="00D043A5"/>
    <w:rsid w:val="00D06488"/>
    <w:rsid w:val="00D066FA"/>
    <w:rsid w:val="00D1100E"/>
    <w:rsid w:val="00D15C0B"/>
    <w:rsid w:val="00D16514"/>
    <w:rsid w:val="00D220FE"/>
    <w:rsid w:val="00D224C8"/>
    <w:rsid w:val="00D233C8"/>
    <w:rsid w:val="00D26BD1"/>
    <w:rsid w:val="00D30253"/>
    <w:rsid w:val="00D30752"/>
    <w:rsid w:val="00D30773"/>
    <w:rsid w:val="00D33A5A"/>
    <w:rsid w:val="00D343ED"/>
    <w:rsid w:val="00D34661"/>
    <w:rsid w:val="00D34A16"/>
    <w:rsid w:val="00D36EE8"/>
    <w:rsid w:val="00D40D1B"/>
    <w:rsid w:val="00D4311E"/>
    <w:rsid w:val="00D43C70"/>
    <w:rsid w:val="00D44079"/>
    <w:rsid w:val="00D45812"/>
    <w:rsid w:val="00D46B9D"/>
    <w:rsid w:val="00D5068B"/>
    <w:rsid w:val="00D52C78"/>
    <w:rsid w:val="00D53D0D"/>
    <w:rsid w:val="00D57627"/>
    <w:rsid w:val="00D62D5D"/>
    <w:rsid w:val="00D63471"/>
    <w:rsid w:val="00D63CB8"/>
    <w:rsid w:val="00D64E58"/>
    <w:rsid w:val="00D726E7"/>
    <w:rsid w:val="00D729C1"/>
    <w:rsid w:val="00D730EC"/>
    <w:rsid w:val="00D74AE9"/>
    <w:rsid w:val="00D77221"/>
    <w:rsid w:val="00D805F3"/>
    <w:rsid w:val="00D807AB"/>
    <w:rsid w:val="00D8122F"/>
    <w:rsid w:val="00D8126C"/>
    <w:rsid w:val="00D826C4"/>
    <w:rsid w:val="00D84697"/>
    <w:rsid w:val="00D84C0A"/>
    <w:rsid w:val="00D9188F"/>
    <w:rsid w:val="00D9264B"/>
    <w:rsid w:val="00D92F60"/>
    <w:rsid w:val="00D93607"/>
    <w:rsid w:val="00D95E3B"/>
    <w:rsid w:val="00D97AFF"/>
    <w:rsid w:val="00DA00C4"/>
    <w:rsid w:val="00DA2CC3"/>
    <w:rsid w:val="00DA5D14"/>
    <w:rsid w:val="00DA71BD"/>
    <w:rsid w:val="00DA777F"/>
    <w:rsid w:val="00DA7D2B"/>
    <w:rsid w:val="00DB0376"/>
    <w:rsid w:val="00DB4160"/>
    <w:rsid w:val="00DB52FE"/>
    <w:rsid w:val="00DB6BEF"/>
    <w:rsid w:val="00DB79E0"/>
    <w:rsid w:val="00DC0451"/>
    <w:rsid w:val="00DC16A0"/>
    <w:rsid w:val="00DC46DB"/>
    <w:rsid w:val="00DD0465"/>
    <w:rsid w:val="00DD134F"/>
    <w:rsid w:val="00DD29D1"/>
    <w:rsid w:val="00DD343C"/>
    <w:rsid w:val="00DD37EB"/>
    <w:rsid w:val="00DD3882"/>
    <w:rsid w:val="00DD3D3E"/>
    <w:rsid w:val="00DD6A14"/>
    <w:rsid w:val="00DD7298"/>
    <w:rsid w:val="00DE390B"/>
    <w:rsid w:val="00DE3A8A"/>
    <w:rsid w:val="00DE3CCE"/>
    <w:rsid w:val="00DE4B0A"/>
    <w:rsid w:val="00DE6441"/>
    <w:rsid w:val="00DF45E4"/>
    <w:rsid w:val="00DF466B"/>
    <w:rsid w:val="00DF4C12"/>
    <w:rsid w:val="00DF5330"/>
    <w:rsid w:val="00DF6231"/>
    <w:rsid w:val="00DF62D4"/>
    <w:rsid w:val="00E01A5C"/>
    <w:rsid w:val="00E02DF6"/>
    <w:rsid w:val="00E07EC5"/>
    <w:rsid w:val="00E12E0B"/>
    <w:rsid w:val="00E1308D"/>
    <w:rsid w:val="00E15594"/>
    <w:rsid w:val="00E166C0"/>
    <w:rsid w:val="00E2271E"/>
    <w:rsid w:val="00E2332E"/>
    <w:rsid w:val="00E23706"/>
    <w:rsid w:val="00E312D2"/>
    <w:rsid w:val="00E3175D"/>
    <w:rsid w:val="00E357AF"/>
    <w:rsid w:val="00E370D6"/>
    <w:rsid w:val="00E37266"/>
    <w:rsid w:val="00E42C98"/>
    <w:rsid w:val="00E43A95"/>
    <w:rsid w:val="00E43E7B"/>
    <w:rsid w:val="00E44C9B"/>
    <w:rsid w:val="00E460E1"/>
    <w:rsid w:val="00E51377"/>
    <w:rsid w:val="00E534DF"/>
    <w:rsid w:val="00E54F6D"/>
    <w:rsid w:val="00E55063"/>
    <w:rsid w:val="00E57455"/>
    <w:rsid w:val="00E57881"/>
    <w:rsid w:val="00E613CD"/>
    <w:rsid w:val="00E631C6"/>
    <w:rsid w:val="00E66CF0"/>
    <w:rsid w:val="00E67A80"/>
    <w:rsid w:val="00E67DC0"/>
    <w:rsid w:val="00E7334F"/>
    <w:rsid w:val="00E733A4"/>
    <w:rsid w:val="00E74623"/>
    <w:rsid w:val="00E747A2"/>
    <w:rsid w:val="00E7499B"/>
    <w:rsid w:val="00E767FA"/>
    <w:rsid w:val="00E81889"/>
    <w:rsid w:val="00E825BA"/>
    <w:rsid w:val="00E828F4"/>
    <w:rsid w:val="00E856CF"/>
    <w:rsid w:val="00E8657F"/>
    <w:rsid w:val="00E86DA3"/>
    <w:rsid w:val="00E91333"/>
    <w:rsid w:val="00E9601F"/>
    <w:rsid w:val="00E9653D"/>
    <w:rsid w:val="00E96C9A"/>
    <w:rsid w:val="00E976C4"/>
    <w:rsid w:val="00EA1342"/>
    <w:rsid w:val="00EA5BD9"/>
    <w:rsid w:val="00EA6973"/>
    <w:rsid w:val="00EB02C6"/>
    <w:rsid w:val="00EB03E6"/>
    <w:rsid w:val="00EB3867"/>
    <w:rsid w:val="00EB3ED7"/>
    <w:rsid w:val="00EB47DF"/>
    <w:rsid w:val="00EB6BF1"/>
    <w:rsid w:val="00EB6D4A"/>
    <w:rsid w:val="00EC07FD"/>
    <w:rsid w:val="00EC26A1"/>
    <w:rsid w:val="00EC2C97"/>
    <w:rsid w:val="00EC509A"/>
    <w:rsid w:val="00EC7FD7"/>
    <w:rsid w:val="00ED0365"/>
    <w:rsid w:val="00ED0ED0"/>
    <w:rsid w:val="00ED1E29"/>
    <w:rsid w:val="00ED1F55"/>
    <w:rsid w:val="00ED3313"/>
    <w:rsid w:val="00ED4FDC"/>
    <w:rsid w:val="00EE0699"/>
    <w:rsid w:val="00EE177F"/>
    <w:rsid w:val="00EF2A65"/>
    <w:rsid w:val="00EF31DE"/>
    <w:rsid w:val="00EF3CB0"/>
    <w:rsid w:val="00EF63BC"/>
    <w:rsid w:val="00EF6AA4"/>
    <w:rsid w:val="00EF74D1"/>
    <w:rsid w:val="00F009EE"/>
    <w:rsid w:val="00F020B5"/>
    <w:rsid w:val="00F02768"/>
    <w:rsid w:val="00F02FD3"/>
    <w:rsid w:val="00F03527"/>
    <w:rsid w:val="00F0455C"/>
    <w:rsid w:val="00F07826"/>
    <w:rsid w:val="00F078B2"/>
    <w:rsid w:val="00F07FD2"/>
    <w:rsid w:val="00F10DA1"/>
    <w:rsid w:val="00F1128B"/>
    <w:rsid w:val="00F1296E"/>
    <w:rsid w:val="00F14005"/>
    <w:rsid w:val="00F146F5"/>
    <w:rsid w:val="00F14A1A"/>
    <w:rsid w:val="00F14DBC"/>
    <w:rsid w:val="00F15764"/>
    <w:rsid w:val="00F177C0"/>
    <w:rsid w:val="00F212E7"/>
    <w:rsid w:val="00F252E7"/>
    <w:rsid w:val="00F2761D"/>
    <w:rsid w:val="00F30437"/>
    <w:rsid w:val="00F31A14"/>
    <w:rsid w:val="00F3258B"/>
    <w:rsid w:val="00F349D5"/>
    <w:rsid w:val="00F36318"/>
    <w:rsid w:val="00F375BD"/>
    <w:rsid w:val="00F43D90"/>
    <w:rsid w:val="00F44433"/>
    <w:rsid w:val="00F45B7D"/>
    <w:rsid w:val="00F4711F"/>
    <w:rsid w:val="00F471EB"/>
    <w:rsid w:val="00F54CF7"/>
    <w:rsid w:val="00F557F0"/>
    <w:rsid w:val="00F55CBE"/>
    <w:rsid w:val="00F55CFE"/>
    <w:rsid w:val="00F56BE8"/>
    <w:rsid w:val="00F56D31"/>
    <w:rsid w:val="00F61F22"/>
    <w:rsid w:val="00F67F07"/>
    <w:rsid w:val="00F72988"/>
    <w:rsid w:val="00F75765"/>
    <w:rsid w:val="00F77FC0"/>
    <w:rsid w:val="00F80858"/>
    <w:rsid w:val="00F81369"/>
    <w:rsid w:val="00F837E3"/>
    <w:rsid w:val="00F8430A"/>
    <w:rsid w:val="00F84F37"/>
    <w:rsid w:val="00F8599B"/>
    <w:rsid w:val="00F85DEF"/>
    <w:rsid w:val="00F863F7"/>
    <w:rsid w:val="00F90C56"/>
    <w:rsid w:val="00F929D2"/>
    <w:rsid w:val="00F94152"/>
    <w:rsid w:val="00F95908"/>
    <w:rsid w:val="00FA031C"/>
    <w:rsid w:val="00FA0C26"/>
    <w:rsid w:val="00FA7868"/>
    <w:rsid w:val="00FB4146"/>
    <w:rsid w:val="00FB71F4"/>
    <w:rsid w:val="00FD0042"/>
    <w:rsid w:val="00FD067D"/>
    <w:rsid w:val="00FD06B1"/>
    <w:rsid w:val="00FD1975"/>
    <w:rsid w:val="00FD2A15"/>
    <w:rsid w:val="00FD2EE9"/>
    <w:rsid w:val="00FD3648"/>
    <w:rsid w:val="00FD509D"/>
    <w:rsid w:val="00FD71AB"/>
    <w:rsid w:val="00FD764D"/>
    <w:rsid w:val="00FE0A4F"/>
    <w:rsid w:val="00FE451A"/>
    <w:rsid w:val="00FE46B2"/>
    <w:rsid w:val="00FE49EA"/>
    <w:rsid w:val="00FE4B87"/>
    <w:rsid w:val="00FE6423"/>
    <w:rsid w:val="00FE71BD"/>
    <w:rsid w:val="00FF099A"/>
    <w:rsid w:val="00FF1E41"/>
    <w:rsid w:val="00FF3EE6"/>
    <w:rsid w:val="00FF44FA"/>
    <w:rsid w:val="00FF61D8"/>
    <w:rsid w:val="00FF733D"/>
    <w:rsid w:val="00FF73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24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7C1"/>
    <w:rPr>
      <w:sz w:val="24"/>
      <w:szCs w:val="24"/>
    </w:rPr>
  </w:style>
  <w:style w:type="paragraph" w:styleId="Heading1">
    <w:name w:val="heading 1"/>
    <w:basedOn w:val="Normal"/>
    <w:next w:val="Normal"/>
    <w:link w:val="Heading1Char"/>
    <w:qFormat/>
    <w:locked/>
    <w:rsid w:val="00582B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071E56"/>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9813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FD1975"/>
    <w:rPr>
      <w:rFonts w:ascii="Cambria" w:hAnsi="Cambria" w:cs="Times New Roman"/>
      <w:b/>
      <w:bCs/>
      <w:sz w:val="26"/>
      <w:szCs w:val="26"/>
    </w:rPr>
  </w:style>
  <w:style w:type="paragraph" w:styleId="EndnoteText">
    <w:name w:val="endnote text"/>
    <w:basedOn w:val="Normal"/>
    <w:link w:val="EndnoteTextChar"/>
    <w:uiPriority w:val="99"/>
    <w:semiHidden/>
    <w:rsid w:val="000C1FE5"/>
    <w:rPr>
      <w:rFonts w:eastAsia="Batang"/>
      <w:sz w:val="20"/>
      <w:szCs w:val="20"/>
      <w:lang w:eastAsia="ko-KR"/>
    </w:rPr>
  </w:style>
  <w:style w:type="character" w:customStyle="1" w:styleId="EndnoteTextChar">
    <w:name w:val="Endnote Text Char"/>
    <w:basedOn w:val="DefaultParagraphFont"/>
    <w:link w:val="EndnoteText"/>
    <w:uiPriority w:val="99"/>
    <w:semiHidden/>
    <w:locked/>
    <w:rsid w:val="00FD1975"/>
    <w:rPr>
      <w:rFonts w:cs="Times New Roman"/>
      <w:sz w:val="20"/>
      <w:szCs w:val="20"/>
    </w:rPr>
  </w:style>
  <w:style w:type="character" w:styleId="EndnoteReference">
    <w:name w:val="endnote reference"/>
    <w:basedOn w:val="DefaultParagraphFont"/>
    <w:uiPriority w:val="99"/>
    <w:semiHidden/>
    <w:rsid w:val="000C1FE5"/>
    <w:rPr>
      <w:rFonts w:cs="Times New Roman"/>
      <w:vertAlign w:val="superscript"/>
    </w:rPr>
  </w:style>
  <w:style w:type="paragraph" w:styleId="E-mailSignature">
    <w:name w:val="E-mail Signature"/>
    <w:basedOn w:val="Normal"/>
    <w:link w:val="E-mailSignatureChar"/>
    <w:uiPriority w:val="99"/>
    <w:rsid w:val="00713D78"/>
  </w:style>
  <w:style w:type="character" w:customStyle="1" w:styleId="E-mailSignatureChar">
    <w:name w:val="E-mail Signature Char"/>
    <w:basedOn w:val="DefaultParagraphFont"/>
    <w:link w:val="E-mailSignature"/>
    <w:uiPriority w:val="99"/>
    <w:locked/>
    <w:rsid w:val="00FD1975"/>
    <w:rPr>
      <w:rFonts w:cs="Times New Roman"/>
      <w:sz w:val="24"/>
      <w:szCs w:val="24"/>
    </w:rPr>
  </w:style>
  <w:style w:type="table" w:styleId="TableGrid">
    <w:name w:val="Table Grid"/>
    <w:basedOn w:val="TableNormal"/>
    <w:uiPriority w:val="99"/>
    <w:rsid w:val="00071E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StandParaChar">
    <w:name w:val="P1-Stand Para Char"/>
    <w:basedOn w:val="DefaultParagraphFont"/>
    <w:link w:val="P1-StandPara"/>
    <w:uiPriority w:val="99"/>
    <w:locked/>
    <w:rsid w:val="00071E56"/>
    <w:rPr>
      <w:rFonts w:cs="Times New Roman"/>
      <w:sz w:val="24"/>
      <w:szCs w:val="24"/>
      <w:lang w:val="en-US" w:eastAsia="en-US" w:bidi="ar-SA"/>
    </w:rPr>
  </w:style>
  <w:style w:type="paragraph" w:customStyle="1" w:styleId="P1-StandPara">
    <w:name w:val="P1-Stand Para"/>
    <w:link w:val="P1-StandParaChar"/>
    <w:uiPriority w:val="99"/>
    <w:rsid w:val="00071E56"/>
    <w:pPr>
      <w:spacing w:line="240" w:lineRule="atLeast"/>
      <w:jc w:val="both"/>
    </w:pPr>
    <w:rPr>
      <w:szCs w:val="24"/>
    </w:rPr>
  </w:style>
  <w:style w:type="paragraph" w:customStyle="1" w:styleId="SL-FlLftSgl">
    <w:name w:val="SL-Fl Lft Sgl"/>
    <w:uiPriority w:val="99"/>
    <w:rsid w:val="00071E56"/>
    <w:pPr>
      <w:spacing w:line="240" w:lineRule="atLeast"/>
      <w:jc w:val="both"/>
    </w:pPr>
    <w:rPr>
      <w:szCs w:val="20"/>
    </w:rPr>
  </w:style>
  <w:style w:type="paragraph" w:styleId="Date">
    <w:name w:val="Date"/>
    <w:basedOn w:val="Normal"/>
    <w:next w:val="Normal"/>
    <w:link w:val="DateChar"/>
    <w:uiPriority w:val="99"/>
    <w:rsid w:val="00071E56"/>
  </w:style>
  <w:style w:type="character" w:customStyle="1" w:styleId="DateChar">
    <w:name w:val="Date Char"/>
    <w:basedOn w:val="DefaultParagraphFont"/>
    <w:link w:val="Date"/>
    <w:uiPriority w:val="99"/>
    <w:semiHidden/>
    <w:locked/>
    <w:rsid w:val="00FD1975"/>
    <w:rPr>
      <w:rFonts w:cs="Times New Roman"/>
      <w:sz w:val="24"/>
      <w:szCs w:val="24"/>
    </w:rPr>
  </w:style>
  <w:style w:type="paragraph" w:styleId="Header">
    <w:name w:val="header"/>
    <w:basedOn w:val="Normal"/>
    <w:link w:val="HeaderChar"/>
    <w:uiPriority w:val="99"/>
    <w:rsid w:val="00AF1743"/>
    <w:pPr>
      <w:tabs>
        <w:tab w:val="center" w:pos="4320"/>
        <w:tab w:val="right" w:pos="8640"/>
      </w:tabs>
    </w:pPr>
  </w:style>
  <w:style w:type="character" w:customStyle="1" w:styleId="HeaderChar">
    <w:name w:val="Header Char"/>
    <w:basedOn w:val="DefaultParagraphFont"/>
    <w:link w:val="Header"/>
    <w:uiPriority w:val="99"/>
    <w:semiHidden/>
    <w:locked/>
    <w:rsid w:val="00FD1975"/>
    <w:rPr>
      <w:rFonts w:cs="Times New Roman"/>
      <w:sz w:val="24"/>
      <w:szCs w:val="24"/>
    </w:rPr>
  </w:style>
  <w:style w:type="paragraph" w:styleId="Footer">
    <w:name w:val="footer"/>
    <w:basedOn w:val="Normal"/>
    <w:link w:val="FooterChar"/>
    <w:uiPriority w:val="99"/>
    <w:rsid w:val="00AF1743"/>
    <w:pPr>
      <w:tabs>
        <w:tab w:val="center" w:pos="4320"/>
        <w:tab w:val="right" w:pos="8640"/>
      </w:tabs>
    </w:pPr>
  </w:style>
  <w:style w:type="character" w:customStyle="1" w:styleId="FooterChar">
    <w:name w:val="Footer Char"/>
    <w:basedOn w:val="DefaultParagraphFont"/>
    <w:link w:val="Footer"/>
    <w:uiPriority w:val="99"/>
    <w:locked/>
    <w:rsid w:val="00FD1975"/>
    <w:rPr>
      <w:rFonts w:cs="Times New Roman"/>
      <w:sz w:val="24"/>
      <w:szCs w:val="24"/>
    </w:rPr>
  </w:style>
  <w:style w:type="paragraph" w:styleId="BalloonText">
    <w:name w:val="Balloon Text"/>
    <w:basedOn w:val="Normal"/>
    <w:link w:val="BalloonTextChar"/>
    <w:uiPriority w:val="99"/>
    <w:semiHidden/>
    <w:rsid w:val="006805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1975"/>
    <w:rPr>
      <w:rFonts w:cs="Times New Roman"/>
      <w:sz w:val="2"/>
    </w:rPr>
  </w:style>
  <w:style w:type="character" w:styleId="Hyperlink">
    <w:name w:val="Hyperlink"/>
    <w:basedOn w:val="DefaultParagraphFont"/>
    <w:uiPriority w:val="99"/>
    <w:rsid w:val="006805A7"/>
    <w:rPr>
      <w:rFonts w:cs="Times New Roman"/>
      <w:color w:val="0000FF"/>
      <w:u w:val="single"/>
    </w:rPr>
  </w:style>
  <w:style w:type="character" w:styleId="PageNumber">
    <w:name w:val="page number"/>
    <w:basedOn w:val="DefaultParagraphFont"/>
    <w:uiPriority w:val="99"/>
    <w:rsid w:val="00005FF4"/>
    <w:rPr>
      <w:rFonts w:cs="Times New Roman"/>
    </w:rPr>
  </w:style>
  <w:style w:type="paragraph" w:styleId="TOC1">
    <w:name w:val="toc 1"/>
    <w:basedOn w:val="Normal"/>
    <w:next w:val="Normal"/>
    <w:autoRedefine/>
    <w:uiPriority w:val="99"/>
    <w:semiHidden/>
    <w:rsid w:val="004327F8"/>
    <w:rPr>
      <w:caps/>
    </w:rPr>
  </w:style>
  <w:style w:type="paragraph" w:styleId="TOC2">
    <w:name w:val="toc 2"/>
    <w:basedOn w:val="Normal"/>
    <w:next w:val="Normal"/>
    <w:autoRedefine/>
    <w:uiPriority w:val="99"/>
    <w:semiHidden/>
    <w:rsid w:val="004327F8"/>
    <w:pPr>
      <w:ind w:left="240"/>
    </w:pPr>
  </w:style>
  <w:style w:type="paragraph" w:styleId="TOC4">
    <w:name w:val="toc 4"/>
    <w:basedOn w:val="Normal"/>
    <w:next w:val="Normal"/>
    <w:autoRedefine/>
    <w:uiPriority w:val="99"/>
    <w:semiHidden/>
    <w:rsid w:val="00E976C4"/>
    <w:pPr>
      <w:tabs>
        <w:tab w:val="left" w:pos="1440"/>
        <w:tab w:val="right" w:leader="dot" w:pos="8630"/>
      </w:tabs>
      <w:spacing w:line="360" w:lineRule="auto"/>
      <w:ind w:left="1080" w:hanging="1080"/>
    </w:pPr>
    <w:rPr>
      <w:noProof/>
      <w:sz w:val="22"/>
      <w:szCs w:val="22"/>
    </w:rPr>
  </w:style>
  <w:style w:type="paragraph" w:styleId="TOC3">
    <w:name w:val="toc 3"/>
    <w:basedOn w:val="Normal"/>
    <w:next w:val="Normal"/>
    <w:autoRedefine/>
    <w:uiPriority w:val="99"/>
    <w:semiHidden/>
    <w:rsid w:val="00D45812"/>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482289"/>
    <w:pPr>
      <w:tabs>
        <w:tab w:val="right" w:leader="dot" w:pos="8630"/>
      </w:tabs>
      <w:spacing w:line="360" w:lineRule="auto"/>
      <w:ind w:left="1980" w:hanging="720"/>
    </w:pPr>
  </w:style>
  <w:style w:type="character" w:styleId="CommentReference">
    <w:name w:val="annotation reference"/>
    <w:basedOn w:val="DefaultParagraphFont"/>
    <w:uiPriority w:val="99"/>
    <w:semiHidden/>
    <w:rsid w:val="002279B5"/>
    <w:rPr>
      <w:rFonts w:cs="Times New Roman"/>
      <w:sz w:val="16"/>
      <w:szCs w:val="16"/>
    </w:rPr>
  </w:style>
  <w:style w:type="paragraph" w:styleId="CommentText">
    <w:name w:val="annotation text"/>
    <w:basedOn w:val="Normal"/>
    <w:link w:val="CommentTextChar"/>
    <w:uiPriority w:val="99"/>
    <w:semiHidden/>
    <w:rsid w:val="002279B5"/>
    <w:rPr>
      <w:sz w:val="20"/>
      <w:szCs w:val="20"/>
    </w:rPr>
  </w:style>
  <w:style w:type="character" w:customStyle="1" w:styleId="CommentTextChar">
    <w:name w:val="Comment Text Char"/>
    <w:basedOn w:val="DefaultParagraphFont"/>
    <w:link w:val="CommentText"/>
    <w:uiPriority w:val="99"/>
    <w:semiHidden/>
    <w:locked/>
    <w:rsid w:val="00FD1975"/>
    <w:rPr>
      <w:rFonts w:cs="Times New Roman"/>
      <w:sz w:val="20"/>
      <w:szCs w:val="20"/>
    </w:rPr>
  </w:style>
  <w:style w:type="paragraph" w:styleId="CommentSubject">
    <w:name w:val="annotation subject"/>
    <w:basedOn w:val="CommentText"/>
    <w:next w:val="CommentText"/>
    <w:link w:val="CommentSubjectChar"/>
    <w:uiPriority w:val="99"/>
    <w:semiHidden/>
    <w:rsid w:val="007E3DB7"/>
    <w:rPr>
      <w:b/>
      <w:bCs/>
    </w:rPr>
  </w:style>
  <w:style w:type="character" w:customStyle="1" w:styleId="CommentSubjectChar">
    <w:name w:val="Comment Subject Char"/>
    <w:basedOn w:val="CommentTextChar"/>
    <w:link w:val="CommentSubject"/>
    <w:uiPriority w:val="99"/>
    <w:semiHidden/>
    <w:locked/>
    <w:rsid w:val="00FD1975"/>
    <w:rPr>
      <w:rFonts w:cs="Times New Roman"/>
      <w:b/>
      <w:bCs/>
      <w:sz w:val="20"/>
      <w:szCs w:val="20"/>
    </w:rPr>
  </w:style>
  <w:style w:type="table" w:customStyle="1" w:styleId="TableNormal1">
    <w:name w:val="Table Normal1"/>
    <w:uiPriority w:val="99"/>
    <w:semiHidden/>
    <w:rsid w:val="00046AFF"/>
    <w:rPr>
      <w:rFonts w:ascii="CG Times (WN)" w:hAnsi="CG Times (WN)"/>
      <w:sz w:val="20"/>
      <w:szCs w:val="20"/>
      <w:lang w:eastAsia="zh-CN"/>
    </w:rPr>
    <w:tblPr>
      <w:tblInd w:w="0" w:type="dxa"/>
      <w:tblCellMar>
        <w:top w:w="0" w:type="dxa"/>
        <w:left w:w="108" w:type="dxa"/>
        <w:bottom w:w="0" w:type="dxa"/>
        <w:right w:w="108" w:type="dxa"/>
      </w:tblCellMar>
    </w:tblPr>
  </w:style>
  <w:style w:type="paragraph" w:styleId="BodyTextIndent">
    <w:name w:val="Body Text Indent"/>
    <w:basedOn w:val="Normal"/>
    <w:link w:val="BodyTextIndentChar"/>
    <w:uiPriority w:val="99"/>
    <w:rsid w:val="005D7995"/>
    <w:pPr>
      <w:ind w:right="-51" w:firstLine="1"/>
      <w:jc w:val="both"/>
    </w:pPr>
    <w:rPr>
      <w:rFonts w:ascii="Arial" w:hAnsi="Arial"/>
      <w:b/>
      <w:sz w:val="20"/>
      <w:szCs w:val="20"/>
      <w:lang w:val="pt-BR" w:eastAsia="pt-BR"/>
    </w:rPr>
  </w:style>
  <w:style w:type="character" w:customStyle="1" w:styleId="BodyTextIndentChar">
    <w:name w:val="Body Text Indent Char"/>
    <w:basedOn w:val="DefaultParagraphFont"/>
    <w:link w:val="BodyTextIndent"/>
    <w:uiPriority w:val="99"/>
    <w:semiHidden/>
    <w:locked/>
    <w:rsid w:val="00FD1975"/>
    <w:rPr>
      <w:rFonts w:cs="Times New Roman"/>
      <w:sz w:val="24"/>
      <w:szCs w:val="24"/>
    </w:rPr>
  </w:style>
  <w:style w:type="paragraph" w:customStyle="1" w:styleId="Response">
    <w:name w:val="Response"/>
    <w:basedOn w:val="Normal"/>
    <w:next w:val="Normal"/>
    <w:uiPriority w:val="99"/>
    <w:rsid w:val="008F3367"/>
    <w:pPr>
      <w:keepLines/>
      <w:widowControl w:val="0"/>
      <w:autoSpaceDE w:val="0"/>
      <w:autoSpaceDN w:val="0"/>
      <w:adjustRightInd w:val="0"/>
      <w:spacing w:after="80"/>
    </w:pPr>
    <w:rPr>
      <w:sz w:val="20"/>
      <w:szCs w:val="20"/>
    </w:rPr>
  </w:style>
  <w:style w:type="paragraph" w:styleId="ListParagraph">
    <w:name w:val="List Paragraph"/>
    <w:basedOn w:val="Normal"/>
    <w:uiPriority w:val="34"/>
    <w:qFormat/>
    <w:rsid w:val="009C0F80"/>
    <w:pPr>
      <w:ind w:left="720"/>
      <w:contextualSpacing/>
    </w:pPr>
  </w:style>
  <w:style w:type="character" w:customStyle="1" w:styleId="Heading1Char">
    <w:name w:val="Heading 1 Char"/>
    <w:basedOn w:val="DefaultParagraphFont"/>
    <w:link w:val="Heading1"/>
    <w:rsid w:val="00582B0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9813F8"/>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rsid w:val="009813F8"/>
    <w:pPr>
      <w:spacing w:before="100" w:beforeAutospacing="1" w:after="100" w:afterAutospacing="1"/>
    </w:pPr>
  </w:style>
  <w:style w:type="paragraph" w:customStyle="1" w:styleId="contribs">
    <w:name w:val="contribs"/>
    <w:basedOn w:val="Normal"/>
    <w:rsid w:val="00657E97"/>
    <w:pPr>
      <w:spacing w:before="210" w:after="210"/>
    </w:pPr>
  </w:style>
  <w:style w:type="paragraph" w:customStyle="1" w:styleId="Information">
    <w:name w:val="Information"/>
    <w:basedOn w:val="Normal"/>
    <w:next w:val="Response"/>
    <w:uiPriority w:val="99"/>
    <w:rsid w:val="00091CF4"/>
    <w:pPr>
      <w:keepLines/>
      <w:widowControl w:val="0"/>
      <w:autoSpaceDE w:val="0"/>
      <w:autoSpaceDN w:val="0"/>
      <w:adjustRightInd w:val="0"/>
      <w:spacing w:before="120" w:after="80"/>
    </w:pPr>
    <w:rPr>
      <w:rFonts w:eastAsiaTheme="minorEastAsia"/>
    </w:rPr>
  </w:style>
  <w:style w:type="paragraph" w:styleId="BodyText">
    <w:name w:val="Body Text"/>
    <w:basedOn w:val="Normal"/>
    <w:link w:val="BodyTextChar"/>
    <w:uiPriority w:val="99"/>
    <w:semiHidden/>
    <w:unhideWhenUsed/>
    <w:rsid w:val="00E357AF"/>
    <w:pPr>
      <w:spacing w:after="120"/>
    </w:pPr>
  </w:style>
  <w:style w:type="character" w:customStyle="1" w:styleId="BodyTextChar">
    <w:name w:val="Body Text Char"/>
    <w:basedOn w:val="DefaultParagraphFont"/>
    <w:link w:val="BodyText"/>
    <w:uiPriority w:val="99"/>
    <w:semiHidden/>
    <w:rsid w:val="00E357AF"/>
    <w:rPr>
      <w:sz w:val="24"/>
      <w:szCs w:val="24"/>
    </w:rPr>
  </w:style>
  <w:style w:type="character" w:customStyle="1" w:styleId="hps">
    <w:name w:val="hps"/>
    <w:basedOn w:val="DefaultParagraphFont"/>
    <w:rsid w:val="00E9601F"/>
  </w:style>
  <w:style w:type="character" w:customStyle="1" w:styleId="highlight">
    <w:name w:val="highlight"/>
    <w:basedOn w:val="DefaultParagraphFont"/>
    <w:rsid w:val="00F078B2"/>
  </w:style>
  <w:style w:type="paragraph" w:styleId="Revision">
    <w:name w:val="Revision"/>
    <w:hidden/>
    <w:uiPriority w:val="99"/>
    <w:semiHidden/>
    <w:rsid w:val="002F00D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7C1"/>
    <w:rPr>
      <w:sz w:val="24"/>
      <w:szCs w:val="24"/>
    </w:rPr>
  </w:style>
  <w:style w:type="paragraph" w:styleId="Heading1">
    <w:name w:val="heading 1"/>
    <w:basedOn w:val="Normal"/>
    <w:next w:val="Normal"/>
    <w:link w:val="Heading1Char"/>
    <w:qFormat/>
    <w:locked/>
    <w:rsid w:val="00582B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071E56"/>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9813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FD1975"/>
    <w:rPr>
      <w:rFonts w:ascii="Cambria" w:hAnsi="Cambria" w:cs="Times New Roman"/>
      <w:b/>
      <w:bCs/>
      <w:sz w:val="26"/>
      <w:szCs w:val="26"/>
    </w:rPr>
  </w:style>
  <w:style w:type="paragraph" w:styleId="EndnoteText">
    <w:name w:val="endnote text"/>
    <w:basedOn w:val="Normal"/>
    <w:link w:val="EndnoteTextChar"/>
    <w:uiPriority w:val="99"/>
    <w:semiHidden/>
    <w:rsid w:val="000C1FE5"/>
    <w:rPr>
      <w:rFonts w:eastAsia="Batang"/>
      <w:sz w:val="20"/>
      <w:szCs w:val="20"/>
      <w:lang w:eastAsia="ko-KR"/>
    </w:rPr>
  </w:style>
  <w:style w:type="character" w:customStyle="1" w:styleId="EndnoteTextChar">
    <w:name w:val="Endnote Text Char"/>
    <w:basedOn w:val="DefaultParagraphFont"/>
    <w:link w:val="EndnoteText"/>
    <w:uiPriority w:val="99"/>
    <w:semiHidden/>
    <w:locked/>
    <w:rsid w:val="00FD1975"/>
    <w:rPr>
      <w:rFonts w:cs="Times New Roman"/>
      <w:sz w:val="20"/>
      <w:szCs w:val="20"/>
    </w:rPr>
  </w:style>
  <w:style w:type="character" w:styleId="EndnoteReference">
    <w:name w:val="endnote reference"/>
    <w:basedOn w:val="DefaultParagraphFont"/>
    <w:uiPriority w:val="99"/>
    <w:semiHidden/>
    <w:rsid w:val="000C1FE5"/>
    <w:rPr>
      <w:rFonts w:cs="Times New Roman"/>
      <w:vertAlign w:val="superscript"/>
    </w:rPr>
  </w:style>
  <w:style w:type="paragraph" w:styleId="E-mailSignature">
    <w:name w:val="E-mail Signature"/>
    <w:basedOn w:val="Normal"/>
    <w:link w:val="E-mailSignatureChar"/>
    <w:uiPriority w:val="99"/>
    <w:rsid w:val="00713D78"/>
  </w:style>
  <w:style w:type="character" w:customStyle="1" w:styleId="E-mailSignatureChar">
    <w:name w:val="E-mail Signature Char"/>
    <w:basedOn w:val="DefaultParagraphFont"/>
    <w:link w:val="E-mailSignature"/>
    <w:uiPriority w:val="99"/>
    <w:locked/>
    <w:rsid w:val="00FD1975"/>
    <w:rPr>
      <w:rFonts w:cs="Times New Roman"/>
      <w:sz w:val="24"/>
      <w:szCs w:val="24"/>
    </w:rPr>
  </w:style>
  <w:style w:type="table" w:styleId="TableGrid">
    <w:name w:val="Table Grid"/>
    <w:basedOn w:val="TableNormal"/>
    <w:uiPriority w:val="99"/>
    <w:rsid w:val="00071E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StandParaChar">
    <w:name w:val="P1-Stand Para Char"/>
    <w:basedOn w:val="DefaultParagraphFont"/>
    <w:link w:val="P1-StandPara"/>
    <w:uiPriority w:val="99"/>
    <w:locked/>
    <w:rsid w:val="00071E56"/>
    <w:rPr>
      <w:rFonts w:cs="Times New Roman"/>
      <w:sz w:val="24"/>
      <w:szCs w:val="24"/>
      <w:lang w:val="en-US" w:eastAsia="en-US" w:bidi="ar-SA"/>
    </w:rPr>
  </w:style>
  <w:style w:type="paragraph" w:customStyle="1" w:styleId="P1-StandPara">
    <w:name w:val="P1-Stand Para"/>
    <w:link w:val="P1-StandParaChar"/>
    <w:uiPriority w:val="99"/>
    <w:rsid w:val="00071E56"/>
    <w:pPr>
      <w:spacing w:line="240" w:lineRule="atLeast"/>
      <w:jc w:val="both"/>
    </w:pPr>
    <w:rPr>
      <w:szCs w:val="24"/>
    </w:rPr>
  </w:style>
  <w:style w:type="paragraph" w:customStyle="1" w:styleId="SL-FlLftSgl">
    <w:name w:val="SL-Fl Lft Sgl"/>
    <w:uiPriority w:val="99"/>
    <w:rsid w:val="00071E56"/>
    <w:pPr>
      <w:spacing w:line="240" w:lineRule="atLeast"/>
      <w:jc w:val="both"/>
    </w:pPr>
    <w:rPr>
      <w:szCs w:val="20"/>
    </w:rPr>
  </w:style>
  <w:style w:type="paragraph" w:styleId="Date">
    <w:name w:val="Date"/>
    <w:basedOn w:val="Normal"/>
    <w:next w:val="Normal"/>
    <w:link w:val="DateChar"/>
    <w:uiPriority w:val="99"/>
    <w:rsid w:val="00071E56"/>
  </w:style>
  <w:style w:type="character" w:customStyle="1" w:styleId="DateChar">
    <w:name w:val="Date Char"/>
    <w:basedOn w:val="DefaultParagraphFont"/>
    <w:link w:val="Date"/>
    <w:uiPriority w:val="99"/>
    <w:semiHidden/>
    <w:locked/>
    <w:rsid w:val="00FD1975"/>
    <w:rPr>
      <w:rFonts w:cs="Times New Roman"/>
      <w:sz w:val="24"/>
      <w:szCs w:val="24"/>
    </w:rPr>
  </w:style>
  <w:style w:type="paragraph" w:styleId="Header">
    <w:name w:val="header"/>
    <w:basedOn w:val="Normal"/>
    <w:link w:val="HeaderChar"/>
    <w:uiPriority w:val="99"/>
    <w:rsid w:val="00AF1743"/>
    <w:pPr>
      <w:tabs>
        <w:tab w:val="center" w:pos="4320"/>
        <w:tab w:val="right" w:pos="8640"/>
      </w:tabs>
    </w:pPr>
  </w:style>
  <w:style w:type="character" w:customStyle="1" w:styleId="HeaderChar">
    <w:name w:val="Header Char"/>
    <w:basedOn w:val="DefaultParagraphFont"/>
    <w:link w:val="Header"/>
    <w:uiPriority w:val="99"/>
    <w:semiHidden/>
    <w:locked/>
    <w:rsid w:val="00FD1975"/>
    <w:rPr>
      <w:rFonts w:cs="Times New Roman"/>
      <w:sz w:val="24"/>
      <w:szCs w:val="24"/>
    </w:rPr>
  </w:style>
  <w:style w:type="paragraph" w:styleId="Footer">
    <w:name w:val="footer"/>
    <w:basedOn w:val="Normal"/>
    <w:link w:val="FooterChar"/>
    <w:uiPriority w:val="99"/>
    <w:rsid w:val="00AF1743"/>
    <w:pPr>
      <w:tabs>
        <w:tab w:val="center" w:pos="4320"/>
        <w:tab w:val="right" w:pos="8640"/>
      </w:tabs>
    </w:pPr>
  </w:style>
  <w:style w:type="character" w:customStyle="1" w:styleId="FooterChar">
    <w:name w:val="Footer Char"/>
    <w:basedOn w:val="DefaultParagraphFont"/>
    <w:link w:val="Footer"/>
    <w:uiPriority w:val="99"/>
    <w:locked/>
    <w:rsid w:val="00FD1975"/>
    <w:rPr>
      <w:rFonts w:cs="Times New Roman"/>
      <w:sz w:val="24"/>
      <w:szCs w:val="24"/>
    </w:rPr>
  </w:style>
  <w:style w:type="paragraph" w:styleId="BalloonText">
    <w:name w:val="Balloon Text"/>
    <w:basedOn w:val="Normal"/>
    <w:link w:val="BalloonTextChar"/>
    <w:uiPriority w:val="99"/>
    <w:semiHidden/>
    <w:rsid w:val="006805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1975"/>
    <w:rPr>
      <w:rFonts w:cs="Times New Roman"/>
      <w:sz w:val="2"/>
    </w:rPr>
  </w:style>
  <w:style w:type="character" w:styleId="Hyperlink">
    <w:name w:val="Hyperlink"/>
    <w:basedOn w:val="DefaultParagraphFont"/>
    <w:uiPriority w:val="99"/>
    <w:rsid w:val="006805A7"/>
    <w:rPr>
      <w:rFonts w:cs="Times New Roman"/>
      <w:color w:val="0000FF"/>
      <w:u w:val="single"/>
    </w:rPr>
  </w:style>
  <w:style w:type="character" w:styleId="PageNumber">
    <w:name w:val="page number"/>
    <w:basedOn w:val="DefaultParagraphFont"/>
    <w:uiPriority w:val="99"/>
    <w:rsid w:val="00005FF4"/>
    <w:rPr>
      <w:rFonts w:cs="Times New Roman"/>
    </w:rPr>
  </w:style>
  <w:style w:type="paragraph" w:styleId="TOC1">
    <w:name w:val="toc 1"/>
    <w:basedOn w:val="Normal"/>
    <w:next w:val="Normal"/>
    <w:autoRedefine/>
    <w:uiPriority w:val="99"/>
    <w:semiHidden/>
    <w:rsid w:val="004327F8"/>
    <w:rPr>
      <w:caps/>
    </w:rPr>
  </w:style>
  <w:style w:type="paragraph" w:styleId="TOC2">
    <w:name w:val="toc 2"/>
    <w:basedOn w:val="Normal"/>
    <w:next w:val="Normal"/>
    <w:autoRedefine/>
    <w:uiPriority w:val="99"/>
    <w:semiHidden/>
    <w:rsid w:val="004327F8"/>
    <w:pPr>
      <w:ind w:left="240"/>
    </w:pPr>
  </w:style>
  <w:style w:type="paragraph" w:styleId="TOC4">
    <w:name w:val="toc 4"/>
    <w:basedOn w:val="Normal"/>
    <w:next w:val="Normal"/>
    <w:autoRedefine/>
    <w:uiPriority w:val="99"/>
    <w:semiHidden/>
    <w:rsid w:val="00E976C4"/>
    <w:pPr>
      <w:tabs>
        <w:tab w:val="left" w:pos="1440"/>
        <w:tab w:val="right" w:leader="dot" w:pos="8630"/>
      </w:tabs>
      <w:spacing w:line="360" w:lineRule="auto"/>
      <w:ind w:left="1080" w:hanging="1080"/>
    </w:pPr>
    <w:rPr>
      <w:noProof/>
      <w:sz w:val="22"/>
      <w:szCs w:val="22"/>
    </w:rPr>
  </w:style>
  <w:style w:type="paragraph" w:styleId="TOC3">
    <w:name w:val="toc 3"/>
    <w:basedOn w:val="Normal"/>
    <w:next w:val="Normal"/>
    <w:autoRedefine/>
    <w:uiPriority w:val="99"/>
    <w:semiHidden/>
    <w:rsid w:val="00D45812"/>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482289"/>
    <w:pPr>
      <w:tabs>
        <w:tab w:val="right" w:leader="dot" w:pos="8630"/>
      </w:tabs>
      <w:spacing w:line="360" w:lineRule="auto"/>
      <w:ind w:left="1980" w:hanging="720"/>
    </w:pPr>
  </w:style>
  <w:style w:type="character" w:styleId="CommentReference">
    <w:name w:val="annotation reference"/>
    <w:basedOn w:val="DefaultParagraphFont"/>
    <w:uiPriority w:val="99"/>
    <w:semiHidden/>
    <w:rsid w:val="002279B5"/>
    <w:rPr>
      <w:rFonts w:cs="Times New Roman"/>
      <w:sz w:val="16"/>
      <w:szCs w:val="16"/>
    </w:rPr>
  </w:style>
  <w:style w:type="paragraph" w:styleId="CommentText">
    <w:name w:val="annotation text"/>
    <w:basedOn w:val="Normal"/>
    <w:link w:val="CommentTextChar"/>
    <w:uiPriority w:val="99"/>
    <w:semiHidden/>
    <w:rsid w:val="002279B5"/>
    <w:rPr>
      <w:sz w:val="20"/>
      <w:szCs w:val="20"/>
    </w:rPr>
  </w:style>
  <w:style w:type="character" w:customStyle="1" w:styleId="CommentTextChar">
    <w:name w:val="Comment Text Char"/>
    <w:basedOn w:val="DefaultParagraphFont"/>
    <w:link w:val="CommentText"/>
    <w:uiPriority w:val="99"/>
    <w:semiHidden/>
    <w:locked/>
    <w:rsid w:val="00FD1975"/>
    <w:rPr>
      <w:rFonts w:cs="Times New Roman"/>
      <w:sz w:val="20"/>
      <w:szCs w:val="20"/>
    </w:rPr>
  </w:style>
  <w:style w:type="paragraph" w:styleId="CommentSubject">
    <w:name w:val="annotation subject"/>
    <w:basedOn w:val="CommentText"/>
    <w:next w:val="CommentText"/>
    <w:link w:val="CommentSubjectChar"/>
    <w:uiPriority w:val="99"/>
    <w:semiHidden/>
    <w:rsid w:val="007E3DB7"/>
    <w:rPr>
      <w:b/>
      <w:bCs/>
    </w:rPr>
  </w:style>
  <w:style w:type="character" w:customStyle="1" w:styleId="CommentSubjectChar">
    <w:name w:val="Comment Subject Char"/>
    <w:basedOn w:val="CommentTextChar"/>
    <w:link w:val="CommentSubject"/>
    <w:uiPriority w:val="99"/>
    <w:semiHidden/>
    <w:locked/>
    <w:rsid w:val="00FD1975"/>
    <w:rPr>
      <w:rFonts w:cs="Times New Roman"/>
      <w:b/>
      <w:bCs/>
      <w:sz w:val="20"/>
      <w:szCs w:val="20"/>
    </w:rPr>
  </w:style>
  <w:style w:type="table" w:customStyle="1" w:styleId="TableNormal1">
    <w:name w:val="Table Normal1"/>
    <w:uiPriority w:val="99"/>
    <w:semiHidden/>
    <w:rsid w:val="00046AFF"/>
    <w:rPr>
      <w:rFonts w:ascii="CG Times (WN)" w:hAnsi="CG Times (WN)"/>
      <w:sz w:val="20"/>
      <w:szCs w:val="20"/>
      <w:lang w:eastAsia="zh-CN"/>
    </w:rPr>
    <w:tblPr>
      <w:tblInd w:w="0" w:type="dxa"/>
      <w:tblCellMar>
        <w:top w:w="0" w:type="dxa"/>
        <w:left w:w="108" w:type="dxa"/>
        <w:bottom w:w="0" w:type="dxa"/>
        <w:right w:w="108" w:type="dxa"/>
      </w:tblCellMar>
    </w:tblPr>
  </w:style>
  <w:style w:type="paragraph" w:styleId="BodyTextIndent">
    <w:name w:val="Body Text Indent"/>
    <w:basedOn w:val="Normal"/>
    <w:link w:val="BodyTextIndentChar"/>
    <w:uiPriority w:val="99"/>
    <w:rsid w:val="005D7995"/>
    <w:pPr>
      <w:ind w:right="-51" w:firstLine="1"/>
      <w:jc w:val="both"/>
    </w:pPr>
    <w:rPr>
      <w:rFonts w:ascii="Arial" w:hAnsi="Arial"/>
      <w:b/>
      <w:sz w:val="20"/>
      <w:szCs w:val="20"/>
      <w:lang w:val="pt-BR" w:eastAsia="pt-BR"/>
    </w:rPr>
  </w:style>
  <w:style w:type="character" w:customStyle="1" w:styleId="BodyTextIndentChar">
    <w:name w:val="Body Text Indent Char"/>
    <w:basedOn w:val="DefaultParagraphFont"/>
    <w:link w:val="BodyTextIndent"/>
    <w:uiPriority w:val="99"/>
    <w:semiHidden/>
    <w:locked/>
    <w:rsid w:val="00FD1975"/>
    <w:rPr>
      <w:rFonts w:cs="Times New Roman"/>
      <w:sz w:val="24"/>
      <w:szCs w:val="24"/>
    </w:rPr>
  </w:style>
  <w:style w:type="paragraph" w:customStyle="1" w:styleId="Response">
    <w:name w:val="Response"/>
    <w:basedOn w:val="Normal"/>
    <w:next w:val="Normal"/>
    <w:uiPriority w:val="99"/>
    <w:rsid w:val="008F3367"/>
    <w:pPr>
      <w:keepLines/>
      <w:widowControl w:val="0"/>
      <w:autoSpaceDE w:val="0"/>
      <w:autoSpaceDN w:val="0"/>
      <w:adjustRightInd w:val="0"/>
      <w:spacing w:after="80"/>
    </w:pPr>
    <w:rPr>
      <w:sz w:val="20"/>
      <w:szCs w:val="20"/>
    </w:rPr>
  </w:style>
  <w:style w:type="paragraph" w:styleId="ListParagraph">
    <w:name w:val="List Paragraph"/>
    <w:basedOn w:val="Normal"/>
    <w:uiPriority w:val="34"/>
    <w:qFormat/>
    <w:rsid w:val="009C0F80"/>
    <w:pPr>
      <w:ind w:left="720"/>
      <w:contextualSpacing/>
    </w:pPr>
  </w:style>
  <w:style w:type="character" w:customStyle="1" w:styleId="Heading1Char">
    <w:name w:val="Heading 1 Char"/>
    <w:basedOn w:val="DefaultParagraphFont"/>
    <w:link w:val="Heading1"/>
    <w:rsid w:val="00582B0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9813F8"/>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rsid w:val="009813F8"/>
    <w:pPr>
      <w:spacing w:before="100" w:beforeAutospacing="1" w:after="100" w:afterAutospacing="1"/>
    </w:pPr>
  </w:style>
  <w:style w:type="paragraph" w:customStyle="1" w:styleId="contribs">
    <w:name w:val="contribs"/>
    <w:basedOn w:val="Normal"/>
    <w:rsid w:val="00657E97"/>
    <w:pPr>
      <w:spacing w:before="210" w:after="210"/>
    </w:pPr>
  </w:style>
  <w:style w:type="paragraph" w:customStyle="1" w:styleId="Information">
    <w:name w:val="Information"/>
    <w:basedOn w:val="Normal"/>
    <w:next w:val="Response"/>
    <w:uiPriority w:val="99"/>
    <w:rsid w:val="00091CF4"/>
    <w:pPr>
      <w:keepLines/>
      <w:widowControl w:val="0"/>
      <w:autoSpaceDE w:val="0"/>
      <w:autoSpaceDN w:val="0"/>
      <w:adjustRightInd w:val="0"/>
      <w:spacing w:before="120" w:after="80"/>
    </w:pPr>
    <w:rPr>
      <w:rFonts w:eastAsiaTheme="minorEastAsia"/>
    </w:rPr>
  </w:style>
  <w:style w:type="paragraph" w:styleId="BodyText">
    <w:name w:val="Body Text"/>
    <w:basedOn w:val="Normal"/>
    <w:link w:val="BodyTextChar"/>
    <w:uiPriority w:val="99"/>
    <w:semiHidden/>
    <w:unhideWhenUsed/>
    <w:rsid w:val="00E357AF"/>
    <w:pPr>
      <w:spacing w:after="120"/>
    </w:pPr>
  </w:style>
  <w:style w:type="character" w:customStyle="1" w:styleId="BodyTextChar">
    <w:name w:val="Body Text Char"/>
    <w:basedOn w:val="DefaultParagraphFont"/>
    <w:link w:val="BodyText"/>
    <w:uiPriority w:val="99"/>
    <w:semiHidden/>
    <w:rsid w:val="00E357AF"/>
    <w:rPr>
      <w:sz w:val="24"/>
      <w:szCs w:val="24"/>
    </w:rPr>
  </w:style>
  <w:style w:type="character" w:customStyle="1" w:styleId="hps">
    <w:name w:val="hps"/>
    <w:basedOn w:val="DefaultParagraphFont"/>
    <w:rsid w:val="00E9601F"/>
  </w:style>
  <w:style w:type="character" w:customStyle="1" w:styleId="highlight">
    <w:name w:val="highlight"/>
    <w:basedOn w:val="DefaultParagraphFont"/>
    <w:rsid w:val="00F078B2"/>
  </w:style>
  <w:style w:type="paragraph" w:styleId="Revision">
    <w:name w:val="Revision"/>
    <w:hidden/>
    <w:uiPriority w:val="99"/>
    <w:semiHidden/>
    <w:rsid w:val="002F00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92902">
      <w:bodyDiv w:val="1"/>
      <w:marLeft w:val="0"/>
      <w:marRight w:val="0"/>
      <w:marTop w:val="0"/>
      <w:marBottom w:val="0"/>
      <w:divBdr>
        <w:top w:val="none" w:sz="0" w:space="0" w:color="auto"/>
        <w:left w:val="none" w:sz="0" w:space="0" w:color="auto"/>
        <w:bottom w:val="none" w:sz="0" w:space="0" w:color="auto"/>
        <w:right w:val="none" w:sz="0" w:space="0" w:color="auto"/>
      </w:divBdr>
    </w:div>
    <w:div w:id="652026477">
      <w:bodyDiv w:val="1"/>
      <w:marLeft w:val="0"/>
      <w:marRight w:val="0"/>
      <w:marTop w:val="0"/>
      <w:marBottom w:val="0"/>
      <w:divBdr>
        <w:top w:val="none" w:sz="0" w:space="0" w:color="auto"/>
        <w:left w:val="none" w:sz="0" w:space="0" w:color="auto"/>
        <w:bottom w:val="none" w:sz="0" w:space="0" w:color="auto"/>
        <w:right w:val="none" w:sz="0" w:space="0" w:color="auto"/>
      </w:divBdr>
    </w:div>
    <w:div w:id="1030108588">
      <w:bodyDiv w:val="1"/>
      <w:marLeft w:val="0"/>
      <w:marRight w:val="0"/>
      <w:marTop w:val="0"/>
      <w:marBottom w:val="0"/>
      <w:divBdr>
        <w:top w:val="none" w:sz="0" w:space="0" w:color="auto"/>
        <w:left w:val="none" w:sz="0" w:space="0" w:color="auto"/>
        <w:bottom w:val="none" w:sz="0" w:space="0" w:color="auto"/>
        <w:right w:val="none" w:sz="0" w:space="0" w:color="auto"/>
      </w:divBdr>
      <w:divsChild>
        <w:div w:id="22757078">
          <w:marLeft w:val="0"/>
          <w:marRight w:val="1"/>
          <w:marTop w:val="0"/>
          <w:marBottom w:val="0"/>
          <w:divBdr>
            <w:top w:val="none" w:sz="0" w:space="0" w:color="auto"/>
            <w:left w:val="none" w:sz="0" w:space="0" w:color="auto"/>
            <w:bottom w:val="none" w:sz="0" w:space="0" w:color="auto"/>
            <w:right w:val="none" w:sz="0" w:space="0" w:color="auto"/>
          </w:divBdr>
          <w:divsChild>
            <w:div w:id="1432118586">
              <w:marLeft w:val="0"/>
              <w:marRight w:val="0"/>
              <w:marTop w:val="0"/>
              <w:marBottom w:val="0"/>
              <w:divBdr>
                <w:top w:val="none" w:sz="0" w:space="0" w:color="auto"/>
                <w:left w:val="none" w:sz="0" w:space="0" w:color="auto"/>
                <w:bottom w:val="none" w:sz="0" w:space="0" w:color="auto"/>
                <w:right w:val="none" w:sz="0" w:space="0" w:color="auto"/>
              </w:divBdr>
              <w:divsChild>
                <w:div w:id="806044142">
                  <w:marLeft w:val="0"/>
                  <w:marRight w:val="1"/>
                  <w:marTop w:val="0"/>
                  <w:marBottom w:val="0"/>
                  <w:divBdr>
                    <w:top w:val="none" w:sz="0" w:space="0" w:color="auto"/>
                    <w:left w:val="none" w:sz="0" w:space="0" w:color="auto"/>
                    <w:bottom w:val="none" w:sz="0" w:space="0" w:color="auto"/>
                    <w:right w:val="none" w:sz="0" w:space="0" w:color="auto"/>
                  </w:divBdr>
                  <w:divsChild>
                    <w:div w:id="145711219">
                      <w:marLeft w:val="0"/>
                      <w:marRight w:val="0"/>
                      <w:marTop w:val="0"/>
                      <w:marBottom w:val="0"/>
                      <w:divBdr>
                        <w:top w:val="none" w:sz="0" w:space="0" w:color="auto"/>
                        <w:left w:val="none" w:sz="0" w:space="0" w:color="auto"/>
                        <w:bottom w:val="none" w:sz="0" w:space="0" w:color="auto"/>
                        <w:right w:val="none" w:sz="0" w:space="0" w:color="auto"/>
                      </w:divBdr>
                      <w:divsChild>
                        <w:div w:id="72245892">
                          <w:marLeft w:val="0"/>
                          <w:marRight w:val="0"/>
                          <w:marTop w:val="0"/>
                          <w:marBottom w:val="0"/>
                          <w:divBdr>
                            <w:top w:val="none" w:sz="0" w:space="0" w:color="auto"/>
                            <w:left w:val="none" w:sz="0" w:space="0" w:color="auto"/>
                            <w:bottom w:val="none" w:sz="0" w:space="0" w:color="auto"/>
                            <w:right w:val="none" w:sz="0" w:space="0" w:color="auto"/>
                          </w:divBdr>
                          <w:divsChild>
                            <w:div w:id="684332111">
                              <w:marLeft w:val="240"/>
                              <w:marRight w:val="0"/>
                              <w:marTop w:val="0"/>
                              <w:marBottom w:val="0"/>
                              <w:divBdr>
                                <w:top w:val="none" w:sz="0" w:space="0" w:color="auto"/>
                                <w:left w:val="none" w:sz="0" w:space="0" w:color="auto"/>
                                <w:bottom w:val="none" w:sz="0" w:space="0" w:color="auto"/>
                                <w:right w:val="none" w:sz="0" w:space="0" w:color="auto"/>
                              </w:divBdr>
                            </w:div>
                            <w:div w:id="1143501245">
                              <w:marLeft w:val="0"/>
                              <w:marRight w:val="0"/>
                              <w:marTop w:val="45"/>
                              <w:marBottom w:val="0"/>
                              <w:divBdr>
                                <w:top w:val="single" w:sz="6" w:space="2" w:color="CCCCCC"/>
                                <w:left w:val="single" w:sz="6" w:space="2" w:color="CCCCCC"/>
                                <w:bottom w:val="single" w:sz="6" w:space="2" w:color="CCCCCC"/>
                                <w:right w:val="single" w:sz="6" w:space="2" w:color="CCCCCC"/>
                              </w:divBdr>
                              <w:divsChild>
                                <w:div w:id="1758404468">
                                  <w:marLeft w:val="0"/>
                                  <w:marRight w:val="0"/>
                                  <w:marTop w:val="0"/>
                                  <w:marBottom w:val="0"/>
                                  <w:divBdr>
                                    <w:top w:val="none" w:sz="0" w:space="0" w:color="auto"/>
                                    <w:left w:val="none" w:sz="0" w:space="0" w:color="auto"/>
                                    <w:bottom w:val="none" w:sz="0" w:space="0" w:color="auto"/>
                                    <w:right w:val="none" w:sz="0" w:space="0" w:color="auto"/>
                                  </w:divBdr>
                                </w:div>
                                <w:div w:id="1007564577">
                                  <w:marLeft w:val="0"/>
                                  <w:marRight w:val="0"/>
                                  <w:marTop w:val="0"/>
                                  <w:marBottom w:val="0"/>
                                  <w:divBdr>
                                    <w:top w:val="none" w:sz="0" w:space="0" w:color="auto"/>
                                    <w:left w:val="none" w:sz="0" w:space="0" w:color="auto"/>
                                    <w:bottom w:val="none" w:sz="0" w:space="0" w:color="auto"/>
                                    <w:right w:val="none" w:sz="0" w:space="0" w:color="auto"/>
                                  </w:divBdr>
                                  <w:divsChild>
                                    <w:div w:id="1112482159">
                                      <w:marLeft w:val="0"/>
                                      <w:marRight w:val="0"/>
                                      <w:marTop w:val="0"/>
                                      <w:marBottom w:val="0"/>
                                      <w:divBdr>
                                        <w:top w:val="none" w:sz="0" w:space="0" w:color="auto"/>
                                        <w:left w:val="none" w:sz="0" w:space="0" w:color="auto"/>
                                        <w:bottom w:val="none" w:sz="0" w:space="0" w:color="auto"/>
                                        <w:right w:val="none" w:sz="0" w:space="0" w:color="auto"/>
                                      </w:divBdr>
                                    </w:div>
                                  </w:divsChild>
                                </w:div>
                                <w:div w:id="29185929">
                                  <w:marLeft w:val="0"/>
                                  <w:marRight w:val="0"/>
                                  <w:marTop w:val="0"/>
                                  <w:marBottom w:val="0"/>
                                  <w:divBdr>
                                    <w:top w:val="none" w:sz="0" w:space="0" w:color="auto"/>
                                    <w:left w:val="none" w:sz="0" w:space="0" w:color="auto"/>
                                    <w:bottom w:val="none" w:sz="0" w:space="0" w:color="auto"/>
                                    <w:right w:val="none" w:sz="0" w:space="0" w:color="auto"/>
                                  </w:divBdr>
                                </w:div>
                                <w:div w:id="838538908">
                                  <w:marLeft w:val="0"/>
                                  <w:marRight w:val="0"/>
                                  <w:marTop w:val="0"/>
                                  <w:marBottom w:val="0"/>
                                  <w:divBdr>
                                    <w:top w:val="none" w:sz="0" w:space="0" w:color="auto"/>
                                    <w:left w:val="none" w:sz="0" w:space="0" w:color="auto"/>
                                    <w:bottom w:val="none" w:sz="0" w:space="0" w:color="auto"/>
                                    <w:right w:val="none" w:sz="0" w:space="0" w:color="auto"/>
                                  </w:divBdr>
                                </w:div>
                                <w:div w:id="1905532370">
                                  <w:marLeft w:val="0"/>
                                  <w:marRight w:val="0"/>
                                  <w:marTop w:val="0"/>
                                  <w:marBottom w:val="0"/>
                                  <w:divBdr>
                                    <w:top w:val="none" w:sz="0" w:space="0" w:color="auto"/>
                                    <w:left w:val="none" w:sz="0" w:space="0" w:color="auto"/>
                                    <w:bottom w:val="none" w:sz="0" w:space="0" w:color="auto"/>
                                    <w:right w:val="none" w:sz="0" w:space="0" w:color="auto"/>
                                  </w:divBdr>
                                </w:div>
                                <w:div w:id="40175220">
                                  <w:marLeft w:val="0"/>
                                  <w:marRight w:val="0"/>
                                  <w:marTop w:val="0"/>
                                  <w:marBottom w:val="0"/>
                                  <w:divBdr>
                                    <w:top w:val="none" w:sz="0" w:space="0" w:color="auto"/>
                                    <w:left w:val="none" w:sz="0" w:space="0" w:color="auto"/>
                                    <w:bottom w:val="none" w:sz="0" w:space="0" w:color="auto"/>
                                    <w:right w:val="none" w:sz="0" w:space="0" w:color="auto"/>
                                  </w:divBdr>
                                </w:div>
                                <w:div w:id="732241644">
                                  <w:marLeft w:val="0"/>
                                  <w:marRight w:val="0"/>
                                  <w:marTop w:val="0"/>
                                  <w:marBottom w:val="0"/>
                                  <w:divBdr>
                                    <w:top w:val="none" w:sz="0" w:space="0" w:color="auto"/>
                                    <w:left w:val="none" w:sz="0" w:space="0" w:color="auto"/>
                                    <w:bottom w:val="none" w:sz="0" w:space="0" w:color="auto"/>
                                    <w:right w:val="none" w:sz="0" w:space="0" w:color="auto"/>
                                  </w:divBdr>
                                </w:div>
                              </w:divsChild>
                            </w:div>
                            <w:div w:id="214509761">
                              <w:marLeft w:val="0"/>
                              <w:marRight w:val="0"/>
                              <w:marTop w:val="0"/>
                              <w:marBottom w:val="0"/>
                              <w:divBdr>
                                <w:top w:val="none" w:sz="0" w:space="0" w:color="auto"/>
                                <w:left w:val="none" w:sz="0" w:space="0" w:color="auto"/>
                                <w:bottom w:val="none" w:sz="0" w:space="0" w:color="auto"/>
                                <w:right w:val="none" w:sz="0" w:space="0" w:color="auto"/>
                              </w:divBdr>
                            </w:div>
                          </w:divsChild>
                        </w:div>
                        <w:div w:id="899513326">
                          <w:marLeft w:val="0"/>
                          <w:marRight w:val="0"/>
                          <w:marTop w:val="0"/>
                          <w:marBottom w:val="0"/>
                          <w:divBdr>
                            <w:top w:val="none" w:sz="0" w:space="0" w:color="auto"/>
                            <w:left w:val="none" w:sz="0" w:space="0" w:color="auto"/>
                            <w:bottom w:val="none" w:sz="0" w:space="0" w:color="auto"/>
                            <w:right w:val="none" w:sz="0" w:space="0" w:color="auto"/>
                          </w:divBdr>
                          <w:divsChild>
                            <w:div w:id="61950229">
                              <w:marLeft w:val="0"/>
                              <w:marRight w:val="0"/>
                              <w:marTop w:val="0"/>
                              <w:marBottom w:val="0"/>
                              <w:divBdr>
                                <w:top w:val="none" w:sz="0" w:space="0" w:color="auto"/>
                                <w:left w:val="none" w:sz="0" w:space="0" w:color="auto"/>
                                <w:bottom w:val="none" w:sz="0" w:space="0" w:color="auto"/>
                                <w:right w:val="none" w:sz="0" w:space="0" w:color="auto"/>
                              </w:divBdr>
                            </w:div>
                          </w:divsChild>
                        </w:div>
                        <w:div w:id="296035995">
                          <w:marLeft w:val="0"/>
                          <w:marRight w:val="0"/>
                          <w:marTop w:val="0"/>
                          <w:marBottom w:val="0"/>
                          <w:divBdr>
                            <w:top w:val="none" w:sz="0" w:space="0" w:color="auto"/>
                            <w:left w:val="none" w:sz="0" w:space="0" w:color="auto"/>
                            <w:bottom w:val="none" w:sz="0" w:space="0" w:color="auto"/>
                            <w:right w:val="none" w:sz="0" w:space="0" w:color="auto"/>
                          </w:divBdr>
                          <w:divsChild>
                            <w:div w:id="1927306610">
                              <w:marLeft w:val="0"/>
                              <w:marRight w:val="0"/>
                              <w:marTop w:val="120"/>
                              <w:marBottom w:val="360"/>
                              <w:divBdr>
                                <w:top w:val="none" w:sz="0" w:space="0" w:color="auto"/>
                                <w:left w:val="none" w:sz="0" w:space="0" w:color="auto"/>
                                <w:bottom w:val="none" w:sz="0" w:space="0" w:color="auto"/>
                                <w:right w:val="none" w:sz="0" w:space="0" w:color="auto"/>
                              </w:divBdr>
                              <w:divsChild>
                                <w:div w:id="379280615">
                                  <w:marLeft w:val="0"/>
                                  <w:marRight w:val="0"/>
                                  <w:marTop w:val="0"/>
                                  <w:marBottom w:val="0"/>
                                  <w:divBdr>
                                    <w:top w:val="none" w:sz="0" w:space="0" w:color="auto"/>
                                    <w:left w:val="none" w:sz="0" w:space="0" w:color="auto"/>
                                    <w:bottom w:val="none" w:sz="0" w:space="0" w:color="auto"/>
                                    <w:right w:val="none" w:sz="0" w:space="0" w:color="auto"/>
                                  </w:divBdr>
                                </w:div>
                                <w:div w:id="5052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160097">
      <w:bodyDiv w:val="1"/>
      <w:marLeft w:val="0"/>
      <w:marRight w:val="0"/>
      <w:marTop w:val="0"/>
      <w:marBottom w:val="0"/>
      <w:divBdr>
        <w:top w:val="none" w:sz="0" w:space="0" w:color="auto"/>
        <w:left w:val="none" w:sz="0" w:space="0" w:color="auto"/>
        <w:bottom w:val="none" w:sz="0" w:space="0" w:color="auto"/>
        <w:right w:val="none" w:sz="0" w:space="0" w:color="auto"/>
      </w:divBdr>
    </w:div>
    <w:div w:id="1803498262">
      <w:bodyDiv w:val="1"/>
      <w:marLeft w:val="0"/>
      <w:marRight w:val="0"/>
      <w:marTop w:val="0"/>
      <w:marBottom w:val="0"/>
      <w:divBdr>
        <w:top w:val="none" w:sz="0" w:space="0" w:color="auto"/>
        <w:left w:val="none" w:sz="0" w:space="0" w:color="auto"/>
        <w:bottom w:val="none" w:sz="0" w:space="0" w:color="auto"/>
        <w:right w:val="none" w:sz="0" w:space="0" w:color="auto"/>
      </w:divBdr>
    </w:div>
    <w:div w:id="211374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cornell.edu/uscode/text/42/usc_sup_01_42_10_6A" TargetMode="External"/><Relationship Id="rId18" Type="http://schemas.openxmlformats.org/officeDocument/2006/relationships/hyperlink" Target="http://www.bc.edu/content/dam/files/research_sites/agingandwork/pdf/publications/MTG_Brazil_Employe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aw.cornell.edu/uscode/text/42/usc_sup_01_42" TargetMode="External"/><Relationship Id="rId17" Type="http://schemas.openxmlformats.org/officeDocument/2006/relationships/hyperlink" Target="http://www.ibge.gov.br/home/estatistica/populacao/caracteristicas_raciais/default_raciais.shtm" TargetMode="External"/><Relationship Id="rId2" Type="http://schemas.openxmlformats.org/officeDocument/2006/relationships/numbering" Target="numbering.xml"/><Relationship Id="rId16" Type="http://schemas.openxmlformats.org/officeDocument/2006/relationships/hyperlink" Target="http://www.law.cornell.edu/uscode/text/42/usc_sup_01_42_10_6A_20_III_30_C_40_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law.cornell.edu/uscode/text/42/usc_sup_01_42_10_6A_20_III_30_C"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glynnsa@nih.gov" TargetMode="External"/><Relationship Id="rId14" Type="http://schemas.openxmlformats.org/officeDocument/2006/relationships/hyperlink" Target="http://www.law.cornell.edu/uscode/text/42/usc_sup_01_42_10_6A_20_I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AD737-9132-4D44-AFD6-D478C651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7037</Words>
  <Characters>40112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Westat</Company>
  <LinksUpToDate>false</LinksUpToDate>
  <CharactersWithSpaces>47055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Vibha Vij</dc:creator>
  <cp:lastModifiedBy>Currie, Mikia (NIH/OD) [E]</cp:lastModifiedBy>
  <cp:revision>11</cp:revision>
  <cp:lastPrinted>2015-02-13T23:11:00Z</cp:lastPrinted>
  <dcterms:created xsi:type="dcterms:W3CDTF">2015-05-21T20:36:00Z</dcterms:created>
  <dcterms:modified xsi:type="dcterms:W3CDTF">2015-07-07T16:12:00Z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