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712" w:rsidRDefault="00552712" w:rsidP="00552712">
      <w:pPr>
        <w:jc w:val="center"/>
        <w:rPr>
          <w:b/>
          <w:bCs/>
        </w:rPr>
      </w:pPr>
      <w:r>
        <w:rPr>
          <w:b/>
          <w:bCs/>
        </w:rPr>
        <w:t>S</w:t>
      </w:r>
      <w:r w:rsidR="00CF611D">
        <w:rPr>
          <w:b/>
          <w:bCs/>
        </w:rPr>
        <w:t>upporting Statement</w:t>
      </w:r>
      <w:r w:rsidR="00AB6C40">
        <w:rPr>
          <w:b/>
          <w:bCs/>
        </w:rPr>
        <w:t xml:space="preserve"> P</w:t>
      </w:r>
      <w:r w:rsidR="00CF611D">
        <w:rPr>
          <w:b/>
          <w:bCs/>
        </w:rPr>
        <w:t>art</w:t>
      </w:r>
      <w:r w:rsidR="00AB6C40">
        <w:rPr>
          <w:b/>
          <w:bCs/>
        </w:rPr>
        <w:t xml:space="preserve"> A</w:t>
      </w:r>
      <w:r>
        <w:rPr>
          <w:b/>
          <w:bCs/>
        </w:rPr>
        <w:t xml:space="preserve"> F</w:t>
      </w:r>
      <w:r w:rsidR="00CF611D">
        <w:rPr>
          <w:b/>
          <w:bCs/>
        </w:rPr>
        <w:t>or</w:t>
      </w:r>
      <w:r>
        <w:rPr>
          <w:b/>
          <w:bCs/>
        </w:rPr>
        <w:t xml:space="preserve"> </w:t>
      </w:r>
    </w:p>
    <w:p w:rsidR="00552712" w:rsidRDefault="00552712" w:rsidP="00CF611D">
      <w:pPr>
        <w:jc w:val="center"/>
        <w:rPr>
          <w:b/>
          <w:bCs/>
        </w:rPr>
      </w:pPr>
      <w:r>
        <w:rPr>
          <w:b/>
          <w:bCs/>
        </w:rPr>
        <w:t>G</w:t>
      </w:r>
      <w:r w:rsidR="00CF611D">
        <w:rPr>
          <w:b/>
          <w:bCs/>
        </w:rPr>
        <w:t>eneric Clearance of Customer Satisfaction Surveys</w:t>
      </w:r>
    </w:p>
    <w:p w:rsidR="00B1516D" w:rsidRDefault="00D84231" w:rsidP="00CF611D">
      <w:pPr>
        <w:jc w:val="center"/>
        <w:rPr>
          <w:b/>
          <w:bCs/>
        </w:rPr>
      </w:pPr>
      <w:r>
        <w:rPr>
          <w:b/>
          <w:bCs/>
        </w:rPr>
        <w:t>C</w:t>
      </w:r>
      <w:r w:rsidR="00CF611D">
        <w:rPr>
          <w:b/>
          <w:bCs/>
        </w:rPr>
        <w:t xml:space="preserve">omprehensive Clearance for December 2015 </w:t>
      </w:r>
      <w:proofErr w:type="gramStart"/>
      <w:r w:rsidR="00CF611D">
        <w:rPr>
          <w:b/>
          <w:bCs/>
        </w:rPr>
        <w:t>Through</w:t>
      </w:r>
      <w:proofErr w:type="gramEnd"/>
      <w:r w:rsidR="00CF611D">
        <w:rPr>
          <w:b/>
          <w:bCs/>
        </w:rPr>
        <w:t xml:space="preserve"> November 2018</w:t>
      </w:r>
    </w:p>
    <w:p w:rsidR="00552712" w:rsidRDefault="00552712" w:rsidP="00552712">
      <w:pPr>
        <w:jc w:val="center"/>
        <w:rPr>
          <w:b/>
          <w:bCs/>
        </w:rPr>
      </w:pPr>
      <w:r>
        <w:rPr>
          <w:b/>
          <w:bCs/>
        </w:rPr>
        <w:t>OMB No. 0960-0526</w:t>
      </w:r>
    </w:p>
    <w:p w:rsidR="00552712" w:rsidRDefault="00552712" w:rsidP="00552712">
      <w:pPr>
        <w:rPr>
          <w:b/>
          <w:bCs/>
        </w:rPr>
      </w:pPr>
    </w:p>
    <w:p w:rsidR="00552712" w:rsidRDefault="00552712" w:rsidP="00552712">
      <w:pPr>
        <w:rPr>
          <w:b/>
          <w:bCs/>
        </w:rPr>
      </w:pPr>
    </w:p>
    <w:p w:rsidR="00552712" w:rsidRDefault="00552712" w:rsidP="00552712">
      <w:r>
        <w:rPr>
          <w:b/>
          <w:bCs/>
        </w:rPr>
        <w:t>A.</w:t>
      </w:r>
      <w:r>
        <w:rPr>
          <w:b/>
          <w:bCs/>
        </w:rPr>
        <w:tab/>
      </w:r>
      <w:r>
        <w:rPr>
          <w:b/>
          <w:bCs/>
          <w:u w:val="single"/>
        </w:rPr>
        <w:t>Justification</w:t>
      </w:r>
    </w:p>
    <w:p w:rsidR="00552712" w:rsidRDefault="00552712" w:rsidP="00552712"/>
    <w:p w:rsidR="00800ADF" w:rsidRPr="00800ADF" w:rsidRDefault="00800ADF" w:rsidP="00CA4A47">
      <w:pPr>
        <w:numPr>
          <w:ilvl w:val="0"/>
          <w:numId w:val="1"/>
        </w:numPr>
      </w:pPr>
      <w:r w:rsidRPr="00800ADF">
        <w:rPr>
          <w:b/>
          <w:bCs/>
        </w:rPr>
        <w:t xml:space="preserve">Introduction/Authoring Laws and Regulations </w:t>
      </w:r>
    </w:p>
    <w:p w:rsidR="00292F9E" w:rsidRDefault="00800ADF" w:rsidP="00800ADF">
      <w:pPr>
        <w:ind w:left="1080"/>
      </w:pPr>
      <w:r>
        <w:t>As part of our</w:t>
      </w:r>
      <w:r w:rsidR="00C42D23">
        <w:t xml:space="preserve"> efforts to offer the highest possible quality of service to the public</w:t>
      </w:r>
      <w:r w:rsidR="00552712">
        <w:t xml:space="preserve">, </w:t>
      </w:r>
      <w:r w:rsidR="00292F9E">
        <w:t>the Social Security Administration (SSA)</w:t>
      </w:r>
      <w:r w:rsidR="00552712">
        <w:t xml:space="preserve"> conducts multiple customer satisfaction surveys each year.  In accordance with the guidelines established by </w:t>
      </w:r>
      <w:r w:rsidR="00C42D23" w:rsidRPr="00800ADF">
        <w:rPr>
          <w:i/>
          <w:iCs/>
        </w:rPr>
        <w:t>Executive Order (E.O.) 12862</w:t>
      </w:r>
      <w:r w:rsidR="001738FB">
        <w:t>, we</w:t>
      </w:r>
      <w:r>
        <w:t xml:space="preserve"> prepared a plan detailing customer satisfaction surveys we plan</w:t>
      </w:r>
      <w:r w:rsidR="00552712">
        <w:t xml:space="preserve"> to conduct</w:t>
      </w:r>
      <w:r w:rsidR="00244D18">
        <w:t xml:space="preserve"> for the next </w:t>
      </w:r>
      <w:r>
        <w:t>three</w:t>
      </w:r>
      <w:r w:rsidR="00292F9E">
        <w:t xml:space="preserve"> </w:t>
      </w:r>
      <w:r w:rsidR="003078BD">
        <w:t>years</w:t>
      </w:r>
      <w:r w:rsidR="00552712">
        <w:t xml:space="preserve">.  </w:t>
      </w:r>
    </w:p>
    <w:p w:rsidR="00292F9E" w:rsidRDefault="00292F9E" w:rsidP="00CA4A47">
      <w:pPr>
        <w:ind w:left="1080"/>
      </w:pPr>
    </w:p>
    <w:p w:rsidR="00552712" w:rsidRDefault="00552712" w:rsidP="00CA4A47">
      <w:pPr>
        <w:ind w:left="1080"/>
      </w:pPr>
      <w:r>
        <w:t xml:space="preserve">This </w:t>
      </w:r>
      <w:r w:rsidR="003E6C30">
        <w:t>supporting s</w:t>
      </w:r>
      <w:r w:rsidR="00C42D23">
        <w:t>tatement</w:t>
      </w:r>
      <w:r>
        <w:t xml:space="preserve"> and its attachments </w:t>
      </w:r>
      <w:r w:rsidR="00C42D23">
        <w:t>present</w:t>
      </w:r>
      <w:r>
        <w:t xml:space="preserve"> </w:t>
      </w:r>
      <w:r w:rsidR="00C42D23">
        <w:t>SSA’s</w:t>
      </w:r>
      <w:r>
        <w:t xml:space="preserve"> plan of </w:t>
      </w:r>
      <w:proofErr w:type="gramStart"/>
      <w:r>
        <w:t>customer satisfaction assessment activities</w:t>
      </w:r>
      <w:proofErr w:type="gramEnd"/>
      <w:r>
        <w:t xml:space="preserve"> for</w:t>
      </w:r>
      <w:r w:rsidR="003C579A">
        <w:t xml:space="preserve"> December 2015</w:t>
      </w:r>
      <w:r w:rsidR="00292F9E">
        <w:t xml:space="preserve"> through </w:t>
      </w:r>
      <w:r w:rsidR="003C579A">
        <w:t>November 2018</w:t>
      </w:r>
      <w:r w:rsidR="00292F9E">
        <w:t xml:space="preserve">.  </w:t>
      </w:r>
      <w:r w:rsidR="00C42D23">
        <w:t xml:space="preserve">These </w:t>
      </w:r>
      <w:r w:rsidR="003E6C30">
        <w:t>assessments</w:t>
      </w:r>
      <w:r w:rsidR="00800ADF">
        <w:t>,</w:t>
      </w:r>
      <w:r w:rsidR="00D84231">
        <w:t xml:space="preserve"> also referred to in this document as “generic clearances,”</w:t>
      </w:r>
      <w:r w:rsidR="007048EA">
        <w:t xml:space="preserve"> cover our</w:t>
      </w:r>
      <w:r w:rsidR="003E6C30">
        <w:t xml:space="preserve"> </w:t>
      </w:r>
      <w:r w:rsidR="00C42D23">
        <w:t xml:space="preserve">quantitative and </w:t>
      </w:r>
      <w:r w:rsidR="003E6C30">
        <w:t>large-scale</w:t>
      </w:r>
      <w:r w:rsidR="00800ADF">
        <w:t xml:space="preserve"> (e.g., large participant pool, high cost, etc.)</w:t>
      </w:r>
      <w:r w:rsidR="003E6C30">
        <w:t xml:space="preserve"> </w:t>
      </w:r>
      <w:r w:rsidR="00C42D23">
        <w:t>qualitative meas</w:t>
      </w:r>
      <w:r w:rsidR="001515C4">
        <w:t xml:space="preserve">ures.  </w:t>
      </w:r>
      <w:r w:rsidR="001738FB">
        <w:t xml:space="preserve">We </w:t>
      </w:r>
      <w:r w:rsidR="00800ADF">
        <w:t>transferred the majority</w:t>
      </w:r>
      <w:r w:rsidR="003E6C30">
        <w:t xml:space="preserve"> of our</w:t>
      </w:r>
      <w:r w:rsidR="00AD5CAA">
        <w:t xml:space="preserve"> </w:t>
      </w:r>
      <w:r w:rsidR="003E6C30">
        <w:t>qualitative customer satisfaction assessment activities to OMB’s Fast Track generic clearance (OMB No. 0960-0788).</w:t>
      </w:r>
    </w:p>
    <w:p w:rsidR="00CA4A47" w:rsidRDefault="00CA4A47" w:rsidP="00CA4A47"/>
    <w:p w:rsidR="00CA4A47" w:rsidRDefault="00800ADF" w:rsidP="00CA4A47">
      <w:pPr>
        <w:numPr>
          <w:ilvl w:val="0"/>
          <w:numId w:val="1"/>
        </w:numPr>
      </w:pPr>
      <w:r>
        <w:rPr>
          <w:b/>
          <w:bCs/>
        </w:rPr>
        <w:t>Description of Collection</w:t>
      </w:r>
    </w:p>
    <w:p w:rsidR="00E9457C" w:rsidRDefault="00080C03" w:rsidP="00CA4A47">
      <w:pPr>
        <w:ind w:left="1080"/>
      </w:pPr>
      <w:r>
        <w:t xml:space="preserve">SSA </w:t>
      </w:r>
      <w:r w:rsidR="00D84231">
        <w:t xml:space="preserve">will </w:t>
      </w:r>
      <w:r w:rsidR="00800ADF">
        <w:t>conduct customer</w:t>
      </w:r>
      <w:r w:rsidR="00046913">
        <w:t xml:space="preserve"> satisfaction assessment</w:t>
      </w:r>
      <w:r w:rsidR="00800ADF">
        <w:t>s</w:t>
      </w:r>
      <w:r w:rsidR="00046913">
        <w:t xml:space="preserve"> with members of the public who</w:t>
      </w:r>
      <w:r w:rsidR="001738FB">
        <w:t xml:space="preserve">:  </w:t>
      </w:r>
      <w:r w:rsidR="00046913">
        <w:t xml:space="preserve">  </w:t>
      </w:r>
    </w:p>
    <w:p w:rsidR="00046913" w:rsidRDefault="003C579A" w:rsidP="00CA4A47">
      <w:pPr>
        <w:ind w:left="1080"/>
      </w:pPr>
      <w:r>
        <w:t>(</w:t>
      </w:r>
      <w:r w:rsidR="00046913">
        <w:t xml:space="preserve">1) </w:t>
      </w:r>
      <w:proofErr w:type="gramStart"/>
      <w:r w:rsidR="00046913">
        <w:t>are</w:t>
      </w:r>
      <w:proofErr w:type="gramEnd"/>
      <w:r w:rsidR="00046913">
        <w:t xml:space="preserve"> recipie</w:t>
      </w:r>
      <w:r w:rsidR="001738FB">
        <w:t>nts of Social Security benefits;</w:t>
      </w:r>
      <w:r>
        <w:t xml:space="preserve"> (</w:t>
      </w:r>
      <w:r w:rsidR="00046913">
        <w:t>2) have u</w:t>
      </w:r>
      <w:r w:rsidR="001738FB">
        <w:t>sed SSA products or services;</w:t>
      </w:r>
      <w:r w:rsidR="00046913">
        <w:t xml:space="preserve"> or </w:t>
      </w:r>
      <w:r>
        <w:t>(</w:t>
      </w:r>
      <w:r w:rsidR="001738FB">
        <w:t>3) </w:t>
      </w:r>
      <w:r w:rsidR="00046913">
        <w:t xml:space="preserve">are potential future users </w:t>
      </w:r>
      <w:r w:rsidR="00E9457C">
        <w:t xml:space="preserve">of </w:t>
      </w:r>
      <w:r w:rsidR="00046913">
        <w:t xml:space="preserve">SSA products, programs, or services.  We will collect customer service information through various methods, including </w:t>
      </w:r>
      <w:r>
        <w:t>tele</w:t>
      </w:r>
      <w:r w:rsidR="00046913">
        <w:t>phone surveys, mail surveys</w:t>
      </w:r>
      <w:r w:rsidR="00800ADF">
        <w:t xml:space="preserve">, online surveys, </w:t>
      </w:r>
      <w:r w:rsidR="00046913">
        <w:t xml:space="preserve">usability testing sessions, comment cards, </w:t>
      </w:r>
      <w:r w:rsidR="00800ADF">
        <w:t xml:space="preserve">and </w:t>
      </w:r>
      <w:r w:rsidR="00F926E4">
        <w:t>hybrid forms</w:t>
      </w:r>
      <w:r w:rsidR="00046913">
        <w:t xml:space="preserve"> of these methods.  </w:t>
      </w:r>
    </w:p>
    <w:p w:rsidR="00046913" w:rsidRDefault="00046913" w:rsidP="00CA4A47">
      <w:pPr>
        <w:ind w:left="1080"/>
      </w:pPr>
    </w:p>
    <w:p w:rsidR="00CA4A47" w:rsidRDefault="00E9457C" w:rsidP="001515C4">
      <w:pPr>
        <w:ind w:left="1080"/>
      </w:pPr>
      <w:r>
        <w:t>We plan to use</w:t>
      </w:r>
      <w:r w:rsidR="00046913">
        <w:t xml:space="preserve"> these methods to</w:t>
      </w:r>
      <w:r w:rsidR="00080C03">
        <w:t>:</w:t>
      </w:r>
      <w:r w:rsidR="001738FB">
        <w:t xml:space="preserve"> </w:t>
      </w:r>
      <w:r w:rsidR="00080C03">
        <w:t xml:space="preserve"> </w:t>
      </w:r>
      <w:r w:rsidR="003C579A">
        <w:t>(</w:t>
      </w:r>
      <w:r w:rsidR="001515C4">
        <w:t xml:space="preserve">1) assess customer satisfaction with existing SSA services, programs, and products; </w:t>
      </w:r>
      <w:r w:rsidR="003C579A">
        <w:t>(</w:t>
      </w:r>
      <w:r w:rsidR="001515C4">
        <w:t xml:space="preserve">2) determine the types of </w:t>
      </w:r>
      <w:r>
        <w:t xml:space="preserve"> </w:t>
      </w:r>
      <w:r w:rsidR="001515C4">
        <w:t xml:space="preserve">services SSA beneficiaries, recipients, claimants, employers, and members of the general public might want from </w:t>
      </w:r>
      <w:r>
        <w:t>the agency</w:t>
      </w:r>
      <w:r w:rsidR="001515C4">
        <w:t xml:space="preserve">; and </w:t>
      </w:r>
      <w:r w:rsidR="003C579A">
        <w:t xml:space="preserve"> (</w:t>
      </w:r>
      <w:r w:rsidR="001515C4">
        <w:t xml:space="preserve">3) </w:t>
      </w:r>
      <w:r w:rsidR="00E20774">
        <w:t>gauge</w:t>
      </w:r>
      <w:r w:rsidR="001515C4">
        <w:t xml:space="preserve"> public satisfaction levels with proposed new programs or services.  </w:t>
      </w:r>
      <w:r w:rsidR="00E3659C">
        <w:t>Ultimately, these generic clearance activities may lead to SSA policy changes that will enable us to offer the public better customer service.</w:t>
      </w:r>
    </w:p>
    <w:p w:rsidR="00E3659C" w:rsidRDefault="00E3659C" w:rsidP="00CA4A47">
      <w:pPr>
        <w:ind w:left="1080"/>
      </w:pPr>
    </w:p>
    <w:p w:rsidR="009A7679" w:rsidRDefault="002559D9" w:rsidP="00CA4A47">
      <w:pPr>
        <w:ind w:left="1080"/>
      </w:pPr>
      <w:r>
        <w:t xml:space="preserve">For a comprehensive list of our planned </w:t>
      </w:r>
      <w:r w:rsidR="00800ADF">
        <w:t xml:space="preserve">quantitative and large scale-qualitative </w:t>
      </w:r>
      <w:r>
        <w:t>generic clearances for the three-year period covered by this clearance request, please see the file entitled “Listing of Propose</w:t>
      </w:r>
      <w:r w:rsidR="007048EA">
        <w:t>d GC Collecti</w:t>
      </w:r>
      <w:r w:rsidR="00E20774">
        <w:t xml:space="preserve">ons” </w:t>
      </w:r>
      <w:r w:rsidR="00E9457C">
        <w:t>posted</w:t>
      </w:r>
      <w:r>
        <w:t xml:space="preserve"> </w:t>
      </w:r>
      <w:r w:rsidR="00CA4F5C">
        <w:t>in the “</w:t>
      </w:r>
      <w:r w:rsidR="00F926E4">
        <w:t>Manage ICR Documents” page in ROCIS</w:t>
      </w:r>
      <w:r>
        <w:t xml:space="preserve">. </w:t>
      </w:r>
      <w:bookmarkStart w:id="0" w:name="_GoBack"/>
      <w:bookmarkEnd w:id="0"/>
    </w:p>
    <w:p w:rsidR="009A7679" w:rsidRDefault="009A7679" w:rsidP="00CA4A47">
      <w:pPr>
        <w:ind w:left="1080"/>
      </w:pPr>
    </w:p>
    <w:p w:rsidR="00E3659C" w:rsidRDefault="009A7679" w:rsidP="00CA4A47">
      <w:pPr>
        <w:ind w:left="1080"/>
      </w:pPr>
      <w:r>
        <w:t xml:space="preserve">Over the past three years, we conducted </w:t>
      </w:r>
      <w:r w:rsidR="005F25ED">
        <w:t xml:space="preserve">several </w:t>
      </w:r>
      <w:r>
        <w:t>customer satisfaction assessments to evaluate our Ticket to Work program; our field office services; our 800 number services;</w:t>
      </w:r>
      <w:r w:rsidR="001551FF">
        <w:t xml:space="preserve"> our Internet services; and our hearing offices; as well as to assess the effectiveness of our staff, our level of communication, and overall customer satisfaction with our agency.  During the previous three years, our largest customer satisfaction survey under this information collection was the </w:t>
      </w:r>
      <w:r w:rsidR="001551FF">
        <w:lastRenderedPageBreak/>
        <w:t xml:space="preserve">SSA Field Office Network Enterprise (FONE) Satisfaction Survey, for which we surveyed 2,070,000 </w:t>
      </w:r>
      <w:r w:rsidR="005F25ED">
        <w:t>individuals regarding their satisfaction with the specific mode of contact they used with SSA, to determine how well SSA’s FONE service is performing.  We used the results of this assessment to improve the various aspects of SSA’s FONE service.  In the same way, we use the results of all of our customer satisfaction assessments to improve the services we offer, and our communications with the public.</w:t>
      </w:r>
    </w:p>
    <w:p w:rsidR="007048EA" w:rsidRDefault="007048EA" w:rsidP="00E3659C"/>
    <w:p w:rsidR="00E3659C" w:rsidRDefault="00800ADF" w:rsidP="00E3659C">
      <w:pPr>
        <w:numPr>
          <w:ilvl w:val="0"/>
          <w:numId w:val="1"/>
        </w:numPr>
        <w:rPr>
          <w:b/>
          <w:bCs/>
        </w:rPr>
      </w:pPr>
      <w:proofErr w:type="gramStart"/>
      <w:r>
        <w:rPr>
          <w:b/>
          <w:bCs/>
        </w:rPr>
        <w:t>Use of Information Technology to Collect the Information</w:t>
      </w:r>
      <w:r w:rsidR="00E3659C">
        <w:rPr>
          <w:b/>
          <w:bCs/>
        </w:rPr>
        <w:t>.</w:t>
      </w:r>
      <w:proofErr w:type="gramEnd"/>
    </w:p>
    <w:p w:rsidR="00E3659C" w:rsidRDefault="00A60765" w:rsidP="00A677A8">
      <w:pPr>
        <w:ind w:left="1080"/>
      </w:pPr>
      <w:r>
        <w:t xml:space="preserve">In accordance with the spirit of the Government Paperwork Elimination Act program, </w:t>
      </w:r>
      <w:r w:rsidR="00514D7E">
        <w:t xml:space="preserve">SSA </w:t>
      </w:r>
      <w:r>
        <w:t>uses</w:t>
      </w:r>
      <w:r w:rsidR="00514D7E">
        <w:t xml:space="preserve"> advanced information technology methods </w:t>
      </w:r>
      <w:r w:rsidR="00A677A8">
        <w:t xml:space="preserve">to conduct </w:t>
      </w:r>
      <w:r w:rsidR="00514D7E">
        <w:t>generic clearances</w:t>
      </w:r>
      <w:r>
        <w:t xml:space="preserve"> whenever possible</w:t>
      </w:r>
      <w:r w:rsidR="00514D7E">
        <w:t>.  These methods include using Internet surveys, conducting telephone surveys with computer-assisted interviewing</w:t>
      </w:r>
      <w:r w:rsidR="00800ADF">
        <w:t xml:space="preserve"> software, and analyzing</w:t>
      </w:r>
      <w:r w:rsidR="00514D7E">
        <w:t xml:space="preserve"> results with software program</w:t>
      </w:r>
      <w:r>
        <w:t>s</w:t>
      </w:r>
      <w:r w:rsidR="00514D7E">
        <w:t>.  Be</w:t>
      </w:r>
      <w:r w:rsidR="00244D18">
        <w:t>cause we have not determined</w:t>
      </w:r>
      <w:r w:rsidR="00514D7E">
        <w:t xml:space="preserve"> e</w:t>
      </w:r>
      <w:r w:rsidR="00E9457C">
        <w:t>xactly which generic clearances</w:t>
      </w:r>
      <w:r w:rsidR="00244D18">
        <w:t xml:space="preserve"> </w:t>
      </w:r>
      <w:r w:rsidR="00514D7E">
        <w:t xml:space="preserve">will use advanced information technology, we cannot say what percentage of the total </w:t>
      </w:r>
      <w:r w:rsidR="00244D18">
        <w:t>we will conduct</w:t>
      </w:r>
      <w:r w:rsidR="00514D7E">
        <w:t xml:space="preserve"> electronically.</w:t>
      </w:r>
    </w:p>
    <w:p w:rsidR="00514D7E" w:rsidRDefault="00514D7E" w:rsidP="00514D7E"/>
    <w:p w:rsidR="00514D7E" w:rsidRDefault="00800ADF" w:rsidP="00514D7E">
      <w:pPr>
        <w:numPr>
          <w:ilvl w:val="0"/>
          <w:numId w:val="1"/>
        </w:numPr>
      </w:pPr>
      <w:r>
        <w:rPr>
          <w:b/>
          <w:bCs/>
        </w:rPr>
        <w:t>Why We Cannot Use Duplicate Information</w:t>
      </w:r>
    </w:p>
    <w:p w:rsidR="00514D7E" w:rsidRDefault="00514D7E" w:rsidP="00514D7E">
      <w:pPr>
        <w:ind w:left="1080"/>
      </w:pPr>
      <w:r>
        <w:t xml:space="preserve">The </w:t>
      </w:r>
      <w:r w:rsidR="00244D18">
        <w:t>nature of the information we are collecting</w:t>
      </w:r>
      <w:r>
        <w:t xml:space="preserve"> and the</w:t>
      </w:r>
      <w:r w:rsidR="00244D18">
        <w:t xml:space="preserve"> manner in which we are collecting it</w:t>
      </w:r>
      <w:r>
        <w:t xml:space="preserve"> preclude duplication.  </w:t>
      </w:r>
      <w:r w:rsidR="00A60765">
        <w:t xml:space="preserve">SSA does not use another instrument to collect similar data.  </w:t>
      </w:r>
    </w:p>
    <w:p w:rsidR="00514D7E" w:rsidRDefault="00514D7E" w:rsidP="00514D7E"/>
    <w:p w:rsidR="00514D7E" w:rsidRDefault="00DD737A" w:rsidP="00514D7E">
      <w:pPr>
        <w:numPr>
          <w:ilvl w:val="0"/>
          <w:numId w:val="1"/>
        </w:numPr>
      </w:pPr>
      <w:r>
        <w:rPr>
          <w:b/>
          <w:bCs/>
        </w:rPr>
        <w:t>Minimizing Burden on Small Respondents</w:t>
      </w:r>
    </w:p>
    <w:p w:rsidR="00514D7E" w:rsidRDefault="00514D7E" w:rsidP="00514D7E">
      <w:pPr>
        <w:ind w:left="1080"/>
      </w:pPr>
      <w:r>
        <w:t xml:space="preserve">This collection does not </w:t>
      </w:r>
      <w:r w:rsidR="00E20774">
        <w:t xml:space="preserve">significantly </w:t>
      </w:r>
      <w:r w:rsidR="00A60765">
        <w:t>affect</w:t>
      </w:r>
      <w:r>
        <w:t xml:space="preserve"> small businesses or other small entities.</w:t>
      </w:r>
    </w:p>
    <w:p w:rsidR="00514D7E" w:rsidRDefault="00514D7E" w:rsidP="00514D7E"/>
    <w:p w:rsidR="00DD737A" w:rsidRPr="00DD737A" w:rsidRDefault="00DD737A" w:rsidP="00DD737A">
      <w:pPr>
        <w:numPr>
          <w:ilvl w:val="0"/>
          <w:numId w:val="1"/>
        </w:numPr>
        <w:rPr>
          <w:b/>
          <w:bCs/>
        </w:rPr>
      </w:pPr>
      <w:r w:rsidRPr="00DD737A">
        <w:rPr>
          <w:b/>
          <w:bCs/>
        </w:rPr>
        <w:t>Consequence of Not Collecting Information or Collecting it Less Frequently</w:t>
      </w:r>
    </w:p>
    <w:p w:rsidR="00123561" w:rsidRDefault="00244D18" w:rsidP="001738FB">
      <w:pPr>
        <w:ind w:left="1080"/>
      </w:pPr>
      <w:r>
        <w:t>If SSA did not conduct the</w:t>
      </w:r>
      <w:r w:rsidR="00123561">
        <w:t xml:space="preserve"> informati</w:t>
      </w:r>
      <w:r>
        <w:t>on collection, we</w:t>
      </w:r>
      <w:r w:rsidR="00123561">
        <w:t xml:space="preserve"> would have no means of assessing customer satisfaction with existing and proposed programs, serv</w:t>
      </w:r>
      <w:r w:rsidR="00A60765">
        <w:t>ices, and products.  Thus, the a</w:t>
      </w:r>
      <w:r w:rsidR="00123561">
        <w:t>gency would lose a valuable means of obtaining informatio</w:t>
      </w:r>
      <w:r w:rsidR="00E9457C">
        <w:t xml:space="preserve">n that can help us </w:t>
      </w:r>
      <w:r w:rsidR="00123561">
        <w:t xml:space="preserve">better serve the public.  In addition, we would be in violation of </w:t>
      </w:r>
      <w:r w:rsidR="00123561">
        <w:rPr>
          <w:i/>
          <w:iCs/>
        </w:rPr>
        <w:t xml:space="preserve">E.O. </w:t>
      </w:r>
      <w:r w:rsidR="00123561" w:rsidRPr="00C42D23">
        <w:rPr>
          <w:i/>
          <w:iCs/>
        </w:rPr>
        <w:t>12862</w:t>
      </w:r>
      <w:r w:rsidR="00123561">
        <w:rPr>
          <w:i/>
          <w:iCs/>
        </w:rPr>
        <w:t xml:space="preserve">.  </w:t>
      </w:r>
      <w:r w:rsidR="00123561">
        <w:t xml:space="preserve">Since </w:t>
      </w:r>
      <w:r w:rsidR="00A60765">
        <w:t>we only conduct individual generic clearance</w:t>
      </w:r>
      <w:r w:rsidR="00006029">
        <w:t>s</w:t>
      </w:r>
      <w:r w:rsidR="00A60765">
        <w:t xml:space="preserve"> to examine a specific issue, we cannot collect the information less frequently</w:t>
      </w:r>
      <w:r w:rsidR="00123561">
        <w:t>.</w:t>
      </w:r>
      <w:r w:rsidR="001738FB">
        <w:t xml:space="preserve">  </w:t>
      </w:r>
      <w:r w:rsidR="00123561">
        <w:t xml:space="preserve">There are no technical or legal obstacles </w:t>
      </w:r>
      <w:r w:rsidR="00006029">
        <w:t>to</w:t>
      </w:r>
      <w:r w:rsidR="00123561">
        <w:t xml:space="preserve"> burden reduction.</w:t>
      </w:r>
    </w:p>
    <w:p w:rsidR="00123561" w:rsidRDefault="00123561" w:rsidP="00123561"/>
    <w:p w:rsidR="00123561" w:rsidRDefault="00244D18" w:rsidP="00123561">
      <w:pPr>
        <w:numPr>
          <w:ilvl w:val="0"/>
          <w:numId w:val="1"/>
        </w:numPr>
      </w:pPr>
      <w:r>
        <w:rPr>
          <w:b/>
          <w:bCs/>
        </w:rPr>
        <w:t>Special Circumstances</w:t>
      </w:r>
    </w:p>
    <w:p w:rsidR="00123561" w:rsidRPr="003C579A" w:rsidRDefault="00123561" w:rsidP="00123561">
      <w:pPr>
        <w:ind w:left="1080"/>
        <w:rPr>
          <w:i/>
        </w:rPr>
      </w:pPr>
      <w:r>
        <w:t>There are no special circumstances that would cause</w:t>
      </w:r>
      <w:r w:rsidR="00757AF4">
        <w:t xml:space="preserve"> us to collect this</w:t>
      </w:r>
      <w:r>
        <w:t xml:space="preserve"> informa</w:t>
      </w:r>
      <w:r w:rsidR="00757AF4">
        <w:t xml:space="preserve">tion </w:t>
      </w:r>
      <w:r>
        <w:t xml:space="preserve">in a manner inconsistent with </w:t>
      </w:r>
      <w:proofErr w:type="gramStart"/>
      <w:r w:rsidRPr="003C579A">
        <w:rPr>
          <w:i/>
        </w:rPr>
        <w:t>5</w:t>
      </w:r>
      <w:proofErr w:type="gramEnd"/>
      <w:r w:rsidRPr="003C579A">
        <w:rPr>
          <w:i/>
        </w:rPr>
        <w:t xml:space="preserve"> CFR 1320.5.</w:t>
      </w:r>
    </w:p>
    <w:p w:rsidR="00123561" w:rsidRDefault="00123561" w:rsidP="00123561"/>
    <w:p w:rsidR="00123561" w:rsidRDefault="00123561" w:rsidP="00123561">
      <w:pPr>
        <w:numPr>
          <w:ilvl w:val="0"/>
          <w:numId w:val="1"/>
        </w:numPr>
      </w:pPr>
      <w:proofErr w:type="gramStart"/>
      <w:r>
        <w:rPr>
          <w:b/>
          <w:bCs/>
        </w:rPr>
        <w:t>Federal Register Notices/Public Comment.</w:t>
      </w:r>
      <w:proofErr w:type="gramEnd"/>
    </w:p>
    <w:p w:rsidR="00F926E4" w:rsidRDefault="00757AF4" w:rsidP="001738FB">
      <w:pPr>
        <w:ind w:left="1080"/>
      </w:pPr>
      <w:r>
        <w:t>SSA published t</w:t>
      </w:r>
      <w:r w:rsidR="00123561">
        <w:t>he 60-day a</w:t>
      </w:r>
      <w:r>
        <w:t>dva</w:t>
      </w:r>
      <w:r w:rsidR="007048EA">
        <w:t>nce Federa</w:t>
      </w:r>
      <w:r w:rsidR="003C579A">
        <w:t>l Register Notice on June 23</w:t>
      </w:r>
      <w:r w:rsidR="001738FB">
        <w:t>, 2015,</w:t>
      </w:r>
      <w:r w:rsidR="003C579A">
        <w:t xml:space="preserve"> at 80 FR 36031</w:t>
      </w:r>
      <w:r w:rsidR="00123561">
        <w:t>, and</w:t>
      </w:r>
      <w:r>
        <w:t xml:space="preserve"> we received no public comments.</w:t>
      </w:r>
      <w:r w:rsidR="00123561">
        <w:t xml:space="preserve">  </w:t>
      </w:r>
      <w:r>
        <w:t>We published t</w:t>
      </w:r>
      <w:r w:rsidR="00123561">
        <w:t>he 30-day F</w:t>
      </w:r>
      <w:r>
        <w:t xml:space="preserve">ederal Register Notice </w:t>
      </w:r>
      <w:r w:rsidR="00123561">
        <w:t>on</w:t>
      </w:r>
      <w:r w:rsidR="00EC0C8D">
        <w:t xml:space="preserve"> </w:t>
      </w:r>
      <w:r w:rsidR="001738FB">
        <w:t>November 17, 2015</w:t>
      </w:r>
      <w:r w:rsidR="003C579A">
        <w:t xml:space="preserve">, at </w:t>
      </w:r>
      <w:r w:rsidR="001738FB">
        <w:t>80 FR 71908</w:t>
      </w:r>
      <w:r w:rsidR="003C579A">
        <w:t xml:space="preserve">.  </w:t>
      </w:r>
      <w:r>
        <w:t>If we receive any public commen</w:t>
      </w:r>
      <w:r w:rsidR="001738FB">
        <w:t xml:space="preserve">ts in response to the </w:t>
      </w:r>
      <w:r>
        <w:t>30-day Notice, we will forward them to OMB.</w:t>
      </w:r>
      <w:r w:rsidR="001738FB">
        <w:t xml:space="preserve">  </w:t>
      </w:r>
      <w:r w:rsidR="00F926E4">
        <w:t>We did not consult with the public in the development or maintenance of these collections.</w:t>
      </w:r>
    </w:p>
    <w:p w:rsidR="00D92294" w:rsidRDefault="00D92294" w:rsidP="001738FB">
      <w:pPr>
        <w:ind w:left="1080"/>
      </w:pPr>
    </w:p>
    <w:p w:rsidR="00D92294" w:rsidRPr="00D92294" w:rsidRDefault="00D92294" w:rsidP="001738FB">
      <w:pPr>
        <w:ind w:left="1080"/>
        <w:rPr>
          <w:i/>
        </w:rPr>
      </w:pPr>
      <w:r w:rsidRPr="00D92294">
        <w:rPr>
          <w:i/>
        </w:rPr>
        <w:t>Note:  When we published the 30-day Federal Register Notice, we needed to make corrections to the burden chart; however, we inadvertently published the incorrect numbers.  We corrected the burden in #12 below as well as on the attached documents:  Listing of Proposed GC Collections, and Categorization of GC Activities with Totals.</w:t>
      </w:r>
    </w:p>
    <w:p w:rsidR="00844728" w:rsidRDefault="00844728" w:rsidP="00123561">
      <w:pPr>
        <w:ind w:left="1080"/>
      </w:pPr>
    </w:p>
    <w:p w:rsidR="007048EA" w:rsidRDefault="00123561" w:rsidP="007048EA">
      <w:pPr>
        <w:numPr>
          <w:ilvl w:val="0"/>
          <w:numId w:val="1"/>
        </w:numPr>
      </w:pPr>
      <w:proofErr w:type="gramStart"/>
      <w:r>
        <w:rPr>
          <w:b/>
          <w:bCs/>
        </w:rPr>
        <w:t xml:space="preserve">Payment </w:t>
      </w:r>
      <w:r w:rsidR="00ED5D82">
        <w:rPr>
          <w:b/>
          <w:bCs/>
        </w:rPr>
        <w:t>or</w:t>
      </w:r>
      <w:r>
        <w:rPr>
          <w:b/>
          <w:bCs/>
        </w:rPr>
        <w:t xml:space="preserve"> Gift </w:t>
      </w:r>
      <w:r w:rsidR="00ED5D82">
        <w:rPr>
          <w:b/>
          <w:bCs/>
        </w:rPr>
        <w:t>to</w:t>
      </w:r>
      <w:r>
        <w:rPr>
          <w:b/>
          <w:bCs/>
        </w:rPr>
        <w:t xml:space="preserve"> </w:t>
      </w:r>
      <w:r w:rsidR="00ED5D82">
        <w:rPr>
          <w:b/>
          <w:bCs/>
        </w:rPr>
        <w:t>the</w:t>
      </w:r>
      <w:r>
        <w:rPr>
          <w:b/>
          <w:bCs/>
        </w:rPr>
        <w:t xml:space="preserve"> Respondents.</w:t>
      </w:r>
      <w:proofErr w:type="gramEnd"/>
    </w:p>
    <w:p w:rsidR="0001122A" w:rsidRPr="007048EA" w:rsidRDefault="0001122A" w:rsidP="007048EA">
      <w:pPr>
        <w:ind w:left="1080"/>
      </w:pPr>
      <w:r w:rsidRPr="007048EA">
        <w:rPr>
          <w:rFonts w:cs="Arial"/>
          <w:color w:val="000000"/>
        </w:rPr>
        <w:t>Respondents</w:t>
      </w:r>
      <w:r w:rsidR="00E20774">
        <w:rPr>
          <w:rFonts w:cs="Arial"/>
          <w:color w:val="000000"/>
        </w:rPr>
        <w:t xml:space="preserve"> for activities conducted in a</w:t>
      </w:r>
      <w:r w:rsidRPr="007048EA">
        <w:rPr>
          <w:rFonts w:cs="Arial"/>
          <w:color w:val="000000"/>
        </w:rPr>
        <w:t xml:space="preserve"> </w:t>
      </w:r>
      <w:r w:rsidR="00E20774">
        <w:rPr>
          <w:rFonts w:cs="Arial"/>
          <w:color w:val="000000"/>
        </w:rPr>
        <w:t>“</w:t>
      </w:r>
      <w:r w:rsidRPr="007048EA">
        <w:rPr>
          <w:rFonts w:cs="Arial"/>
          <w:color w:val="000000"/>
        </w:rPr>
        <w:t>laboratory</w:t>
      </w:r>
      <w:r w:rsidR="001738FB">
        <w:rPr>
          <w:rFonts w:cs="Arial"/>
          <w:color w:val="000000"/>
        </w:rPr>
        <w:t>”</w:t>
      </w:r>
      <w:r w:rsidR="00E20774">
        <w:rPr>
          <w:rFonts w:cs="Arial"/>
          <w:color w:val="000000"/>
        </w:rPr>
        <w:t>–type setting</w:t>
      </w:r>
      <w:r w:rsidRPr="007048EA">
        <w:rPr>
          <w:rFonts w:cs="Arial"/>
          <w:color w:val="000000"/>
        </w:rPr>
        <w:t xml:space="preserve"> (that is, in-depth interviews, usa</w:t>
      </w:r>
      <w:r w:rsidR="007048EA">
        <w:rPr>
          <w:rFonts w:cs="Arial"/>
          <w:color w:val="000000"/>
        </w:rPr>
        <w:t>bility testing, etc.</w:t>
      </w:r>
      <w:r w:rsidR="003860B0">
        <w:rPr>
          <w:rFonts w:cs="Arial"/>
          <w:color w:val="000000"/>
        </w:rPr>
        <w:t xml:space="preserve">) under this clearance may receive a small stipend.  </w:t>
      </w:r>
      <w:r w:rsidRPr="007048EA">
        <w:rPr>
          <w:rFonts w:cs="Arial"/>
          <w:color w:val="000000"/>
        </w:rPr>
        <w:t xml:space="preserve">This practice has proven necessary and effective in recruiting subjects to </w:t>
      </w:r>
      <w:r w:rsidR="003860B0">
        <w:rPr>
          <w:rFonts w:cs="Arial"/>
          <w:color w:val="000000"/>
        </w:rPr>
        <w:t xml:space="preserve">participate in this </w:t>
      </w:r>
      <w:r w:rsidRPr="007048EA">
        <w:rPr>
          <w:rFonts w:cs="Arial"/>
          <w:color w:val="000000"/>
        </w:rPr>
        <w:t xml:space="preserve">research, and </w:t>
      </w:r>
      <w:proofErr w:type="gramStart"/>
      <w:r w:rsidR="003860B0" w:rsidRPr="007048EA">
        <w:rPr>
          <w:rFonts w:cs="Arial"/>
          <w:color w:val="000000"/>
        </w:rPr>
        <w:t>is</w:t>
      </w:r>
      <w:r w:rsidRPr="007048EA">
        <w:rPr>
          <w:rFonts w:cs="Arial"/>
          <w:color w:val="000000"/>
        </w:rPr>
        <w:t xml:space="preserve"> employed</w:t>
      </w:r>
      <w:proofErr w:type="gramEnd"/>
      <w:r w:rsidRPr="007048EA">
        <w:rPr>
          <w:rFonts w:cs="Arial"/>
          <w:color w:val="000000"/>
        </w:rPr>
        <w:t xml:space="preserve"> by the other Federal cognitive laboratories. </w:t>
      </w:r>
      <w:r w:rsidR="001738FB">
        <w:rPr>
          <w:rFonts w:cs="Arial"/>
          <w:color w:val="000000"/>
        </w:rPr>
        <w:t xml:space="preserve"> </w:t>
      </w:r>
      <w:r w:rsidRPr="007048EA">
        <w:rPr>
          <w:rFonts w:cs="Arial"/>
          <w:color w:val="000000"/>
        </w:rPr>
        <w:t xml:space="preserve">The incentive for participation in a one-on-one interview or usability session is $40, and for participation in a focus group is $50-$75. </w:t>
      </w:r>
      <w:r w:rsidR="007048EA">
        <w:rPr>
          <w:rFonts w:cs="Arial"/>
          <w:color w:val="000000"/>
        </w:rPr>
        <w:t xml:space="preserve"> </w:t>
      </w:r>
      <w:r w:rsidRPr="007048EA">
        <w:rPr>
          <w:rFonts w:cs="Arial"/>
          <w:color w:val="000000"/>
        </w:rPr>
        <w:t>SSA may provide smaller incentives than these amounts at its discretion; however, SSA will justify to OMB any requests for larger</w:t>
      </w:r>
      <w:r w:rsidR="0046314E" w:rsidRPr="007048EA">
        <w:rPr>
          <w:rFonts w:cs="Arial"/>
          <w:color w:val="000000"/>
        </w:rPr>
        <w:t xml:space="preserve"> amounts</w:t>
      </w:r>
      <w:r w:rsidRPr="007048EA">
        <w:rPr>
          <w:rFonts w:cs="Arial"/>
          <w:color w:val="000000"/>
        </w:rPr>
        <w:t>.  Respondents for</w:t>
      </w:r>
      <w:r w:rsidR="003860B0">
        <w:rPr>
          <w:rFonts w:cs="Arial"/>
          <w:color w:val="000000"/>
        </w:rPr>
        <w:t xml:space="preserve"> </w:t>
      </w:r>
      <w:r w:rsidR="00136651">
        <w:rPr>
          <w:rFonts w:cs="Arial"/>
          <w:color w:val="000000"/>
        </w:rPr>
        <w:t>quantitative</w:t>
      </w:r>
      <w:r w:rsidRPr="007048EA">
        <w:rPr>
          <w:rFonts w:cs="Arial"/>
          <w:color w:val="000000"/>
        </w:rPr>
        <w:t xml:space="preserve"> satisfaction surveys will not receive payment for participation. </w:t>
      </w:r>
      <w:r w:rsidR="00EF0A54">
        <w:rPr>
          <w:rFonts w:cs="Arial"/>
          <w:color w:val="000000"/>
        </w:rPr>
        <w:t xml:space="preserve"> </w:t>
      </w:r>
      <w:r w:rsidRPr="007048EA">
        <w:rPr>
          <w:rFonts w:cs="Arial"/>
          <w:color w:val="000000"/>
        </w:rPr>
        <w:t>We will</w:t>
      </w:r>
      <w:r w:rsidR="00E20774">
        <w:rPr>
          <w:rFonts w:cs="Arial"/>
          <w:color w:val="000000"/>
        </w:rPr>
        <w:t xml:space="preserve"> provide specific information with</w:t>
      </w:r>
      <w:r w:rsidRPr="007048EA">
        <w:rPr>
          <w:rFonts w:cs="Arial"/>
          <w:color w:val="000000"/>
        </w:rPr>
        <w:t xml:space="preserve"> ea</w:t>
      </w:r>
      <w:r w:rsidR="003860B0">
        <w:rPr>
          <w:rFonts w:cs="Arial"/>
          <w:color w:val="000000"/>
        </w:rPr>
        <w:t>ch individual generic clearance</w:t>
      </w:r>
      <w:r w:rsidRPr="007048EA">
        <w:rPr>
          <w:rFonts w:cs="Arial"/>
          <w:color w:val="000000"/>
        </w:rPr>
        <w:t xml:space="preserve"> request.</w:t>
      </w:r>
    </w:p>
    <w:p w:rsidR="002E7250" w:rsidRDefault="002E7250" w:rsidP="00844728"/>
    <w:p w:rsidR="00844728" w:rsidRDefault="00844728" w:rsidP="00844728">
      <w:pPr>
        <w:numPr>
          <w:ilvl w:val="0"/>
          <w:numId w:val="1"/>
        </w:numPr>
      </w:pPr>
      <w:proofErr w:type="gramStart"/>
      <w:r>
        <w:rPr>
          <w:b/>
          <w:bCs/>
        </w:rPr>
        <w:t xml:space="preserve">Assurances </w:t>
      </w:r>
      <w:r w:rsidR="00ED5D82">
        <w:rPr>
          <w:b/>
          <w:bCs/>
        </w:rPr>
        <w:t>of</w:t>
      </w:r>
      <w:r>
        <w:rPr>
          <w:b/>
          <w:bCs/>
        </w:rPr>
        <w:t xml:space="preserve"> Confidentiality.</w:t>
      </w:r>
      <w:proofErr w:type="gramEnd"/>
    </w:p>
    <w:p w:rsidR="00844728" w:rsidRDefault="008C6B7D" w:rsidP="00EF0A54">
      <w:pPr>
        <w:ind w:left="1080"/>
      </w:pPr>
      <w:r>
        <w:t xml:space="preserve">SSA protects and holds </w:t>
      </w:r>
      <w:r w:rsidR="00844728">
        <w:t xml:space="preserve">confidential </w:t>
      </w:r>
      <w:r w:rsidR="00006029">
        <w:t>the i</w:t>
      </w:r>
      <w:r w:rsidR="003860B0">
        <w:t>nformation we collect</w:t>
      </w:r>
      <w:r w:rsidR="00006029">
        <w:t xml:space="preserve"> </w:t>
      </w:r>
      <w:r w:rsidR="00844728">
        <w:t>i</w:t>
      </w:r>
      <w:r w:rsidR="00627A85">
        <w:t xml:space="preserve">n accordance with </w:t>
      </w:r>
      <w:r w:rsidR="00627A85" w:rsidRPr="003C579A">
        <w:rPr>
          <w:i/>
        </w:rPr>
        <w:t>42 U.S.C. 1306</w:t>
      </w:r>
      <w:r w:rsidR="00844728" w:rsidRPr="003C579A">
        <w:rPr>
          <w:i/>
        </w:rPr>
        <w:t>, 20 CFR 401</w:t>
      </w:r>
      <w:r w:rsidR="00844728">
        <w:t xml:space="preserve"> and </w:t>
      </w:r>
      <w:r w:rsidR="00844728" w:rsidRPr="003C579A">
        <w:rPr>
          <w:i/>
        </w:rPr>
        <w:t>402, 5 U.S.C. 552 (Freedom of Information Act), 5 U.S.C. 552a</w:t>
      </w:r>
      <w:r w:rsidR="00844728">
        <w:t xml:space="preserve"> </w:t>
      </w:r>
      <w:r w:rsidR="00844728" w:rsidRPr="003C579A">
        <w:rPr>
          <w:i/>
        </w:rPr>
        <w:t>(Privacy Act of 1974),</w:t>
      </w:r>
      <w:r w:rsidR="00844728">
        <w:t xml:space="preserve"> and OMB Circular No</w:t>
      </w:r>
      <w:proofErr w:type="gramStart"/>
      <w:r w:rsidR="00844728">
        <w:t>. A-130.</w:t>
      </w:r>
      <w:proofErr w:type="gramEnd"/>
    </w:p>
    <w:p w:rsidR="00844728" w:rsidRDefault="00844728" w:rsidP="00844728">
      <w:pPr>
        <w:numPr>
          <w:ilvl w:val="0"/>
          <w:numId w:val="1"/>
        </w:numPr>
      </w:pPr>
      <w:r>
        <w:rPr>
          <w:b/>
          <w:bCs/>
        </w:rPr>
        <w:t xml:space="preserve">Justification </w:t>
      </w:r>
      <w:r w:rsidR="00ED5D82">
        <w:rPr>
          <w:b/>
          <w:bCs/>
        </w:rPr>
        <w:t>for</w:t>
      </w:r>
      <w:r>
        <w:rPr>
          <w:b/>
          <w:bCs/>
        </w:rPr>
        <w:t xml:space="preserve"> </w:t>
      </w:r>
      <w:r w:rsidR="003860B0">
        <w:rPr>
          <w:b/>
          <w:bCs/>
        </w:rPr>
        <w:t xml:space="preserve">Sensitive </w:t>
      </w:r>
      <w:r>
        <w:rPr>
          <w:b/>
          <w:bCs/>
        </w:rPr>
        <w:t xml:space="preserve">Questions </w:t>
      </w:r>
    </w:p>
    <w:p w:rsidR="00844728" w:rsidRDefault="00006029" w:rsidP="00844728">
      <w:pPr>
        <w:ind w:left="1080"/>
      </w:pPr>
      <w:r>
        <w:t xml:space="preserve">None of our generic clearances will </w:t>
      </w:r>
      <w:r w:rsidR="00844728">
        <w:t>contain any questions of a sensitive nature.</w:t>
      </w:r>
    </w:p>
    <w:p w:rsidR="00844728" w:rsidRDefault="00844728" w:rsidP="00844728"/>
    <w:p w:rsidR="00844728" w:rsidRDefault="00844728" w:rsidP="00844728">
      <w:pPr>
        <w:numPr>
          <w:ilvl w:val="0"/>
          <w:numId w:val="1"/>
        </w:numPr>
      </w:pPr>
      <w:r>
        <w:rPr>
          <w:b/>
          <w:bCs/>
        </w:rPr>
        <w:t xml:space="preserve">Estimates </w:t>
      </w:r>
      <w:r w:rsidR="003860B0">
        <w:rPr>
          <w:b/>
          <w:bCs/>
        </w:rPr>
        <w:t>of Public Reporting Burden</w:t>
      </w:r>
    </w:p>
    <w:p w:rsidR="00844728" w:rsidRDefault="00844728" w:rsidP="00A677A8">
      <w:pPr>
        <w:ind w:left="1080"/>
      </w:pPr>
      <w:r>
        <w:t>Below is a chart listing the total number of respondents and the number of burden hours fo</w:t>
      </w:r>
      <w:r w:rsidR="00647C10">
        <w:t xml:space="preserve">r each year in the collection.  </w:t>
      </w:r>
    </w:p>
    <w:p w:rsidR="00844728" w:rsidRDefault="00844728" w:rsidP="00844728">
      <w:pPr>
        <w:ind w:left="1080"/>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3011"/>
        <w:gridCol w:w="3436"/>
      </w:tblGrid>
      <w:tr w:rsidR="003860B0" w:rsidRPr="00595B3B" w:rsidTr="00595B3B">
        <w:tc>
          <w:tcPr>
            <w:tcW w:w="0" w:type="auto"/>
            <w:shd w:val="clear" w:color="auto" w:fill="auto"/>
          </w:tcPr>
          <w:p w:rsidR="00DD0B5C" w:rsidRPr="00595B3B" w:rsidRDefault="00647C10" w:rsidP="00595B3B">
            <w:pPr>
              <w:jc w:val="center"/>
              <w:rPr>
                <w:b/>
                <w:bCs/>
              </w:rPr>
            </w:pPr>
            <w:r w:rsidRPr="00595B3B">
              <w:rPr>
                <w:b/>
                <w:bCs/>
              </w:rPr>
              <w:t>GC PLAN YEAR</w:t>
            </w:r>
          </w:p>
        </w:tc>
        <w:tc>
          <w:tcPr>
            <w:tcW w:w="0" w:type="auto"/>
            <w:shd w:val="clear" w:color="auto" w:fill="auto"/>
          </w:tcPr>
          <w:p w:rsidR="00DD0B5C" w:rsidRPr="00595B3B" w:rsidRDefault="00DD0B5C" w:rsidP="00595B3B">
            <w:pPr>
              <w:jc w:val="center"/>
              <w:rPr>
                <w:b/>
                <w:bCs/>
              </w:rPr>
            </w:pPr>
            <w:r w:rsidRPr="00595B3B">
              <w:rPr>
                <w:b/>
                <w:bCs/>
              </w:rPr>
              <w:t>TOTAL NUMBER OF RESPONDENTS</w:t>
            </w:r>
          </w:p>
        </w:tc>
        <w:tc>
          <w:tcPr>
            <w:tcW w:w="0" w:type="auto"/>
            <w:shd w:val="clear" w:color="auto" w:fill="auto"/>
          </w:tcPr>
          <w:p w:rsidR="00DD0B5C" w:rsidRPr="00595B3B" w:rsidRDefault="00DD0B5C" w:rsidP="00595B3B">
            <w:pPr>
              <w:jc w:val="center"/>
              <w:rPr>
                <w:b/>
                <w:bCs/>
              </w:rPr>
            </w:pPr>
            <w:r w:rsidRPr="00595B3B">
              <w:rPr>
                <w:b/>
                <w:bCs/>
              </w:rPr>
              <w:t>TOTAL HOURS (FOR ALL FIVE CATEGORIES)</w:t>
            </w:r>
          </w:p>
        </w:tc>
      </w:tr>
      <w:tr w:rsidR="003860B0" w:rsidRPr="00595B3B" w:rsidTr="00595B3B">
        <w:tc>
          <w:tcPr>
            <w:tcW w:w="0" w:type="auto"/>
            <w:shd w:val="clear" w:color="auto" w:fill="auto"/>
          </w:tcPr>
          <w:p w:rsidR="00DD0B5C" w:rsidRPr="00C67CEF" w:rsidRDefault="003860B0" w:rsidP="00595B3B">
            <w:pPr>
              <w:jc w:val="center"/>
            </w:pPr>
            <w:r>
              <w:t>Year 1 (September 2012 through August 2013</w:t>
            </w:r>
            <w:r w:rsidR="00627A85">
              <w:t>)</w:t>
            </w:r>
          </w:p>
        </w:tc>
        <w:tc>
          <w:tcPr>
            <w:tcW w:w="0" w:type="auto"/>
            <w:shd w:val="clear" w:color="auto" w:fill="auto"/>
          </w:tcPr>
          <w:p w:rsidR="00DD0B5C" w:rsidRPr="00CA0608" w:rsidRDefault="00977613" w:rsidP="00595B3B">
            <w:pPr>
              <w:jc w:val="center"/>
            </w:pPr>
            <w:r>
              <w:rPr>
                <w:sz w:val="22"/>
                <w:szCs w:val="22"/>
              </w:rPr>
              <w:t>9,564,240</w:t>
            </w:r>
          </w:p>
        </w:tc>
        <w:tc>
          <w:tcPr>
            <w:tcW w:w="0" w:type="auto"/>
            <w:shd w:val="clear" w:color="auto" w:fill="auto"/>
          </w:tcPr>
          <w:p w:rsidR="00DD0B5C" w:rsidRPr="00C67CEF" w:rsidRDefault="00977613" w:rsidP="00595B3B">
            <w:pPr>
              <w:jc w:val="center"/>
            </w:pPr>
            <w:r w:rsidRPr="00530FDC">
              <w:rPr>
                <w:sz w:val="22"/>
                <w:szCs w:val="22"/>
              </w:rPr>
              <w:t>1,346,304</w:t>
            </w:r>
          </w:p>
        </w:tc>
      </w:tr>
      <w:tr w:rsidR="003860B0" w:rsidRPr="00595B3B" w:rsidTr="00595B3B">
        <w:tc>
          <w:tcPr>
            <w:tcW w:w="0" w:type="auto"/>
            <w:shd w:val="clear" w:color="auto" w:fill="auto"/>
          </w:tcPr>
          <w:p w:rsidR="00DD0B5C" w:rsidRDefault="003860B0" w:rsidP="00595B3B">
            <w:pPr>
              <w:jc w:val="center"/>
            </w:pPr>
            <w:r>
              <w:t>Year 2 (September 2013 through August 2014</w:t>
            </w:r>
            <w:r w:rsidR="00627A85">
              <w:t>)</w:t>
            </w:r>
          </w:p>
        </w:tc>
        <w:tc>
          <w:tcPr>
            <w:tcW w:w="0" w:type="auto"/>
            <w:shd w:val="clear" w:color="auto" w:fill="auto"/>
          </w:tcPr>
          <w:p w:rsidR="00DD0B5C" w:rsidRPr="00CA0608" w:rsidRDefault="00977613" w:rsidP="00595B3B">
            <w:pPr>
              <w:jc w:val="center"/>
            </w:pPr>
            <w:r>
              <w:rPr>
                <w:sz w:val="22"/>
                <w:szCs w:val="22"/>
              </w:rPr>
              <w:t>9,569,940</w:t>
            </w:r>
          </w:p>
        </w:tc>
        <w:tc>
          <w:tcPr>
            <w:tcW w:w="0" w:type="auto"/>
            <w:shd w:val="clear" w:color="auto" w:fill="auto"/>
          </w:tcPr>
          <w:p w:rsidR="00DD0B5C" w:rsidRPr="00C67CEF" w:rsidRDefault="00977613" w:rsidP="00595B3B">
            <w:pPr>
              <w:jc w:val="center"/>
            </w:pPr>
            <w:r w:rsidRPr="00530FDC">
              <w:rPr>
                <w:sz w:val="22"/>
                <w:szCs w:val="22"/>
              </w:rPr>
              <w:t>1,347,404</w:t>
            </w:r>
          </w:p>
        </w:tc>
      </w:tr>
      <w:tr w:rsidR="003860B0" w:rsidRPr="00595B3B" w:rsidTr="00595B3B">
        <w:tc>
          <w:tcPr>
            <w:tcW w:w="0" w:type="auto"/>
            <w:shd w:val="clear" w:color="auto" w:fill="auto"/>
          </w:tcPr>
          <w:p w:rsidR="00DD0B5C" w:rsidRDefault="003860B0" w:rsidP="00595B3B">
            <w:pPr>
              <w:jc w:val="center"/>
            </w:pPr>
            <w:r>
              <w:t>Year 3 (September 2014</w:t>
            </w:r>
            <w:r w:rsidR="00627A85">
              <w:t xml:space="preserve"> through </w:t>
            </w:r>
            <w:r>
              <w:t>August 2015</w:t>
            </w:r>
            <w:r w:rsidR="00627A85">
              <w:t>)</w:t>
            </w:r>
          </w:p>
        </w:tc>
        <w:tc>
          <w:tcPr>
            <w:tcW w:w="0" w:type="auto"/>
            <w:shd w:val="clear" w:color="auto" w:fill="auto"/>
          </w:tcPr>
          <w:p w:rsidR="00DD0B5C" w:rsidRPr="00CA0608" w:rsidRDefault="00977613" w:rsidP="00595B3B">
            <w:pPr>
              <w:jc w:val="center"/>
            </w:pPr>
            <w:r>
              <w:rPr>
                <w:sz w:val="22"/>
                <w:szCs w:val="22"/>
              </w:rPr>
              <w:t>9,575,440</w:t>
            </w:r>
          </w:p>
        </w:tc>
        <w:tc>
          <w:tcPr>
            <w:tcW w:w="0" w:type="auto"/>
            <w:shd w:val="clear" w:color="auto" w:fill="auto"/>
          </w:tcPr>
          <w:p w:rsidR="00DD0B5C" w:rsidRPr="00C67CEF" w:rsidRDefault="00977613" w:rsidP="00595B3B">
            <w:pPr>
              <w:jc w:val="center"/>
            </w:pPr>
            <w:r w:rsidRPr="00530FDC">
              <w:rPr>
                <w:sz w:val="22"/>
                <w:szCs w:val="22"/>
              </w:rPr>
              <w:t>1,348,504</w:t>
            </w:r>
          </w:p>
        </w:tc>
      </w:tr>
      <w:tr w:rsidR="003860B0" w:rsidRPr="00595B3B" w:rsidTr="00595B3B">
        <w:tc>
          <w:tcPr>
            <w:tcW w:w="0" w:type="auto"/>
            <w:shd w:val="clear" w:color="auto" w:fill="auto"/>
          </w:tcPr>
          <w:p w:rsidR="00DD0B5C" w:rsidRPr="00595B3B" w:rsidRDefault="00DD0B5C" w:rsidP="00595B3B">
            <w:pPr>
              <w:jc w:val="center"/>
              <w:rPr>
                <w:b/>
                <w:bCs/>
              </w:rPr>
            </w:pPr>
            <w:r w:rsidRPr="00595B3B">
              <w:rPr>
                <w:b/>
                <w:bCs/>
              </w:rPr>
              <w:t>3-YEAR TOTAL</w:t>
            </w:r>
          </w:p>
        </w:tc>
        <w:tc>
          <w:tcPr>
            <w:tcW w:w="0" w:type="auto"/>
            <w:shd w:val="clear" w:color="auto" w:fill="auto"/>
          </w:tcPr>
          <w:p w:rsidR="00DD0B5C" w:rsidRPr="00EF0A54" w:rsidRDefault="00977613" w:rsidP="00595B3B">
            <w:pPr>
              <w:jc w:val="center"/>
              <w:rPr>
                <w:b/>
                <w:bCs/>
              </w:rPr>
            </w:pPr>
            <w:r>
              <w:rPr>
                <w:b/>
                <w:bCs/>
              </w:rPr>
              <w:t>28,709</w:t>
            </w:r>
            <w:r w:rsidRPr="00E30732">
              <w:rPr>
                <w:b/>
                <w:bCs/>
              </w:rPr>
              <w:t>,</w:t>
            </w:r>
            <w:r>
              <w:rPr>
                <w:b/>
                <w:bCs/>
              </w:rPr>
              <w:t xml:space="preserve">620 </w:t>
            </w:r>
            <w:r w:rsidR="00086EFF" w:rsidRPr="00EF0A54">
              <w:rPr>
                <w:b/>
                <w:bCs/>
              </w:rPr>
              <w:t>respondents</w:t>
            </w:r>
          </w:p>
        </w:tc>
        <w:tc>
          <w:tcPr>
            <w:tcW w:w="0" w:type="auto"/>
            <w:shd w:val="clear" w:color="auto" w:fill="auto"/>
          </w:tcPr>
          <w:p w:rsidR="00DD0B5C" w:rsidRPr="00EF0A54" w:rsidRDefault="00977613" w:rsidP="00595B3B">
            <w:pPr>
              <w:jc w:val="center"/>
              <w:rPr>
                <w:b/>
                <w:bCs/>
              </w:rPr>
            </w:pPr>
            <w:r w:rsidRPr="00530FDC">
              <w:rPr>
                <w:b/>
                <w:bCs/>
              </w:rPr>
              <w:t>4,042,212</w:t>
            </w:r>
            <w:r w:rsidR="00CA0608" w:rsidRPr="00EF0A54">
              <w:rPr>
                <w:b/>
                <w:bCs/>
              </w:rPr>
              <w:t xml:space="preserve"> </w:t>
            </w:r>
            <w:r w:rsidR="00086EFF" w:rsidRPr="00EF0A54">
              <w:rPr>
                <w:b/>
                <w:bCs/>
              </w:rPr>
              <w:t>hours</w:t>
            </w:r>
          </w:p>
        </w:tc>
      </w:tr>
    </w:tbl>
    <w:p w:rsidR="00844728" w:rsidRDefault="00844728" w:rsidP="00844728">
      <w:pPr>
        <w:ind w:left="1080"/>
      </w:pPr>
    </w:p>
    <w:p w:rsidR="00B051FC" w:rsidRDefault="00086EFF" w:rsidP="006A0EA5">
      <w:pPr>
        <w:ind w:left="1080"/>
      </w:pPr>
      <w:r>
        <w:t xml:space="preserve">The total burden of </w:t>
      </w:r>
      <w:r w:rsidR="00977613" w:rsidRPr="00977613">
        <w:rPr>
          <w:bCs/>
        </w:rPr>
        <w:t>4,042,212</w:t>
      </w:r>
      <w:r w:rsidR="00EF0A54">
        <w:t xml:space="preserve"> </w:t>
      </w:r>
      <w:r w:rsidRPr="00CA4F5C">
        <w:rPr>
          <w:bCs/>
        </w:rPr>
        <w:t>hours</w:t>
      </w:r>
      <w:r>
        <w:t xml:space="preserve"> </w:t>
      </w:r>
      <w:r w:rsidR="00647C10">
        <w:t>represents burden hours, and we did not calculate a separate cost burden.</w:t>
      </w:r>
      <w:r w:rsidR="00B051FC">
        <w:t xml:space="preserve">  For a complete listing of each proposed generic clearance activity and its projected bur</w:t>
      </w:r>
      <w:r w:rsidR="003860B0">
        <w:t>den, see the document</w:t>
      </w:r>
      <w:r w:rsidR="00B051FC">
        <w:t xml:space="preserve"> entitled “Categorization of GC activities w totals,”</w:t>
      </w:r>
      <w:r w:rsidR="00CA4F5C">
        <w:t xml:space="preserve"> posted in the </w:t>
      </w:r>
      <w:r w:rsidR="006A0EA5">
        <w:t>“Mange ICR Documents” page of</w:t>
      </w:r>
      <w:r w:rsidR="00CA4F5C">
        <w:t xml:space="preserve"> ROCIS.   </w:t>
      </w:r>
    </w:p>
    <w:p w:rsidR="00CA0608" w:rsidRDefault="00CA0608" w:rsidP="003860B0"/>
    <w:p w:rsidR="00123561" w:rsidRDefault="003860B0" w:rsidP="00086EFF">
      <w:pPr>
        <w:numPr>
          <w:ilvl w:val="0"/>
          <w:numId w:val="1"/>
        </w:numPr>
      </w:pPr>
      <w:r>
        <w:rPr>
          <w:b/>
          <w:bCs/>
        </w:rPr>
        <w:t xml:space="preserve">Annual </w:t>
      </w:r>
      <w:r w:rsidR="00086EFF">
        <w:rPr>
          <w:b/>
          <w:bCs/>
        </w:rPr>
        <w:t xml:space="preserve">Cost </w:t>
      </w:r>
      <w:r>
        <w:rPr>
          <w:b/>
          <w:bCs/>
        </w:rPr>
        <w:t>Burden t</w:t>
      </w:r>
      <w:r w:rsidR="00086EFF">
        <w:rPr>
          <w:b/>
          <w:bCs/>
        </w:rPr>
        <w:t xml:space="preserve">o </w:t>
      </w:r>
      <w:r>
        <w:rPr>
          <w:b/>
          <w:bCs/>
        </w:rPr>
        <w:t xml:space="preserve">the </w:t>
      </w:r>
      <w:r w:rsidR="00086EFF">
        <w:rPr>
          <w:b/>
          <w:bCs/>
        </w:rPr>
        <w:t>Respondents</w:t>
      </w:r>
      <w:r>
        <w:rPr>
          <w:b/>
          <w:bCs/>
        </w:rPr>
        <w:t xml:space="preserve"> (Other)</w:t>
      </w:r>
    </w:p>
    <w:p w:rsidR="00086EFF" w:rsidRDefault="00086EFF" w:rsidP="00086EFF">
      <w:pPr>
        <w:ind w:left="1080"/>
      </w:pPr>
      <w:r>
        <w:t>There is no known cost burden to the respondents.</w:t>
      </w:r>
    </w:p>
    <w:p w:rsidR="00086EFF" w:rsidRDefault="00086EFF" w:rsidP="00086EFF"/>
    <w:p w:rsidR="00086EFF" w:rsidRDefault="003860B0" w:rsidP="00086EFF">
      <w:pPr>
        <w:numPr>
          <w:ilvl w:val="0"/>
          <w:numId w:val="1"/>
        </w:numPr>
      </w:pPr>
      <w:proofErr w:type="gramStart"/>
      <w:r>
        <w:rPr>
          <w:b/>
          <w:bCs/>
        </w:rPr>
        <w:t>Annual Cost to t</w:t>
      </w:r>
      <w:r w:rsidR="00086EFF">
        <w:rPr>
          <w:b/>
          <w:bCs/>
        </w:rPr>
        <w:t>he Federal Government.</w:t>
      </w:r>
      <w:proofErr w:type="gramEnd"/>
    </w:p>
    <w:p w:rsidR="00086EFF" w:rsidRDefault="00086EFF" w:rsidP="00086EFF">
      <w:pPr>
        <w:ind w:left="1080"/>
      </w:pPr>
      <w:r>
        <w:t>Below are the</w:t>
      </w:r>
      <w:r w:rsidR="00B051FC">
        <w:t xml:space="preserve"> annual and </w:t>
      </w:r>
      <w:r w:rsidR="00627A85">
        <w:t>triennial</w:t>
      </w:r>
      <w:r>
        <w:t xml:space="preserve"> costs to the Federal Government </w:t>
      </w:r>
      <w:r w:rsidR="00B051FC">
        <w:t xml:space="preserve">for these generic clearance activities.  </w:t>
      </w:r>
    </w:p>
    <w:p w:rsidR="00086EFF" w:rsidRDefault="00086EFF" w:rsidP="00086EFF">
      <w:pPr>
        <w:ind w:left="1080"/>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7"/>
        <w:gridCol w:w="3522"/>
      </w:tblGrid>
      <w:tr w:rsidR="00086EFF" w:rsidTr="00595B3B">
        <w:tc>
          <w:tcPr>
            <w:tcW w:w="0" w:type="auto"/>
            <w:shd w:val="clear" w:color="auto" w:fill="auto"/>
          </w:tcPr>
          <w:p w:rsidR="00086EFF" w:rsidRPr="00595B3B" w:rsidRDefault="003E74E3" w:rsidP="003860B0">
            <w:pPr>
              <w:jc w:val="center"/>
              <w:rPr>
                <w:b/>
                <w:bCs/>
              </w:rPr>
            </w:pPr>
            <w:r>
              <w:rPr>
                <w:b/>
                <w:bCs/>
              </w:rPr>
              <w:lastRenderedPageBreak/>
              <w:t xml:space="preserve">GC Plan </w:t>
            </w:r>
            <w:r w:rsidR="00086EFF" w:rsidRPr="00595B3B">
              <w:rPr>
                <w:b/>
                <w:bCs/>
              </w:rPr>
              <w:t>Year</w:t>
            </w:r>
          </w:p>
        </w:tc>
        <w:tc>
          <w:tcPr>
            <w:tcW w:w="0" w:type="auto"/>
            <w:shd w:val="clear" w:color="auto" w:fill="auto"/>
          </w:tcPr>
          <w:p w:rsidR="00086EFF" w:rsidRPr="00595B3B" w:rsidRDefault="00086EFF" w:rsidP="00086EFF">
            <w:pPr>
              <w:rPr>
                <w:b/>
                <w:bCs/>
              </w:rPr>
            </w:pPr>
            <w:r w:rsidRPr="00595B3B">
              <w:rPr>
                <w:b/>
                <w:bCs/>
              </w:rPr>
              <w:t>Cost to the Federal Government</w:t>
            </w:r>
          </w:p>
        </w:tc>
      </w:tr>
      <w:tr w:rsidR="00086EFF" w:rsidTr="00595B3B">
        <w:tc>
          <w:tcPr>
            <w:tcW w:w="0" w:type="auto"/>
            <w:shd w:val="clear" w:color="auto" w:fill="auto"/>
          </w:tcPr>
          <w:p w:rsidR="00086EFF" w:rsidRDefault="00A24B0B" w:rsidP="00595B3B">
            <w:pPr>
              <w:jc w:val="center"/>
            </w:pPr>
            <w:r>
              <w:t>Year 1</w:t>
            </w:r>
          </w:p>
        </w:tc>
        <w:tc>
          <w:tcPr>
            <w:tcW w:w="0" w:type="auto"/>
            <w:shd w:val="clear" w:color="auto" w:fill="auto"/>
          </w:tcPr>
          <w:p w:rsidR="00086EFF" w:rsidRPr="00CC0DAF" w:rsidRDefault="00977613" w:rsidP="003E74E3">
            <w:pPr>
              <w:jc w:val="center"/>
            </w:pPr>
            <w:r w:rsidRPr="00530FDC">
              <w:rPr>
                <w:sz w:val="22"/>
                <w:szCs w:val="22"/>
              </w:rPr>
              <w:t>$2,014,001</w:t>
            </w:r>
          </w:p>
        </w:tc>
      </w:tr>
      <w:tr w:rsidR="00086EFF" w:rsidTr="00595B3B">
        <w:tc>
          <w:tcPr>
            <w:tcW w:w="0" w:type="auto"/>
            <w:shd w:val="clear" w:color="auto" w:fill="auto"/>
          </w:tcPr>
          <w:p w:rsidR="00086EFF" w:rsidRDefault="00A24B0B" w:rsidP="00595B3B">
            <w:pPr>
              <w:jc w:val="center"/>
            </w:pPr>
            <w:r>
              <w:t>Year 2</w:t>
            </w:r>
          </w:p>
        </w:tc>
        <w:tc>
          <w:tcPr>
            <w:tcW w:w="0" w:type="auto"/>
            <w:shd w:val="clear" w:color="auto" w:fill="auto"/>
          </w:tcPr>
          <w:p w:rsidR="00086EFF" w:rsidRPr="00CC0DAF" w:rsidRDefault="00977613" w:rsidP="003E74E3">
            <w:pPr>
              <w:jc w:val="center"/>
            </w:pPr>
            <w:r w:rsidRPr="00530FDC">
              <w:rPr>
                <w:sz w:val="22"/>
                <w:szCs w:val="22"/>
              </w:rPr>
              <w:t>$2,079,001</w:t>
            </w:r>
          </w:p>
        </w:tc>
      </w:tr>
      <w:tr w:rsidR="00086EFF" w:rsidTr="00595B3B">
        <w:tc>
          <w:tcPr>
            <w:tcW w:w="0" w:type="auto"/>
            <w:shd w:val="clear" w:color="auto" w:fill="auto"/>
          </w:tcPr>
          <w:p w:rsidR="00086EFF" w:rsidRDefault="00A24B0B" w:rsidP="00595B3B">
            <w:pPr>
              <w:jc w:val="center"/>
            </w:pPr>
            <w:r>
              <w:t>Year 3</w:t>
            </w:r>
          </w:p>
        </w:tc>
        <w:tc>
          <w:tcPr>
            <w:tcW w:w="0" w:type="auto"/>
            <w:shd w:val="clear" w:color="auto" w:fill="auto"/>
          </w:tcPr>
          <w:p w:rsidR="00086EFF" w:rsidRPr="00CC0DAF" w:rsidRDefault="00977613" w:rsidP="003E74E3">
            <w:pPr>
              <w:jc w:val="center"/>
            </w:pPr>
            <w:r w:rsidRPr="00530FDC">
              <w:rPr>
                <w:sz w:val="22"/>
                <w:szCs w:val="22"/>
              </w:rPr>
              <w:t>$2,109,001</w:t>
            </w:r>
          </w:p>
        </w:tc>
      </w:tr>
      <w:tr w:rsidR="00086EFF" w:rsidTr="00595B3B">
        <w:tc>
          <w:tcPr>
            <w:tcW w:w="0" w:type="auto"/>
            <w:shd w:val="clear" w:color="auto" w:fill="auto"/>
          </w:tcPr>
          <w:p w:rsidR="00086EFF" w:rsidRPr="00595B3B" w:rsidRDefault="00086EFF" w:rsidP="00595B3B">
            <w:pPr>
              <w:jc w:val="center"/>
              <w:rPr>
                <w:b/>
                <w:bCs/>
              </w:rPr>
            </w:pPr>
            <w:r w:rsidRPr="00595B3B">
              <w:rPr>
                <w:b/>
                <w:bCs/>
              </w:rPr>
              <w:t>3-YEAR TOTAL</w:t>
            </w:r>
          </w:p>
        </w:tc>
        <w:tc>
          <w:tcPr>
            <w:tcW w:w="0" w:type="auto"/>
            <w:shd w:val="clear" w:color="auto" w:fill="auto"/>
          </w:tcPr>
          <w:p w:rsidR="00086EFF" w:rsidRPr="00595B3B" w:rsidRDefault="00977613" w:rsidP="00EF0A54">
            <w:pPr>
              <w:jc w:val="center"/>
              <w:rPr>
                <w:b/>
                <w:bCs/>
              </w:rPr>
            </w:pPr>
            <w:r w:rsidRPr="00530FDC">
              <w:rPr>
                <w:b/>
                <w:bCs/>
              </w:rPr>
              <w:t>$6,202,003</w:t>
            </w:r>
          </w:p>
        </w:tc>
      </w:tr>
    </w:tbl>
    <w:p w:rsidR="00086EFF" w:rsidRDefault="00086EFF" w:rsidP="00086EFF">
      <w:pPr>
        <w:ind w:left="1080"/>
      </w:pPr>
    </w:p>
    <w:p w:rsidR="00D67669" w:rsidRDefault="00086EFF" w:rsidP="00D67669">
      <w:pPr>
        <w:ind w:left="1080"/>
      </w:pPr>
      <w:r>
        <w:t xml:space="preserve">The total </w:t>
      </w:r>
      <w:r w:rsidR="002C48A7">
        <w:t>cost to the Federal g</w:t>
      </w:r>
      <w:r>
        <w:t xml:space="preserve">overnment for conducting these generic clearances is </w:t>
      </w:r>
      <w:r w:rsidR="00977613" w:rsidRPr="00977613">
        <w:rPr>
          <w:bCs/>
        </w:rPr>
        <w:t>$6,202,003</w:t>
      </w:r>
      <w:r w:rsidR="003E74E3">
        <w:t>.  This</w:t>
      </w:r>
      <w:r>
        <w:t xml:space="preserve"> </w:t>
      </w:r>
      <w:r w:rsidR="00D67669">
        <w:t xml:space="preserve">represents </w:t>
      </w:r>
      <w:r w:rsidR="00627A85">
        <w:t xml:space="preserve">the </w:t>
      </w:r>
      <w:r w:rsidR="00D67669">
        <w:t>c</w:t>
      </w:r>
      <w:r w:rsidR="003860B0">
        <w:t>osts for conducting the surveys</w:t>
      </w:r>
      <w:r w:rsidR="00D67669">
        <w:t>, payment to contractors, payment to respondents, and printing/distributing/mailing survey materials.</w:t>
      </w:r>
      <w:r w:rsidR="00047130">
        <w:t xml:space="preserve">  </w:t>
      </w:r>
      <w:r w:rsidR="00D67669">
        <w:t xml:space="preserve">For a complete listing of the cost </w:t>
      </w:r>
      <w:r w:rsidR="006A0EA5">
        <w:t>of</w:t>
      </w:r>
      <w:r w:rsidR="00D67669">
        <w:t xml:space="preserve"> each generic clearance act</w:t>
      </w:r>
      <w:r w:rsidR="003860B0">
        <w:t>ivity, see the document</w:t>
      </w:r>
      <w:r w:rsidR="00D67669">
        <w:t xml:space="preserve"> entitled “Cat</w:t>
      </w:r>
      <w:r w:rsidR="003E74E3">
        <w:t>egorization of GC Activities /w T</w:t>
      </w:r>
      <w:r w:rsidR="00D67669">
        <w:t xml:space="preserve">otals,” </w:t>
      </w:r>
      <w:r w:rsidR="00B061DC">
        <w:t>posted in the “</w:t>
      </w:r>
      <w:r w:rsidR="006672E2">
        <w:t>Manage ICR Documents” page</w:t>
      </w:r>
      <w:r w:rsidR="00B061DC">
        <w:t xml:space="preserve"> in ROCIS.   </w:t>
      </w:r>
    </w:p>
    <w:p w:rsidR="00B061DC" w:rsidRPr="00B061DC" w:rsidRDefault="00B061DC" w:rsidP="00B061DC">
      <w:pPr>
        <w:ind w:left="720"/>
      </w:pPr>
    </w:p>
    <w:p w:rsidR="00086EFF" w:rsidRDefault="003860B0" w:rsidP="00086EFF">
      <w:pPr>
        <w:numPr>
          <w:ilvl w:val="0"/>
          <w:numId w:val="1"/>
        </w:numPr>
      </w:pPr>
      <w:r>
        <w:rPr>
          <w:b/>
          <w:bCs/>
        </w:rPr>
        <w:t xml:space="preserve">Program </w:t>
      </w:r>
      <w:r w:rsidR="003E74E3">
        <w:rPr>
          <w:b/>
          <w:bCs/>
        </w:rPr>
        <w:t>Changes</w:t>
      </w:r>
      <w:r>
        <w:rPr>
          <w:b/>
          <w:bCs/>
        </w:rPr>
        <w:t xml:space="preserve"> or Adjustments to the Information Collection Request</w:t>
      </w:r>
    </w:p>
    <w:p w:rsidR="006672E2" w:rsidRDefault="006672E2" w:rsidP="00CC0DAF">
      <w:pPr>
        <w:ind w:left="1080"/>
      </w:pPr>
      <w:r>
        <w:t>The number of respondents and burden hours increased for this collection because we are planning to conduct more generic clearance activities in the next three years.</w:t>
      </w:r>
    </w:p>
    <w:p w:rsidR="006672E2" w:rsidRDefault="006672E2" w:rsidP="00CC0DAF">
      <w:pPr>
        <w:ind w:left="1080"/>
      </w:pPr>
    </w:p>
    <w:p w:rsidR="002C14BC" w:rsidRDefault="002C14BC" w:rsidP="002C14BC">
      <w:pPr>
        <w:numPr>
          <w:ilvl w:val="0"/>
          <w:numId w:val="1"/>
        </w:numPr>
      </w:pPr>
      <w:r>
        <w:rPr>
          <w:b/>
          <w:bCs/>
        </w:rPr>
        <w:t>P</w:t>
      </w:r>
      <w:r w:rsidR="003860B0">
        <w:rPr>
          <w:b/>
          <w:bCs/>
        </w:rPr>
        <w:t>lans for P</w:t>
      </w:r>
      <w:r>
        <w:rPr>
          <w:b/>
          <w:bCs/>
        </w:rPr>
        <w:t xml:space="preserve">ublication </w:t>
      </w:r>
      <w:r w:rsidR="00E20774">
        <w:rPr>
          <w:b/>
          <w:bCs/>
        </w:rPr>
        <w:t xml:space="preserve">of </w:t>
      </w:r>
      <w:r w:rsidR="003860B0">
        <w:rPr>
          <w:b/>
          <w:bCs/>
        </w:rPr>
        <w:t>Information Collection Results</w:t>
      </w:r>
    </w:p>
    <w:p w:rsidR="002C14BC" w:rsidRDefault="00E546E0" w:rsidP="002C14BC">
      <w:pPr>
        <w:ind w:left="1080"/>
      </w:pPr>
      <w:r>
        <w:t>We may publish reports for some of the generic clearance activities we will conduct.  However, these are internal-use reports</w:t>
      </w:r>
      <w:r w:rsidR="006672E2">
        <w:t>; we will only disseminate them</w:t>
      </w:r>
      <w:r>
        <w:t xml:space="preserve"> to SSA policy and management officials.  </w:t>
      </w:r>
    </w:p>
    <w:p w:rsidR="002C14BC" w:rsidRDefault="002C14BC" w:rsidP="002C14BC"/>
    <w:p w:rsidR="002C14BC" w:rsidRDefault="002C14BC" w:rsidP="002C14BC">
      <w:pPr>
        <w:numPr>
          <w:ilvl w:val="0"/>
          <w:numId w:val="1"/>
        </w:numPr>
      </w:pPr>
      <w:r>
        <w:rPr>
          <w:b/>
          <w:bCs/>
        </w:rPr>
        <w:t>Display</w:t>
      </w:r>
      <w:r w:rsidR="003860B0">
        <w:rPr>
          <w:b/>
          <w:bCs/>
        </w:rPr>
        <w:t xml:space="preserve">ing </w:t>
      </w:r>
      <w:r w:rsidR="00ED5D82">
        <w:rPr>
          <w:b/>
          <w:bCs/>
        </w:rPr>
        <w:t>the</w:t>
      </w:r>
      <w:r>
        <w:rPr>
          <w:b/>
          <w:bCs/>
        </w:rPr>
        <w:t xml:space="preserve"> OMB </w:t>
      </w:r>
      <w:r w:rsidR="003860B0">
        <w:rPr>
          <w:b/>
          <w:bCs/>
        </w:rPr>
        <w:t xml:space="preserve">Approval </w:t>
      </w:r>
      <w:r>
        <w:rPr>
          <w:b/>
          <w:bCs/>
        </w:rPr>
        <w:t xml:space="preserve">Expiration Date </w:t>
      </w:r>
    </w:p>
    <w:p w:rsidR="002C14BC" w:rsidRDefault="002C14BC" w:rsidP="002C14BC">
      <w:pPr>
        <w:ind w:left="1080"/>
      </w:pPr>
      <w:r>
        <w:t xml:space="preserve">SSA will display the OMB expiration date on most of its generic clearance customer satisfaction surveys, which are primarily one-time surveys.  However, some activities </w:t>
      </w:r>
      <w:r w:rsidR="00E546E0">
        <w:t xml:space="preserve">we conduct </w:t>
      </w:r>
      <w:r>
        <w:t>under the generic clearance authority are ongoing forms, which have no defined expiration date.  Examples of these types of colle</w:t>
      </w:r>
      <w:r w:rsidR="006C1498">
        <w:t>ctions are comment c</w:t>
      </w:r>
      <w:r>
        <w:t>ards.  For these types of</w:t>
      </w:r>
      <w:r w:rsidR="00C12D41">
        <w:t xml:space="preserve"> collections, OMB exempted SSA from the requirement of </w:t>
      </w:r>
      <w:r>
        <w:t>print</w:t>
      </w:r>
      <w:r w:rsidR="00C12D41">
        <w:t>ing</w:t>
      </w:r>
      <w:r>
        <w:t xml:space="preserve"> the OMB expir</w:t>
      </w:r>
      <w:r w:rsidR="00E20774">
        <w:t>ation date on its forms/surveys to avoid Government waste.</w:t>
      </w:r>
    </w:p>
    <w:p w:rsidR="002C14BC" w:rsidRDefault="002C14BC" w:rsidP="002C14BC"/>
    <w:p w:rsidR="002C14BC" w:rsidRDefault="003860B0" w:rsidP="002C14BC">
      <w:pPr>
        <w:numPr>
          <w:ilvl w:val="0"/>
          <w:numId w:val="1"/>
        </w:numPr>
      </w:pPr>
      <w:proofErr w:type="gramStart"/>
      <w:r>
        <w:rPr>
          <w:b/>
          <w:bCs/>
        </w:rPr>
        <w:t xml:space="preserve">Exception to </w:t>
      </w:r>
      <w:r w:rsidR="002C14BC">
        <w:rPr>
          <w:b/>
          <w:bCs/>
        </w:rPr>
        <w:t>Certification Requirements.</w:t>
      </w:r>
      <w:proofErr w:type="gramEnd"/>
    </w:p>
    <w:p w:rsidR="002C14BC" w:rsidRDefault="002C14BC" w:rsidP="002C14BC">
      <w:pPr>
        <w:ind w:left="1080"/>
      </w:pPr>
      <w:r>
        <w:t xml:space="preserve">SSA is not requesting an exception to the certification requirements at </w:t>
      </w:r>
      <w:r w:rsidRPr="00EA4C24">
        <w:rPr>
          <w:i/>
        </w:rPr>
        <w:t>5 CFR 1320.9</w:t>
      </w:r>
      <w:r>
        <w:t xml:space="preserve"> and related provisions at </w:t>
      </w:r>
      <w:r w:rsidRPr="00EA4C24">
        <w:rPr>
          <w:i/>
        </w:rPr>
        <w:t>5 CFR 1320.8(b</w:t>
      </w:r>
      <w:proofErr w:type="gramStart"/>
      <w:r w:rsidRPr="00EA4C24">
        <w:rPr>
          <w:i/>
        </w:rPr>
        <w:t>)(</w:t>
      </w:r>
      <w:proofErr w:type="gramEnd"/>
      <w:r w:rsidRPr="00EA4C24">
        <w:rPr>
          <w:i/>
        </w:rPr>
        <w:t>3).</w:t>
      </w:r>
    </w:p>
    <w:p w:rsidR="002C14BC" w:rsidRPr="002C14BC" w:rsidRDefault="002C14BC" w:rsidP="002C14BC"/>
    <w:sectPr w:rsidR="002C14BC" w:rsidRPr="002C14BC" w:rsidSect="00552712">
      <w:footerReference w:type="default" r:id="rId8"/>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BD9" w:rsidRDefault="00F70BD9">
      <w:r>
        <w:separator/>
      </w:r>
    </w:p>
  </w:endnote>
  <w:endnote w:type="continuationSeparator" w:id="0">
    <w:p w:rsidR="00F70BD9" w:rsidRDefault="00F7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6A2" w:rsidRDefault="008946A2" w:rsidP="00915C76">
    <w:pPr>
      <w:pStyle w:val="Footer"/>
      <w:jc w:val="right"/>
      <w:rPr>
        <w:sz w:val="20"/>
        <w:szCs w:val="20"/>
      </w:rPr>
    </w:pPr>
    <w:r>
      <w:rPr>
        <w:sz w:val="20"/>
        <w:szCs w:val="20"/>
      </w:rPr>
      <w:t>Generic Clearance 3-year Renewal</w:t>
    </w:r>
  </w:p>
  <w:p w:rsidR="008946A2" w:rsidRDefault="00D92294" w:rsidP="00915C76">
    <w:pPr>
      <w:pStyle w:val="Footer"/>
      <w:jc w:val="right"/>
      <w:rPr>
        <w:sz w:val="20"/>
        <w:szCs w:val="20"/>
      </w:rPr>
    </w:pPr>
    <w:r>
      <w:rPr>
        <w:sz w:val="20"/>
        <w:szCs w:val="20"/>
      </w:rPr>
      <w:t>November 2015</w:t>
    </w:r>
  </w:p>
  <w:p w:rsidR="008946A2" w:rsidRDefault="008946A2" w:rsidP="00552712">
    <w:pPr>
      <w:pStyle w:val="Footer"/>
      <w:jc w:val="right"/>
      <w:rPr>
        <w:sz w:val="20"/>
        <w:szCs w:val="20"/>
      </w:rPr>
    </w:pPr>
  </w:p>
  <w:p w:rsidR="008946A2" w:rsidRPr="00552712" w:rsidRDefault="008946A2" w:rsidP="00552712">
    <w:pPr>
      <w:pStyle w:val="Footer"/>
      <w:jc w:val="center"/>
      <w:rPr>
        <w:sz w:val="20"/>
        <w:szCs w:val="20"/>
      </w:rPr>
    </w:pPr>
    <w:r w:rsidRPr="00552712">
      <w:rPr>
        <w:rStyle w:val="PageNumber"/>
        <w:sz w:val="20"/>
        <w:szCs w:val="20"/>
      </w:rPr>
      <w:fldChar w:fldCharType="begin"/>
    </w:r>
    <w:r w:rsidRPr="00552712">
      <w:rPr>
        <w:rStyle w:val="PageNumber"/>
        <w:sz w:val="20"/>
        <w:szCs w:val="20"/>
      </w:rPr>
      <w:instrText xml:space="preserve"> PAGE </w:instrText>
    </w:r>
    <w:r w:rsidRPr="00552712">
      <w:rPr>
        <w:rStyle w:val="PageNumber"/>
        <w:sz w:val="20"/>
        <w:szCs w:val="20"/>
      </w:rPr>
      <w:fldChar w:fldCharType="separate"/>
    </w:r>
    <w:r w:rsidR="005F25ED">
      <w:rPr>
        <w:rStyle w:val="PageNumber"/>
        <w:noProof/>
        <w:sz w:val="20"/>
        <w:szCs w:val="20"/>
      </w:rPr>
      <w:t>1</w:t>
    </w:r>
    <w:r w:rsidRPr="00552712">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BD9" w:rsidRDefault="00F70BD9">
      <w:r>
        <w:separator/>
      </w:r>
    </w:p>
  </w:footnote>
  <w:footnote w:type="continuationSeparator" w:id="0">
    <w:p w:rsidR="00F70BD9" w:rsidRDefault="00F70B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D1343"/>
    <w:multiLevelType w:val="hybridMultilevel"/>
    <w:tmpl w:val="D304F26E"/>
    <w:lvl w:ilvl="0" w:tplc="B9CAFBDC">
      <w:start w:val="2"/>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B066341"/>
    <w:multiLevelType w:val="hybridMultilevel"/>
    <w:tmpl w:val="1DFCAD7C"/>
    <w:lvl w:ilvl="0" w:tplc="4F56EDAC">
      <w:start w:val="1"/>
      <w:numFmt w:val="decimal"/>
      <w:lvlText w:val="%1."/>
      <w:lvlJc w:val="left"/>
      <w:pPr>
        <w:tabs>
          <w:tab w:val="num" w:pos="1080"/>
        </w:tabs>
        <w:ind w:left="1080" w:hanging="360"/>
      </w:pPr>
      <w:rPr>
        <w:rFonts w:hint="default"/>
        <w:b/>
      </w:rPr>
    </w:lvl>
    <w:lvl w:ilvl="1" w:tplc="01E64D84">
      <w:start w:val="2"/>
      <w:numFmt w:val="upperLetter"/>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712"/>
    <w:rsid w:val="00006029"/>
    <w:rsid w:val="0001122A"/>
    <w:rsid w:val="00046913"/>
    <w:rsid w:val="00047130"/>
    <w:rsid w:val="000660E0"/>
    <w:rsid w:val="00080C03"/>
    <w:rsid w:val="00086EFF"/>
    <w:rsid w:val="000B2C5B"/>
    <w:rsid w:val="000D1CC4"/>
    <w:rsid w:val="000D5D0B"/>
    <w:rsid w:val="00113F0C"/>
    <w:rsid w:val="00123561"/>
    <w:rsid w:val="00136651"/>
    <w:rsid w:val="001515C4"/>
    <w:rsid w:val="001551FF"/>
    <w:rsid w:val="00166A31"/>
    <w:rsid w:val="001738FB"/>
    <w:rsid w:val="00195B7D"/>
    <w:rsid w:val="001A1C62"/>
    <w:rsid w:val="001B1A9F"/>
    <w:rsid w:val="001B5EC7"/>
    <w:rsid w:val="0020002E"/>
    <w:rsid w:val="002152C3"/>
    <w:rsid w:val="00244D18"/>
    <w:rsid w:val="002559D9"/>
    <w:rsid w:val="00256E26"/>
    <w:rsid w:val="00292F9E"/>
    <w:rsid w:val="002961AE"/>
    <w:rsid w:val="002C14BC"/>
    <w:rsid w:val="002C48A7"/>
    <w:rsid w:val="002D6309"/>
    <w:rsid w:val="002E0DF2"/>
    <w:rsid w:val="002E7250"/>
    <w:rsid w:val="003078BD"/>
    <w:rsid w:val="00363798"/>
    <w:rsid w:val="00382151"/>
    <w:rsid w:val="003860B0"/>
    <w:rsid w:val="003C40B0"/>
    <w:rsid w:val="003C579A"/>
    <w:rsid w:val="003E6C30"/>
    <w:rsid w:val="003E74E3"/>
    <w:rsid w:val="003F7508"/>
    <w:rsid w:val="00405C63"/>
    <w:rsid w:val="00406EE6"/>
    <w:rsid w:val="0041105E"/>
    <w:rsid w:val="0046314E"/>
    <w:rsid w:val="00471743"/>
    <w:rsid w:val="00514D7E"/>
    <w:rsid w:val="00552712"/>
    <w:rsid w:val="00554A23"/>
    <w:rsid w:val="00595B3B"/>
    <w:rsid w:val="005B0F5E"/>
    <w:rsid w:val="005B4415"/>
    <w:rsid w:val="005F25ED"/>
    <w:rsid w:val="00603917"/>
    <w:rsid w:val="00627A85"/>
    <w:rsid w:val="00647C10"/>
    <w:rsid w:val="0065280E"/>
    <w:rsid w:val="00653B76"/>
    <w:rsid w:val="006672E2"/>
    <w:rsid w:val="00694440"/>
    <w:rsid w:val="006A021A"/>
    <w:rsid w:val="006A0EA5"/>
    <w:rsid w:val="006B664B"/>
    <w:rsid w:val="006C115B"/>
    <w:rsid w:val="006C1498"/>
    <w:rsid w:val="006F79A3"/>
    <w:rsid w:val="007042F4"/>
    <w:rsid w:val="007048EA"/>
    <w:rsid w:val="00757AF4"/>
    <w:rsid w:val="007B517B"/>
    <w:rsid w:val="007B7885"/>
    <w:rsid w:val="007C0CEA"/>
    <w:rsid w:val="007C42E5"/>
    <w:rsid w:val="00800ADF"/>
    <w:rsid w:val="00842E0C"/>
    <w:rsid w:val="00844728"/>
    <w:rsid w:val="00851614"/>
    <w:rsid w:val="008754C4"/>
    <w:rsid w:val="0088538B"/>
    <w:rsid w:val="008946A2"/>
    <w:rsid w:val="008C6B7D"/>
    <w:rsid w:val="008E7DBC"/>
    <w:rsid w:val="009127E2"/>
    <w:rsid w:val="00915C76"/>
    <w:rsid w:val="00933138"/>
    <w:rsid w:val="00947D93"/>
    <w:rsid w:val="00977613"/>
    <w:rsid w:val="009A7679"/>
    <w:rsid w:val="009D57E1"/>
    <w:rsid w:val="00A24B0B"/>
    <w:rsid w:val="00A27E7F"/>
    <w:rsid w:val="00A60765"/>
    <w:rsid w:val="00A677A8"/>
    <w:rsid w:val="00AB1F3F"/>
    <w:rsid w:val="00AB5327"/>
    <w:rsid w:val="00AB6C40"/>
    <w:rsid w:val="00AC423B"/>
    <w:rsid w:val="00AD5CAA"/>
    <w:rsid w:val="00B051FC"/>
    <w:rsid w:val="00B061DC"/>
    <w:rsid w:val="00B1516D"/>
    <w:rsid w:val="00B25240"/>
    <w:rsid w:val="00B53621"/>
    <w:rsid w:val="00B70775"/>
    <w:rsid w:val="00BB7084"/>
    <w:rsid w:val="00C12D41"/>
    <w:rsid w:val="00C42D23"/>
    <w:rsid w:val="00C8025A"/>
    <w:rsid w:val="00CA0608"/>
    <w:rsid w:val="00CA0D3D"/>
    <w:rsid w:val="00CA28EC"/>
    <w:rsid w:val="00CA4A47"/>
    <w:rsid w:val="00CA4F5C"/>
    <w:rsid w:val="00CC0DAF"/>
    <w:rsid w:val="00CC3497"/>
    <w:rsid w:val="00CF611D"/>
    <w:rsid w:val="00D1031C"/>
    <w:rsid w:val="00D50472"/>
    <w:rsid w:val="00D67669"/>
    <w:rsid w:val="00D84231"/>
    <w:rsid w:val="00D92294"/>
    <w:rsid w:val="00DD0B5C"/>
    <w:rsid w:val="00DD737A"/>
    <w:rsid w:val="00E20774"/>
    <w:rsid w:val="00E23A33"/>
    <w:rsid w:val="00E3659C"/>
    <w:rsid w:val="00E43257"/>
    <w:rsid w:val="00E546E0"/>
    <w:rsid w:val="00E852DD"/>
    <w:rsid w:val="00E9167D"/>
    <w:rsid w:val="00E93FC3"/>
    <w:rsid w:val="00E9457C"/>
    <w:rsid w:val="00EA4C24"/>
    <w:rsid w:val="00EB23FA"/>
    <w:rsid w:val="00EC08CC"/>
    <w:rsid w:val="00EC0C8D"/>
    <w:rsid w:val="00ED5D82"/>
    <w:rsid w:val="00EE1A0F"/>
    <w:rsid w:val="00EF0A54"/>
    <w:rsid w:val="00F10769"/>
    <w:rsid w:val="00F70BD9"/>
    <w:rsid w:val="00F926E4"/>
    <w:rsid w:val="00FE4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2712"/>
    <w:pPr>
      <w:tabs>
        <w:tab w:val="center" w:pos="4320"/>
        <w:tab w:val="right" w:pos="8640"/>
      </w:tabs>
    </w:pPr>
  </w:style>
  <w:style w:type="paragraph" w:styleId="Footer">
    <w:name w:val="footer"/>
    <w:basedOn w:val="Normal"/>
    <w:rsid w:val="00552712"/>
    <w:pPr>
      <w:tabs>
        <w:tab w:val="center" w:pos="4320"/>
        <w:tab w:val="right" w:pos="8640"/>
      </w:tabs>
    </w:pPr>
  </w:style>
  <w:style w:type="character" w:styleId="PageNumber">
    <w:name w:val="page number"/>
    <w:basedOn w:val="DefaultParagraphFont"/>
    <w:rsid w:val="00552712"/>
  </w:style>
  <w:style w:type="table" w:styleId="TableGrid">
    <w:name w:val="Table Grid"/>
    <w:basedOn w:val="TableNormal"/>
    <w:rsid w:val="00844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28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2712"/>
    <w:pPr>
      <w:tabs>
        <w:tab w:val="center" w:pos="4320"/>
        <w:tab w:val="right" w:pos="8640"/>
      </w:tabs>
    </w:pPr>
  </w:style>
  <w:style w:type="paragraph" w:styleId="Footer">
    <w:name w:val="footer"/>
    <w:basedOn w:val="Normal"/>
    <w:rsid w:val="00552712"/>
    <w:pPr>
      <w:tabs>
        <w:tab w:val="center" w:pos="4320"/>
        <w:tab w:val="right" w:pos="8640"/>
      </w:tabs>
    </w:pPr>
  </w:style>
  <w:style w:type="character" w:styleId="PageNumber">
    <w:name w:val="page number"/>
    <w:basedOn w:val="DefaultParagraphFont"/>
    <w:rsid w:val="00552712"/>
  </w:style>
  <w:style w:type="table" w:styleId="TableGrid">
    <w:name w:val="Table Grid"/>
    <w:basedOn w:val="TableNormal"/>
    <w:rsid w:val="00844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28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1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1469</Words>
  <Characters>8405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Social Security Administration</Company>
  <LinksUpToDate>false</LinksUpToDate>
  <CharactersWithSpaces>9855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Faye I. Lipsky</dc:creator>
  <cp:lastModifiedBy>889123</cp:lastModifiedBy>
  <cp:revision>6</cp:revision>
  <cp:lastPrinted>2009-05-08T13:46:00Z</cp:lastPrinted>
  <dcterms:created xsi:type="dcterms:W3CDTF">2015-11-17T14:24:00Z</dcterms:created>
  <dcterms:modified xsi:type="dcterms:W3CDTF">2016-01-20T13:52:00Z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477375311</vt:i4>
  </property>
  <property fmtid="{D5CDD505-2E9C-101B-9397-08002B2CF9AE}" pid="3" name="_NewReviewCycle">
    <vt:lpwstr/>
  </property>
  <property fmtid="{D5CDD505-2E9C-101B-9397-08002B2CF9AE}" pid="4" name="_EmailSubject">
    <vt:lpwstr>GC Approval Memo Documents</vt:lpwstr>
  </property>
  <property fmtid="{D5CDD505-2E9C-101B-9397-08002B2CF9AE}" pid="5" name="_AuthorEmail">
    <vt:lpwstr>Faye.Lipsky@ssa.gov</vt:lpwstr>
  </property>
  <property fmtid="{D5CDD505-2E9C-101B-9397-08002B2CF9AE}" pid="6" name="_AuthorEmailDisplayName">
    <vt:lpwstr>Lipsky, Faye</vt:lpwstr>
  </property>
  <property fmtid="{D5CDD505-2E9C-101B-9397-08002B2CF9AE}" pid="7" name="_ReviewingToolsShownOnce">
    <vt:lpwstr/>
  </property>
</Properties>
</file>