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A1" w:rsidRDefault="003F1CA1" w:rsidP="003F1CA1">
      <w:pPr>
        <w:spacing w:after="0" w:line="240" w:lineRule="auto"/>
        <w:jc w:val="center"/>
        <w:rPr>
          <w:rFonts w:ascii="Arial" w:hAnsi="Arial" w:cs="Arial"/>
          <w:b/>
          <w:caps/>
          <w:sz w:val="28"/>
          <w:szCs w:val="28"/>
        </w:rPr>
      </w:pPr>
      <w:bookmarkStart w:id="0" w:name="_GoBack"/>
      <w:bookmarkEnd w:id="0"/>
    </w:p>
    <w:tbl>
      <w:tblPr>
        <w:tblStyle w:val="TableGrid"/>
        <w:tblW w:w="12702" w:type="dxa"/>
        <w:jc w:val="center"/>
        <w:tblLayout w:type="fixed"/>
        <w:tblLook w:val="04A0" w:firstRow="1" w:lastRow="0" w:firstColumn="1" w:lastColumn="0" w:noHBand="0" w:noVBand="1"/>
      </w:tblPr>
      <w:tblGrid>
        <w:gridCol w:w="1765"/>
        <w:gridCol w:w="3875"/>
        <w:gridCol w:w="1341"/>
        <w:gridCol w:w="1418"/>
        <w:gridCol w:w="1253"/>
        <w:gridCol w:w="972"/>
        <w:gridCol w:w="2078"/>
      </w:tblGrid>
      <w:tr w:rsidR="003F1CA1" w:rsidTr="003F1CA1">
        <w:trPr>
          <w:trHeight w:val="395"/>
          <w:tblHeader/>
          <w:jc w:val="center"/>
        </w:trPr>
        <w:tc>
          <w:tcPr>
            <w:tcW w:w="12702" w:type="dxa"/>
            <w:gridSpan w:val="7"/>
            <w:vAlign w:val="center"/>
          </w:tcPr>
          <w:p w:rsidR="003F1CA1" w:rsidRPr="00B06804" w:rsidRDefault="003F1CA1" w:rsidP="00C94CDF">
            <w:pPr>
              <w:rPr>
                <w:sz w:val="24"/>
                <w:szCs w:val="24"/>
              </w:rPr>
            </w:pPr>
            <w:r w:rsidRPr="00B06804">
              <w:rPr>
                <w:rFonts w:ascii="Arial" w:hAnsi="Arial" w:cs="Arial"/>
                <w:b/>
                <w:caps/>
                <w:sz w:val="24"/>
                <w:szCs w:val="24"/>
              </w:rPr>
              <w:t>RISE RESEARCH MATRIX</w:t>
            </w:r>
          </w:p>
        </w:tc>
      </w:tr>
      <w:tr w:rsidR="003F1CA1" w:rsidTr="003F1CA1">
        <w:trPr>
          <w:trHeight w:val="824"/>
          <w:tblHeader/>
          <w:jc w:val="center"/>
        </w:trPr>
        <w:tc>
          <w:tcPr>
            <w:tcW w:w="1765" w:type="dxa"/>
            <w:vAlign w:val="center"/>
          </w:tcPr>
          <w:p w:rsidR="003F1CA1" w:rsidRDefault="003F1CA1" w:rsidP="00C94CDF">
            <w:pPr>
              <w:jc w:val="center"/>
            </w:pPr>
            <w:r>
              <w:t>Interview/</w:t>
            </w:r>
          </w:p>
          <w:p w:rsidR="003F1CA1" w:rsidRPr="00011B5C" w:rsidRDefault="003F1CA1" w:rsidP="00C94CDF">
            <w:pPr>
              <w:jc w:val="center"/>
            </w:pPr>
            <w:r>
              <w:t>Administration</w:t>
            </w:r>
          </w:p>
        </w:tc>
        <w:tc>
          <w:tcPr>
            <w:tcW w:w="3875" w:type="dxa"/>
            <w:vAlign w:val="center"/>
          </w:tcPr>
          <w:p w:rsidR="003F1CA1" w:rsidRPr="00011B5C" w:rsidRDefault="003F1CA1" w:rsidP="00C94CDF">
            <w:pPr>
              <w:jc w:val="center"/>
            </w:pPr>
            <w:r w:rsidRPr="00011B5C">
              <w:t>Instrument</w:t>
            </w:r>
            <w:r>
              <w:t>s and</w:t>
            </w:r>
            <w:r w:rsidRPr="00011B5C">
              <w:t xml:space="preserve"> Description</w:t>
            </w:r>
            <w:r>
              <w:t>s</w:t>
            </w:r>
          </w:p>
        </w:tc>
        <w:tc>
          <w:tcPr>
            <w:tcW w:w="1341" w:type="dxa"/>
            <w:vAlign w:val="center"/>
          </w:tcPr>
          <w:p w:rsidR="003F1CA1" w:rsidRPr="00011B5C" w:rsidRDefault="003F1CA1" w:rsidP="00C94CDF">
            <w:pPr>
              <w:jc w:val="center"/>
            </w:pPr>
            <w:r w:rsidRPr="00011B5C">
              <w:t>Frequency</w:t>
            </w:r>
          </w:p>
        </w:tc>
        <w:tc>
          <w:tcPr>
            <w:tcW w:w="1418" w:type="dxa"/>
            <w:vAlign w:val="center"/>
          </w:tcPr>
          <w:p w:rsidR="003F1CA1" w:rsidRPr="00011B5C" w:rsidRDefault="003F1CA1" w:rsidP="00C94CDF">
            <w:pPr>
              <w:jc w:val="center"/>
            </w:pPr>
            <w:r w:rsidRPr="00011B5C">
              <w:t>Target Population</w:t>
            </w:r>
          </w:p>
        </w:tc>
        <w:tc>
          <w:tcPr>
            <w:tcW w:w="1253" w:type="dxa"/>
            <w:vAlign w:val="center"/>
          </w:tcPr>
          <w:p w:rsidR="003F1CA1" w:rsidRPr="00011B5C" w:rsidRDefault="003F1CA1" w:rsidP="00C94CDF">
            <w:pPr>
              <w:jc w:val="center"/>
            </w:pPr>
            <w:r>
              <w:t>Annual Number of Respondents</w:t>
            </w:r>
          </w:p>
        </w:tc>
        <w:tc>
          <w:tcPr>
            <w:tcW w:w="972" w:type="dxa"/>
            <w:vAlign w:val="center"/>
          </w:tcPr>
          <w:p w:rsidR="003F1CA1" w:rsidRPr="00011B5C" w:rsidRDefault="003F1CA1" w:rsidP="00C94CDF">
            <w:pPr>
              <w:jc w:val="center"/>
            </w:pPr>
            <w:r>
              <w:t>Annual Burden Hours</w:t>
            </w:r>
          </w:p>
        </w:tc>
        <w:tc>
          <w:tcPr>
            <w:tcW w:w="2078" w:type="dxa"/>
            <w:vAlign w:val="center"/>
          </w:tcPr>
          <w:p w:rsidR="003F1CA1" w:rsidRPr="00011B5C" w:rsidRDefault="003F1CA1" w:rsidP="00C94CDF">
            <w:pPr>
              <w:jc w:val="center"/>
            </w:pPr>
            <w:r w:rsidRPr="00011B5C">
              <w:t>Research Question</w:t>
            </w:r>
            <w:r>
              <w:t>s</w:t>
            </w:r>
          </w:p>
        </w:tc>
      </w:tr>
      <w:tr w:rsidR="003F1CA1" w:rsidTr="00BF27B4">
        <w:trPr>
          <w:trHeight w:val="6254"/>
          <w:jc w:val="center"/>
        </w:trPr>
        <w:tc>
          <w:tcPr>
            <w:tcW w:w="1765" w:type="dxa"/>
          </w:tcPr>
          <w:p w:rsidR="003F1CA1" w:rsidRPr="004F2970" w:rsidRDefault="003F1CA1" w:rsidP="00C94CDF">
            <w:pPr>
              <w:widowControl w:val="0"/>
              <w:jc w:val="center"/>
            </w:pPr>
            <w:r>
              <w:t>Youth Interview</w:t>
            </w:r>
          </w:p>
        </w:tc>
        <w:tc>
          <w:tcPr>
            <w:tcW w:w="3875" w:type="dxa"/>
          </w:tcPr>
          <w:p w:rsidR="003F1CA1" w:rsidRDefault="003F1CA1" w:rsidP="00C94CDF">
            <w:pPr>
              <w:widowControl w:val="0"/>
            </w:pPr>
            <w:r w:rsidRPr="001F3ACB">
              <w:rPr>
                <w:i/>
              </w:rPr>
              <w:t>Self-Acceptance and Comfort (LGBTQ Status)</w:t>
            </w:r>
            <w:r>
              <w:t>: Designed for RISE; examines youth’s personal comfort level with their sexual orientation, gender identity or their questioning of either sexual orientation or gender identity.</w:t>
            </w:r>
          </w:p>
          <w:p w:rsidR="003F1CA1" w:rsidRDefault="003F1CA1" w:rsidP="00C94CDF">
            <w:pPr>
              <w:widowControl w:val="0"/>
            </w:pPr>
          </w:p>
          <w:p w:rsidR="003F1CA1" w:rsidRPr="006B1932" w:rsidRDefault="003F1CA1" w:rsidP="00C94CDF">
            <w:pPr>
              <w:widowControl w:val="0"/>
            </w:pPr>
            <w:r w:rsidRPr="001F3ACB">
              <w:rPr>
                <w:i/>
              </w:rPr>
              <w:t>Supporting/Rejecting Perceptions Survey</w:t>
            </w:r>
            <w:r>
              <w:t xml:space="preserve">: </w:t>
            </w:r>
          </w:p>
          <w:p w:rsidR="003F1CA1" w:rsidRDefault="003F1CA1" w:rsidP="00C94CDF">
            <w:pPr>
              <w:widowControl w:val="0"/>
            </w:pPr>
            <w:r w:rsidRPr="00D168B3">
              <w:t>De</w:t>
            </w:r>
            <w:r>
              <w:t>signed for RISE; examines youth’s perceptions of how much their LGBTQ identity is supported or rejected by foster family, friends, persons in their school community, coworkers, neighbors, caseworkers, ministers, and anyone else the youth specifies.</w:t>
            </w:r>
          </w:p>
          <w:p w:rsidR="003F1CA1" w:rsidRDefault="003F1CA1" w:rsidP="00C94CDF">
            <w:pPr>
              <w:widowControl w:val="0"/>
            </w:pPr>
          </w:p>
          <w:p w:rsidR="003F1CA1" w:rsidRDefault="003F1CA1" w:rsidP="00C94CDF">
            <w:pPr>
              <w:widowControl w:val="0"/>
            </w:pPr>
            <w:r w:rsidRPr="001F3ACB">
              <w:rPr>
                <w:i/>
              </w:rPr>
              <w:t>Permanent Connections Inventory</w:t>
            </w:r>
            <w:r>
              <w:t>: Designed for RISE; examines youth’s ability to identify adults in their lives that are committed to providing ongoing support and their perceptions of how the named adults support them.</w:t>
            </w:r>
          </w:p>
          <w:p w:rsidR="003F1CA1" w:rsidRPr="004F2970" w:rsidRDefault="003F1CA1" w:rsidP="00C94CDF">
            <w:pPr>
              <w:widowControl w:val="0"/>
            </w:pPr>
          </w:p>
          <w:p w:rsidR="003F1CA1" w:rsidRPr="004F2970" w:rsidRDefault="003F1CA1" w:rsidP="00C94CDF">
            <w:pPr>
              <w:widowControl w:val="0"/>
            </w:pPr>
            <w:r w:rsidRPr="006F726A">
              <w:rPr>
                <w:i/>
              </w:rPr>
              <w:t>Debriefing Protocol</w:t>
            </w:r>
            <w:r>
              <w:t>: Designed for RISE; examines youth’s</w:t>
            </w:r>
            <w:r w:rsidRPr="00CB4221">
              <w:rPr>
                <w:rFonts w:cstheme="minorHAnsi"/>
                <w:sz w:val="24"/>
                <w:szCs w:val="24"/>
              </w:rPr>
              <w:t xml:space="preserve"> </w:t>
            </w:r>
            <w:r w:rsidRPr="00CB4221">
              <w:t>understanding of the sexual orientation and gender identity terminology included in the instruments</w:t>
            </w:r>
            <w:r>
              <w:t>.</w:t>
            </w:r>
          </w:p>
        </w:tc>
        <w:tc>
          <w:tcPr>
            <w:tcW w:w="1341" w:type="dxa"/>
          </w:tcPr>
          <w:p w:rsidR="003F1CA1" w:rsidRPr="004F2970" w:rsidRDefault="003F1CA1" w:rsidP="00C94CDF">
            <w:pPr>
              <w:widowControl w:val="0"/>
            </w:pPr>
            <w:r w:rsidRPr="004F2970">
              <w:t xml:space="preserve">Completed twice:  baseline and </w:t>
            </w:r>
            <w:r>
              <w:t>1 year later</w:t>
            </w:r>
          </w:p>
        </w:tc>
        <w:tc>
          <w:tcPr>
            <w:tcW w:w="1418" w:type="dxa"/>
          </w:tcPr>
          <w:p w:rsidR="003F1CA1" w:rsidRPr="004F2970" w:rsidRDefault="003F1CA1" w:rsidP="00C94CDF">
            <w:pPr>
              <w:widowControl w:val="0"/>
            </w:pPr>
            <w:r>
              <w:t>LGBTQ and gender non-conforming youth ages 11-19 in out-of-home placements in Los Angeles County</w:t>
            </w:r>
          </w:p>
        </w:tc>
        <w:tc>
          <w:tcPr>
            <w:tcW w:w="1253" w:type="dxa"/>
          </w:tcPr>
          <w:p w:rsidR="003F1CA1" w:rsidRPr="004F2970" w:rsidRDefault="003F1CA1" w:rsidP="00C94CDF">
            <w:pPr>
              <w:widowControl w:val="0"/>
            </w:pPr>
            <w:r>
              <w:t>22 youth: half treatment and half control</w:t>
            </w:r>
          </w:p>
        </w:tc>
        <w:tc>
          <w:tcPr>
            <w:tcW w:w="972" w:type="dxa"/>
          </w:tcPr>
          <w:p w:rsidR="003F1CA1" w:rsidRPr="004F2970" w:rsidRDefault="00D326D1" w:rsidP="00C94CDF">
            <w:pPr>
              <w:widowControl w:val="0"/>
              <w:jc w:val="center"/>
            </w:pPr>
            <w:r>
              <w:t>44</w:t>
            </w:r>
          </w:p>
        </w:tc>
        <w:tc>
          <w:tcPr>
            <w:tcW w:w="2078" w:type="dxa"/>
            <w:vMerge w:val="restart"/>
          </w:tcPr>
          <w:p w:rsidR="00BF27B4" w:rsidRPr="00BF27B4" w:rsidRDefault="00BF27B4" w:rsidP="00BF27B4">
            <w:pPr>
              <w:pStyle w:val="NormalSS"/>
              <w:spacing w:line="240" w:lineRule="atLeast"/>
              <w:ind w:firstLine="0"/>
              <w:jc w:val="left"/>
              <w:rPr>
                <w:sz w:val="20"/>
                <w:szCs w:val="20"/>
              </w:rPr>
            </w:pPr>
            <w:r w:rsidRPr="00BF27B4">
              <w:rPr>
                <w:sz w:val="20"/>
                <w:szCs w:val="20"/>
              </w:rPr>
              <w:t>Do LGBTQ and gender-nonconforming children and youth in foster care achieve more timely and stable permanence if they and their families receive intensive wraparound services delivered by CCTs compared with LGBTQ children who receive usual services</w:t>
            </w:r>
            <w:r>
              <w:rPr>
                <w:sz w:val="20"/>
                <w:szCs w:val="20"/>
              </w:rPr>
              <w:t>?</w:t>
            </w:r>
            <w:r w:rsidRPr="00BF27B4">
              <w:rPr>
                <w:sz w:val="20"/>
                <w:szCs w:val="20"/>
              </w:rPr>
              <w:t xml:space="preserve"> </w:t>
            </w:r>
            <w:r>
              <w:rPr>
                <w:sz w:val="20"/>
                <w:szCs w:val="20"/>
              </w:rPr>
              <w:t>What is</w:t>
            </w:r>
            <w:r w:rsidRPr="00BF27B4">
              <w:rPr>
                <w:sz w:val="20"/>
                <w:szCs w:val="20"/>
              </w:rPr>
              <w:t xml:space="preserve"> the impact of RISE’s CCT component on proximal outcomes, including durable connections, enhanced well-being, and improved emotional permanency</w:t>
            </w:r>
            <w:r>
              <w:rPr>
                <w:sz w:val="20"/>
                <w:szCs w:val="20"/>
              </w:rPr>
              <w:t>?</w:t>
            </w:r>
          </w:p>
          <w:p w:rsidR="00BF27B4" w:rsidRPr="0012671E" w:rsidRDefault="00BF27B4" w:rsidP="00BF27B4">
            <w:pPr>
              <w:widowControl w:val="0"/>
            </w:pPr>
          </w:p>
        </w:tc>
      </w:tr>
      <w:tr w:rsidR="003F1CA1" w:rsidTr="003F1CA1">
        <w:trPr>
          <w:trHeight w:val="458"/>
          <w:jc w:val="center"/>
        </w:trPr>
        <w:tc>
          <w:tcPr>
            <w:tcW w:w="1765" w:type="dxa"/>
          </w:tcPr>
          <w:p w:rsidR="003F1CA1" w:rsidRDefault="003F1CA1" w:rsidP="00C94CDF">
            <w:pPr>
              <w:widowControl w:val="0"/>
              <w:jc w:val="center"/>
            </w:pPr>
            <w:r>
              <w:t>Youth Qualitative Interview</w:t>
            </w:r>
          </w:p>
        </w:tc>
        <w:tc>
          <w:tcPr>
            <w:tcW w:w="3875" w:type="dxa"/>
          </w:tcPr>
          <w:p w:rsidR="003F1CA1" w:rsidRPr="001F3ACB" w:rsidRDefault="003F1CA1" w:rsidP="00C94CDF">
            <w:pPr>
              <w:widowControl w:val="0"/>
              <w:rPr>
                <w:i/>
              </w:rPr>
            </w:pPr>
            <w:r w:rsidRPr="001F3ACB">
              <w:rPr>
                <w:i/>
              </w:rPr>
              <w:t>Qualitative Interview</w:t>
            </w:r>
            <w:r>
              <w:t>: Designed for RISE; examines youth’s perceptions of their</w:t>
            </w:r>
            <w:r w:rsidRPr="00B022E9">
              <w:t xml:space="preserve"> experience receiving services from the RISE program and their foster care agency and </w:t>
            </w:r>
            <w:r>
              <w:t>explores the youth</w:t>
            </w:r>
            <w:r w:rsidRPr="00B022E9">
              <w:t>’s comfort in discussing sensitive topics with his or her caseworker</w:t>
            </w:r>
            <w:r>
              <w:t>,</w:t>
            </w:r>
            <w:r w:rsidRPr="00B022E9">
              <w:t xml:space="preserve"> </w:t>
            </w:r>
            <w:r w:rsidRPr="00B022E9">
              <w:lastRenderedPageBreak/>
              <w:t>and their perceptions about the sensitivity of their foster care agency in working with LGBTQ people</w:t>
            </w:r>
          </w:p>
        </w:tc>
        <w:tc>
          <w:tcPr>
            <w:tcW w:w="1341" w:type="dxa"/>
          </w:tcPr>
          <w:p w:rsidR="003F1CA1" w:rsidRPr="004F2970" w:rsidRDefault="003F1CA1" w:rsidP="00C94CDF">
            <w:pPr>
              <w:widowControl w:val="0"/>
            </w:pPr>
            <w:r>
              <w:lastRenderedPageBreak/>
              <w:t xml:space="preserve">Completed once: approximately 6 months after initiation of </w:t>
            </w:r>
            <w:r>
              <w:lastRenderedPageBreak/>
              <w:t>services</w:t>
            </w:r>
          </w:p>
        </w:tc>
        <w:tc>
          <w:tcPr>
            <w:tcW w:w="1418" w:type="dxa"/>
          </w:tcPr>
          <w:p w:rsidR="003F1CA1" w:rsidRDefault="003F1CA1" w:rsidP="00C94CDF">
            <w:pPr>
              <w:widowControl w:val="0"/>
            </w:pPr>
            <w:r w:rsidRPr="00B32144">
              <w:lastRenderedPageBreak/>
              <w:t>LGBTQ and gender no</w:t>
            </w:r>
            <w:r>
              <w:t>n-conforming youth ages 11</w:t>
            </w:r>
            <w:r w:rsidRPr="00B32144">
              <w:t>-19</w:t>
            </w:r>
            <w:r>
              <w:t>, in out-of-</w:t>
            </w:r>
            <w:r w:rsidRPr="00B32144">
              <w:t xml:space="preserve">home </w:t>
            </w:r>
            <w:r w:rsidRPr="00B32144">
              <w:lastRenderedPageBreak/>
              <w:t xml:space="preserve">placements in Los </w:t>
            </w:r>
            <w:r>
              <w:t>Angeles County</w:t>
            </w:r>
          </w:p>
        </w:tc>
        <w:tc>
          <w:tcPr>
            <w:tcW w:w="1253" w:type="dxa"/>
          </w:tcPr>
          <w:p w:rsidR="003F1CA1" w:rsidRDefault="00AA5359" w:rsidP="00C94CDF">
            <w:pPr>
              <w:widowControl w:val="0"/>
            </w:pPr>
            <w:r>
              <w:lastRenderedPageBreak/>
              <w:t>22</w:t>
            </w:r>
            <w:r w:rsidR="003F1CA1">
              <w:t xml:space="preserve"> youth: half treatment and half control</w:t>
            </w:r>
          </w:p>
        </w:tc>
        <w:tc>
          <w:tcPr>
            <w:tcW w:w="972" w:type="dxa"/>
          </w:tcPr>
          <w:p w:rsidR="003F1CA1" w:rsidRDefault="00AA5359" w:rsidP="00C94CDF">
            <w:pPr>
              <w:jc w:val="center"/>
            </w:pPr>
            <w:r>
              <w:t>2</w:t>
            </w:r>
            <w:r w:rsidR="00D326D1">
              <w:t>2</w:t>
            </w:r>
          </w:p>
        </w:tc>
        <w:tc>
          <w:tcPr>
            <w:tcW w:w="2078" w:type="dxa"/>
            <w:vMerge/>
          </w:tcPr>
          <w:p w:rsidR="003F1CA1" w:rsidRPr="0012671E" w:rsidRDefault="003F1CA1" w:rsidP="00C94CDF"/>
        </w:tc>
      </w:tr>
      <w:tr w:rsidR="003F1CA1" w:rsidTr="003F1CA1">
        <w:trPr>
          <w:trHeight w:val="2501"/>
          <w:jc w:val="center"/>
        </w:trPr>
        <w:tc>
          <w:tcPr>
            <w:tcW w:w="1765" w:type="dxa"/>
          </w:tcPr>
          <w:p w:rsidR="003F1CA1" w:rsidRDefault="003F1CA1" w:rsidP="00C94CDF">
            <w:pPr>
              <w:widowControl w:val="0"/>
              <w:jc w:val="center"/>
            </w:pPr>
            <w:r>
              <w:lastRenderedPageBreak/>
              <w:t>CCT Facilitators</w:t>
            </w:r>
            <w:r w:rsidR="00AA5359">
              <w:t xml:space="preserve"> administer to children ages 5-10</w:t>
            </w:r>
          </w:p>
        </w:tc>
        <w:tc>
          <w:tcPr>
            <w:tcW w:w="3875" w:type="dxa"/>
          </w:tcPr>
          <w:p w:rsidR="003F1CA1" w:rsidRDefault="003F1CA1" w:rsidP="00C94CDF">
            <w:pPr>
              <w:widowControl w:val="0"/>
            </w:pPr>
            <w:r>
              <w:rPr>
                <w:i/>
              </w:rPr>
              <w:t xml:space="preserve">Permanent Connections Inventory (Child Version): </w:t>
            </w:r>
            <w:r>
              <w:t xml:space="preserve"> Designed for RISE, identifies adults in the children’s lives that are committed to providing ongoing support and their perceptions of how the named adults support them.</w:t>
            </w:r>
          </w:p>
        </w:tc>
        <w:tc>
          <w:tcPr>
            <w:tcW w:w="1341" w:type="dxa"/>
          </w:tcPr>
          <w:p w:rsidR="003F1CA1" w:rsidRPr="004F2970" w:rsidRDefault="003F1CA1" w:rsidP="00C94CDF">
            <w:pPr>
              <w:widowControl w:val="0"/>
            </w:pPr>
            <w:r w:rsidRPr="004F2970">
              <w:t xml:space="preserve">Completed twice:  baseline and </w:t>
            </w:r>
            <w:r>
              <w:t>1 year later</w:t>
            </w:r>
          </w:p>
        </w:tc>
        <w:tc>
          <w:tcPr>
            <w:tcW w:w="1418" w:type="dxa"/>
          </w:tcPr>
          <w:p w:rsidR="003F1CA1" w:rsidRDefault="003F1CA1" w:rsidP="00C94CDF">
            <w:pPr>
              <w:widowControl w:val="0"/>
            </w:pPr>
            <w:r>
              <w:t>LGBTQ and gender non-conforming children ages 5-10 in out-of-home placements in Los Angeles County, enrolled in CCT</w:t>
            </w:r>
          </w:p>
        </w:tc>
        <w:tc>
          <w:tcPr>
            <w:tcW w:w="1253" w:type="dxa"/>
          </w:tcPr>
          <w:p w:rsidR="003F1CA1" w:rsidRDefault="00AA5359" w:rsidP="00AA5359">
            <w:pPr>
              <w:widowControl w:val="0"/>
              <w:jc w:val="center"/>
            </w:pPr>
            <w:r>
              <w:t>2</w:t>
            </w:r>
          </w:p>
        </w:tc>
        <w:tc>
          <w:tcPr>
            <w:tcW w:w="972" w:type="dxa"/>
          </w:tcPr>
          <w:p w:rsidR="003F1CA1" w:rsidRDefault="00AA5359" w:rsidP="00C94CDF">
            <w:pPr>
              <w:jc w:val="center"/>
            </w:pPr>
            <w:r>
              <w:t>2</w:t>
            </w:r>
          </w:p>
        </w:tc>
        <w:tc>
          <w:tcPr>
            <w:tcW w:w="2078" w:type="dxa"/>
            <w:vMerge/>
          </w:tcPr>
          <w:p w:rsidR="003F1CA1" w:rsidRPr="0012671E" w:rsidRDefault="003F1CA1" w:rsidP="00C94CDF"/>
        </w:tc>
      </w:tr>
      <w:tr w:rsidR="003F1CA1" w:rsidTr="003F1CA1">
        <w:trPr>
          <w:trHeight w:val="2753"/>
          <w:jc w:val="center"/>
        </w:trPr>
        <w:tc>
          <w:tcPr>
            <w:tcW w:w="1765" w:type="dxa"/>
          </w:tcPr>
          <w:p w:rsidR="003F1CA1" w:rsidRDefault="003F1CA1" w:rsidP="00C94CDF">
            <w:pPr>
              <w:jc w:val="center"/>
            </w:pPr>
            <w:r>
              <w:t>CCT Facilitators</w:t>
            </w:r>
            <w:r w:rsidR="00AA5359">
              <w:t xml:space="preserve"> complete</w:t>
            </w:r>
          </w:p>
        </w:tc>
        <w:tc>
          <w:tcPr>
            <w:tcW w:w="3875" w:type="dxa"/>
          </w:tcPr>
          <w:p w:rsidR="003F1CA1" w:rsidRDefault="003F1CA1" w:rsidP="00C94CDF">
            <w:pPr>
              <w:rPr>
                <w:i/>
              </w:rPr>
            </w:pPr>
            <w:r w:rsidRPr="00DF1442">
              <w:rPr>
                <w:i/>
              </w:rPr>
              <w:t xml:space="preserve">Emotional Permanency </w:t>
            </w:r>
            <w:r>
              <w:rPr>
                <w:i/>
              </w:rPr>
              <w:t xml:space="preserve">Instrument: </w:t>
            </w:r>
            <w:r>
              <w:t>Designed for RISE, examines the connections the youth has made with supportive adults who may provide permanency.</w:t>
            </w:r>
          </w:p>
        </w:tc>
        <w:tc>
          <w:tcPr>
            <w:tcW w:w="1341" w:type="dxa"/>
          </w:tcPr>
          <w:p w:rsidR="003F1CA1" w:rsidRPr="004F2970" w:rsidRDefault="003F1CA1" w:rsidP="00C94CDF">
            <w:r w:rsidRPr="004F2970">
              <w:t xml:space="preserve">Completed twice:  baseline and </w:t>
            </w:r>
            <w:r>
              <w:t>1 year later</w:t>
            </w:r>
          </w:p>
        </w:tc>
        <w:tc>
          <w:tcPr>
            <w:tcW w:w="1418" w:type="dxa"/>
          </w:tcPr>
          <w:p w:rsidR="003F1CA1" w:rsidRDefault="003F1CA1" w:rsidP="00C94CDF">
            <w:r w:rsidRPr="00B32144">
              <w:t>LGBTQ and gender no</w:t>
            </w:r>
            <w:r>
              <w:t>n-conforming children and youth ages 5-</w:t>
            </w:r>
            <w:r w:rsidRPr="00B32144">
              <w:t>19</w:t>
            </w:r>
            <w:r>
              <w:t>, in out-of-</w:t>
            </w:r>
            <w:r w:rsidRPr="00B32144">
              <w:t>home placements in Los Angeles County, enrolled in CCT</w:t>
            </w:r>
          </w:p>
        </w:tc>
        <w:tc>
          <w:tcPr>
            <w:tcW w:w="1253" w:type="dxa"/>
          </w:tcPr>
          <w:p w:rsidR="003F1CA1" w:rsidRDefault="00AA5359" w:rsidP="00AA5359">
            <w:pPr>
              <w:jc w:val="center"/>
            </w:pPr>
            <w:r>
              <w:t>2</w:t>
            </w:r>
          </w:p>
        </w:tc>
        <w:tc>
          <w:tcPr>
            <w:tcW w:w="972" w:type="dxa"/>
          </w:tcPr>
          <w:p w:rsidR="003F1CA1" w:rsidRDefault="00AA5359" w:rsidP="00C94CDF">
            <w:pPr>
              <w:jc w:val="center"/>
            </w:pPr>
            <w:r>
              <w:t>8</w:t>
            </w:r>
          </w:p>
        </w:tc>
        <w:tc>
          <w:tcPr>
            <w:tcW w:w="2078" w:type="dxa"/>
            <w:vMerge/>
          </w:tcPr>
          <w:p w:rsidR="003F1CA1" w:rsidRPr="0012671E" w:rsidRDefault="003F1CA1" w:rsidP="00C94CDF"/>
        </w:tc>
      </w:tr>
      <w:tr w:rsidR="003F1CA1" w:rsidTr="003F1CA1">
        <w:trPr>
          <w:trHeight w:val="278"/>
          <w:jc w:val="center"/>
        </w:trPr>
        <w:tc>
          <w:tcPr>
            <w:tcW w:w="1765" w:type="dxa"/>
          </w:tcPr>
          <w:p w:rsidR="003F1CA1" w:rsidRDefault="00AA5359" w:rsidP="00AA5359">
            <w:pPr>
              <w:jc w:val="center"/>
            </w:pPr>
            <w:r>
              <w:t>CCT Facilitators complete</w:t>
            </w:r>
          </w:p>
        </w:tc>
        <w:tc>
          <w:tcPr>
            <w:tcW w:w="3875" w:type="dxa"/>
          </w:tcPr>
          <w:p w:rsidR="003F1CA1" w:rsidRPr="001F3ACB" w:rsidRDefault="003F1CA1" w:rsidP="00C94CDF">
            <w:pPr>
              <w:rPr>
                <w:i/>
              </w:rPr>
            </w:pPr>
            <w:r w:rsidRPr="001F3ACB">
              <w:rPr>
                <w:i/>
              </w:rPr>
              <w:t>Child and Adolescent Functional Assessment Scale</w:t>
            </w:r>
            <w:r>
              <w:t xml:space="preserve">: Standardized and copyrighted instrument; assesses </w:t>
            </w:r>
            <w:r w:rsidRPr="00B022E9">
              <w:t xml:space="preserve">youth's day-to-day functioning across critical life subscales </w:t>
            </w:r>
            <w:r>
              <w:t>and determines</w:t>
            </w:r>
            <w:r w:rsidRPr="00B022E9">
              <w:t xml:space="preserve"> whether a youth's functioning improves over time.</w:t>
            </w:r>
          </w:p>
        </w:tc>
        <w:tc>
          <w:tcPr>
            <w:tcW w:w="1341" w:type="dxa"/>
          </w:tcPr>
          <w:p w:rsidR="003F1CA1" w:rsidRPr="004F2970" w:rsidRDefault="003F1CA1" w:rsidP="00C94CDF">
            <w:r w:rsidRPr="004F2970">
              <w:t xml:space="preserve">Completed twice:  baseline and </w:t>
            </w:r>
            <w:r>
              <w:t>1 year later</w:t>
            </w:r>
          </w:p>
        </w:tc>
        <w:tc>
          <w:tcPr>
            <w:tcW w:w="1418" w:type="dxa"/>
          </w:tcPr>
          <w:p w:rsidR="003F1CA1" w:rsidRPr="00B32144" w:rsidRDefault="003F1CA1" w:rsidP="00C94CDF">
            <w:r>
              <w:t xml:space="preserve">LGBTQ and gender non-conforming children and youth ages 5-19 in out-of-home placements in Los Angeles </w:t>
            </w:r>
            <w:r>
              <w:lastRenderedPageBreak/>
              <w:t>County, enrolled in CCT</w:t>
            </w:r>
          </w:p>
        </w:tc>
        <w:tc>
          <w:tcPr>
            <w:tcW w:w="1253" w:type="dxa"/>
          </w:tcPr>
          <w:p w:rsidR="003F1CA1" w:rsidRPr="00B32144" w:rsidRDefault="00AA5359" w:rsidP="00AA5359">
            <w:pPr>
              <w:jc w:val="center"/>
            </w:pPr>
            <w:r>
              <w:lastRenderedPageBreak/>
              <w:t>2</w:t>
            </w:r>
          </w:p>
        </w:tc>
        <w:tc>
          <w:tcPr>
            <w:tcW w:w="972" w:type="dxa"/>
          </w:tcPr>
          <w:p w:rsidR="003F1CA1" w:rsidRDefault="00AA5359" w:rsidP="00C94CDF">
            <w:pPr>
              <w:jc w:val="center"/>
            </w:pPr>
            <w:r>
              <w:t>4</w:t>
            </w:r>
          </w:p>
        </w:tc>
        <w:tc>
          <w:tcPr>
            <w:tcW w:w="2078" w:type="dxa"/>
            <w:vMerge/>
          </w:tcPr>
          <w:p w:rsidR="003F1CA1" w:rsidRPr="0012671E" w:rsidRDefault="003F1CA1" w:rsidP="00C94CDF"/>
        </w:tc>
      </w:tr>
      <w:tr w:rsidR="003F1CA1" w:rsidTr="003F1CA1">
        <w:trPr>
          <w:trHeight w:val="6902"/>
          <w:jc w:val="center"/>
        </w:trPr>
        <w:tc>
          <w:tcPr>
            <w:tcW w:w="1765" w:type="dxa"/>
          </w:tcPr>
          <w:p w:rsidR="003F1CA1" w:rsidRDefault="003F1CA1" w:rsidP="00C94CDF">
            <w:pPr>
              <w:widowControl w:val="0"/>
              <w:jc w:val="center"/>
            </w:pPr>
            <w:r>
              <w:lastRenderedPageBreak/>
              <w:t>Permanency Resource</w:t>
            </w:r>
            <w:r w:rsidR="00BA3115">
              <w:t xml:space="preserve"> Interview</w:t>
            </w:r>
          </w:p>
        </w:tc>
        <w:tc>
          <w:tcPr>
            <w:tcW w:w="3875" w:type="dxa"/>
          </w:tcPr>
          <w:p w:rsidR="003F1CA1" w:rsidRDefault="003F1CA1" w:rsidP="00C94CDF">
            <w:pPr>
              <w:widowControl w:val="0"/>
            </w:pPr>
            <w:r>
              <w:rPr>
                <w:i/>
              </w:rPr>
              <w:t xml:space="preserve">Permanent Connections Inventory (Adult Version): </w:t>
            </w:r>
            <w:r>
              <w:t xml:space="preserve"> Designed for RISE; examines whether the permanency resource is committed to providing ongoing support, their experience in caring for youth, foster youth, and LGBTQ youth, and their comfort level with LGBTQ persons.</w:t>
            </w:r>
          </w:p>
          <w:p w:rsidR="003F1CA1" w:rsidRDefault="003F1CA1" w:rsidP="00C94CDF">
            <w:pPr>
              <w:widowControl w:val="0"/>
            </w:pPr>
          </w:p>
          <w:p w:rsidR="003F1CA1" w:rsidRPr="00B9563F" w:rsidRDefault="003F1CA1" w:rsidP="00C94CDF">
            <w:pPr>
              <w:widowControl w:val="0"/>
            </w:pPr>
            <w:r w:rsidRPr="00DF1442">
              <w:rPr>
                <w:i/>
              </w:rPr>
              <w:t xml:space="preserve">Emotional Permanency </w:t>
            </w:r>
            <w:r>
              <w:rPr>
                <w:i/>
              </w:rPr>
              <w:t xml:space="preserve">Instrument: </w:t>
            </w:r>
            <w:r>
              <w:t>Designed for RISE, examines the connections the permanency resource has made with the youth.</w:t>
            </w:r>
          </w:p>
          <w:p w:rsidR="003F1CA1" w:rsidRPr="00615E9B" w:rsidRDefault="003F1CA1" w:rsidP="00C94CDF">
            <w:pPr>
              <w:widowControl w:val="0"/>
            </w:pPr>
          </w:p>
          <w:p w:rsidR="003F1CA1" w:rsidRPr="00B022E9" w:rsidRDefault="003F1CA1" w:rsidP="00C94CDF">
            <w:pPr>
              <w:widowControl w:val="0"/>
            </w:pPr>
            <w:r w:rsidRPr="001F3ACB">
              <w:rPr>
                <w:i/>
              </w:rPr>
              <w:t>Supporting/Rejecting Attitudes Scale (MHI)</w:t>
            </w:r>
            <w:r>
              <w:t xml:space="preserve">: Designed for RISE, examines the permanency resources’ attitudes towards, and level or acceptance or rejection of LGBTQ youth and adults, and examines characteristics that may influence support or rejection such as religiosity, exposure to LGBTQ persons in the media, and personal relationships with LGBTQ persons.  </w:t>
            </w:r>
          </w:p>
          <w:p w:rsidR="003F1CA1" w:rsidRDefault="003F1CA1" w:rsidP="00C94CDF">
            <w:pPr>
              <w:widowControl w:val="0"/>
              <w:rPr>
                <w:i/>
              </w:rPr>
            </w:pPr>
          </w:p>
          <w:p w:rsidR="003F1CA1" w:rsidRDefault="003F1CA1" w:rsidP="00C94CDF">
            <w:pPr>
              <w:widowControl w:val="0"/>
            </w:pPr>
            <w:r w:rsidRPr="001F3ACB">
              <w:rPr>
                <w:i/>
              </w:rPr>
              <w:t>Supporting/Rejecting Attitudes- Genderism and Transphobia Scale</w:t>
            </w:r>
            <w:r>
              <w:t>: Designed for RISE</w:t>
            </w:r>
            <w:r w:rsidRPr="00B9563F">
              <w:t xml:space="preserve">, examines the </w:t>
            </w:r>
            <w:r>
              <w:t>permanency resources</w:t>
            </w:r>
            <w:r w:rsidRPr="00B9563F">
              <w:t>’ attitudes towards</w:t>
            </w:r>
            <w:r>
              <w:t xml:space="preserve"> gender and gender roles</w:t>
            </w:r>
            <w:r w:rsidRPr="00B9563F">
              <w:t>, and</w:t>
            </w:r>
            <w:r>
              <w:t xml:space="preserve"> </w:t>
            </w:r>
            <w:r w:rsidRPr="00B9563F">
              <w:t xml:space="preserve">level or acceptance or rejection of </w:t>
            </w:r>
            <w:r>
              <w:t>persons that do and do not fit typical masculine and feminine archetypes.</w:t>
            </w:r>
          </w:p>
        </w:tc>
        <w:tc>
          <w:tcPr>
            <w:tcW w:w="1341" w:type="dxa"/>
          </w:tcPr>
          <w:p w:rsidR="003F1CA1" w:rsidRPr="004F2970" w:rsidRDefault="003F1CA1" w:rsidP="00C94CDF">
            <w:pPr>
              <w:widowControl w:val="0"/>
            </w:pPr>
            <w:r w:rsidRPr="004F2970">
              <w:t xml:space="preserve">Completed twice:  baseline and </w:t>
            </w:r>
            <w:r>
              <w:t>1 year later</w:t>
            </w:r>
          </w:p>
        </w:tc>
        <w:tc>
          <w:tcPr>
            <w:tcW w:w="1418" w:type="dxa"/>
          </w:tcPr>
          <w:p w:rsidR="003F1CA1" w:rsidRDefault="003F1CA1" w:rsidP="00C94CDF">
            <w:pPr>
              <w:widowControl w:val="0"/>
            </w:pPr>
            <w:r w:rsidRPr="00B32144">
              <w:t>Permanency Resources for  LGBTQ and gender non-confor</w:t>
            </w:r>
            <w:r>
              <w:t>ming youth ages 11-19, in out-of-</w:t>
            </w:r>
            <w:r w:rsidRPr="00B32144">
              <w:t>home placements in Los Angeles County, enrolled in CCT</w:t>
            </w:r>
          </w:p>
        </w:tc>
        <w:tc>
          <w:tcPr>
            <w:tcW w:w="1253" w:type="dxa"/>
          </w:tcPr>
          <w:p w:rsidR="003F1CA1" w:rsidRDefault="00BA3115" w:rsidP="00C94CDF">
            <w:pPr>
              <w:widowControl w:val="0"/>
            </w:pPr>
            <w:r>
              <w:t>11</w:t>
            </w:r>
          </w:p>
        </w:tc>
        <w:tc>
          <w:tcPr>
            <w:tcW w:w="972" w:type="dxa"/>
          </w:tcPr>
          <w:p w:rsidR="003F1CA1" w:rsidRDefault="00BA3115" w:rsidP="00C94CDF">
            <w:pPr>
              <w:widowControl w:val="0"/>
              <w:jc w:val="center"/>
            </w:pPr>
            <w:r>
              <w:t>22</w:t>
            </w:r>
          </w:p>
        </w:tc>
        <w:tc>
          <w:tcPr>
            <w:tcW w:w="2078" w:type="dxa"/>
            <w:vMerge/>
          </w:tcPr>
          <w:p w:rsidR="003F1CA1" w:rsidRPr="0012671E" w:rsidRDefault="003F1CA1" w:rsidP="00C94CDF">
            <w:pPr>
              <w:widowControl w:val="0"/>
            </w:pPr>
          </w:p>
        </w:tc>
      </w:tr>
      <w:tr w:rsidR="003F1CA1" w:rsidTr="003F1CA1">
        <w:trPr>
          <w:trHeight w:val="3968"/>
          <w:jc w:val="center"/>
        </w:trPr>
        <w:tc>
          <w:tcPr>
            <w:tcW w:w="1765" w:type="dxa"/>
          </w:tcPr>
          <w:p w:rsidR="003F1CA1" w:rsidRDefault="003F1CA1" w:rsidP="00C94CDF">
            <w:pPr>
              <w:widowControl w:val="0"/>
              <w:jc w:val="center"/>
            </w:pPr>
            <w:r>
              <w:lastRenderedPageBreak/>
              <w:t>Current Caregiver</w:t>
            </w:r>
            <w:r w:rsidR="00BA3115">
              <w:t xml:space="preserve"> Interview</w:t>
            </w:r>
          </w:p>
        </w:tc>
        <w:tc>
          <w:tcPr>
            <w:tcW w:w="3875" w:type="dxa"/>
          </w:tcPr>
          <w:p w:rsidR="003F1CA1" w:rsidRPr="00B022E9" w:rsidRDefault="003F1CA1" w:rsidP="00C94CDF">
            <w:pPr>
              <w:widowControl w:val="0"/>
            </w:pPr>
            <w:r w:rsidRPr="001F3ACB">
              <w:rPr>
                <w:i/>
              </w:rPr>
              <w:t>Supporting/Rejecting Attitudes Scale (MHI)</w:t>
            </w:r>
            <w:r>
              <w:t>: Designed for RISE, examines caregivers’ attitudes toward and level of acceptance or rejection of LGBTQ youth and adults, and examines characteristics that may influence support or rejection such as religiosity, exposure to LGBTQ persons in the media, and personal relationships with LGBTQ persons.</w:t>
            </w:r>
          </w:p>
          <w:p w:rsidR="003F1CA1" w:rsidRDefault="003F1CA1" w:rsidP="00C94CDF">
            <w:pPr>
              <w:widowControl w:val="0"/>
            </w:pPr>
          </w:p>
          <w:p w:rsidR="003F1CA1" w:rsidRDefault="003F1CA1" w:rsidP="00C94CDF">
            <w:pPr>
              <w:widowControl w:val="0"/>
              <w:rPr>
                <w:i/>
              </w:rPr>
            </w:pPr>
            <w:r w:rsidRPr="001F3ACB">
              <w:rPr>
                <w:i/>
              </w:rPr>
              <w:t>Supporting/Rejecting Attitudes- Genderism and Transphobia Scale</w:t>
            </w:r>
            <w:r>
              <w:t>: Designed for RISE</w:t>
            </w:r>
            <w:r w:rsidRPr="00B9563F">
              <w:t>, examines the caregivers’ attitudes towards</w:t>
            </w:r>
            <w:r>
              <w:t xml:space="preserve"> gender and gender roles</w:t>
            </w:r>
            <w:r w:rsidRPr="00B9563F">
              <w:t>, and</w:t>
            </w:r>
            <w:r>
              <w:t xml:space="preserve"> </w:t>
            </w:r>
            <w:r w:rsidRPr="00B9563F">
              <w:t xml:space="preserve">level or acceptance or rejection of </w:t>
            </w:r>
            <w:r>
              <w:t>persons that do and do not fit typical masculine and feminine archetypes.</w:t>
            </w:r>
          </w:p>
        </w:tc>
        <w:tc>
          <w:tcPr>
            <w:tcW w:w="1341" w:type="dxa"/>
          </w:tcPr>
          <w:p w:rsidR="003F1CA1" w:rsidRPr="004F2970" w:rsidRDefault="003F1CA1" w:rsidP="00C94CDF">
            <w:pPr>
              <w:widowControl w:val="0"/>
            </w:pPr>
            <w:r w:rsidRPr="004F2970">
              <w:t xml:space="preserve">Completed twice:  baseline and </w:t>
            </w:r>
            <w:r>
              <w:t>1 year later</w:t>
            </w:r>
          </w:p>
        </w:tc>
        <w:tc>
          <w:tcPr>
            <w:tcW w:w="1418" w:type="dxa"/>
          </w:tcPr>
          <w:p w:rsidR="003F1CA1" w:rsidRPr="00B32144" w:rsidRDefault="003F1CA1" w:rsidP="00C94CDF">
            <w:pPr>
              <w:widowControl w:val="0"/>
            </w:pPr>
            <w:r w:rsidRPr="00B32144">
              <w:t>Current Caregivers for  LGBTQ and gender non-confor</w:t>
            </w:r>
            <w:r>
              <w:t>ming youth ages 11-19, in out-of-</w:t>
            </w:r>
            <w:r w:rsidRPr="00B32144">
              <w:t>home placements in Los Angeles County, enrolled in CCT</w:t>
            </w:r>
          </w:p>
        </w:tc>
        <w:tc>
          <w:tcPr>
            <w:tcW w:w="1253" w:type="dxa"/>
          </w:tcPr>
          <w:p w:rsidR="003F1CA1" w:rsidRPr="00B32144" w:rsidRDefault="00BA3115" w:rsidP="00BA3115">
            <w:pPr>
              <w:widowControl w:val="0"/>
              <w:jc w:val="center"/>
            </w:pPr>
            <w:r>
              <w:t>11</w:t>
            </w:r>
          </w:p>
        </w:tc>
        <w:tc>
          <w:tcPr>
            <w:tcW w:w="972" w:type="dxa"/>
          </w:tcPr>
          <w:p w:rsidR="003F1CA1" w:rsidRDefault="00BA3115" w:rsidP="00C94CDF">
            <w:pPr>
              <w:widowControl w:val="0"/>
              <w:jc w:val="center"/>
            </w:pPr>
            <w:r>
              <w:t>13</w:t>
            </w:r>
          </w:p>
        </w:tc>
        <w:tc>
          <w:tcPr>
            <w:tcW w:w="2078" w:type="dxa"/>
            <w:vMerge/>
          </w:tcPr>
          <w:p w:rsidR="003F1CA1" w:rsidRPr="0012671E" w:rsidRDefault="003F1CA1" w:rsidP="00C94CDF">
            <w:pPr>
              <w:widowControl w:val="0"/>
            </w:pPr>
          </w:p>
        </w:tc>
      </w:tr>
      <w:tr w:rsidR="003F1CA1" w:rsidTr="003F1CA1">
        <w:trPr>
          <w:trHeight w:val="2060"/>
          <w:jc w:val="center"/>
        </w:trPr>
        <w:tc>
          <w:tcPr>
            <w:tcW w:w="1765" w:type="dxa"/>
          </w:tcPr>
          <w:p w:rsidR="003F1CA1" w:rsidRDefault="003F1CA1" w:rsidP="00C94CDF">
            <w:pPr>
              <w:widowControl w:val="0"/>
              <w:jc w:val="center"/>
            </w:pPr>
            <w:r>
              <w:t>Staff Pretest/Posttest</w:t>
            </w:r>
          </w:p>
        </w:tc>
        <w:tc>
          <w:tcPr>
            <w:tcW w:w="3875" w:type="dxa"/>
          </w:tcPr>
          <w:p w:rsidR="003F1CA1" w:rsidRPr="00F10F49" w:rsidRDefault="003F1CA1" w:rsidP="00C94CDF">
            <w:pPr>
              <w:widowControl w:val="0"/>
            </w:pPr>
            <w:r>
              <w:rPr>
                <w:i/>
              </w:rPr>
              <w:t>RISE ORB Staff Pre/Posttest:</w:t>
            </w:r>
            <w:r>
              <w:t xml:space="preserve"> Designed for RISE and intended to measure change in knowledge after receiving ORB training. This instrument is a revision of the instrument approved by OMB in August 2013.</w:t>
            </w:r>
          </w:p>
        </w:tc>
        <w:tc>
          <w:tcPr>
            <w:tcW w:w="1341" w:type="dxa"/>
          </w:tcPr>
          <w:p w:rsidR="003F1CA1" w:rsidRPr="004F2970" w:rsidRDefault="003F1CA1" w:rsidP="00C94CDF">
            <w:pPr>
              <w:widowControl w:val="0"/>
            </w:pPr>
            <w:r>
              <w:t>Completed twice: immediately before (pretest) and immediately after (posttest) ORB training</w:t>
            </w:r>
          </w:p>
        </w:tc>
        <w:tc>
          <w:tcPr>
            <w:tcW w:w="1418" w:type="dxa"/>
          </w:tcPr>
          <w:p w:rsidR="003F1CA1" w:rsidRPr="00B32144" w:rsidRDefault="003F1CA1" w:rsidP="00C94CDF">
            <w:pPr>
              <w:widowControl w:val="0"/>
            </w:pPr>
            <w:r>
              <w:t>DCFS and private agency caseworkers</w:t>
            </w:r>
          </w:p>
        </w:tc>
        <w:tc>
          <w:tcPr>
            <w:tcW w:w="1253" w:type="dxa"/>
          </w:tcPr>
          <w:p w:rsidR="003F1CA1" w:rsidRDefault="003F1CA1" w:rsidP="00C94CDF">
            <w:pPr>
              <w:widowControl w:val="0"/>
              <w:jc w:val="center"/>
            </w:pPr>
            <w:r>
              <w:t>157</w:t>
            </w:r>
          </w:p>
        </w:tc>
        <w:tc>
          <w:tcPr>
            <w:tcW w:w="972" w:type="dxa"/>
          </w:tcPr>
          <w:p w:rsidR="003F1CA1" w:rsidRDefault="00FD44F4" w:rsidP="00C94CDF">
            <w:pPr>
              <w:widowControl w:val="0"/>
              <w:jc w:val="center"/>
            </w:pPr>
            <w:r w:rsidRPr="00FD44F4">
              <w:t>78</w:t>
            </w:r>
            <w:r w:rsidR="003F1CA1" w:rsidRPr="00FD44F4">
              <w:t>*</w:t>
            </w:r>
          </w:p>
        </w:tc>
        <w:tc>
          <w:tcPr>
            <w:tcW w:w="2078" w:type="dxa"/>
            <w:vMerge w:val="restart"/>
          </w:tcPr>
          <w:p w:rsidR="003F1CA1" w:rsidRPr="0012671E" w:rsidRDefault="003F1CA1" w:rsidP="00C94CDF">
            <w:pPr>
              <w:widowControl w:val="0"/>
            </w:pPr>
            <w:r w:rsidRPr="001B630C">
              <w:t xml:space="preserve">For staff in DCFS offices and private agencies, is receiving the ORB training associated with greater competence in addressing issues of sexual orientation and gender nonconformity </w:t>
            </w:r>
            <w:r w:rsidRPr="001B630C">
              <w:lastRenderedPageBreak/>
              <w:t>compared to their competence before receiving the ORB intervention</w:t>
            </w:r>
            <w:r w:rsidR="00DE1EF0">
              <w:t>?</w:t>
            </w:r>
          </w:p>
        </w:tc>
      </w:tr>
      <w:tr w:rsidR="003F1CA1" w:rsidTr="003F1CA1">
        <w:trPr>
          <w:trHeight w:val="2945"/>
          <w:jc w:val="center"/>
        </w:trPr>
        <w:tc>
          <w:tcPr>
            <w:tcW w:w="1765" w:type="dxa"/>
          </w:tcPr>
          <w:p w:rsidR="003F1CA1" w:rsidRDefault="003F1CA1" w:rsidP="00C94CDF">
            <w:pPr>
              <w:widowControl w:val="0"/>
              <w:jc w:val="center"/>
            </w:pPr>
            <w:r>
              <w:lastRenderedPageBreak/>
              <w:t>Staff Follow-Up Survey</w:t>
            </w:r>
          </w:p>
        </w:tc>
        <w:tc>
          <w:tcPr>
            <w:tcW w:w="3875" w:type="dxa"/>
          </w:tcPr>
          <w:p w:rsidR="003F1CA1" w:rsidRPr="00F10F49" w:rsidRDefault="003F1CA1" w:rsidP="00C94CDF">
            <w:pPr>
              <w:widowControl w:val="0"/>
            </w:pPr>
            <w:r>
              <w:rPr>
                <w:i/>
              </w:rPr>
              <w:t xml:space="preserve">RISE ORB Staff Web-Based Followup Survey: </w:t>
            </w:r>
            <w:r>
              <w:t>Designed for RISE and intended to assess LGBTQ competency in practice.</w:t>
            </w:r>
          </w:p>
        </w:tc>
        <w:tc>
          <w:tcPr>
            <w:tcW w:w="1341" w:type="dxa"/>
          </w:tcPr>
          <w:p w:rsidR="003F1CA1" w:rsidRPr="004F2970" w:rsidRDefault="003F1CA1" w:rsidP="00C94CDF">
            <w:pPr>
              <w:widowControl w:val="0"/>
            </w:pPr>
            <w:r>
              <w:t>Completed 2 months after receiving ORB training</w:t>
            </w:r>
          </w:p>
        </w:tc>
        <w:tc>
          <w:tcPr>
            <w:tcW w:w="1418" w:type="dxa"/>
          </w:tcPr>
          <w:p w:rsidR="003F1CA1" w:rsidRPr="00B32144" w:rsidRDefault="003F1CA1" w:rsidP="00C94CDF">
            <w:pPr>
              <w:widowControl w:val="0"/>
            </w:pPr>
            <w:r>
              <w:t>DCFS and private agency caseworkers</w:t>
            </w:r>
          </w:p>
        </w:tc>
        <w:tc>
          <w:tcPr>
            <w:tcW w:w="1253" w:type="dxa"/>
          </w:tcPr>
          <w:p w:rsidR="003F1CA1" w:rsidRDefault="003F1CA1" w:rsidP="00C94CDF">
            <w:pPr>
              <w:widowControl w:val="0"/>
              <w:jc w:val="center"/>
            </w:pPr>
            <w:r>
              <w:t>157</w:t>
            </w:r>
          </w:p>
        </w:tc>
        <w:tc>
          <w:tcPr>
            <w:tcW w:w="972" w:type="dxa"/>
          </w:tcPr>
          <w:p w:rsidR="003F1CA1" w:rsidRDefault="00FD44F4" w:rsidP="00C94CDF">
            <w:pPr>
              <w:widowControl w:val="0"/>
              <w:jc w:val="center"/>
            </w:pPr>
            <w:r>
              <w:t>47</w:t>
            </w:r>
          </w:p>
        </w:tc>
        <w:tc>
          <w:tcPr>
            <w:tcW w:w="2078" w:type="dxa"/>
            <w:vMerge/>
          </w:tcPr>
          <w:p w:rsidR="003F1CA1" w:rsidRPr="0012671E" w:rsidRDefault="003F1CA1" w:rsidP="00C94CDF">
            <w:pPr>
              <w:widowControl w:val="0"/>
            </w:pPr>
          </w:p>
        </w:tc>
      </w:tr>
    </w:tbl>
    <w:p w:rsidR="003F1CA1" w:rsidRDefault="003F1CA1" w:rsidP="003F1CA1">
      <w:pPr>
        <w:spacing w:after="0" w:line="240" w:lineRule="auto"/>
        <w:jc w:val="center"/>
        <w:rPr>
          <w:rFonts w:ascii="Arial" w:hAnsi="Arial" w:cs="Arial"/>
          <w:b/>
          <w:caps/>
          <w:sz w:val="28"/>
          <w:szCs w:val="28"/>
        </w:rPr>
      </w:pPr>
    </w:p>
    <w:p w:rsidR="003F1CA1" w:rsidRDefault="003F1CA1" w:rsidP="003F1CA1">
      <w:r>
        <w:rPr>
          <w:rFonts w:ascii="Times New Roman" w:hAnsi="Times New Roman" w:cs="Times New Roman"/>
        </w:rPr>
        <w:t>*T</w:t>
      </w:r>
      <w:r w:rsidRPr="00F91FFE">
        <w:rPr>
          <w:rFonts w:ascii="Times New Roman" w:hAnsi="Times New Roman" w:cs="Times New Roman"/>
        </w:rPr>
        <w:t xml:space="preserve">his burden was </w:t>
      </w:r>
      <w:r>
        <w:rPr>
          <w:rFonts w:ascii="Times New Roman" w:hAnsi="Times New Roman" w:cs="Times New Roman"/>
        </w:rPr>
        <w:t xml:space="preserve">previously </w:t>
      </w:r>
      <w:r w:rsidRPr="00F91FFE">
        <w:rPr>
          <w:rFonts w:ascii="Times New Roman" w:hAnsi="Times New Roman" w:cs="Times New Roman"/>
        </w:rPr>
        <w:t xml:space="preserve">approved by </w:t>
      </w:r>
      <w:r>
        <w:rPr>
          <w:rFonts w:ascii="Times New Roman" w:hAnsi="Times New Roman" w:cs="Times New Roman"/>
        </w:rPr>
        <w:t>OMB in A</w:t>
      </w:r>
      <w:r w:rsidRPr="00F91FFE">
        <w:rPr>
          <w:rFonts w:ascii="Times New Roman" w:hAnsi="Times New Roman" w:cs="Times New Roman"/>
        </w:rPr>
        <w:t>ugust 2013.</w:t>
      </w:r>
      <w:r>
        <w:rPr>
          <w:rFonts w:ascii="Times New Roman" w:hAnsi="Times New Roman" w:cs="Times New Roman"/>
        </w:rPr>
        <w:t xml:space="preserve"> RISE has revised the instrument and the revised version is included in this present package.</w:t>
      </w:r>
    </w:p>
    <w:sectPr w:rsidR="003F1CA1" w:rsidSect="003F1CA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7D" w:rsidRDefault="002C027D" w:rsidP="003F1CA1">
      <w:pPr>
        <w:spacing w:after="0" w:line="240" w:lineRule="auto"/>
      </w:pPr>
      <w:r>
        <w:separator/>
      </w:r>
    </w:p>
  </w:endnote>
  <w:endnote w:type="continuationSeparator" w:id="0">
    <w:p w:rsidR="002C027D" w:rsidRDefault="002C027D" w:rsidP="003F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EF" w:rsidRDefault="00740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EF" w:rsidRDefault="00740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EF" w:rsidRDefault="00740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7D" w:rsidRDefault="002C027D" w:rsidP="003F1CA1">
      <w:pPr>
        <w:spacing w:after="0" w:line="240" w:lineRule="auto"/>
      </w:pPr>
      <w:r>
        <w:separator/>
      </w:r>
    </w:p>
  </w:footnote>
  <w:footnote w:type="continuationSeparator" w:id="0">
    <w:p w:rsidR="002C027D" w:rsidRDefault="002C027D" w:rsidP="003F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EF" w:rsidRDefault="00740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A1" w:rsidRPr="007409EF" w:rsidRDefault="003F1CA1">
    <w:pPr>
      <w:pStyle w:val="Header"/>
      <w:rPr>
        <w:b/>
        <w:sz w:val="28"/>
        <w:szCs w:val="28"/>
      </w:rPr>
    </w:pPr>
    <w:r w:rsidRPr="007409EF">
      <w:rPr>
        <w:b/>
        <w:sz w:val="28"/>
        <w:szCs w:val="28"/>
      </w:rPr>
      <w:t>ATTACHMENT B1: RISE RESEARCH MATRIX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EF" w:rsidRDefault="00740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A1"/>
    <w:rsid w:val="002C027D"/>
    <w:rsid w:val="003F1CA1"/>
    <w:rsid w:val="007409EF"/>
    <w:rsid w:val="00A63C7C"/>
    <w:rsid w:val="00AA5359"/>
    <w:rsid w:val="00B40FE8"/>
    <w:rsid w:val="00B54C33"/>
    <w:rsid w:val="00BA3115"/>
    <w:rsid w:val="00BF27B4"/>
    <w:rsid w:val="00D326D1"/>
    <w:rsid w:val="00D778B5"/>
    <w:rsid w:val="00DE1EF0"/>
    <w:rsid w:val="00E01690"/>
    <w:rsid w:val="00FD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C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A1"/>
    <w:rPr>
      <w:rFonts w:eastAsiaTheme="minorEastAsia"/>
    </w:rPr>
  </w:style>
  <w:style w:type="paragraph" w:styleId="Footer">
    <w:name w:val="footer"/>
    <w:basedOn w:val="Normal"/>
    <w:link w:val="FooterChar"/>
    <w:uiPriority w:val="99"/>
    <w:unhideWhenUsed/>
    <w:rsid w:val="003F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CA1"/>
    <w:rPr>
      <w:rFonts w:eastAsiaTheme="minorEastAsia"/>
    </w:rPr>
  </w:style>
  <w:style w:type="paragraph" w:customStyle="1" w:styleId="NormalSS">
    <w:name w:val="NormalSS"/>
    <w:basedOn w:val="Normal"/>
    <w:qFormat/>
    <w:rsid w:val="00BF27B4"/>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C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A1"/>
    <w:rPr>
      <w:rFonts w:eastAsiaTheme="minorEastAsia"/>
    </w:rPr>
  </w:style>
  <w:style w:type="paragraph" w:styleId="Footer">
    <w:name w:val="footer"/>
    <w:basedOn w:val="Normal"/>
    <w:link w:val="FooterChar"/>
    <w:uiPriority w:val="99"/>
    <w:unhideWhenUsed/>
    <w:rsid w:val="003F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CA1"/>
    <w:rPr>
      <w:rFonts w:eastAsiaTheme="minorEastAsia"/>
    </w:rPr>
  </w:style>
  <w:style w:type="paragraph" w:customStyle="1" w:styleId="NormalSS">
    <w:name w:val="NormalSS"/>
    <w:basedOn w:val="Normal"/>
    <w:qFormat/>
    <w:rsid w:val="00BF27B4"/>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cp:lastModifiedBy>
  <cp:revision>2</cp:revision>
  <dcterms:created xsi:type="dcterms:W3CDTF">2014-06-30T18:24:00Z</dcterms:created>
  <dcterms:modified xsi:type="dcterms:W3CDTF">2014-06-30T18:24:00Z</dcterms:modified>
</cp:coreProperties>
</file>