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AA952" w14:textId="49BA2787" w:rsidR="00DD2F8F" w:rsidRDefault="00FD1E9A" w:rsidP="00FD1E9A">
      <w:pPr>
        <w:spacing w:after="0" w:line="240" w:lineRule="auto"/>
        <w:jc w:val="center"/>
        <w:rPr>
          <w:b/>
        </w:rPr>
      </w:pPr>
      <w:r w:rsidRPr="00FD1E9A">
        <w:rPr>
          <w:b/>
        </w:rPr>
        <w:t>CAPP Research Matrix</w:t>
      </w:r>
    </w:p>
    <w:p w14:paraId="15AA84ED" w14:textId="77777777" w:rsidR="00FD1E9A" w:rsidRPr="00FD1E9A" w:rsidRDefault="00FD1E9A" w:rsidP="00FD1E9A">
      <w:pPr>
        <w:spacing w:after="0" w:line="240" w:lineRule="auto"/>
        <w:rPr>
          <w:b/>
        </w:rPr>
      </w:pPr>
    </w:p>
    <w:tbl>
      <w:tblPr>
        <w:tblStyle w:val="TableGrid"/>
        <w:tblW w:w="0" w:type="auto"/>
        <w:tblLook w:val="04A0" w:firstRow="1" w:lastRow="0" w:firstColumn="1" w:lastColumn="0" w:noHBand="0" w:noVBand="1"/>
      </w:tblPr>
      <w:tblGrid>
        <w:gridCol w:w="4276"/>
        <w:gridCol w:w="3279"/>
        <w:gridCol w:w="3840"/>
        <w:gridCol w:w="1740"/>
        <w:gridCol w:w="2301"/>
        <w:gridCol w:w="1834"/>
      </w:tblGrid>
      <w:tr w:rsidR="00DD2F8F" w14:paraId="5EA3E448" w14:textId="55E22465" w:rsidTr="00EA786E">
        <w:trPr>
          <w:tblHeader/>
        </w:trPr>
        <w:tc>
          <w:tcPr>
            <w:tcW w:w="4276" w:type="dxa"/>
            <w:shd w:val="clear" w:color="auto" w:fill="B8CCE4" w:themeFill="accent1" w:themeFillTint="66"/>
            <w:vAlign w:val="center"/>
          </w:tcPr>
          <w:p w14:paraId="4F90D93B" w14:textId="28460BE7" w:rsidR="00DD2F8F" w:rsidRPr="00FD1E9A" w:rsidRDefault="00DD2F8F" w:rsidP="00A848B7">
            <w:pPr>
              <w:jc w:val="center"/>
              <w:rPr>
                <w:b/>
              </w:rPr>
            </w:pPr>
            <w:r w:rsidRPr="00FD1E9A">
              <w:rPr>
                <w:b/>
              </w:rPr>
              <w:t>Research Question</w:t>
            </w:r>
          </w:p>
        </w:tc>
        <w:tc>
          <w:tcPr>
            <w:tcW w:w="3279" w:type="dxa"/>
            <w:tcBorders>
              <w:bottom w:val="single" w:sz="4" w:space="0" w:color="auto"/>
            </w:tcBorders>
            <w:shd w:val="clear" w:color="auto" w:fill="B8CCE4" w:themeFill="accent1" w:themeFillTint="66"/>
            <w:vAlign w:val="center"/>
          </w:tcPr>
          <w:p w14:paraId="02EA9929" w14:textId="582507AA" w:rsidR="00DD2F8F" w:rsidRPr="00FD1E9A" w:rsidRDefault="00DD2F8F" w:rsidP="00A848B7">
            <w:pPr>
              <w:jc w:val="center"/>
              <w:rPr>
                <w:b/>
              </w:rPr>
            </w:pPr>
            <w:r w:rsidRPr="00FD1E9A">
              <w:rPr>
                <w:b/>
              </w:rPr>
              <w:t>Target Population</w:t>
            </w:r>
          </w:p>
        </w:tc>
        <w:tc>
          <w:tcPr>
            <w:tcW w:w="3840" w:type="dxa"/>
            <w:tcBorders>
              <w:bottom w:val="single" w:sz="4" w:space="0" w:color="auto"/>
            </w:tcBorders>
            <w:shd w:val="clear" w:color="auto" w:fill="B8CCE4" w:themeFill="accent1" w:themeFillTint="66"/>
            <w:vAlign w:val="center"/>
          </w:tcPr>
          <w:p w14:paraId="08ED8BC2" w14:textId="608F0349" w:rsidR="00DD2F8F" w:rsidRPr="00FD1E9A" w:rsidRDefault="00DD2F8F" w:rsidP="00A848B7">
            <w:pPr>
              <w:jc w:val="center"/>
              <w:rPr>
                <w:b/>
              </w:rPr>
            </w:pPr>
            <w:r w:rsidRPr="00FD1E9A">
              <w:rPr>
                <w:b/>
              </w:rPr>
              <w:t>Instruments</w:t>
            </w:r>
          </w:p>
        </w:tc>
        <w:tc>
          <w:tcPr>
            <w:tcW w:w="1740" w:type="dxa"/>
            <w:tcBorders>
              <w:bottom w:val="single" w:sz="4" w:space="0" w:color="auto"/>
            </w:tcBorders>
            <w:shd w:val="clear" w:color="auto" w:fill="B8CCE4" w:themeFill="accent1" w:themeFillTint="66"/>
            <w:vAlign w:val="center"/>
          </w:tcPr>
          <w:p w14:paraId="7D025C82" w14:textId="59C580DD" w:rsidR="00DD2F8F" w:rsidRPr="00FD1E9A" w:rsidRDefault="00DD2F8F" w:rsidP="00A848B7">
            <w:pPr>
              <w:jc w:val="center"/>
              <w:rPr>
                <w:b/>
              </w:rPr>
            </w:pPr>
            <w:r w:rsidRPr="00FD1E9A">
              <w:rPr>
                <w:b/>
              </w:rPr>
              <w:t>Frequency</w:t>
            </w:r>
          </w:p>
        </w:tc>
        <w:tc>
          <w:tcPr>
            <w:tcW w:w="2301" w:type="dxa"/>
            <w:tcBorders>
              <w:bottom w:val="single" w:sz="4" w:space="0" w:color="auto"/>
            </w:tcBorders>
            <w:shd w:val="clear" w:color="auto" w:fill="B8CCE4" w:themeFill="accent1" w:themeFillTint="66"/>
            <w:vAlign w:val="center"/>
          </w:tcPr>
          <w:p w14:paraId="09299DD7" w14:textId="7887524F" w:rsidR="00DD2F8F" w:rsidRPr="00FD1E9A" w:rsidRDefault="00DD2F8F" w:rsidP="00A848B7">
            <w:pPr>
              <w:jc w:val="center"/>
              <w:rPr>
                <w:b/>
              </w:rPr>
            </w:pPr>
            <w:r w:rsidRPr="00FD1E9A">
              <w:rPr>
                <w:b/>
              </w:rPr>
              <w:t>Number of Respondents</w:t>
            </w:r>
          </w:p>
        </w:tc>
        <w:tc>
          <w:tcPr>
            <w:tcW w:w="1834" w:type="dxa"/>
            <w:tcBorders>
              <w:bottom w:val="single" w:sz="4" w:space="0" w:color="auto"/>
            </w:tcBorders>
            <w:shd w:val="clear" w:color="auto" w:fill="B8CCE4" w:themeFill="accent1" w:themeFillTint="66"/>
            <w:vAlign w:val="center"/>
          </w:tcPr>
          <w:p w14:paraId="5F9B1A92" w14:textId="7A6DA5B2" w:rsidR="00DD2F8F" w:rsidRPr="00FD1E9A" w:rsidRDefault="00DD2F8F" w:rsidP="00A848B7">
            <w:pPr>
              <w:jc w:val="center"/>
              <w:rPr>
                <w:b/>
              </w:rPr>
            </w:pPr>
            <w:r w:rsidRPr="00FD1E9A">
              <w:rPr>
                <w:b/>
              </w:rPr>
              <w:t>Annual Burden Hours</w:t>
            </w:r>
          </w:p>
        </w:tc>
      </w:tr>
      <w:tr w:rsidR="00201056" w14:paraId="02C66BA6" w14:textId="77777777" w:rsidTr="00EA786E">
        <w:tc>
          <w:tcPr>
            <w:tcW w:w="4276" w:type="dxa"/>
            <w:vAlign w:val="center"/>
          </w:tcPr>
          <w:p w14:paraId="1E5A6BEB" w14:textId="1832C849" w:rsidR="00201056" w:rsidRDefault="00201056" w:rsidP="0029742B">
            <w:pPr>
              <w:contextualSpacing/>
            </w:pPr>
            <w:r>
              <w:br w:type="page"/>
            </w:r>
            <w:r w:rsidR="004600FD" w:rsidRPr="004600FD">
              <w:t xml:space="preserve">After children begin receiving services from </w:t>
            </w:r>
            <w:r w:rsidR="0029742B">
              <w:t>caseworkers</w:t>
            </w:r>
            <w:r w:rsidR="004600FD" w:rsidRPr="004600FD">
              <w:t xml:space="preserve"> trained in CAPP Model frontline practices, do rates increase for total casework contacts, newly involved individuals (collateral contacts), visitations supervised by DSS staff </w:t>
            </w:r>
            <w:proofErr w:type="gramStart"/>
            <w:r w:rsidR="004600FD" w:rsidRPr="004600FD">
              <w:t>members,</w:t>
            </w:r>
            <w:proofErr w:type="gramEnd"/>
            <w:r w:rsidR="004600FD" w:rsidRPr="004600FD">
              <w:t xml:space="preserve"> and permanency team meetings? Are differences indicated for African American/Black and American Indian (AA/AI) children compared to non-AA/AI children?</w:t>
            </w:r>
          </w:p>
        </w:tc>
        <w:tc>
          <w:tcPr>
            <w:tcW w:w="3279" w:type="dxa"/>
            <w:vMerge w:val="restart"/>
            <w:vAlign w:val="center"/>
          </w:tcPr>
          <w:p w14:paraId="216FFBEF" w14:textId="221A6A79" w:rsidR="00201056" w:rsidRDefault="00201056" w:rsidP="00E5659A">
            <w:pPr>
              <w:rPr>
                <w:rFonts w:cs="ArialUnicodeMS"/>
              </w:rPr>
            </w:pPr>
            <w:r w:rsidRPr="00C52710">
              <w:rPr>
                <w:rFonts w:cs="ArialUnicodeMS"/>
              </w:rPr>
              <w:t>Eligible</w:t>
            </w:r>
            <w:r>
              <w:rPr>
                <w:rFonts w:cs="ArialUnicodeMS"/>
                <w:b/>
              </w:rPr>
              <w:t xml:space="preserve"> parent-</w:t>
            </w:r>
            <w:r w:rsidRPr="00D15906">
              <w:rPr>
                <w:rFonts w:cs="ArialUnicodeMS"/>
                <w:b/>
              </w:rPr>
              <w:t>legal guardians</w:t>
            </w:r>
            <w:r w:rsidRPr="001D5AD7">
              <w:rPr>
                <w:rFonts w:cs="ArialUnicodeMS"/>
              </w:rPr>
              <w:t xml:space="preserve"> or foster </w:t>
            </w:r>
            <w:r w:rsidRPr="00D15906">
              <w:rPr>
                <w:rFonts w:cs="ArialUnicodeMS"/>
                <w:b/>
              </w:rPr>
              <w:t xml:space="preserve">caregivers </w:t>
            </w:r>
            <w:r w:rsidRPr="001D5AD7">
              <w:rPr>
                <w:rFonts w:cs="ArialUnicodeMS"/>
              </w:rPr>
              <w:t xml:space="preserve">of children </w:t>
            </w:r>
            <w:r>
              <w:rPr>
                <w:rFonts w:cs="ArialUnicodeMS"/>
              </w:rPr>
              <w:t>who</w:t>
            </w:r>
            <w:r w:rsidR="00305FCC">
              <w:rPr>
                <w:rFonts w:cs="ArialUnicodeMS"/>
              </w:rPr>
              <w:t>: (1)</w:t>
            </w:r>
            <w:r>
              <w:rPr>
                <w:rFonts w:cs="ArialUnicodeMS"/>
              </w:rPr>
              <w:t xml:space="preserve"> are </w:t>
            </w:r>
            <w:r w:rsidRPr="001D5AD7">
              <w:rPr>
                <w:rFonts w:cs="ArialUnicodeMS"/>
              </w:rPr>
              <w:t xml:space="preserve">assigned to </w:t>
            </w:r>
            <w:r w:rsidR="00E5659A" w:rsidRPr="00E5659A">
              <w:t>randomly selected</w:t>
            </w:r>
            <w:r w:rsidR="00E5659A">
              <w:t>,</w:t>
            </w:r>
            <w:r w:rsidR="00E5659A" w:rsidRPr="00E5659A">
              <w:t xml:space="preserve"> eligible caseworkers</w:t>
            </w:r>
            <w:r w:rsidRPr="001D5AD7">
              <w:rPr>
                <w:rFonts w:cs="ArialUnicodeMS"/>
              </w:rPr>
              <w:t xml:space="preserve">; </w:t>
            </w:r>
            <w:r w:rsidR="00305FCC">
              <w:rPr>
                <w:rFonts w:cs="ArialUnicodeMS"/>
              </w:rPr>
              <w:t xml:space="preserve">(2) </w:t>
            </w:r>
            <w:r w:rsidRPr="001D5AD7">
              <w:rPr>
                <w:rFonts w:cs="ArialUnicodeMS"/>
              </w:rPr>
              <w:t xml:space="preserve">have been part of cases served by a CAPP-trained </w:t>
            </w:r>
            <w:r w:rsidR="0029742B">
              <w:rPr>
                <w:rFonts w:cs="ArialUnicodeMS"/>
              </w:rPr>
              <w:t>caseworker</w:t>
            </w:r>
            <w:r w:rsidRPr="001D5AD7">
              <w:rPr>
                <w:rFonts w:cs="ArialUnicodeMS"/>
              </w:rPr>
              <w:t xml:space="preserve"> for 90 days or more; </w:t>
            </w:r>
            <w:r w:rsidR="00305FCC">
              <w:rPr>
                <w:rFonts w:cs="ArialUnicodeMS"/>
              </w:rPr>
              <w:t xml:space="preserve">(3) </w:t>
            </w:r>
            <w:r w:rsidRPr="001D5AD7">
              <w:rPr>
                <w:rFonts w:cs="ArialUnicodeMS"/>
              </w:rPr>
              <w:t>can speak and read English or S</w:t>
            </w:r>
            <w:r w:rsidR="00534428">
              <w:rPr>
                <w:rFonts w:cs="ArialUnicodeMS"/>
              </w:rPr>
              <w:t xml:space="preserve">panish; </w:t>
            </w:r>
            <w:r w:rsidR="00404DEB">
              <w:rPr>
                <w:rFonts w:cs="ArialUnicodeMS"/>
              </w:rPr>
              <w:t xml:space="preserve">and </w:t>
            </w:r>
            <w:r w:rsidR="00305FCC">
              <w:rPr>
                <w:rFonts w:cs="ArialUnicodeMS"/>
              </w:rPr>
              <w:t xml:space="preserve">(4) </w:t>
            </w:r>
            <w:r w:rsidR="00534428">
              <w:rPr>
                <w:rFonts w:cs="ArialUnicodeMS"/>
              </w:rPr>
              <w:t>are age 18 or older</w:t>
            </w:r>
            <w:r w:rsidR="00404DEB">
              <w:rPr>
                <w:rFonts w:cs="ArialUnicodeMS"/>
              </w:rPr>
              <w:t>.</w:t>
            </w:r>
          </w:p>
          <w:p w14:paraId="6020CBE0" w14:textId="77777777" w:rsidR="00E5659A" w:rsidRDefault="00E5659A" w:rsidP="00E5659A">
            <w:pPr>
              <w:rPr>
                <w:rFonts w:cs="ArialUnicodeMS"/>
              </w:rPr>
            </w:pPr>
          </w:p>
          <w:p w14:paraId="0DEAD3AA" w14:textId="0D364351" w:rsidR="00E5659A" w:rsidRDefault="00E5659A" w:rsidP="00E5659A">
            <w:r>
              <w:rPr>
                <w:rFonts w:cs="ArialUnicodeMS"/>
              </w:rPr>
              <w:t>Eligible caseworkers include those who: (1</w:t>
            </w:r>
            <w:r w:rsidRPr="00E5659A">
              <w:rPr>
                <w:rFonts w:cs="ArialUnicodeMS"/>
              </w:rPr>
              <w:t>) serve primarily Family Reunification (FR) cases, primarily Permanent Placement (PP) cases, or a combination of both and (2) have completed training in the implementation of the CAPP Child and Family Practice Model.</w:t>
            </w:r>
          </w:p>
        </w:tc>
        <w:tc>
          <w:tcPr>
            <w:tcW w:w="3840" w:type="dxa"/>
            <w:vMerge w:val="restart"/>
            <w:vAlign w:val="center"/>
          </w:tcPr>
          <w:p w14:paraId="47329088" w14:textId="6DBD53DF" w:rsidR="00201056" w:rsidRDefault="00201056" w:rsidP="007B538F">
            <w:pPr>
              <w:rPr>
                <w:rFonts w:cs="ArialUnicodeMS"/>
              </w:rPr>
            </w:pPr>
            <w:r w:rsidRPr="00D15906">
              <w:rPr>
                <w:rFonts w:cs="ArialUnicodeMS"/>
                <w:b/>
              </w:rPr>
              <w:t>Parent-legal guardian</w:t>
            </w:r>
            <w:r>
              <w:rPr>
                <w:rFonts w:cs="ArialUnicodeMS"/>
              </w:rPr>
              <w:t xml:space="preserve"> </w:t>
            </w:r>
            <w:r w:rsidRPr="00305FCC">
              <w:rPr>
                <w:rFonts w:cs="ArialUnicodeMS"/>
                <w:b/>
              </w:rPr>
              <w:t>questionnaire</w:t>
            </w:r>
            <w:r>
              <w:rPr>
                <w:rFonts w:cs="ArialUnicodeMS"/>
              </w:rPr>
              <w:t xml:space="preserve"> includes questions about the parent-legal guardian’s relationship with their </w:t>
            </w:r>
            <w:r w:rsidR="0029742B">
              <w:rPr>
                <w:rFonts w:cs="ArialUnicodeMS"/>
              </w:rPr>
              <w:t>caseworker</w:t>
            </w:r>
            <w:r>
              <w:rPr>
                <w:rFonts w:cs="ArialUnicodeMS"/>
              </w:rPr>
              <w:t xml:space="preserve">; their sense of hopefulness and locus of control; family, friend, community, and tribal member involvement in the child’s case; </w:t>
            </w:r>
            <w:r w:rsidRPr="00305FCC">
              <w:rPr>
                <w:rFonts w:cs="ArialUnicodeMS"/>
              </w:rPr>
              <w:t>the occurrence of casework events;</w:t>
            </w:r>
            <w:r w:rsidRPr="003C1BF7">
              <w:rPr>
                <w:rFonts w:cs="ArialUnicodeMS"/>
              </w:rPr>
              <w:t xml:space="preserve"> </w:t>
            </w:r>
            <w:r>
              <w:rPr>
                <w:rFonts w:cs="ArialUnicodeMS"/>
              </w:rPr>
              <w:t>and general demographics on the participant and their child.</w:t>
            </w:r>
          </w:p>
          <w:p w14:paraId="79DF84F3" w14:textId="77777777" w:rsidR="00201056" w:rsidRDefault="00201056" w:rsidP="007B538F">
            <w:pPr>
              <w:rPr>
                <w:rFonts w:cs="ArialUnicodeMS"/>
              </w:rPr>
            </w:pPr>
          </w:p>
          <w:p w14:paraId="04C6EA91" w14:textId="659096B4" w:rsidR="00201056" w:rsidRPr="007B538F" w:rsidRDefault="00201056" w:rsidP="00DD2F8F">
            <w:pPr>
              <w:rPr>
                <w:rFonts w:cs="ArialUnicodeMS"/>
              </w:rPr>
            </w:pPr>
            <w:r w:rsidRPr="00D15906">
              <w:rPr>
                <w:rFonts w:cs="ArialUnicodeMS"/>
                <w:b/>
              </w:rPr>
              <w:t xml:space="preserve">Caregiver </w:t>
            </w:r>
            <w:r w:rsidRPr="00305FCC">
              <w:rPr>
                <w:rFonts w:cs="ArialUnicodeMS"/>
                <w:b/>
              </w:rPr>
              <w:t>questionnaire</w:t>
            </w:r>
            <w:r>
              <w:rPr>
                <w:rFonts w:cs="ArialUnicodeMS"/>
              </w:rPr>
              <w:t xml:space="preserve"> is a modified version of the parent-legal guardian questionnaire and addresses a caregiver’s relationship with their social worker; their sense of hopefulness and locus of control; family, friend, community and tribal member involvement in the child’s case; </w:t>
            </w:r>
            <w:r w:rsidRPr="007B538F">
              <w:rPr>
                <w:rFonts w:cs="ArialUnicodeMS"/>
                <w:b/>
              </w:rPr>
              <w:t>the occurrence of casework events;</w:t>
            </w:r>
            <w:r>
              <w:rPr>
                <w:rFonts w:cs="ArialUnicodeMS"/>
              </w:rPr>
              <w:t xml:space="preserve"> and general demographics on the participant and the child in their care.</w:t>
            </w:r>
          </w:p>
        </w:tc>
        <w:tc>
          <w:tcPr>
            <w:tcW w:w="1740" w:type="dxa"/>
            <w:vMerge w:val="restart"/>
            <w:vAlign w:val="center"/>
          </w:tcPr>
          <w:p w14:paraId="5E216CEE" w14:textId="5EF455F4" w:rsidR="00201056" w:rsidRDefault="00D36292" w:rsidP="00DD2F8F">
            <w:r>
              <w:t>Completed once</w:t>
            </w:r>
          </w:p>
        </w:tc>
        <w:tc>
          <w:tcPr>
            <w:tcW w:w="2301" w:type="dxa"/>
            <w:vMerge w:val="restart"/>
            <w:vAlign w:val="center"/>
          </w:tcPr>
          <w:p w14:paraId="3B623436" w14:textId="75099F96" w:rsidR="00D36292" w:rsidRPr="00305FCC" w:rsidRDefault="00E52717" w:rsidP="00D36292">
            <w:pPr>
              <w:autoSpaceDE w:val="0"/>
              <w:autoSpaceDN w:val="0"/>
              <w:adjustRightInd w:val="0"/>
              <w:rPr>
                <w:rFonts w:ascii="Calibri" w:hAnsi="Calibri" w:cs="Calibri"/>
              </w:rPr>
            </w:pPr>
            <w:r>
              <w:rPr>
                <w:rFonts w:ascii="Calibri" w:hAnsi="Calibri" w:cs="Calibri"/>
              </w:rPr>
              <w:t>348</w:t>
            </w:r>
            <w:r w:rsidR="00D36292" w:rsidRPr="00305FCC">
              <w:rPr>
                <w:rFonts w:ascii="Calibri" w:hAnsi="Calibri" w:cs="Calibri"/>
              </w:rPr>
              <w:t xml:space="preserve">6 respondents </w:t>
            </w:r>
            <w:r w:rsidR="00305FCC">
              <w:rPr>
                <w:rFonts w:ascii="Calibri" w:hAnsi="Calibri" w:cs="Calibri"/>
              </w:rPr>
              <w:t xml:space="preserve">total </w:t>
            </w:r>
            <w:r>
              <w:rPr>
                <w:rFonts w:ascii="Calibri" w:hAnsi="Calibri" w:cs="Calibri"/>
              </w:rPr>
              <w:t>(1146</w:t>
            </w:r>
            <w:bookmarkStart w:id="0" w:name="_GoBack"/>
            <w:bookmarkEnd w:id="0"/>
            <w:r w:rsidR="00D36292" w:rsidRPr="00305FCC">
              <w:rPr>
                <w:rFonts w:ascii="Calibri" w:hAnsi="Calibri" w:cs="Calibri"/>
              </w:rPr>
              <w:t xml:space="preserve"> annually for 3 years)</w:t>
            </w:r>
          </w:p>
          <w:p w14:paraId="281F66AF" w14:textId="11CB32A2" w:rsidR="00201056" w:rsidRPr="00D36292" w:rsidRDefault="00201056" w:rsidP="00675D42">
            <w:pPr>
              <w:autoSpaceDE w:val="0"/>
              <w:autoSpaceDN w:val="0"/>
              <w:adjustRightInd w:val="0"/>
              <w:rPr>
                <w:rFonts w:ascii="Calibri" w:hAnsi="Calibri" w:cs="Calibri"/>
              </w:rPr>
            </w:pPr>
          </w:p>
          <w:p w14:paraId="6B5F7C45" w14:textId="77777777" w:rsidR="00201056" w:rsidRPr="00675D42" w:rsidRDefault="00201056" w:rsidP="00675D42">
            <w:pPr>
              <w:autoSpaceDE w:val="0"/>
              <w:autoSpaceDN w:val="0"/>
              <w:adjustRightInd w:val="0"/>
              <w:rPr>
                <w:rFonts w:ascii="Calibri" w:hAnsi="Calibri" w:cs="Calibri"/>
              </w:rPr>
            </w:pPr>
          </w:p>
          <w:p w14:paraId="7C3C48F3" w14:textId="77777777" w:rsidR="00201056" w:rsidRDefault="00201056" w:rsidP="00EA786E">
            <w:pPr>
              <w:autoSpaceDE w:val="0"/>
              <w:autoSpaceDN w:val="0"/>
              <w:adjustRightInd w:val="0"/>
              <w:rPr>
                <w:rFonts w:ascii="Calibri" w:hAnsi="Calibri" w:cs="Calibri"/>
                <w:b/>
              </w:rPr>
            </w:pPr>
          </w:p>
          <w:p w14:paraId="435CBF67" w14:textId="7912101F" w:rsidR="00201056" w:rsidRDefault="00201056" w:rsidP="00EA786E">
            <w:pPr>
              <w:autoSpaceDE w:val="0"/>
              <w:autoSpaceDN w:val="0"/>
              <w:adjustRightInd w:val="0"/>
            </w:pPr>
          </w:p>
        </w:tc>
        <w:tc>
          <w:tcPr>
            <w:tcW w:w="1834" w:type="dxa"/>
            <w:vMerge w:val="restart"/>
            <w:vAlign w:val="center"/>
          </w:tcPr>
          <w:p w14:paraId="58279D32" w14:textId="1240EB02" w:rsidR="00201056" w:rsidRDefault="00201056" w:rsidP="00305FCC">
            <w:r>
              <w:t xml:space="preserve"> </w:t>
            </w:r>
            <w:r w:rsidR="00E52717">
              <w:t>688</w:t>
            </w:r>
            <w:r>
              <w:t xml:space="preserve"> hours</w:t>
            </w:r>
          </w:p>
        </w:tc>
      </w:tr>
      <w:tr w:rsidR="00201056" w14:paraId="474C7E3C" w14:textId="77777777" w:rsidTr="00EA786E">
        <w:trPr>
          <w:trHeight w:val="980"/>
        </w:trPr>
        <w:tc>
          <w:tcPr>
            <w:tcW w:w="4276" w:type="dxa"/>
            <w:vAlign w:val="center"/>
          </w:tcPr>
          <w:p w14:paraId="2DC176E1" w14:textId="45B298B0" w:rsidR="00201056" w:rsidRDefault="004600FD" w:rsidP="0029742B">
            <w:pPr>
              <w:contextualSpacing/>
            </w:pPr>
            <w:r w:rsidRPr="004600FD">
              <w:t xml:space="preserve">Are opinions of parent-legal guardians and caregivers consistent with the intent of the CAPP Model with regard to relationship with their </w:t>
            </w:r>
            <w:r w:rsidR="0029742B">
              <w:t>caseworker</w:t>
            </w:r>
            <w:r w:rsidRPr="004600FD">
              <w:t xml:space="preserve">, connectedness to their child’s circle of support, the circle of support’s involvement in case planning and problem solving, and the participant’s sense of hopefulness and locus of control? What are parent-legal guardian and caregiver recollections of casework events with family, friends, community members, and tribal representatives? </w:t>
            </w:r>
            <w:r w:rsidRPr="004600FD">
              <w:rPr>
                <w:rFonts w:cs="Calibri"/>
              </w:rPr>
              <w:t xml:space="preserve">Are differences indicated for parent-legal guardians and caregivers </w:t>
            </w:r>
            <w:r>
              <w:rPr>
                <w:rFonts w:cs="Calibri"/>
              </w:rPr>
              <w:t>of AA/</w:t>
            </w:r>
            <w:proofErr w:type="gramStart"/>
            <w:r>
              <w:rPr>
                <w:rFonts w:cs="Calibri"/>
              </w:rPr>
              <w:t xml:space="preserve">AI </w:t>
            </w:r>
            <w:r w:rsidRPr="004600FD">
              <w:rPr>
                <w:rFonts w:cs="Calibri"/>
              </w:rPr>
              <w:t xml:space="preserve"> compared</w:t>
            </w:r>
            <w:proofErr w:type="gramEnd"/>
            <w:r w:rsidRPr="004600FD">
              <w:rPr>
                <w:rFonts w:cs="Calibri"/>
              </w:rPr>
              <w:t xml:space="preserve"> to non-AA/AI children?</w:t>
            </w:r>
          </w:p>
        </w:tc>
        <w:tc>
          <w:tcPr>
            <w:tcW w:w="3279" w:type="dxa"/>
            <w:vMerge/>
            <w:vAlign w:val="center"/>
          </w:tcPr>
          <w:p w14:paraId="71FA6A8E" w14:textId="77777777" w:rsidR="00201056" w:rsidRDefault="00201056" w:rsidP="00DD2F8F"/>
        </w:tc>
        <w:tc>
          <w:tcPr>
            <w:tcW w:w="3840" w:type="dxa"/>
            <w:vMerge/>
            <w:vAlign w:val="center"/>
          </w:tcPr>
          <w:p w14:paraId="2ED6BB1B" w14:textId="77777777" w:rsidR="00201056" w:rsidRDefault="00201056" w:rsidP="00DD2F8F"/>
        </w:tc>
        <w:tc>
          <w:tcPr>
            <w:tcW w:w="1740" w:type="dxa"/>
            <w:vMerge/>
            <w:vAlign w:val="center"/>
          </w:tcPr>
          <w:p w14:paraId="7ED4B579" w14:textId="77777777" w:rsidR="00201056" w:rsidRDefault="00201056" w:rsidP="00DD2F8F"/>
        </w:tc>
        <w:tc>
          <w:tcPr>
            <w:tcW w:w="2301" w:type="dxa"/>
            <w:vMerge/>
            <w:vAlign w:val="center"/>
          </w:tcPr>
          <w:p w14:paraId="4142EBC7" w14:textId="77777777" w:rsidR="00201056" w:rsidRDefault="00201056" w:rsidP="00DD2F8F"/>
        </w:tc>
        <w:tc>
          <w:tcPr>
            <w:tcW w:w="1834" w:type="dxa"/>
            <w:vMerge/>
            <w:vAlign w:val="center"/>
          </w:tcPr>
          <w:p w14:paraId="3F5BFED8" w14:textId="77777777" w:rsidR="00201056" w:rsidRDefault="00201056" w:rsidP="00DD2F8F"/>
        </w:tc>
      </w:tr>
    </w:tbl>
    <w:p w14:paraId="5198C685" w14:textId="53A568D2" w:rsidR="004600FD" w:rsidRDefault="004600FD"/>
    <w:sectPr w:rsidR="004600FD" w:rsidSect="00D02E14">
      <w:headerReference w:type="default" r:id="rId12"/>
      <w:footerReference w:type="default" r:id="rId13"/>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631D2" w14:textId="77777777" w:rsidR="00E318C5" w:rsidRDefault="00E318C5" w:rsidP="004C0813">
      <w:pPr>
        <w:spacing w:after="0" w:line="240" w:lineRule="auto"/>
      </w:pPr>
      <w:r>
        <w:separator/>
      </w:r>
    </w:p>
  </w:endnote>
  <w:endnote w:type="continuationSeparator" w:id="0">
    <w:p w14:paraId="69D1C35A" w14:textId="77777777" w:rsidR="00E318C5" w:rsidRDefault="00E318C5" w:rsidP="004C0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Unicode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968318"/>
      <w:docPartObj>
        <w:docPartGallery w:val="Page Numbers (Bottom of Page)"/>
        <w:docPartUnique/>
      </w:docPartObj>
    </w:sdtPr>
    <w:sdtEndPr>
      <w:rPr>
        <w:noProof/>
      </w:rPr>
    </w:sdtEndPr>
    <w:sdtContent>
      <w:p w14:paraId="5942CBFF" w14:textId="3DC97423" w:rsidR="00620EC4" w:rsidRDefault="00620EC4" w:rsidP="00620EC4">
        <w:pPr>
          <w:pStyle w:val="Footer"/>
          <w:jc w:val="right"/>
        </w:pPr>
        <w:r>
          <w:fldChar w:fldCharType="begin"/>
        </w:r>
        <w:r>
          <w:instrText xml:space="preserve"> PAGE   \* MERGEFORMAT </w:instrText>
        </w:r>
        <w:r>
          <w:fldChar w:fldCharType="separate"/>
        </w:r>
        <w:r w:rsidR="00E5271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44EA0" w14:textId="77777777" w:rsidR="00E318C5" w:rsidRDefault="00E318C5" w:rsidP="004C0813">
      <w:pPr>
        <w:spacing w:after="0" w:line="240" w:lineRule="auto"/>
      </w:pPr>
      <w:r>
        <w:separator/>
      </w:r>
    </w:p>
  </w:footnote>
  <w:footnote w:type="continuationSeparator" w:id="0">
    <w:p w14:paraId="5EEA900F" w14:textId="77777777" w:rsidR="00E318C5" w:rsidRDefault="00E318C5" w:rsidP="004C0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DEC6D" w14:textId="2CB47DA6" w:rsidR="00474547" w:rsidRPr="007171DD" w:rsidRDefault="00474547" w:rsidP="00474547">
    <w:pPr>
      <w:pStyle w:val="Header"/>
      <w:rPr>
        <w:sz w:val="28"/>
        <w:szCs w:val="28"/>
      </w:rPr>
    </w:pPr>
    <w:r w:rsidRPr="007171DD">
      <w:rPr>
        <w:b/>
        <w:sz w:val="28"/>
        <w:szCs w:val="28"/>
      </w:rPr>
      <w:t>ATTACHMENT A</w:t>
    </w:r>
    <w:r>
      <w:rPr>
        <w:b/>
        <w:sz w:val="28"/>
        <w:szCs w:val="28"/>
      </w:rPr>
      <w:t>2</w:t>
    </w:r>
    <w:r w:rsidRPr="007171DD">
      <w:rPr>
        <w:b/>
        <w:sz w:val="28"/>
        <w:szCs w:val="28"/>
      </w:rPr>
      <w:t xml:space="preserve">: </w:t>
    </w:r>
    <w:r>
      <w:rPr>
        <w:b/>
        <w:sz w:val="28"/>
        <w:szCs w:val="28"/>
      </w:rPr>
      <w:t>CAPP RESEARCH MATRIX</w:t>
    </w:r>
  </w:p>
  <w:p w14:paraId="5AA310FD" w14:textId="50DB376C" w:rsidR="00FD1E9A" w:rsidRPr="00FD1E9A" w:rsidRDefault="00FD1E9A">
    <w:pPr>
      <w:pStyle w:val="Header"/>
      <w:rPr>
        <w:i/>
      </w:rPr>
    </w:pPr>
    <w:r>
      <w:rPr>
        <w:i/>
      </w:rPr>
      <w:tab/>
    </w:r>
    <w:r>
      <w:rPr>
        <w:i/>
      </w:rPr>
      <w:tab/>
    </w:r>
    <w:r>
      <w:rPr>
        <w:i/>
      </w:rPr>
      <w:tab/>
    </w:r>
    <w:r>
      <w:rPr>
        <w:i/>
      </w:rPr>
      <w:tab/>
    </w:r>
    <w:r>
      <w:rPr>
        <w:i/>
      </w:rPr>
      <w:tab/>
    </w:r>
    <w:r>
      <w:rPr>
        <w:i/>
      </w:rPr>
      <w:tab/>
    </w:r>
    <w:r>
      <w:rPr>
        <w:i/>
      </w:rPr>
      <w:tab/>
    </w:r>
    <w:r>
      <w:rPr>
        <w:i/>
      </w:rPr>
      <w:tab/>
    </w:r>
    <w:r>
      <w:rPr>
        <w:i/>
      </w:rPr>
      <w:tab/>
    </w:r>
    <w:r>
      <w:rPr>
        <w:i/>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488E"/>
    <w:multiLevelType w:val="hybridMultilevel"/>
    <w:tmpl w:val="6294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60CAF"/>
    <w:multiLevelType w:val="hybridMultilevel"/>
    <w:tmpl w:val="3EB4F4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CC39EF"/>
    <w:multiLevelType w:val="hybridMultilevel"/>
    <w:tmpl w:val="7A76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5471C0"/>
    <w:multiLevelType w:val="hybridMultilevel"/>
    <w:tmpl w:val="9FF6306A"/>
    <w:lvl w:ilvl="0" w:tplc="34343CB0">
      <w:start w:val="1"/>
      <w:numFmt w:val="decimal"/>
      <w:lvlText w:val="%1."/>
      <w:lvlJc w:val="left"/>
      <w:pPr>
        <w:ind w:left="720" w:hanging="360"/>
      </w:pPr>
      <w:rPr>
        <w:rFonts w:eastAsiaTheme="minorEastAsia"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C01F0"/>
    <w:multiLevelType w:val="hybridMultilevel"/>
    <w:tmpl w:val="FE383346"/>
    <w:lvl w:ilvl="0" w:tplc="DDE05D5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3745B3"/>
    <w:multiLevelType w:val="hybridMultilevel"/>
    <w:tmpl w:val="3EB4F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24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605F9"/>
    <w:multiLevelType w:val="hybridMultilevel"/>
    <w:tmpl w:val="5F70C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1F5669"/>
    <w:multiLevelType w:val="hybridMultilevel"/>
    <w:tmpl w:val="9BB4D39A"/>
    <w:lvl w:ilvl="0" w:tplc="DDE05D5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0"/>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14"/>
    <w:rsid w:val="00011B5C"/>
    <w:rsid w:val="000C5774"/>
    <w:rsid w:val="001039C9"/>
    <w:rsid w:val="00112B43"/>
    <w:rsid w:val="00152DF1"/>
    <w:rsid w:val="00152E43"/>
    <w:rsid w:val="001D091F"/>
    <w:rsid w:val="001D2073"/>
    <w:rsid w:val="001E3BEB"/>
    <w:rsid w:val="001F7D64"/>
    <w:rsid w:val="00201056"/>
    <w:rsid w:val="002055EC"/>
    <w:rsid w:val="00205D84"/>
    <w:rsid w:val="00225F92"/>
    <w:rsid w:val="00243423"/>
    <w:rsid w:val="0026620D"/>
    <w:rsid w:val="00290DA4"/>
    <w:rsid w:val="0029742B"/>
    <w:rsid w:val="002D03CC"/>
    <w:rsid w:val="00305FCC"/>
    <w:rsid w:val="0032492D"/>
    <w:rsid w:val="0034363F"/>
    <w:rsid w:val="003972AF"/>
    <w:rsid w:val="00397A45"/>
    <w:rsid w:val="00404DEB"/>
    <w:rsid w:val="0041517C"/>
    <w:rsid w:val="0044657E"/>
    <w:rsid w:val="004600FD"/>
    <w:rsid w:val="00474547"/>
    <w:rsid w:val="004802C7"/>
    <w:rsid w:val="004B39B5"/>
    <w:rsid w:val="004B6FFA"/>
    <w:rsid w:val="004C0813"/>
    <w:rsid w:val="004E6262"/>
    <w:rsid w:val="004F0158"/>
    <w:rsid w:val="004F09A9"/>
    <w:rsid w:val="004F2970"/>
    <w:rsid w:val="00534428"/>
    <w:rsid w:val="00535F0E"/>
    <w:rsid w:val="005653BC"/>
    <w:rsid w:val="00570B52"/>
    <w:rsid w:val="005844FB"/>
    <w:rsid w:val="005912A5"/>
    <w:rsid w:val="0059225B"/>
    <w:rsid w:val="00595C18"/>
    <w:rsid w:val="00620EC4"/>
    <w:rsid w:val="00621AF5"/>
    <w:rsid w:val="0062566A"/>
    <w:rsid w:val="00675D42"/>
    <w:rsid w:val="00695A56"/>
    <w:rsid w:val="006A4196"/>
    <w:rsid w:val="006B5693"/>
    <w:rsid w:val="00724678"/>
    <w:rsid w:val="007319D7"/>
    <w:rsid w:val="0073287E"/>
    <w:rsid w:val="00757E05"/>
    <w:rsid w:val="0076420D"/>
    <w:rsid w:val="007656DC"/>
    <w:rsid w:val="00794663"/>
    <w:rsid w:val="007A42D7"/>
    <w:rsid w:val="007B1199"/>
    <w:rsid w:val="007B23A4"/>
    <w:rsid w:val="007B44E2"/>
    <w:rsid w:val="007B538F"/>
    <w:rsid w:val="00835332"/>
    <w:rsid w:val="00856353"/>
    <w:rsid w:val="00861B28"/>
    <w:rsid w:val="008976CD"/>
    <w:rsid w:val="008B2951"/>
    <w:rsid w:val="008B3861"/>
    <w:rsid w:val="008C2756"/>
    <w:rsid w:val="008C6A92"/>
    <w:rsid w:val="008D6701"/>
    <w:rsid w:val="008E2507"/>
    <w:rsid w:val="008F2F62"/>
    <w:rsid w:val="008F3D3B"/>
    <w:rsid w:val="00965C1D"/>
    <w:rsid w:val="00976381"/>
    <w:rsid w:val="00996DB2"/>
    <w:rsid w:val="009B6EC5"/>
    <w:rsid w:val="00A60C18"/>
    <w:rsid w:val="00A848B7"/>
    <w:rsid w:val="00A911EA"/>
    <w:rsid w:val="00AC1BA3"/>
    <w:rsid w:val="00B04E25"/>
    <w:rsid w:val="00B12B2B"/>
    <w:rsid w:val="00B13E93"/>
    <w:rsid w:val="00B405B0"/>
    <w:rsid w:val="00B6092A"/>
    <w:rsid w:val="00B82015"/>
    <w:rsid w:val="00B91412"/>
    <w:rsid w:val="00BB00BF"/>
    <w:rsid w:val="00C13F57"/>
    <w:rsid w:val="00C267CA"/>
    <w:rsid w:val="00C86055"/>
    <w:rsid w:val="00CF3975"/>
    <w:rsid w:val="00CF5C2B"/>
    <w:rsid w:val="00D02E14"/>
    <w:rsid w:val="00D31C65"/>
    <w:rsid w:val="00D36292"/>
    <w:rsid w:val="00D441BA"/>
    <w:rsid w:val="00DD2F8F"/>
    <w:rsid w:val="00E318C5"/>
    <w:rsid w:val="00E40B0D"/>
    <w:rsid w:val="00E52717"/>
    <w:rsid w:val="00E5659A"/>
    <w:rsid w:val="00EA786E"/>
    <w:rsid w:val="00F016F9"/>
    <w:rsid w:val="00F618D6"/>
    <w:rsid w:val="00F865E5"/>
    <w:rsid w:val="00F931FA"/>
    <w:rsid w:val="00F93730"/>
    <w:rsid w:val="00FA4475"/>
    <w:rsid w:val="00FD1E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C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F016F9"/>
    <w:pPr>
      <w:spacing w:line="240" w:lineRule="auto"/>
    </w:pPr>
    <w:rPr>
      <w:sz w:val="20"/>
      <w:szCs w:val="20"/>
    </w:rPr>
  </w:style>
  <w:style w:type="character" w:customStyle="1" w:styleId="CommentTextChar">
    <w:name w:val="Comment Text Char"/>
    <w:basedOn w:val="DefaultParagraphFont"/>
    <w:link w:val="CommentText"/>
    <w:uiPriority w:val="99"/>
    <w:semiHidden/>
    <w:rsid w:val="00F016F9"/>
    <w:rPr>
      <w:sz w:val="20"/>
      <w:szCs w:val="20"/>
    </w:rPr>
  </w:style>
  <w:style w:type="character" w:styleId="CommentReference">
    <w:name w:val="annotation reference"/>
    <w:basedOn w:val="DefaultParagraphFont"/>
    <w:uiPriority w:val="99"/>
    <w:semiHidden/>
    <w:rsid w:val="00F016F9"/>
    <w:rPr>
      <w:rFonts w:cs="Times New Roman"/>
      <w:sz w:val="16"/>
    </w:rPr>
  </w:style>
  <w:style w:type="paragraph" w:styleId="BalloonText">
    <w:name w:val="Balloon Text"/>
    <w:basedOn w:val="Normal"/>
    <w:link w:val="BalloonTextChar"/>
    <w:uiPriority w:val="99"/>
    <w:semiHidden/>
    <w:unhideWhenUsed/>
    <w:rsid w:val="00F0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6F9"/>
    <w:rPr>
      <w:rFonts w:ascii="Tahoma" w:hAnsi="Tahoma" w:cs="Tahoma"/>
      <w:sz w:val="16"/>
      <w:szCs w:val="16"/>
    </w:rPr>
  </w:style>
  <w:style w:type="paragraph" w:styleId="ListParagraph">
    <w:name w:val="List Paragraph"/>
    <w:basedOn w:val="Normal"/>
    <w:uiPriority w:val="34"/>
    <w:qFormat/>
    <w:rsid w:val="005912A5"/>
    <w:pPr>
      <w:ind w:left="720"/>
      <w:contextualSpacing/>
    </w:pPr>
  </w:style>
  <w:style w:type="paragraph" w:styleId="Header">
    <w:name w:val="header"/>
    <w:basedOn w:val="Normal"/>
    <w:link w:val="HeaderChar"/>
    <w:uiPriority w:val="99"/>
    <w:unhideWhenUsed/>
    <w:rsid w:val="004C0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813"/>
  </w:style>
  <w:style w:type="paragraph" w:styleId="Footer">
    <w:name w:val="footer"/>
    <w:basedOn w:val="Normal"/>
    <w:link w:val="FooterChar"/>
    <w:uiPriority w:val="99"/>
    <w:unhideWhenUsed/>
    <w:rsid w:val="004C0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813"/>
  </w:style>
  <w:style w:type="paragraph" w:styleId="CommentSubject">
    <w:name w:val="annotation subject"/>
    <w:basedOn w:val="CommentText"/>
    <w:next w:val="CommentText"/>
    <w:link w:val="CommentSubjectChar"/>
    <w:uiPriority w:val="99"/>
    <w:semiHidden/>
    <w:unhideWhenUsed/>
    <w:rsid w:val="004F09A9"/>
    <w:rPr>
      <w:b/>
      <w:bCs/>
    </w:rPr>
  </w:style>
  <w:style w:type="character" w:customStyle="1" w:styleId="CommentSubjectChar">
    <w:name w:val="Comment Subject Char"/>
    <w:basedOn w:val="CommentTextChar"/>
    <w:link w:val="CommentSubject"/>
    <w:uiPriority w:val="99"/>
    <w:semiHidden/>
    <w:rsid w:val="004F09A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2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F016F9"/>
    <w:pPr>
      <w:spacing w:line="240" w:lineRule="auto"/>
    </w:pPr>
    <w:rPr>
      <w:sz w:val="20"/>
      <w:szCs w:val="20"/>
    </w:rPr>
  </w:style>
  <w:style w:type="character" w:customStyle="1" w:styleId="CommentTextChar">
    <w:name w:val="Comment Text Char"/>
    <w:basedOn w:val="DefaultParagraphFont"/>
    <w:link w:val="CommentText"/>
    <w:uiPriority w:val="99"/>
    <w:semiHidden/>
    <w:rsid w:val="00F016F9"/>
    <w:rPr>
      <w:sz w:val="20"/>
      <w:szCs w:val="20"/>
    </w:rPr>
  </w:style>
  <w:style w:type="character" w:styleId="CommentReference">
    <w:name w:val="annotation reference"/>
    <w:basedOn w:val="DefaultParagraphFont"/>
    <w:uiPriority w:val="99"/>
    <w:semiHidden/>
    <w:rsid w:val="00F016F9"/>
    <w:rPr>
      <w:rFonts w:cs="Times New Roman"/>
      <w:sz w:val="16"/>
    </w:rPr>
  </w:style>
  <w:style w:type="paragraph" w:styleId="BalloonText">
    <w:name w:val="Balloon Text"/>
    <w:basedOn w:val="Normal"/>
    <w:link w:val="BalloonTextChar"/>
    <w:uiPriority w:val="99"/>
    <w:semiHidden/>
    <w:unhideWhenUsed/>
    <w:rsid w:val="00F0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6F9"/>
    <w:rPr>
      <w:rFonts w:ascii="Tahoma" w:hAnsi="Tahoma" w:cs="Tahoma"/>
      <w:sz w:val="16"/>
      <w:szCs w:val="16"/>
    </w:rPr>
  </w:style>
  <w:style w:type="paragraph" w:styleId="ListParagraph">
    <w:name w:val="List Paragraph"/>
    <w:basedOn w:val="Normal"/>
    <w:uiPriority w:val="34"/>
    <w:qFormat/>
    <w:rsid w:val="005912A5"/>
    <w:pPr>
      <w:ind w:left="720"/>
      <w:contextualSpacing/>
    </w:pPr>
  </w:style>
  <w:style w:type="paragraph" w:styleId="Header">
    <w:name w:val="header"/>
    <w:basedOn w:val="Normal"/>
    <w:link w:val="HeaderChar"/>
    <w:uiPriority w:val="99"/>
    <w:unhideWhenUsed/>
    <w:rsid w:val="004C0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813"/>
  </w:style>
  <w:style w:type="paragraph" w:styleId="Footer">
    <w:name w:val="footer"/>
    <w:basedOn w:val="Normal"/>
    <w:link w:val="FooterChar"/>
    <w:uiPriority w:val="99"/>
    <w:unhideWhenUsed/>
    <w:rsid w:val="004C0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813"/>
  </w:style>
  <w:style w:type="paragraph" w:styleId="CommentSubject">
    <w:name w:val="annotation subject"/>
    <w:basedOn w:val="CommentText"/>
    <w:next w:val="CommentText"/>
    <w:link w:val="CommentSubjectChar"/>
    <w:uiPriority w:val="99"/>
    <w:semiHidden/>
    <w:unhideWhenUsed/>
    <w:rsid w:val="004F09A9"/>
    <w:rPr>
      <w:b/>
      <w:bCs/>
    </w:rPr>
  </w:style>
  <w:style w:type="character" w:customStyle="1" w:styleId="CommentSubjectChar">
    <w:name w:val="Comment Subject Char"/>
    <w:basedOn w:val="CommentTextChar"/>
    <w:link w:val="CommentSubject"/>
    <w:uiPriority w:val="99"/>
    <w:semiHidden/>
    <w:rsid w:val="004F0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Version xmlns="http://schemas.microsoft.com/sharepoint/v3/fields" xsi:nil="true"/>
    <Date_x0020_and_x0020_Time xmlns="1c60471c-f084-4315-a5eb-9455db01c7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3" ma:contentTypeDescription="Create a new document." ma:contentTypeScope="" ma:versionID="9adfca62a1926cdc1e142b0ac94dae24">
  <xsd:schema xmlns:xsd="http://www.w3.org/2001/XMLSchema" xmlns:xs="http://www.w3.org/2001/XMLSchema" xmlns:p="http://schemas.microsoft.com/office/2006/metadata/properties" xmlns:ns2="http://schemas.microsoft.com/sharepoint/v3/fields" xmlns:ns3="1c60471c-f084-4315-a5eb-9455db01c743" xmlns:ns4="44439003-668a-4940-aa31-a697c9d9a1af" targetNamespace="http://schemas.microsoft.com/office/2006/metadata/properties" ma:root="true" ma:fieldsID="ee4dcaaaa6e7fd472f23c15908fb947a" ns2:_="" ns3:_="" ns4:_="">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4DA4E-11FB-4D93-87EC-89E0CBF9C6F3}">
  <ds:schemaRefs>
    <ds:schemaRef ds:uri="http://schemas.microsoft.com/office/2006/metadata/properties"/>
    <ds:schemaRef ds:uri="http://schemas.microsoft.com/sharepoint/v3/fields"/>
    <ds:schemaRef ds:uri="1c60471c-f084-4315-a5eb-9455db01c743"/>
  </ds:schemaRefs>
</ds:datastoreItem>
</file>

<file path=customXml/itemProps2.xml><?xml version="1.0" encoding="utf-8"?>
<ds:datastoreItem xmlns:ds="http://schemas.openxmlformats.org/officeDocument/2006/customXml" ds:itemID="{409716A3-041C-45C9-9876-02B887198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41361-AEFF-48FC-B8DB-44AD05D4C8DD}">
  <ds:schemaRefs>
    <ds:schemaRef ds:uri="http://schemas.microsoft.com/sharepoint/v3/contenttype/forms"/>
  </ds:schemaRefs>
</ds:datastoreItem>
</file>

<file path=customXml/itemProps4.xml><?xml version="1.0" encoding="utf-8"?>
<ds:datastoreItem xmlns:ds="http://schemas.openxmlformats.org/officeDocument/2006/customXml" ds:itemID="{74606949-6C8B-4338-9C68-4FE478E4F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Cohen</dc:creator>
  <cp:lastModifiedBy>Kathleen P McCoy</cp:lastModifiedBy>
  <cp:revision>2</cp:revision>
  <cp:lastPrinted>2013-01-02T20:26:00Z</cp:lastPrinted>
  <dcterms:created xsi:type="dcterms:W3CDTF">2015-09-17T19:29:00Z</dcterms:created>
  <dcterms:modified xsi:type="dcterms:W3CDTF">2015-09-17T19:29:00Z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