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97" w:rsidRPr="00F40750" w:rsidRDefault="00FD1B0A" w:rsidP="00B10304">
      <w:pPr>
        <w:widowControl/>
        <w:tabs>
          <w:tab w:val="center" w:pos="4680"/>
        </w:tabs>
        <w:jc w:val="center"/>
        <w:outlineLvl w:val="0"/>
        <w:rPr>
          <w:rFonts w:cs="Courier New"/>
          <w:b/>
          <w:szCs w:val="24"/>
        </w:rPr>
      </w:pPr>
      <w:r>
        <w:rPr>
          <w:rFonts w:cs="Courier New"/>
          <w:b/>
          <w:szCs w:val="24"/>
        </w:rPr>
        <w:t xml:space="preserve">                                                        </w:t>
      </w:r>
      <w:r w:rsidR="00BC1397" w:rsidRPr="00F40750">
        <w:rPr>
          <w:rFonts w:cs="Courier New"/>
          <w:b/>
          <w:szCs w:val="24"/>
        </w:rPr>
        <w:t>S</w:t>
      </w:r>
      <w:r w:rsidR="00DA7FC6" w:rsidRPr="00F40750">
        <w:rPr>
          <w:rFonts w:cs="Courier New"/>
          <w:b/>
          <w:szCs w:val="24"/>
        </w:rPr>
        <w:t>UPPORTING STATEMENT</w:t>
      </w:r>
    </w:p>
    <w:p w:rsidR="007341CF" w:rsidRPr="00F40750" w:rsidRDefault="007341CF" w:rsidP="00B10304">
      <w:pPr>
        <w:widowControl/>
        <w:tabs>
          <w:tab w:val="center" w:pos="4680"/>
        </w:tabs>
        <w:jc w:val="center"/>
        <w:outlineLvl w:val="0"/>
        <w:rPr>
          <w:rFonts w:cs="Courier New"/>
          <w:b/>
          <w:szCs w:val="24"/>
        </w:rPr>
      </w:pPr>
      <w:r w:rsidRPr="00F40750">
        <w:rPr>
          <w:rFonts w:cs="Courier New"/>
          <w:b/>
          <w:szCs w:val="24"/>
        </w:rPr>
        <w:t>Disclosure of Medical Evidence</w:t>
      </w:r>
      <w:bookmarkStart w:id="0" w:name="_GoBack"/>
      <w:bookmarkEnd w:id="0"/>
    </w:p>
    <w:p w:rsidR="00DA7FC6" w:rsidRDefault="00F95536" w:rsidP="00B10304">
      <w:pPr>
        <w:widowControl/>
        <w:tabs>
          <w:tab w:val="center" w:pos="4680"/>
        </w:tabs>
        <w:jc w:val="center"/>
        <w:outlineLvl w:val="0"/>
        <w:rPr>
          <w:rFonts w:cs="Courier New"/>
          <w:b/>
          <w:szCs w:val="24"/>
        </w:rPr>
      </w:pPr>
      <w:r w:rsidRPr="00F40750">
        <w:rPr>
          <w:rFonts w:cs="Courier New"/>
          <w:b/>
          <w:szCs w:val="24"/>
        </w:rPr>
        <w:t>1240-</w:t>
      </w:r>
      <w:r w:rsidR="00E14E6E">
        <w:rPr>
          <w:rFonts w:cs="Courier New"/>
          <w:b/>
          <w:szCs w:val="24"/>
        </w:rPr>
        <w:t>0054</w:t>
      </w:r>
    </w:p>
    <w:p w:rsidR="009601EF" w:rsidRDefault="009601EF" w:rsidP="00B10304">
      <w:pPr>
        <w:widowControl/>
        <w:tabs>
          <w:tab w:val="center" w:pos="4680"/>
        </w:tabs>
        <w:jc w:val="center"/>
        <w:outlineLvl w:val="0"/>
        <w:rPr>
          <w:rFonts w:cs="Courier New"/>
          <w:b/>
          <w:szCs w:val="24"/>
        </w:rPr>
      </w:pPr>
    </w:p>
    <w:p w:rsidR="009601EF" w:rsidRPr="009E397C" w:rsidRDefault="009601EF" w:rsidP="00B10304">
      <w:pPr>
        <w:widowControl/>
        <w:tabs>
          <w:tab w:val="center" w:pos="4680"/>
        </w:tabs>
        <w:outlineLvl w:val="0"/>
        <w:rPr>
          <w:rFonts w:cs="Courier New"/>
          <w:szCs w:val="24"/>
        </w:rPr>
      </w:pPr>
      <w:r w:rsidRPr="009601EF">
        <w:rPr>
          <w:rFonts w:cs="Courier New"/>
          <w:szCs w:val="24"/>
        </w:rPr>
        <w:t xml:space="preserve">This </w:t>
      </w:r>
      <w:r>
        <w:rPr>
          <w:rFonts w:cs="Courier New"/>
          <w:szCs w:val="24"/>
        </w:rPr>
        <w:t>I</w:t>
      </w:r>
      <w:r w:rsidRPr="009E397C">
        <w:rPr>
          <w:rFonts w:cs="Courier New"/>
          <w:szCs w:val="24"/>
        </w:rPr>
        <w:t xml:space="preserve">nformation </w:t>
      </w:r>
      <w:r>
        <w:rPr>
          <w:rFonts w:cs="Courier New"/>
          <w:szCs w:val="24"/>
        </w:rPr>
        <w:t xml:space="preserve">Collection Request (ICR) is being submitted in association with a </w:t>
      </w:r>
      <w:r w:rsidR="006472EA">
        <w:rPr>
          <w:rFonts w:cs="Courier New"/>
          <w:szCs w:val="24"/>
        </w:rPr>
        <w:t>Final Rule</w:t>
      </w:r>
      <w:r>
        <w:rPr>
          <w:rFonts w:cs="Courier New"/>
          <w:szCs w:val="24"/>
        </w:rPr>
        <w:t xml:space="preserve">.  The Department of Labor asks that the Office of Management and Budget conclude its review by </w:t>
      </w:r>
      <w:r w:rsidR="0091229A">
        <w:rPr>
          <w:rFonts w:cs="Courier New"/>
          <w:szCs w:val="24"/>
        </w:rPr>
        <w:t>approving the information collections in</w:t>
      </w:r>
      <w:r>
        <w:rPr>
          <w:rFonts w:cs="Courier New"/>
          <w:szCs w:val="24"/>
        </w:rPr>
        <w:t xml:space="preserve"> this ICR</w:t>
      </w:r>
      <w:r w:rsidR="00682AA1">
        <w:rPr>
          <w:rFonts w:cs="Courier New"/>
          <w:szCs w:val="24"/>
        </w:rPr>
        <w:t xml:space="preserve"> in accordance with 5 C.F.R. §</w:t>
      </w:r>
      <w:r w:rsidR="0091229A">
        <w:rPr>
          <w:rFonts w:cs="Courier New"/>
          <w:szCs w:val="24"/>
        </w:rPr>
        <w:t> </w:t>
      </w:r>
      <w:r w:rsidR="00682AA1">
        <w:rPr>
          <w:rFonts w:cs="Courier New"/>
          <w:szCs w:val="24"/>
        </w:rPr>
        <w:t>1320.11(</w:t>
      </w:r>
      <w:r w:rsidR="0091229A">
        <w:rPr>
          <w:rFonts w:cs="Courier New"/>
          <w:szCs w:val="24"/>
        </w:rPr>
        <w:t>h</w:t>
      </w:r>
      <w:r w:rsidR="00682AA1">
        <w:rPr>
          <w:rFonts w:cs="Courier New"/>
          <w:szCs w:val="24"/>
        </w:rPr>
        <w:t>).</w:t>
      </w:r>
      <w:r>
        <w:rPr>
          <w:rFonts w:cs="Courier New"/>
          <w:szCs w:val="24"/>
        </w:rPr>
        <w:t xml:space="preserve"> </w:t>
      </w:r>
    </w:p>
    <w:p w:rsidR="00DA7FC6" w:rsidRPr="00F40750" w:rsidRDefault="00DA7FC6" w:rsidP="00B10304">
      <w:pPr>
        <w:widowControl/>
        <w:tabs>
          <w:tab w:val="center" w:pos="4680"/>
        </w:tabs>
        <w:jc w:val="center"/>
        <w:outlineLvl w:val="0"/>
        <w:rPr>
          <w:rFonts w:cs="Courier New"/>
          <w:szCs w:val="24"/>
        </w:rPr>
      </w:pPr>
    </w:p>
    <w:p w:rsidR="00DA7FC6" w:rsidRPr="00B10304" w:rsidRDefault="00DA7FC6" w:rsidP="00B10304">
      <w:pPr>
        <w:widowControl/>
        <w:tabs>
          <w:tab w:val="center" w:pos="4680"/>
        </w:tabs>
        <w:outlineLvl w:val="0"/>
        <w:rPr>
          <w:rFonts w:cs="Courier New"/>
          <w:b/>
          <w:szCs w:val="24"/>
        </w:rPr>
      </w:pPr>
      <w:r w:rsidRPr="00B10304">
        <w:rPr>
          <w:rFonts w:cs="Courier New"/>
          <w:b/>
          <w:szCs w:val="24"/>
        </w:rPr>
        <w:t>A.  Justification</w:t>
      </w:r>
    </w:p>
    <w:p w:rsidR="00BC1397" w:rsidRPr="00B10304" w:rsidRDefault="00BC1397" w:rsidP="00B10304">
      <w:pPr>
        <w:widowControl/>
        <w:tabs>
          <w:tab w:val="left" w:pos="-720"/>
        </w:tabs>
        <w:rPr>
          <w:rFonts w:cs="Courier New"/>
          <w:b/>
          <w:szCs w:val="24"/>
        </w:rPr>
      </w:pPr>
    </w:p>
    <w:p w:rsidR="000A0BDB" w:rsidRPr="00F40750" w:rsidRDefault="000A51FD" w:rsidP="00B10304">
      <w:pPr>
        <w:widowControl/>
        <w:numPr>
          <w:ilvl w:val="0"/>
          <w:numId w:val="4"/>
        </w:numPr>
        <w:tabs>
          <w:tab w:val="left" w:pos="-720"/>
        </w:tabs>
        <w:ind w:left="0" w:firstLine="0"/>
        <w:rPr>
          <w:rFonts w:cs="Courier New"/>
          <w:szCs w:val="24"/>
        </w:rPr>
      </w:pPr>
      <w:r w:rsidRPr="00B10304">
        <w:rPr>
          <w:rFonts w:cs="Courier New"/>
          <w:b/>
          <w:szCs w:val="24"/>
        </w:rPr>
        <w:t xml:space="preserve"> </w:t>
      </w:r>
      <w:r w:rsidR="000A0BDB" w:rsidRPr="00B10304">
        <w:rPr>
          <w:rFonts w:cs="Courier New"/>
          <w:b/>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0A0BDB" w:rsidRPr="00F40750" w:rsidRDefault="000A0BDB" w:rsidP="00B10304">
      <w:pPr>
        <w:widowControl/>
        <w:tabs>
          <w:tab w:val="left" w:pos="-720"/>
        </w:tabs>
        <w:rPr>
          <w:rFonts w:cs="Courier New"/>
          <w:b/>
          <w:szCs w:val="24"/>
          <w:highlight w:val="yellow"/>
        </w:rPr>
      </w:pPr>
    </w:p>
    <w:p w:rsidR="00682AA1" w:rsidRDefault="007341CF" w:rsidP="00B10304">
      <w:pPr>
        <w:widowControl/>
        <w:tabs>
          <w:tab w:val="left" w:pos="-720"/>
        </w:tabs>
        <w:rPr>
          <w:rFonts w:cs="Courier New"/>
          <w:szCs w:val="24"/>
        </w:rPr>
      </w:pPr>
      <w:r w:rsidRPr="00F40750">
        <w:rPr>
          <w:rFonts w:cs="Courier New"/>
          <w:szCs w:val="24"/>
        </w:rPr>
        <w:t>The Department</w:t>
      </w:r>
      <w:r w:rsidR="006472EA">
        <w:rPr>
          <w:rFonts w:cs="Courier New"/>
          <w:szCs w:val="24"/>
        </w:rPr>
        <w:t>’s Final Rule will</w:t>
      </w:r>
      <w:r w:rsidRPr="00F40750">
        <w:rPr>
          <w:rFonts w:cs="Courier New"/>
          <w:szCs w:val="24"/>
        </w:rPr>
        <w:t xml:space="preserve"> revis</w:t>
      </w:r>
      <w:r w:rsidR="008F7089">
        <w:rPr>
          <w:rFonts w:cs="Courier New"/>
          <w:szCs w:val="24"/>
        </w:rPr>
        <w:t>e</w:t>
      </w:r>
      <w:r w:rsidRPr="00F40750">
        <w:rPr>
          <w:rFonts w:cs="Courier New"/>
          <w:szCs w:val="24"/>
        </w:rPr>
        <w:t xml:space="preserve"> the </w:t>
      </w:r>
      <w:r w:rsidR="00C325EF">
        <w:rPr>
          <w:rFonts w:cs="Courier New"/>
          <w:szCs w:val="24"/>
        </w:rPr>
        <w:t xml:space="preserve">regulations implementing the </w:t>
      </w:r>
      <w:r w:rsidRPr="00F40750">
        <w:rPr>
          <w:rFonts w:cs="Courier New"/>
          <w:szCs w:val="24"/>
        </w:rPr>
        <w:t>Black Lung Benefits Act (BLBA)</w:t>
      </w:r>
      <w:r w:rsidR="00C325EF">
        <w:rPr>
          <w:rFonts w:cs="Courier New"/>
          <w:szCs w:val="24"/>
        </w:rPr>
        <w:t>,</w:t>
      </w:r>
      <w:r w:rsidRPr="00F40750">
        <w:rPr>
          <w:rFonts w:cs="Courier New"/>
          <w:szCs w:val="24"/>
        </w:rPr>
        <w:t xml:space="preserve"> </w:t>
      </w:r>
      <w:proofErr w:type="gramStart"/>
      <w:r w:rsidRPr="00F40750">
        <w:rPr>
          <w:rFonts w:cs="Courier New"/>
          <w:szCs w:val="24"/>
        </w:rPr>
        <w:t xml:space="preserve">30 U.S.C. 901 </w:t>
      </w:r>
      <w:r w:rsidRPr="009E397C">
        <w:rPr>
          <w:rFonts w:cs="Courier New"/>
          <w:i/>
          <w:szCs w:val="24"/>
        </w:rPr>
        <w:t xml:space="preserve">et </w:t>
      </w:r>
      <w:r w:rsidR="00A6446D" w:rsidRPr="009E397C">
        <w:rPr>
          <w:rFonts w:cs="Courier New"/>
          <w:i/>
          <w:szCs w:val="24"/>
        </w:rPr>
        <w:t>s</w:t>
      </w:r>
      <w:r w:rsidRPr="009E397C">
        <w:rPr>
          <w:rFonts w:cs="Courier New"/>
          <w:i/>
          <w:szCs w:val="24"/>
        </w:rPr>
        <w:t>eq</w:t>
      </w:r>
      <w:r w:rsidR="00C325EF">
        <w:rPr>
          <w:rFonts w:cs="Courier New"/>
          <w:szCs w:val="24"/>
        </w:rPr>
        <w:t>.,</w:t>
      </w:r>
      <w:proofErr w:type="gramEnd"/>
      <w:r w:rsidRPr="00F40750">
        <w:rPr>
          <w:rFonts w:cs="Courier New"/>
          <w:szCs w:val="24"/>
        </w:rPr>
        <w:t xml:space="preserve"> address</w:t>
      </w:r>
      <w:r w:rsidR="008F7089">
        <w:rPr>
          <w:rFonts w:cs="Courier New"/>
          <w:szCs w:val="24"/>
        </w:rPr>
        <w:t>ing</w:t>
      </w:r>
      <w:r w:rsidRPr="00F40750">
        <w:rPr>
          <w:rFonts w:cs="Courier New"/>
          <w:szCs w:val="24"/>
        </w:rPr>
        <w:t xml:space="preserve"> several issues that have arisen in claims processing and adjudications.  </w:t>
      </w:r>
      <w:r w:rsidR="00C325EF">
        <w:rPr>
          <w:rFonts w:cs="Courier New"/>
          <w:szCs w:val="24"/>
        </w:rPr>
        <w:t xml:space="preserve">Among </w:t>
      </w:r>
      <w:r w:rsidRPr="00F40750">
        <w:rPr>
          <w:rFonts w:cs="Courier New"/>
          <w:szCs w:val="24"/>
        </w:rPr>
        <w:t>the</w:t>
      </w:r>
      <w:r w:rsidR="00C325EF">
        <w:rPr>
          <w:rFonts w:cs="Courier New"/>
          <w:szCs w:val="24"/>
        </w:rPr>
        <w:t>se revisions, the</w:t>
      </w:r>
      <w:r w:rsidRPr="00F40750">
        <w:rPr>
          <w:rFonts w:cs="Courier New"/>
          <w:szCs w:val="24"/>
        </w:rPr>
        <w:t xml:space="preserve"> </w:t>
      </w:r>
      <w:r w:rsidR="00C325EF">
        <w:rPr>
          <w:rFonts w:cs="Courier New"/>
          <w:szCs w:val="24"/>
        </w:rPr>
        <w:t>Department</w:t>
      </w:r>
      <w:r w:rsidR="008F7089">
        <w:rPr>
          <w:rFonts w:cs="Courier New"/>
          <w:szCs w:val="24"/>
        </w:rPr>
        <w:t>’s Final Rule</w:t>
      </w:r>
      <w:r w:rsidR="00C325EF">
        <w:rPr>
          <w:rFonts w:cs="Courier New"/>
          <w:szCs w:val="24"/>
        </w:rPr>
        <w:t xml:space="preserve"> (to be codified at 20 C.F.R. § 725.413)</w:t>
      </w:r>
      <w:r w:rsidRPr="00F40750">
        <w:rPr>
          <w:rFonts w:cs="Courier New"/>
          <w:szCs w:val="24"/>
        </w:rPr>
        <w:t xml:space="preserve"> </w:t>
      </w:r>
      <w:r w:rsidR="008F7089">
        <w:rPr>
          <w:rFonts w:cs="Courier New"/>
          <w:szCs w:val="24"/>
        </w:rPr>
        <w:t>will</w:t>
      </w:r>
      <w:r w:rsidRPr="00F40750">
        <w:rPr>
          <w:rFonts w:cs="Courier New"/>
          <w:szCs w:val="24"/>
        </w:rPr>
        <w:t xml:space="preserve"> require parties to </w:t>
      </w:r>
      <w:r w:rsidR="004244CF">
        <w:rPr>
          <w:rFonts w:cs="Courier New"/>
          <w:szCs w:val="24"/>
        </w:rPr>
        <w:t xml:space="preserve">exchange </w:t>
      </w:r>
      <w:r w:rsidRPr="00F40750">
        <w:rPr>
          <w:rFonts w:cs="Courier New"/>
          <w:szCs w:val="24"/>
        </w:rPr>
        <w:t xml:space="preserve">all medical information </w:t>
      </w:r>
      <w:r w:rsidR="00C325EF">
        <w:rPr>
          <w:rFonts w:cs="Courier New"/>
          <w:szCs w:val="24"/>
        </w:rPr>
        <w:t xml:space="preserve">about the miner </w:t>
      </w:r>
      <w:r w:rsidR="004244CF">
        <w:rPr>
          <w:rFonts w:cs="Courier New"/>
          <w:szCs w:val="24"/>
        </w:rPr>
        <w:t xml:space="preserve">they </w:t>
      </w:r>
      <w:r w:rsidRPr="00F40750">
        <w:rPr>
          <w:rFonts w:cs="Courier New"/>
          <w:szCs w:val="24"/>
        </w:rPr>
        <w:t>develop in connection with a claim for benefits</w:t>
      </w:r>
      <w:r w:rsidR="00802A1E">
        <w:rPr>
          <w:rFonts w:cs="Courier New"/>
          <w:szCs w:val="24"/>
        </w:rPr>
        <w:t>, including information the parties do not intend to submit as evidence in the claim</w:t>
      </w:r>
      <w:r w:rsidRPr="00F40750">
        <w:rPr>
          <w:rFonts w:cs="Courier New"/>
          <w:szCs w:val="24"/>
        </w:rPr>
        <w:t>.</w:t>
      </w:r>
      <w:r w:rsidR="00C325EF">
        <w:rPr>
          <w:rFonts w:cs="Courier New"/>
          <w:szCs w:val="24"/>
        </w:rPr>
        <w:t xml:space="preserve">  The </w:t>
      </w:r>
      <w:r w:rsidR="008F7089">
        <w:rPr>
          <w:rFonts w:cs="Courier New"/>
          <w:szCs w:val="24"/>
        </w:rPr>
        <w:t>Final Rule will</w:t>
      </w:r>
      <w:r w:rsidR="00C325EF">
        <w:rPr>
          <w:rFonts w:cs="Courier New"/>
          <w:szCs w:val="24"/>
        </w:rPr>
        <w:t xml:space="preserve"> help </w:t>
      </w:r>
      <w:r w:rsidR="00C325EF" w:rsidRPr="00F40750">
        <w:rPr>
          <w:rFonts w:cs="Courier New"/>
          <w:szCs w:val="24"/>
        </w:rPr>
        <w:t>protect a miner’s health</w:t>
      </w:r>
      <w:r w:rsidR="004244CF">
        <w:rPr>
          <w:rFonts w:cs="Courier New"/>
          <w:szCs w:val="24"/>
        </w:rPr>
        <w:t>, assist unrepresented parties,</w:t>
      </w:r>
      <w:r w:rsidR="00C325EF" w:rsidRPr="00F40750">
        <w:rPr>
          <w:rFonts w:cs="Courier New"/>
          <w:szCs w:val="24"/>
        </w:rPr>
        <w:t xml:space="preserve"> and promote accurate benefit determinations</w:t>
      </w:r>
      <w:r w:rsidR="00C325EF">
        <w:rPr>
          <w:rFonts w:cs="Courier New"/>
          <w:szCs w:val="24"/>
        </w:rPr>
        <w:t>.</w:t>
      </w:r>
    </w:p>
    <w:p w:rsidR="00682AA1" w:rsidRDefault="00682AA1" w:rsidP="00B10304">
      <w:pPr>
        <w:widowControl/>
        <w:tabs>
          <w:tab w:val="left" w:pos="-720"/>
        </w:tabs>
        <w:rPr>
          <w:rFonts w:cs="Courier New"/>
          <w:szCs w:val="24"/>
        </w:rPr>
      </w:pPr>
    </w:p>
    <w:p w:rsidR="007341CF" w:rsidRDefault="006347F9" w:rsidP="00B10304">
      <w:pPr>
        <w:widowControl/>
        <w:tabs>
          <w:tab w:val="left" w:pos="-720"/>
        </w:tabs>
        <w:rPr>
          <w:rFonts w:cs="Courier New"/>
          <w:szCs w:val="24"/>
        </w:rPr>
      </w:pPr>
      <w:r>
        <w:rPr>
          <w:rFonts w:cs="Courier New"/>
          <w:szCs w:val="24"/>
        </w:rPr>
        <w:t>T</w:t>
      </w:r>
      <w:r w:rsidRPr="006347F9">
        <w:rPr>
          <w:rFonts w:cs="Courier New"/>
          <w:szCs w:val="24"/>
        </w:rPr>
        <w:t>h</w:t>
      </w:r>
      <w:r>
        <w:rPr>
          <w:rFonts w:cs="Courier New"/>
          <w:szCs w:val="24"/>
        </w:rPr>
        <w:t>e potential parties to a BLBA claim include</w:t>
      </w:r>
      <w:r w:rsidRPr="006347F9">
        <w:rPr>
          <w:rFonts w:cs="Courier New"/>
          <w:szCs w:val="24"/>
        </w:rPr>
        <w:t xml:space="preserve"> the benefits claimant, the responsible coal mine operator</w:t>
      </w:r>
      <w:r>
        <w:rPr>
          <w:rFonts w:cs="Courier New"/>
          <w:szCs w:val="24"/>
        </w:rPr>
        <w:t xml:space="preserve"> and its </w:t>
      </w:r>
      <w:r w:rsidRPr="006347F9">
        <w:rPr>
          <w:rFonts w:cs="Courier New"/>
          <w:szCs w:val="24"/>
        </w:rPr>
        <w:t>insurance carrier, and the Director, Office of Workers’ Compensation Programs (OWCP)</w:t>
      </w:r>
      <w:r>
        <w:rPr>
          <w:rFonts w:cs="Courier New"/>
          <w:szCs w:val="24"/>
        </w:rPr>
        <w:t xml:space="preserve">.  </w:t>
      </w:r>
      <w:r w:rsidR="00682AA1">
        <w:rPr>
          <w:rFonts w:cs="Courier New"/>
          <w:szCs w:val="24"/>
        </w:rPr>
        <w:t xml:space="preserve">Under this </w:t>
      </w:r>
      <w:r w:rsidR="008F7089">
        <w:rPr>
          <w:rFonts w:cs="Courier New"/>
          <w:szCs w:val="24"/>
        </w:rPr>
        <w:t>Final Rule</w:t>
      </w:r>
      <w:r w:rsidR="00682AA1">
        <w:rPr>
          <w:rFonts w:cs="Courier New"/>
          <w:szCs w:val="24"/>
        </w:rPr>
        <w:t xml:space="preserve">, a party or a party’s agent </w:t>
      </w:r>
      <w:r w:rsidR="004244CF">
        <w:rPr>
          <w:rFonts w:cs="Courier New"/>
          <w:szCs w:val="24"/>
        </w:rPr>
        <w:t xml:space="preserve">who </w:t>
      </w:r>
      <w:r w:rsidR="00682AA1">
        <w:rPr>
          <w:rFonts w:cs="Courier New"/>
          <w:szCs w:val="24"/>
        </w:rPr>
        <w:t>receive</w:t>
      </w:r>
      <w:r w:rsidR="004244CF">
        <w:rPr>
          <w:rFonts w:cs="Courier New"/>
          <w:szCs w:val="24"/>
        </w:rPr>
        <w:t>s</w:t>
      </w:r>
      <w:r w:rsidR="00682AA1">
        <w:rPr>
          <w:rFonts w:cs="Courier New"/>
          <w:szCs w:val="24"/>
        </w:rPr>
        <w:t xml:space="preserve"> </w:t>
      </w:r>
      <w:r w:rsidR="00CB5DFD">
        <w:rPr>
          <w:rFonts w:cs="Courier New"/>
          <w:szCs w:val="24"/>
        </w:rPr>
        <w:t>medical information</w:t>
      </w:r>
      <w:r w:rsidR="00682AA1">
        <w:rPr>
          <w:rFonts w:cs="Courier New"/>
          <w:szCs w:val="24"/>
        </w:rPr>
        <w:t xml:space="preserve"> about the miner</w:t>
      </w:r>
      <w:r w:rsidR="004244CF">
        <w:rPr>
          <w:rFonts w:cs="Courier New"/>
          <w:szCs w:val="24"/>
        </w:rPr>
        <w:t xml:space="preserve"> </w:t>
      </w:r>
      <w:r w:rsidR="00682AA1">
        <w:rPr>
          <w:rFonts w:cs="Courier New"/>
          <w:szCs w:val="24"/>
        </w:rPr>
        <w:t xml:space="preserve">must send a copy to all other parties within 30 days after receipt or, if a hearing before an administrative law judge has already been scheduled, at least 20 days before the hearing.  </w:t>
      </w:r>
      <w:r w:rsidR="00CB5DFD">
        <w:rPr>
          <w:rFonts w:cs="Courier New"/>
          <w:szCs w:val="24"/>
        </w:rPr>
        <w:t xml:space="preserve">The exchanged information </w:t>
      </w:r>
      <w:r w:rsidR="008F7089">
        <w:rPr>
          <w:rFonts w:cs="Courier New"/>
          <w:szCs w:val="24"/>
        </w:rPr>
        <w:t xml:space="preserve">will be </w:t>
      </w:r>
      <w:r w:rsidR="00CB5DFD">
        <w:rPr>
          <w:rFonts w:cs="Courier New"/>
          <w:szCs w:val="24"/>
        </w:rPr>
        <w:t xml:space="preserve">entered into the </w:t>
      </w:r>
      <w:r w:rsidR="00F63A5B">
        <w:rPr>
          <w:rFonts w:cs="Courier New"/>
          <w:szCs w:val="24"/>
        </w:rPr>
        <w:t xml:space="preserve">record of the </w:t>
      </w:r>
      <w:r w:rsidR="00CB5DFD">
        <w:rPr>
          <w:rFonts w:cs="Courier New"/>
          <w:szCs w:val="24"/>
        </w:rPr>
        <w:t>claim only if a party submits it into evidence.</w:t>
      </w:r>
      <w:r w:rsidR="00682AA1">
        <w:rPr>
          <w:rFonts w:cs="Courier New"/>
          <w:szCs w:val="24"/>
        </w:rPr>
        <w:t xml:space="preserve"> </w:t>
      </w:r>
    </w:p>
    <w:p w:rsidR="0091229A" w:rsidRDefault="0091229A" w:rsidP="00B10304">
      <w:pPr>
        <w:widowControl/>
        <w:tabs>
          <w:tab w:val="left" w:pos="-720"/>
        </w:tabs>
        <w:rPr>
          <w:rFonts w:cs="Courier New"/>
          <w:szCs w:val="24"/>
        </w:rPr>
      </w:pPr>
    </w:p>
    <w:p w:rsidR="0091229A" w:rsidRPr="00F40750" w:rsidRDefault="0091229A" w:rsidP="00B10304">
      <w:pPr>
        <w:widowControl/>
        <w:tabs>
          <w:tab w:val="left" w:pos="-720"/>
        </w:tabs>
        <w:rPr>
          <w:rFonts w:cs="Courier New"/>
          <w:szCs w:val="24"/>
        </w:rPr>
      </w:pPr>
      <w:r>
        <w:rPr>
          <w:rFonts w:cs="Courier New"/>
          <w:szCs w:val="24"/>
        </w:rPr>
        <w:t>The Department’s authority to engage in information collection is specified in BLBA section</w:t>
      </w:r>
      <w:r w:rsidR="00BB703B">
        <w:rPr>
          <w:rFonts w:cs="Courier New"/>
          <w:szCs w:val="24"/>
        </w:rPr>
        <w:t>s</w:t>
      </w:r>
      <w:r w:rsidR="00045191">
        <w:rPr>
          <w:rFonts w:cs="Courier New"/>
          <w:szCs w:val="24"/>
        </w:rPr>
        <w:t xml:space="preserve"> 413(b), 422(a), and 426(a)</w:t>
      </w:r>
      <w:r>
        <w:rPr>
          <w:rFonts w:cs="Courier New"/>
          <w:szCs w:val="24"/>
        </w:rPr>
        <w:t xml:space="preserve">. </w:t>
      </w:r>
      <w:r w:rsidRPr="00BB703B">
        <w:rPr>
          <w:rFonts w:cs="Courier New"/>
          <w:i/>
          <w:szCs w:val="24"/>
        </w:rPr>
        <w:t>See</w:t>
      </w:r>
      <w:r>
        <w:rPr>
          <w:rFonts w:cs="Courier New"/>
          <w:szCs w:val="24"/>
        </w:rPr>
        <w:t xml:space="preserve"> 30 U.S.C. § </w:t>
      </w:r>
      <w:r w:rsidR="00490F96" w:rsidRPr="00490F96">
        <w:rPr>
          <w:rFonts w:cs="Courier New"/>
          <w:szCs w:val="24"/>
        </w:rPr>
        <w:t>923(b)</w:t>
      </w:r>
      <w:r w:rsidR="00BB703B">
        <w:rPr>
          <w:rFonts w:cs="Courier New"/>
          <w:szCs w:val="24"/>
        </w:rPr>
        <w:t>,</w:t>
      </w:r>
      <w:r w:rsidR="00045191">
        <w:rPr>
          <w:rFonts w:cs="Courier New"/>
          <w:szCs w:val="24"/>
        </w:rPr>
        <w:t xml:space="preserve"> 932(a),</w:t>
      </w:r>
      <w:r w:rsidR="00BB703B">
        <w:rPr>
          <w:rFonts w:cs="Courier New"/>
          <w:szCs w:val="24"/>
        </w:rPr>
        <w:t xml:space="preserve"> </w:t>
      </w:r>
      <w:r w:rsidR="00045191">
        <w:rPr>
          <w:rFonts w:cs="Courier New"/>
          <w:szCs w:val="24"/>
        </w:rPr>
        <w:t xml:space="preserve">and </w:t>
      </w:r>
      <w:r w:rsidR="00BB703B">
        <w:rPr>
          <w:rFonts w:cs="Courier New"/>
          <w:szCs w:val="24"/>
        </w:rPr>
        <w:t>936(a)</w:t>
      </w:r>
      <w:r>
        <w:rPr>
          <w:rFonts w:cs="Courier New"/>
          <w:szCs w:val="24"/>
        </w:rPr>
        <w:t>.</w:t>
      </w:r>
    </w:p>
    <w:p w:rsidR="000A0BDB" w:rsidRPr="00F40750" w:rsidRDefault="000A0BDB" w:rsidP="00B10304">
      <w:pPr>
        <w:widowControl/>
        <w:rPr>
          <w:rFonts w:cs="Courier New"/>
          <w:b/>
          <w:szCs w:val="24"/>
        </w:rPr>
      </w:pPr>
      <w:r w:rsidRPr="00F40750">
        <w:rPr>
          <w:rFonts w:cs="Courier New"/>
          <w:b/>
          <w:szCs w:val="24"/>
        </w:rPr>
        <w:lastRenderedPageBreak/>
        <w:t>2.</w:t>
      </w:r>
      <w:r w:rsidRPr="00F40750">
        <w:rPr>
          <w:rFonts w:cs="Courier New"/>
          <w:b/>
          <w:szCs w:val="24"/>
        </w:rPr>
        <w:tab/>
        <w:t>Indicate how, by whom, and for what purpose the information is to be used.  Except for a new collection, indicate the actual use the agency has made of the information received from the current collection.</w:t>
      </w:r>
    </w:p>
    <w:p w:rsidR="000A0BDB" w:rsidRPr="00F40750" w:rsidRDefault="000A0BDB" w:rsidP="00B10304">
      <w:pPr>
        <w:widowControl/>
        <w:tabs>
          <w:tab w:val="left" w:pos="-720"/>
        </w:tabs>
        <w:rPr>
          <w:rFonts w:cs="Courier New"/>
          <w:szCs w:val="24"/>
        </w:rPr>
      </w:pPr>
    </w:p>
    <w:p w:rsidR="004C0BFD" w:rsidRPr="00F40750" w:rsidRDefault="004C0BFD" w:rsidP="00B10304">
      <w:pPr>
        <w:widowControl/>
        <w:tabs>
          <w:tab w:val="left" w:pos="-720"/>
        </w:tabs>
        <w:rPr>
          <w:rFonts w:cs="Courier New"/>
          <w:szCs w:val="24"/>
        </w:rPr>
      </w:pPr>
      <w:r w:rsidRPr="00F40750">
        <w:rPr>
          <w:rFonts w:cs="Courier New"/>
          <w:szCs w:val="24"/>
        </w:rPr>
        <w:t xml:space="preserve">Parties to a black lung benefits claim </w:t>
      </w:r>
      <w:r w:rsidR="008F7089">
        <w:rPr>
          <w:rFonts w:cs="Courier New"/>
          <w:szCs w:val="24"/>
        </w:rPr>
        <w:t>will</w:t>
      </w:r>
      <w:r w:rsidRPr="00F40750">
        <w:rPr>
          <w:rFonts w:cs="Courier New"/>
          <w:szCs w:val="24"/>
        </w:rPr>
        <w:t xml:space="preserve"> be required to </w:t>
      </w:r>
      <w:r w:rsidR="004244CF">
        <w:rPr>
          <w:rFonts w:cs="Courier New"/>
          <w:szCs w:val="24"/>
        </w:rPr>
        <w:t>exchange</w:t>
      </w:r>
      <w:r w:rsidR="004244CF" w:rsidRPr="00F40750">
        <w:rPr>
          <w:rFonts w:cs="Courier New"/>
          <w:szCs w:val="24"/>
        </w:rPr>
        <w:t xml:space="preserve"> </w:t>
      </w:r>
      <w:r w:rsidRPr="00F40750">
        <w:rPr>
          <w:rFonts w:cs="Courier New"/>
          <w:szCs w:val="24"/>
        </w:rPr>
        <w:t>certain medical information about the miner that the par</w:t>
      </w:r>
      <w:r w:rsidR="008F7089">
        <w:rPr>
          <w:rFonts w:cs="Courier New"/>
          <w:szCs w:val="24"/>
        </w:rPr>
        <w:t>ty or the party’s agent received</w:t>
      </w:r>
      <w:r w:rsidRPr="00F40750">
        <w:rPr>
          <w:rFonts w:cs="Courier New"/>
          <w:szCs w:val="24"/>
        </w:rPr>
        <w:t xml:space="preserve"> by sending a complete copy of the </w:t>
      </w:r>
      <w:r w:rsidR="00034976" w:rsidRPr="00F40750">
        <w:rPr>
          <w:rFonts w:cs="Courier New"/>
          <w:szCs w:val="24"/>
        </w:rPr>
        <w:t xml:space="preserve">medical </w:t>
      </w:r>
      <w:r w:rsidRPr="00F40750">
        <w:rPr>
          <w:rFonts w:cs="Courier New"/>
          <w:szCs w:val="24"/>
        </w:rPr>
        <w:t xml:space="preserve">information to all other parties in the claim.  The purpose of this </w:t>
      </w:r>
      <w:r w:rsidR="00802A1E">
        <w:rPr>
          <w:rFonts w:cs="Courier New"/>
          <w:szCs w:val="24"/>
        </w:rPr>
        <w:t xml:space="preserve">exchange </w:t>
      </w:r>
      <w:r w:rsidR="004244CF">
        <w:rPr>
          <w:rFonts w:cs="Courier New"/>
          <w:szCs w:val="24"/>
        </w:rPr>
        <w:t xml:space="preserve">is to </w:t>
      </w:r>
      <w:r w:rsidR="008F7089">
        <w:rPr>
          <w:rFonts w:cs="Courier New"/>
          <w:szCs w:val="24"/>
        </w:rPr>
        <w:t xml:space="preserve">help </w:t>
      </w:r>
      <w:r w:rsidRPr="00F40750">
        <w:rPr>
          <w:rFonts w:cs="Courier New"/>
          <w:szCs w:val="24"/>
        </w:rPr>
        <w:t>protect a miner’s health</w:t>
      </w:r>
      <w:r w:rsidR="004244CF">
        <w:rPr>
          <w:rFonts w:cs="Courier New"/>
          <w:szCs w:val="24"/>
        </w:rPr>
        <w:t>,</w:t>
      </w:r>
      <w:r w:rsidRPr="00F40750">
        <w:rPr>
          <w:rFonts w:cs="Courier New"/>
          <w:szCs w:val="24"/>
        </w:rPr>
        <w:t xml:space="preserve"> </w:t>
      </w:r>
      <w:r w:rsidR="004244CF">
        <w:rPr>
          <w:rFonts w:cs="Courier New"/>
          <w:szCs w:val="24"/>
        </w:rPr>
        <w:t>assist</w:t>
      </w:r>
      <w:r w:rsidR="004244CF" w:rsidRPr="004244CF">
        <w:rPr>
          <w:rFonts w:cs="Courier New"/>
          <w:szCs w:val="24"/>
        </w:rPr>
        <w:t xml:space="preserve"> unrepresented parties</w:t>
      </w:r>
      <w:r w:rsidR="004244CF">
        <w:rPr>
          <w:rFonts w:cs="Courier New"/>
          <w:szCs w:val="24"/>
        </w:rPr>
        <w:t>,</w:t>
      </w:r>
      <w:r w:rsidR="004244CF" w:rsidRPr="004244CF">
        <w:rPr>
          <w:rFonts w:cs="Courier New"/>
          <w:szCs w:val="24"/>
        </w:rPr>
        <w:t xml:space="preserve"> </w:t>
      </w:r>
      <w:r w:rsidRPr="00F40750">
        <w:rPr>
          <w:rFonts w:cs="Courier New"/>
          <w:szCs w:val="24"/>
        </w:rPr>
        <w:t>and promote accurate benefit determinations.</w:t>
      </w:r>
    </w:p>
    <w:p w:rsidR="00BC1397" w:rsidRPr="00F40750" w:rsidRDefault="00BC1397" w:rsidP="00B10304">
      <w:pPr>
        <w:widowControl/>
        <w:tabs>
          <w:tab w:val="left" w:pos="-720"/>
        </w:tabs>
        <w:rPr>
          <w:rFonts w:cs="Courier New"/>
          <w:szCs w:val="24"/>
        </w:rPr>
      </w:pPr>
    </w:p>
    <w:p w:rsidR="000A0BDB" w:rsidRPr="00F40750" w:rsidRDefault="000A0BDB" w:rsidP="00B10304">
      <w:pPr>
        <w:widowControl/>
        <w:rPr>
          <w:rFonts w:cs="Courier New"/>
          <w:b/>
          <w:szCs w:val="24"/>
        </w:rPr>
      </w:pPr>
      <w:r w:rsidRPr="00F40750">
        <w:rPr>
          <w:rFonts w:cs="Courier New"/>
          <w:b/>
          <w:szCs w:val="24"/>
        </w:rPr>
        <w:t>3.</w:t>
      </w:r>
      <w:r w:rsidRPr="00F40750">
        <w:rPr>
          <w:rFonts w:cs="Courier New"/>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A0BDB" w:rsidRPr="00F40750" w:rsidRDefault="000A0BDB" w:rsidP="00B10304">
      <w:pPr>
        <w:widowControl/>
        <w:tabs>
          <w:tab w:val="left" w:pos="-720"/>
        </w:tabs>
        <w:rPr>
          <w:rFonts w:cs="Courier New"/>
          <w:color w:val="000000"/>
          <w:szCs w:val="24"/>
          <w:highlight w:val="yellow"/>
        </w:rPr>
      </w:pPr>
    </w:p>
    <w:p w:rsidR="004C0BFD" w:rsidRPr="00F40750" w:rsidRDefault="004C0BFD" w:rsidP="00B10304">
      <w:pPr>
        <w:widowControl/>
        <w:rPr>
          <w:rFonts w:cs="Courier New"/>
          <w:szCs w:val="24"/>
        </w:rPr>
      </w:pPr>
      <w:r w:rsidRPr="00F40750">
        <w:rPr>
          <w:rFonts w:cs="Courier New"/>
          <w:szCs w:val="24"/>
        </w:rPr>
        <w:t xml:space="preserve">This </w:t>
      </w:r>
      <w:r w:rsidR="008F7089">
        <w:rPr>
          <w:rFonts w:cs="Courier New"/>
          <w:szCs w:val="24"/>
        </w:rPr>
        <w:t>Final Rule will</w:t>
      </w:r>
      <w:r w:rsidR="006347F9">
        <w:rPr>
          <w:rFonts w:cs="Courier New"/>
          <w:szCs w:val="24"/>
        </w:rPr>
        <w:t xml:space="preserve"> not preclude electronic responses.  However, t</w:t>
      </w:r>
      <w:r w:rsidR="008824DD">
        <w:rPr>
          <w:rFonts w:cs="Courier New"/>
          <w:szCs w:val="24"/>
        </w:rPr>
        <w:t xml:space="preserve">hese exchanges </w:t>
      </w:r>
      <w:r w:rsidR="008F7089">
        <w:rPr>
          <w:rFonts w:cs="Courier New"/>
          <w:szCs w:val="24"/>
        </w:rPr>
        <w:t>will</w:t>
      </w:r>
      <w:r w:rsidR="009D5608">
        <w:rPr>
          <w:rFonts w:cs="Courier New"/>
          <w:szCs w:val="24"/>
        </w:rPr>
        <w:t xml:space="preserve"> be </w:t>
      </w:r>
      <w:r w:rsidR="008824DD">
        <w:rPr>
          <w:rFonts w:cs="Courier New"/>
          <w:szCs w:val="24"/>
        </w:rPr>
        <w:t xml:space="preserve">made in the context of a claim’s litigation, </w:t>
      </w:r>
      <w:r w:rsidR="009D5608">
        <w:rPr>
          <w:rFonts w:cs="Courier New"/>
          <w:szCs w:val="24"/>
        </w:rPr>
        <w:t xml:space="preserve">and </w:t>
      </w:r>
      <w:r w:rsidR="008824DD">
        <w:rPr>
          <w:rFonts w:cs="Courier New"/>
          <w:szCs w:val="24"/>
        </w:rPr>
        <w:t xml:space="preserve">the </w:t>
      </w:r>
      <w:r w:rsidR="009D5608">
        <w:rPr>
          <w:rFonts w:cs="Courier New"/>
          <w:szCs w:val="24"/>
        </w:rPr>
        <w:t xml:space="preserve">allowable transmission </w:t>
      </w:r>
      <w:r w:rsidR="008824DD">
        <w:rPr>
          <w:rFonts w:cs="Courier New"/>
          <w:szCs w:val="24"/>
        </w:rPr>
        <w:t xml:space="preserve">methods will be dictated by the </w:t>
      </w:r>
      <w:r w:rsidR="009D5608">
        <w:rPr>
          <w:rFonts w:cs="Courier New"/>
          <w:szCs w:val="24"/>
        </w:rPr>
        <w:t xml:space="preserve">procedures established by the particular forum adjudicating the claim (either an OWCP district director or an administrative law judge in the Department’s Office of Administrative Law Judges). In some circumstances, the forum may allow exchange by electronic methods, such as facsimile or e-mail.  But the Department anticipates that parties will </w:t>
      </w:r>
      <w:r w:rsidR="00E34C76" w:rsidRPr="00F40750">
        <w:rPr>
          <w:rFonts w:cs="Courier New"/>
          <w:szCs w:val="24"/>
        </w:rPr>
        <w:t>usual</w:t>
      </w:r>
      <w:r w:rsidR="009D5608">
        <w:rPr>
          <w:rFonts w:cs="Courier New"/>
          <w:szCs w:val="24"/>
        </w:rPr>
        <w:t>ly</w:t>
      </w:r>
      <w:r w:rsidR="00FE090B" w:rsidRPr="00F40750">
        <w:rPr>
          <w:rFonts w:cs="Courier New"/>
          <w:szCs w:val="24"/>
        </w:rPr>
        <w:t xml:space="preserve"> exchange </w:t>
      </w:r>
      <w:r w:rsidR="009D5608">
        <w:rPr>
          <w:rFonts w:cs="Courier New"/>
          <w:szCs w:val="24"/>
        </w:rPr>
        <w:t>these documents by U.S. postal mail or a commercial delivery service (</w:t>
      </w:r>
      <w:r w:rsidR="009D5608">
        <w:rPr>
          <w:rFonts w:cs="Courier New"/>
          <w:i/>
          <w:szCs w:val="24"/>
        </w:rPr>
        <w:t>e.g.</w:t>
      </w:r>
      <w:r w:rsidR="009D5608">
        <w:rPr>
          <w:rFonts w:cs="Courier New"/>
          <w:szCs w:val="24"/>
        </w:rPr>
        <w:t>, Federal Express, UPS)</w:t>
      </w:r>
      <w:r w:rsidR="006347F9">
        <w:rPr>
          <w:rFonts w:cs="Courier New"/>
          <w:szCs w:val="24"/>
        </w:rPr>
        <w:t>, and has calculated the associated burdens accordingly</w:t>
      </w:r>
      <w:r w:rsidR="009D5608">
        <w:rPr>
          <w:rFonts w:cs="Courier New"/>
          <w:szCs w:val="24"/>
        </w:rPr>
        <w:t>.</w:t>
      </w:r>
      <w:r w:rsidR="00FE090B" w:rsidRPr="00F40750">
        <w:rPr>
          <w:rFonts w:cs="Courier New"/>
          <w:szCs w:val="24"/>
        </w:rPr>
        <w:t xml:space="preserve">   </w:t>
      </w:r>
    </w:p>
    <w:p w:rsidR="004C0BFD" w:rsidRPr="00F40750" w:rsidRDefault="004C0BFD" w:rsidP="00B10304">
      <w:pPr>
        <w:widowControl/>
        <w:rPr>
          <w:rFonts w:cs="Courier New"/>
          <w:szCs w:val="24"/>
        </w:rPr>
      </w:pPr>
    </w:p>
    <w:p w:rsidR="000A0BDB" w:rsidRPr="00F40750" w:rsidRDefault="000A0BDB" w:rsidP="00B10304">
      <w:pPr>
        <w:widowControl/>
        <w:tabs>
          <w:tab w:val="num" w:pos="600"/>
        </w:tabs>
        <w:rPr>
          <w:rFonts w:cs="Courier New"/>
          <w:b/>
          <w:szCs w:val="24"/>
        </w:rPr>
      </w:pPr>
      <w:r w:rsidRPr="00F40750">
        <w:rPr>
          <w:rFonts w:cs="Courier New"/>
          <w:b/>
          <w:szCs w:val="24"/>
        </w:rPr>
        <w:t>4.</w:t>
      </w:r>
      <w:r w:rsidRPr="00F40750">
        <w:rPr>
          <w:rFonts w:cs="Courier New"/>
          <w:b/>
          <w:szCs w:val="24"/>
        </w:rPr>
        <w:tab/>
        <w:t xml:space="preserve">Describe efforts to identify duplication.  </w:t>
      </w:r>
      <w:r w:rsidR="005C6D3E" w:rsidRPr="00F40750">
        <w:rPr>
          <w:rFonts w:cs="Courier New"/>
          <w:b/>
          <w:szCs w:val="24"/>
        </w:rPr>
        <w:t xml:space="preserve">Show </w:t>
      </w:r>
      <w:r w:rsidRPr="00F40750">
        <w:rPr>
          <w:rFonts w:cs="Courier New"/>
          <w:b/>
          <w:szCs w:val="24"/>
        </w:rPr>
        <w:t>specifically why any similar information already available cannot be used or modified for use for the purposes described in Item 2 above.</w:t>
      </w:r>
    </w:p>
    <w:p w:rsidR="000A0BDB" w:rsidRPr="00F40750" w:rsidRDefault="000A0BDB" w:rsidP="00B10304">
      <w:pPr>
        <w:widowControl/>
        <w:tabs>
          <w:tab w:val="num" w:pos="600"/>
        </w:tabs>
        <w:rPr>
          <w:rFonts w:cs="Courier New"/>
          <w:b/>
          <w:szCs w:val="24"/>
          <w:highlight w:val="yellow"/>
        </w:rPr>
      </w:pPr>
    </w:p>
    <w:p w:rsidR="00BC1397" w:rsidRPr="00F40750" w:rsidRDefault="00C7697A" w:rsidP="00B10304">
      <w:pPr>
        <w:widowControl/>
        <w:tabs>
          <w:tab w:val="left" w:pos="-720"/>
        </w:tabs>
        <w:rPr>
          <w:rFonts w:cs="Courier New"/>
          <w:szCs w:val="24"/>
        </w:rPr>
      </w:pPr>
      <w:r w:rsidRPr="00F40750">
        <w:rPr>
          <w:rFonts w:cs="Courier New"/>
          <w:szCs w:val="24"/>
        </w:rPr>
        <w:t xml:space="preserve">The information collected </w:t>
      </w:r>
      <w:r w:rsidR="00F63A5B">
        <w:rPr>
          <w:rFonts w:cs="Courier New"/>
          <w:szCs w:val="24"/>
        </w:rPr>
        <w:t xml:space="preserve">will </w:t>
      </w:r>
      <w:r w:rsidRPr="00F40750">
        <w:rPr>
          <w:rFonts w:cs="Courier New"/>
          <w:szCs w:val="24"/>
        </w:rPr>
        <w:t>not</w:t>
      </w:r>
      <w:r w:rsidR="00513351">
        <w:rPr>
          <w:rFonts w:cs="Courier New"/>
          <w:szCs w:val="24"/>
        </w:rPr>
        <w:t xml:space="preserve"> be</w:t>
      </w:r>
      <w:r w:rsidRPr="00F40750">
        <w:rPr>
          <w:rFonts w:cs="Courier New"/>
          <w:szCs w:val="24"/>
        </w:rPr>
        <w:t xml:space="preserve"> duplicative of any in</w:t>
      </w:r>
      <w:r w:rsidR="00FE090B" w:rsidRPr="00F40750">
        <w:rPr>
          <w:rFonts w:cs="Courier New"/>
          <w:szCs w:val="24"/>
        </w:rPr>
        <w:t>formation available elsewhere.</w:t>
      </w:r>
    </w:p>
    <w:p w:rsidR="00C7697A" w:rsidRDefault="00C7697A" w:rsidP="00B10304">
      <w:pPr>
        <w:widowControl/>
        <w:tabs>
          <w:tab w:val="left" w:pos="-720"/>
        </w:tabs>
        <w:rPr>
          <w:rFonts w:cs="Courier New"/>
          <w:szCs w:val="24"/>
          <w:highlight w:val="yellow"/>
        </w:rPr>
      </w:pPr>
    </w:p>
    <w:p w:rsidR="00B10304" w:rsidRDefault="00B10304" w:rsidP="00B10304">
      <w:pPr>
        <w:widowControl/>
        <w:tabs>
          <w:tab w:val="left" w:pos="-720"/>
        </w:tabs>
        <w:rPr>
          <w:rFonts w:cs="Courier New"/>
          <w:szCs w:val="24"/>
          <w:highlight w:val="yellow"/>
        </w:rPr>
      </w:pPr>
    </w:p>
    <w:p w:rsidR="00B10304" w:rsidRPr="00F40750" w:rsidRDefault="00B10304" w:rsidP="00B10304">
      <w:pPr>
        <w:widowControl/>
        <w:tabs>
          <w:tab w:val="left" w:pos="-720"/>
        </w:tabs>
        <w:rPr>
          <w:rFonts w:cs="Courier New"/>
          <w:szCs w:val="24"/>
          <w:highlight w:val="yellow"/>
        </w:rPr>
      </w:pPr>
    </w:p>
    <w:p w:rsidR="000A0BDB" w:rsidRPr="00F40750" w:rsidRDefault="000A0BDB" w:rsidP="00B10304">
      <w:pPr>
        <w:widowControl/>
        <w:tabs>
          <w:tab w:val="num" w:pos="720"/>
        </w:tabs>
        <w:rPr>
          <w:rFonts w:cs="Courier New"/>
          <w:b/>
          <w:szCs w:val="24"/>
        </w:rPr>
      </w:pPr>
      <w:r w:rsidRPr="00F40750">
        <w:rPr>
          <w:rFonts w:cs="Courier New"/>
          <w:b/>
          <w:szCs w:val="24"/>
        </w:rPr>
        <w:lastRenderedPageBreak/>
        <w:t>5.</w:t>
      </w:r>
      <w:r w:rsidRPr="00F40750">
        <w:rPr>
          <w:rFonts w:cs="Courier New"/>
          <w:b/>
          <w:szCs w:val="24"/>
        </w:rPr>
        <w:tab/>
        <w:t xml:space="preserve">If the collection information impacts small businesses or other small </w:t>
      </w:r>
      <w:r w:rsidR="009236AD" w:rsidRPr="00F40750">
        <w:rPr>
          <w:rFonts w:cs="Courier New"/>
          <w:b/>
          <w:szCs w:val="24"/>
        </w:rPr>
        <w:t>entities,</w:t>
      </w:r>
      <w:r w:rsidRPr="00F40750">
        <w:rPr>
          <w:rFonts w:cs="Courier New"/>
          <w:b/>
          <w:szCs w:val="24"/>
        </w:rPr>
        <w:t xml:space="preserve"> describe any methods used to minimize burden.</w:t>
      </w:r>
    </w:p>
    <w:p w:rsidR="000A0BDB" w:rsidRPr="00F40750" w:rsidRDefault="000A0BDB" w:rsidP="00B10304">
      <w:pPr>
        <w:widowControl/>
        <w:tabs>
          <w:tab w:val="left" w:pos="-720"/>
        </w:tabs>
        <w:rPr>
          <w:rFonts w:cs="Courier New"/>
          <w:szCs w:val="24"/>
          <w:highlight w:val="yellow"/>
        </w:rPr>
      </w:pPr>
    </w:p>
    <w:p w:rsidR="00FE090B" w:rsidRPr="00F40750" w:rsidRDefault="00FE090B" w:rsidP="00B10304">
      <w:pPr>
        <w:widowControl/>
        <w:rPr>
          <w:rFonts w:cs="Courier New"/>
          <w:szCs w:val="24"/>
        </w:rPr>
      </w:pPr>
      <w:r w:rsidRPr="00F40750">
        <w:rPr>
          <w:rFonts w:cs="Courier New"/>
          <w:szCs w:val="24"/>
        </w:rPr>
        <w:t xml:space="preserve">The Department does not believe this </w:t>
      </w:r>
      <w:r w:rsidR="008F7089">
        <w:rPr>
          <w:rFonts w:cs="Courier New"/>
          <w:szCs w:val="24"/>
        </w:rPr>
        <w:t>Final Rule</w:t>
      </w:r>
      <w:r w:rsidRPr="00F40750">
        <w:rPr>
          <w:rFonts w:cs="Courier New"/>
          <w:szCs w:val="24"/>
        </w:rPr>
        <w:t xml:space="preserve"> will have a</w:t>
      </w:r>
      <w:r w:rsidR="00D125E1">
        <w:rPr>
          <w:rFonts w:cs="Courier New"/>
          <w:szCs w:val="24"/>
        </w:rPr>
        <w:t xml:space="preserve"> </w:t>
      </w:r>
      <w:r w:rsidR="00CB5DFD">
        <w:rPr>
          <w:rFonts w:cs="Courier New"/>
          <w:szCs w:val="24"/>
        </w:rPr>
        <w:t xml:space="preserve">significant economic impact on a substantial number of small entities </w:t>
      </w:r>
      <w:r w:rsidRPr="00F40750">
        <w:rPr>
          <w:rFonts w:cs="Courier New"/>
          <w:szCs w:val="24"/>
        </w:rPr>
        <w:t>because in many (and perhaps the majority) of cases, the parties already exchange all of the medical information in their possession as part of their</w:t>
      </w:r>
      <w:r w:rsidR="00431A5E" w:rsidRPr="00F40750">
        <w:rPr>
          <w:rFonts w:cs="Courier New"/>
          <w:szCs w:val="24"/>
        </w:rPr>
        <w:t xml:space="preserve"> evidentiary submissions.</w:t>
      </w:r>
      <w:r w:rsidR="00D125E1">
        <w:rPr>
          <w:rFonts w:cs="Courier New"/>
          <w:szCs w:val="24"/>
        </w:rPr>
        <w:t xml:space="preserve"> </w:t>
      </w:r>
    </w:p>
    <w:p w:rsidR="00BC1397" w:rsidRPr="00F40750" w:rsidRDefault="00BC1397" w:rsidP="00B10304">
      <w:pPr>
        <w:widowControl/>
        <w:tabs>
          <w:tab w:val="left" w:pos="-720"/>
        </w:tabs>
        <w:rPr>
          <w:rFonts w:cs="Courier New"/>
          <w:szCs w:val="24"/>
          <w:highlight w:val="yellow"/>
        </w:rPr>
      </w:pPr>
    </w:p>
    <w:p w:rsidR="000A0BDB" w:rsidRPr="00F40750" w:rsidRDefault="000A0BDB" w:rsidP="00B10304">
      <w:pPr>
        <w:widowControl/>
        <w:tabs>
          <w:tab w:val="num" w:pos="600"/>
        </w:tabs>
        <w:rPr>
          <w:rFonts w:cs="Courier New"/>
          <w:b/>
          <w:szCs w:val="24"/>
        </w:rPr>
      </w:pPr>
      <w:r w:rsidRPr="00F40750">
        <w:rPr>
          <w:rFonts w:cs="Courier New"/>
          <w:b/>
          <w:szCs w:val="24"/>
        </w:rPr>
        <w:t>6.</w:t>
      </w:r>
      <w:r w:rsidRPr="00F40750">
        <w:rPr>
          <w:rFonts w:cs="Courier New"/>
          <w:b/>
          <w:szCs w:val="24"/>
        </w:rPr>
        <w:tab/>
        <w:t>Describe the consequence of Federal program or policy activities if the collection is not conducted or is conducted less frequently, as well as any technical or legal obstacles to reducing burden.</w:t>
      </w:r>
    </w:p>
    <w:p w:rsidR="000A0BDB" w:rsidRPr="00F40750" w:rsidRDefault="000A0BDB" w:rsidP="00B10304">
      <w:pPr>
        <w:widowControl/>
        <w:tabs>
          <w:tab w:val="num" w:pos="600"/>
        </w:tabs>
        <w:rPr>
          <w:rFonts w:cs="Courier New"/>
          <w:b/>
          <w:szCs w:val="24"/>
          <w:highlight w:val="yellow"/>
        </w:rPr>
      </w:pPr>
    </w:p>
    <w:p w:rsidR="00431A5E" w:rsidRPr="00F40750" w:rsidRDefault="00CB5DFD" w:rsidP="00B10304">
      <w:pPr>
        <w:widowControl/>
        <w:rPr>
          <w:rFonts w:cs="Courier New"/>
          <w:szCs w:val="24"/>
        </w:rPr>
      </w:pPr>
      <w:r>
        <w:rPr>
          <w:rFonts w:cs="Courier New"/>
          <w:szCs w:val="24"/>
        </w:rPr>
        <w:t>T</w:t>
      </w:r>
      <w:r w:rsidR="008F7089">
        <w:rPr>
          <w:rFonts w:cs="Courier New"/>
          <w:szCs w:val="24"/>
        </w:rPr>
        <w:t>his information collection w</w:t>
      </w:r>
      <w:r w:rsidR="00B47DDE">
        <w:rPr>
          <w:rFonts w:cs="Courier New"/>
          <w:szCs w:val="24"/>
        </w:rPr>
        <w:t>il</w:t>
      </w:r>
      <w:r w:rsidR="002D7721">
        <w:rPr>
          <w:rFonts w:cs="Courier New"/>
          <w:szCs w:val="24"/>
        </w:rPr>
        <w:t>l</w:t>
      </w:r>
      <w:r>
        <w:rPr>
          <w:rFonts w:cs="Courier New"/>
          <w:szCs w:val="24"/>
        </w:rPr>
        <w:t xml:space="preserve"> be required by regulation</w:t>
      </w:r>
      <w:r w:rsidR="0091229A">
        <w:rPr>
          <w:rFonts w:cs="Courier New"/>
          <w:szCs w:val="24"/>
        </w:rPr>
        <w:t xml:space="preserve">s </w:t>
      </w:r>
      <w:r w:rsidR="00490F96">
        <w:rPr>
          <w:rFonts w:cs="Courier New"/>
          <w:szCs w:val="24"/>
        </w:rPr>
        <w:t xml:space="preserve">codified at </w:t>
      </w:r>
      <w:r w:rsidR="00490F96" w:rsidRPr="00490F96">
        <w:rPr>
          <w:rFonts w:cs="Courier New"/>
          <w:szCs w:val="24"/>
        </w:rPr>
        <w:t>20 C.F.R. § 725.413</w:t>
      </w:r>
      <w:r>
        <w:rPr>
          <w:rFonts w:cs="Courier New"/>
          <w:szCs w:val="24"/>
        </w:rPr>
        <w:t xml:space="preserve">.  </w:t>
      </w:r>
      <w:r w:rsidR="00D166F9" w:rsidRPr="00F40750">
        <w:rPr>
          <w:rFonts w:cs="Courier New"/>
          <w:szCs w:val="24"/>
        </w:rPr>
        <w:t xml:space="preserve">If </w:t>
      </w:r>
      <w:r w:rsidR="00F63A5B">
        <w:rPr>
          <w:rFonts w:cs="Courier New"/>
          <w:szCs w:val="24"/>
        </w:rPr>
        <w:t xml:space="preserve">the collection were </w:t>
      </w:r>
      <w:r w:rsidR="00D166F9" w:rsidRPr="00F40750">
        <w:rPr>
          <w:rFonts w:cs="Courier New"/>
          <w:szCs w:val="24"/>
        </w:rPr>
        <w:t xml:space="preserve">not conducted </w:t>
      </w:r>
      <w:r w:rsidR="00431A5E" w:rsidRPr="00F40750">
        <w:rPr>
          <w:rFonts w:cs="Courier New"/>
          <w:szCs w:val="24"/>
        </w:rPr>
        <w:t xml:space="preserve">or </w:t>
      </w:r>
      <w:r w:rsidR="00D166F9" w:rsidRPr="00F40750">
        <w:rPr>
          <w:rFonts w:cs="Courier New"/>
          <w:szCs w:val="24"/>
        </w:rPr>
        <w:t xml:space="preserve">conducted </w:t>
      </w:r>
      <w:r w:rsidR="00431A5E" w:rsidRPr="00F40750">
        <w:rPr>
          <w:rFonts w:cs="Courier New"/>
          <w:szCs w:val="24"/>
        </w:rPr>
        <w:t>less frequently</w:t>
      </w:r>
      <w:r w:rsidR="00D166F9" w:rsidRPr="00F40750">
        <w:rPr>
          <w:rFonts w:cs="Courier New"/>
          <w:szCs w:val="24"/>
        </w:rPr>
        <w:t xml:space="preserve">, there </w:t>
      </w:r>
      <w:r w:rsidR="00431A5E" w:rsidRPr="00F40750">
        <w:rPr>
          <w:rFonts w:cs="Courier New"/>
          <w:szCs w:val="24"/>
        </w:rPr>
        <w:t>would</w:t>
      </w:r>
      <w:r w:rsidR="00D166F9" w:rsidRPr="00F40750">
        <w:rPr>
          <w:rFonts w:cs="Courier New"/>
          <w:szCs w:val="24"/>
        </w:rPr>
        <w:t xml:space="preserve"> be a</w:t>
      </w:r>
      <w:r w:rsidR="00431A5E" w:rsidRPr="00F40750">
        <w:rPr>
          <w:rFonts w:cs="Courier New"/>
          <w:szCs w:val="24"/>
        </w:rPr>
        <w:t xml:space="preserve"> direct negative impact on the </w:t>
      </w:r>
      <w:r w:rsidR="00D125E1">
        <w:rPr>
          <w:rFonts w:cs="Courier New"/>
          <w:szCs w:val="24"/>
        </w:rPr>
        <w:t>parties to BLBA claims</w:t>
      </w:r>
      <w:r w:rsidR="00F63A5B">
        <w:rPr>
          <w:rFonts w:cs="Courier New"/>
          <w:szCs w:val="24"/>
        </w:rPr>
        <w:t xml:space="preserve"> because the miner may not have full access to information about his or her health and benefit determinations may be less accurate</w:t>
      </w:r>
      <w:r w:rsidR="00431A5E" w:rsidRPr="00F40750">
        <w:rPr>
          <w:rFonts w:cs="Courier New"/>
          <w:szCs w:val="24"/>
        </w:rPr>
        <w:t xml:space="preserve">.  </w:t>
      </w:r>
    </w:p>
    <w:p w:rsidR="00BC1397" w:rsidRPr="00F40750" w:rsidRDefault="00BC1397" w:rsidP="00B10304">
      <w:pPr>
        <w:widowControl/>
        <w:tabs>
          <w:tab w:val="left" w:pos="-720"/>
        </w:tabs>
        <w:rPr>
          <w:rFonts w:cs="Courier New"/>
          <w:szCs w:val="24"/>
          <w:highlight w:val="yellow"/>
        </w:rPr>
      </w:pPr>
    </w:p>
    <w:p w:rsidR="00C0018A" w:rsidRPr="00F40750" w:rsidRDefault="000A0BDB" w:rsidP="00B10304">
      <w:pPr>
        <w:widowControl/>
        <w:tabs>
          <w:tab w:val="num" w:pos="600"/>
        </w:tabs>
        <w:rPr>
          <w:rFonts w:cs="Courier New"/>
          <w:b/>
          <w:szCs w:val="24"/>
          <w:highlight w:val="yellow"/>
        </w:rPr>
      </w:pPr>
      <w:r w:rsidRPr="00F40750">
        <w:rPr>
          <w:rFonts w:cs="Courier New"/>
          <w:b/>
          <w:szCs w:val="24"/>
        </w:rPr>
        <w:t>7.</w:t>
      </w:r>
      <w:r w:rsidRPr="00F40750">
        <w:rPr>
          <w:rFonts w:cs="Courier New"/>
          <w:b/>
          <w:szCs w:val="24"/>
        </w:rPr>
        <w:tab/>
        <w:t>Explain any special circumstance</w:t>
      </w:r>
      <w:r w:rsidR="00B775E0" w:rsidRPr="00F40750">
        <w:rPr>
          <w:rFonts w:cs="Courier New"/>
          <w:b/>
          <w:szCs w:val="24"/>
        </w:rPr>
        <w:t>s</w:t>
      </w:r>
      <w:r w:rsidR="00D73043" w:rsidRPr="00F40750">
        <w:rPr>
          <w:rFonts w:cs="Courier New"/>
          <w:b/>
          <w:szCs w:val="24"/>
        </w:rPr>
        <w:t xml:space="preserve"> required in the conduct of this information collection</w:t>
      </w:r>
      <w:r w:rsidR="00780ADF" w:rsidRPr="00F40750">
        <w:rPr>
          <w:rFonts w:cs="Courier New"/>
          <w:b/>
          <w:szCs w:val="24"/>
        </w:rPr>
        <w:t>.</w:t>
      </w:r>
      <w:r w:rsidR="00F95536" w:rsidRPr="00F40750">
        <w:rPr>
          <w:rFonts w:cs="Courier New"/>
          <w:b/>
          <w:szCs w:val="24"/>
        </w:rPr>
        <w:t xml:space="preserve"> </w:t>
      </w:r>
    </w:p>
    <w:p w:rsidR="009236AD" w:rsidRPr="00F40750" w:rsidRDefault="009236AD" w:rsidP="00B10304">
      <w:pPr>
        <w:widowControl/>
        <w:tabs>
          <w:tab w:val="left" w:pos="-720"/>
        </w:tabs>
        <w:rPr>
          <w:rFonts w:cs="Courier New"/>
          <w:szCs w:val="24"/>
        </w:rPr>
      </w:pPr>
    </w:p>
    <w:p w:rsidR="006F2F4D" w:rsidRPr="00F40750" w:rsidRDefault="00C7697A" w:rsidP="00B10304">
      <w:pPr>
        <w:widowControl/>
        <w:tabs>
          <w:tab w:val="left" w:pos="-720"/>
        </w:tabs>
        <w:rPr>
          <w:rFonts w:cs="Courier New"/>
          <w:snapToGrid/>
          <w:szCs w:val="24"/>
        </w:rPr>
      </w:pPr>
      <w:r w:rsidRPr="00F40750">
        <w:rPr>
          <w:rFonts w:cs="Courier New"/>
          <w:szCs w:val="24"/>
        </w:rPr>
        <w:t>There are no special circumstances for the collection of this information.</w:t>
      </w:r>
    </w:p>
    <w:p w:rsidR="00BC1397" w:rsidRPr="00F40750" w:rsidRDefault="00BC1397" w:rsidP="00B10304">
      <w:pPr>
        <w:widowControl/>
        <w:tabs>
          <w:tab w:val="left" w:pos="-720"/>
        </w:tabs>
        <w:rPr>
          <w:rFonts w:cs="Courier New"/>
          <w:szCs w:val="24"/>
        </w:rPr>
      </w:pPr>
    </w:p>
    <w:p w:rsidR="000A0BDB" w:rsidRPr="00F40750" w:rsidRDefault="000A0BDB" w:rsidP="00B10304">
      <w:pPr>
        <w:widowControl/>
        <w:tabs>
          <w:tab w:val="num" w:pos="600"/>
        </w:tabs>
        <w:rPr>
          <w:rFonts w:cs="Courier New"/>
          <w:b/>
          <w:szCs w:val="24"/>
        </w:rPr>
      </w:pPr>
      <w:r w:rsidRPr="00F40750">
        <w:rPr>
          <w:rFonts w:cs="Courier New"/>
          <w:b/>
          <w:szCs w:val="24"/>
        </w:rPr>
        <w:t>8.</w:t>
      </w:r>
      <w:r w:rsidRPr="00F40750">
        <w:rPr>
          <w:rFonts w:cs="Courier New"/>
          <w:b/>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0A0BDB" w:rsidRPr="00F40750" w:rsidRDefault="000A0BDB" w:rsidP="00B10304">
      <w:pPr>
        <w:widowControl/>
        <w:tabs>
          <w:tab w:val="left" w:pos="-720"/>
        </w:tabs>
        <w:rPr>
          <w:rFonts w:cs="Courier New"/>
          <w:szCs w:val="24"/>
        </w:rPr>
      </w:pPr>
    </w:p>
    <w:p w:rsidR="001C524B" w:rsidRDefault="00316C3A" w:rsidP="00B10304">
      <w:pPr>
        <w:widowControl/>
        <w:rPr>
          <w:rFonts w:cs="Courier New"/>
          <w:szCs w:val="24"/>
        </w:rPr>
      </w:pPr>
      <w:r w:rsidRPr="00316C3A">
        <w:rPr>
          <w:rFonts w:cs="Courier New"/>
          <w:szCs w:val="24"/>
        </w:rPr>
        <w:t>On April 29, 2015, the Department proposed revising the BLBA’s implementing regulations to resolve several procedural issues that had arisen in claims administration and adjudication, and make other technical changes.  80 FR 23743 (NPRM).</w:t>
      </w:r>
      <w:r w:rsidR="004244CF">
        <w:rPr>
          <w:rFonts w:cs="Courier New"/>
          <w:szCs w:val="24"/>
        </w:rPr>
        <w:t xml:space="preserve">  On one of these issues, the Department proposed a new rule, to be codified at 20 C.F.R. 725.413, requiring the parties to exchange any medical information about the miner that they developed in connection with the claim. </w:t>
      </w:r>
      <w:r w:rsidRPr="00316C3A">
        <w:rPr>
          <w:rFonts w:cs="Courier New"/>
          <w:szCs w:val="24"/>
        </w:rPr>
        <w:t xml:space="preserve"> </w:t>
      </w:r>
      <w:r w:rsidR="004244CF">
        <w:rPr>
          <w:rFonts w:cs="Courier New"/>
          <w:szCs w:val="24"/>
        </w:rPr>
        <w:t xml:space="preserve">The Department also estimated the associated </w:t>
      </w:r>
      <w:r w:rsidR="001C524B">
        <w:rPr>
          <w:rFonts w:cs="Courier New"/>
          <w:szCs w:val="24"/>
        </w:rPr>
        <w:t xml:space="preserve">time and cost </w:t>
      </w:r>
      <w:r w:rsidR="004244CF">
        <w:rPr>
          <w:rFonts w:cs="Courier New"/>
          <w:szCs w:val="24"/>
        </w:rPr>
        <w:t xml:space="preserve">burdens with this exchange and </w:t>
      </w:r>
      <w:r w:rsidR="001C524B">
        <w:rPr>
          <w:rFonts w:cs="Courier New"/>
          <w:szCs w:val="24"/>
        </w:rPr>
        <w:t xml:space="preserve">specifically </w:t>
      </w:r>
      <w:r w:rsidR="004244CF">
        <w:rPr>
          <w:rFonts w:cs="Courier New"/>
          <w:szCs w:val="24"/>
        </w:rPr>
        <w:t xml:space="preserve">asked for comments </w:t>
      </w:r>
      <w:r w:rsidR="001C524B">
        <w:rPr>
          <w:rFonts w:cs="Courier New"/>
          <w:szCs w:val="24"/>
        </w:rPr>
        <w:t xml:space="preserve">on the collection.  </w:t>
      </w:r>
      <w:proofErr w:type="gramStart"/>
      <w:r w:rsidR="001C524B">
        <w:rPr>
          <w:rFonts w:cs="Courier New"/>
          <w:szCs w:val="24"/>
        </w:rPr>
        <w:t>80 FR 23749.</w:t>
      </w:r>
      <w:proofErr w:type="gramEnd"/>
      <w:r w:rsidR="001C524B">
        <w:rPr>
          <w:rFonts w:cs="Courier New"/>
          <w:szCs w:val="24"/>
        </w:rPr>
        <w:t xml:space="preserve">  </w:t>
      </w:r>
    </w:p>
    <w:p w:rsidR="001C524B" w:rsidRDefault="001C524B" w:rsidP="00B10304">
      <w:pPr>
        <w:widowControl/>
        <w:rPr>
          <w:rFonts w:cs="Courier New"/>
          <w:szCs w:val="24"/>
        </w:rPr>
      </w:pPr>
    </w:p>
    <w:p w:rsidR="00316C3A" w:rsidRPr="00316C3A" w:rsidRDefault="001C524B" w:rsidP="00B10304">
      <w:pPr>
        <w:widowControl/>
        <w:rPr>
          <w:rFonts w:cs="Courier New"/>
          <w:szCs w:val="24"/>
        </w:rPr>
      </w:pPr>
      <w:r>
        <w:rPr>
          <w:rFonts w:cs="Courier New"/>
          <w:szCs w:val="24"/>
        </w:rPr>
        <w:lastRenderedPageBreak/>
        <w:t>The Department received comments on the substance of the proposed rule.  A summary of t</w:t>
      </w:r>
      <w:r w:rsidR="00316C3A" w:rsidRPr="00316C3A">
        <w:rPr>
          <w:rFonts w:cs="Courier New"/>
          <w:szCs w:val="24"/>
        </w:rPr>
        <w:t>hese comments</w:t>
      </w:r>
      <w:r>
        <w:rPr>
          <w:rFonts w:cs="Courier New"/>
          <w:szCs w:val="24"/>
        </w:rPr>
        <w:t xml:space="preserve"> and the Department’s response is set forth </w:t>
      </w:r>
      <w:r w:rsidR="00316C3A" w:rsidRPr="00316C3A">
        <w:rPr>
          <w:rFonts w:cs="Courier New"/>
          <w:szCs w:val="24"/>
        </w:rPr>
        <w:t>below.</w:t>
      </w:r>
      <w:r>
        <w:rPr>
          <w:rFonts w:cs="Courier New"/>
          <w:szCs w:val="24"/>
        </w:rPr>
        <w:t xml:space="preserve">  References to “the Act” in this discussion refer to the Black Lung Benefits Act, 30 U.S.C. 901 </w:t>
      </w:r>
      <w:r>
        <w:rPr>
          <w:rFonts w:cs="Courier New"/>
          <w:i/>
          <w:szCs w:val="24"/>
        </w:rPr>
        <w:t xml:space="preserve">et seq.  </w:t>
      </w:r>
      <w:r>
        <w:rPr>
          <w:rFonts w:cs="Courier New"/>
          <w:szCs w:val="24"/>
        </w:rPr>
        <w:t>The Department received no comments relevant to the time and cost burdens associated with the collection.</w:t>
      </w:r>
    </w:p>
    <w:p w:rsidR="00316C3A" w:rsidRDefault="00316C3A"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 xml:space="preserve">Some commenters ask the Department to withdraw the rule, arguing that the Department lacks statutory authority to promulgate it.  The Department disagrees with this comment.  Congress granted the Secretary broad rulemaking authority generally, and in governing evidentiary matters specifically.  </w:t>
      </w:r>
      <w:r w:rsidRPr="00996F89">
        <w:rPr>
          <w:rFonts w:cs="Courier New"/>
          <w:i/>
          <w:szCs w:val="24"/>
        </w:rPr>
        <w:t>See</w:t>
      </w:r>
      <w:r w:rsidRPr="00C86362">
        <w:rPr>
          <w:rFonts w:cs="Courier New"/>
          <w:szCs w:val="24"/>
        </w:rPr>
        <w:t xml:space="preserve"> 30 U.S.C. 923(b) (incorporating 42 U.S.C. 405(a)) and 936(a).  The statute also plainly authorizes the Department to depart from traditional procedural and evidentiary rules (such as those governing discovery) in order to best ascertain the rights of the parties in claims adjudications.  33 U.S.C. 923(a), as incorporated by 30 U.S.C. 932(a).</w:t>
      </w:r>
    </w:p>
    <w:p w:rsidR="002D7721" w:rsidRPr="00C86362" w:rsidRDefault="002D7721"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 xml:space="preserve">The objecting commenters dispute the Department’s reliance on these statutory authorities.  Without acknowledging the Secretary’s general rulemaking authority under 30 U.S.C. 936(a), they contend that neither the incorporated Longshore Act nor the incorporated Social Security Act provisions support promulgation of § 725.413.  First, these commenters assert that the Department’s reliance on Longshore Act section 23(a) is hypocritical because proposed § 725.413 is itself a technical rule of procedure.  While § 725.413 is undoubtedly procedural, it will relieve the parties from the burden of complex discovery rules and will simplify claim proceedings and make them fairer, especially for those parties not represented by counsel.  The rule is thus fully consistent with section 23(a)’s overarching command to “best ascertain the rights of the parties.”  </w:t>
      </w:r>
    </w:p>
    <w:p w:rsidR="002D7721" w:rsidRPr="00C86362" w:rsidRDefault="002D7721"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Next, the same commenters state that the Department cannot rely on Social Security Act section 205(a), which they claim has no applicability to Part C BLBA claim proceedings (</w:t>
      </w:r>
      <w:r w:rsidRPr="00996F89">
        <w:rPr>
          <w:rFonts w:cs="Courier New"/>
          <w:i/>
          <w:szCs w:val="24"/>
        </w:rPr>
        <w:t>i.e.</w:t>
      </w:r>
      <w:r w:rsidRPr="00C86362">
        <w:rPr>
          <w:rFonts w:cs="Courier New"/>
          <w:szCs w:val="24"/>
        </w:rPr>
        <w:t xml:space="preserve">, claims filed after 1973 and administered by the Department) because it is located in Part B of the Act, and provides no authority for importing Social Security Administration procedures into Part C claim adjudications.  The commenters </w:t>
      </w:r>
      <w:r w:rsidR="00045191">
        <w:rPr>
          <w:rFonts w:cs="Courier New"/>
          <w:szCs w:val="24"/>
        </w:rPr>
        <w:t>misapprehend</w:t>
      </w:r>
      <w:r w:rsidR="00BB703B">
        <w:rPr>
          <w:rFonts w:cs="Courier New"/>
          <w:szCs w:val="24"/>
        </w:rPr>
        <w:t xml:space="preserve"> the Department’s authority and actions in this regard</w:t>
      </w:r>
      <w:r w:rsidRPr="00C86362">
        <w:rPr>
          <w:rFonts w:cs="Courier New"/>
          <w:szCs w:val="24"/>
        </w:rPr>
        <w:t xml:space="preserve">.  The fact that the Social Security Act incorporation appears in Part B of the Act does not preclude the Secretary from basing regulations for Part C claims on that authority.  </w:t>
      </w:r>
      <w:r w:rsidR="00CC641F" w:rsidRPr="00CC641F">
        <w:rPr>
          <w:rFonts w:cs="Courier New"/>
          <w:i/>
          <w:szCs w:val="24"/>
        </w:rPr>
        <w:t>See</w:t>
      </w:r>
      <w:r w:rsidR="00AF4F82">
        <w:rPr>
          <w:rFonts w:cs="Courier New"/>
          <w:szCs w:val="24"/>
        </w:rPr>
        <w:t xml:space="preserve"> </w:t>
      </w:r>
      <w:r w:rsidRPr="00C86362">
        <w:rPr>
          <w:rFonts w:cs="Courier New"/>
          <w:szCs w:val="24"/>
        </w:rPr>
        <w:t xml:space="preserve">30 U.S.C. 940 (providing that “amendments made by the Black Lung Benefits Act </w:t>
      </w:r>
      <w:r w:rsidRPr="00C86362">
        <w:rPr>
          <w:rFonts w:cs="Courier New"/>
          <w:szCs w:val="24"/>
        </w:rPr>
        <w:lastRenderedPageBreak/>
        <w:t xml:space="preserve">of 1972,” which included the incorporation of Social Security Act section 205(a), “shall, to the extent appropriate, also apply to this part [C].”).  Indeed, both the District of Columbia and Fourth Circuit Courts of Appeals have upheld the Department’s procedural regulations governing Part C claims by relying at least in part on this statutory authority.   </w:t>
      </w:r>
      <w:r w:rsidRPr="00996F89">
        <w:rPr>
          <w:rFonts w:cs="Courier New"/>
          <w:i/>
          <w:szCs w:val="24"/>
        </w:rPr>
        <w:t xml:space="preserve">See Nat’l Min. </w:t>
      </w:r>
      <w:proofErr w:type="spellStart"/>
      <w:r w:rsidRPr="00996F89">
        <w:rPr>
          <w:rFonts w:cs="Courier New"/>
          <w:i/>
          <w:szCs w:val="24"/>
        </w:rPr>
        <w:t>Ass’n</w:t>
      </w:r>
      <w:proofErr w:type="spellEnd"/>
      <w:r w:rsidRPr="00996F89">
        <w:rPr>
          <w:rFonts w:cs="Courier New"/>
          <w:i/>
          <w:szCs w:val="24"/>
        </w:rPr>
        <w:t>. v. Dep’t. of Labor</w:t>
      </w:r>
      <w:r w:rsidRPr="00C86362">
        <w:rPr>
          <w:rFonts w:cs="Courier New"/>
          <w:szCs w:val="24"/>
        </w:rPr>
        <w:t xml:space="preserve">, 292 F.3d 849, 874 (D.C. Cir. 2002) (holding that section 205(a) and 5 U.S.C. 556(d)—which allows agencies to exclude “unduly repetitious evidence” as “a matter of policy”—constituted sufficient authority for the regulatory evidence limitations at 20 CFR 725.414, which are applicable to Part C claims); </w:t>
      </w:r>
      <w:r w:rsidRPr="00996F89">
        <w:rPr>
          <w:rFonts w:cs="Courier New"/>
          <w:i/>
          <w:szCs w:val="24"/>
        </w:rPr>
        <w:t>Elm Grove Coal v.  Director, OWCP</w:t>
      </w:r>
      <w:r w:rsidRPr="00C86362">
        <w:rPr>
          <w:rFonts w:cs="Courier New"/>
          <w:szCs w:val="24"/>
        </w:rPr>
        <w:t xml:space="preserve">, 480 F.3d 278, 293 (4th Cir. 2007) (holding in Part C claim that incorporation of section 205(a), Administrative Procedure Act section 556(d), and grant of general rulemaking authority in 30 U.S.C. 936 “authorize the Secretary to adopt reasonable regulations on the nature and extent of the proofs and evidence in order to establish rights to benefits under the Act”).  Moreover, § 725.413 does not import Social Security Administration procedures but instead provides a new rule applicable to Part C claims. </w:t>
      </w:r>
    </w:p>
    <w:p w:rsidR="002D7721" w:rsidRPr="00C86362" w:rsidRDefault="002D7721" w:rsidP="00B10304">
      <w:pPr>
        <w:widowControl/>
        <w:rPr>
          <w:rFonts w:cs="Courier New"/>
          <w:szCs w:val="24"/>
        </w:rPr>
      </w:pPr>
    </w:p>
    <w:p w:rsidR="00CC641F" w:rsidRDefault="002D7721" w:rsidP="00B10304">
      <w:pPr>
        <w:widowControl/>
        <w:rPr>
          <w:rFonts w:cs="Courier New"/>
          <w:szCs w:val="24"/>
        </w:rPr>
      </w:pPr>
      <w:r w:rsidRPr="00C86362">
        <w:rPr>
          <w:rFonts w:cs="Courier New"/>
          <w:szCs w:val="24"/>
        </w:rPr>
        <w:t xml:space="preserve">Three commenters </w:t>
      </w:r>
      <w:r w:rsidR="00CC641F">
        <w:rPr>
          <w:rFonts w:cs="Courier New"/>
          <w:szCs w:val="24"/>
        </w:rPr>
        <w:t xml:space="preserve">claim </w:t>
      </w:r>
      <w:r w:rsidRPr="00C86362">
        <w:rPr>
          <w:rFonts w:cs="Courier New"/>
          <w:szCs w:val="24"/>
        </w:rPr>
        <w:t>that requiring parties to exchange medical information is an overreaction to an isolated case, claiming that only one attorney engaged in the conduct addressed by proposed § 725.413.  These commenters state that the Department cited only one case involving undisclosed medical information in the NPRM, and failed to fully assess the need for the rulemaking.</w:t>
      </w:r>
      <w:r w:rsidR="00BB703B">
        <w:rPr>
          <w:rFonts w:cs="Courier New"/>
          <w:szCs w:val="24"/>
        </w:rPr>
        <w:t xml:space="preserve">  </w:t>
      </w:r>
    </w:p>
    <w:p w:rsidR="00CC641F" w:rsidRDefault="00CC641F"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 xml:space="preserve">Although the Department illustrated the need for the rule with a detailed summary of miner Gary Fox’s claims, it also cited two additional cases (involving different attorneys) in the NPRM.  </w:t>
      </w:r>
      <w:proofErr w:type="gramStart"/>
      <w:r w:rsidRPr="00C86362">
        <w:rPr>
          <w:rFonts w:cs="Courier New"/>
          <w:szCs w:val="24"/>
        </w:rPr>
        <w:t>80 FR 23746.</w:t>
      </w:r>
      <w:proofErr w:type="gramEnd"/>
      <w:r w:rsidRPr="00C86362">
        <w:rPr>
          <w:rFonts w:cs="Courier New"/>
          <w:szCs w:val="24"/>
        </w:rPr>
        <w:t xml:space="preserve">  More importantly, the issue of withholding medical information generated by non-testifying experts has persistently recurred in black lung claims and has been litigated by some members of the associations making this comment.  Several other commenters listed and described additional claims in which medical evidence was withheld.  These cases, along with others the Department has identified, generally fall into three categories.  In the first, the adjudication officer denies the party’s (either the claimant’s or the operator’s) motion to compel discovery of the medical information because the party did not meet the standard for gaining discovery of a non-testifying expert’s opinion imposed under the Office of Administrative Law Judges Rules of Practice and Procedure (OALJ </w:t>
      </w:r>
      <w:r w:rsidRPr="00C86362">
        <w:rPr>
          <w:rFonts w:cs="Courier New"/>
          <w:szCs w:val="24"/>
        </w:rPr>
        <w:lastRenderedPageBreak/>
        <w:t xml:space="preserve">Rules).  </w:t>
      </w:r>
      <w:r w:rsidRPr="00996F89">
        <w:rPr>
          <w:rFonts w:cs="Courier New"/>
          <w:i/>
          <w:szCs w:val="24"/>
        </w:rPr>
        <w:t>See, e.g., Keener v. Peerless Eagle Coal Co.</w:t>
      </w:r>
      <w:r w:rsidRPr="00C86362">
        <w:rPr>
          <w:rFonts w:cs="Courier New"/>
          <w:szCs w:val="24"/>
        </w:rPr>
        <w:t xml:space="preserve">, ALJ Ruling and Order on Claimant’s Motion to Compel and Employer’s Motion for Protective Order, 2004-BLA-06265 (Apr. 12, 2005), </w:t>
      </w:r>
      <w:r w:rsidRPr="00996F89">
        <w:rPr>
          <w:rFonts w:cs="Courier New"/>
          <w:i/>
          <w:szCs w:val="24"/>
        </w:rPr>
        <w:t>aff’d</w:t>
      </w:r>
      <w:r w:rsidRPr="00C86362">
        <w:rPr>
          <w:rFonts w:cs="Courier New"/>
          <w:szCs w:val="24"/>
        </w:rPr>
        <w:t xml:space="preserve"> BRB Decision and Order, BRB No. 05-1008 (Jan. 26, 2007); </w:t>
      </w:r>
      <w:r w:rsidRPr="00996F89">
        <w:rPr>
          <w:rFonts w:cs="Courier New"/>
          <w:i/>
          <w:szCs w:val="24"/>
        </w:rPr>
        <w:t>Lester v. Royalty Smokeless Coal Co.</w:t>
      </w:r>
      <w:r w:rsidRPr="00C86362">
        <w:rPr>
          <w:rFonts w:cs="Courier New"/>
          <w:szCs w:val="24"/>
        </w:rPr>
        <w:t xml:space="preserve">, ALJ Decision and Order on Remand Granting Benefits, 2004-BLA-05700 (Mar. 4, 2008).  In the second, the claimant’s motion to compel is granted, but the employer still avoids disclosure by accepting liability for benefits and paying the claim.  </w:t>
      </w:r>
      <w:r w:rsidRPr="00996F89">
        <w:rPr>
          <w:rFonts w:cs="Courier New"/>
          <w:i/>
          <w:szCs w:val="24"/>
        </w:rPr>
        <w:t>See, e.g., Daugherty v. Westmoreland Coal Co.</w:t>
      </w:r>
      <w:r w:rsidRPr="00C86362">
        <w:rPr>
          <w:rFonts w:cs="Courier New"/>
          <w:szCs w:val="24"/>
        </w:rPr>
        <w:t xml:space="preserve">, ALJ Order Remanding Case to District Director, 2001-BLA-00594 (Mar. 21, 2005); </w:t>
      </w:r>
      <w:proofErr w:type="spellStart"/>
      <w:r w:rsidRPr="00996F89">
        <w:rPr>
          <w:rFonts w:cs="Courier New"/>
          <w:i/>
          <w:szCs w:val="24"/>
        </w:rPr>
        <w:t>Renick</w:t>
      </w:r>
      <w:proofErr w:type="spellEnd"/>
      <w:r w:rsidRPr="00996F89">
        <w:rPr>
          <w:rFonts w:cs="Courier New"/>
          <w:i/>
          <w:szCs w:val="24"/>
        </w:rPr>
        <w:t xml:space="preserve"> v. Consolidation Coal Co.</w:t>
      </w:r>
      <w:r w:rsidRPr="00C86362">
        <w:rPr>
          <w:rFonts w:cs="Courier New"/>
          <w:szCs w:val="24"/>
        </w:rPr>
        <w:t xml:space="preserve">, ALJ Order of Remand for Payment, 2002-BLA-00083 (Sept. 9, 2002); and </w:t>
      </w:r>
      <w:r w:rsidRPr="00996F89">
        <w:rPr>
          <w:rFonts w:cs="Courier New"/>
          <w:i/>
          <w:szCs w:val="24"/>
        </w:rPr>
        <w:t>Harris v. Westmorland Coal Co.</w:t>
      </w:r>
      <w:r w:rsidRPr="00C86362">
        <w:rPr>
          <w:rFonts w:cs="Courier New"/>
          <w:szCs w:val="24"/>
        </w:rPr>
        <w:t xml:space="preserve">, Order Denying Claimant’s Request for Reconsideration, 1998-BLA-0188 (Aug. 7, 1998).  And in the third, the motion to compel is granted and the medical information is disclosed.  </w:t>
      </w:r>
      <w:r w:rsidRPr="00996F89">
        <w:rPr>
          <w:rFonts w:cs="Courier New"/>
          <w:i/>
          <w:szCs w:val="24"/>
        </w:rPr>
        <w:t>See, e.g., Wood v. Elkay Mining Co.</w:t>
      </w:r>
      <w:r w:rsidRPr="00C86362">
        <w:rPr>
          <w:rFonts w:cs="Courier New"/>
          <w:szCs w:val="24"/>
        </w:rPr>
        <w:t xml:space="preserve">, ALJ Decision and Order – Awarding Benefits, 2001-BLA-00701 (May 23, 2007); </w:t>
      </w:r>
      <w:r w:rsidRPr="00996F89">
        <w:rPr>
          <w:rFonts w:cs="Courier New"/>
          <w:i/>
          <w:szCs w:val="24"/>
        </w:rPr>
        <w:t>Huggins v. Windsor Coal Co.</w:t>
      </w:r>
      <w:r w:rsidRPr="00C86362">
        <w:rPr>
          <w:rFonts w:cs="Courier New"/>
          <w:szCs w:val="24"/>
        </w:rPr>
        <w:t>, BRB Decision and Order, BRB No. 06-0710 (Aug. 15, 2007).  It is the first two categories of cases in which § 725.413 will change the result by requiring the exchange of previously undisclosed medical information.</w:t>
      </w:r>
    </w:p>
    <w:p w:rsidR="001C524B" w:rsidRDefault="001C524B"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These commenters also assert that the Department failed to quantify the general impact of non-disclosure on miners’ health.   Doing so with any certainty is impractical for several reasons.  By their nature, these cases come to light only when a party takes affirmative action to discover medical information; the Department cannot quantify the volume of undisclosed medical information in cases where parties do not pursue discovery of that information and, in fact, might not even know of its existence.  The same is true in those instances where the employer has chosen to accept liability for the claim rather than disclosing the non-testifying expert’s opinion.  The Department also cannot assess whether any particular piece of medical information would have an impact on any one miner’s course of treatment or disease.  But common sense dictates that better-informed miners and medical providers are able to make better decisions regarding a miner’s care.</w:t>
      </w:r>
    </w:p>
    <w:p w:rsidR="002D7721" w:rsidRPr="00C86362" w:rsidRDefault="002D7721" w:rsidP="00B10304">
      <w:pPr>
        <w:widowControl/>
        <w:rPr>
          <w:rFonts w:cs="Courier New"/>
          <w:szCs w:val="24"/>
        </w:rPr>
      </w:pPr>
    </w:p>
    <w:p w:rsidR="002D7721" w:rsidRDefault="002D7721" w:rsidP="00B10304">
      <w:pPr>
        <w:widowControl/>
        <w:rPr>
          <w:rFonts w:cs="Courier New"/>
          <w:szCs w:val="24"/>
        </w:rPr>
      </w:pPr>
      <w:r w:rsidRPr="00C86362">
        <w:rPr>
          <w:rFonts w:cs="Courier New"/>
          <w:szCs w:val="24"/>
        </w:rPr>
        <w:t>And, to the extent these commenters are correct in stating that, with very few exceptions, parties already exchange all medical information developed, they should not be affected by the final rule.  Apart from a slightly earlier deadline for exchanging medical information, § 725.413 will not change those parties’ current practice.</w:t>
      </w:r>
    </w:p>
    <w:p w:rsidR="002D7721" w:rsidRPr="00C86362" w:rsidRDefault="002D7721" w:rsidP="00B10304">
      <w:pPr>
        <w:widowControl/>
        <w:rPr>
          <w:rFonts w:cs="Courier New"/>
          <w:szCs w:val="24"/>
        </w:rPr>
      </w:pPr>
      <w:r w:rsidRPr="00C86362">
        <w:rPr>
          <w:rFonts w:cs="Courier New"/>
          <w:szCs w:val="24"/>
        </w:rPr>
        <w:lastRenderedPageBreak/>
        <w:t xml:space="preserve"> </w:t>
      </w:r>
    </w:p>
    <w:p w:rsidR="002D7721" w:rsidRPr="00C86362" w:rsidRDefault="002D7721" w:rsidP="00B10304">
      <w:pPr>
        <w:widowControl/>
        <w:rPr>
          <w:rFonts w:cs="Courier New"/>
          <w:szCs w:val="24"/>
        </w:rPr>
      </w:pPr>
      <w:r w:rsidRPr="00C86362">
        <w:rPr>
          <w:rFonts w:cs="Courier New"/>
          <w:szCs w:val="24"/>
        </w:rPr>
        <w:t xml:space="preserve">The Department received several comments suggesting various clarifications and other changes to the proposed definition of “medical information” at § 725.413(a).  As proposed, “medical information” includes medical data about a miner that was developed in connection with a claim for benefits (§ 725.413(a)) </w:t>
      </w:r>
      <w:r w:rsidRPr="00996F89">
        <w:rPr>
          <w:rFonts w:cs="Courier New"/>
          <w:i/>
          <w:szCs w:val="24"/>
        </w:rPr>
        <w:t>and</w:t>
      </w:r>
      <w:r w:rsidRPr="00C86362">
        <w:rPr>
          <w:rFonts w:cs="Courier New"/>
          <w:szCs w:val="24"/>
        </w:rPr>
        <w:t xml:space="preserve"> that is:  (1) an examining physician’s assessment of the miner, including findings, test results, diagnoses, and conclusions (§ 725.413(a)(1)); or (2) any other physician’s or medical professional’s opinion or interpretation of tests, procedures and related documentation, but only to the extent they address the miner’s respiratory or pulmonary condition (§ 725.413(a)(2)-(4)).  </w:t>
      </w:r>
      <w:proofErr w:type="gramStart"/>
      <w:r w:rsidRPr="00C86362">
        <w:rPr>
          <w:rFonts w:cs="Courier New"/>
          <w:szCs w:val="24"/>
        </w:rPr>
        <w:t>80 FR 23747, 23752.</w:t>
      </w:r>
      <w:proofErr w:type="gramEnd"/>
      <w:r w:rsidRPr="00C86362">
        <w:rPr>
          <w:rFonts w:cs="Courier New"/>
          <w:szCs w:val="24"/>
        </w:rPr>
        <w:t xml:space="preserve">  Thus, the medical data subject to disclosure is generally limited to data generated in the claim’s litigation and relevant to the primary question in the claim—the miner’s respiratory or pulmonary condition.  </w:t>
      </w:r>
    </w:p>
    <w:p w:rsidR="002D7721" w:rsidRPr="00C86362" w:rsidRDefault="002D7721" w:rsidP="00B10304">
      <w:pPr>
        <w:widowControl/>
        <w:rPr>
          <w:rFonts w:cs="Courier New"/>
          <w:szCs w:val="24"/>
        </w:rPr>
      </w:pPr>
      <w:r w:rsidRPr="00C86362">
        <w:rPr>
          <w:rFonts w:cs="Courier New"/>
          <w:szCs w:val="24"/>
        </w:rPr>
        <w:t>Two commenters express concern that proposed § 725.413(a) does not specifically exclude a miner’s medical treatment records from the definition of “medical information” subject to mandatory exchange between parties.  As the Department explained in the NPRM, 80 FR 23747, treatment records are not medical data a party “develops in connection with a claim” and thus do not meet the definition of “medical information.”  Instead, these records are generated in the routine course of a miner’s treatment and, if pertinent to the miner’s respiratory or pulmonary condition, are admissible withou</w:t>
      </w:r>
      <w:r>
        <w:rPr>
          <w:rFonts w:cs="Courier New"/>
          <w:szCs w:val="24"/>
        </w:rPr>
        <w:t>t limitation.  20 CFR 725.414(a</w:t>
      </w:r>
      <w:proofErr w:type="gramStart"/>
      <w:r>
        <w:rPr>
          <w:rFonts w:cs="Courier New"/>
          <w:szCs w:val="24"/>
        </w:rPr>
        <w:t>)</w:t>
      </w:r>
      <w:r w:rsidRPr="00C86362">
        <w:rPr>
          <w:rFonts w:cs="Courier New"/>
          <w:szCs w:val="24"/>
        </w:rPr>
        <w:t>(</w:t>
      </w:r>
      <w:proofErr w:type="gramEnd"/>
      <w:r w:rsidRPr="00C86362">
        <w:rPr>
          <w:rFonts w:cs="Courier New"/>
          <w:szCs w:val="24"/>
        </w:rPr>
        <w:t>4).  But to allay any concern, the Department has revised § 725.413 to explicitly exclude treatment records from the “medical information” subject to exchange between the parties under this regulation.  The new language is in paragraph (b</w:t>
      </w:r>
      <w:proofErr w:type="gramStart"/>
      <w:r w:rsidRPr="00C86362">
        <w:rPr>
          <w:rFonts w:cs="Courier New"/>
          <w:szCs w:val="24"/>
        </w:rPr>
        <w:t>)(</w:t>
      </w:r>
      <w:proofErr w:type="gramEnd"/>
      <w:r w:rsidRPr="00C86362">
        <w:rPr>
          <w:rFonts w:cs="Courier New"/>
          <w:szCs w:val="24"/>
        </w:rPr>
        <w:t>1) of the final regulation.</w:t>
      </w:r>
    </w:p>
    <w:p w:rsidR="002D7721" w:rsidRPr="00C86362" w:rsidRDefault="002D7721" w:rsidP="00B10304">
      <w:pPr>
        <w:widowControl/>
        <w:rPr>
          <w:rFonts w:cs="Courier New"/>
          <w:szCs w:val="24"/>
        </w:rPr>
      </w:pPr>
    </w:p>
    <w:p w:rsidR="002D7721" w:rsidRDefault="002D7721" w:rsidP="00B10304">
      <w:pPr>
        <w:widowControl/>
        <w:rPr>
          <w:rFonts w:cs="Courier New"/>
          <w:szCs w:val="24"/>
        </w:rPr>
      </w:pPr>
      <w:r w:rsidRPr="00C86362">
        <w:rPr>
          <w:rFonts w:cs="Courier New"/>
          <w:szCs w:val="24"/>
        </w:rPr>
        <w:t>Several commenters assert that § 725.413 should exclude from “medical information” all draft medical reports.  These same commenters also urge the Department to exclude all communications between a party’s attorney and its medical experts.  For the reasons that follow, the Department disagrees that draft medical reports should be excluded from “medical information” but has adopted the commenters’ suggestion to exclude attorney communications with experts from § 725.413’s disclosure requirements.</w:t>
      </w:r>
    </w:p>
    <w:p w:rsidR="002D7721" w:rsidRPr="00C86362" w:rsidRDefault="002D7721"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To support their request for these exclusions, the commenters point variously to Federal Rule of Civil Procedure 26(b</w:t>
      </w:r>
      <w:proofErr w:type="gramStart"/>
      <w:r w:rsidRPr="00C86362">
        <w:rPr>
          <w:rFonts w:cs="Courier New"/>
          <w:szCs w:val="24"/>
        </w:rPr>
        <w:t>)(</w:t>
      </w:r>
      <w:proofErr w:type="gramEnd"/>
      <w:r w:rsidRPr="00C86362">
        <w:rPr>
          <w:rFonts w:cs="Courier New"/>
          <w:szCs w:val="24"/>
        </w:rPr>
        <w:t xml:space="preserve">4)(B) and (C) and the OALJ Rules, 80 FR 28793 (May 19, 2015) (to be codified at 29 CFR 18.51(d)), which incorporate the concepts </w:t>
      </w:r>
      <w:r w:rsidRPr="00C86362">
        <w:rPr>
          <w:rFonts w:cs="Courier New"/>
          <w:szCs w:val="24"/>
        </w:rPr>
        <w:lastRenderedPageBreak/>
        <w:t xml:space="preserve">embodied in the Federal Rule.  When an expert is required to submit written reports or other disclosures, those rules protect his or her draft reports from discovery.  </w:t>
      </w:r>
      <w:proofErr w:type="gramStart"/>
      <w:r w:rsidRPr="00C86362">
        <w:rPr>
          <w:rFonts w:cs="Courier New"/>
          <w:szCs w:val="24"/>
        </w:rPr>
        <w:t>Fed.</w:t>
      </w:r>
      <w:proofErr w:type="gramEnd"/>
      <w:r w:rsidRPr="00C86362">
        <w:rPr>
          <w:rFonts w:cs="Courier New"/>
          <w:szCs w:val="24"/>
        </w:rPr>
        <w:t xml:space="preserve"> R. Civ. P. 26(b</w:t>
      </w:r>
      <w:proofErr w:type="gramStart"/>
      <w:r w:rsidRPr="00C86362">
        <w:rPr>
          <w:rFonts w:cs="Courier New"/>
          <w:szCs w:val="24"/>
        </w:rPr>
        <w:t>)(</w:t>
      </w:r>
      <w:proofErr w:type="gramEnd"/>
      <w:r w:rsidRPr="00C86362">
        <w:rPr>
          <w:rFonts w:cs="Courier New"/>
          <w:szCs w:val="24"/>
        </w:rPr>
        <w:t xml:space="preserve">4)(B); 80 FR 28793 (to be codified at 29 CFR 18.51(d)(2)).  Similarly, the rules generally protect from disclosure communications between the party’s attorney and the expert witness except when those communications pertain to the expert’s compensation, facts or data the attorney provided to the expert, or assumptions provided by the attorney to the expert that the expert relied on in forming his or her opinion.  </w:t>
      </w:r>
      <w:proofErr w:type="gramStart"/>
      <w:r w:rsidRPr="00C86362">
        <w:rPr>
          <w:rFonts w:cs="Courier New"/>
          <w:szCs w:val="24"/>
        </w:rPr>
        <w:t>Fed.</w:t>
      </w:r>
      <w:proofErr w:type="gramEnd"/>
      <w:r w:rsidRPr="00C86362">
        <w:rPr>
          <w:rFonts w:cs="Courier New"/>
          <w:szCs w:val="24"/>
        </w:rPr>
        <w:t xml:space="preserve"> R. Civ. P. 26(b</w:t>
      </w:r>
      <w:proofErr w:type="gramStart"/>
      <w:r w:rsidRPr="00C86362">
        <w:rPr>
          <w:rFonts w:cs="Courier New"/>
          <w:szCs w:val="24"/>
        </w:rPr>
        <w:t>)(</w:t>
      </w:r>
      <w:proofErr w:type="gramEnd"/>
      <w:r w:rsidRPr="00C86362">
        <w:rPr>
          <w:rFonts w:cs="Courier New"/>
          <w:szCs w:val="24"/>
        </w:rPr>
        <w:t xml:space="preserve">4)(C); 80 FR 28793 (to be codified at 29 CFR 18.51(d)(3)).  These rules are designed to allow discovery of the facts and data on which the expert bases his or her opinion without unnecessarily interfering with effective communication between the attorney and the expert or disclosing the attorney’s mental impressions and theories about the case.  </w:t>
      </w:r>
      <w:r w:rsidRPr="00996F89">
        <w:rPr>
          <w:rFonts w:cs="Courier New"/>
          <w:i/>
          <w:szCs w:val="24"/>
        </w:rPr>
        <w:t>See generally</w:t>
      </w:r>
      <w:r w:rsidRPr="00C86362">
        <w:rPr>
          <w:rFonts w:cs="Courier New"/>
          <w:szCs w:val="24"/>
        </w:rPr>
        <w:t xml:space="preserve"> FRCP 26, Advisory Committee comment to 2010 amendments.</w:t>
      </w:r>
    </w:p>
    <w:p w:rsidR="002D7721" w:rsidRPr="00C86362" w:rsidRDefault="002D7721" w:rsidP="00B10304">
      <w:pPr>
        <w:widowControl/>
        <w:rPr>
          <w:rFonts w:cs="Courier New"/>
          <w:szCs w:val="24"/>
        </w:rPr>
      </w:pPr>
    </w:p>
    <w:p w:rsidR="002D7721" w:rsidRDefault="002D7721" w:rsidP="00B10304">
      <w:pPr>
        <w:widowControl/>
        <w:rPr>
          <w:rFonts w:cs="Courier New"/>
          <w:szCs w:val="24"/>
        </w:rPr>
      </w:pPr>
      <w:r w:rsidRPr="00C86362">
        <w:rPr>
          <w:rFonts w:cs="Courier New"/>
          <w:szCs w:val="24"/>
        </w:rPr>
        <w:t>Formal rules of procedure do not strictly apply in black lung claims adjudications.  And a program-specific regulation applies over either the Federal Rules or the OALJ Rules.  80 FR 28785, to be codified at 29 CFR 18.10 (OALJ rules do not apply “[</w:t>
      </w:r>
      <w:proofErr w:type="spellStart"/>
      <w:r w:rsidRPr="00C86362">
        <w:rPr>
          <w:rFonts w:cs="Courier New"/>
          <w:szCs w:val="24"/>
        </w:rPr>
        <w:t>i</w:t>
      </w:r>
      <w:proofErr w:type="spellEnd"/>
      <w:r w:rsidRPr="00C86362">
        <w:rPr>
          <w:rFonts w:cs="Courier New"/>
          <w:szCs w:val="24"/>
        </w:rPr>
        <w:t xml:space="preserve">]f a specific Department of Labor regulation </w:t>
      </w:r>
      <w:proofErr w:type="gramStart"/>
      <w:r w:rsidRPr="00C86362">
        <w:rPr>
          <w:rFonts w:cs="Courier New"/>
          <w:szCs w:val="24"/>
        </w:rPr>
        <w:t>governs[</w:t>
      </w:r>
      <w:proofErr w:type="gramEnd"/>
      <w:r w:rsidRPr="00C86362">
        <w:rPr>
          <w:rFonts w:cs="Courier New"/>
          <w:szCs w:val="24"/>
        </w:rPr>
        <w:t xml:space="preserve">,]” and the Federal Rules of Civil Procedure apply only in situations not provided for in the OALJ rules or other governing regulation).  </w:t>
      </w:r>
      <w:r w:rsidRPr="00996F89">
        <w:rPr>
          <w:rFonts w:cs="Courier New"/>
          <w:i/>
          <w:szCs w:val="24"/>
        </w:rPr>
        <w:t>See also</w:t>
      </w:r>
      <w:r w:rsidRPr="00C86362">
        <w:rPr>
          <w:rFonts w:cs="Courier New"/>
          <w:szCs w:val="24"/>
        </w:rPr>
        <w:t xml:space="preserve"> 80 FR 28773 (discussing 29 CFR 18.10 and stating that “[n]</w:t>
      </w:r>
      <w:proofErr w:type="spellStart"/>
      <w:r w:rsidRPr="00C86362">
        <w:rPr>
          <w:rFonts w:cs="Courier New"/>
          <w:szCs w:val="24"/>
        </w:rPr>
        <w:t>othing</w:t>
      </w:r>
      <w:proofErr w:type="spellEnd"/>
      <w:r w:rsidRPr="00C86362">
        <w:rPr>
          <w:rFonts w:cs="Courier New"/>
          <w:szCs w:val="24"/>
        </w:rPr>
        <w:t xml:space="preserve"> in [the OALJ] rules would prevent the Department from adopting a procedural rule that applies only in BLBA claim adjudications or other program-specific contexts.”).</w:t>
      </w:r>
    </w:p>
    <w:p w:rsidR="002D7721" w:rsidRPr="00C86362" w:rsidRDefault="002D7721"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In this instance, the Department believes a rule governing draft reports designed specifically for the Black Lung program will serve the program’s purposes better than the general rule.  Exempting all draft medical reports from § 725.413’s disclosure requirements could easily eviscerate the rule:  the disclosure requirement could be avoided simply by labeling any medical report a “draft.”  Any party could solicit additional medical opinions on the miner’s condition and simply not share them with the opposing party, or perhaps even their remaining expert witnesses.  If an employer engaged in that conduct, a primary purpose of the rule—protecting the health and safety of the miner by ensuring access to all information about his or her health—would be thwarted.  And if a claimant did the same, another primary purpose of the rule—accurate claims adjudication—could be in jeopardy.</w:t>
      </w:r>
    </w:p>
    <w:p w:rsidR="002D7721" w:rsidRPr="00C86362" w:rsidRDefault="002D7721" w:rsidP="00B10304">
      <w:pPr>
        <w:widowControl/>
        <w:rPr>
          <w:rFonts w:cs="Courier New"/>
          <w:szCs w:val="24"/>
        </w:rPr>
      </w:pPr>
    </w:p>
    <w:p w:rsidR="002D7721" w:rsidRDefault="002D7721" w:rsidP="00B10304">
      <w:pPr>
        <w:widowControl/>
        <w:rPr>
          <w:rFonts w:cs="Courier New"/>
          <w:szCs w:val="24"/>
        </w:rPr>
      </w:pPr>
      <w:r w:rsidRPr="00C86362">
        <w:rPr>
          <w:rFonts w:cs="Courier New"/>
          <w:szCs w:val="24"/>
        </w:rPr>
        <w:lastRenderedPageBreak/>
        <w:t>On the other hand, the Department does not see a similarly compelling need to routinely require disclosure of communications from an attorney (or lay representative) to a medical expert.  When prepared by an attorney, these communications are generally protected from disclosure, except in the circumstances noted above, and are more likely to include the attorney’s impressions and legal analysis of the case.  And they generally do not have a direct bearing on protecting the miner’s health.  Accordingly, the Department believes these communications should not be considered “medical information” subject to mandatory exchange with the other parties.  The Department has added new language to paragraph (b</w:t>
      </w:r>
      <w:proofErr w:type="gramStart"/>
      <w:r w:rsidRPr="00C86362">
        <w:rPr>
          <w:rFonts w:cs="Courier New"/>
          <w:szCs w:val="24"/>
        </w:rPr>
        <w:t>)(</w:t>
      </w:r>
      <w:proofErr w:type="gramEnd"/>
      <w:r w:rsidRPr="00C86362">
        <w:rPr>
          <w:rFonts w:cs="Courier New"/>
          <w:szCs w:val="24"/>
        </w:rPr>
        <w:t xml:space="preserve">2) in the final rule to exclude attorney (and lay representative) communications from the rule’s disclosure requirements.  The Department notes, however, that the exclusion would not protect disclosure of these communications when otherwise ordered.  </w:t>
      </w:r>
      <w:r w:rsidRPr="00996F89">
        <w:rPr>
          <w:rFonts w:cs="Courier New"/>
          <w:i/>
          <w:szCs w:val="24"/>
        </w:rPr>
        <w:t xml:space="preserve">See, </w:t>
      </w:r>
      <w:proofErr w:type="spellStart"/>
      <w:r w:rsidRPr="00996F89">
        <w:rPr>
          <w:rFonts w:cs="Courier New"/>
          <w:i/>
          <w:szCs w:val="24"/>
        </w:rPr>
        <w:t>e.g</w:t>
      </w:r>
      <w:proofErr w:type="spellEnd"/>
      <w:r w:rsidRPr="00996F89">
        <w:rPr>
          <w:rFonts w:cs="Courier New"/>
          <w:i/>
          <w:szCs w:val="24"/>
        </w:rPr>
        <w:t xml:space="preserve">, </w:t>
      </w:r>
      <w:proofErr w:type="spellStart"/>
      <w:r w:rsidRPr="00996F89">
        <w:rPr>
          <w:rFonts w:cs="Courier New"/>
          <w:i/>
          <w:szCs w:val="24"/>
        </w:rPr>
        <w:t>Elm</w:t>
      </w:r>
      <w:proofErr w:type="spellEnd"/>
      <w:r w:rsidRPr="00996F89">
        <w:rPr>
          <w:rFonts w:cs="Courier New"/>
          <w:i/>
          <w:szCs w:val="24"/>
        </w:rPr>
        <w:t xml:space="preserve"> Grove Coal</w:t>
      </w:r>
      <w:r w:rsidRPr="00C86362">
        <w:rPr>
          <w:rFonts w:cs="Courier New"/>
          <w:szCs w:val="24"/>
        </w:rPr>
        <w:t xml:space="preserve">, 480 F.3d at 299-303.  The rule simply does not require their exchange.  </w:t>
      </w:r>
    </w:p>
    <w:p w:rsidR="002D7721" w:rsidRPr="00C86362" w:rsidRDefault="002D7721" w:rsidP="00B10304">
      <w:pPr>
        <w:widowControl/>
        <w:rPr>
          <w:rFonts w:cs="Courier New"/>
          <w:szCs w:val="24"/>
        </w:rPr>
      </w:pPr>
    </w:p>
    <w:p w:rsidR="002D7721" w:rsidRDefault="002D7721" w:rsidP="00B10304">
      <w:pPr>
        <w:widowControl/>
        <w:rPr>
          <w:rFonts w:cs="Courier New"/>
          <w:szCs w:val="24"/>
        </w:rPr>
      </w:pPr>
      <w:r w:rsidRPr="00C86362">
        <w:rPr>
          <w:rFonts w:cs="Courier New"/>
          <w:szCs w:val="24"/>
        </w:rPr>
        <w:t>Two commenters ask the Department to revise § 725.413(a) to include “an exhaustive list” of “medical information” that must be exchanged.  They claim that the proposed rule does not adequately describe the scope of covered information.  To illustrate, the commenters point to several examples, such as data the Social Security Administration considers “health information” (</w:t>
      </w:r>
      <w:r w:rsidRPr="00996F89">
        <w:rPr>
          <w:rFonts w:cs="Courier New"/>
          <w:i/>
          <w:szCs w:val="24"/>
        </w:rPr>
        <w:t>e.g.</w:t>
      </w:r>
      <w:r w:rsidRPr="00C86362">
        <w:rPr>
          <w:rFonts w:cs="Courier New"/>
          <w:szCs w:val="24"/>
        </w:rPr>
        <w:t xml:space="preserve">, a patient’s method of bill payment) and suggest that “medical information” could be construed to include such data.   </w:t>
      </w:r>
    </w:p>
    <w:p w:rsidR="002D7721" w:rsidRPr="00C86362" w:rsidRDefault="002D7721" w:rsidP="00B10304">
      <w:pPr>
        <w:widowControl/>
        <w:rPr>
          <w:rFonts w:cs="Courier New"/>
          <w:szCs w:val="24"/>
        </w:rPr>
      </w:pPr>
    </w:p>
    <w:p w:rsidR="002D7721" w:rsidRPr="00C86362" w:rsidRDefault="002D7721" w:rsidP="00B10304">
      <w:pPr>
        <w:widowControl/>
        <w:rPr>
          <w:rFonts w:cs="Courier New"/>
          <w:szCs w:val="24"/>
        </w:rPr>
      </w:pPr>
      <w:r w:rsidRPr="00C86362">
        <w:rPr>
          <w:rFonts w:cs="Courier New"/>
          <w:szCs w:val="24"/>
        </w:rPr>
        <w:t>The Department has not added a complete list of “medical information” to the final rule.   As explained, the rule expressly limits disclosure to medical information developed in connection with a claim for benefits and, with the exception of an examining physician’s report, further limits required disclosure to data addressing the miner’s respiratory or pulmonary condition.  These two limitations serve to substantially narrow and define the scope of information that must be exchanged with opposing parties (</w:t>
      </w:r>
      <w:r w:rsidRPr="00996F89">
        <w:rPr>
          <w:rFonts w:cs="Courier New"/>
          <w:i/>
          <w:szCs w:val="24"/>
        </w:rPr>
        <w:t>e.g.</w:t>
      </w:r>
      <w:r w:rsidRPr="00C86362">
        <w:rPr>
          <w:rFonts w:cs="Courier New"/>
          <w:szCs w:val="24"/>
        </w:rPr>
        <w:t xml:space="preserve">, data about a billing method would not meet the criteria).  </w:t>
      </w:r>
    </w:p>
    <w:p w:rsidR="002D7721" w:rsidRDefault="002D7721" w:rsidP="00B10304">
      <w:pPr>
        <w:widowControl/>
        <w:rPr>
          <w:rFonts w:cs="Courier New"/>
          <w:szCs w:val="24"/>
        </w:rPr>
      </w:pPr>
      <w:r w:rsidRPr="00C86362">
        <w:rPr>
          <w:rFonts w:cs="Courier New"/>
          <w:szCs w:val="24"/>
        </w:rPr>
        <w:t xml:space="preserve">Moreover, developing an exhaustive list would not be practical because it could easily omit relevant medical data.  Another black lung program regulation (20 CFR 718.107(a) (2014) correctly countenances the possibility that medical testing methods other than those explicitly addressed in the regulations may be used to evaluate a miner’s respiratory or pulmonary condition.   </w:t>
      </w:r>
      <w:r w:rsidRPr="00996F89">
        <w:rPr>
          <w:rFonts w:cs="Courier New"/>
          <w:i/>
          <w:szCs w:val="24"/>
        </w:rPr>
        <w:t>See id</w:t>
      </w:r>
      <w:r w:rsidRPr="00C86362">
        <w:rPr>
          <w:rFonts w:cs="Courier New"/>
          <w:szCs w:val="24"/>
        </w:rPr>
        <w:t xml:space="preserve">. (allowing for admission of “any medically </w:t>
      </w:r>
      <w:r w:rsidRPr="00C86362">
        <w:rPr>
          <w:rFonts w:cs="Courier New"/>
          <w:szCs w:val="24"/>
        </w:rPr>
        <w:lastRenderedPageBreak/>
        <w:t>acceptable test or procedure reported by a physician and not addressed in this subpart, which tends to demonstrate the presence or absence of pneumoconiosis, the sequelae of pneumoconiosis or a respiratory or pulmonary impairment”).  Adopting a finite list in § 725.413 could inadvertently exclude otherwise important data, especially as testing methods evolve in the future.</w:t>
      </w:r>
    </w:p>
    <w:p w:rsidR="002D7721" w:rsidRPr="00C86362" w:rsidRDefault="002D7721" w:rsidP="00B10304">
      <w:pPr>
        <w:widowControl/>
        <w:rPr>
          <w:rFonts w:cs="Courier New"/>
          <w:szCs w:val="24"/>
        </w:rPr>
      </w:pPr>
      <w:r w:rsidRPr="00C86362">
        <w:rPr>
          <w:rFonts w:cs="Courier New"/>
          <w:szCs w:val="24"/>
        </w:rPr>
        <w:t xml:space="preserve"> </w:t>
      </w:r>
    </w:p>
    <w:p w:rsidR="00C7697A" w:rsidRPr="00F40750" w:rsidRDefault="002D7721" w:rsidP="00B10304">
      <w:pPr>
        <w:widowControl/>
        <w:rPr>
          <w:rFonts w:cs="Courier New"/>
          <w:szCs w:val="24"/>
        </w:rPr>
      </w:pPr>
      <w:r w:rsidRPr="00C86362">
        <w:rPr>
          <w:rFonts w:cs="Courier New"/>
          <w:szCs w:val="24"/>
        </w:rPr>
        <w:t>Two commenters ask the Department to clarify whether the form in which the party receives the medical information (</w:t>
      </w:r>
      <w:r w:rsidRPr="00996F89">
        <w:rPr>
          <w:rFonts w:cs="Courier New"/>
          <w:i/>
          <w:szCs w:val="24"/>
        </w:rPr>
        <w:t>i.e.</w:t>
      </w:r>
      <w:r w:rsidRPr="00C86362">
        <w:rPr>
          <w:rFonts w:cs="Courier New"/>
          <w:szCs w:val="24"/>
        </w:rPr>
        <w:t>, written, electronic, or orally) affects the duty under § 725.413 to exchange that information.  As proposed, § 725.413(a</w:t>
      </w:r>
      <w:proofErr w:type="gramStart"/>
      <w:r w:rsidRPr="00C86362">
        <w:rPr>
          <w:rFonts w:cs="Courier New"/>
          <w:szCs w:val="24"/>
        </w:rPr>
        <w:t>)(</w:t>
      </w:r>
      <w:proofErr w:type="gramEnd"/>
      <w:r w:rsidRPr="00C86362">
        <w:rPr>
          <w:rFonts w:cs="Courier New"/>
          <w:szCs w:val="24"/>
        </w:rPr>
        <w:t>1) and (2) require the parties to exchange physicians’ “written or testimonial assessment of the miner.”  The remainder of the rule is silent regarding the form of the communication.  The Department agrees that the rule should be clarified on this point and has revised paragraph (a) in the final rule.  With this change, the Department intends to make all written medical information, whether received in electronic (</w:t>
      </w:r>
      <w:r w:rsidRPr="00996F89">
        <w:rPr>
          <w:rFonts w:cs="Courier New"/>
          <w:i/>
          <w:szCs w:val="24"/>
        </w:rPr>
        <w:t>e.g.</w:t>
      </w:r>
      <w:r w:rsidRPr="00C86362">
        <w:rPr>
          <w:rFonts w:cs="Courier New"/>
          <w:szCs w:val="24"/>
        </w:rPr>
        <w:t>, e-mail, facsimile, Web portal or other electronic media) or hard-copy format, subject to § 725.413’s requirements.  This would also include testimonial medical information resulting from depositions (</w:t>
      </w:r>
      <w:r w:rsidRPr="00996F89">
        <w:rPr>
          <w:rFonts w:cs="Courier New"/>
          <w:i/>
          <w:szCs w:val="24"/>
        </w:rPr>
        <w:t>e.g.</w:t>
      </w:r>
      <w:r w:rsidRPr="00C86362">
        <w:rPr>
          <w:rFonts w:cs="Courier New"/>
          <w:szCs w:val="24"/>
        </w:rPr>
        <w:t>, transcripts of depositions).  But the rule is not intended to cover oral communications.  The Department has no mechanism to monitor oral communications, and compliance with such a rule would be impossible to enforce.</w:t>
      </w:r>
    </w:p>
    <w:p w:rsidR="00BC1397" w:rsidRPr="00F40750" w:rsidRDefault="00BC1397" w:rsidP="00B10304">
      <w:pPr>
        <w:widowControl/>
        <w:tabs>
          <w:tab w:val="left" w:pos="-720"/>
        </w:tabs>
        <w:rPr>
          <w:rFonts w:cs="Courier New"/>
          <w:szCs w:val="24"/>
        </w:rPr>
      </w:pPr>
    </w:p>
    <w:p w:rsidR="000A0BDB" w:rsidRPr="00F40750" w:rsidRDefault="000A0BDB" w:rsidP="00B10304">
      <w:pPr>
        <w:widowControl/>
        <w:tabs>
          <w:tab w:val="num" w:pos="600"/>
        </w:tabs>
        <w:rPr>
          <w:rFonts w:cs="Courier New"/>
          <w:b/>
          <w:szCs w:val="24"/>
        </w:rPr>
      </w:pPr>
      <w:r w:rsidRPr="00F40750">
        <w:rPr>
          <w:rFonts w:cs="Courier New"/>
          <w:b/>
          <w:szCs w:val="24"/>
        </w:rPr>
        <w:t>9.</w:t>
      </w:r>
      <w:r w:rsidRPr="00F40750">
        <w:rPr>
          <w:rFonts w:cs="Courier New"/>
          <w:b/>
          <w:szCs w:val="24"/>
        </w:rPr>
        <w:tab/>
        <w:t>Explain any decision to provide any payment or gift to respondents, other than remuneration of contractors or grantees.</w:t>
      </w:r>
    </w:p>
    <w:p w:rsidR="000A0BDB" w:rsidRPr="00F40750" w:rsidRDefault="000A0BDB" w:rsidP="00B10304">
      <w:pPr>
        <w:widowControl/>
        <w:tabs>
          <w:tab w:val="left" w:pos="-720"/>
        </w:tabs>
        <w:rPr>
          <w:rFonts w:cs="Courier New"/>
          <w:szCs w:val="24"/>
          <w:highlight w:val="yellow"/>
        </w:rPr>
      </w:pPr>
    </w:p>
    <w:p w:rsidR="00BC1397" w:rsidRPr="00F40750" w:rsidRDefault="00BC1397" w:rsidP="00B10304">
      <w:pPr>
        <w:widowControl/>
        <w:tabs>
          <w:tab w:val="left" w:pos="-720"/>
        </w:tabs>
        <w:rPr>
          <w:rFonts w:cs="Courier New"/>
          <w:szCs w:val="24"/>
        </w:rPr>
      </w:pPr>
      <w:r w:rsidRPr="00F40750">
        <w:rPr>
          <w:rFonts w:cs="Courier New"/>
          <w:szCs w:val="24"/>
        </w:rPr>
        <w:t xml:space="preserve">There </w:t>
      </w:r>
      <w:r w:rsidR="00513351">
        <w:rPr>
          <w:rFonts w:cs="Courier New"/>
          <w:szCs w:val="24"/>
        </w:rPr>
        <w:t>would be</w:t>
      </w:r>
      <w:r w:rsidR="00513351" w:rsidRPr="00F40750">
        <w:rPr>
          <w:rFonts w:cs="Courier New"/>
          <w:szCs w:val="24"/>
        </w:rPr>
        <w:t xml:space="preserve"> </w:t>
      </w:r>
      <w:r w:rsidRPr="00F40750">
        <w:rPr>
          <w:rFonts w:cs="Courier New"/>
          <w:szCs w:val="24"/>
        </w:rPr>
        <w:t>no payments or gifts made to respondents.</w:t>
      </w:r>
    </w:p>
    <w:p w:rsidR="00BC1397" w:rsidRPr="00F40750" w:rsidRDefault="00BC1397" w:rsidP="00B10304">
      <w:pPr>
        <w:widowControl/>
        <w:tabs>
          <w:tab w:val="left" w:pos="-720"/>
        </w:tabs>
        <w:rPr>
          <w:rFonts w:cs="Courier New"/>
          <w:szCs w:val="24"/>
          <w:highlight w:val="yellow"/>
        </w:rPr>
      </w:pPr>
    </w:p>
    <w:p w:rsidR="000A0BDB" w:rsidRPr="00F40750" w:rsidRDefault="000A0BDB" w:rsidP="00B10304">
      <w:pPr>
        <w:widowControl/>
        <w:tabs>
          <w:tab w:val="num" w:pos="720"/>
        </w:tabs>
        <w:rPr>
          <w:rFonts w:cs="Courier New"/>
          <w:b/>
          <w:szCs w:val="24"/>
        </w:rPr>
      </w:pPr>
      <w:r w:rsidRPr="00F40750">
        <w:rPr>
          <w:rFonts w:cs="Courier New"/>
          <w:b/>
          <w:szCs w:val="24"/>
        </w:rPr>
        <w:t>10.</w:t>
      </w:r>
      <w:r w:rsidRPr="00F40750">
        <w:rPr>
          <w:rFonts w:cs="Courier New"/>
          <w:b/>
          <w:szCs w:val="24"/>
        </w:rPr>
        <w:tab/>
        <w:t>Describe any assurance of confidentiality provided to respondents and the basis for the assurance in statute, regulations, or agency policy.</w:t>
      </w:r>
    </w:p>
    <w:p w:rsidR="00C7697A" w:rsidRPr="00F40750" w:rsidRDefault="00C7697A" w:rsidP="00B10304">
      <w:pPr>
        <w:widowControl/>
        <w:rPr>
          <w:rFonts w:cs="Courier New"/>
          <w:szCs w:val="24"/>
        </w:rPr>
      </w:pPr>
    </w:p>
    <w:p w:rsidR="002D2C8E" w:rsidRPr="00F40750" w:rsidRDefault="00EF70AF" w:rsidP="00B10304">
      <w:pPr>
        <w:widowControl/>
        <w:rPr>
          <w:rFonts w:cs="Courier New"/>
          <w:szCs w:val="24"/>
        </w:rPr>
      </w:pPr>
      <w:r>
        <w:rPr>
          <w:rFonts w:cs="Courier New"/>
          <w:szCs w:val="24"/>
        </w:rPr>
        <w:t>Claimants who file an application for BLBA benefits are provided a Privacy Act notice that explains how the Department will use the information (</w:t>
      </w:r>
      <w:r>
        <w:rPr>
          <w:rFonts w:cs="Courier New"/>
          <w:i/>
          <w:szCs w:val="24"/>
        </w:rPr>
        <w:t>i.e.</w:t>
      </w:r>
      <w:r>
        <w:rPr>
          <w:rFonts w:cs="Courier New"/>
          <w:szCs w:val="24"/>
        </w:rPr>
        <w:t>, to adjudicate claims) and with whom the information may be shared (</w:t>
      </w:r>
      <w:r>
        <w:rPr>
          <w:rFonts w:cs="Courier New"/>
          <w:i/>
          <w:szCs w:val="24"/>
        </w:rPr>
        <w:t>i.e.,</w:t>
      </w:r>
      <w:r>
        <w:rPr>
          <w:rFonts w:cs="Courier New"/>
          <w:szCs w:val="24"/>
        </w:rPr>
        <w:t xml:space="preserve"> potentially liable coal mine operators and insurance carriers; individuals or entities adjudicating the claim; medical providers for use in treatment or claims evaluations; and governmental entities for law enforcement or proper payment purposes).</w:t>
      </w:r>
      <w:r w:rsidR="006E3386">
        <w:rPr>
          <w:rFonts w:cs="Courier New"/>
          <w:szCs w:val="24"/>
        </w:rPr>
        <w:t xml:space="preserve">  These records are governed by </w:t>
      </w:r>
      <w:r w:rsidR="00A33FFE">
        <w:rPr>
          <w:rFonts w:cs="Courier New"/>
          <w:szCs w:val="24"/>
        </w:rPr>
        <w:t>Systems of Records Notices DOL/ESA-6 (</w:t>
      </w:r>
      <w:r w:rsidR="00A33FFE" w:rsidRPr="00A33FFE">
        <w:rPr>
          <w:rFonts w:cs="Courier New"/>
          <w:szCs w:val="24"/>
        </w:rPr>
        <w:t>Office of Workers' Compensation, Black Lung Benefits Claim File</w:t>
      </w:r>
      <w:r w:rsidR="00A33FFE">
        <w:rPr>
          <w:rFonts w:cs="Courier New"/>
          <w:szCs w:val="24"/>
        </w:rPr>
        <w:t xml:space="preserve">) and </w:t>
      </w:r>
      <w:r w:rsidR="00A33FFE">
        <w:rPr>
          <w:rFonts w:cs="Courier New"/>
          <w:szCs w:val="24"/>
        </w:rPr>
        <w:lastRenderedPageBreak/>
        <w:t>DOL/ESA-30 (</w:t>
      </w:r>
      <w:r w:rsidR="00A33FFE" w:rsidRPr="00A33FFE">
        <w:rPr>
          <w:rFonts w:cs="Courier New"/>
          <w:szCs w:val="24"/>
        </w:rPr>
        <w:t>Office of Workers' Compensation Programs, Black Lung Automated Support Package</w:t>
      </w:r>
      <w:r w:rsidR="00A33FFE">
        <w:rPr>
          <w:rFonts w:cs="Courier New"/>
          <w:szCs w:val="24"/>
        </w:rPr>
        <w:t xml:space="preserve">).  </w:t>
      </w:r>
      <w:r w:rsidR="00A33FFE" w:rsidRPr="003E31DE">
        <w:rPr>
          <w:rFonts w:cs="Courier New"/>
          <w:szCs w:val="24"/>
        </w:rPr>
        <w:t>See</w:t>
      </w:r>
      <w:r w:rsidR="00A33FFE">
        <w:rPr>
          <w:rFonts w:cs="Courier New"/>
          <w:szCs w:val="24"/>
        </w:rPr>
        <w:t xml:space="preserve"> </w:t>
      </w:r>
      <w:r w:rsidR="00A33FFE" w:rsidRPr="00A33FFE">
        <w:rPr>
          <w:rFonts w:cs="Courier New"/>
          <w:szCs w:val="24"/>
        </w:rPr>
        <w:t xml:space="preserve">67 </w:t>
      </w:r>
      <w:r w:rsidR="00A33FFE">
        <w:rPr>
          <w:rFonts w:cs="Courier New"/>
          <w:szCs w:val="24"/>
        </w:rPr>
        <w:t>FR</w:t>
      </w:r>
      <w:r w:rsidR="00A33FFE" w:rsidRPr="00A33FFE">
        <w:rPr>
          <w:rFonts w:cs="Courier New"/>
          <w:szCs w:val="24"/>
        </w:rPr>
        <w:t xml:space="preserve"> 16816</w:t>
      </w:r>
      <w:r w:rsidR="00A33FFE">
        <w:rPr>
          <w:rFonts w:cs="Courier New"/>
          <w:szCs w:val="24"/>
        </w:rPr>
        <w:t>.</w:t>
      </w:r>
      <w:r>
        <w:rPr>
          <w:rFonts w:cs="Courier New"/>
          <w:szCs w:val="24"/>
        </w:rPr>
        <w:t xml:space="preserve">     </w:t>
      </w:r>
    </w:p>
    <w:p w:rsidR="00BC1397" w:rsidRPr="00F40750" w:rsidRDefault="00BC1397" w:rsidP="00B10304">
      <w:pPr>
        <w:widowControl/>
        <w:tabs>
          <w:tab w:val="left" w:pos="-720"/>
        </w:tabs>
        <w:rPr>
          <w:rFonts w:cs="Courier New"/>
          <w:szCs w:val="24"/>
        </w:rPr>
      </w:pPr>
    </w:p>
    <w:p w:rsidR="000A0BDB" w:rsidRPr="00F40750" w:rsidRDefault="000A0BDB" w:rsidP="00B10304">
      <w:pPr>
        <w:widowControl/>
        <w:numPr>
          <w:ilvl w:val="0"/>
          <w:numId w:val="8"/>
        </w:numPr>
        <w:tabs>
          <w:tab w:val="clear" w:pos="1080"/>
          <w:tab w:val="num" w:pos="0"/>
        </w:tabs>
        <w:ind w:left="0" w:firstLine="0"/>
        <w:rPr>
          <w:rFonts w:cs="Courier New"/>
          <w:b/>
          <w:szCs w:val="24"/>
        </w:rPr>
      </w:pPr>
      <w:r w:rsidRPr="00F40750">
        <w:rPr>
          <w:rFonts w:cs="Courier New"/>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0BDB" w:rsidRPr="00F40750" w:rsidRDefault="000A0BDB" w:rsidP="00B10304">
      <w:pPr>
        <w:widowControl/>
        <w:rPr>
          <w:rFonts w:cs="Courier New"/>
          <w:b/>
          <w:szCs w:val="24"/>
          <w:highlight w:val="yellow"/>
        </w:rPr>
      </w:pPr>
    </w:p>
    <w:p w:rsidR="00BC1397" w:rsidRPr="00F40750" w:rsidRDefault="00F7300E" w:rsidP="00B10304">
      <w:pPr>
        <w:widowControl/>
        <w:tabs>
          <w:tab w:val="left" w:pos="-720"/>
        </w:tabs>
        <w:rPr>
          <w:rFonts w:cs="Courier New"/>
          <w:szCs w:val="24"/>
        </w:rPr>
      </w:pPr>
      <w:r>
        <w:rPr>
          <w:rFonts w:cs="Courier New"/>
          <w:szCs w:val="24"/>
        </w:rPr>
        <w:t xml:space="preserve">Providing medical information may be considered sensitive; however, the exchange is necessary in the context of ensuring all parties have the necessary information to </w:t>
      </w:r>
      <w:r w:rsidR="009F4DA5">
        <w:rPr>
          <w:rFonts w:cs="Courier New"/>
          <w:szCs w:val="24"/>
        </w:rPr>
        <w:t>protect their interests</w:t>
      </w:r>
      <w:r w:rsidR="00D125E1">
        <w:rPr>
          <w:rFonts w:cs="Courier New"/>
          <w:szCs w:val="24"/>
        </w:rPr>
        <w:t>.</w:t>
      </w:r>
    </w:p>
    <w:p w:rsidR="00C7697A" w:rsidRPr="00F40750" w:rsidRDefault="00C7697A" w:rsidP="00B10304">
      <w:pPr>
        <w:widowControl/>
        <w:tabs>
          <w:tab w:val="left" w:pos="-720"/>
        </w:tabs>
        <w:rPr>
          <w:rFonts w:cs="Courier New"/>
          <w:szCs w:val="24"/>
          <w:highlight w:val="yellow"/>
        </w:rPr>
      </w:pPr>
    </w:p>
    <w:p w:rsidR="00CF3F85" w:rsidRPr="00D5796C" w:rsidRDefault="00CF3F85" w:rsidP="00B10304">
      <w:pPr>
        <w:widowControl/>
        <w:tabs>
          <w:tab w:val="num" w:pos="720"/>
        </w:tabs>
        <w:rPr>
          <w:rFonts w:cs="Courier New"/>
          <w:b/>
          <w:szCs w:val="24"/>
        </w:rPr>
      </w:pPr>
      <w:r w:rsidRPr="00D5796C">
        <w:rPr>
          <w:rFonts w:cs="Courier New"/>
          <w:b/>
          <w:szCs w:val="24"/>
        </w:rPr>
        <w:t xml:space="preserve">12. </w:t>
      </w:r>
      <w:r w:rsidRPr="00D5796C">
        <w:rPr>
          <w:rFonts w:cs="Courier New"/>
          <w:b/>
          <w:szCs w:val="24"/>
        </w:rPr>
        <w:tab/>
        <w:t>Provide estimates of the hour burden of the collection of information.  The statement should:</w:t>
      </w:r>
    </w:p>
    <w:p w:rsidR="00CF3F85" w:rsidRPr="00D5796C" w:rsidRDefault="00CF3F85" w:rsidP="00B10304">
      <w:pPr>
        <w:widowControl/>
        <w:tabs>
          <w:tab w:val="num" w:pos="993"/>
        </w:tabs>
        <w:rPr>
          <w:rFonts w:cs="Courier New"/>
          <w:b/>
          <w:szCs w:val="24"/>
        </w:rPr>
      </w:pPr>
    </w:p>
    <w:p w:rsidR="00CF3F85" w:rsidRPr="00D5796C" w:rsidRDefault="00CF3F85" w:rsidP="00B10304">
      <w:pPr>
        <w:widowControl/>
        <w:numPr>
          <w:ilvl w:val="0"/>
          <w:numId w:val="11"/>
        </w:numPr>
        <w:tabs>
          <w:tab w:val="clear" w:pos="1429"/>
          <w:tab w:val="num" w:pos="1080"/>
        </w:tabs>
        <w:ind w:left="1080"/>
        <w:rPr>
          <w:rFonts w:cs="Courier New"/>
          <w:b/>
          <w:szCs w:val="24"/>
        </w:rPr>
      </w:pPr>
      <w:r w:rsidRPr="00D5796C">
        <w:rPr>
          <w:rFonts w:cs="Courier New"/>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CF3F85" w:rsidRDefault="00CF3F85" w:rsidP="00B10304">
      <w:pPr>
        <w:widowControl/>
        <w:rPr>
          <w:rFonts w:cs="Courier New"/>
          <w:szCs w:val="24"/>
        </w:rPr>
      </w:pPr>
    </w:p>
    <w:p w:rsidR="000C3CF9" w:rsidRDefault="006347F9" w:rsidP="00B10304">
      <w:pPr>
        <w:widowControl/>
        <w:rPr>
          <w:rFonts w:cs="Courier New"/>
          <w:szCs w:val="24"/>
        </w:rPr>
      </w:pPr>
      <w:r>
        <w:rPr>
          <w:rFonts w:cs="Courier New"/>
          <w:szCs w:val="24"/>
        </w:rPr>
        <w:t>As noted above (</w:t>
      </w:r>
      <w:r>
        <w:rPr>
          <w:rFonts w:cs="Courier New"/>
          <w:i/>
          <w:szCs w:val="24"/>
        </w:rPr>
        <w:t>see</w:t>
      </w:r>
      <w:r>
        <w:rPr>
          <w:rFonts w:cs="Courier New"/>
          <w:szCs w:val="24"/>
        </w:rPr>
        <w:t xml:space="preserve"> response to no. 5), the Department does not believe this </w:t>
      </w:r>
      <w:r w:rsidR="000C3CF9">
        <w:rPr>
          <w:rFonts w:cs="Courier New"/>
          <w:szCs w:val="24"/>
        </w:rPr>
        <w:t>information collection will have a large impact on the parties to black lung benefits claims.  But b</w:t>
      </w:r>
      <w:r>
        <w:rPr>
          <w:rFonts w:cs="Courier New"/>
          <w:szCs w:val="24"/>
        </w:rPr>
        <w:t xml:space="preserve">ecause this </w:t>
      </w:r>
      <w:r w:rsidR="000C3CF9">
        <w:rPr>
          <w:rFonts w:cs="Courier New"/>
          <w:szCs w:val="24"/>
        </w:rPr>
        <w:t xml:space="preserve">information collection has not been conducted in the past, the Department has chosen to </w:t>
      </w:r>
      <w:r w:rsidR="00F40750" w:rsidRPr="00F40750">
        <w:rPr>
          <w:rFonts w:cs="Courier New"/>
          <w:szCs w:val="24"/>
        </w:rPr>
        <w:t xml:space="preserve">develop upper-bound </w:t>
      </w:r>
      <w:r w:rsidR="000C3CF9">
        <w:rPr>
          <w:rFonts w:cs="Courier New"/>
          <w:szCs w:val="24"/>
        </w:rPr>
        <w:t xml:space="preserve">burden </w:t>
      </w:r>
      <w:r w:rsidR="00F40750" w:rsidRPr="00F40750">
        <w:rPr>
          <w:rFonts w:cs="Courier New"/>
          <w:szCs w:val="24"/>
        </w:rPr>
        <w:t>estimate</w:t>
      </w:r>
      <w:r w:rsidR="000C3CF9">
        <w:rPr>
          <w:rFonts w:cs="Courier New"/>
          <w:szCs w:val="24"/>
        </w:rPr>
        <w:t xml:space="preserve">s.  These estimates likely overstate the actual burdens that would be imposed </w:t>
      </w:r>
      <w:r w:rsidR="00B47DDE">
        <w:rPr>
          <w:rFonts w:cs="Courier New"/>
          <w:szCs w:val="24"/>
        </w:rPr>
        <w:t>with the Final Rule</w:t>
      </w:r>
      <w:r w:rsidR="000C3CF9">
        <w:rPr>
          <w:rFonts w:cs="Courier New"/>
          <w:szCs w:val="24"/>
        </w:rPr>
        <w:t xml:space="preserve">.  </w:t>
      </w:r>
    </w:p>
    <w:p w:rsidR="000C3CF9" w:rsidRDefault="000C3CF9" w:rsidP="00B10304">
      <w:pPr>
        <w:widowControl/>
        <w:rPr>
          <w:rFonts w:cs="Courier New"/>
          <w:szCs w:val="24"/>
        </w:rPr>
      </w:pPr>
    </w:p>
    <w:p w:rsidR="00F40750" w:rsidRPr="00F40750" w:rsidRDefault="000C3CF9" w:rsidP="00B10304">
      <w:pPr>
        <w:widowControl/>
        <w:rPr>
          <w:rFonts w:cs="Courier New"/>
          <w:szCs w:val="24"/>
        </w:rPr>
      </w:pPr>
      <w:r>
        <w:rPr>
          <w:rFonts w:cs="Courier New"/>
          <w:szCs w:val="24"/>
        </w:rPr>
        <w:t>The Department based this upper-bound</w:t>
      </w:r>
      <w:r w:rsidR="00F40750" w:rsidRPr="00F40750">
        <w:rPr>
          <w:rFonts w:cs="Courier New"/>
          <w:szCs w:val="24"/>
        </w:rPr>
        <w:t xml:space="preserve"> </w:t>
      </w:r>
      <w:r>
        <w:rPr>
          <w:rFonts w:cs="Courier New"/>
          <w:szCs w:val="24"/>
        </w:rPr>
        <w:t xml:space="preserve">estimate </w:t>
      </w:r>
      <w:r w:rsidR="00F40750" w:rsidRPr="00F40750">
        <w:rPr>
          <w:rFonts w:cs="Courier New"/>
          <w:szCs w:val="24"/>
        </w:rPr>
        <w:t>on the following factors:  (1) the number of black lung cases adjudicated by OWCP and the Office of Administrative Law Judges in Fiscal Year 201</w:t>
      </w:r>
      <w:r w:rsidR="00E013FF">
        <w:rPr>
          <w:rFonts w:cs="Courier New"/>
          <w:szCs w:val="24"/>
        </w:rPr>
        <w:t>5</w:t>
      </w:r>
      <w:r w:rsidR="00F40750" w:rsidRPr="00F40750">
        <w:rPr>
          <w:rFonts w:cs="Courier New"/>
          <w:szCs w:val="24"/>
        </w:rPr>
        <w:t xml:space="preserve">, which totaled </w:t>
      </w:r>
      <w:r w:rsidR="00D15609">
        <w:rPr>
          <w:rFonts w:cs="Courier New"/>
          <w:szCs w:val="24"/>
        </w:rPr>
        <w:t>6,472</w:t>
      </w:r>
      <w:r w:rsidR="00F40750" w:rsidRPr="00F40750">
        <w:rPr>
          <w:rFonts w:cs="Courier New"/>
          <w:szCs w:val="24"/>
        </w:rPr>
        <w:t xml:space="preserve"> claims; and (2) the assumption that in each </w:t>
      </w:r>
      <w:r w:rsidR="00F40750" w:rsidRPr="00F40750">
        <w:rPr>
          <w:rFonts w:cs="Courier New"/>
          <w:szCs w:val="24"/>
        </w:rPr>
        <w:lastRenderedPageBreak/>
        <w:t>claim, one party had to disclose three pages of medical information to two other parties (i.e. the claimant, the coal mine operator/insurance carrier, or the Director, OWCP).  The Department chose the three-page measure because many supplemental medical opinions or interpretations of test results (such as an X-ray reading) fall within this limit.</w:t>
      </w:r>
      <w:r w:rsidR="006347F9">
        <w:rPr>
          <w:rFonts w:cs="Courier New"/>
          <w:szCs w:val="24"/>
        </w:rPr>
        <w:t xml:space="preserve">  </w:t>
      </w:r>
    </w:p>
    <w:p w:rsidR="00F40750" w:rsidRPr="00F40750" w:rsidRDefault="00F40750" w:rsidP="00B10304">
      <w:pPr>
        <w:widowControl/>
        <w:rPr>
          <w:rFonts w:cs="Courier New"/>
          <w:szCs w:val="24"/>
        </w:rPr>
      </w:pPr>
      <w:r w:rsidRPr="00F40750">
        <w:rPr>
          <w:rFonts w:cs="Courier New"/>
          <w:szCs w:val="24"/>
        </w:rPr>
        <w:t xml:space="preserve">The hour burden estimate of this information collection is approximately </w:t>
      </w:r>
      <w:r w:rsidR="00B461E4">
        <w:rPr>
          <w:rFonts w:cs="Courier New"/>
          <w:szCs w:val="24"/>
        </w:rPr>
        <w:t>1,079</w:t>
      </w:r>
      <w:r w:rsidRPr="00F40750">
        <w:rPr>
          <w:rFonts w:cs="Courier New"/>
          <w:szCs w:val="24"/>
        </w:rPr>
        <w:t xml:space="preserve"> hours.  This burden is based on </w:t>
      </w:r>
      <w:r w:rsidR="00D15609">
        <w:rPr>
          <w:rFonts w:cs="Courier New"/>
          <w:szCs w:val="24"/>
        </w:rPr>
        <w:t>6,472</w:t>
      </w:r>
      <w:r w:rsidRPr="00F40750">
        <w:rPr>
          <w:rFonts w:cs="Courier New"/>
          <w:szCs w:val="24"/>
        </w:rPr>
        <w:t xml:space="preserve"> claims, where each claim requires the respondent to photocopy and mail 3-pages of medical evidence to two other parties.  Respondent will spend an estimate of 10 minutes to identify the medical evidence, photocopy the documents, address envelopes, affix postage, and mail the documents to two other parties.</w:t>
      </w:r>
    </w:p>
    <w:p w:rsidR="00F40750" w:rsidRPr="00F40750" w:rsidRDefault="00F40750" w:rsidP="00B10304">
      <w:pPr>
        <w:widowControl/>
        <w:rPr>
          <w:rFonts w:cs="Courier New"/>
          <w:szCs w:val="24"/>
        </w:rPr>
      </w:pPr>
    </w:p>
    <w:p w:rsidR="00F40750" w:rsidRPr="00F40750" w:rsidRDefault="00D15609" w:rsidP="00B10304">
      <w:pPr>
        <w:widowControl/>
        <w:rPr>
          <w:rFonts w:cs="Courier New"/>
          <w:szCs w:val="24"/>
        </w:rPr>
      </w:pPr>
      <w:r>
        <w:rPr>
          <w:rFonts w:cs="Courier New"/>
          <w:szCs w:val="24"/>
        </w:rPr>
        <w:t>6,472</w:t>
      </w:r>
      <w:r w:rsidR="00F40750" w:rsidRPr="00F40750">
        <w:rPr>
          <w:rFonts w:cs="Courier New"/>
          <w:szCs w:val="24"/>
        </w:rPr>
        <w:t xml:space="preserve"> </w:t>
      </w:r>
      <w:r w:rsidR="009F4DA5">
        <w:rPr>
          <w:rFonts w:cs="Courier New"/>
          <w:szCs w:val="24"/>
        </w:rPr>
        <w:t xml:space="preserve">responses </w:t>
      </w:r>
      <w:r w:rsidR="00F40750" w:rsidRPr="00F40750">
        <w:rPr>
          <w:rFonts w:cs="Courier New"/>
          <w:szCs w:val="24"/>
        </w:rPr>
        <w:t xml:space="preserve">X 10 </w:t>
      </w:r>
      <w:r w:rsidR="009F4DA5">
        <w:rPr>
          <w:rFonts w:cs="Courier New"/>
          <w:szCs w:val="24"/>
        </w:rPr>
        <w:t xml:space="preserve">minutes </w:t>
      </w:r>
      <w:r w:rsidR="00F40750" w:rsidRPr="00F40750">
        <w:rPr>
          <w:rFonts w:cs="Courier New"/>
          <w:szCs w:val="24"/>
        </w:rPr>
        <w:t xml:space="preserve">= </w:t>
      </w:r>
      <w:r w:rsidR="00B461E4">
        <w:rPr>
          <w:rFonts w:cs="Courier New"/>
          <w:szCs w:val="24"/>
        </w:rPr>
        <w:t>64,720</w:t>
      </w:r>
      <w:r w:rsidR="00F40750" w:rsidRPr="00F40750">
        <w:rPr>
          <w:rFonts w:cs="Courier New"/>
          <w:szCs w:val="24"/>
        </w:rPr>
        <w:t xml:space="preserve"> </w:t>
      </w:r>
      <w:r w:rsidR="009F4DA5">
        <w:rPr>
          <w:rFonts w:cs="Courier New"/>
          <w:szCs w:val="24"/>
        </w:rPr>
        <w:t>minutes or</w:t>
      </w:r>
      <w:r w:rsidR="00F40750" w:rsidRPr="00F40750">
        <w:rPr>
          <w:rFonts w:cs="Courier New"/>
          <w:szCs w:val="24"/>
        </w:rPr>
        <w:t xml:space="preserve"> </w:t>
      </w:r>
      <w:r w:rsidR="00B461E4">
        <w:rPr>
          <w:rFonts w:cs="Courier New"/>
          <w:szCs w:val="24"/>
        </w:rPr>
        <w:t>1,079 (1,078.67 rounded up to 1,079)</w:t>
      </w:r>
      <w:r w:rsidR="00F40750" w:rsidRPr="00F40750">
        <w:rPr>
          <w:rFonts w:cs="Courier New"/>
          <w:szCs w:val="24"/>
        </w:rPr>
        <w:t xml:space="preserve"> hours</w:t>
      </w:r>
      <w:r w:rsidR="009F4DA5">
        <w:rPr>
          <w:rFonts w:cs="Courier New"/>
          <w:szCs w:val="24"/>
        </w:rPr>
        <w:t>.</w:t>
      </w:r>
    </w:p>
    <w:p w:rsidR="00F40750" w:rsidRPr="00F40750" w:rsidRDefault="00F40750" w:rsidP="00B10304">
      <w:pPr>
        <w:widowControl/>
        <w:rPr>
          <w:rFonts w:cs="Courier New"/>
          <w:szCs w:val="24"/>
        </w:rPr>
      </w:pPr>
    </w:p>
    <w:p w:rsidR="00F40750" w:rsidRPr="00F40750" w:rsidRDefault="00F40750" w:rsidP="00B10304">
      <w:pPr>
        <w:widowControl/>
        <w:rPr>
          <w:rFonts w:cs="Courier New"/>
          <w:szCs w:val="24"/>
        </w:rPr>
      </w:pPr>
      <w:r w:rsidRPr="00F40750">
        <w:rPr>
          <w:rFonts w:cs="Courier New"/>
          <w:szCs w:val="24"/>
        </w:rPr>
        <w:t xml:space="preserve">The estimated annualized </w:t>
      </w:r>
      <w:r w:rsidR="009F4DA5">
        <w:rPr>
          <w:rFonts w:cs="Courier New"/>
          <w:szCs w:val="24"/>
        </w:rPr>
        <w:t>value</w:t>
      </w:r>
      <w:r w:rsidRPr="00F40750">
        <w:rPr>
          <w:rFonts w:cs="Courier New"/>
          <w:szCs w:val="24"/>
        </w:rPr>
        <w:t xml:space="preserve"> </w:t>
      </w:r>
      <w:r w:rsidR="00170A77">
        <w:rPr>
          <w:rFonts w:cs="Courier New"/>
          <w:szCs w:val="24"/>
        </w:rPr>
        <w:t xml:space="preserve">of the burden hours </w:t>
      </w:r>
      <w:r w:rsidRPr="00F40750">
        <w:rPr>
          <w:rFonts w:cs="Courier New"/>
          <w:szCs w:val="24"/>
        </w:rPr>
        <w:t>to respondents to take this action is $</w:t>
      </w:r>
      <w:r w:rsidR="00B461E4">
        <w:rPr>
          <w:rFonts w:cs="Courier New"/>
          <w:szCs w:val="24"/>
        </w:rPr>
        <w:t>23,</w:t>
      </w:r>
      <w:r w:rsidR="009F4DA5">
        <w:rPr>
          <w:rFonts w:cs="Courier New"/>
          <w:szCs w:val="24"/>
        </w:rPr>
        <w:t>263</w:t>
      </w:r>
      <w:r w:rsidRPr="00F40750">
        <w:rPr>
          <w:rFonts w:cs="Courier New"/>
          <w:szCs w:val="24"/>
        </w:rPr>
        <w:t xml:space="preserve"> (</w:t>
      </w:r>
      <w:r w:rsidR="00B461E4">
        <w:rPr>
          <w:rFonts w:cs="Courier New"/>
          <w:szCs w:val="24"/>
        </w:rPr>
        <w:t>1,079</w:t>
      </w:r>
      <w:r w:rsidRPr="00F40750">
        <w:rPr>
          <w:rFonts w:cs="Courier New"/>
          <w:szCs w:val="24"/>
        </w:rPr>
        <w:t xml:space="preserve"> hours X $21.</w:t>
      </w:r>
      <w:r w:rsidR="009F4DA5">
        <w:rPr>
          <w:rFonts w:cs="Courier New"/>
          <w:szCs w:val="24"/>
        </w:rPr>
        <w:t>56</w:t>
      </w:r>
      <w:r w:rsidRPr="00F40750">
        <w:rPr>
          <w:rFonts w:cs="Courier New"/>
          <w:szCs w:val="24"/>
        </w:rPr>
        <w:t xml:space="preserve"> per hour).  This hourly wage is </w:t>
      </w:r>
      <w:r w:rsidR="009F4DA5">
        <w:rPr>
          <w:rFonts w:cs="Courier New"/>
          <w:szCs w:val="24"/>
        </w:rPr>
        <w:t>the median identified in</w:t>
      </w:r>
      <w:r w:rsidR="005F3B42">
        <w:rPr>
          <w:rFonts w:cs="Courier New"/>
          <w:szCs w:val="24"/>
        </w:rPr>
        <w:t xml:space="preserve"> </w:t>
      </w:r>
      <w:r w:rsidRPr="00F40750">
        <w:rPr>
          <w:rFonts w:cs="Courier New"/>
          <w:szCs w:val="24"/>
        </w:rPr>
        <w:t xml:space="preserve">the Occupational Earnings Tables: United States, May 2014, </w:t>
      </w:r>
      <w:hyperlink r:id="rId9" w:history="1">
        <w:r w:rsidRPr="00F40750">
          <w:rPr>
            <w:rStyle w:val="Hyperlink"/>
            <w:rFonts w:cs="Courier New"/>
            <w:szCs w:val="24"/>
          </w:rPr>
          <w:t>http://www.bls.gov/oes/current/oes436012.htm</w:t>
        </w:r>
      </w:hyperlink>
      <w:r w:rsidRPr="00F40750">
        <w:rPr>
          <w:rFonts w:cs="Courier New"/>
          <w:szCs w:val="24"/>
        </w:rPr>
        <w:t>, published by t</w:t>
      </w:r>
      <w:r w:rsidR="00B47DDE">
        <w:rPr>
          <w:rFonts w:cs="Courier New"/>
          <w:szCs w:val="24"/>
        </w:rPr>
        <w:t xml:space="preserve">he Bureau of Labor Statistics, </w:t>
      </w:r>
      <w:r w:rsidRPr="00F40750">
        <w:rPr>
          <w:rFonts w:cs="Courier New"/>
          <w:szCs w:val="24"/>
        </w:rPr>
        <w:t>under the heading of Occupational Employment and Wages, Legal Secretaries</w:t>
      </w:r>
      <w:r w:rsidR="009F4DA5">
        <w:rPr>
          <w:rFonts w:cs="Courier New"/>
          <w:szCs w:val="24"/>
        </w:rPr>
        <w:t>.</w:t>
      </w:r>
    </w:p>
    <w:p w:rsidR="00F40750" w:rsidRPr="00F40750" w:rsidRDefault="00F40750" w:rsidP="00B10304">
      <w:pPr>
        <w:widowControl/>
        <w:rPr>
          <w:rFonts w:cs="Courier New"/>
          <w:szCs w:val="24"/>
        </w:rPr>
      </w:pPr>
    </w:p>
    <w:p w:rsidR="00F40750" w:rsidRPr="00F40750" w:rsidRDefault="00F40750" w:rsidP="00B10304">
      <w:pPr>
        <w:widowControl/>
        <w:rPr>
          <w:rFonts w:cs="Courier New"/>
          <w:szCs w:val="24"/>
        </w:rPr>
      </w:pPr>
      <w:r w:rsidRPr="00F40750">
        <w:rPr>
          <w:rFonts w:cs="Courier New"/>
          <w:szCs w:val="24"/>
        </w:rPr>
        <w:t xml:space="preserve"> </w:t>
      </w:r>
      <w:r w:rsidR="00B461E4">
        <w:rPr>
          <w:rFonts w:cs="Courier New"/>
          <w:szCs w:val="24"/>
        </w:rPr>
        <w:t>1,079</w:t>
      </w:r>
      <w:r w:rsidRPr="00F40750">
        <w:rPr>
          <w:rFonts w:cs="Courier New"/>
          <w:szCs w:val="24"/>
        </w:rPr>
        <w:t xml:space="preserve"> hours X $21.</w:t>
      </w:r>
      <w:r w:rsidR="009F4DA5">
        <w:rPr>
          <w:rFonts w:cs="Courier New"/>
          <w:szCs w:val="24"/>
        </w:rPr>
        <w:t>56</w:t>
      </w:r>
      <w:r w:rsidRPr="00F40750">
        <w:rPr>
          <w:rFonts w:cs="Courier New"/>
          <w:szCs w:val="24"/>
        </w:rPr>
        <w:t xml:space="preserve"> per hour = $</w:t>
      </w:r>
      <w:r w:rsidR="00B461E4">
        <w:rPr>
          <w:rFonts w:cs="Courier New"/>
          <w:szCs w:val="24"/>
        </w:rPr>
        <w:t>23,</w:t>
      </w:r>
      <w:r w:rsidR="009F4DA5">
        <w:rPr>
          <w:rFonts w:cs="Courier New"/>
          <w:szCs w:val="24"/>
        </w:rPr>
        <w:t>263.24</w:t>
      </w:r>
    </w:p>
    <w:p w:rsidR="00F40750" w:rsidRPr="00F40750" w:rsidRDefault="00F40750" w:rsidP="00B10304">
      <w:pPr>
        <w:widowControl/>
        <w:rPr>
          <w:rFonts w:cs="Courier New"/>
          <w:szCs w:val="24"/>
        </w:rPr>
      </w:pPr>
    </w:p>
    <w:p w:rsidR="00F40750" w:rsidRPr="00CF3F85" w:rsidRDefault="00F40750" w:rsidP="00B10304">
      <w:pPr>
        <w:widowControl/>
        <w:rPr>
          <w:rFonts w:cs="Courier New"/>
          <w:b/>
          <w:szCs w:val="24"/>
        </w:rPr>
      </w:pPr>
      <w:r w:rsidRPr="00CF3F85">
        <w:rPr>
          <w:rFonts w:cs="Courier New"/>
          <w:b/>
          <w:szCs w:val="24"/>
        </w:rPr>
        <w:t>13. Annual Costs to Respondents (capital/start-up &amp; operation and maintenance).</w:t>
      </w:r>
    </w:p>
    <w:p w:rsidR="00F40750" w:rsidRPr="00F40750" w:rsidRDefault="00F40750" w:rsidP="00B10304">
      <w:pPr>
        <w:widowControl/>
        <w:rPr>
          <w:rFonts w:cs="Courier New"/>
          <w:szCs w:val="24"/>
        </w:rPr>
      </w:pPr>
    </w:p>
    <w:p w:rsidR="00F40750" w:rsidRPr="00F40750" w:rsidRDefault="00170A77" w:rsidP="00B10304">
      <w:pPr>
        <w:widowControl/>
        <w:rPr>
          <w:rFonts w:cs="Courier New"/>
          <w:szCs w:val="24"/>
        </w:rPr>
      </w:pPr>
      <w:r w:rsidRPr="00170A77">
        <w:rPr>
          <w:rFonts w:cs="Courier New"/>
          <w:szCs w:val="24"/>
        </w:rPr>
        <w:t xml:space="preserve">This information collection </w:t>
      </w:r>
      <w:r>
        <w:rPr>
          <w:rFonts w:cs="Courier New"/>
          <w:szCs w:val="24"/>
        </w:rPr>
        <w:t>would</w:t>
      </w:r>
      <w:r w:rsidRPr="00170A77">
        <w:rPr>
          <w:rFonts w:cs="Courier New"/>
          <w:szCs w:val="24"/>
        </w:rPr>
        <w:t xml:space="preserve"> not require the use of systems or technology for </w:t>
      </w:r>
      <w:r>
        <w:rPr>
          <w:rFonts w:cs="Courier New"/>
          <w:szCs w:val="24"/>
        </w:rPr>
        <w:t>exchanging</w:t>
      </w:r>
      <w:r w:rsidRPr="00170A77">
        <w:rPr>
          <w:rFonts w:cs="Courier New"/>
          <w:szCs w:val="24"/>
        </w:rPr>
        <w:t xml:space="preserve"> data</w:t>
      </w:r>
      <w:r>
        <w:rPr>
          <w:rFonts w:cs="Courier New"/>
          <w:szCs w:val="24"/>
        </w:rPr>
        <w:t xml:space="preserve"> beyond those</w:t>
      </w:r>
      <w:r w:rsidRPr="00170A77">
        <w:rPr>
          <w:rFonts w:cs="Courier New"/>
          <w:szCs w:val="24"/>
        </w:rPr>
        <w:t xml:space="preserve"> </w:t>
      </w:r>
      <w:r>
        <w:rPr>
          <w:rFonts w:cs="Courier New"/>
          <w:szCs w:val="24"/>
        </w:rPr>
        <w:t xml:space="preserve">respondents </w:t>
      </w:r>
      <w:r w:rsidRPr="00170A77">
        <w:rPr>
          <w:rFonts w:cs="Courier New"/>
          <w:szCs w:val="24"/>
        </w:rPr>
        <w:t xml:space="preserve">already </w:t>
      </w:r>
      <w:r>
        <w:rPr>
          <w:rFonts w:cs="Courier New"/>
          <w:szCs w:val="24"/>
        </w:rPr>
        <w:t xml:space="preserve">use in </w:t>
      </w:r>
      <w:r w:rsidRPr="00170A77">
        <w:rPr>
          <w:rFonts w:cs="Courier New"/>
          <w:szCs w:val="24"/>
        </w:rPr>
        <w:t>customary business practice.  Th</w:t>
      </w:r>
      <w:r>
        <w:rPr>
          <w:rFonts w:cs="Courier New"/>
          <w:szCs w:val="24"/>
        </w:rPr>
        <w:t xml:space="preserve">us, operational costs are limited to photocopying and mailing.  </w:t>
      </w:r>
      <w:r w:rsidR="00F40750" w:rsidRPr="00F40750">
        <w:rPr>
          <w:rFonts w:cs="Courier New"/>
          <w:szCs w:val="24"/>
        </w:rPr>
        <w:t xml:space="preserve">The </w:t>
      </w:r>
      <w:r>
        <w:rPr>
          <w:rFonts w:cs="Courier New"/>
          <w:szCs w:val="24"/>
        </w:rPr>
        <w:t xml:space="preserve">estimated </w:t>
      </w:r>
      <w:r w:rsidR="00F40750" w:rsidRPr="00F40750">
        <w:rPr>
          <w:rFonts w:cs="Courier New"/>
          <w:szCs w:val="24"/>
        </w:rPr>
        <w:t xml:space="preserve">annual </w:t>
      </w:r>
      <w:r>
        <w:rPr>
          <w:rFonts w:cs="Courier New"/>
          <w:szCs w:val="24"/>
        </w:rPr>
        <w:t xml:space="preserve">operational </w:t>
      </w:r>
      <w:r w:rsidR="00F40750" w:rsidRPr="00F40750">
        <w:rPr>
          <w:rFonts w:cs="Courier New"/>
          <w:szCs w:val="24"/>
        </w:rPr>
        <w:t xml:space="preserve">cost to respondents </w:t>
      </w:r>
      <w:r w:rsidR="00BD4132">
        <w:rPr>
          <w:rFonts w:cs="Courier New"/>
          <w:szCs w:val="24"/>
        </w:rPr>
        <w:t xml:space="preserve">is </w:t>
      </w:r>
      <w:r w:rsidR="00F40750" w:rsidRPr="00F40750">
        <w:rPr>
          <w:rFonts w:cs="Courier New"/>
          <w:szCs w:val="24"/>
        </w:rPr>
        <w:t>approximately $</w:t>
      </w:r>
      <w:r w:rsidR="00E013FF">
        <w:rPr>
          <w:rFonts w:cs="Courier New"/>
          <w:szCs w:val="24"/>
        </w:rPr>
        <w:t>10,614.08</w:t>
      </w:r>
      <w:r w:rsidR="00F40750" w:rsidRPr="00F40750">
        <w:rPr>
          <w:rFonts w:cs="Courier New"/>
          <w:szCs w:val="24"/>
        </w:rPr>
        <w:t xml:space="preserve">, which is based on </w:t>
      </w:r>
      <w:r w:rsidR="00933CF5">
        <w:rPr>
          <w:rFonts w:cs="Courier New"/>
          <w:szCs w:val="24"/>
        </w:rPr>
        <w:t>6,472</w:t>
      </w:r>
      <w:r w:rsidR="00F40750" w:rsidRPr="00F40750">
        <w:rPr>
          <w:rFonts w:cs="Courier New"/>
          <w:szCs w:val="24"/>
        </w:rPr>
        <w:t xml:space="preserve"> claims, where each claim requires the respondent to photocopy and mail 3-pages of medical evidence.  </w:t>
      </w:r>
    </w:p>
    <w:p w:rsidR="00F40750" w:rsidRPr="00F40750" w:rsidRDefault="00F40750" w:rsidP="00B10304">
      <w:pPr>
        <w:widowControl/>
        <w:rPr>
          <w:rFonts w:cs="Courier New"/>
          <w:szCs w:val="24"/>
        </w:rPr>
      </w:pPr>
    </w:p>
    <w:p w:rsidR="00F40750" w:rsidRPr="00F40750" w:rsidRDefault="00F40750" w:rsidP="00B10304">
      <w:pPr>
        <w:widowControl/>
        <w:rPr>
          <w:rFonts w:cs="Courier New"/>
          <w:szCs w:val="24"/>
        </w:rPr>
      </w:pPr>
      <w:r w:rsidRPr="00F40750">
        <w:rPr>
          <w:rFonts w:cs="Courier New"/>
          <w:szCs w:val="24"/>
        </w:rPr>
        <w:t>The cost to respondents to photocopy the medical documents is estimated at $</w:t>
      </w:r>
      <w:r w:rsidR="00933CF5">
        <w:rPr>
          <w:rFonts w:cs="Courier New"/>
          <w:szCs w:val="24"/>
        </w:rPr>
        <w:t>3,883.20</w:t>
      </w:r>
      <w:r w:rsidRPr="00F40750">
        <w:rPr>
          <w:rFonts w:cs="Courier New"/>
          <w:szCs w:val="24"/>
        </w:rPr>
        <w:t>, which is based on 3 documents photocopied for two parties of the claim.</w:t>
      </w:r>
    </w:p>
    <w:p w:rsidR="00F40750" w:rsidRPr="00F40750" w:rsidRDefault="00F40750" w:rsidP="00B10304">
      <w:pPr>
        <w:widowControl/>
        <w:rPr>
          <w:rFonts w:cs="Courier New"/>
          <w:szCs w:val="24"/>
        </w:rPr>
      </w:pPr>
    </w:p>
    <w:p w:rsidR="00F40750" w:rsidRPr="00F40750" w:rsidRDefault="00F40750" w:rsidP="00B10304">
      <w:pPr>
        <w:widowControl/>
        <w:rPr>
          <w:rFonts w:cs="Courier New"/>
          <w:szCs w:val="24"/>
        </w:rPr>
      </w:pPr>
      <w:r w:rsidRPr="00F40750">
        <w:rPr>
          <w:rFonts w:cs="Courier New"/>
          <w:szCs w:val="24"/>
        </w:rPr>
        <w:t>6 pages X $.10 a page = $.60</w:t>
      </w:r>
    </w:p>
    <w:p w:rsidR="00F40750" w:rsidRPr="00F40750" w:rsidRDefault="00F40750" w:rsidP="00B10304">
      <w:pPr>
        <w:widowControl/>
        <w:rPr>
          <w:rFonts w:cs="Courier New"/>
          <w:szCs w:val="24"/>
        </w:rPr>
      </w:pPr>
      <w:r w:rsidRPr="00F40750">
        <w:rPr>
          <w:rFonts w:cs="Courier New"/>
          <w:szCs w:val="24"/>
        </w:rPr>
        <w:t xml:space="preserve">$.60 X </w:t>
      </w:r>
      <w:r w:rsidR="00933CF5">
        <w:rPr>
          <w:rFonts w:cs="Courier New"/>
          <w:szCs w:val="24"/>
        </w:rPr>
        <w:t>6,472</w:t>
      </w:r>
      <w:r w:rsidRPr="00F40750">
        <w:rPr>
          <w:rFonts w:cs="Courier New"/>
          <w:szCs w:val="24"/>
        </w:rPr>
        <w:t xml:space="preserve"> = $</w:t>
      </w:r>
      <w:r w:rsidR="00933CF5">
        <w:rPr>
          <w:rFonts w:cs="Courier New"/>
          <w:szCs w:val="24"/>
        </w:rPr>
        <w:t>3,883.20</w:t>
      </w:r>
    </w:p>
    <w:p w:rsidR="00F40750" w:rsidRPr="00F40750" w:rsidRDefault="00F40750" w:rsidP="00B10304">
      <w:pPr>
        <w:widowControl/>
        <w:rPr>
          <w:rFonts w:cs="Courier New"/>
          <w:szCs w:val="24"/>
        </w:rPr>
      </w:pPr>
    </w:p>
    <w:p w:rsidR="00F40750" w:rsidRPr="00F40750" w:rsidRDefault="00F40750" w:rsidP="00B10304">
      <w:pPr>
        <w:widowControl/>
        <w:rPr>
          <w:rFonts w:cs="Courier New"/>
          <w:szCs w:val="24"/>
        </w:rPr>
      </w:pPr>
      <w:r w:rsidRPr="00F40750">
        <w:rPr>
          <w:rFonts w:cs="Courier New"/>
          <w:szCs w:val="24"/>
        </w:rPr>
        <w:lastRenderedPageBreak/>
        <w:t>The cost to respondents to mail the medical documents is estimated at $1.04 per mailing (49¢ stamp plus 3¢ for the envelope) to two parties of the claim, for a total respondent cost of $</w:t>
      </w:r>
      <w:r w:rsidR="00933CF5">
        <w:rPr>
          <w:rFonts w:cs="Courier New"/>
          <w:szCs w:val="24"/>
        </w:rPr>
        <w:t>6,730.88</w:t>
      </w:r>
      <w:r w:rsidRPr="00F40750">
        <w:rPr>
          <w:rFonts w:cs="Courier New"/>
          <w:szCs w:val="24"/>
        </w:rPr>
        <w:t xml:space="preserve"> ($1.04 x </w:t>
      </w:r>
      <w:r w:rsidR="00933CF5">
        <w:rPr>
          <w:rFonts w:cs="Courier New"/>
          <w:szCs w:val="24"/>
        </w:rPr>
        <w:t>6,472</w:t>
      </w:r>
      <w:r w:rsidRPr="00F40750">
        <w:rPr>
          <w:rFonts w:cs="Courier New"/>
          <w:szCs w:val="24"/>
        </w:rPr>
        <w:t>).</w:t>
      </w:r>
    </w:p>
    <w:p w:rsidR="00F40750" w:rsidRPr="00F40750" w:rsidRDefault="00F40750" w:rsidP="00B10304">
      <w:pPr>
        <w:widowControl/>
        <w:rPr>
          <w:rFonts w:cs="Courier New"/>
          <w:szCs w:val="24"/>
        </w:rPr>
      </w:pPr>
    </w:p>
    <w:p w:rsidR="00F40750" w:rsidRPr="00F40750" w:rsidRDefault="00E013FF" w:rsidP="00B10304">
      <w:pPr>
        <w:widowControl/>
        <w:rPr>
          <w:rFonts w:cs="Courier New"/>
          <w:szCs w:val="24"/>
        </w:rPr>
      </w:pPr>
      <w:r>
        <w:rPr>
          <w:rFonts w:cs="Courier New"/>
          <w:szCs w:val="24"/>
        </w:rPr>
        <w:t>6,472</w:t>
      </w:r>
      <w:r w:rsidR="00F40750" w:rsidRPr="00F40750">
        <w:rPr>
          <w:rFonts w:cs="Courier New"/>
          <w:szCs w:val="24"/>
        </w:rPr>
        <w:t xml:space="preserve"> X $1.04 = $</w:t>
      </w:r>
      <w:r>
        <w:rPr>
          <w:rFonts w:cs="Courier New"/>
          <w:szCs w:val="24"/>
        </w:rPr>
        <w:t>6,730.88</w:t>
      </w:r>
    </w:p>
    <w:p w:rsidR="00BC1397" w:rsidRPr="00F40750" w:rsidRDefault="00BC1397" w:rsidP="00B10304">
      <w:pPr>
        <w:widowControl/>
        <w:tabs>
          <w:tab w:val="left" w:pos="-720"/>
          <w:tab w:val="left" w:pos="0"/>
        </w:tabs>
        <w:rPr>
          <w:rFonts w:cs="Courier New"/>
          <w:szCs w:val="24"/>
        </w:rPr>
      </w:pPr>
    </w:p>
    <w:p w:rsidR="0044562D" w:rsidRPr="00F40750" w:rsidRDefault="0044562D" w:rsidP="00B10304">
      <w:pPr>
        <w:widowControl/>
        <w:rPr>
          <w:rFonts w:cs="Courier New"/>
          <w:b/>
          <w:szCs w:val="24"/>
        </w:rPr>
      </w:pPr>
      <w:r w:rsidRPr="00F40750">
        <w:rPr>
          <w:rFonts w:cs="Courier New"/>
          <w:b/>
          <w:szCs w:val="24"/>
        </w:rPr>
        <w:t>14.</w:t>
      </w:r>
      <w:r w:rsidRPr="00F40750">
        <w:rPr>
          <w:rFonts w:cs="Courier New"/>
          <w:b/>
          <w:szCs w:val="24"/>
        </w:rPr>
        <w:tab/>
        <w:t>Provide estimates of annualized cost to the Federal government.</w:t>
      </w:r>
    </w:p>
    <w:p w:rsidR="0044562D" w:rsidRPr="00F40750" w:rsidRDefault="0044562D" w:rsidP="00B10304">
      <w:pPr>
        <w:widowControl/>
        <w:rPr>
          <w:rFonts w:cs="Courier New"/>
          <w:b/>
          <w:szCs w:val="24"/>
        </w:rPr>
      </w:pPr>
    </w:p>
    <w:p w:rsidR="00431A5E" w:rsidRPr="00F40750" w:rsidRDefault="00431A5E" w:rsidP="00B10304">
      <w:pPr>
        <w:widowControl/>
        <w:rPr>
          <w:rFonts w:cs="Courier New"/>
          <w:szCs w:val="24"/>
        </w:rPr>
      </w:pPr>
      <w:r w:rsidRPr="00F40750">
        <w:rPr>
          <w:rFonts w:cs="Courier New"/>
          <w:szCs w:val="24"/>
        </w:rPr>
        <w:t>There are no annualized cost</w:t>
      </w:r>
      <w:r w:rsidR="00802A1E">
        <w:rPr>
          <w:rFonts w:cs="Courier New"/>
          <w:szCs w:val="24"/>
        </w:rPr>
        <w:t>s</w:t>
      </w:r>
      <w:r w:rsidRPr="00F40750">
        <w:rPr>
          <w:rFonts w:cs="Courier New"/>
          <w:szCs w:val="24"/>
        </w:rPr>
        <w:t xml:space="preserve"> to the Federal government</w:t>
      </w:r>
      <w:r w:rsidR="00802A1E">
        <w:rPr>
          <w:rFonts w:cs="Courier New"/>
          <w:szCs w:val="24"/>
        </w:rPr>
        <w:t xml:space="preserve">.  The Department usually submits any medical information it develops about a miner </w:t>
      </w:r>
      <w:r w:rsidR="00BD4132">
        <w:rPr>
          <w:rFonts w:cs="Courier New"/>
          <w:szCs w:val="24"/>
        </w:rPr>
        <w:t xml:space="preserve">as evidence </w:t>
      </w:r>
      <w:r w:rsidR="00802A1E">
        <w:rPr>
          <w:rFonts w:cs="Courier New"/>
          <w:szCs w:val="24"/>
        </w:rPr>
        <w:t xml:space="preserve">in the claim record.  Thus, the Department generally has no additional medical information that it would be required to exchange under the </w:t>
      </w:r>
      <w:r w:rsidR="0046119D">
        <w:rPr>
          <w:rFonts w:cs="Courier New"/>
          <w:szCs w:val="24"/>
        </w:rPr>
        <w:t>Final Rule</w:t>
      </w:r>
      <w:r w:rsidR="00802A1E">
        <w:rPr>
          <w:rFonts w:cs="Courier New"/>
          <w:szCs w:val="24"/>
        </w:rPr>
        <w:t xml:space="preserve">.      </w:t>
      </w:r>
      <w:r w:rsidRPr="00F40750">
        <w:rPr>
          <w:rFonts w:cs="Courier New"/>
          <w:szCs w:val="24"/>
        </w:rPr>
        <w:t xml:space="preserve"> </w:t>
      </w:r>
    </w:p>
    <w:p w:rsidR="0044562D" w:rsidRPr="00D5796C" w:rsidRDefault="0044562D" w:rsidP="00B10304">
      <w:pPr>
        <w:widowControl/>
        <w:tabs>
          <w:tab w:val="left" w:pos="-720"/>
        </w:tabs>
        <w:rPr>
          <w:rFonts w:cs="Courier New"/>
          <w:szCs w:val="24"/>
          <w:highlight w:val="yellow"/>
        </w:rPr>
      </w:pPr>
    </w:p>
    <w:p w:rsidR="0044562D" w:rsidRPr="00D5796C" w:rsidRDefault="0044562D" w:rsidP="00B10304">
      <w:pPr>
        <w:widowControl/>
        <w:rPr>
          <w:rFonts w:cs="Courier New"/>
          <w:b/>
          <w:bCs/>
          <w:szCs w:val="24"/>
        </w:rPr>
      </w:pPr>
      <w:r w:rsidRPr="00D5796C">
        <w:rPr>
          <w:rFonts w:cs="Courier New"/>
          <w:b/>
          <w:szCs w:val="24"/>
        </w:rPr>
        <w:t>15.</w:t>
      </w:r>
      <w:r w:rsidRPr="00D5796C">
        <w:rPr>
          <w:rFonts w:cs="Courier New"/>
          <w:szCs w:val="24"/>
        </w:rPr>
        <w:tab/>
      </w:r>
      <w:r w:rsidR="000E4454" w:rsidRPr="00D5796C">
        <w:rPr>
          <w:rFonts w:cs="Courier New"/>
          <w:b/>
          <w:szCs w:val="24"/>
        </w:rPr>
        <w:t>E</w:t>
      </w:r>
      <w:r w:rsidRPr="00D5796C">
        <w:rPr>
          <w:rFonts w:cs="Courier New"/>
          <w:b/>
          <w:bCs/>
          <w:szCs w:val="24"/>
        </w:rPr>
        <w:t>xplain the reasons for any program changes or adjustments.</w:t>
      </w:r>
    </w:p>
    <w:p w:rsidR="00C7697A" w:rsidRPr="00D5796C" w:rsidRDefault="00C7697A" w:rsidP="00B10304">
      <w:pPr>
        <w:widowControl/>
        <w:rPr>
          <w:rFonts w:cs="Courier New"/>
          <w:b/>
          <w:bCs/>
          <w:szCs w:val="24"/>
        </w:rPr>
      </w:pPr>
    </w:p>
    <w:p w:rsidR="00E96608" w:rsidRDefault="009F4DA5" w:rsidP="00B10304">
      <w:pPr>
        <w:widowControl/>
        <w:rPr>
          <w:rFonts w:cs="Courier New"/>
          <w:szCs w:val="24"/>
        </w:rPr>
      </w:pPr>
      <w:r>
        <w:rPr>
          <w:rFonts w:cs="Courier New"/>
          <w:szCs w:val="24"/>
        </w:rPr>
        <w:t>This is a new information collection</w:t>
      </w:r>
      <w:r w:rsidR="00BD4132">
        <w:rPr>
          <w:rFonts w:cs="Courier New"/>
          <w:szCs w:val="24"/>
        </w:rPr>
        <w:t>.</w:t>
      </w:r>
    </w:p>
    <w:p w:rsidR="006635DB" w:rsidRPr="00D5796C" w:rsidRDefault="006635DB" w:rsidP="00B10304">
      <w:pPr>
        <w:pStyle w:val="EndnoteText"/>
        <w:widowControl/>
        <w:tabs>
          <w:tab w:val="left" w:pos="-720"/>
        </w:tabs>
        <w:rPr>
          <w:rFonts w:cs="Courier New"/>
          <w:szCs w:val="24"/>
          <w:highlight w:val="yellow"/>
        </w:rPr>
      </w:pPr>
    </w:p>
    <w:p w:rsidR="0044562D" w:rsidRPr="00D5796C" w:rsidRDefault="0044562D" w:rsidP="00B10304">
      <w:pPr>
        <w:widowControl/>
        <w:rPr>
          <w:rFonts w:cs="Courier New"/>
          <w:szCs w:val="24"/>
        </w:rPr>
      </w:pPr>
      <w:r w:rsidRPr="00D5796C">
        <w:rPr>
          <w:rFonts w:cs="Courier New"/>
          <w:b/>
          <w:szCs w:val="24"/>
        </w:rPr>
        <w:t>16.</w:t>
      </w:r>
      <w:r w:rsidRPr="00D5796C">
        <w:rPr>
          <w:rFonts w:cs="Courier New"/>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4562D" w:rsidRPr="00D5796C" w:rsidRDefault="0044562D" w:rsidP="00B10304">
      <w:pPr>
        <w:widowControl/>
        <w:rPr>
          <w:rFonts w:cs="Courier New"/>
          <w:szCs w:val="24"/>
          <w:highlight w:val="yellow"/>
        </w:rPr>
      </w:pPr>
    </w:p>
    <w:p w:rsidR="00BC1397" w:rsidRPr="00D5796C" w:rsidRDefault="00C7697A" w:rsidP="00B10304">
      <w:pPr>
        <w:widowControl/>
        <w:tabs>
          <w:tab w:val="left" w:pos="-720"/>
        </w:tabs>
        <w:rPr>
          <w:rFonts w:cs="Courier New"/>
          <w:szCs w:val="24"/>
        </w:rPr>
      </w:pPr>
      <w:r w:rsidRPr="00D5796C">
        <w:rPr>
          <w:rFonts w:cs="Courier New"/>
          <w:szCs w:val="24"/>
        </w:rPr>
        <w:t xml:space="preserve">There are no plans to publish data collected </w:t>
      </w:r>
      <w:r w:rsidR="00E96608">
        <w:rPr>
          <w:rFonts w:cs="Courier New"/>
          <w:szCs w:val="24"/>
        </w:rPr>
        <w:t xml:space="preserve">as a result of this </w:t>
      </w:r>
      <w:r w:rsidR="00D125E1">
        <w:rPr>
          <w:rFonts w:cs="Courier New"/>
          <w:szCs w:val="24"/>
        </w:rPr>
        <w:t>information collection</w:t>
      </w:r>
      <w:r w:rsidRPr="00D5796C">
        <w:rPr>
          <w:rFonts w:cs="Courier New"/>
          <w:szCs w:val="24"/>
        </w:rPr>
        <w:t>.</w:t>
      </w:r>
    </w:p>
    <w:p w:rsidR="00BC1397" w:rsidRPr="00D5796C" w:rsidRDefault="00BC1397" w:rsidP="00B10304">
      <w:pPr>
        <w:widowControl/>
        <w:tabs>
          <w:tab w:val="left" w:pos="-720"/>
        </w:tabs>
        <w:rPr>
          <w:rFonts w:cs="Courier New"/>
          <w:szCs w:val="24"/>
          <w:highlight w:val="yellow"/>
        </w:rPr>
      </w:pPr>
    </w:p>
    <w:p w:rsidR="0044562D" w:rsidRPr="00D5796C" w:rsidRDefault="0044562D" w:rsidP="00B10304">
      <w:pPr>
        <w:widowControl/>
        <w:rPr>
          <w:rFonts w:cs="Courier New"/>
          <w:b/>
          <w:szCs w:val="24"/>
        </w:rPr>
      </w:pPr>
      <w:r w:rsidRPr="00D5796C">
        <w:rPr>
          <w:rFonts w:cs="Courier New"/>
          <w:b/>
          <w:bCs/>
          <w:szCs w:val="24"/>
        </w:rPr>
        <w:t>17.</w:t>
      </w:r>
      <w:r w:rsidRPr="00D5796C">
        <w:rPr>
          <w:rFonts w:cs="Courier New"/>
          <w:b/>
          <w:bCs/>
          <w:szCs w:val="24"/>
        </w:rPr>
        <w:tab/>
        <w:t>If seeking approval to not display the expiration date for OMB approval of the information collection, explain the reasons that display would be inappropriate.</w:t>
      </w:r>
    </w:p>
    <w:p w:rsidR="0044562D" w:rsidRPr="00D5796C" w:rsidRDefault="0044562D" w:rsidP="00B10304">
      <w:pPr>
        <w:widowControl/>
        <w:tabs>
          <w:tab w:val="num" w:pos="1134"/>
        </w:tabs>
        <w:rPr>
          <w:rFonts w:cs="Courier New"/>
          <w:b/>
          <w:szCs w:val="24"/>
        </w:rPr>
      </w:pPr>
    </w:p>
    <w:p w:rsidR="00C7697A" w:rsidRPr="00D5796C" w:rsidRDefault="009F4DA5" w:rsidP="00B10304">
      <w:pPr>
        <w:widowControl/>
        <w:rPr>
          <w:rFonts w:cs="Courier New"/>
          <w:szCs w:val="24"/>
        </w:rPr>
      </w:pPr>
      <w:r>
        <w:rPr>
          <w:rFonts w:cs="Courier New"/>
          <w:szCs w:val="24"/>
        </w:rPr>
        <w:t>The Department associates no forms with this information collection</w:t>
      </w:r>
      <w:r w:rsidR="00C7697A" w:rsidRPr="00D5796C">
        <w:rPr>
          <w:rFonts w:cs="Courier New"/>
          <w:szCs w:val="24"/>
        </w:rPr>
        <w:t>.</w:t>
      </w:r>
    </w:p>
    <w:p w:rsidR="00BC1397" w:rsidRPr="00D5796C" w:rsidRDefault="00BC1397" w:rsidP="00B10304">
      <w:pPr>
        <w:widowControl/>
        <w:tabs>
          <w:tab w:val="left" w:pos="-720"/>
        </w:tabs>
        <w:rPr>
          <w:rFonts w:cs="Courier New"/>
          <w:szCs w:val="24"/>
          <w:highlight w:val="yellow"/>
        </w:rPr>
      </w:pPr>
    </w:p>
    <w:p w:rsidR="0044562D" w:rsidRPr="00D5796C" w:rsidRDefault="0044562D" w:rsidP="00B10304">
      <w:pPr>
        <w:widowControl/>
        <w:rPr>
          <w:rFonts w:cs="Courier New"/>
          <w:b/>
          <w:bCs/>
          <w:szCs w:val="24"/>
        </w:rPr>
      </w:pPr>
      <w:r w:rsidRPr="00D5796C">
        <w:rPr>
          <w:rFonts w:cs="Courier New"/>
          <w:b/>
          <w:bCs/>
          <w:szCs w:val="24"/>
        </w:rPr>
        <w:t>18.</w:t>
      </w:r>
      <w:r w:rsidRPr="00D5796C">
        <w:rPr>
          <w:rFonts w:cs="Courier New"/>
          <w:b/>
          <w:bCs/>
          <w:szCs w:val="24"/>
        </w:rPr>
        <w:tab/>
        <w:t xml:space="preserve">Explain each exception to the certification statement identified in </w:t>
      </w:r>
      <w:r w:rsidR="00F3083B" w:rsidRPr="00D5796C">
        <w:rPr>
          <w:rFonts w:cs="Courier New"/>
          <w:b/>
          <w:bCs/>
          <w:szCs w:val="24"/>
        </w:rPr>
        <w:t>ROCIS</w:t>
      </w:r>
      <w:r w:rsidRPr="00D5796C">
        <w:rPr>
          <w:rFonts w:cs="Courier New"/>
          <w:b/>
          <w:bCs/>
          <w:szCs w:val="24"/>
        </w:rPr>
        <w:t>.</w:t>
      </w:r>
    </w:p>
    <w:p w:rsidR="0044562D" w:rsidRPr="00D5796C" w:rsidRDefault="0044562D" w:rsidP="00B10304">
      <w:pPr>
        <w:widowControl/>
        <w:tabs>
          <w:tab w:val="left" w:pos="-720"/>
          <w:tab w:val="left" w:pos="0"/>
        </w:tabs>
        <w:rPr>
          <w:rFonts w:cs="Courier New"/>
          <w:szCs w:val="24"/>
          <w:highlight w:val="yellow"/>
        </w:rPr>
      </w:pPr>
    </w:p>
    <w:p w:rsidR="00BC1397" w:rsidRPr="00D5796C" w:rsidRDefault="00C7697A" w:rsidP="00B10304">
      <w:pPr>
        <w:widowControl/>
        <w:tabs>
          <w:tab w:val="left" w:pos="-720"/>
          <w:tab w:val="left" w:pos="0"/>
        </w:tabs>
        <w:rPr>
          <w:rFonts w:cs="Courier New"/>
          <w:szCs w:val="24"/>
        </w:rPr>
      </w:pPr>
      <w:r w:rsidRPr="00D5796C">
        <w:rPr>
          <w:rFonts w:cs="Courier New"/>
          <w:szCs w:val="24"/>
        </w:rPr>
        <w:t>There are no exceptions to the certification statement.</w:t>
      </w:r>
    </w:p>
    <w:p w:rsidR="00AA3FB0" w:rsidRPr="00D5796C" w:rsidRDefault="00AA3FB0" w:rsidP="00B10304">
      <w:pPr>
        <w:widowControl/>
        <w:tabs>
          <w:tab w:val="left" w:pos="-720"/>
          <w:tab w:val="left" w:pos="0"/>
        </w:tabs>
        <w:rPr>
          <w:rFonts w:cs="Courier New"/>
          <w:szCs w:val="24"/>
        </w:rPr>
      </w:pPr>
    </w:p>
    <w:p w:rsidR="00AA3FB0" w:rsidRPr="00D5796C" w:rsidRDefault="00E921A1" w:rsidP="00B10304">
      <w:pPr>
        <w:widowControl/>
        <w:rPr>
          <w:rFonts w:cs="Courier New"/>
          <w:b/>
          <w:szCs w:val="24"/>
        </w:rPr>
      </w:pPr>
      <w:r w:rsidRPr="00D5796C">
        <w:rPr>
          <w:rFonts w:cs="Courier New"/>
          <w:b/>
          <w:szCs w:val="24"/>
        </w:rPr>
        <w:t xml:space="preserve">B. </w:t>
      </w:r>
      <w:r w:rsidRPr="00D5796C">
        <w:rPr>
          <w:rFonts w:cs="Courier New"/>
          <w:b/>
          <w:szCs w:val="24"/>
        </w:rPr>
        <w:tab/>
        <w:t>Collections of Information Employing Statistical Methods</w:t>
      </w:r>
    </w:p>
    <w:p w:rsidR="00AA3FB0" w:rsidRPr="00D5796C" w:rsidRDefault="00AA3FB0" w:rsidP="00B10304">
      <w:pPr>
        <w:widowControl/>
        <w:rPr>
          <w:rFonts w:cs="Courier New"/>
          <w:szCs w:val="24"/>
          <w:u w:val="single"/>
        </w:rPr>
      </w:pPr>
    </w:p>
    <w:p w:rsidR="00BC1397" w:rsidRPr="00D5796C" w:rsidRDefault="00E921A1" w:rsidP="00B10304">
      <w:pPr>
        <w:widowControl/>
        <w:rPr>
          <w:rFonts w:cs="Courier New"/>
          <w:szCs w:val="24"/>
        </w:rPr>
      </w:pPr>
      <w:r w:rsidRPr="00D5796C">
        <w:rPr>
          <w:rFonts w:cs="Courier New"/>
          <w:szCs w:val="24"/>
        </w:rPr>
        <w:t>Statistical methods are not used in these collections of information.</w:t>
      </w:r>
    </w:p>
    <w:sectPr w:rsidR="00BC1397" w:rsidRPr="00D5796C" w:rsidSect="00CF3F85">
      <w:headerReference w:type="default" r:id="rId10"/>
      <w:footerReference w:type="even" r:id="rId11"/>
      <w:footerReference w:type="default" r:id="rId12"/>
      <w:endnotePr>
        <w:numFmt w:val="decimal"/>
      </w:endnotePr>
      <w:pgSz w:w="12240" w:h="15840"/>
      <w:pgMar w:top="1296" w:right="1440" w:bottom="1296" w:left="1440" w:header="47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290" w:rsidRDefault="00035290">
      <w:pPr>
        <w:spacing w:line="20" w:lineRule="exact"/>
      </w:pPr>
    </w:p>
  </w:endnote>
  <w:endnote w:type="continuationSeparator" w:id="0">
    <w:p w:rsidR="00035290" w:rsidRDefault="00035290">
      <w:r>
        <w:t xml:space="preserve"> </w:t>
      </w:r>
    </w:p>
  </w:endnote>
  <w:endnote w:type="continuationNotice" w:id="1">
    <w:p w:rsidR="00035290" w:rsidRDefault="0003529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75328E"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end"/>
    </w:r>
  </w:p>
  <w:p w:rsidR="00506326" w:rsidRDefault="00506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326" w:rsidRDefault="0075328E" w:rsidP="000C42D7">
    <w:pPr>
      <w:pStyle w:val="Footer"/>
      <w:framePr w:wrap="around" w:vAnchor="text" w:hAnchor="margin" w:xAlign="center" w:y="1"/>
      <w:rPr>
        <w:rStyle w:val="PageNumber"/>
      </w:rPr>
    </w:pPr>
    <w:r>
      <w:rPr>
        <w:rStyle w:val="PageNumber"/>
      </w:rPr>
      <w:fldChar w:fldCharType="begin"/>
    </w:r>
    <w:r w:rsidR="00506326">
      <w:rPr>
        <w:rStyle w:val="PageNumber"/>
      </w:rPr>
      <w:instrText xml:space="preserve">PAGE  </w:instrText>
    </w:r>
    <w:r>
      <w:rPr>
        <w:rStyle w:val="PageNumber"/>
      </w:rPr>
      <w:fldChar w:fldCharType="separate"/>
    </w:r>
    <w:r w:rsidR="003B0C23">
      <w:rPr>
        <w:rStyle w:val="PageNumber"/>
        <w:noProof/>
      </w:rPr>
      <w:t>2</w:t>
    </w:r>
    <w:r>
      <w:rPr>
        <w:rStyle w:val="PageNumber"/>
      </w:rPr>
      <w:fldChar w:fldCharType="end"/>
    </w:r>
  </w:p>
  <w:p w:rsidR="00506326" w:rsidRDefault="00506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290" w:rsidRDefault="00035290">
      <w:r>
        <w:separator/>
      </w:r>
    </w:p>
  </w:footnote>
  <w:footnote w:type="continuationSeparator" w:id="0">
    <w:p w:rsidR="00035290" w:rsidRDefault="00035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304" w:rsidRDefault="00B10304">
    <w:pPr>
      <w:pStyle w:val="Header"/>
    </w:pPr>
    <w:r w:rsidRPr="00B10304">
      <w:t>Disclosure of Medical Evidence</w:t>
    </w:r>
  </w:p>
  <w:p w:rsidR="00B10304" w:rsidRDefault="00B10304">
    <w:pPr>
      <w:pStyle w:val="Header"/>
    </w:pPr>
    <w:r>
      <w:t>1240-0054</w:t>
    </w:r>
  </w:p>
  <w:p w:rsidR="00B10304" w:rsidRDefault="00B10304">
    <w:pPr>
      <w:pStyle w:val="Header"/>
    </w:pPr>
    <w:r>
      <w:t>March 2016</w:t>
    </w:r>
  </w:p>
  <w:p w:rsidR="00B10304" w:rsidRDefault="00B103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7D21E7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84A228C"/>
    <w:multiLevelType w:val="hybridMultilevel"/>
    <w:tmpl w:val="3B582A2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
    <w:nsid w:val="117F7171"/>
    <w:multiLevelType w:val="singleLevel"/>
    <w:tmpl w:val="7B446112"/>
    <w:lvl w:ilvl="0">
      <w:start w:val="2"/>
      <w:numFmt w:val="decimal"/>
      <w:lvlText w:val="%1."/>
      <w:lvlJc w:val="left"/>
      <w:pPr>
        <w:tabs>
          <w:tab w:val="num" w:pos="600"/>
        </w:tabs>
        <w:ind w:left="600" w:hanging="600"/>
      </w:pPr>
      <w:rPr>
        <w:rFonts w:hint="default"/>
      </w:rPr>
    </w:lvl>
  </w:abstractNum>
  <w:abstractNum w:abstractNumId="3">
    <w:nsid w:val="1D307052"/>
    <w:multiLevelType w:val="singleLevel"/>
    <w:tmpl w:val="816EE76E"/>
    <w:lvl w:ilvl="0">
      <w:start w:val="3"/>
      <w:numFmt w:val="decimal"/>
      <w:lvlText w:val="%1."/>
      <w:lvlJc w:val="left"/>
      <w:pPr>
        <w:tabs>
          <w:tab w:val="num" w:pos="600"/>
        </w:tabs>
        <w:ind w:left="600" w:hanging="600"/>
      </w:pPr>
      <w:rPr>
        <w:rFonts w:hint="default"/>
      </w:rPr>
    </w:lvl>
  </w:abstractNum>
  <w:abstractNum w:abstractNumId="4">
    <w:nsid w:val="328F5749"/>
    <w:multiLevelType w:val="singleLevel"/>
    <w:tmpl w:val="EFA2DB52"/>
    <w:lvl w:ilvl="0">
      <w:start w:val="1"/>
      <w:numFmt w:val="decimal"/>
      <w:lvlText w:val="%1."/>
      <w:lvlJc w:val="left"/>
      <w:pPr>
        <w:tabs>
          <w:tab w:val="num" w:pos="600"/>
        </w:tabs>
        <w:ind w:left="600" w:hanging="600"/>
      </w:pPr>
      <w:rPr>
        <w:rFonts w:hint="default"/>
        <w:b/>
      </w:rPr>
    </w:lvl>
  </w:abstractNum>
  <w:abstractNum w:abstractNumId="5">
    <w:nsid w:val="37323209"/>
    <w:multiLevelType w:val="hybridMultilevel"/>
    <w:tmpl w:val="DA523308"/>
    <w:lvl w:ilvl="0" w:tplc="0D56F02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9187CA1"/>
    <w:multiLevelType w:val="hybridMultilevel"/>
    <w:tmpl w:val="021C4D9C"/>
    <w:lvl w:ilvl="0" w:tplc="B40491F6">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4D7D0B7B"/>
    <w:multiLevelType w:val="singleLevel"/>
    <w:tmpl w:val="4FD61AD2"/>
    <w:lvl w:ilvl="0">
      <w:start w:val="15"/>
      <w:numFmt w:val="decimal"/>
      <w:lvlText w:val="%1."/>
      <w:lvlJc w:val="left"/>
      <w:pPr>
        <w:tabs>
          <w:tab w:val="num" w:pos="735"/>
        </w:tabs>
        <w:ind w:left="735" w:hanging="735"/>
      </w:pPr>
      <w:rPr>
        <w:rFonts w:hint="default"/>
      </w:rPr>
    </w:lvl>
  </w:abstractNum>
  <w:abstractNum w:abstractNumId="8">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AEE4415"/>
    <w:multiLevelType w:val="singleLevel"/>
    <w:tmpl w:val="37DC4518"/>
    <w:lvl w:ilvl="0">
      <w:start w:val="18"/>
      <w:numFmt w:val="decimal"/>
      <w:lvlText w:val="%1."/>
      <w:lvlJc w:val="left"/>
      <w:pPr>
        <w:tabs>
          <w:tab w:val="num" w:pos="720"/>
        </w:tabs>
        <w:ind w:left="720" w:hanging="720"/>
      </w:pPr>
      <w:rPr>
        <w:rFonts w:hint="default"/>
      </w:rPr>
    </w:lvl>
  </w:abstractNum>
  <w:num w:numId="1">
    <w:abstractNumId w:val="11"/>
  </w:num>
  <w:num w:numId="2">
    <w:abstractNumId w:val="3"/>
  </w:num>
  <w:num w:numId="3">
    <w:abstractNumId w:val="2"/>
  </w:num>
  <w:num w:numId="4">
    <w:abstractNumId w:val="4"/>
  </w:num>
  <w:num w:numId="5">
    <w:abstractNumId w:val="7"/>
  </w:num>
  <w:num w:numId="6">
    <w:abstractNumId w:val="0"/>
  </w:num>
  <w:num w:numId="7">
    <w:abstractNumId w:val="5"/>
  </w:num>
  <w:num w:numId="8">
    <w:abstractNumId w:val="8"/>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FC6"/>
    <w:rsid w:val="000135F2"/>
    <w:rsid w:val="00034976"/>
    <w:rsid w:val="00035290"/>
    <w:rsid w:val="00042129"/>
    <w:rsid w:val="00043157"/>
    <w:rsid w:val="00045191"/>
    <w:rsid w:val="00062608"/>
    <w:rsid w:val="00066282"/>
    <w:rsid w:val="000668D0"/>
    <w:rsid w:val="0007703E"/>
    <w:rsid w:val="00084C0F"/>
    <w:rsid w:val="000941E7"/>
    <w:rsid w:val="0009793B"/>
    <w:rsid w:val="000A0BDB"/>
    <w:rsid w:val="000A3304"/>
    <w:rsid w:val="000A51FD"/>
    <w:rsid w:val="000B4B4F"/>
    <w:rsid w:val="000B59B2"/>
    <w:rsid w:val="000C2E19"/>
    <w:rsid w:val="000C3CF9"/>
    <w:rsid w:val="000C42D7"/>
    <w:rsid w:val="000C521D"/>
    <w:rsid w:val="000C5C4F"/>
    <w:rsid w:val="000E4454"/>
    <w:rsid w:val="000E790A"/>
    <w:rsid w:val="000F7363"/>
    <w:rsid w:val="00105EB2"/>
    <w:rsid w:val="00115686"/>
    <w:rsid w:val="00117A3A"/>
    <w:rsid w:val="00117B23"/>
    <w:rsid w:val="00124AEA"/>
    <w:rsid w:val="001338F4"/>
    <w:rsid w:val="00156399"/>
    <w:rsid w:val="00161F85"/>
    <w:rsid w:val="0017041D"/>
    <w:rsid w:val="001705B2"/>
    <w:rsid w:val="00170A77"/>
    <w:rsid w:val="001721CD"/>
    <w:rsid w:val="00174010"/>
    <w:rsid w:val="00177FA7"/>
    <w:rsid w:val="001868C0"/>
    <w:rsid w:val="00190498"/>
    <w:rsid w:val="00191CC6"/>
    <w:rsid w:val="001A55C1"/>
    <w:rsid w:val="001B2BCF"/>
    <w:rsid w:val="001C2EB7"/>
    <w:rsid w:val="001C524B"/>
    <w:rsid w:val="001C7F2A"/>
    <w:rsid w:val="001D1C6C"/>
    <w:rsid w:val="001D479E"/>
    <w:rsid w:val="001D505A"/>
    <w:rsid w:val="001D5153"/>
    <w:rsid w:val="001D7E1A"/>
    <w:rsid w:val="001D7E75"/>
    <w:rsid w:val="001E093D"/>
    <w:rsid w:val="001E1778"/>
    <w:rsid w:val="002108B1"/>
    <w:rsid w:val="00210912"/>
    <w:rsid w:val="002128BA"/>
    <w:rsid w:val="00220CB4"/>
    <w:rsid w:val="00222675"/>
    <w:rsid w:val="002330F3"/>
    <w:rsid w:val="002400B7"/>
    <w:rsid w:val="0024263F"/>
    <w:rsid w:val="0024525E"/>
    <w:rsid w:val="00257DDB"/>
    <w:rsid w:val="00257E3A"/>
    <w:rsid w:val="0026513A"/>
    <w:rsid w:val="002729F8"/>
    <w:rsid w:val="0027308A"/>
    <w:rsid w:val="002771F1"/>
    <w:rsid w:val="00285D2A"/>
    <w:rsid w:val="00286D3A"/>
    <w:rsid w:val="00294D52"/>
    <w:rsid w:val="002A0624"/>
    <w:rsid w:val="002A35D8"/>
    <w:rsid w:val="002C2298"/>
    <w:rsid w:val="002C6AFC"/>
    <w:rsid w:val="002C72E0"/>
    <w:rsid w:val="002D2C8E"/>
    <w:rsid w:val="002D7721"/>
    <w:rsid w:val="002E0EBC"/>
    <w:rsid w:val="002E10F4"/>
    <w:rsid w:val="002F0AE0"/>
    <w:rsid w:val="002F7A42"/>
    <w:rsid w:val="003019F6"/>
    <w:rsid w:val="00307C27"/>
    <w:rsid w:val="003102B7"/>
    <w:rsid w:val="00316C3A"/>
    <w:rsid w:val="00327838"/>
    <w:rsid w:val="003508C3"/>
    <w:rsid w:val="00352DAD"/>
    <w:rsid w:val="0035325E"/>
    <w:rsid w:val="00357047"/>
    <w:rsid w:val="00360688"/>
    <w:rsid w:val="00360B5C"/>
    <w:rsid w:val="00361BED"/>
    <w:rsid w:val="00370593"/>
    <w:rsid w:val="00380ABC"/>
    <w:rsid w:val="00395E06"/>
    <w:rsid w:val="003A1687"/>
    <w:rsid w:val="003A4FB2"/>
    <w:rsid w:val="003B0C23"/>
    <w:rsid w:val="003B5B09"/>
    <w:rsid w:val="003D541D"/>
    <w:rsid w:val="003D78C9"/>
    <w:rsid w:val="003E31DE"/>
    <w:rsid w:val="003F0635"/>
    <w:rsid w:val="003F6F7F"/>
    <w:rsid w:val="00422EA8"/>
    <w:rsid w:val="004244CF"/>
    <w:rsid w:val="00431A5E"/>
    <w:rsid w:val="00440B15"/>
    <w:rsid w:val="0044562D"/>
    <w:rsid w:val="004524F4"/>
    <w:rsid w:val="0045421B"/>
    <w:rsid w:val="0045728E"/>
    <w:rsid w:val="00460378"/>
    <w:rsid w:val="0046119D"/>
    <w:rsid w:val="00461314"/>
    <w:rsid w:val="004773F8"/>
    <w:rsid w:val="004800E7"/>
    <w:rsid w:val="00490F96"/>
    <w:rsid w:val="004919ED"/>
    <w:rsid w:val="00494519"/>
    <w:rsid w:val="004A02B4"/>
    <w:rsid w:val="004A5AFC"/>
    <w:rsid w:val="004B049F"/>
    <w:rsid w:val="004B3E0E"/>
    <w:rsid w:val="004B5F46"/>
    <w:rsid w:val="004C0BFD"/>
    <w:rsid w:val="004D0ADE"/>
    <w:rsid w:val="004D5F3F"/>
    <w:rsid w:val="004D6552"/>
    <w:rsid w:val="004E1A26"/>
    <w:rsid w:val="004E3E7A"/>
    <w:rsid w:val="004F0059"/>
    <w:rsid w:val="004F1C18"/>
    <w:rsid w:val="004F1FFC"/>
    <w:rsid w:val="004F7F2A"/>
    <w:rsid w:val="00506326"/>
    <w:rsid w:val="00506E8B"/>
    <w:rsid w:val="00507952"/>
    <w:rsid w:val="00513351"/>
    <w:rsid w:val="0051423A"/>
    <w:rsid w:val="00517301"/>
    <w:rsid w:val="005300EB"/>
    <w:rsid w:val="00532983"/>
    <w:rsid w:val="00540292"/>
    <w:rsid w:val="0054095B"/>
    <w:rsid w:val="00550232"/>
    <w:rsid w:val="005528B2"/>
    <w:rsid w:val="00570761"/>
    <w:rsid w:val="005841BF"/>
    <w:rsid w:val="00593384"/>
    <w:rsid w:val="005B1DD4"/>
    <w:rsid w:val="005B1DED"/>
    <w:rsid w:val="005C6D3E"/>
    <w:rsid w:val="005C7331"/>
    <w:rsid w:val="005C745B"/>
    <w:rsid w:val="005D07E8"/>
    <w:rsid w:val="005D227F"/>
    <w:rsid w:val="005D233D"/>
    <w:rsid w:val="005D2D2F"/>
    <w:rsid w:val="005D5EA5"/>
    <w:rsid w:val="005D7EC7"/>
    <w:rsid w:val="005F0B3B"/>
    <w:rsid w:val="005F3B42"/>
    <w:rsid w:val="005F6293"/>
    <w:rsid w:val="006073CE"/>
    <w:rsid w:val="00612659"/>
    <w:rsid w:val="00624DDF"/>
    <w:rsid w:val="00625F77"/>
    <w:rsid w:val="006267E0"/>
    <w:rsid w:val="00631ACB"/>
    <w:rsid w:val="00632A5A"/>
    <w:rsid w:val="006347F9"/>
    <w:rsid w:val="00635F19"/>
    <w:rsid w:val="0064311B"/>
    <w:rsid w:val="00644B1D"/>
    <w:rsid w:val="006472EA"/>
    <w:rsid w:val="00650DC1"/>
    <w:rsid w:val="006568F5"/>
    <w:rsid w:val="006635DB"/>
    <w:rsid w:val="00665F2A"/>
    <w:rsid w:val="00665FE9"/>
    <w:rsid w:val="006800C3"/>
    <w:rsid w:val="00682AA1"/>
    <w:rsid w:val="0069303B"/>
    <w:rsid w:val="006A1068"/>
    <w:rsid w:val="006A14EB"/>
    <w:rsid w:val="006B45FD"/>
    <w:rsid w:val="006B7077"/>
    <w:rsid w:val="006C5A47"/>
    <w:rsid w:val="006D3495"/>
    <w:rsid w:val="006D41FB"/>
    <w:rsid w:val="006D60CD"/>
    <w:rsid w:val="006E3386"/>
    <w:rsid w:val="006F17EA"/>
    <w:rsid w:val="006F2F4D"/>
    <w:rsid w:val="006F3915"/>
    <w:rsid w:val="006F5FF1"/>
    <w:rsid w:val="007031BA"/>
    <w:rsid w:val="00703A0F"/>
    <w:rsid w:val="00704A61"/>
    <w:rsid w:val="00722C05"/>
    <w:rsid w:val="00722EFB"/>
    <w:rsid w:val="007341CF"/>
    <w:rsid w:val="00750148"/>
    <w:rsid w:val="0075328E"/>
    <w:rsid w:val="00754B2C"/>
    <w:rsid w:val="00762135"/>
    <w:rsid w:val="00763B45"/>
    <w:rsid w:val="0077498F"/>
    <w:rsid w:val="00780ADF"/>
    <w:rsid w:val="00780F45"/>
    <w:rsid w:val="00784252"/>
    <w:rsid w:val="0078592B"/>
    <w:rsid w:val="007869C5"/>
    <w:rsid w:val="007956E4"/>
    <w:rsid w:val="007A144F"/>
    <w:rsid w:val="007B518B"/>
    <w:rsid w:val="007B5C48"/>
    <w:rsid w:val="007C125E"/>
    <w:rsid w:val="007C237C"/>
    <w:rsid w:val="007D3491"/>
    <w:rsid w:val="007D67BB"/>
    <w:rsid w:val="007E3A90"/>
    <w:rsid w:val="00802A1E"/>
    <w:rsid w:val="00802EEF"/>
    <w:rsid w:val="008036A2"/>
    <w:rsid w:val="008047A0"/>
    <w:rsid w:val="00805381"/>
    <w:rsid w:val="008069AF"/>
    <w:rsid w:val="0081682E"/>
    <w:rsid w:val="00816DCB"/>
    <w:rsid w:val="00830EBE"/>
    <w:rsid w:val="00834AB9"/>
    <w:rsid w:val="00842A03"/>
    <w:rsid w:val="0085172C"/>
    <w:rsid w:val="0085281B"/>
    <w:rsid w:val="00856974"/>
    <w:rsid w:val="00857D2B"/>
    <w:rsid w:val="0086320E"/>
    <w:rsid w:val="00865B60"/>
    <w:rsid w:val="00866680"/>
    <w:rsid w:val="00870F94"/>
    <w:rsid w:val="00872EE1"/>
    <w:rsid w:val="00877A7D"/>
    <w:rsid w:val="008817B3"/>
    <w:rsid w:val="008824DD"/>
    <w:rsid w:val="00883611"/>
    <w:rsid w:val="008A353E"/>
    <w:rsid w:val="008B2F1B"/>
    <w:rsid w:val="008B4D78"/>
    <w:rsid w:val="008C1C76"/>
    <w:rsid w:val="008C4EC2"/>
    <w:rsid w:val="008C73D1"/>
    <w:rsid w:val="008E6B81"/>
    <w:rsid w:val="008F19F1"/>
    <w:rsid w:val="008F437F"/>
    <w:rsid w:val="008F7089"/>
    <w:rsid w:val="009030BA"/>
    <w:rsid w:val="0090332D"/>
    <w:rsid w:val="00906580"/>
    <w:rsid w:val="0091229A"/>
    <w:rsid w:val="00914593"/>
    <w:rsid w:val="00921D38"/>
    <w:rsid w:val="009236AD"/>
    <w:rsid w:val="0093247E"/>
    <w:rsid w:val="00933CF5"/>
    <w:rsid w:val="00934091"/>
    <w:rsid w:val="00934165"/>
    <w:rsid w:val="00935BF1"/>
    <w:rsid w:val="00942506"/>
    <w:rsid w:val="009476EF"/>
    <w:rsid w:val="00947703"/>
    <w:rsid w:val="009601EF"/>
    <w:rsid w:val="0096135E"/>
    <w:rsid w:val="009629A2"/>
    <w:rsid w:val="0097037C"/>
    <w:rsid w:val="00974FE9"/>
    <w:rsid w:val="00975429"/>
    <w:rsid w:val="009801AC"/>
    <w:rsid w:val="009801F8"/>
    <w:rsid w:val="00982A94"/>
    <w:rsid w:val="00984F94"/>
    <w:rsid w:val="00993D20"/>
    <w:rsid w:val="00996F89"/>
    <w:rsid w:val="009A1B3E"/>
    <w:rsid w:val="009A3A41"/>
    <w:rsid w:val="009A4EDA"/>
    <w:rsid w:val="009A7492"/>
    <w:rsid w:val="009B0D97"/>
    <w:rsid w:val="009C45D7"/>
    <w:rsid w:val="009D5608"/>
    <w:rsid w:val="009E0768"/>
    <w:rsid w:val="009E0A36"/>
    <w:rsid w:val="009E397C"/>
    <w:rsid w:val="009E6A7F"/>
    <w:rsid w:val="009F4DA5"/>
    <w:rsid w:val="00A04614"/>
    <w:rsid w:val="00A16C99"/>
    <w:rsid w:val="00A21976"/>
    <w:rsid w:val="00A223CD"/>
    <w:rsid w:val="00A227CD"/>
    <w:rsid w:val="00A232BC"/>
    <w:rsid w:val="00A33FFE"/>
    <w:rsid w:val="00A36025"/>
    <w:rsid w:val="00A429F0"/>
    <w:rsid w:val="00A46A2A"/>
    <w:rsid w:val="00A4740F"/>
    <w:rsid w:val="00A5284F"/>
    <w:rsid w:val="00A6446D"/>
    <w:rsid w:val="00A71AFB"/>
    <w:rsid w:val="00A84BE5"/>
    <w:rsid w:val="00AA04CC"/>
    <w:rsid w:val="00AA0ACB"/>
    <w:rsid w:val="00AA3FB0"/>
    <w:rsid w:val="00AA6EE4"/>
    <w:rsid w:val="00AB3ADB"/>
    <w:rsid w:val="00AB6BE5"/>
    <w:rsid w:val="00AC4019"/>
    <w:rsid w:val="00AC7A5F"/>
    <w:rsid w:val="00AD4E6A"/>
    <w:rsid w:val="00AD54A3"/>
    <w:rsid w:val="00AD6983"/>
    <w:rsid w:val="00AF0B1A"/>
    <w:rsid w:val="00AF4F82"/>
    <w:rsid w:val="00B0383E"/>
    <w:rsid w:val="00B10304"/>
    <w:rsid w:val="00B10444"/>
    <w:rsid w:val="00B109EB"/>
    <w:rsid w:val="00B12535"/>
    <w:rsid w:val="00B158EB"/>
    <w:rsid w:val="00B16F72"/>
    <w:rsid w:val="00B215EC"/>
    <w:rsid w:val="00B24A51"/>
    <w:rsid w:val="00B31D74"/>
    <w:rsid w:val="00B4097C"/>
    <w:rsid w:val="00B437D1"/>
    <w:rsid w:val="00B461E4"/>
    <w:rsid w:val="00B47DDE"/>
    <w:rsid w:val="00B52C07"/>
    <w:rsid w:val="00B5426B"/>
    <w:rsid w:val="00B6301C"/>
    <w:rsid w:val="00B65F75"/>
    <w:rsid w:val="00B72DE8"/>
    <w:rsid w:val="00B75BFE"/>
    <w:rsid w:val="00B775E0"/>
    <w:rsid w:val="00B809E4"/>
    <w:rsid w:val="00B81043"/>
    <w:rsid w:val="00B95514"/>
    <w:rsid w:val="00BA2564"/>
    <w:rsid w:val="00BB2B60"/>
    <w:rsid w:val="00BB703B"/>
    <w:rsid w:val="00BC1397"/>
    <w:rsid w:val="00BD274D"/>
    <w:rsid w:val="00BD4132"/>
    <w:rsid w:val="00BD50A6"/>
    <w:rsid w:val="00BD5C76"/>
    <w:rsid w:val="00BD6A62"/>
    <w:rsid w:val="00BE33AE"/>
    <w:rsid w:val="00BF06EF"/>
    <w:rsid w:val="00BF397C"/>
    <w:rsid w:val="00C0018A"/>
    <w:rsid w:val="00C325EF"/>
    <w:rsid w:val="00C327CB"/>
    <w:rsid w:val="00C40402"/>
    <w:rsid w:val="00C41212"/>
    <w:rsid w:val="00C47838"/>
    <w:rsid w:val="00C52352"/>
    <w:rsid w:val="00C579AC"/>
    <w:rsid w:val="00C6445A"/>
    <w:rsid w:val="00C738C0"/>
    <w:rsid w:val="00C7697A"/>
    <w:rsid w:val="00C76E3B"/>
    <w:rsid w:val="00C81901"/>
    <w:rsid w:val="00C82100"/>
    <w:rsid w:val="00C847A0"/>
    <w:rsid w:val="00CA78B7"/>
    <w:rsid w:val="00CB2331"/>
    <w:rsid w:val="00CB5DFD"/>
    <w:rsid w:val="00CB7E2F"/>
    <w:rsid w:val="00CC17CF"/>
    <w:rsid w:val="00CC58C7"/>
    <w:rsid w:val="00CC641F"/>
    <w:rsid w:val="00CD57AD"/>
    <w:rsid w:val="00CE0D2E"/>
    <w:rsid w:val="00CE54CD"/>
    <w:rsid w:val="00CF2702"/>
    <w:rsid w:val="00CF3F85"/>
    <w:rsid w:val="00CF64C5"/>
    <w:rsid w:val="00CF7E2A"/>
    <w:rsid w:val="00D050E9"/>
    <w:rsid w:val="00D107AA"/>
    <w:rsid w:val="00D11D21"/>
    <w:rsid w:val="00D125E1"/>
    <w:rsid w:val="00D15609"/>
    <w:rsid w:val="00D15D71"/>
    <w:rsid w:val="00D166F9"/>
    <w:rsid w:val="00D16ABC"/>
    <w:rsid w:val="00D5796C"/>
    <w:rsid w:val="00D60D2A"/>
    <w:rsid w:val="00D73043"/>
    <w:rsid w:val="00D73A1D"/>
    <w:rsid w:val="00D75C69"/>
    <w:rsid w:val="00D77C4A"/>
    <w:rsid w:val="00D8568B"/>
    <w:rsid w:val="00D85808"/>
    <w:rsid w:val="00D85E11"/>
    <w:rsid w:val="00DA6696"/>
    <w:rsid w:val="00DA7FC6"/>
    <w:rsid w:val="00DC1FB1"/>
    <w:rsid w:val="00DD4424"/>
    <w:rsid w:val="00DD5DB6"/>
    <w:rsid w:val="00DE34D5"/>
    <w:rsid w:val="00DE7570"/>
    <w:rsid w:val="00DF4EF7"/>
    <w:rsid w:val="00DF58D1"/>
    <w:rsid w:val="00E013FF"/>
    <w:rsid w:val="00E01CD7"/>
    <w:rsid w:val="00E07025"/>
    <w:rsid w:val="00E14E6E"/>
    <w:rsid w:val="00E15232"/>
    <w:rsid w:val="00E168DE"/>
    <w:rsid w:val="00E16E53"/>
    <w:rsid w:val="00E22513"/>
    <w:rsid w:val="00E2410A"/>
    <w:rsid w:val="00E33CAE"/>
    <w:rsid w:val="00E34C76"/>
    <w:rsid w:val="00E50C03"/>
    <w:rsid w:val="00E5477E"/>
    <w:rsid w:val="00E55203"/>
    <w:rsid w:val="00E626E9"/>
    <w:rsid w:val="00E6430A"/>
    <w:rsid w:val="00E64CCF"/>
    <w:rsid w:val="00E703D9"/>
    <w:rsid w:val="00E70C03"/>
    <w:rsid w:val="00E744DC"/>
    <w:rsid w:val="00E921A1"/>
    <w:rsid w:val="00E92F24"/>
    <w:rsid w:val="00E94E48"/>
    <w:rsid w:val="00E96608"/>
    <w:rsid w:val="00EA5FCD"/>
    <w:rsid w:val="00EB2903"/>
    <w:rsid w:val="00EC50E8"/>
    <w:rsid w:val="00EC69EC"/>
    <w:rsid w:val="00ED05D7"/>
    <w:rsid w:val="00ED0DB8"/>
    <w:rsid w:val="00ED3C60"/>
    <w:rsid w:val="00ED4074"/>
    <w:rsid w:val="00ED709B"/>
    <w:rsid w:val="00EE1D16"/>
    <w:rsid w:val="00EE5388"/>
    <w:rsid w:val="00EE6017"/>
    <w:rsid w:val="00EF1C3D"/>
    <w:rsid w:val="00EF70AF"/>
    <w:rsid w:val="00EF79B4"/>
    <w:rsid w:val="00F11D7E"/>
    <w:rsid w:val="00F3083B"/>
    <w:rsid w:val="00F320A5"/>
    <w:rsid w:val="00F32CAD"/>
    <w:rsid w:val="00F36E3E"/>
    <w:rsid w:val="00F40750"/>
    <w:rsid w:val="00F4335B"/>
    <w:rsid w:val="00F63A5B"/>
    <w:rsid w:val="00F6533F"/>
    <w:rsid w:val="00F65B2E"/>
    <w:rsid w:val="00F6717A"/>
    <w:rsid w:val="00F7300E"/>
    <w:rsid w:val="00F80A78"/>
    <w:rsid w:val="00F85CC5"/>
    <w:rsid w:val="00F86574"/>
    <w:rsid w:val="00F93641"/>
    <w:rsid w:val="00F95536"/>
    <w:rsid w:val="00FB622B"/>
    <w:rsid w:val="00FC070E"/>
    <w:rsid w:val="00FC4A0A"/>
    <w:rsid w:val="00FD1B0A"/>
    <w:rsid w:val="00FD243C"/>
    <w:rsid w:val="00FD77F5"/>
    <w:rsid w:val="00FE090B"/>
    <w:rsid w:val="00FE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802A1E"/>
    <w:rPr>
      <w:rFonts w:ascii="Courier New" w:hAnsi="Courier New"/>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AB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34AB9"/>
  </w:style>
  <w:style w:type="character" w:styleId="EndnoteReference">
    <w:name w:val="endnote reference"/>
    <w:basedOn w:val="DefaultParagraphFont"/>
    <w:semiHidden/>
    <w:rsid w:val="00834AB9"/>
    <w:rPr>
      <w:vertAlign w:val="superscript"/>
    </w:rPr>
  </w:style>
  <w:style w:type="paragraph" w:styleId="FootnoteText">
    <w:name w:val="footnote text"/>
    <w:basedOn w:val="Normal"/>
    <w:semiHidden/>
    <w:rsid w:val="00834AB9"/>
  </w:style>
  <w:style w:type="character" w:styleId="FootnoteReference">
    <w:name w:val="footnote reference"/>
    <w:basedOn w:val="DefaultParagraphFont"/>
    <w:semiHidden/>
    <w:rsid w:val="00834AB9"/>
    <w:rPr>
      <w:vertAlign w:val="superscript"/>
    </w:rPr>
  </w:style>
  <w:style w:type="paragraph" w:styleId="TOC1">
    <w:name w:val="toc 1"/>
    <w:basedOn w:val="Normal"/>
    <w:next w:val="Normal"/>
    <w:autoRedefine/>
    <w:semiHidden/>
    <w:rsid w:val="00834AB9"/>
    <w:pPr>
      <w:tabs>
        <w:tab w:val="right" w:leader="dot" w:pos="9360"/>
      </w:tabs>
      <w:suppressAutoHyphens/>
      <w:spacing w:before="480"/>
      <w:ind w:left="720" w:right="720" w:hanging="720"/>
    </w:pPr>
  </w:style>
  <w:style w:type="paragraph" w:styleId="TOC2">
    <w:name w:val="toc 2"/>
    <w:basedOn w:val="Normal"/>
    <w:next w:val="Normal"/>
    <w:autoRedefine/>
    <w:semiHidden/>
    <w:rsid w:val="00834AB9"/>
    <w:pPr>
      <w:tabs>
        <w:tab w:val="right" w:leader="dot" w:pos="9360"/>
      </w:tabs>
      <w:suppressAutoHyphens/>
      <w:ind w:left="1440" w:right="720" w:hanging="720"/>
    </w:pPr>
  </w:style>
  <w:style w:type="paragraph" w:styleId="TOC3">
    <w:name w:val="toc 3"/>
    <w:basedOn w:val="Normal"/>
    <w:next w:val="Normal"/>
    <w:autoRedefine/>
    <w:semiHidden/>
    <w:rsid w:val="00834AB9"/>
    <w:pPr>
      <w:tabs>
        <w:tab w:val="right" w:leader="dot" w:pos="9360"/>
      </w:tabs>
      <w:suppressAutoHyphens/>
      <w:ind w:left="2160" w:right="720" w:hanging="720"/>
    </w:pPr>
  </w:style>
  <w:style w:type="paragraph" w:styleId="TOC4">
    <w:name w:val="toc 4"/>
    <w:basedOn w:val="Normal"/>
    <w:next w:val="Normal"/>
    <w:autoRedefine/>
    <w:semiHidden/>
    <w:rsid w:val="00834AB9"/>
    <w:pPr>
      <w:tabs>
        <w:tab w:val="right" w:leader="dot" w:pos="9360"/>
      </w:tabs>
      <w:suppressAutoHyphens/>
      <w:ind w:left="2880" w:right="720" w:hanging="720"/>
    </w:pPr>
  </w:style>
  <w:style w:type="paragraph" w:styleId="TOC5">
    <w:name w:val="toc 5"/>
    <w:basedOn w:val="Normal"/>
    <w:next w:val="Normal"/>
    <w:autoRedefine/>
    <w:semiHidden/>
    <w:rsid w:val="00834AB9"/>
    <w:pPr>
      <w:tabs>
        <w:tab w:val="right" w:leader="dot" w:pos="9360"/>
      </w:tabs>
      <w:suppressAutoHyphens/>
      <w:ind w:left="3600" w:right="720" w:hanging="720"/>
    </w:pPr>
  </w:style>
  <w:style w:type="paragraph" w:styleId="TOC6">
    <w:name w:val="toc 6"/>
    <w:basedOn w:val="Normal"/>
    <w:next w:val="Normal"/>
    <w:autoRedefine/>
    <w:semiHidden/>
    <w:rsid w:val="00834AB9"/>
    <w:pPr>
      <w:tabs>
        <w:tab w:val="right" w:pos="9360"/>
      </w:tabs>
      <w:suppressAutoHyphens/>
      <w:ind w:left="720" w:hanging="720"/>
    </w:pPr>
  </w:style>
  <w:style w:type="paragraph" w:styleId="TOC7">
    <w:name w:val="toc 7"/>
    <w:basedOn w:val="Normal"/>
    <w:next w:val="Normal"/>
    <w:autoRedefine/>
    <w:semiHidden/>
    <w:rsid w:val="00834AB9"/>
    <w:pPr>
      <w:suppressAutoHyphens/>
      <w:ind w:left="720" w:hanging="720"/>
    </w:pPr>
  </w:style>
  <w:style w:type="paragraph" w:styleId="TOC8">
    <w:name w:val="toc 8"/>
    <w:basedOn w:val="Normal"/>
    <w:next w:val="Normal"/>
    <w:autoRedefine/>
    <w:semiHidden/>
    <w:rsid w:val="00834AB9"/>
    <w:pPr>
      <w:tabs>
        <w:tab w:val="right" w:pos="9360"/>
      </w:tabs>
      <w:suppressAutoHyphens/>
      <w:ind w:left="720" w:hanging="720"/>
    </w:pPr>
  </w:style>
  <w:style w:type="paragraph" w:styleId="TOC9">
    <w:name w:val="toc 9"/>
    <w:basedOn w:val="Normal"/>
    <w:next w:val="Normal"/>
    <w:autoRedefine/>
    <w:semiHidden/>
    <w:rsid w:val="00834AB9"/>
    <w:pPr>
      <w:tabs>
        <w:tab w:val="right" w:leader="dot" w:pos="9360"/>
      </w:tabs>
      <w:suppressAutoHyphens/>
      <w:ind w:left="720" w:hanging="720"/>
    </w:pPr>
  </w:style>
  <w:style w:type="paragraph" w:styleId="Index1">
    <w:name w:val="index 1"/>
    <w:basedOn w:val="Normal"/>
    <w:next w:val="Normal"/>
    <w:autoRedefine/>
    <w:semiHidden/>
    <w:rsid w:val="00834AB9"/>
    <w:pPr>
      <w:tabs>
        <w:tab w:val="right" w:leader="dot" w:pos="9360"/>
      </w:tabs>
      <w:suppressAutoHyphens/>
      <w:ind w:left="1440" w:right="720" w:hanging="1440"/>
    </w:pPr>
  </w:style>
  <w:style w:type="paragraph" w:styleId="Index2">
    <w:name w:val="index 2"/>
    <w:basedOn w:val="Normal"/>
    <w:next w:val="Normal"/>
    <w:autoRedefine/>
    <w:semiHidden/>
    <w:rsid w:val="00834AB9"/>
    <w:pPr>
      <w:tabs>
        <w:tab w:val="right" w:leader="dot" w:pos="9360"/>
      </w:tabs>
      <w:suppressAutoHyphens/>
      <w:ind w:left="1440" w:right="720" w:hanging="720"/>
    </w:pPr>
  </w:style>
  <w:style w:type="paragraph" w:styleId="TOAHeading">
    <w:name w:val="toa heading"/>
    <w:basedOn w:val="Normal"/>
    <w:next w:val="Normal"/>
    <w:semiHidden/>
    <w:rsid w:val="00834AB9"/>
    <w:pPr>
      <w:tabs>
        <w:tab w:val="right" w:pos="9360"/>
      </w:tabs>
      <w:suppressAutoHyphens/>
    </w:pPr>
  </w:style>
  <w:style w:type="paragraph" w:styleId="Caption">
    <w:name w:val="caption"/>
    <w:basedOn w:val="Normal"/>
    <w:next w:val="Normal"/>
    <w:qFormat/>
    <w:rsid w:val="00834AB9"/>
  </w:style>
  <w:style w:type="character" w:customStyle="1" w:styleId="EquationCaption">
    <w:name w:val="_Equation Caption"/>
    <w:rsid w:val="00834AB9"/>
  </w:style>
  <w:style w:type="paragraph" w:styleId="DocumentMap">
    <w:name w:val="Document Map"/>
    <w:basedOn w:val="Normal"/>
    <w:semiHidden/>
    <w:rsid w:val="00834AB9"/>
    <w:pPr>
      <w:shd w:val="clear" w:color="auto" w:fill="000080"/>
    </w:pPr>
    <w:rPr>
      <w:rFonts w:ascii="Tahoma" w:hAnsi="Tahoma"/>
    </w:rPr>
  </w:style>
  <w:style w:type="paragraph" w:styleId="Header">
    <w:name w:val="header"/>
    <w:basedOn w:val="Normal"/>
    <w:rsid w:val="00834AB9"/>
    <w:pPr>
      <w:tabs>
        <w:tab w:val="center" w:pos="4320"/>
        <w:tab w:val="right" w:pos="8640"/>
      </w:tabs>
    </w:pPr>
  </w:style>
  <w:style w:type="paragraph" w:styleId="Footer">
    <w:name w:val="footer"/>
    <w:basedOn w:val="Normal"/>
    <w:rsid w:val="00834AB9"/>
    <w:pPr>
      <w:tabs>
        <w:tab w:val="center" w:pos="4320"/>
        <w:tab w:val="right" w:pos="8640"/>
      </w:tabs>
    </w:pPr>
  </w:style>
  <w:style w:type="paragraph" w:styleId="List">
    <w:name w:val="List"/>
    <w:basedOn w:val="Normal"/>
    <w:rsid w:val="00834AB9"/>
    <w:pPr>
      <w:ind w:left="360" w:hanging="360"/>
    </w:pPr>
  </w:style>
  <w:style w:type="paragraph" w:styleId="List2">
    <w:name w:val="List 2"/>
    <w:basedOn w:val="Normal"/>
    <w:rsid w:val="00834AB9"/>
    <w:pPr>
      <w:ind w:left="720" w:hanging="360"/>
    </w:pPr>
  </w:style>
  <w:style w:type="paragraph" w:styleId="ListBullet3">
    <w:name w:val="List Bullet 3"/>
    <w:basedOn w:val="Normal"/>
    <w:autoRedefine/>
    <w:rsid w:val="00834AB9"/>
    <w:pPr>
      <w:numPr>
        <w:numId w:val="6"/>
      </w:numPr>
    </w:pPr>
  </w:style>
  <w:style w:type="paragraph" w:styleId="ListContinue">
    <w:name w:val="List Continue"/>
    <w:basedOn w:val="Normal"/>
    <w:rsid w:val="00834AB9"/>
    <w:pPr>
      <w:spacing w:after="120"/>
      <w:ind w:left="360"/>
    </w:pPr>
  </w:style>
  <w:style w:type="paragraph" w:styleId="ListContinue2">
    <w:name w:val="List Continue 2"/>
    <w:basedOn w:val="Normal"/>
    <w:rsid w:val="00834AB9"/>
    <w:pPr>
      <w:spacing w:after="120"/>
      <w:ind w:left="720"/>
    </w:pPr>
  </w:style>
  <w:style w:type="paragraph" w:styleId="Title">
    <w:name w:val="Title"/>
    <w:basedOn w:val="Normal"/>
    <w:qFormat/>
    <w:rsid w:val="00834AB9"/>
    <w:pPr>
      <w:spacing w:before="240" w:after="60"/>
      <w:jc w:val="center"/>
      <w:outlineLvl w:val="0"/>
    </w:pPr>
    <w:rPr>
      <w:rFonts w:ascii="Arial" w:hAnsi="Arial"/>
      <w:b/>
      <w:kern w:val="28"/>
      <w:sz w:val="32"/>
    </w:rPr>
  </w:style>
  <w:style w:type="paragraph" w:styleId="BodyText">
    <w:name w:val="Body Text"/>
    <w:basedOn w:val="Normal"/>
    <w:rsid w:val="00834AB9"/>
    <w:pPr>
      <w:spacing w:after="120"/>
    </w:pPr>
  </w:style>
  <w:style w:type="paragraph" w:styleId="BodyTextIndent">
    <w:name w:val="Body Text Indent"/>
    <w:basedOn w:val="Normal"/>
    <w:rsid w:val="00834AB9"/>
    <w:pPr>
      <w:spacing w:after="120"/>
      <w:ind w:left="360"/>
    </w:pPr>
  </w:style>
  <w:style w:type="paragraph" w:styleId="BalloonText">
    <w:name w:val="Balloon Text"/>
    <w:basedOn w:val="Normal"/>
    <w:semiHidden/>
    <w:rsid w:val="00F11D7E"/>
    <w:rPr>
      <w:rFonts w:ascii="Tahoma" w:hAnsi="Tahoma" w:cs="Tahoma"/>
      <w:sz w:val="16"/>
      <w:szCs w:val="16"/>
    </w:rPr>
  </w:style>
  <w:style w:type="character" w:styleId="Hyperlink">
    <w:name w:val="Hyperlink"/>
    <w:basedOn w:val="DefaultParagraphFont"/>
    <w:rsid w:val="0007703E"/>
    <w:rPr>
      <w:color w:val="0000FF"/>
      <w:u w:val="single"/>
    </w:rPr>
  </w:style>
  <w:style w:type="character" w:styleId="PageNumber">
    <w:name w:val="page number"/>
    <w:basedOn w:val="DefaultParagraphFont"/>
    <w:rsid w:val="009A3A41"/>
  </w:style>
  <w:style w:type="character" w:styleId="CommentReference">
    <w:name w:val="annotation reference"/>
    <w:basedOn w:val="DefaultParagraphFont"/>
    <w:semiHidden/>
    <w:rsid w:val="0085172C"/>
    <w:rPr>
      <w:sz w:val="16"/>
      <w:szCs w:val="16"/>
    </w:rPr>
  </w:style>
  <w:style w:type="paragraph" w:styleId="CommentText">
    <w:name w:val="annotation text"/>
    <w:basedOn w:val="Normal"/>
    <w:semiHidden/>
    <w:rsid w:val="0085172C"/>
    <w:rPr>
      <w:sz w:val="20"/>
    </w:rPr>
  </w:style>
  <w:style w:type="paragraph" w:styleId="CommentSubject">
    <w:name w:val="annotation subject"/>
    <w:basedOn w:val="CommentText"/>
    <w:next w:val="CommentText"/>
    <w:semiHidden/>
    <w:rsid w:val="0085172C"/>
    <w:rPr>
      <w:b/>
      <w:bCs/>
    </w:rPr>
  </w:style>
  <w:style w:type="character" w:styleId="FollowedHyperlink">
    <w:name w:val="FollowedHyperlink"/>
    <w:basedOn w:val="DefaultParagraphFont"/>
    <w:rsid w:val="00B775E0"/>
    <w:rPr>
      <w:color w:val="800080"/>
      <w:u w:val="single"/>
    </w:rPr>
  </w:style>
  <w:style w:type="paragraph" w:styleId="Revision">
    <w:name w:val="Revision"/>
    <w:hidden/>
    <w:uiPriority w:val="99"/>
    <w:semiHidden/>
    <w:rsid w:val="00802A1E"/>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4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43601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BEA3-FCB7-4B93-8CA5-DEDBF06F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13</Pages>
  <Words>4530</Words>
  <Characters>25822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MEMORANDUM FOR:</vt:lpstr>
    </vt:vector>
  </TitlesOfParts>
  <Company>US Department of Labor</Company>
  <LinksUpToDate>false</LinksUpToDate>
  <CharactersWithSpaces>30292</CharactersWithSpaces>
  <SharedDoc>false</SharedDoc>
  <HLinks>
    <vt:vector size="36" baseType="variant">
      <vt:variant>
        <vt:i4>2097266</vt:i4>
      </vt:variant>
      <vt:variant>
        <vt:i4>15</vt:i4>
      </vt:variant>
      <vt:variant>
        <vt:i4>0</vt:i4>
      </vt:variant>
      <vt:variant>
        <vt:i4>5</vt:i4>
      </vt:variant>
      <vt:variant>
        <vt:lpwstr>http://pacer.psc.uscourts.gov/</vt:lpwstr>
      </vt:variant>
      <vt:variant>
        <vt:lpwstr/>
      </vt:variant>
      <vt:variant>
        <vt:i4>5111828</vt:i4>
      </vt:variant>
      <vt:variant>
        <vt:i4>12</vt:i4>
      </vt:variant>
      <vt:variant>
        <vt:i4>0</vt:i4>
      </vt:variant>
      <vt:variant>
        <vt:i4>5</vt:i4>
      </vt:variant>
      <vt:variant>
        <vt:lpwstr>http://www.dol.gov/sol/privacy/dol-esa-49.htm</vt:lpwstr>
      </vt:variant>
      <vt:variant>
        <vt:lpwstr/>
      </vt:variant>
      <vt:variant>
        <vt:i4>4784157</vt:i4>
      </vt:variant>
      <vt:variant>
        <vt:i4>9</vt:i4>
      </vt:variant>
      <vt:variant>
        <vt:i4>0</vt:i4>
      </vt:variant>
      <vt:variant>
        <vt:i4>5</vt:i4>
      </vt:variant>
      <vt:variant>
        <vt:lpwstr>http://www.dol.gov/sol/privacy/dol-esa-30.htm</vt:lpwstr>
      </vt:variant>
      <vt:variant>
        <vt:lpwstr/>
      </vt:variant>
      <vt:variant>
        <vt:i4>1245215</vt:i4>
      </vt:variant>
      <vt:variant>
        <vt:i4>6</vt:i4>
      </vt:variant>
      <vt:variant>
        <vt:i4>0</vt:i4>
      </vt:variant>
      <vt:variant>
        <vt:i4>5</vt:i4>
      </vt:variant>
      <vt:variant>
        <vt:lpwstr>http://www.dol.gov/sol/privacy/dol-esa-6.htm</vt:lpwstr>
      </vt:variant>
      <vt:variant>
        <vt:lpwstr/>
      </vt:variant>
      <vt:variant>
        <vt:i4>4325465</vt:i4>
      </vt:variant>
      <vt:variant>
        <vt:i4>3</vt:i4>
      </vt:variant>
      <vt:variant>
        <vt:i4>0</vt:i4>
      </vt:variant>
      <vt:variant>
        <vt:i4>5</vt:i4>
      </vt:variant>
      <vt:variant>
        <vt:lpwstr>http://www.dol.gov/sol/privacy/dol-govt-1.htm</vt:lpwstr>
      </vt:variant>
      <vt:variant>
        <vt:lpwstr/>
      </vt:variant>
      <vt:variant>
        <vt:i4>7143539</vt:i4>
      </vt:variant>
      <vt:variant>
        <vt:i4>0</vt:i4>
      </vt:variant>
      <vt:variant>
        <vt:i4>0</vt:i4>
      </vt:variant>
      <vt:variant>
        <vt:i4>5</vt:i4>
      </vt:variant>
      <vt:variant>
        <vt:lpwstr>https://www.dol.gov/libraryforms/go-us-dol-form.asp?FormNumber=389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creator>Employment Standards Administ</dc:creator>
  <cp:lastModifiedBy>Ferguson, Yoon - OWCP</cp:lastModifiedBy>
  <cp:revision>9</cp:revision>
  <cp:lastPrinted>2016-03-04T13:53:00Z</cp:lastPrinted>
  <dcterms:created xsi:type="dcterms:W3CDTF">2016-03-04T13:53:00Z</dcterms:created>
  <dcterms:modified xsi:type="dcterms:W3CDTF">2016-03-09T16:04:00Z</dcterms:modified>
</cp:coreProperties>
</file>