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E385" w14:textId="77777777" w:rsidR="006E14B6" w:rsidRDefault="006E14B6" w:rsidP="006E14B6">
      <w:pPr>
        <w:jc w:val="center"/>
        <w:rPr>
          <w:b/>
        </w:rPr>
      </w:pPr>
      <w:r>
        <w:rPr>
          <w:b/>
        </w:rPr>
        <w:t>SUPPORTING STATEMENT</w:t>
      </w:r>
    </w:p>
    <w:p w14:paraId="56B14E11" w14:textId="77777777" w:rsidR="006E14B6" w:rsidRDefault="006E14B6" w:rsidP="006E14B6">
      <w:pPr>
        <w:jc w:val="center"/>
        <w:rPr>
          <w:b/>
        </w:rPr>
      </w:pPr>
      <w:r>
        <w:rPr>
          <w:b/>
        </w:rPr>
        <w:t>HOMELAND SECURITY ACQUISITION REGULATION (HSAR)</w:t>
      </w:r>
    </w:p>
    <w:p w14:paraId="6B0CB977" w14:textId="5B09417F" w:rsidR="00923816" w:rsidRDefault="006E14B6" w:rsidP="006E14B6">
      <w:pPr>
        <w:jc w:val="center"/>
        <w:rPr>
          <w:b/>
        </w:rPr>
      </w:pPr>
      <w:r>
        <w:rPr>
          <w:b/>
        </w:rPr>
        <w:t xml:space="preserve">OMB CONTROL NO.  </w:t>
      </w:r>
      <w:r w:rsidR="008B649C">
        <w:rPr>
          <w:b/>
        </w:rPr>
        <w:t>1601-NEW</w:t>
      </w:r>
      <w:bookmarkStart w:id="0" w:name="_GoBack"/>
      <w:bookmarkEnd w:id="0"/>
    </w:p>
    <w:p w14:paraId="6233FB85" w14:textId="77777777" w:rsidR="001C5B80" w:rsidRDefault="006C1A21" w:rsidP="006E14B6">
      <w:pPr>
        <w:jc w:val="center"/>
        <w:rPr>
          <w:b/>
        </w:rPr>
      </w:pPr>
      <w:r>
        <w:rPr>
          <w:b/>
        </w:rPr>
        <w:t>I</w:t>
      </w:r>
      <w:r w:rsidR="00D74A8D">
        <w:rPr>
          <w:b/>
        </w:rPr>
        <w:t>NFORMATION TECHNOLOGY SECURITY</w:t>
      </w:r>
      <w:r w:rsidR="00FF5654">
        <w:rPr>
          <w:b/>
        </w:rPr>
        <w:t xml:space="preserve"> </w:t>
      </w:r>
      <w:r>
        <w:rPr>
          <w:b/>
        </w:rPr>
        <w:t xml:space="preserve">AWARENESS </w:t>
      </w:r>
      <w:r w:rsidR="001C5B80">
        <w:rPr>
          <w:b/>
        </w:rPr>
        <w:t>TRAINIING</w:t>
      </w:r>
      <w:r w:rsidR="00332B0B">
        <w:rPr>
          <w:b/>
        </w:rPr>
        <w:t xml:space="preserve"> </w:t>
      </w:r>
    </w:p>
    <w:p w14:paraId="7F450FBA" w14:textId="77777777" w:rsidR="00332B0B" w:rsidRDefault="00332B0B" w:rsidP="00332B0B">
      <w:pPr>
        <w:jc w:val="center"/>
        <w:rPr>
          <w:b/>
        </w:rPr>
      </w:pPr>
      <w:r>
        <w:rPr>
          <w:b/>
        </w:rPr>
        <w:t>AND</w:t>
      </w:r>
    </w:p>
    <w:p w14:paraId="177960C9" w14:textId="77777777" w:rsidR="00332B0B" w:rsidRDefault="00332B0B" w:rsidP="00332B0B">
      <w:pPr>
        <w:jc w:val="center"/>
        <w:rPr>
          <w:b/>
        </w:rPr>
      </w:pPr>
      <w:r>
        <w:rPr>
          <w:b/>
        </w:rPr>
        <w:t xml:space="preserve">PRIVACY TRAINING </w:t>
      </w:r>
    </w:p>
    <w:p w14:paraId="2682CF92" w14:textId="77777777" w:rsidR="00332B0B" w:rsidRDefault="00332B0B" w:rsidP="00332B0B">
      <w:pPr>
        <w:jc w:val="center"/>
        <w:rPr>
          <w:b/>
        </w:rPr>
      </w:pPr>
    </w:p>
    <w:p w14:paraId="0361D1A2" w14:textId="77777777" w:rsidR="006E14B6" w:rsidRDefault="006E14B6" w:rsidP="006E14B6">
      <w:pPr>
        <w:rPr>
          <w:b/>
        </w:rPr>
      </w:pPr>
      <w:r>
        <w:rPr>
          <w:b/>
        </w:rPr>
        <w:t xml:space="preserve">A.  </w:t>
      </w:r>
      <w:r>
        <w:rPr>
          <w:b/>
          <w:u w:val="single"/>
        </w:rPr>
        <w:t>JUSTIFICATION</w:t>
      </w:r>
    </w:p>
    <w:p w14:paraId="5AB3F32A" w14:textId="77777777" w:rsidR="006E14B6" w:rsidRDefault="006E14B6" w:rsidP="006E14B6">
      <w:pPr>
        <w:rPr>
          <w:b/>
        </w:rPr>
      </w:pPr>
    </w:p>
    <w:p w14:paraId="44847EC1" w14:textId="77777777" w:rsidR="006E14B6" w:rsidRDefault="006E14B6" w:rsidP="006E14B6">
      <w:pPr>
        <w:rPr>
          <w:b/>
        </w:rPr>
      </w:pPr>
      <w:r>
        <w:rPr>
          <w:b/>
        </w:rPr>
        <w:t xml:space="preserve">1.  </w:t>
      </w:r>
      <w:r w:rsidR="000C5166" w:rsidRPr="000C5166">
        <w:rPr>
          <w:b/>
        </w:rPr>
        <w:t>Need for the Information Collection</w:t>
      </w:r>
    </w:p>
    <w:p w14:paraId="29FF8C8E" w14:textId="77777777" w:rsidR="00332B0B" w:rsidRDefault="0005501C" w:rsidP="003B1DB2">
      <w:r>
        <w:t xml:space="preserve">This is a request for the establishment of a new information collection to implement the DHS requirement </w:t>
      </w:r>
      <w:r w:rsidR="00332B0B">
        <w:t xml:space="preserve">that </w:t>
      </w:r>
      <w:r w:rsidR="00332B0B" w:rsidRPr="00822493">
        <w:t xml:space="preserve">all contractor and subcontractor employees </w:t>
      </w:r>
      <w:r w:rsidR="00332B0B">
        <w:t>that require access to:</w:t>
      </w:r>
    </w:p>
    <w:p w14:paraId="4BBFE047" w14:textId="77777777" w:rsidR="00332B0B" w:rsidRDefault="00332B0B" w:rsidP="003B1DB2"/>
    <w:p w14:paraId="1B0BE294" w14:textId="77777777" w:rsidR="00332B0B" w:rsidRDefault="003B1DB2" w:rsidP="00332B0B">
      <w:pPr>
        <w:pStyle w:val="ListParagraph"/>
        <w:numPr>
          <w:ilvl w:val="0"/>
          <w:numId w:val="11"/>
        </w:numPr>
      </w:pPr>
      <w:r w:rsidRPr="00822493">
        <w:t>DHS information systems and information resources</w:t>
      </w:r>
      <w:r w:rsidR="00031E63">
        <w:t xml:space="preserve"> or contractor-owned and/or operated information systems or information resources</w:t>
      </w:r>
      <w:r w:rsidRPr="00822493">
        <w:t xml:space="preserve"> capable of inputting, storing, processing, outputting, and/or transmitting sensitive information take </w:t>
      </w:r>
      <w:r w:rsidR="0039086B">
        <w:t>information technology (</w:t>
      </w:r>
      <w:r w:rsidRPr="00822493">
        <w:t>IT</w:t>
      </w:r>
      <w:r w:rsidR="0039086B">
        <w:t>)</w:t>
      </w:r>
      <w:r w:rsidRPr="00822493">
        <w:t xml:space="preserve"> security awareness training and sign the DHS Rules of Behavior (RoB) before access to DHS information systems and information resources is granted</w:t>
      </w:r>
      <w:r w:rsidR="00332B0B">
        <w:t>; and</w:t>
      </w:r>
    </w:p>
    <w:p w14:paraId="320018FD" w14:textId="77777777" w:rsidR="003B1DB2" w:rsidRDefault="00332B0B" w:rsidP="008205A8">
      <w:pPr>
        <w:pStyle w:val="ListParagraph"/>
        <w:numPr>
          <w:ilvl w:val="0"/>
          <w:numId w:val="11"/>
        </w:numPr>
      </w:pPr>
      <w:r w:rsidRPr="00332B0B">
        <w:t>a</w:t>
      </w:r>
      <w:r>
        <w:t xml:space="preserve"> Government system of records; </w:t>
      </w:r>
      <w:r w:rsidRPr="00332B0B">
        <w:t>handle Personally Identifiable Information (PII)</w:t>
      </w:r>
      <w:r>
        <w:t xml:space="preserve"> or Sensitive PII (SPII); or</w:t>
      </w:r>
      <w:r w:rsidRPr="00332B0B">
        <w:t xml:space="preserve"> design, develop, maintain, or operate a system of records on behalf of the Government</w:t>
      </w:r>
      <w:r>
        <w:t xml:space="preserve"> </w:t>
      </w:r>
      <w:r w:rsidR="003B1DB2" w:rsidRPr="003B1DB2">
        <w:t xml:space="preserve">to complete privacy training initially upon award of the procurement and at least annually thereafter.  </w:t>
      </w:r>
    </w:p>
    <w:p w14:paraId="48CB77DA" w14:textId="77777777" w:rsidR="003B1DB2" w:rsidRDefault="003B1DB2" w:rsidP="0005501C"/>
    <w:p w14:paraId="40C1CD26" w14:textId="77777777" w:rsidR="0039086B" w:rsidRDefault="00864F55" w:rsidP="001852E6">
      <w:r>
        <w:t xml:space="preserve">This information collection is necessary </w:t>
      </w:r>
      <w:r w:rsidR="0039086B" w:rsidRPr="0039086B">
        <w:t xml:space="preserve">to ensure </w:t>
      </w:r>
      <w:r w:rsidR="0039086B">
        <w:t xml:space="preserve">compliance with the IT security </w:t>
      </w:r>
      <w:r w:rsidR="0039086B" w:rsidRPr="0039086B">
        <w:t>awareness training</w:t>
      </w:r>
      <w:r w:rsidR="0039086B">
        <w:t>, DHS</w:t>
      </w:r>
      <w:r w:rsidR="0039086B" w:rsidRPr="0039086B">
        <w:t xml:space="preserve"> RoB</w:t>
      </w:r>
      <w:r w:rsidR="0039086B">
        <w:t>, and privacy training</w:t>
      </w:r>
      <w:r w:rsidR="0039086B" w:rsidRPr="0039086B">
        <w:t xml:space="preserve"> requirements across DHS contracts.  </w:t>
      </w:r>
    </w:p>
    <w:p w14:paraId="65E7F44F" w14:textId="77777777" w:rsidR="005A30C7" w:rsidRDefault="00864F55" w:rsidP="001852E6">
      <w:r>
        <w:t xml:space="preserve">Authorities </w:t>
      </w:r>
      <w:r w:rsidR="001852E6">
        <w:t>applicable</w:t>
      </w:r>
      <w:r>
        <w:t xml:space="preserve"> to this requirement</w:t>
      </w:r>
      <w:r w:rsidR="001852E6">
        <w:t xml:space="preserve"> include:</w:t>
      </w:r>
    </w:p>
    <w:p w14:paraId="0E945BCF" w14:textId="77777777" w:rsidR="001852E6" w:rsidRDefault="001852E6" w:rsidP="001852E6"/>
    <w:p w14:paraId="6C92D742" w14:textId="77777777" w:rsidR="001A0DF4" w:rsidRDefault="001A0DF4" w:rsidP="001A4C90">
      <w:pPr>
        <w:pStyle w:val="ListParagraph"/>
        <w:numPr>
          <w:ilvl w:val="0"/>
          <w:numId w:val="8"/>
        </w:numPr>
      </w:pPr>
      <w:r w:rsidRPr="00F70ADC">
        <w:rPr>
          <w:bCs/>
        </w:rPr>
        <w:t xml:space="preserve">Federal Information Security </w:t>
      </w:r>
      <w:r>
        <w:rPr>
          <w:bCs/>
        </w:rPr>
        <w:t>Modernization</w:t>
      </w:r>
      <w:r w:rsidRPr="00F70ADC">
        <w:rPr>
          <w:bCs/>
        </w:rPr>
        <w:t xml:space="preserve"> Act (FISMA) of 2014</w:t>
      </w:r>
      <w:r>
        <w:rPr>
          <w:bCs/>
        </w:rPr>
        <w:t>;</w:t>
      </w:r>
    </w:p>
    <w:p w14:paraId="5858EE9E" w14:textId="77777777" w:rsidR="001A0DF4" w:rsidRDefault="005A30C7" w:rsidP="001A4C90">
      <w:pPr>
        <w:pStyle w:val="ListParagraph"/>
        <w:numPr>
          <w:ilvl w:val="0"/>
          <w:numId w:val="8"/>
        </w:numPr>
      </w:pPr>
      <w:r>
        <w:t>Title III of the E-Government Act of 2002</w:t>
      </w:r>
      <w:r w:rsidR="001A0DF4">
        <w:t>;</w:t>
      </w:r>
      <w:r>
        <w:t xml:space="preserve"> </w:t>
      </w:r>
    </w:p>
    <w:p w14:paraId="66C7161D" w14:textId="77777777" w:rsidR="0005501C" w:rsidRDefault="0005501C" w:rsidP="001A4C90">
      <w:pPr>
        <w:pStyle w:val="ListParagraph"/>
        <w:numPr>
          <w:ilvl w:val="0"/>
          <w:numId w:val="8"/>
        </w:numPr>
      </w:pPr>
      <w:r>
        <w:t xml:space="preserve">Critical Infrastructure Information Act of 2002 (CII Act) (Title II, Subtitle B, of the Homeland Security Act of 2002, Public Law 107-296; </w:t>
      </w:r>
    </w:p>
    <w:p w14:paraId="7EA833E4" w14:textId="77777777" w:rsidR="0005501C" w:rsidRPr="00101C60" w:rsidRDefault="0005501C" w:rsidP="001A4C90">
      <w:pPr>
        <w:pStyle w:val="ListParagraph"/>
        <w:numPr>
          <w:ilvl w:val="0"/>
          <w:numId w:val="8"/>
        </w:numPr>
      </w:pPr>
      <w:r w:rsidRPr="00101C60">
        <w:t>National Institute of Standards and Technology (NIST), Special Publication 800-53 Security and Privacy Controls for Federal Information Systems and Organizations;</w:t>
      </w:r>
    </w:p>
    <w:p w14:paraId="15DBBE79" w14:textId="77777777" w:rsidR="005A30C7" w:rsidRPr="008B649C" w:rsidRDefault="001A0DF4" w:rsidP="001A4C90">
      <w:pPr>
        <w:pStyle w:val="ListParagraph"/>
        <w:numPr>
          <w:ilvl w:val="0"/>
          <w:numId w:val="8"/>
        </w:numPr>
      </w:pPr>
      <w:r w:rsidRPr="008B649C">
        <w:t>T</w:t>
      </w:r>
      <w:r w:rsidR="005A30C7" w:rsidRPr="008B649C">
        <w:t>he Federal Information Security Management Act of 2002 (FISMA);</w:t>
      </w:r>
    </w:p>
    <w:p w14:paraId="2A26D930" w14:textId="77777777" w:rsidR="001852E6" w:rsidRPr="00CE1D01" w:rsidRDefault="001852E6" w:rsidP="001A4C90">
      <w:pPr>
        <w:pStyle w:val="ListParagraph"/>
        <w:numPr>
          <w:ilvl w:val="0"/>
          <w:numId w:val="8"/>
        </w:numPr>
      </w:pPr>
      <w:r w:rsidRPr="00CE1D01">
        <w:t xml:space="preserve">The Office of Management and Budget (OMB) Memorandum M-10-23, </w:t>
      </w:r>
      <w:r w:rsidRPr="00CE1D01">
        <w:rPr>
          <w:i/>
        </w:rPr>
        <w:t>Guidance for Agency Use of Third-Party Web sites and Applications,</w:t>
      </w:r>
      <w:r w:rsidRPr="00CE1D01">
        <w:t xml:space="preserve"> (June 25, 2010); </w:t>
      </w:r>
    </w:p>
    <w:p w14:paraId="2F66C6E1" w14:textId="77777777" w:rsidR="001852E6" w:rsidRPr="00CE1D01" w:rsidRDefault="005A30C7" w:rsidP="001A4C90">
      <w:pPr>
        <w:pStyle w:val="ListParagraph"/>
        <w:numPr>
          <w:ilvl w:val="0"/>
          <w:numId w:val="8"/>
        </w:numPr>
      </w:pPr>
      <w:r w:rsidRPr="00CE1D01">
        <w:t xml:space="preserve">OMB Memorandum M-07-16, </w:t>
      </w:r>
      <w:r w:rsidRPr="00CE1D01">
        <w:rPr>
          <w:i/>
        </w:rPr>
        <w:t>Safeguarding Against and Responding to the Breach of Personally Identifiable Information</w:t>
      </w:r>
      <w:r w:rsidR="005E1C8D" w:rsidRPr="00CE1D01">
        <w:rPr>
          <w:i/>
        </w:rPr>
        <w:t>,</w:t>
      </w:r>
      <w:r w:rsidRPr="00CE1D01">
        <w:t xml:space="preserve"> (May 22, 2007); </w:t>
      </w:r>
    </w:p>
    <w:p w14:paraId="14E8614F" w14:textId="77777777" w:rsidR="005E1C8D" w:rsidRPr="00CE1D01" w:rsidRDefault="001852E6" w:rsidP="001A4C90">
      <w:pPr>
        <w:pStyle w:val="ListParagraph"/>
        <w:numPr>
          <w:ilvl w:val="0"/>
          <w:numId w:val="8"/>
        </w:numPr>
      </w:pPr>
      <w:r w:rsidRPr="00CE1D01">
        <w:t xml:space="preserve">OMB Memorandum M-06-15, </w:t>
      </w:r>
      <w:r w:rsidRPr="00CE1D01">
        <w:rPr>
          <w:i/>
        </w:rPr>
        <w:t>Safeguarding Personally Identifiable Information</w:t>
      </w:r>
      <w:r w:rsidRPr="00CE1D01">
        <w:t xml:space="preserve"> (May 22, 2006)</w:t>
      </w:r>
      <w:r w:rsidR="0005501C" w:rsidRPr="00CE1D01">
        <w:t>;</w:t>
      </w:r>
    </w:p>
    <w:p w14:paraId="31E9D6B0" w14:textId="77777777" w:rsidR="005A30C7" w:rsidRPr="00CE1D01" w:rsidRDefault="005E1C8D" w:rsidP="001A4C90">
      <w:pPr>
        <w:pStyle w:val="ListParagraph"/>
        <w:numPr>
          <w:ilvl w:val="0"/>
          <w:numId w:val="8"/>
        </w:numPr>
        <w:rPr>
          <w:b/>
        </w:rPr>
      </w:pPr>
      <w:r w:rsidRPr="00CE1D01">
        <w:t xml:space="preserve">OMB </w:t>
      </w:r>
      <w:r w:rsidRPr="00F95DE0">
        <w:t xml:space="preserve">Circular No. A–130 (Revised), </w:t>
      </w:r>
      <w:r w:rsidRPr="00F95DE0">
        <w:rPr>
          <w:i/>
        </w:rPr>
        <w:t>Management of Federal Information Resource</w:t>
      </w:r>
      <w:r w:rsidR="003747F9" w:rsidRPr="00F95DE0">
        <w:rPr>
          <w:i/>
        </w:rPr>
        <w:t>,</w:t>
      </w:r>
      <w:r w:rsidR="003747F9" w:rsidRPr="00F95DE0">
        <w:t xml:space="preserve"> (</w:t>
      </w:r>
      <w:r w:rsidRPr="00F95DE0">
        <w:t>November 28, 2000)</w:t>
      </w:r>
      <w:r w:rsidR="0005501C" w:rsidRPr="00F95DE0">
        <w:t>; and</w:t>
      </w:r>
      <w:r w:rsidRPr="00CE1D01">
        <w:rPr>
          <w:b/>
        </w:rPr>
        <w:t xml:space="preserve"> </w:t>
      </w:r>
    </w:p>
    <w:p w14:paraId="72DDE03F" w14:textId="77777777" w:rsidR="0005501C" w:rsidRPr="00F95DE0" w:rsidRDefault="0005501C" w:rsidP="001A4C90">
      <w:pPr>
        <w:pStyle w:val="ListParagraph"/>
        <w:numPr>
          <w:ilvl w:val="0"/>
          <w:numId w:val="8"/>
        </w:numPr>
      </w:pPr>
      <w:r w:rsidRPr="00F95DE0">
        <w:t>DHS Sensitive Systems Policy Directive 4300A.</w:t>
      </w:r>
    </w:p>
    <w:p w14:paraId="44F0C793" w14:textId="77777777" w:rsidR="008205A8" w:rsidRDefault="008205A8" w:rsidP="00D90239"/>
    <w:p w14:paraId="64252173" w14:textId="77777777" w:rsidR="008205A8" w:rsidRDefault="008205A8" w:rsidP="00D90239"/>
    <w:p w14:paraId="7F812AD1" w14:textId="77777777" w:rsidR="006E14B6" w:rsidRPr="0043714A" w:rsidRDefault="006E14B6" w:rsidP="006E14B6">
      <w:pPr>
        <w:rPr>
          <w:b/>
        </w:rPr>
      </w:pPr>
      <w:r w:rsidRPr="0043714A">
        <w:rPr>
          <w:b/>
        </w:rPr>
        <w:lastRenderedPageBreak/>
        <w:t>2</w:t>
      </w:r>
      <w:r>
        <w:t xml:space="preserve">.  </w:t>
      </w:r>
      <w:r w:rsidR="000C5166">
        <w:rPr>
          <w:b/>
        </w:rPr>
        <w:t>Use of the Information</w:t>
      </w:r>
    </w:p>
    <w:p w14:paraId="19547F4D" w14:textId="77777777" w:rsidR="009A31AE" w:rsidRDefault="009A31AE" w:rsidP="009A31AE">
      <w:r>
        <w:t xml:space="preserve">DHS is proposing amendments to the </w:t>
      </w:r>
      <w:r w:rsidR="00CE6D10">
        <w:t>Homeland Security Acquisition Regulation (</w:t>
      </w:r>
      <w:r>
        <w:t>HSAR</w:t>
      </w:r>
      <w:r w:rsidR="00CE6D10">
        <w:t>)</w:t>
      </w:r>
      <w:r>
        <w:t xml:space="preserve"> to require contractor and subcontractor employees to take Information Technology Security Awareness Training, sign the DHS Rules of Behavior</w:t>
      </w:r>
      <w:r w:rsidR="009B060E">
        <w:t>, and take Privacy Training</w:t>
      </w:r>
      <w:r>
        <w:t xml:space="preserve"> when required</w:t>
      </w:r>
      <w:r w:rsidRPr="00E979E4">
        <w:t>.</w:t>
      </w:r>
      <w:r>
        <w:t xml:space="preserve">  Specifically, these amendments would make the following changes to the HSAR:</w:t>
      </w:r>
    </w:p>
    <w:p w14:paraId="59A46BB0" w14:textId="77777777" w:rsidR="009A31AE" w:rsidRDefault="009A31AE" w:rsidP="006517C2"/>
    <w:p w14:paraId="13C41A0E" w14:textId="77777777" w:rsidR="009A31AE" w:rsidRPr="00F94936" w:rsidRDefault="009A31AE" w:rsidP="009A31AE">
      <w:pPr>
        <w:pStyle w:val="ListParagraph"/>
        <w:numPr>
          <w:ilvl w:val="0"/>
          <w:numId w:val="9"/>
        </w:numPr>
      </w:pPr>
      <w:r w:rsidRPr="00F94936">
        <w:t>Add a new HSAR subpart 3039.70, Information Technology Security Awareness Training</w:t>
      </w:r>
      <w:r w:rsidR="00150261">
        <w:t>,</w:t>
      </w:r>
      <w:r w:rsidRPr="00F94936">
        <w:t xml:space="preserve"> and associated clause </w:t>
      </w:r>
      <w:r w:rsidR="009B060E">
        <w:t xml:space="preserve">at HSAR 3052.239-7X, Information Technology Security Awareness Training, </w:t>
      </w:r>
      <w:r w:rsidRPr="00F94936">
        <w:t xml:space="preserve">to require contractor and subcontractor employees </w:t>
      </w:r>
      <w:r>
        <w:t xml:space="preserve">that </w:t>
      </w:r>
      <w:r w:rsidRPr="009A31AE">
        <w:t xml:space="preserve">may have access to DHS information systems and/or information resources </w:t>
      </w:r>
      <w:r w:rsidR="00031E63">
        <w:t xml:space="preserve">or contractor-owned and/or operated information systems or information resources </w:t>
      </w:r>
      <w:r w:rsidRPr="009A31AE">
        <w:t xml:space="preserve">capable of processing, storing or transmitting sensitive information </w:t>
      </w:r>
      <w:r w:rsidRPr="00F94936">
        <w:t>to:</w:t>
      </w:r>
    </w:p>
    <w:p w14:paraId="652839C4" w14:textId="77777777" w:rsidR="009A31AE" w:rsidRDefault="009A31AE" w:rsidP="009A31AE">
      <w:pPr>
        <w:pStyle w:val="ListParagraph"/>
        <w:ind w:left="0"/>
      </w:pPr>
    </w:p>
    <w:p w14:paraId="533CF443" w14:textId="77777777" w:rsidR="00323972" w:rsidRDefault="00CE6D10" w:rsidP="00421B92">
      <w:pPr>
        <w:pStyle w:val="ListParagraph"/>
        <w:numPr>
          <w:ilvl w:val="0"/>
          <w:numId w:val="2"/>
        </w:numPr>
      </w:pPr>
      <w:r>
        <w:t>Complete</w:t>
      </w:r>
      <w:r w:rsidR="009A31AE" w:rsidRPr="00421B92">
        <w:rPr>
          <w:bCs/>
          <w:color w:val="000000"/>
        </w:rPr>
        <w:t xml:space="preserve"> </w:t>
      </w:r>
      <w:r w:rsidR="009A31AE" w:rsidRPr="00D237D0">
        <w:t>Information Technology Sec</w:t>
      </w:r>
      <w:r w:rsidR="009A31AE">
        <w:t>urity Awareness Training</w:t>
      </w:r>
      <w:r w:rsidR="009A31AE" w:rsidRPr="009A31AE">
        <w:t xml:space="preserve"> </w:t>
      </w:r>
      <w:r w:rsidR="00323972" w:rsidRPr="00D237D0">
        <w:t>within thirty (30) days of contract award and on an annual basis thereafter not later than October 31st of each year</w:t>
      </w:r>
      <w:r w:rsidR="00323972">
        <w:t>.</w:t>
      </w:r>
      <w:r w:rsidR="00323972" w:rsidRPr="009A31AE">
        <w:t xml:space="preserve"> </w:t>
      </w:r>
    </w:p>
    <w:p w14:paraId="647382EF" w14:textId="77777777" w:rsidR="00323972" w:rsidRDefault="00323972" w:rsidP="00421B92">
      <w:pPr>
        <w:pStyle w:val="ListParagraph"/>
        <w:numPr>
          <w:ilvl w:val="0"/>
          <w:numId w:val="2"/>
        </w:numPr>
      </w:pPr>
      <w:r>
        <w:t>M</w:t>
      </w:r>
      <w:r w:rsidRPr="00323972">
        <w:t>aintain evidence that the training has been completed and provide copies of the training completion certificates to the Contracting Officer and/or Contracting Officer’s Representative (COR)</w:t>
      </w:r>
      <w:r>
        <w:t>.</w:t>
      </w:r>
    </w:p>
    <w:p w14:paraId="3E72E770" w14:textId="77777777" w:rsidR="009A31AE" w:rsidRPr="006C0FF7" w:rsidRDefault="009A31AE" w:rsidP="00421B92">
      <w:pPr>
        <w:pStyle w:val="ListParagraph"/>
        <w:numPr>
          <w:ilvl w:val="0"/>
          <w:numId w:val="2"/>
        </w:numPr>
      </w:pPr>
      <w:r w:rsidRPr="00421B92">
        <w:rPr>
          <w:bCs/>
          <w:color w:val="000000"/>
        </w:rPr>
        <w:t>Sign the DHS Rules of Behavior (RoB)</w:t>
      </w:r>
      <w:r w:rsidR="00323972">
        <w:rPr>
          <w:bCs/>
          <w:color w:val="000000"/>
        </w:rPr>
        <w:t xml:space="preserve"> </w:t>
      </w:r>
      <w:r w:rsidR="00323972" w:rsidRPr="00323972">
        <w:rPr>
          <w:bCs/>
          <w:color w:val="000000"/>
        </w:rPr>
        <w:t xml:space="preserve">before </w:t>
      </w:r>
      <w:r w:rsidR="00323972">
        <w:rPr>
          <w:bCs/>
          <w:color w:val="000000"/>
        </w:rPr>
        <w:t xml:space="preserve">access to a DHS </w:t>
      </w:r>
      <w:r w:rsidR="00323972" w:rsidRPr="00323972">
        <w:rPr>
          <w:bCs/>
          <w:color w:val="000000"/>
        </w:rPr>
        <w:t xml:space="preserve">information system </w:t>
      </w:r>
      <w:r w:rsidR="00031E63">
        <w:rPr>
          <w:bCs/>
          <w:color w:val="000000"/>
        </w:rPr>
        <w:t xml:space="preserve">or information resource is granted or a contractor-owned and/or operated information system/information resource </w:t>
      </w:r>
      <w:r w:rsidR="00323972">
        <w:rPr>
          <w:bCs/>
          <w:color w:val="000000"/>
        </w:rPr>
        <w:t>that will</w:t>
      </w:r>
      <w:r w:rsidR="00323972" w:rsidRPr="00323972">
        <w:rPr>
          <w:bCs/>
          <w:color w:val="000000"/>
        </w:rPr>
        <w:t xml:space="preserve"> be used to process, store or transmit sensitive information</w:t>
      </w:r>
      <w:r w:rsidR="00323972">
        <w:rPr>
          <w:bCs/>
          <w:color w:val="000000"/>
        </w:rPr>
        <w:t xml:space="preserve"> is granted</w:t>
      </w:r>
      <w:r w:rsidRPr="00421B92">
        <w:rPr>
          <w:bCs/>
          <w:color w:val="000000"/>
        </w:rPr>
        <w:t>.</w:t>
      </w:r>
    </w:p>
    <w:p w14:paraId="59257AA5" w14:textId="77777777" w:rsidR="00323972" w:rsidRDefault="00323972" w:rsidP="00323972">
      <w:pPr>
        <w:pStyle w:val="ListParagraph"/>
        <w:numPr>
          <w:ilvl w:val="0"/>
          <w:numId w:val="2"/>
        </w:numPr>
      </w:pPr>
      <w:r>
        <w:t>M</w:t>
      </w:r>
      <w:r w:rsidRPr="00323972">
        <w:t>aintain signed copies of the DHS RoB for all contractor and subcontractor employees as a record of compliance and provide signed copies of the DHS RoB to the Contracting Officer and/or COR</w:t>
      </w:r>
      <w:r>
        <w:t>.</w:t>
      </w:r>
    </w:p>
    <w:p w14:paraId="0DDEE64F" w14:textId="77777777" w:rsidR="009A31AE" w:rsidRDefault="009A31AE" w:rsidP="006517C2"/>
    <w:p w14:paraId="3B361A6C" w14:textId="77777777" w:rsidR="00852101" w:rsidRDefault="00271A63" w:rsidP="009B060E">
      <w:pPr>
        <w:pStyle w:val="ListParagraph"/>
        <w:numPr>
          <w:ilvl w:val="0"/>
          <w:numId w:val="10"/>
        </w:numPr>
      </w:pPr>
      <w:r w:rsidRPr="00F94936">
        <w:t xml:space="preserve">Add a new HSAR subpart </w:t>
      </w:r>
      <w:r w:rsidR="009A31AE" w:rsidRPr="00F94936">
        <w:t>3</w:t>
      </w:r>
      <w:r w:rsidR="009A31AE">
        <w:t>02</w:t>
      </w:r>
      <w:r w:rsidR="009A31AE" w:rsidRPr="00F94936">
        <w:t>4</w:t>
      </w:r>
      <w:r w:rsidRPr="00F94936">
        <w:t>.70, Privacy Training</w:t>
      </w:r>
      <w:r w:rsidR="00150261">
        <w:t>,</w:t>
      </w:r>
      <w:r w:rsidR="00B81DDD" w:rsidRPr="00F94936">
        <w:t xml:space="preserve"> and </w:t>
      </w:r>
      <w:r w:rsidR="00852101" w:rsidRPr="00F94936">
        <w:t>associated clause at HSAR 3052.224-XX</w:t>
      </w:r>
      <w:r w:rsidR="009B060E">
        <w:t xml:space="preserve">, </w:t>
      </w:r>
      <w:r w:rsidR="00852101" w:rsidRPr="00F94936">
        <w:t xml:space="preserve">Privacy </w:t>
      </w:r>
      <w:r w:rsidR="009B060E">
        <w:t>T</w:t>
      </w:r>
      <w:r w:rsidR="009B060E" w:rsidRPr="00F94936">
        <w:t>raining</w:t>
      </w:r>
      <w:r w:rsidR="00852101" w:rsidRPr="00F94936">
        <w:t xml:space="preserve">, to require contractor and subcontractor employees </w:t>
      </w:r>
      <w:r w:rsidR="009B060E">
        <w:t xml:space="preserve">that </w:t>
      </w:r>
      <w:r w:rsidR="009B060E" w:rsidRPr="009B060E">
        <w:t>require access to a Government system of records; handle Personally Identifiable Information (PII) or Sensitive PII (SPII); or design, develop, maintain, or operate a Government system of records</w:t>
      </w:r>
      <w:r w:rsidR="009B060E">
        <w:t xml:space="preserve"> </w:t>
      </w:r>
      <w:r w:rsidR="00852101" w:rsidRPr="00F94936">
        <w:t>to:</w:t>
      </w:r>
    </w:p>
    <w:p w14:paraId="25A08424" w14:textId="77777777" w:rsidR="00C06215" w:rsidRPr="00F94936" w:rsidRDefault="00C06215" w:rsidP="00C06215">
      <w:pPr>
        <w:pStyle w:val="ListParagraph"/>
        <w:ind w:left="0"/>
      </w:pPr>
    </w:p>
    <w:p w14:paraId="19FA29EE" w14:textId="77777777" w:rsidR="00150261" w:rsidRDefault="00CE6D10" w:rsidP="00150261">
      <w:pPr>
        <w:pStyle w:val="ListParagraph"/>
        <w:numPr>
          <w:ilvl w:val="0"/>
          <w:numId w:val="1"/>
        </w:numPr>
      </w:pPr>
      <w:r>
        <w:t>Complete</w:t>
      </w:r>
      <w:r w:rsidR="00150261" w:rsidRPr="00D12C6E">
        <w:rPr>
          <w:bCs/>
          <w:color w:val="000000"/>
        </w:rPr>
        <w:t xml:space="preserve"> </w:t>
      </w:r>
      <w:r w:rsidR="00150261">
        <w:t>Privacy Training</w:t>
      </w:r>
      <w:r w:rsidR="00150261" w:rsidRPr="009A31AE">
        <w:t xml:space="preserve"> </w:t>
      </w:r>
      <w:r w:rsidR="00150261" w:rsidRPr="00D237D0">
        <w:t>within thirty (30) days of contract award and on an annual basis thereafter not later than October 31st of each year</w:t>
      </w:r>
      <w:r w:rsidR="00150261">
        <w:t>.</w:t>
      </w:r>
      <w:r w:rsidR="00150261" w:rsidRPr="009A31AE">
        <w:t xml:space="preserve"> </w:t>
      </w:r>
    </w:p>
    <w:p w14:paraId="2D274290" w14:textId="77777777" w:rsidR="00150261" w:rsidRDefault="00150261" w:rsidP="00150261">
      <w:pPr>
        <w:pStyle w:val="ListParagraph"/>
        <w:numPr>
          <w:ilvl w:val="0"/>
          <w:numId w:val="1"/>
        </w:numPr>
      </w:pPr>
      <w:r>
        <w:t>M</w:t>
      </w:r>
      <w:r w:rsidRPr="00323972">
        <w:t>aintain evidence that the training has been completed and provide copies of the training completion certificates to the Contracting Officer and/or COR</w:t>
      </w:r>
      <w:r>
        <w:t>.</w:t>
      </w:r>
    </w:p>
    <w:p w14:paraId="56316381" w14:textId="77777777" w:rsidR="00150261" w:rsidRDefault="00150261" w:rsidP="00421B92">
      <w:pPr>
        <w:pStyle w:val="ListParagraph"/>
        <w:ind w:left="1080"/>
      </w:pPr>
    </w:p>
    <w:p w14:paraId="3FC339DC" w14:textId="77777777" w:rsidR="009761BA" w:rsidRDefault="006E14B6" w:rsidP="006E14B6">
      <w:pPr>
        <w:rPr>
          <w:b/>
        </w:rPr>
      </w:pPr>
      <w:r>
        <w:t xml:space="preserve">3. </w:t>
      </w:r>
      <w:r w:rsidR="000C5166">
        <w:t xml:space="preserve"> </w:t>
      </w:r>
      <w:r w:rsidR="000C5166" w:rsidRPr="000C5166">
        <w:rPr>
          <w:b/>
        </w:rPr>
        <w:t>Use of Information Technology</w:t>
      </w:r>
      <w:r w:rsidR="009761BA">
        <w:rPr>
          <w:b/>
        </w:rPr>
        <w:t>.</w:t>
      </w:r>
    </w:p>
    <w:p w14:paraId="3F8F7946" w14:textId="77777777" w:rsidR="00B73338" w:rsidRDefault="00031E63" w:rsidP="0043714A">
      <w:r w:rsidRPr="00031E63">
        <w:rPr>
          <w:szCs w:val="26"/>
        </w:rPr>
        <w:t>Collection of the required information is a contractual condition of the clause</w:t>
      </w:r>
      <w:r>
        <w:rPr>
          <w:szCs w:val="26"/>
        </w:rPr>
        <w:t>s</w:t>
      </w:r>
      <w:r w:rsidRPr="00031E63">
        <w:rPr>
          <w:szCs w:val="26"/>
        </w:rPr>
        <w:t xml:space="preserve"> at HSAR</w:t>
      </w:r>
      <w:r>
        <w:rPr>
          <w:szCs w:val="26"/>
        </w:rPr>
        <w:t>3052.224-7X Privacy Training and</w:t>
      </w:r>
      <w:r w:rsidRPr="00031E63">
        <w:rPr>
          <w:szCs w:val="26"/>
        </w:rPr>
        <w:t xml:space="preserve"> 3052.2</w:t>
      </w:r>
      <w:r>
        <w:rPr>
          <w:szCs w:val="26"/>
        </w:rPr>
        <w:t>39</w:t>
      </w:r>
      <w:r w:rsidRPr="00031E63">
        <w:rPr>
          <w:szCs w:val="26"/>
        </w:rPr>
        <w:t xml:space="preserve">-7X, </w:t>
      </w:r>
      <w:r>
        <w:rPr>
          <w:szCs w:val="26"/>
        </w:rPr>
        <w:t>Information Technology Security Awareness Training</w:t>
      </w:r>
      <w:r w:rsidRPr="00031E63">
        <w:rPr>
          <w:szCs w:val="26"/>
        </w:rPr>
        <w:t xml:space="preserve">.  The information collection requirements imposed on contractors are contained in each solicitation and provide the specified contracting officer’s name, email, mailing address and other salient characteristics that contractors would use to submit its response.  Where both the Department and contractors are </w:t>
      </w:r>
      <w:r w:rsidRPr="00031E63">
        <w:rPr>
          <w:szCs w:val="26"/>
        </w:rPr>
        <w:lastRenderedPageBreak/>
        <w:t xml:space="preserve">capable of electronic interchange, contractors may submit the information collection requirements electronically (i.e. email), unless the solicitation specifically prohibits it.  This approach is consistent with section 2.101 of the Federal Acquisition Regulation which permits the use of electronic submissions.  Because the information collection requirements imposed on contractors must meet specific timeframes, a centralized mailbox or website would not be an expeditious or practical method of submission.  </w:t>
      </w:r>
    </w:p>
    <w:p w14:paraId="7E2C4FC9" w14:textId="77777777" w:rsidR="00C31139" w:rsidRDefault="00C31139" w:rsidP="0043714A"/>
    <w:p w14:paraId="04FDDEAA" w14:textId="77777777" w:rsidR="009761BA" w:rsidRPr="006C58EB" w:rsidRDefault="006E14B6" w:rsidP="0043714A">
      <w:pPr>
        <w:rPr>
          <w:b/>
        </w:rPr>
      </w:pPr>
      <w:r w:rsidRPr="006517C2">
        <w:t>4.</w:t>
      </w:r>
      <w:r>
        <w:t xml:space="preserve">  </w:t>
      </w:r>
      <w:r w:rsidR="0043714A" w:rsidRPr="006C58EB">
        <w:rPr>
          <w:b/>
        </w:rPr>
        <w:t xml:space="preserve">Efforts to Identify Duplication </w:t>
      </w:r>
    </w:p>
    <w:p w14:paraId="1A53D0FD" w14:textId="77777777" w:rsidR="00A006BA" w:rsidRDefault="00A006BA" w:rsidP="00A006BA">
      <w:r w:rsidRPr="00990A1F">
        <w:t xml:space="preserve">As a matter of policy, </w:t>
      </w:r>
      <w:r>
        <w:t>DHS</w:t>
      </w:r>
      <w:r w:rsidRPr="00990A1F">
        <w:t xml:space="preserve"> reviews the Federal Acquisition Regulation (FAR) and </w:t>
      </w:r>
      <w:r>
        <w:t>HSAR</w:t>
      </w:r>
      <w:r w:rsidRPr="00990A1F">
        <w:t xml:space="preserve"> to determine if adequate language already exists.  This information collection implements a unique provision and does not duplicate any other requirement.</w:t>
      </w:r>
      <w:r>
        <w:t xml:space="preserve">  If the FAR is revised to incorporate language that is comparable to parts of these rules, the duplicative text will be removed from the HSAR.</w:t>
      </w:r>
    </w:p>
    <w:p w14:paraId="1C853A5A" w14:textId="77777777" w:rsidR="006B283E" w:rsidRDefault="006B283E" w:rsidP="006B283E"/>
    <w:p w14:paraId="3E1C4A44" w14:textId="77777777" w:rsidR="0043714A" w:rsidRPr="00A675DB" w:rsidRDefault="006E14B6" w:rsidP="0043714A">
      <w:pPr>
        <w:rPr>
          <w:b/>
        </w:rPr>
      </w:pPr>
      <w:r>
        <w:t xml:space="preserve">5.  </w:t>
      </w:r>
      <w:r w:rsidR="0043714A" w:rsidRPr="00A675DB">
        <w:rPr>
          <w:b/>
        </w:rPr>
        <w:t>Impact on Small Business or Other Small Entities</w:t>
      </w:r>
    </w:p>
    <w:p w14:paraId="5E59D5B0" w14:textId="77777777" w:rsidR="006E14B6" w:rsidRDefault="00990A1F" w:rsidP="006E14B6">
      <w:r w:rsidRPr="00990A1F">
        <w:t>The burden applied to small businesses is the minimum consistent with applicable laws, Executive Orders, regulations, and prudent business practices.</w:t>
      </w:r>
    </w:p>
    <w:p w14:paraId="3767A99D" w14:textId="77777777" w:rsidR="00990A1F" w:rsidRDefault="00990A1F" w:rsidP="006E14B6"/>
    <w:p w14:paraId="1EE2BC5C" w14:textId="77777777" w:rsidR="0043714A" w:rsidRPr="00EF1974" w:rsidRDefault="006E14B6" w:rsidP="0043714A">
      <w:pPr>
        <w:rPr>
          <w:b/>
        </w:rPr>
      </w:pPr>
      <w:r>
        <w:t xml:space="preserve">6.  </w:t>
      </w:r>
      <w:r w:rsidR="0043714A" w:rsidRPr="00EF1974">
        <w:rPr>
          <w:b/>
        </w:rPr>
        <w:t>Consequences of Collection the Information Less Frequently</w:t>
      </w:r>
    </w:p>
    <w:p w14:paraId="7B60E478" w14:textId="77777777" w:rsidR="00A006BA" w:rsidRDefault="00A006BA" w:rsidP="00A006BA">
      <w:r>
        <w:t>C</w:t>
      </w:r>
      <w:r w:rsidRPr="006059AA">
        <w:t xml:space="preserve">ollection of </w:t>
      </w:r>
      <w:r>
        <w:t xml:space="preserve">this </w:t>
      </w:r>
      <w:r w:rsidRPr="006059AA">
        <w:t xml:space="preserve">information on a less frequent basis is not practical. </w:t>
      </w:r>
      <w:r>
        <w:t xml:space="preserve"> </w:t>
      </w:r>
      <w:r w:rsidRPr="00990A1F">
        <w:t xml:space="preserve">The consequence of not collecting this data is that </w:t>
      </w:r>
      <w:r>
        <w:t xml:space="preserve">DHS </w:t>
      </w:r>
      <w:r w:rsidRPr="00990A1F">
        <w:t xml:space="preserve">is not </w:t>
      </w:r>
      <w:r>
        <w:t xml:space="preserve">ensuring that contractor and subcontractor employees are adequately trained on (a) their responsibilities when accessing information systems that process, store, or transmit sensitive information and (b) </w:t>
      </w:r>
      <w:r w:rsidR="006663C7">
        <w:t>how to properly handle PII and SPII.</w:t>
      </w:r>
    </w:p>
    <w:p w14:paraId="4F29C1A2" w14:textId="77777777" w:rsidR="006C0FF7" w:rsidRDefault="006C0FF7" w:rsidP="0043714A"/>
    <w:p w14:paraId="0FF64F60" w14:textId="77777777" w:rsidR="0043714A" w:rsidRPr="00F354B6" w:rsidRDefault="006E14B6" w:rsidP="0043714A">
      <w:pPr>
        <w:rPr>
          <w:b/>
        </w:rPr>
      </w:pPr>
      <w:r>
        <w:t xml:space="preserve">7.  </w:t>
      </w:r>
      <w:r w:rsidR="0043714A" w:rsidRPr="00F354B6">
        <w:rPr>
          <w:b/>
        </w:rPr>
        <w:t>Special Circumstances Relating to the Guidelines of 5</w:t>
      </w:r>
      <w:r w:rsidR="000C5166">
        <w:rPr>
          <w:b/>
        </w:rPr>
        <w:t xml:space="preserve"> </w:t>
      </w:r>
      <w:r w:rsidR="0043714A" w:rsidRPr="00F354B6">
        <w:rPr>
          <w:b/>
        </w:rPr>
        <w:t xml:space="preserve">CFR 1320.5 </w:t>
      </w:r>
    </w:p>
    <w:p w14:paraId="774FE273" w14:textId="77777777" w:rsidR="006663C7" w:rsidRDefault="006663C7" w:rsidP="006663C7">
      <w:r w:rsidRPr="00A63687">
        <w:t>The collection of this information is consistent with the general information collection guidelines in 5 CFR 1320.5 (d) (2).</w:t>
      </w:r>
    </w:p>
    <w:p w14:paraId="4EAF480B" w14:textId="77777777" w:rsidR="006E14B6" w:rsidRDefault="006E14B6" w:rsidP="006E14B6"/>
    <w:p w14:paraId="356BA7FC" w14:textId="77777777" w:rsidR="0043714A" w:rsidRPr="00A23F00" w:rsidRDefault="006E14B6" w:rsidP="0043714A">
      <w:pPr>
        <w:rPr>
          <w:b/>
        </w:rPr>
      </w:pPr>
      <w:r>
        <w:t xml:space="preserve">8.  </w:t>
      </w:r>
      <w:r w:rsidR="0043714A" w:rsidRPr="00A23F00">
        <w:rPr>
          <w:b/>
        </w:rPr>
        <w:t xml:space="preserve">Efforts to Consult Outside the Agency </w:t>
      </w:r>
    </w:p>
    <w:p w14:paraId="7E184E27" w14:textId="77777777" w:rsidR="000C5166" w:rsidRDefault="00CE6D10" w:rsidP="006E14B6">
      <w:r w:rsidRPr="00CE6D10">
        <w:t>Public comment will be solicited in the Federal Register as required by 5 CFR 1320.8(d).  This supporting statement will be modified to address any public comments received.</w:t>
      </w:r>
    </w:p>
    <w:p w14:paraId="057B25AF" w14:textId="77777777" w:rsidR="00CE6D10" w:rsidRDefault="00CE6D10" w:rsidP="006E14B6"/>
    <w:p w14:paraId="60615342" w14:textId="77777777" w:rsidR="0043714A" w:rsidRPr="00730190" w:rsidRDefault="006E14B6" w:rsidP="0043714A">
      <w:pPr>
        <w:rPr>
          <w:b/>
        </w:rPr>
      </w:pPr>
      <w:r>
        <w:t xml:space="preserve">9.  </w:t>
      </w:r>
      <w:r w:rsidR="0043714A" w:rsidRPr="00730190">
        <w:rPr>
          <w:b/>
        </w:rPr>
        <w:t>Explanation of Payments and Gifts to Respondents</w:t>
      </w:r>
    </w:p>
    <w:p w14:paraId="10C3FD05" w14:textId="77777777" w:rsidR="006663C7" w:rsidRDefault="006663C7" w:rsidP="006663C7">
      <w:r w:rsidRPr="002A4C90">
        <w:t xml:space="preserve">No payment or gift will be </w:t>
      </w:r>
      <w:r>
        <w:t>provided to respondents other than remuneration of contractors under their contacts.</w:t>
      </w:r>
    </w:p>
    <w:p w14:paraId="49CE6DD3" w14:textId="77777777" w:rsidR="006E14B6" w:rsidRDefault="006E14B6" w:rsidP="006E14B6"/>
    <w:p w14:paraId="0F581CA9" w14:textId="77777777" w:rsidR="0043714A" w:rsidRPr="001261A8" w:rsidRDefault="006E14B6" w:rsidP="0043714A">
      <w:pPr>
        <w:rPr>
          <w:b/>
        </w:rPr>
      </w:pPr>
      <w:r>
        <w:t xml:space="preserve">10.  </w:t>
      </w:r>
      <w:r w:rsidR="0043714A" w:rsidRPr="001261A8">
        <w:rPr>
          <w:b/>
        </w:rPr>
        <w:t>Assurance of Confidentiality Provided to Respondents</w:t>
      </w:r>
    </w:p>
    <w:p w14:paraId="42502D2D" w14:textId="77777777" w:rsidR="002A4C90" w:rsidRDefault="002A4C90" w:rsidP="0043714A">
      <w:r w:rsidRPr="002A4C90">
        <w:t xml:space="preserve">This information is disclosed only to the extent consistent with </w:t>
      </w:r>
      <w:r w:rsidR="00366AE5">
        <w:t xml:space="preserve">statutory requirements, </w:t>
      </w:r>
      <w:r w:rsidR="00366AE5" w:rsidRPr="002A4C90">
        <w:t>current regulations</w:t>
      </w:r>
      <w:r w:rsidR="00366AE5">
        <w:t>,</w:t>
      </w:r>
      <w:r w:rsidR="00366AE5" w:rsidRPr="002A4C90">
        <w:t xml:space="preserve"> and </w:t>
      </w:r>
      <w:r w:rsidRPr="002A4C90">
        <w:t>prudent business practices.</w:t>
      </w:r>
      <w:r>
        <w:t xml:space="preserve">  </w:t>
      </w:r>
      <w:r w:rsidR="00195975" w:rsidRPr="00195975">
        <w:t>All information collection activities will conform to the requirements for the protection of the confidentiality of nonpublic information and personally identifiable information and for data security and integ</w:t>
      </w:r>
      <w:r w:rsidR="00195975">
        <w:t>rity.</w:t>
      </w:r>
    </w:p>
    <w:p w14:paraId="18E1F084" w14:textId="77777777" w:rsidR="00366AE5" w:rsidRDefault="00366AE5" w:rsidP="0043714A"/>
    <w:p w14:paraId="2ED4B146" w14:textId="77777777" w:rsidR="0043714A" w:rsidRPr="00815769" w:rsidRDefault="006E14B6" w:rsidP="0043714A">
      <w:pPr>
        <w:rPr>
          <w:b/>
        </w:rPr>
      </w:pPr>
      <w:r>
        <w:t xml:space="preserve">11.  </w:t>
      </w:r>
      <w:r w:rsidR="002A4C90" w:rsidRPr="002A4C90">
        <w:rPr>
          <w:b/>
        </w:rPr>
        <w:t xml:space="preserve">Additional justification for questions of a sensitive nature.  </w:t>
      </w:r>
    </w:p>
    <w:p w14:paraId="30A1A28C" w14:textId="77777777" w:rsidR="002A4C90" w:rsidRPr="002A4C90" w:rsidRDefault="002A4C90" w:rsidP="0043714A">
      <w:r w:rsidRPr="002A4C90">
        <w:t>No sensitive questions are involved.</w:t>
      </w:r>
    </w:p>
    <w:p w14:paraId="43E59FB6" w14:textId="77777777" w:rsidR="002A4C90" w:rsidRDefault="002A4C90" w:rsidP="0043714A">
      <w:pPr>
        <w:rPr>
          <w:rFonts w:ascii="Courier New" w:hAnsi="Courier New" w:cs="Courier New"/>
        </w:rPr>
      </w:pPr>
    </w:p>
    <w:p w14:paraId="5B2CF490" w14:textId="77777777" w:rsidR="004D1484" w:rsidRDefault="0091272C" w:rsidP="004D1484">
      <w:r w:rsidRPr="00F5641C">
        <w:lastRenderedPageBreak/>
        <w:t>12</w:t>
      </w:r>
      <w:r w:rsidR="00F5641C" w:rsidRPr="00F5641C">
        <w:t>.</w:t>
      </w:r>
      <w:r w:rsidRPr="0091272C">
        <w:rPr>
          <w:b/>
        </w:rPr>
        <w:t xml:space="preserve"> </w:t>
      </w:r>
      <w:r w:rsidR="00F5641C">
        <w:rPr>
          <w:b/>
        </w:rPr>
        <w:t xml:space="preserve"> </w:t>
      </w:r>
      <w:r w:rsidR="00A27830" w:rsidRPr="00A27830">
        <w:rPr>
          <w:b/>
        </w:rPr>
        <w:t>Estimated</w:t>
      </w:r>
      <w:r w:rsidRPr="0091272C">
        <w:rPr>
          <w:b/>
        </w:rPr>
        <w:t xml:space="preserve"> total annual public hour and cost burden.</w:t>
      </w:r>
      <w:r w:rsidRPr="0091272C">
        <w:t xml:space="preserve">  </w:t>
      </w:r>
    </w:p>
    <w:p w14:paraId="66AF2448" w14:textId="77777777" w:rsidR="00444E4D" w:rsidRDefault="00472F77" w:rsidP="00444E4D">
      <w:r w:rsidRPr="00472F77">
        <w:t>Annual reporting and recordkeeping burden estimates</w:t>
      </w:r>
      <w:r w:rsidR="004D1484" w:rsidRPr="00721290">
        <w:t xml:space="preserve"> are </w:t>
      </w:r>
      <w:r w:rsidR="005E17A2">
        <w:t xml:space="preserve">based on </w:t>
      </w:r>
      <w:r w:rsidRPr="00AA4F61">
        <w:t xml:space="preserve">Fiscal Year </w:t>
      </w:r>
      <w:r>
        <w:t xml:space="preserve">(FY) </w:t>
      </w:r>
      <w:r w:rsidRPr="00AA4F61">
        <w:t xml:space="preserve">2014 data </w:t>
      </w:r>
      <w:r w:rsidR="005E17A2">
        <w:t xml:space="preserve">reported to the Federal Procurement Data System (FPDS) </w:t>
      </w:r>
      <w:r>
        <w:t>on</w:t>
      </w:r>
      <w:r w:rsidR="006A08DC">
        <w:t xml:space="preserve"> </w:t>
      </w:r>
      <w:r w:rsidR="00A27830">
        <w:t xml:space="preserve">contract </w:t>
      </w:r>
      <w:r w:rsidR="005E17A2">
        <w:t xml:space="preserve">actions </w:t>
      </w:r>
      <w:r w:rsidR="00A27830">
        <w:t xml:space="preserve">for </w:t>
      </w:r>
      <w:r w:rsidR="00271A63">
        <w:t xml:space="preserve">products and </w:t>
      </w:r>
      <w:r w:rsidR="00A27830">
        <w:t xml:space="preserve">services </w:t>
      </w:r>
      <w:r w:rsidR="006A08DC">
        <w:t xml:space="preserve">(including IT </w:t>
      </w:r>
      <w:r w:rsidR="00A27830">
        <w:t>services</w:t>
      </w:r>
      <w:r w:rsidR="00097F3C">
        <w:t>)</w:t>
      </w:r>
      <w:r w:rsidR="004D1484" w:rsidRPr="00721290">
        <w:t>.</w:t>
      </w:r>
      <w:r w:rsidR="00097F3C">
        <w:t xml:space="preserve">  It </w:t>
      </w:r>
      <w:r w:rsidR="0044248B">
        <w:t>is anticipated</w:t>
      </w:r>
      <w:r w:rsidR="00097F3C">
        <w:t xml:space="preserve"> that this information collection will be </w:t>
      </w:r>
      <w:r w:rsidR="00E84661">
        <w:t xml:space="preserve">primarily </w:t>
      </w:r>
      <w:r w:rsidR="00097F3C">
        <w:t xml:space="preserve">applicable to </w:t>
      </w:r>
      <w:r w:rsidR="00097F3C" w:rsidRPr="00097F3C">
        <w:t xml:space="preserve">actions with a </w:t>
      </w:r>
      <w:r w:rsidR="00CE6D10">
        <w:t>P</w:t>
      </w:r>
      <w:r w:rsidR="00B00A91">
        <w:t xml:space="preserve">roduct and </w:t>
      </w:r>
      <w:r w:rsidR="00CE6D10">
        <w:t>S</w:t>
      </w:r>
      <w:r w:rsidR="00B00A91">
        <w:t xml:space="preserve">ervice </w:t>
      </w:r>
      <w:r w:rsidR="00CE6D10">
        <w:t>C</w:t>
      </w:r>
      <w:r w:rsidR="00097F3C" w:rsidRPr="00097F3C">
        <w:t>ode</w:t>
      </w:r>
      <w:r w:rsidR="00B00A91">
        <w:t xml:space="preserve"> (PSC)</w:t>
      </w:r>
      <w:r w:rsidR="00097F3C">
        <w:t xml:space="preserve"> of “D” Automatic Data Processing and Telecommunication and “R” Professional, Adminis</w:t>
      </w:r>
      <w:r w:rsidR="007605BB">
        <w:t>trative and Management Support.</w:t>
      </w:r>
      <w:r w:rsidR="004D1484" w:rsidRPr="00721290">
        <w:t xml:space="preserve"> </w:t>
      </w:r>
      <w:r w:rsidR="004D1484">
        <w:t xml:space="preserve"> </w:t>
      </w:r>
      <w:r w:rsidR="00307667">
        <w:t>For FY 2014</w:t>
      </w:r>
      <w:r w:rsidR="0044248B">
        <w:t xml:space="preserve">, DHS made more awards to small businesses for PSCs “D” and “R” than large businesses. </w:t>
      </w:r>
      <w:r w:rsidR="00CE6D10">
        <w:t xml:space="preserve">The </w:t>
      </w:r>
      <w:r w:rsidR="00811E9D">
        <w:t>PSCs will be adjusted as a</w:t>
      </w:r>
      <w:r w:rsidR="004D1484" w:rsidRPr="00721290">
        <w:t>dditional data become</w:t>
      </w:r>
      <w:r w:rsidR="00811E9D">
        <w:t>s</w:t>
      </w:r>
      <w:r w:rsidR="004D1484" w:rsidRPr="00721290">
        <w:t xml:space="preserve"> available through </w:t>
      </w:r>
      <w:r w:rsidR="004D1484">
        <w:t xml:space="preserve">HSAR clause </w:t>
      </w:r>
      <w:r w:rsidR="004D1484" w:rsidRPr="00721290">
        <w:t xml:space="preserve">implementation to validate future burden projections.  </w:t>
      </w:r>
    </w:p>
    <w:p w14:paraId="680FD48A" w14:textId="77777777" w:rsidR="00444E4D" w:rsidRDefault="00444E4D" w:rsidP="00444E4D"/>
    <w:p w14:paraId="4259B209" w14:textId="77777777" w:rsidR="00B00A91" w:rsidRPr="00444E4D" w:rsidRDefault="00B00A91" w:rsidP="00CE6D10">
      <w:pPr>
        <w:pStyle w:val="ListParagraph"/>
        <w:numPr>
          <w:ilvl w:val="0"/>
          <w:numId w:val="12"/>
        </w:numPr>
        <w:rPr>
          <w:b/>
          <w:u w:val="single"/>
        </w:rPr>
      </w:pPr>
      <w:r w:rsidRPr="00444E4D">
        <w:rPr>
          <w:b/>
          <w:u w:val="single"/>
        </w:rPr>
        <w:t>HSAR subpart 3039.70, Information Technology Security Awareness Training:</w:t>
      </w:r>
    </w:p>
    <w:p w14:paraId="060FDF6F" w14:textId="77777777" w:rsidR="00B00A91" w:rsidRDefault="00B00A91" w:rsidP="00B00A91"/>
    <w:p w14:paraId="29FB68D6" w14:textId="77777777" w:rsidR="00B00A91" w:rsidRDefault="00B00A91" w:rsidP="00B00A91">
      <w:r w:rsidRPr="00565E14">
        <w:t xml:space="preserve">Based on a review </w:t>
      </w:r>
      <w:r w:rsidR="00EE38A0">
        <w:t xml:space="preserve">and analysis </w:t>
      </w:r>
      <w:r w:rsidRPr="00565E14">
        <w:t>of FPDS data</w:t>
      </w:r>
      <w:r w:rsidR="00CE6D10">
        <w:t xml:space="preserve"> and internal DHS contract data</w:t>
      </w:r>
      <w:r w:rsidRPr="00565E14">
        <w:t xml:space="preserve">, it is estimated that this </w:t>
      </w:r>
      <w:r>
        <w:t>clause</w:t>
      </w:r>
      <w:r w:rsidRPr="00565E14">
        <w:t xml:space="preserve"> would apply to approximately</w:t>
      </w:r>
      <w:r>
        <w:t xml:space="preserve"> 874 unique vendors</w:t>
      </w:r>
      <w:r w:rsidR="00EE38A0">
        <w:t>,</w:t>
      </w:r>
      <w:r>
        <w:t xml:space="preserve"> including 485 small</w:t>
      </w:r>
      <w:r w:rsidR="00EE38A0">
        <w:t xml:space="preserve"> businesses</w:t>
      </w:r>
      <w:r>
        <w:t xml:space="preserve"> and 389 large businesses.  </w:t>
      </w:r>
      <w:r w:rsidRPr="00035260">
        <w:t xml:space="preserve">However, this proposed revision to the HSAR includes a </w:t>
      </w:r>
      <w:r>
        <w:t>flow-</w:t>
      </w:r>
      <w:r w:rsidRPr="00035260">
        <w:t xml:space="preserve">down provision </w:t>
      </w:r>
      <w:r w:rsidR="00EE38A0">
        <w:t>that applies to</w:t>
      </w:r>
      <w:r>
        <w:t xml:space="preserve"> </w:t>
      </w:r>
      <w:r w:rsidRPr="00035260">
        <w:rPr>
          <w:color w:val="000000"/>
        </w:rPr>
        <w:t>subcontractors</w:t>
      </w:r>
      <w:r w:rsidRPr="00035260">
        <w:t xml:space="preserve">.  </w:t>
      </w:r>
      <w:r>
        <w:t>It is</w:t>
      </w:r>
      <w:r w:rsidRPr="00035260">
        <w:t xml:space="preserve"> estimated that the number of subcontractors required to complete </w:t>
      </w:r>
      <w:r>
        <w:t xml:space="preserve">IT </w:t>
      </w:r>
      <w:r w:rsidR="00CE6D10">
        <w:t>s</w:t>
      </w:r>
      <w:r>
        <w:t xml:space="preserve">ecurity </w:t>
      </w:r>
      <w:r w:rsidR="00CE6D10">
        <w:t>a</w:t>
      </w:r>
      <w:r>
        <w:t xml:space="preserve">wareness </w:t>
      </w:r>
      <w:r w:rsidRPr="00035260">
        <w:t xml:space="preserve">training is </w:t>
      </w:r>
      <w:r>
        <w:t xml:space="preserve">1.5 </w:t>
      </w:r>
      <w:r w:rsidRPr="00035260">
        <w:t>times the number of contractors</w:t>
      </w:r>
      <w:r>
        <w:t xml:space="preserve"> or 1,311</w:t>
      </w:r>
      <w:r w:rsidR="00CE6D10">
        <w:t>, including</w:t>
      </w:r>
      <w:r w:rsidR="00EE38A0">
        <w:t xml:space="preserve"> </w:t>
      </w:r>
      <w:r>
        <w:t xml:space="preserve">727 small and 584 large businesses.  Therefore, the estimated number of respondents is 2,185 </w:t>
      </w:r>
      <w:r w:rsidR="00EE38A0">
        <w:t xml:space="preserve">of which </w:t>
      </w:r>
      <w:r>
        <w:t>1,212 are projected to be small</w:t>
      </w:r>
      <w:r w:rsidR="00EE38A0">
        <w:t xml:space="preserve"> businesses</w:t>
      </w:r>
      <w:r>
        <w:t xml:space="preserve">.  </w:t>
      </w:r>
      <w:r w:rsidRPr="007C3EB0">
        <w:t xml:space="preserve">The total annual projected number of responses </w:t>
      </w:r>
      <w:r>
        <w:t xml:space="preserve">per </w:t>
      </w:r>
      <w:r w:rsidRPr="007C3EB0">
        <w:t xml:space="preserve">respondent is projected to be </w:t>
      </w:r>
      <w:r>
        <w:t>four</w:t>
      </w:r>
      <w:r w:rsidRPr="007C3EB0">
        <w:t xml:space="preserve"> (</w:t>
      </w:r>
      <w:r>
        <w:t>4</w:t>
      </w:r>
      <w:r w:rsidRPr="007C3EB0">
        <w:t>).</w:t>
      </w:r>
      <w:r>
        <w:t xml:space="preserve"> </w:t>
      </w:r>
      <w:r w:rsidRPr="00834936">
        <w:t xml:space="preserve"> </w:t>
      </w:r>
      <w:r w:rsidR="00627EBC" w:rsidRPr="00627EBC">
        <w:t>The burden hours estimated per response is 30 minutes.</w:t>
      </w:r>
      <w:r w:rsidR="00627EBC">
        <w:t xml:space="preserve">  </w:t>
      </w:r>
      <w:r>
        <w:t>The annual total burden hours are estimated as follows</w:t>
      </w:r>
      <w:r w:rsidRPr="0091272C">
        <w:t>:</w:t>
      </w:r>
      <w:r>
        <w:t xml:space="preserve">  </w:t>
      </w:r>
    </w:p>
    <w:p w14:paraId="2CF1A678" w14:textId="77777777" w:rsidR="00B00A91" w:rsidRDefault="00B00A91" w:rsidP="00B00A91">
      <w:pPr>
        <w:jc w:val="center"/>
        <w:rPr>
          <w:u w:val="single"/>
        </w:rPr>
      </w:pPr>
    </w:p>
    <w:p w14:paraId="4D8C236F" w14:textId="77777777" w:rsidR="00B00A91" w:rsidRPr="0091272C" w:rsidRDefault="00B00A91" w:rsidP="00B00A91">
      <w:pPr>
        <w:jc w:val="center"/>
      </w:pPr>
      <w:r>
        <w:rPr>
          <w:u w:val="single"/>
        </w:rPr>
        <w:t xml:space="preserve">Annual </w:t>
      </w:r>
      <w:r w:rsidRPr="0091272C">
        <w:rPr>
          <w:u w:val="single"/>
        </w:rPr>
        <w:t>Reporting</w:t>
      </w:r>
      <w:r>
        <w:rPr>
          <w:u w:val="single"/>
        </w:rPr>
        <w:t xml:space="preserve"> Burden </w:t>
      </w:r>
      <w:r w:rsidRPr="0091272C">
        <w:rPr>
          <w:u w:val="single"/>
        </w:rPr>
        <w:t>and</w:t>
      </w:r>
      <w:r>
        <w:rPr>
          <w:u w:val="single"/>
        </w:rPr>
        <w:t xml:space="preserve"> Cost </w:t>
      </w:r>
      <w:r w:rsidRPr="0091272C">
        <w:rPr>
          <w:u w:val="single"/>
        </w:rPr>
        <w:t xml:space="preserve"> </w:t>
      </w:r>
    </w:p>
    <w:p w14:paraId="14382B00" w14:textId="77777777" w:rsidR="00B00A91" w:rsidRDefault="00B00A91" w:rsidP="00B00A91">
      <w:pPr>
        <w:pStyle w:val="ListParagraph"/>
        <w:ind w:left="0"/>
        <w:rPr>
          <w:u w:val="single"/>
        </w:rPr>
      </w:pPr>
    </w:p>
    <w:p w14:paraId="49D65207" w14:textId="77777777" w:rsidR="00B00A91" w:rsidRPr="0091272C" w:rsidRDefault="00B00A91" w:rsidP="00B00A91">
      <w:pPr>
        <w:tabs>
          <w:tab w:val="left" w:leader="dot" w:pos="7740"/>
          <w:tab w:val="right" w:pos="9270"/>
        </w:tabs>
      </w:pPr>
      <w:r w:rsidRPr="0091272C">
        <w:t>Estimated respondents/yr</w:t>
      </w:r>
      <w:r w:rsidRPr="0091272C">
        <w:tab/>
      </w:r>
      <w:r w:rsidRPr="0091272C">
        <w:tab/>
      </w:r>
      <w:r>
        <w:t>2,185</w:t>
      </w:r>
    </w:p>
    <w:p w14:paraId="3E15A4C5" w14:textId="77777777" w:rsidR="00B00A91" w:rsidRPr="0091272C" w:rsidRDefault="00B00A91" w:rsidP="00B00A91">
      <w:pPr>
        <w:tabs>
          <w:tab w:val="left" w:leader="dot" w:pos="7740"/>
          <w:tab w:val="left" w:pos="7920"/>
          <w:tab w:val="right" w:pos="9270"/>
        </w:tabs>
        <w:rPr>
          <w:u w:val="single"/>
        </w:rPr>
      </w:pPr>
      <w:r w:rsidRPr="0091272C">
        <w:t>Responses annually</w:t>
      </w:r>
      <w:r w:rsidRPr="0091272C">
        <w:tab/>
      </w:r>
      <w:r w:rsidRPr="0091272C">
        <w:tab/>
      </w:r>
      <w:r w:rsidRPr="0091272C">
        <w:tab/>
        <w:t xml:space="preserve">   </w:t>
      </w:r>
      <w:r w:rsidRPr="0091272C">
        <w:rPr>
          <w:u w:val="single"/>
        </w:rPr>
        <w:t xml:space="preserve">x </w:t>
      </w:r>
      <w:r>
        <w:rPr>
          <w:u w:val="single"/>
        </w:rPr>
        <w:t xml:space="preserve">  4</w:t>
      </w:r>
    </w:p>
    <w:p w14:paraId="5F5EE551" w14:textId="77777777" w:rsidR="00B00A91" w:rsidRPr="0091272C" w:rsidRDefault="00B00A91" w:rsidP="00B00A91">
      <w:pPr>
        <w:tabs>
          <w:tab w:val="left" w:leader="dot" w:pos="7740"/>
          <w:tab w:val="right" w:pos="9270"/>
        </w:tabs>
      </w:pPr>
      <w:r w:rsidRPr="0091272C">
        <w:t>Total annual responses</w:t>
      </w:r>
      <w:r w:rsidRPr="0091272C">
        <w:tab/>
      </w:r>
      <w:r w:rsidRPr="0091272C">
        <w:tab/>
      </w:r>
      <w:r>
        <w:t>8,740</w:t>
      </w:r>
    </w:p>
    <w:p w14:paraId="569046C4" w14:textId="77777777" w:rsidR="00B00A91" w:rsidRPr="0091272C" w:rsidRDefault="00B00A91" w:rsidP="00B00A91">
      <w:pPr>
        <w:tabs>
          <w:tab w:val="left" w:leader="dot" w:pos="7740"/>
          <w:tab w:val="left" w:pos="7920"/>
          <w:tab w:val="right" w:pos="9270"/>
        </w:tabs>
      </w:pPr>
      <w:r w:rsidRPr="0091272C">
        <w:t>Estimated hrs/response</w:t>
      </w:r>
      <w:r w:rsidRPr="0091272C">
        <w:tab/>
      </w:r>
      <w:r w:rsidRPr="0091272C">
        <w:tab/>
      </w:r>
      <w:r w:rsidRPr="0091272C">
        <w:tab/>
      </w:r>
      <w:r w:rsidRPr="0091272C">
        <w:rPr>
          <w:u w:val="single"/>
        </w:rPr>
        <w:t xml:space="preserve">x </w:t>
      </w:r>
      <w:r>
        <w:rPr>
          <w:u w:val="single"/>
        </w:rPr>
        <w:t xml:space="preserve">  .50</w:t>
      </w:r>
    </w:p>
    <w:p w14:paraId="77F7AE15" w14:textId="77777777" w:rsidR="00B00A91" w:rsidRPr="0091272C" w:rsidRDefault="00B00A91" w:rsidP="00B00A91">
      <w:pPr>
        <w:tabs>
          <w:tab w:val="left" w:leader="dot" w:pos="7740"/>
          <w:tab w:val="right" w:pos="9270"/>
        </w:tabs>
      </w:pPr>
      <w:r w:rsidRPr="0091272C">
        <w:t>Estimated total burden/hrs</w:t>
      </w:r>
      <w:r w:rsidRPr="0091272C">
        <w:tab/>
      </w:r>
      <w:r w:rsidRPr="0091272C">
        <w:tab/>
      </w:r>
      <w:r>
        <w:t>4,370.00</w:t>
      </w:r>
    </w:p>
    <w:p w14:paraId="73DE5682" w14:textId="77777777" w:rsidR="00B00A91" w:rsidRPr="0091272C" w:rsidRDefault="00B00A91" w:rsidP="00B00A91">
      <w:pPr>
        <w:tabs>
          <w:tab w:val="left" w:leader="dot" w:pos="7740"/>
          <w:tab w:val="right" w:pos="9270"/>
        </w:tabs>
      </w:pPr>
      <w:r w:rsidRPr="0091272C">
        <w:t>Average wages + overhead</w:t>
      </w:r>
      <w:r w:rsidRPr="0091272C">
        <w:tab/>
      </w:r>
      <w:r w:rsidRPr="0091272C">
        <w:tab/>
      </w:r>
      <w:r w:rsidRPr="0091272C">
        <w:rPr>
          <w:u w:val="single"/>
        </w:rPr>
        <w:t>x $</w:t>
      </w:r>
      <w:r>
        <w:rPr>
          <w:u w:val="single"/>
        </w:rPr>
        <w:t>40.00*</w:t>
      </w:r>
    </w:p>
    <w:p w14:paraId="33A9B53C" w14:textId="77777777" w:rsidR="00B00A91" w:rsidRDefault="00B00A91" w:rsidP="00B00A91">
      <w:pPr>
        <w:tabs>
          <w:tab w:val="left" w:leader="dot" w:pos="7740"/>
          <w:tab w:val="right" w:pos="9270"/>
        </w:tabs>
      </w:pPr>
      <w:r w:rsidRPr="0091272C">
        <w:t>Estimated cost to the public</w:t>
      </w:r>
      <w:r w:rsidRPr="0091272C">
        <w:tab/>
      </w:r>
      <w:r w:rsidRPr="0091272C">
        <w:tab/>
        <w:t>$</w:t>
      </w:r>
      <w:r>
        <w:t>174,800.00</w:t>
      </w:r>
      <w:r w:rsidRPr="0091272C">
        <w:t xml:space="preserve"> </w:t>
      </w:r>
    </w:p>
    <w:p w14:paraId="109A89F4" w14:textId="77777777" w:rsidR="00B00A91" w:rsidRDefault="00B00A91" w:rsidP="00421B92">
      <w:pPr>
        <w:rPr>
          <w:b/>
          <w:u w:val="single"/>
        </w:rPr>
      </w:pPr>
    </w:p>
    <w:p w14:paraId="13AB103D" w14:textId="77777777" w:rsidR="00627EBC" w:rsidRPr="002E4D76" w:rsidRDefault="00627EBC" w:rsidP="00627EBC">
      <w:r w:rsidRPr="002E4D76">
        <w:t xml:space="preserve">The estimated number of record-keepers per year is </w:t>
      </w:r>
      <w:r>
        <w:t>2</w:t>
      </w:r>
      <w:r w:rsidRPr="002E4D76">
        <w:t>,</w:t>
      </w:r>
      <w:r>
        <w:t>185</w:t>
      </w:r>
      <w:r w:rsidRPr="002E4D76">
        <w:t xml:space="preserve">.  It is further estimated that each contractor will provide </w:t>
      </w:r>
      <w:r>
        <w:t>approximately four (4)</w:t>
      </w:r>
      <w:r w:rsidRPr="002E4D76">
        <w:t xml:space="preserve"> responses annually.  </w:t>
      </w:r>
      <w:r>
        <w:t xml:space="preserve">The </w:t>
      </w:r>
      <w:r w:rsidRPr="002E4D76">
        <w:t>burden hours estimated per response</w:t>
      </w:r>
      <w:r>
        <w:t xml:space="preserve"> is 10 minutes</w:t>
      </w:r>
      <w:r w:rsidRPr="002E4D76">
        <w:t>.</w:t>
      </w:r>
    </w:p>
    <w:p w14:paraId="249AA949" w14:textId="77777777" w:rsidR="00627EBC" w:rsidRDefault="00627EBC" w:rsidP="00627EBC">
      <w:pPr>
        <w:jc w:val="center"/>
        <w:rPr>
          <w:u w:val="single"/>
        </w:rPr>
      </w:pPr>
    </w:p>
    <w:p w14:paraId="5C5D270A" w14:textId="77777777" w:rsidR="00627EBC" w:rsidRPr="0091272C" w:rsidRDefault="00627EBC" w:rsidP="00627EBC">
      <w:pPr>
        <w:jc w:val="center"/>
      </w:pPr>
      <w:r>
        <w:rPr>
          <w:u w:val="single"/>
        </w:rPr>
        <w:t xml:space="preserve">Annual </w:t>
      </w:r>
      <w:r w:rsidRPr="0091272C">
        <w:rPr>
          <w:u w:val="single"/>
        </w:rPr>
        <w:t>Re</w:t>
      </w:r>
      <w:r>
        <w:rPr>
          <w:u w:val="single"/>
        </w:rPr>
        <w:t xml:space="preserve">cordkeeping Burden </w:t>
      </w:r>
      <w:r w:rsidRPr="0091272C">
        <w:rPr>
          <w:u w:val="single"/>
        </w:rPr>
        <w:t xml:space="preserve"> </w:t>
      </w:r>
    </w:p>
    <w:p w14:paraId="7CAF9C72" w14:textId="77777777" w:rsidR="00627EBC" w:rsidRDefault="00627EBC" w:rsidP="00627EBC"/>
    <w:p w14:paraId="7811BE3E" w14:textId="77777777" w:rsidR="00627EBC" w:rsidRPr="002E4D76" w:rsidRDefault="00627EBC" w:rsidP="00627EBC">
      <w:pPr>
        <w:tabs>
          <w:tab w:val="left" w:leader="dot" w:pos="7740"/>
          <w:tab w:val="right" w:pos="9270"/>
        </w:tabs>
      </w:pPr>
      <w:r w:rsidRPr="002E4D76">
        <w:t>Number of recordkeepers</w:t>
      </w:r>
      <w:r w:rsidRPr="002E4D76">
        <w:tab/>
      </w:r>
      <w:r w:rsidRPr="002E4D76">
        <w:tab/>
      </w:r>
      <w:r>
        <w:t>2,185</w:t>
      </w:r>
    </w:p>
    <w:p w14:paraId="5BBC420A" w14:textId="77777777" w:rsidR="00627EBC" w:rsidRPr="002E4D76" w:rsidRDefault="00627EBC" w:rsidP="00627EBC">
      <w:pPr>
        <w:tabs>
          <w:tab w:val="left" w:leader="dot" w:pos="7740"/>
          <w:tab w:val="right" w:pos="9270"/>
        </w:tabs>
      </w:pPr>
      <w:r w:rsidRPr="002E4D76">
        <w:t xml:space="preserve">Number of responses </w:t>
      </w:r>
      <w:r w:rsidRPr="002E4D76">
        <w:tab/>
      </w:r>
      <w:r w:rsidRPr="002E4D76">
        <w:tab/>
      </w:r>
      <w:r>
        <w:t xml:space="preserve">  </w:t>
      </w:r>
      <w:r w:rsidRPr="000E7E7C">
        <w:rPr>
          <w:u w:val="single"/>
        </w:rPr>
        <w:t xml:space="preserve">x </w:t>
      </w:r>
      <w:r>
        <w:rPr>
          <w:u w:val="single"/>
        </w:rPr>
        <w:t>4</w:t>
      </w:r>
    </w:p>
    <w:p w14:paraId="603E5AAA" w14:textId="77777777" w:rsidR="00627EBC" w:rsidRPr="002E4D76" w:rsidRDefault="00627EBC" w:rsidP="00627EBC">
      <w:pPr>
        <w:tabs>
          <w:tab w:val="left" w:leader="dot" w:pos="7740"/>
          <w:tab w:val="right" w:pos="9270"/>
        </w:tabs>
      </w:pPr>
      <w:r w:rsidRPr="002E4D76">
        <w:t>Total Annual Responses</w:t>
      </w:r>
      <w:r w:rsidRPr="002E4D76">
        <w:tab/>
      </w:r>
      <w:r w:rsidRPr="002E4D76">
        <w:tab/>
      </w:r>
      <w:r>
        <w:t>8,740</w:t>
      </w:r>
    </w:p>
    <w:p w14:paraId="53290E36" w14:textId="77777777" w:rsidR="00627EBC" w:rsidRPr="002E4D76" w:rsidRDefault="00627EBC" w:rsidP="00627EBC">
      <w:pPr>
        <w:tabs>
          <w:tab w:val="left" w:leader="dot" w:pos="7740"/>
          <w:tab w:val="right" w:pos="9270"/>
        </w:tabs>
      </w:pPr>
      <w:r w:rsidRPr="002E4D76">
        <w:lastRenderedPageBreak/>
        <w:t>Number of hours per recordkeeper</w:t>
      </w:r>
      <w:r w:rsidRPr="002E4D76">
        <w:tab/>
      </w:r>
      <w:r w:rsidRPr="002E4D76">
        <w:tab/>
      </w:r>
      <w:r w:rsidRPr="002E4D76">
        <w:rPr>
          <w:u w:val="single"/>
        </w:rPr>
        <w:t xml:space="preserve">x </w:t>
      </w:r>
      <w:r>
        <w:rPr>
          <w:u w:val="single"/>
        </w:rPr>
        <w:t>.17</w:t>
      </w:r>
    </w:p>
    <w:p w14:paraId="69132161" w14:textId="77777777" w:rsidR="00627EBC" w:rsidRPr="002E4D76" w:rsidRDefault="00627EBC" w:rsidP="00627EBC">
      <w:pPr>
        <w:tabs>
          <w:tab w:val="left" w:leader="dot" w:pos="7740"/>
          <w:tab w:val="right" w:pos="9270"/>
        </w:tabs>
      </w:pPr>
      <w:r w:rsidRPr="002E4D76">
        <w:t>Total response and recordkeeping burden hours</w:t>
      </w:r>
      <w:r w:rsidRPr="002E4D76">
        <w:tab/>
      </w:r>
      <w:r w:rsidRPr="002E4D76">
        <w:tab/>
      </w:r>
      <w:r>
        <w:t>1</w:t>
      </w:r>
      <w:r w:rsidRPr="002E4D76">
        <w:t>,</w:t>
      </w:r>
      <w:r>
        <w:t>485.80</w:t>
      </w:r>
    </w:p>
    <w:p w14:paraId="1DF4786E" w14:textId="77777777" w:rsidR="00627EBC" w:rsidRPr="002E4D76" w:rsidRDefault="00627EBC" w:rsidP="00627EBC">
      <w:pPr>
        <w:tabs>
          <w:tab w:val="left" w:leader="dot" w:pos="7740"/>
          <w:tab w:val="right" w:pos="9270"/>
        </w:tabs>
      </w:pPr>
      <w:r w:rsidRPr="002E4D76">
        <w:t>Average wages + overhead</w:t>
      </w:r>
      <w:r w:rsidRPr="002E4D76">
        <w:tab/>
      </w:r>
      <w:r w:rsidRPr="002E4D76">
        <w:tab/>
      </w:r>
      <w:r w:rsidRPr="002E4D76">
        <w:rPr>
          <w:u w:val="single"/>
        </w:rPr>
        <w:t>x $</w:t>
      </w:r>
      <w:r>
        <w:rPr>
          <w:u w:val="single"/>
        </w:rPr>
        <w:t>40</w:t>
      </w:r>
      <w:r w:rsidRPr="002E4D76">
        <w:rPr>
          <w:u w:val="single"/>
        </w:rPr>
        <w:t>*</w:t>
      </w:r>
    </w:p>
    <w:p w14:paraId="46BCE6E8" w14:textId="77777777" w:rsidR="00627EBC" w:rsidRPr="002E4D76" w:rsidRDefault="00627EBC" w:rsidP="00627EBC">
      <w:pPr>
        <w:tabs>
          <w:tab w:val="left" w:leader="dot" w:pos="7740"/>
          <w:tab w:val="right" w:pos="9270"/>
        </w:tabs>
      </w:pPr>
      <w:r w:rsidRPr="002E4D76">
        <w:t>Estimated cost to the public</w:t>
      </w:r>
      <w:r w:rsidRPr="002E4D76">
        <w:tab/>
      </w:r>
      <w:r w:rsidRPr="002E4D76">
        <w:tab/>
        <w:t>$</w:t>
      </w:r>
      <w:r>
        <w:t>59</w:t>
      </w:r>
      <w:r w:rsidRPr="002E4D76">
        <w:t>,</w:t>
      </w:r>
      <w:r>
        <w:t>432.00</w:t>
      </w:r>
    </w:p>
    <w:p w14:paraId="57F32F0B" w14:textId="77777777" w:rsidR="00627EBC" w:rsidRPr="00421B92" w:rsidRDefault="00627EBC" w:rsidP="00421B92">
      <w:pPr>
        <w:rPr>
          <w:b/>
          <w:u w:val="single"/>
        </w:rPr>
      </w:pPr>
    </w:p>
    <w:p w14:paraId="27608DE4" w14:textId="77777777" w:rsidR="00C06215" w:rsidRPr="00444E4D" w:rsidRDefault="00C06215" w:rsidP="00CE6D10">
      <w:pPr>
        <w:pStyle w:val="ListParagraph"/>
        <w:numPr>
          <w:ilvl w:val="0"/>
          <w:numId w:val="12"/>
        </w:numPr>
        <w:rPr>
          <w:b/>
          <w:u w:val="single"/>
        </w:rPr>
      </w:pPr>
      <w:r w:rsidRPr="00444E4D">
        <w:rPr>
          <w:b/>
          <w:u w:val="single"/>
        </w:rPr>
        <w:t xml:space="preserve">HSAR subpart </w:t>
      </w:r>
      <w:r w:rsidR="00B00A91" w:rsidRPr="00444E4D">
        <w:rPr>
          <w:b/>
          <w:u w:val="single"/>
        </w:rPr>
        <w:t>3</w:t>
      </w:r>
      <w:r w:rsidR="00B00A91">
        <w:rPr>
          <w:b/>
          <w:u w:val="single"/>
        </w:rPr>
        <w:t>02</w:t>
      </w:r>
      <w:r w:rsidR="00B00A91" w:rsidRPr="00444E4D">
        <w:rPr>
          <w:b/>
          <w:u w:val="single"/>
        </w:rPr>
        <w:t>4</w:t>
      </w:r>
      <w:r w:rsidRPr="00444E4D">
        <w:rPr>
          <w:b/>
          <w:u w:val="single"/>
        </w:rPr>
        <w:t>.70, Privacy Training:</w:t>
      </w:r>
    </w:p>
    <w:p w14:paraId="3E3035F3" w14:textId="77777777" w:rsidR="00444E4D" w:rsidRDefault="00444E4D" w:rsidP="00B24661"/>
    <w:p w14:paraId="5A92881D" w14:textId="77777777" w:rsidR="00B24661" w:rsidRPr="00B24661" w:rsidRDefault="00ED1F4D" w:rsidP="00B24661">
      <w:r w:rsidRPr="00565E14">
        <w:t xml:space="preserve">Based on a review </w:t>
      </w:r>
      <w:r>
        <w:t>and analysis of FPDS data</w:t>
      </w:r>
      <w:r w:rsidRPr="00565E14">
        <w:t xml:space="preserve">, </w:t>
      </w:r>
      <w:r w:rsidR="00035019" w:rsidRPr="00035019">
        <w:t xml:space="preserve">it is estimated that this </w:t>
      </w:r>
      <w:r w:rsidR="00626899">
        <w:t>clause</w:t>
      </w:r>
      <w:r w:rsidR="00035019" w:rsidRPr="00035019">
        <w:t xml:space="preserve"> would apply to approximately </w:t>
      </w:r>
      <w:r w:rsidR="00F9715A">
        <w:t>2</w:t>
      </w:r>
      <w:r w:rsidR="00B57185">
        <w:t>,</w:t>
      </w:r>
      <w:r w:rsidR="00F9715A">
        <w:t>6</w:t>
      </w:r>
      <w:r w:rsidR="00035019">
        <w:t>51</w:t>
      </w:r>
      <w:r w:rsidR="00F9715A">
        <w:t xml:space="preserve"> </w:t>
      </w:r>
      <w:r w:rsidR="006A7F1A">
        <w:t>unique vendors</w:t>
      </w:r>
      <w:r w:rsidR="00EE38A0">
        <w:t>,</w:t>
      </w:r>
      <w:r w:rsidR="006A7F1A">
        <w:t xml:space="preserve"> includ</w:t>
      </w:r>
      <w:r w:rsidR="00EE38A0">
        <w:t>ing</w:t>
      </w:r>
      <w:r w:rsidR="006A7F1A">
        <w:t xml:space="preserve"> </w:t>
      </w:r>
      <w:r w:rsidR="00EE38A0">
        <w:t xml:space="preserve">1,665 </w:t>
      </w:r>
      <w:r w:rsidR="006A7F1A">
        <w:t>small</w:t>
      </w:r>
      <w:r w:rsidR="00824050">
        <w:t xml:space="preserve"> </w:t>
      </w:r>
      <w:r w:rsidR="00EE38A0">
        <w:t>businesses</w:t>
      </w:r>
      <w:r w:rsidR="006A7F1A">
        <w:t xml:space="preserve"> and </w:t>
      </w:r>
      <w:r w:rsidR="00EE38A0">
        <w:t xml:space="preserve">986 </w:t>
      </w:r>
      <w:r w:rsidR="00627EBC">
        <w:t>large businesses</w:t>
      </w:r>
      <w:r w:rsidR="006A7F1A">
        <w:t xml:space="preserve">.  </w:t>
      </w:r>
      <w:r w:rsidR="006A7F1A" w:rsidRPr="00035260">
        <w:t xml:space="preserve">However, this proposed revision to the HSAR includes a </w:t>
      </w:r>
      <w:r w:rsidR="006A7F1A">
        <w:t>flow-</w:t>
      </w:r>
      <w:r w:rsidR="006A7F1A" w:rsidRPr="00035260">
        <w:t xml:space="preserve">down provision </w:t>
      </w:r>
      <w:r w:rsidR="00EE38A0">
        <w:t>that</w:t>
      </w:r>
      <w:r w:rsidR="003578D6">
        <w:t xml:space="preserve"> </w:t>
      </w:r>
      <w:r w:rsidR="00EE38A0">
        <w:t xml:space="preserve">applies to </w:t>
      </w:r>
      <w:r w:rsidR="006A7F1A" w:rsidRPr="00035260">
        <w:rPr>
          <w:color w:val="000000"/>
        </w:rPr>
        <w:t>subcontractors</w:t>
      </w:r>
      <w:r w:rsidR="006A7F1A" w:rsidRPr="00035260">
        <w:t xml:space="preserve">.  </w:t>
      </w:r>
      <w:r w:rsidR="00342412">
        <w:t xml:space="preserve">It is </w:t>
      </w:r>
      <w:r w:rsidR="006A7F1A" w:rsidRPr="00035260">
        <w:t xml:space="preserve">estimated that the number of subcontractors required to complete privacy training is </w:t>
      </w:r>
      <w:r w:rsidR="00F9715A">
        <w:t xml:space="preserve">1.5 </w:t>
      </w:r>
      <w:r w:rsidR="006A7F1A" w:rsidRPr="00035260">
        <w:t>times the number of contractors</w:t>
      </w:r>
      <w:r w:rsidR="00703B7C">
        <w:t xml:space="preserve"> or </w:t>
      </w:r>
      <w:r w:rsidR="00604B1A">
        <w:t>3</w:t>
      </w:r>
      <w:r w:rsidR="00B57185">
        <w:t>,</w:t>
      </w:r>
      <w:r w:rsidR="00F9715A">
        <w:t>9</w:t>
      </w:r>
      <w:r w:rsidR="00035019">
        <w:t>77</w:t>
      </w:r>
      <w:r w:rsidR="00627EBC">
        <w:t>, including</w:t>
      </w:r>
      <w:r w:rsidR="00703B7C">
        <w:t xml:space="preserve"> </w:t>
      </w:r>
      <w:r w:rsidR="00EE38A0">
        <w:t>2,497</w:t>
      </w:r>
      <w:r w:rsidR="00703B7C">
        <w:t xml:space="preserve"> small and</w:t>
      </w:r>
      <w:r w:rsidR="00EE38A0">
        <w:t xml:space="preserve"> 1,480</w:t>
      </w:r>
      <w:r w:rsidR="00703B7C">
        <w:t xml:space="preserve"> large businesses.  </w:t>
      </w:r>
      <w:r w:rsidR="00B57185">
        <w:t>Therefore, the estimated number of respondents is approximately 6,</w:t>
      </w:r>
      <w:r w:rsidR="00035019">
        <w:t>628</w:t>
      </w:r>
      <w:r w:rsidR="00EE38A0">
        <w:t xml:space="preserve"> of which </w:t>
      </w:r>
      <w:r w:rsidR="00A353E9">
        <w:t>4</w:t>
      </w:r>
      <w:r w:rsidR="00A353E9" w:rsidRPr="006B1FBD">
        <w:t>,</w:t>
      </w:r>
      <w:r w:rsidR="00A353E9">
        <w:t>162 are projected to be small businesses</w:t>
      </w:r>
      <w:r w:rsidR="006A7F1A" w:rsidRPr="00035260">
        <w:t>.</w:t>
      </w:r>
      <w:r w:rsidR="006A7F1A">
        <w:t xml:space="preserve">  </w:t>
      </w:r>
      <w:r w:rsidR="00B24661" w:rsidRPr="007C3EB0">
        <w:t xml:space="preserve">The total annual projected number of responses </w:t>
      </w:r>
      <w:r w:rsidR="00B24661">
        <w:t xml:space="preserve">per </w:t>
      </w:r>
      <w:r w:rsidR="00B24661" w:rsidRPr="007C3EB0">
        <w:t xml:space="preserve">respondent is projected to be </w:t>
      </w:r>
      <w:r w:rsidR="00604B1A">
        <w:t>four</w:t>
      </w:r>
      <w:r w:rsidR="00B24661" w:rsidRPr="007C3EB0">
        <w:t xml:space="preserve"> (</w:t>
      </w:r>
      <w:r w:rsidR="00604B1A">
        <w:t>4</w:t>
      </w:r>
      <w:r w:rsidR="00B24661" w:rsidRPr="007C3EB0">
        <w:t>).</w:t>
      </w:r>
      <w:r w:rsidR="00834936">
        <w:t xml:space="preserve"> </w:t>
      </w:r>
      <w:r w:rsidR="00834936" w:rsidRPr="00834936">
        <w:t xml:space="preserve"> </w:t>
      </w:r>
      <w:r w:rsidR="00627EBC" w:rsidRPr="00627EBC">
        <w:t>The burden hours estimated per response is 30 minutes.</w:t>
      </w:r>
      <w:r w:rsidR="00627EBC">
        <w:t xml:space="preserve">  </w:t>
      </w:r>
      <w:r w:rsidR="00834936">
        <w:t>The annual total burden hours are estimated as follows</w:t>
      </w:r>
      <w:r w:rsidR="00834936" w:rsidRPr="0091272C">
        <w:t>:</w:t>
      </w:r>
      <w:r w:rsidR="005D0DC7">
        <w:t xml:space="preserve"> </w:t>
      </w:r>
    </w:p>
    <w:p w14:paraId="427C9C66" w14:textId="77777777" w:rsidR="00EE38A0" w:rsidRDefault="00EE38A0" w:rsidP="00586047">
      <w:pPr>
        <w:jc w:val="center"/>
        <w:rPr>
          <w:u w:val="single"/>
        </w:rPr>
      </w:pPr>
    </w:p>
    <w:p w14:paraId="4188C30E" w14:textId="77777777" w:rsidR="00586047" w:rsidRPr="0091272C" w:rsidRDefault="002E4D76" w:rsidP="00586047">
      <w:pPr>
        <w:jc w:val="center"/>
      </w:pPr>
      <w:r>
        <w:rPr>
          <w:u w:val="single"/>
        </w:rPr>
        <w:t xml:space="preserve">Annual </w:t>
      </w:r>
      <w:r w:rsidR="00586047" w:rsidRPr="0091272C">
        <w:rPr>
          <w:u w:val="single"/>
        </w:rPr>
        <w:t>Reporting</w:t>
      </w:r>
      <w:r w:rsidR="00586047">
        <w:rPr>
          <w:u w:val="single"/>
        </w:rPr>
        <w:t xml:space="preserve"> Burden </w:t>
      </w:r>
      <w:r w:rsidR="00586047" w:rsidRPr="0091272C">
        <w:rPr>
          <w:u w:val="single"/>
        </w:rPr>
        <w:t>and</w:t>
      </w:r>
      <w:r w:rsidR="00586047">
        <w:rPr>
          <w:u w:val="single"/>
        </w:rPr>
        <w:t xml:space="preserve"> Cost </w:t>
      </w:r>
      <w:r w:rsidR="00586047" w:rsidRPr="0091272C">
        <w:rPr>
          <w:u w:val="single"/>
        </w:rPr>
        <w:t xml:space="preserve"> </w:t>
      </w:r>
    </w:p>
    <w:p w14:paraId="36AFCD4C" w14:textId="77777777" w:rsidR="002E625A" w:rsidRDefault="002E625A" w:rsidP="00B24661">
      <w:pPr>
        <w:pStyle w:val="ListParagraph"/>
        <w:ind w:left="0"/>
        <w:rPr>
          <w:u w:val="single"/>
        </w:rPr>
      </w:pPr>
    </w:p>
    <w:p w14:paraId="1163B4F4" w14:textId="77777777" w:rsidR="00771D23" w:rsidRPr="0091272C" w:rsidRDefault="00771D23" w:rsidP="00771D23">
      <w:pPr>
        <w:tabs>
          <w:tab w:val="left" w:leader="dot" w:pos="7740"/>
          <w:tab w:val="right" w:pos="9270"/>
        </w:tabs>
      </w:pPr>
      <w:r w:rsidRPr="0091272C">
        <w:t>Estimated respondents/yr</w:t>
      </w:r>
      <w:r w:rsidRPr="0091272C">
        <w:tab/>
      </w:r>
      <w:r w:rsidRPr="0091272C">
        <w:tab/>
      </w:r>
      <w:r w:rsidR="0083454C">
        <w:t>6,</w:t>
      </w:r>
      <w:r w:rsidR="00035019">
        <w:t>628</w:t>
      </w:r>
    </w:p>
    <w:p w14:paraId="3921AE09" w14:textId="77777777" w:rsidR="00771D23" w:rsidRPr="0091272C" w:rsidRDefault="00771D23" w:rsidP="00771D23">
      <w:pPr>
        <w:tabs>
          <w:tab w:val="left" w:leader="dot" w:pos="7740"/>
          <w:tab w:val="left" w:pos="7920"/>
          <w:tab w:val="right" w:pos="9270"/>
        </w:tabs>
        <w:rPr>
          <w:u w:val="single"/>
        </w:rPr>
      </w:pPr>
      <w:r w:rsidRPr="0091272C">
        <w:t>Responses annually</w:t>
      </w:r>
      <w:r w:rsidRPr="0091272C">
        <w:tab/>
      </w:r>
      <w:r w:rsidRPr="0091272C">
        <w:tab/>
      </w:r>
      <w:r w:rsidRPr="0091272C">
        <w:tab/>
        <w:t xml:space="preserve">   </w:t>
      </w:r>
      <w:r w:rsidRPr="0091272C">
        <w:rPr>
          <w:u w:val="single"/>
        </w:rPr>
        <w:t xml:space="preserve">x </w:t>
      </w:r>
      <w:r w:rsidR="00586047">
        <w:rPr>
          <w:u w:val="single"/>
        </w:rPr>
        <w:t xml:space="preserve">  </w:t>
      </w:r>
      <w:r w:rsidR="00604B1A">
        <w:rPr>
          <w:u w:val="single"/>
        </w:rPr>
        <w:t>4</w:t>
      </w:r>
    </w:p>
    <w:p w14:paraId="5C1E6E5A" w14:textId="77777777" w:rsidR="00771D23" w:rsidRPr="0091272C" w:rsidRDefault="00771D23" w:rsidP="00771D23">
      <w:pPr>
        <w:tabs>
          <w:tab w:val="left" w:leader="dot" w:pos="7740"/>
          <w:tab w:val="right" w:pos="9270"/>
        </w:tabs>
      </w:pPr>
      <w:r w:rsidRPr="0091272C">
        <w:t>Total annual responses</w:t>
      </w:r>
      <w:r w:rsidRPr="0091272C">
        <w:tab/>
      </w:r>
      <w:r w:rsidRPr="0091272C">
        <w:tab/>
      </w:r>
      <w:r w:rsidR="00B57185">
        <w:t>26,</w:t>
      </w:r>
      <w:r w:rsidR="00035019">
        <w:t>512</w:t>
      </w:r>
    </w:p>
    <w:p w14:paraId="167C5FCB" w14:textId="77777777" w:rsidR="00771D23" w:rsidRPr="0091272C" w:rsidRDefault="00771D23" w:rsidP="00771D23">
      <w:pPr>
        <w:tabs>
          <w:tab w:val="left" w:leader="dot" w:pos="7740"/>
          <w:tab w:val="left" w:pos="7920"/>
          <w:tab w:val="right" w:pos="9270"/>
        </w:tabs>
      </w:pPr>
      <w:r w:rsidRPr="0091272C">
        <w:t>Estimated hrs/response</w:t>
      </w:r>
      <w:r w:rsidRPr="0091272C">
        <w:tab/>
      </w:r>
      <w:r w:rsidRPr="0091272C">
        <w:tab/>
      </w:r>
      <w:r w:rsidRPr="0091272C">
        <w:tab/>
      </w:r>
      <w:r w:rsidRPr="0091272C">
        <w:rPr>
          <w:u w:val="single"/>
        </w:rPr>
        <w:t xml:space="preserve">x </w:t>
      </w:r>
      <w:r>
        <w:rPr>
          <w:u w:val="single"/>
        </w:rPr>
        <w:t xml:space="preserve">  </w:t>
      </w:r>
      <w:r w:rsidR="00604B1A">
        <w:rPr>
          <w:u w:val="single"/>
        </w:rPr>
        <w:t>.50</w:t>
      </w:r>
    </w:p>
    <w:p w14:paraId="3C73B435" w14:textId="77777777" w:rsidR="00771D23" w:rsidRPr="0091272C" w:rsidRDefault="00771D23" w:rsidP="00771D23">
      <w:pPr>
        <w:tabs>
          <w:tab w:val="left" w:leader="dot" w:pos="7740"/>
          <w:tab w:val="right" w:pos="9270"/>
        </w:tabs>
      </w:pPr>
      <w:r w:rsidRPr="0091272C">
        <w:t>Estimated total burden/hrs</w:t>
      </w:r>
      <w:r w:rsidRPr="0091272C">
        <w:tab/>
      </w:r>
      <w:r w:rsidRPr="0091272C">
        <w:tab/>
      </w:r>
      <w:r w:rsidR="00B57185">
        <w:t>13</w:t>
      </w:r>
      <w:r w:rsidR="00834936">
        <w:t>,</w:t>
      </w:r>
      <w:r w:rsidR="00035019">
        <w:t>256</w:t>
      </w:r>
    </w:p>
    <w:p w14:paraId="3DD51757" w14:textId="77777777" w:rsidR="00771D23" w:rsidRPr="0091272C" w:rsidRDefault="00771D23" w:rsidP="00771D23">
      <w:pPr>
        <w:tabs>
          <w:tab w:val="left" w:leader="dot" w:pos="7740"/>
          <w:tab w:val="right" w:pos="9270"/>
        </w:tabs>
      </w:pPr>
      <w:r w:rsidRPr="0091272C">
        <w:t>Average wages + overhead</w:t>
      </w:r>
      <w:r w:rsidRPr="0091272C">
        <w:tab/>
      </w:r>
      <w:r w:rsidRPr="0091272C">
        <w:tab/>
      </w:r>
      <w:r w:rsidRPr="0091272C">
        <w:rPr>
          <w:u w:val="single"/>
        </w:rPr>
        <w:t>x $</w:t>
      </w:r>
      <w:r w:rsidR="00586047">
        <w:rPr>
          <w:u w:val="single"/>
        </w:rPr>
        <w:t>40</w:t>
      </w:r>
      <w:r>
        <w:rPr>
          <w:u w:val="single"/>
        </w:rPr>
        <w:t>.00</w:t>
      </w:r>
      <w:r w:rsidR="006C1A21">
        <w:rPr>
          <w:u w:val="single"/>
        </w:rPr>
        <w:t>*</w:t>
      </w:r>
      <w:r w:rsidR="00586047">
        <w:rPr>
          <w:rStyle w:val="FootnoteReference"/>
          <w:u w:val="single"/>
        </w:rPr>
        <w:footnoteReference w:id="1"/>
      </w:r>
    </w:p>
    <w:p w14:paraId="32ED4663" w14:textId="77777777" w:rsidR="00771D23" w:rsidRPr="0091272C" w:rsidRDefault="00771D23" w:rsidP="00771D23">
      <w:pPr>
        <w:tabs>
          <w:tab w:val="left" w:leader="dot" w:pos="7740"/>
          <w:tab w:val="right" w:pos="9270"/>
        </w:tabs>
      </w:pPr>
      <w:r w:rsidRPr="0091272C">
        <w:t>Estimated cost to the public</w:t>
      </w:r>
      <w:r w:rsidRPr="0091272C">
        <w:tab/>
      </w:r>
      <w:r w:rsidRPr="0091272C">
        <w:tab/>
        <w:t>$</w:t>
      </w:r>
      <w:r w:rsidR="00B57185">
        <w:t>53</w:t>
      </w:r>
      <w:r w:rsidR="00035019">
        <w:t>0</w:t>
      </w:r>
      <w:r w:rsidR="00B57185">
        <w:t>,</w:t>
      </w:r>
      <w:r w:rsidR="00035019">
        <w:t>240</w:t>
      </w:r>
      <w:r w:rsidR="00604B1A">
        <w:t>.00</w:t>
      </w:r>
      <w:r w:rsidRPr="0091272C">
        <w:t xml:space="preserve"> </w:t>
      </w:r>
    </w:p>
    <w:p w14:paraId="53B21F60" w14:textId="77777777" w:rsidR="004D3224" w:rsidRDefault="004D3224" w:rsidP="002E4D76">
      <w:pPr>
        <w:jc w:val="center"/>
        <w:rPr>
          <w:u w:val="single"/>
        </w:rPr>
      </w:pPr>
    </w:p>
    <w:p w14:paraId="736A96CA" w14:textId="77777777" w:rsidR="002E4D76" w:rsidRPr="002E4D76" w:rsidRDefault="00627EBC" w:rsidP="002E4D76">
      <w:pPr>
        <w:jc w:val="center"/>
      </w:pPr>
      <w:r>
        <w:rPr>
          <w:u w:val="single"/>
        </w:rPr>
        <w:t xml:space="preserve">Annual </w:t>
      </w:r>
      <w:r w:rsidR="002E4D76" w:rsidRPr="002E4D76">
        <w:rPr>
          <w:u w:val="single"/>
        </w:rPr>
        <w:t>Recording Keeping Burden</w:t>
      </w:r>
    </w:p>
    <w:p w14:paraId="5B27B952" w14:textId="77777777" w:rsidR="002E4D76" w:rsidRPr="002E4D76" w:rsidRDefault="002E4D76" w:rsidP="002E4D76">
      <w:pPr>
        <w:jc w:val="center"/>
        <w:rPr>
          <w:u w:val="single"/>
        </w:rPr>
      </w:pPr>
    </w:p>
    <w:p w14:paraId="1DFD5509" w14:textId="77777777" w:rsidR="00627EBC" w:rsidRPr="002E4D76" w:rsidRDefault="00627EBC" w:rsidP="00627EBC">
      <w:r w:rsidRPr="002E4D76">
        <w:t>The estimated number of record-keepers per year is 6,628 based off of FY</w:t>
      </w:r>
      <w:r>
        <w:t xml:space="preserve"> 2014</w:t>
      </w:r>
      <w:r w:rsidRPr="002E4D76">
        <w:t xml:space="preserve"> data from FPDS</w:t>
      </w:r>
      <w:r w:rsidRPr="001546BA">
        <w:t xml:space="preserve"> </w:t>
      </w:r>
      <w:r>
        <w:t>and internal DHS contract data</w:t>
      </w:r>
      <w:r w:rsidRPr="002E4D76">
        <w:t xml:space="preserve">.  It is further estimated that each contractor will provide </w:t>
      </w:r>
      <w:r>
        <w:t>approximately four (4)</w:t>
      </w:r>
      <w:r w:rsidRPr="002E4D76">
        <w:t xml:space="preserve"> responses annually.  </w:t>
      </w:r>
      <w:r>
        <w:t xml:space="preserve">The </w:t>
      </w:r>
      <w:r w:rsidRPr="002E4D76">
        <w:t>burden hours estimated per response</w:t>
      </w:r>
      <w:r>
        <w:t xml:space="preserve"> is 10 minutes</w:t>
      </w:r>
      <w:r w:rsidRPr="002E4D76">
        <w:t>.</w:t>
      </w:r>
    </w:p>
    <w:p w14:paraId="1AB3F05F" w14:textId="77777777" w:rsidR="00627EBC" w:rsidRDefault="00627EBC" w:rsidP="00627EBC">
      <w:pPr>
        <w:jc w:val="center"/>
        <w:rPr>
          <w:u w:val="single"/>
        </w:rPr>
      </w:pPr>
    </w:p>
    <w:p w14:paraId="04192589" w14:textId="77777777" w:rsidR="00627EBC" w:rsidRPr="0091272C" w:rsidRDefault="00627EBC" w:rsidP="00627EBC">
      <w:pPr>
        <w:jc w:val="center"/>
      </w:pPr>
      <w:r>
        <w:rPr>
          <w:u w:val="single"/>
        </w:rPr>
        <w:t xml:space="preserve">Annual </w:t>
      </w:r>
      <w:r w:rsidRPr="0091272C">
        <w:rPr>
          <w:u w:val="single"/>
        </w:rPr>
        <w:t>Re</w:t>
      </w:r>
      <w:r>
        <w:rPr>
          <w:u w:val="single"/>
        </w:rPr>
        <w:t xml:space="preserve">cordkeeping Burden </w:t>
      </w:r>
      <w:r w:rsidRPr="0091272C">
        <w:rPr>
          <w:u w:val="single"/>
        </w:rPr>
        <w:t xml:space="preserve"> </w:t>
      </w:r>
    </w:p>
    <w:p w14:paraId="53C1B503" w14:textId="77777777" w:rsidR="00627EBC" w:rsidRDefault="00627EBC" w:rsidP="00627EBC">
      <w:pPr>
        <w:tabs>
          <w:tab w:val="left" w:pos="2820"/>
        </w:tabs>
      </w:pPr>
      <w:r>
        <w:tab/>
      </w:r>
    </w:p>
    <w:p w14:paraId="494A0F6D" w14:textId="77777777" w:rsidR="00627EBC" w:rsidRPr="002E4D76" w:rsidRDefault="00627EBC" w:rsidP="00627EBC">
      <w:pPr>
        <w:tabs>
          <w:tab w:val="left" w:leader="dot" w:pos="7740"/>
          <w:tab w:val="right" w:pos="9270"/>
        </w:tabs>
      </w:pPr>
      <w:r w:rsidRPr="002E4D76">
        <w:lastRenderedPageBreak/>
        <w:t>Number of recordkeepers</w:t>
      </w:r>
      <w:r w:rsidRPr="002E4D76">
        <w:tab/>
      </w:r>
      <w:r w:rsidRPr="002E4D76">
        <w:tab/>
      </w:r>
      <w:r>
        <w:t>6628</w:t>
      </w:r>
    </w:p>
    <w:p w14:paraId="393EB28C" w14:textId="77777777" w:rsidR="00627EBC" w:rsidRPr="002E4D76" w:rsidRDefault="00627EBC" w:rsidP="00627EBC">
      <w:pPr>
        <w:tabs>
          <w:tab w:val="left" w:leader="dot" w:pos="7740"/>
          <w:tab w:val="right" w:pos="9270"/>
        </w:tabs>
      </w:pPr>
      <w:r w:rsidRPr="002E4D76">
        <w:t xml:space="preserve">Number of responses </w:t>
      </w:r>
      <w:r w:rsidRPr="002E4D76">
        <w:tab/>
      </w:r>
      <w:r w:rsidRPr="002E4D76">
        <w:tab/>
      </w:r>
      <w:r>
        <w:t xml:space="preserve">  </w:t>
      </w:r>
      <w:r w:rsidRPr="000E7E7C">
        <w:rPr>
          <w:u w:val="single"/>
        </w:rPr>
        <w:t xml:space="preserve">x </w:t>
      </w:r>
      <w:r>
        <w:rPr>
          <w:u w:val="single"/>
        </w:rPr>
        <w:t>4</w:t>
      </w:r>
    </w:p>
    <w:p w14:paraId="3554788E" w14:textId="77777777" w:rsidR="00627EBC" w:rsidRPr="002E4D76" w:rsidRDefault="00627EBC" w:rsidP="00627EBC">
      <w:pPr>
        <w:tabs>
          <w:tab w:val="left" w:leader="dot" w:pos="7740"/>
          <w:tab w:val="right" w:pos="9270"/>
        </w:tabs>
      </w:pPr>
      <w:r w:rsidRPr="002E4D76">
        <w:t>Total Annual Responses</w:t>
      </w:r>
      <w:r w:rsidRPr="002E4D76">
        <w:tab/>
      </w:r>
      <w:r w:rsidRPr="002E4D76">
        <w:tab/>
      </w:r>
      <w:r>
        <w:t>26,512</w:t>
      </w:r>
    </w:p>
    <w:p w14:paraId="04A1B54F" w14:textId="77777777" w:rsidR="00627EBC" w:rsidRPr="002E4D76" w:rsidRDefault="00627EBC" w:rsidP="00627EBC">
      <w:pPr>
        <w:tabs>
          <w:tab w:val="left" w:leader="dot" w:pos="7740"/>
          <w:tab w:val="right" w:pos="9270"/>
        </w:tabs>
      </w:pPr>
      <w:r w:rsidRPr="002E4D76">
        <w:t>Number of hours per recordkeeper</w:t>
      </w:r>
      <w:r w:rsidRPr="002E4D76">
        <w:tab/>
      </w:r>
      <w:r w:rsidRPr="002E4D76">
        <w:tab/>
      </w:r>
      <w:r w:rsidRPr="002E4D76">
        <w:rPr>
          <w:u w:val="single"/>
        </w:rPr>
        <w:t xml:space="preserve">x </w:t>
      </w:r>
      <w:r>
        <w:rPr>
          <w:u w:val="single"/>
        </w:rPr>
        <w:t>.17</w:t>
      </w:r>
    </w:p>
    <w:p w14:paraId="4AB54362" w14:textId="77777777" w:rsidR="00627EBC" w:rsidRPr="002E4D76" w:rsidRDefault="00627EBC" w:rsidP="00627EBC">
      <w:pPr>
        <w:tabs>
          <w:tab w:val="left" w:leader="dot" w:pos="7740"/>
          <w:tab w:val="right" w:pos="9270"/>
        </w:tabs>
      </w:pPr>
      <w:r w:rsidRPr="002E4D76">
        <w:t>Total response and recordkeeping burden hours</w:t>
      </w:r>
      <w:r w:rsidRPr="002E4D76">
        <w:tab/>
      </w:r>
      <w:r w:rsidRPr="002E4D76">
        <w:tab/>
      </w:r>
      <w:r>
        <w:t>4</w:t>
      </w:r>
      <w:r w:rsidRPr="002E4D76">
        <w:t>,</w:t>
      </w:r>
      <w:r>
        <w:t>507.04</w:t>
      </w:r>
    </w:p>
    <w:p w14:paraId="26E6DC79" w14:textId="77777777" w:rsidR="00627EBC" w:rsidRPr="002E4D76" w:rsidRDefault="00627EBC" w:rsidP="00627EBC">
      <w:pPr>
        <w:tabs>
          <w:tab w:val="left" w:leader="dot" w:pos="7740"/>
          <w:tab w:val="right" w:pos="9270"/>
        </w:tabs>
      </w:pPr>
      <w:r w:rsidRPr="002E4D76">
        <w:t>Average wages + overhead</w:t>
      </w:r>
      <w:r w:rsidRPr="002E4D76">
        <w:tab/>
      </w:r>
      <w:r w:rsidRPr="002E4D76">
        <w:tab/>
      </w:r>
      <w:r w:rsidRPr="002E4D76">
        <w:rPr>
          <w:u w:val="single"/>
        </w:rPr>
        <w:t>x $</w:t>
      </w:r>
      <w:r>
        <w:rPr>
          <w:u w:val="single"/>
        </w:rPr>
        <w:t>40</w:t>
      </w:r>
      <w:r w:rsidRPr="002E4D76">
        <w:rPr>
          <w:u w:val="single"/>
        </w:rPr>
        <w:t>*</w:t>
      </w:r>
    </w:p>
    <w:p w14:paraId="01A4C795" w14:textId="77777777" w:rsidR="00627EBC" w:rsidRPr="002E4D76" w:rsidRDefault="00627EBC" w:rsidP="00627EBC">
      <w:pPr>
        <w:tabs>
          <w:tab w:val="left" w:leader="dot" w:pos="7740"/>
          <w:tab w:val="right" w:pos="9270"/>
        </w:tabs>
      </w:pPr>
      <w:r w:rsidRPr="002E4D76">
        <w:t>Estimated cost to the public</w:t>
      </w:r>
      <w:r w:rsidRPr="002E4D76">
        <w:tab/>
      </w:r>
      <w:r w:rsidRPr="002E4D76">
        <w:tab/>
        <w:t>$</w:t>
      </w:r>
      <w:r>
        <w:t>180</w:t>
      </w:r>
      <w:r w:rsidRPr="002E4D76">
        <w:t>,</w:t>
      </w:r>
      <w:r>
        <w:t>281.60</w:t>
      </w:r>
    </w:p>
    <w:p w14:paraId="29894665" w14:textId="77777777" w:rsidR="002E4D76" w:rsidRDefault="002E4D76" w:rsidP="00EE03E4">
      <w:pPr>
        <w:jc w:val="center"/>
        <w:rPr>
          <w:b/>
          <w:u w:val="single"/>
        </w:rPr>
      </w:pPr>
    </w:p>
    <w:p w14:paraId="125E4B11" w14:textId="77777777" w:rsidR="00EE03E4" w:rsidRPr="00DD30C5" w:rsidRDefault="00444E4D" w:rsidP="00EE03E4">
      <w:pPr>
        <w:jc w:val="center"/>
        <w:rPr>
          <w:b/>
        </w:rPr>
      </w:pPr>
      <w:r w:rsidRPr="00DD30C5">
        <w:rPr>
          <w:b/>
          <w:u w:val="single"/>
        </w:rPr>
        <w:t xml:space="preserve">Total </w:t>
      </w:r>
      <w:r w:rsidR="00EE03E4" w:rsidRPr="00DD30C5">
        <w:rPr>
          <w:b/>
          <w:u w:val="single"/>
        </w:rPr>
        <w:t>Annual Reporting and Recordkeeping Burden and Cost</w:t>
      </w:r>
      <w:r w:rsidR="00627EBC">
        <w:rPr>
          <w:b/>
          <w:u w:val="single"/>
        </w:rPr>
        <w:t xml:space="preserve"> for HSAR 3024.70, Privacy Training and HSAR 3039.70, Information Technology Security Awareness Training</w:t>
      </w:r>
      <w:r w:rsidR="00EE03E4" w:rsidRPr="00DD30C5">
        <w:rPr>
          <w:b/>
          <w:u w:val="single"/>
        </w:rPr>
        <w:t xml:space="preserve">  </w:t>
      </w:r>
    </w:p>
    <w:p w14:paraId="467276E5" w14:textId="77777777" w:rsidR="00916DBD" w:rsidRPr="00916DBD" w:rsidRDefault="00916DBD" w:rsidP="00916DBD">
      <w:pPr>
        <w:jc w:val="center"/>
      </w:pPr>
    </w:p>
    <w:p w14:paraId="30481BBA" w14:textId="77777777" w:rsidR="00627EBC" w:rsidRDefault="00627EBC" w:rsidP="00627EBC">
      <w:r w:rsidRPr="002E4D76">
        <w:t xml:space="preserve">It is estimated that there are </w:t>
      </w:r>
      <w:r>
        <w:t>8,813</w:t>
      </w:r>
      <w:r w:rsidRPr="00AA4F61">
        <w:t xml:space="preserve"> </w:t>
      </w:r>
      <w:r>
        <w:t xml:space="preserve">respondents applicable to this information collection </w:t>
      </w:r>
      <w:r w:rsidRPr="002E4D76">
        <w:t>(</w:t>
      </w:r>
      <w:r>
        <w:t>2</w:t>
      </w:r>
      <w:r w:rsidRPr="002E4D76">
        <w:t>,</w:t>
      </w:r>
      <w:r>
        <w:t>185</w:t>
      </w:r>
      <w:r w:rsidRPr="002E4D76">
        <w:t xml:space="preserve"> for Information Technology Security Awareness Training</w:t>
      </w:r>
      <w:r>
        <w:t xml:space="preserve"> and 6,628 for Privacy Training</w:t>
      </w:r>
      <w:r w:rsidRPr="002E4D76">
        <w:t xml:space="preserve">).  </w:t>
      </w:r>
    </w:p>
    <w:p w14:paraId="595C7959" w14:textId="77777777" w:rsidR="00627EBC" w:rsidRDefault="00627EBC" w:rsidP="000E7E7C">
      <w:pPr>
        <w:tabs>
          <w:tab w:val="left" w:leader="dot" w:pos="7740"/>
          <w:tab w:val="right" w:pos="9270"/>
        </w:tabs>
      </w:pPr>
    </w:p>
    <w:p w14:paraId="4BA82FCF" w14:textId="77777777" w:rsidR="000E7E7C" w:rsidRPr="0091272C" w:rsidRDefault="000E7E7C" w:rsidP="000E7E7C">
      <w:pPr>
        <w:tabs>
          <w:tab w:val="left" w:leader="dot" w:pos="7740"/>
          <w:tab w:val="right" w:pos="9270"/>
        </w:tabs>
      </w:pPr>
      <w:r w:rsidRPr="0091272C">
        <w:t>Estimated respondents/yr</w:t>
      </w:r>
      <w:r w:rsidRPr="0091272C">
        <w:tab/>
      </w:r>
      <w:r w:rsidRPr="0091272C">
        <w:tab/>
      </w:r>
      <w:r>
        <w:t>8</w:t>
      </w:r>
      <w:r w:rsidR="00626899">
        <w:t>813</w:t>
      </w:r>
    </w:p>
    <w:p w14:paraId="0E3F084C" w14:textId="77777777" w:rsidR="000E7E7C" w:rsidRPr="0091272C" w:rsidRDefault="000E7E7C" w:rsidP="000E7E7C">
      <w:pPr>
        <w:tabs>
          <w:tab w:val="left" w:leader="dot" w:pos="7740"/>
          <w:tab w:val="left" w:pos="7920"/>
          <w:tab w:val="right" w:pos="9270"/>
        </w:tabs>
        <w:rPr>
          <w:u w:val="single"/>
        </w:rPr>
      </w:pPr>
      <w:r w:rsidRPr="0091272C">
        <w:t>Responses annually</w:t>
      </w:r>
      <w:r w:rsidRPr="0091272C">
        <w:tab/>
      </w:r>
      <w:r w:rsidRPr="0091272C">
        <w:tab/>
      </w:r>
      <w:r w:rsidRPr="0091272C">
        <w:tab/>
        <w:t xml:space="preserve">   </w:t>
      </w:r>
      <w:r w:rsidRPr="0091272C">
        <w:rPr>
          <w:u w:val="single"/>
        </w:rPr>
        <w:t xml:space="preserve">x </w:t>
      </w:r>
      <w:r>
        <w:rPr>
          <w:u w:val="single"/>
        </w:rPr>
        <w:t xml:space="preserve">  4</w:t>
      </w:r>
    </w:p>
    <w:p w14:paraId="232DF4E6" w14:textId="77777777" w:rsidR="000E7E7C" w:rsidRPr="0091272C" w:rsidRDefault="000E7E7C" w:rsidP="000E7E7C">
      <w:pPr>
        <w:tabs>
          <w:tab w:val="left" w:leader="dot" w:pos="7740"/>
          <w:tab w:val="right" w:pos="9270"/>
        </w:tabs>
      </w:pPr>
      <w:r w:rsidRPr="0091272C">
        <w:t>Total annual responses</w:t>
      </w:r>
      <w:r w:rsidRPr="0091272C">
        <w:tab/>
      </w:r>
      <w:r w:rsidRPr="0091272C">
        <w:tab/>
      </w:r>
      <w:r w:rsidR="00626899">
        <w:t>35,252</w:t>
      </w:r>
    </w:p>
    <w:p w14:paraId="3518D241" w14:textId="77777777" w:rsidR="000E7E7C" w:rsidRPr="0091272C" w:rsidRDefault="000E7E7C" w:rsidP="000E7E7C">
      <w:pPr>
        <w:tabs>
          <w:tab w:val="left" w:leader="dot" w:pos="7740"/>
          <w:tab w:val="left" w:pos="7920"/>
          <w:tab w:val="right" w:pos="9270"/>
        </w:tabs>
      </w:pPr>
      <w:r w:rsidRPr="0091272C">
        <w:t>Estimated hrs/response</w:t>
      </w:r>
      <w:r w:rsidRPr="0091272C">
        <w:tab/>
      </w:r>
      <w:r w:rsidRPr="0091272C">
        <w:tab/>
      </w:r>
      <w:r w:rsidRPr="0091272C">
        <w:tab/>
      </w:r>
      <w:r w:rsidRPr="0091272C">
        <w:rPr>
          <w:u w:val="single"/>
        </w:rPr>
        <w:t xml:space="preserve">x </w:t>
      </w:r>
      <w:r>
        <w:rPr>
          <w:u w:val="single"/>
        </w:rPr>
        <w:t xml:space="preserve">  .50</w:t>
      </w:r>
    </w:p>
    <w:p w14:paraId="1446D205" w14:textId="77777777" w:rsidR="000E7E7C" w:rsidRPr="0091272C" w:rsidRDefault="000E7E7C" w:rsidP="000E7E7C">
      <w:pPr>
        <w:tabs>
          <w:tab w:val="left" w:leader="dot" w:pos="7740"/>
          <w:tab w:val="right" w:pos="9270"/>
        </w:tabs>
      </w:pPr>
      <w:r w:rsidRPr="0091272C">
        <w:t>Estimated total burden/hrs</w:t>
      </w:r>
      <w:r w:rsidRPr="0091272C">
        <w:tab/>
      </w:r>
      <w:r w:rsidRPr="0091272C">
        <w:tab/>
      </w:r>
      <w:r w:rsidR="00F5641C">
        <w:t>17</w:t>
      </w:r>
      <w:r>
        <w:t>,</w:t>
      </w:r>
      <w:r w:rsidR="00626899">
        <w:t>626</w:t>
      </w:r>
    </w:p>
    <w:p w14:paraId="7BF3CB73" w14:textId="77777777" w:rsidR="000E7E7C" w:rsidRPr="0091272C" w:rsidRDefault="000E7E7C" w:rsidP="000E7E7C">
      <w:pPr>
        <w:tabs>
          <w:tab w:val="left" w:leader="dot" w:pos="7740"/>
          <w:tab w:val="right" w:pos="9270"/>
        </w:tabs>
      </w:pPr>
      <w:r w:rsidRPr="0091272C">
        <w:t>Average wages + overhead</w:t>
      </w:r>
      <w:r w:rsidRPr="0091272C">
        <w:tab/>
      </w:r>
      <w:r w:rsidRPr="0091272C">
        <w:tab/>
      </w:r>
      <w:r w:rsidRPr="0091272C">
        <w:rPr>
          <w:u w:val="single"/>
        </w:rPr>
        <w:t>x $</w:t>
      </w:r>
      <w:r>
        <w:rPr>
          <w:u w:val="single"/>
        </w:rPr>
        <w:t>40.00*</w:t>
      </w:r>
    </w:p>
    <w:p w14:paraId="52D0FF79" w14:textId="77777777" w:rsidR="000E7E7C" w:rsidRPr="0091272C" w:rsidRDefault="000E7E7C" w:rsidP="000E7E7C">
      <w:pPr>
        <w:tabs>
          <w:tab w:val="left" w:leader="dot" w:pos="7740"/>
          <w:tab w:val="right" w:pos="9270"/>
        </w:tabs>
      </w:pPr>
      <w:r w:rsidRPr="0091272C">
        <w:t>Estimated cost to the public</w:t>
      </w:r>
      <w:r w:rsidRPr="0091272C">
        <w:tab/>
      </w:r>
      <w:r w:rsidRPr="0091272C">
        <w:tab/>
        <w:t>$</w:t>
      </w:r>
      <w:r w:rsidR="00626899">
        <w:t>705</w:t>
      </w:r>
      <w:r>
        <w:t>,</w:t>
      </w:r>
      <w:r w:rsidR="00626899">
        <w:t>040</w:t>
      </w:r>
      <w:r>
        <w:t>.00</w:t>
      </w:r>
      <w:r w:rsidRPr="0091272C">
        <w:t xml:space="preserve"> </w:t>
      </w:r>
    </w:p>
    <w:p w14:paraId="36E5B92C" w14:textId="77777777" w:rsidR="00916DBD" w:rsidRPr="00916DBD" w:rsidRDefault="00916DBD" w:rsidP="00916DBD">
      <w:pPr>
        <w:tabs>
          <w:tab w:val="left" w:leader="dot" w:pos="7740"/>
          <w:tab w:val="right" w:pos="9270"/>
        </w:tabs>
      </w:pPr>
    </w:p>
    <w:p w14:paraId="25FD9C43" w14:textId="77777777" w:rsidR="000E7E7C" w:rsidRPr="002E4D76" w:rsidRDefault="000E7E7C" w:rsidP="000E7E7C">
      <w:pPr>
        <w:tabs>
          <w:tab w:val="left" w:leader="dot" w:pos="7740"/>
          <w:tab w:val="right" w:pos="9270"/>
        </w:tabs>
      </w:pPr>
      <w:r w:rsidRPr="002E4D76">
        <w:t>Number of recordkeepers</w:t>
      </w:r>
      <w:r w:rsidRPr="002E4D76">
        <w:tab/>
      </w:r>
      <w:r w:rsidRPr="002E4D76">
        <w:tab/>
      </w:r>
      <w:r>
        <w:t>8,</w:t>
      </w:r>
      <w:r w:rsidR="00887678">
        <w:t>813</w:t>
      </w:r>
    </w:p>
    <w:p w14:paraId="0D607090" w14:textId="77777777" w:rsidR="000E7E7C" w:rsidRPr="002E4D76" w:rsidRDefault="000E7E7C" w:rsidP="000E7E7C">
      <w:pPr>
        <w:tabs>
          <w:tab w:val="left" w:leader="dot" w:pos="7740"/>
          <w:tab w:val="right" w:pos="9270"/>
        </w:tabs>
      </w:pPr>
      <w:r w:rsidRPr="002E4D76">
        <w:t xml:space="preserve">Number of responses </w:t>
      </w:r>
      <w:r w:rsidRPr="002E4D76">
        <w:tab/>
      </w:r>
      <w:r w:rsidRPr="002E4D76">
        <w:tab/>
      </w:r>
      <w:r>
        <w:t xml:space="preserve">  </w:t>
      </w:r>
      <w:r w:rsidRPr="000E7E7C">
        <w:rPr>
          <w:u w:val="single"/>
        </w:rPr>
        <w:t>x 4</w:t>
      </w:r>
    </w:p>
    <w:p w14:paraId="47CAFCF5" w14:textId="77777777" w:rsidR="000E7E7C" w:rsidRPr="002E4D76" w:rsidRDefault="000E7E7C" w:rsidP="000E7E7C">
      <w:pPr>
        <w:tabs>
          <w:tab w:val="left" w:leader="dot" w:pos="7740"/>
          <w:tab w:val="right" w:pos="9270"/>
        </w:tabs>
      </w:pPr>
      <w:r w:rsidRPr="002E4D76">
        <w:t>Total Annual Responses</w:t>
      </w:r>
      <w:r w:rsidRPr="002E4D76">
        <w:tab/>
      </w:r>
      <w:r w:rsidRPr="002E4D76">
        <w:tab/>
      </w:r>
      <w:r>
        <w:t>3</w:t>
      </w:r>
      <w:r w:rsidR="00887678">
        <w:t>5</w:t>
      </w:r>
      <w:r w:rsidRPr="002E4D76">
        <w:t>,</w:t>
      </w:r>
      <w:r w:rsidR="00887678">
        <w:t>252</w:t>
      </w:r>
    </w:p>
    <w:p w14:paraId="51572921" w14:textId="77777777" w:rsidR="000E7E7C" w:rsidRPr="002E4D76" w:rsidRDefault="000E7E7C" w:rsidP="000E7E7C">
      <w:pPr>
        <w:tabs>
          <w:tab w:val="left" w:leader="dot" w:pos="7740"/>
          <w:tab w:val="right" w:pos="9270"/>
        </w:tabs>
      </w:pPr>
      <w:r w:rsidRPr="002E4D76">
        <w:t>Number of hours per recordkeeper</w:t>
      </w:r>
      <w:r w:rsidRPr="002E4D76">
        <w:tab/>
      </w:r>
      <w:r w:rsidRPr="002E4D76">
        <w:tab/>
      </w:r>
      <w:r w:rsidRPr="002E4D76">
        <w:rPr>
          <w:u w:val="single"/>
        </w:rPr>
        <w:t xml:space="preserve">x </w:t>
      </w:r>
      <w:r>
        <w:rPr>
          <w:u w:val="single"/>
        </w:rPr>
        <w:t>.1</w:t>
      </w:r>
      <w:r w:rsidR="00627EBC">
        <w:rPr>
          <w:u w:val="single"/>
        </w:rPr>
        <w:t>7</w:t>
      </w:r>
    </w:p>
    <w:p w14:paraId="17D1C6EF" w14:textId="77777777" w:rsidR="000E7E7C" w:rsidRPr="002E4D76" w:rsidRDefault="000E7E7C" w:rsidP="000E7E7C">
      <w:pPr>
        <w:tabs>
          <w:tab w:val="left" w:leader="dot" w:pos="7740"/>
          <w:tab w:val="right" w:pos="9270"/>
        </w:tabs>
      </w:pPr>
      <w:r w:rsidRPr="002E4D76">
        <w:t>Total response and recordkeeping burden hours</w:t>
      </w:r>
      <w:r w:rsidRPr="002E4D76">
        <w:tab/>
      </w:r>
      <w:r w:rsidRPr="002E4D76">
        <w:tab/>
      </w:r>
      <w:r w:rsidR="00627EBC">
        <w:t>5,992.84</w:t>
      </w:r>
    </w:p>
    <w:p w14:paraId="65C98089" w14:textId="77777777" w:rsidR="000E7E7C" w:rsidRPr="002E4D76" w:rsidRDefault="000E7E7C" w:rsidP="000E7E7C">
      <w:pPr>
        <w:tabs>
          <w:tab w:val="left" w:leader="dot" w:pos="7740"/>
          <w:tab w:val="right" w:pos="9270"/>
        </w:tabs>
      </w:pPr>
      <w:r w:rsidRPr="002E4D76">
        <w:t>Average wages + overhead</w:t>
      </w:r>
      <w:r w:rsidRPr="002E4D76">
        <w:tab/>
      </w:r>
      <w:r w:rsidRPr="002E4D76">
        <w:tab/>
      </w:r>
      <w:r w:rsidRPr="002E4D76">
        <w:rPr>
          <w:u w:val="single"/>
        </w:rPr>
        <w:t>x $</w:t>
      </w:r>
      <w:r>
        <w:rPr>
          <w:u w:val="single"/>
        </w:rPr>
        <w:t>40</w:t>
      </w:r>
      <w:r w:rsidRPr="002E4D76">
        <w:rPr>
          <w:u w:val="single"/>
        </w:rPr>
        <w:t>*</w:t>
      </w:r>
    </w:p>
    <w:p w14:paraId="7E54ED12" w14:textId="77777777" w:rsidR="000E7E7C" w:rsidRPr="002E4D76" w:rsidRDefault="000E7E7C" w:rsidP="000E7E7C">
      <w:pPr>
        <w:tabs>
          <w:tab w:val="left" w:leader="dot" w:pos="7740"/>
          <w:tab w:val="right" w:pos="9270"/>
        </w:tabs>
      </w:pPr>
      <w:r w:rsidRPr="002E4D76">
        <w:t>Estimated cost to the public</w:t>
      </w:r>
      <w:r w:rsidRPr="002E4D76">
        <w:tab/>
      </w:r>
      <w:r w:rsidRPr="002E4D76">
        <w:tab/>
        <w:t>$</w:t>
      </w:r>
      <w:r w:rsidR="00627EBC">
        <w:t>239,713.60</w:t>
      </w:r>
    </w:p>
    <w:p w14:paraId="1B17BB8F" w14:textId="77777777" w:rsidR="00916DBD" w:rsidRDefault="00916DBD" w:rsidP="0091272C">
      <w:pPr>
        <w:rPr>
          <w:b/>
          <w:color w:val="000000"/>
        </w:rPr>
      </w:pPr>
    </w:p>
    <w:p w14:paraId="788325B4" w14:textId="77777777" w:rsidR="00923816" w:rsidRDefault="00923816" w:rsidP="0091272C">
      <w:r>
        <w:t xml:space="preserve">*Note: </w:t>
      </w:r>
      <w:r w:rsidRPr="00C843E6">
        <w:t>Based on the OPM salary table for calendar year 201</w:t>
      </w:r>
      <w:r>
        <w:t>5</w:t>
      </w:r>
      <w:r w:rsidRPr="00C843E6">
        <w:t>, we estimated an hourly rate equivalent to a GS-1</w:t>
      </w:r>
      <w:r>
        <w:t>1, Step-2, or $29.00</w:t>
      </w:r>
      <w:r w:rsidRPr="00C843E6">
        <w:t xml:space="preserve"> per hour, plus 36.</w:t>
      </w:r>
      <w:r>
        <w:t>25</w:t>
      </w:r>
      <w:r w:rsidRPr="00C843E6">
        <w:t xml:space="preserve"> percent overhead burden</w:t>
      </w:r>
      <w:r>
        <w:t>,</w:t>
      </w:r>
      <w:r w:rsidRPr="00C843E6">
        <w:t xml:space="preserve"> and rounded to the nearest whole dollar, or $</w:t>
      </w:r>
      <w:r>
        <w:t>40.</w:t>
      </w:r>
      <w:r w:rsidRPr="00C843E6">
        <w:t>00</w:t>
      </w:r>
    </w:p>
    <w:p w14:paraId="5A4A528A" w14:textId="77777777" w:rsidR="00923816" w:rsidRDefault="00923816" w:rsidP="0091272C">
      <w:pPr>
        <w:rPr>
          <w:color w:val="000000"/>
        </w:rPr>
      </w:pPr>
    </w:p>
    <w:p w14:paraId="704D648D" w14:textId="77777777" w:rsidR="000B06CF" w:rsidRDefault="000B06CF" w:rsidP="0091272C">
      <w:pPr>
        <w:rPr>
          <w:b/>
          <w:color w:val="000000"/>
        </w:rPr>
      </w:pPr>
      <w:r w:rsidRPr="00F5641C">
        <w:rPr>
          <w:color w:val="000000"/>
        </w:rPr>
        <w:t>13.</w:t>
      </w:r>
      <w:r>
        <w:rPr>
          <w:color w:val="000000"/>
        </w:rPr>
        <w:t xml:space="preserve">  </w:t>
      </w:r>
      <w:r w:rsidR="00437145" w:rsidRPr="000B06CF">
        <w:rPr>
          <w:b/>
          <w:color w:val="000000"/>
        </w:rPr>
        <w:t>Total</w:t>
      </w:r>
      <w:r w:rsidRPr="000B06CF">
        <w:rPr>
          <w:b/>
          <w:color w:val="000000"/>
        </w:rPr>
        <w:t xml:space="preserve"> capital and start-up cost</w:t>
      </w:r>
      <w:r>
        <w:rPr>
          <w:b/>
          <w:color w:val="000000"/>
        </w:rPr>
        <w:t>.</w:t>
      </w:r>
    </w:p>
    <w:p w14:paraId="64176F0E" w14:textId="77777777" w:rsidR="00F5641C" w:rsidRPr="00437145" w:rsidRDefault="00F5641C" w:rsidP="00F5641C">
      <w:pPr>
        <w:rPr>
          <w:color w:val="000000"/>
        </w:rPr>
      </w:pPr>
      <w:r w:rsidRPr="00437145">
        <w:rPr>
          <w:color w:val="000000"/>
        </w:rPr>
        <w:t>There are no capital/start-up or ongoing operation/maintenance costs associated wi</w:t>
      </w:r>
      <w:r>
        <w:rPr>
          <w:color w:val="000000"/>
        </w:rPr>
        <w:t>th this information collection.</w:t>
      </w:r>
    </w:p>
    <w:p w14:paraId="720C5369" w14:textId="77777777" w:rsidR="00437145" w:rsidRDefault="00437145" w:rsidP="0091272C">
      <w:pPr>
        <w:rPr>
          <w:b/>
        </w:rPr>
      </w:pPr>
    </w:p>
    <w:p w14:paraId="5DE8CF7D" w14:textId="77777777" w:rsidR="00437145" w:rsidRDefault="0091272C" w:rsidP="0091272C">
      <w:r w:rsidRPr="00F5641C">
        <w:t>14.</w:t>
      </w:r>
      <w:r w:rsidRPr="0091272C">
        <w:t xml:space="preserve">  </w:t>
      </w:r>
      <w:r w:rsidRPr="0091272C">
        <w:rPr>
          <w:b/>
        </w:rPr>
        <w:t>Estimated cost to the Government</w:t>
      </w:r>
      <w:r w:rsidRPr="0091272C">
        <w:t xml:space="preserve">.  </w:t>
      </w:r>
    </w:p>
    <w:p w14:paraId="476CE16D" w14:textId="77777777" w:rsidR="009B1A1C" w:rsidRDefault="009E7EBA" w:rsidP="009B1A1C">
      <w:r w:rsidRPr="009E7EBA">
        <w:t xml:space="preserve">The Government’s burden associated with </w:t>
      </w:r>
      <w:r w:rsidR="0079151F">
        <w:t>this information collection</w:t>
      </w:r>
      <w:r w:rsidRPr="009E7EBA">
        <w:t xml:space="preserve"> would be limited to </w:t>
      </w:r>
      <w:r w:rsidR="0079151F">
        <w:t xml:space="preserve">the </w:t>
      </w:r>
      <w:r w:rsidRPr="009E7EBA">
        <w:t xml:space="preserve">receipt, review, </w:t>
      </w:r>
      <w:r w:rsidR="0079151F">
        <w:t xml:space="preserve">and analysis of </w:t>
      </w:r>
      <w:r w:rsidR="00916DBD">
        <w:t>IT security awareness</w:t>
      </w:r>
      <w:r w:rsidR="004876C5">
        <w:t xml:space="preserve"> training completion certificates, signed copies of the DHS RoB, </w:t>
      </w:r>
      <w:r w:rsidR="00916DBD">
        <w:t xml:space="preserve">and </w:t>
      </w:r>
      <w:r w:rsidR="0079151F">
        <w:t xml:space="preserve">privacy training </w:t>
      </w:r>
      <w:r w:rsidR="004876C5">
        <w:t>completion certificates</w:t>
      </w:r>
      <w:r w:rsidRPr="009E7EBA">
        <w:t xml:space="preserve"> from contractors.</w:t>
      </w:r>
      <w:r w:rsidR="00D5086A">
        <w:t xml:space="preserve">  </w:t>
      </w:r>
      <w:r w:rsidR="00D5086A" w:rsidRPr="00D5086A">
        <w:t xml:space="preserve">Time required for review is estimated at </w:t>
      </w:r>
      <w:r w:rsidR="00B47B36">
        <w:t>10</w:t>
      </w:r>
      <w:r w:rsidR="00D5086A" w:rsidRPr="00D5086A">
        <w:t xml:space="preserve"> minutes per response</w:t>
      </w:r>
      <w:r w:rsidR="00D5086A">
        <w:t>.</w:t>
      </w:r>
    </w:p>
    <w:p w14:paraId="3710E578" w14:textId="77777777" w:rsidR="00C32E93" w:rsidRDefault="00C32E93" w:rsidP="00FC3121"/>
    <w:p w14:paraId="1E400264" w14:textId="77777777" w:rsidR="004876C5" w:rsidRDefault="004876C5" w:rsidP="00627EBC">
      <w:pPr>
        <w:pStyle w:val="ListParagraph"/>
        <w:numPr>
          <w:ilvl w:val="0"/>
          <w:numId w:val="14"/>
        </w:numPr>
      </w:pPr>
      <w:r w:rsidRPr="00C32E93">
        <w:rPr>
          <w:b/>
          <w:u w:val="single"/>
        </w:rPr>
        <w:t>HSAR subpart 3039.70, Information Technology Security Awareness Training</w:t>
      </w:r>
      <w:r>
        <w:t>:</w:t>
      </w:r>
    </w:p>
    <w:p w14:paraId="18A868FB" w14:textId="77777777" w:rsidR="004876C5" w:rsidRDefault="004876C5" w:rsidP="004876C5">
      <w:pPr>
        <w:pStyle w:val="ListParagraph"/>
        <w:ind w:left="360"/>
      </w:pPr>
    </w:p>
    <w:p w14:paraId="0FD036EF" w14:textId="77777777" w:rsidR="004876C5" w:rsidRPr="00834936" w:rsidRDefault="004876C5" w:rsidP="004876C5">
      <w:pPr>
        <w:tabs>
          <w:tab w:val="left" w:leader="dot" w:pos="7740"/>
          <w:tab w:val="left" w:pos="8595"/>
          <w:tab w:val="right" w:pos="9270"/>
        </w:tabs>
      </w:pPr>
      <w:r>
        <w:t>Total Annual responses</w:t>
      </w:r>
      <w:r w:rsidRPr="0091272C">
        <w:tab/>
      </w:r>
      <w:r w:rsidRPr="0091272C">
        <w:tab/>
      </w:r>
      <w:r>
        <w:tab/>
        <w:t>2,185</w:t>
      </w:r>
    </w:p>
    <w:p w14:paraId="41D828D2" w14:textId="77777777" w:rsidR="004876C5" w:rsidRPr="00834936" w:rsidRDefault="004876C5" w:rsidP="004876C5">
      <w:pPr>
        <w:tabs>
          <w:tab w:val="left" w:leader="dot" w:pos="7740"/>
          <w:tab w:val="left" w:pos="7920"/>
          <w:tab w:val="right" w:pos="9270"/>
        </w:tabs>
      </w:pPr>
      <w:r w:rsidRPr="00834936">
        <w:t>Review time per response</w:t>
      </w:r>
      <w:r w:rsidRPr="00834936">
        <w:tab/>
      </w:r>
      <w:r w:rsidRPr="00834936">
        <w:tab/>
      </w:r>
      <w:r w:rsidRPr="00834936">
        <w:tab/>
      </w:r>
      <w:r w:rsidRPr="00834936">
        <w:rPr>
          <w:u w:val="single"/>
        </w:rPr>
        <w:t>x  .</w:t>
      </w:r>
      <w:r>
        <w:rPr>
          <w:u w:val="single"/>
        </w:rPr>
        <w:t>1</w:t>
      </w:r>
      <w:r w:rsidR="00923816">
        <w:rPr>
          <w:u w:val="single"/>
        </w:rPr>
        <w:t>7</w:t>
      </w:r>
    </w:p>
    <w:p w14:paraId="1CA2CA65" w14:textId="77777777" w:rsidR="004876C5" w:rsidRPr="00834936" w:rsidRDefault="004876C5" w:rsidP="004876C5">
      <w:pPr>
        <w:tabs>
          <w:tab w:val="left" w:leader="dot" w:pos="7740"/>
          <w:tab w:val="right" w:pos="9270"/>
        </w:tabs>
      </w:pPr>
      <w:r w:rsidRPr="00834936">
        <w:t>Estimated total burden/hrs</w:t>
      </w:r>
      <w:r w:rsidRPr="00834936">
        <w:tab/>
      </w:r>
      <w:r w:rsidRPr="00834936">
        <w:tab/>
      </w:r>
      <w:r w:rsidR="00923816">
        <w:t>371.45</w:t>
      </w:r>
    </w:p>
    <w:p w14:paraId="2C3B50D2" w14:textId="77777777" w:rsidR="004876C5" w:rsidRPr="00834936" w:rsidRDefault="004876C5" w:rsidP="004876C5">
      <w:pPr>
        <w:tabs>
          <w:tab w:val="left" w:leader="dot" w:pos="7740"/>
          <w:tab w:val="right" w:pos="9270"/>
        </w:tabs>
      </w:pPr>
      <w:r w:rsidRPr="00834936">
        <w:t>Average wages + overhead</w:t>
      </w:r>
      <w:r w:rsidRPr="00834936">
        <w:tab/>
      </w:r>
      <w:r w:rsidRPr="00834936">
        <w:tab/>
      </w:r>
      <w:r w:rsidRPr="00834936">
        <w:rPr>
          <w:u w:val="single"/>
        </w:rPr>
        <w:t>x $40.00</w:t>
      </w:r>
      <w:r>
        <w:rPr>
          <w:u w:val="single"/>
        </w:rPr>
        <w:t>*</w:t>
      </w:r>
    </w:p>
    <w:p w14:paraId="7A9850BE" w14:textId="77777777" w:rsidR="004876C5" w:rsidRPr="0091272C" w:rsidRDefault="004876C5" w:rsidP="004876C5">
      <w:pPr>
        <w:tabs>
          <w:tab w:val="left" w:leader="dot" w:pos="7740"/>
          <w:tab w:val="right" w:pos="9270"/>
        </w:tabs>
      </w:pPr>
      <w:r w:rsidRPr="00834936">
        <w:t>Total Government Cost</w:t>
      </w:r>
      <w:r w:rsidRPr="00834936">
        <w:tab/>
      </w:r>
      <w:r w:rsidRPr="00834936">
        <w:tab/>
        <w:t>$</w:t>
      </w:r>
      <w:r w:rsidR="00923816">
        <w:t>14,858.00</w:t>
      </w:r>
    </w:p>
    <w:p w14:paraId="405E7BAA" w14:textId="77777777" w:rsidR="004876C5" w:rsidRPr="00421B92" w:rsidRDefault="004876C5" w:rsidP="00421B92">
      <w:pPr>
        <w:rPr>
          <w:u w:val="single"/>
        </w:rPr>
      </w:pPr>
    </w:p>
    <w:p w14:paraId="03BAFF4E" w14:textId="77777777" w:rsidR="00997C10" w:rsidRDefault="00997C10" w:rsidP="00923816">
      <w:pPr>
        <w:pStyle w:val="ListParagraph"/>
        <w:numPr>
          <w:ilvl w:val="0"/>
          <w:numId w:val="14"/>
        </w:numPr>
        <w:rPr>
          <w:u w:val="single"/>
        </w:rPr>
      </w:pPr>
      <w:r w:rsidRPr="00C32E93">
        <w:rPr>
          <w:b/>
          <w:u w:val="single"/>
        </w:rPr>
        <w:t>HSAR subpart 3204.70, Privacy Training</w:t>
      </w:r>
      <w:r w:rsidRPr="00C32E93">
        <w:rPr>
          <w:u w:val="single"/>
        </w:rPr>
        <w:t>:</w:t>
      </w:r>
    </w:p>
    <w:p w14:paraId="37E0FEF2" w14:textId="77777777" w:rsidR="00C32E93" w:rsidRPr="00C32E93" w:rsidRDefault="00C32E93" w:rsidP="00C32E93">
      <w:pPr>
        <w:pStyle w:val="ListParagraph"/>
        <w:ind w:left="360"/>
        <w:rPr>
          <w:u w:val="single"/>
        </w:rPr>
      </w:pPr>
    </w:p>
    <w:p w14:paraId="4DA158D0" w14:textId="77777777" w:rsidR="00164114" w:rsidRPr="00834936" w:rsidRDefault="004619CA" w:rsidP="00164114">
      <w:pPr>
        <w:tabs>
          <w:tab w:val="left" w:leader="dot" w:pos="7740"/>
          <w:tab w:val="right" w:pos="9270"/>
        </w:tabs>
      </w:pPr>
      <w:r>
        <w:t>Total Annual responses</w:t>
      </w:r>
      <w:r w:rsidR="00164114" w:rsidRPr="0091272C">
        <w:tab/>
      </w:r>
      <w:r w:rsidR="00164114" w:rsidRPr="0091272C">
        <w:tab/>
      </w:r>
      <w:r w:rsidR="00F94936">
        <w:t>6,</w:t>
      </w:r>
      <w:r w:rsidR="00887678">
        <w:t>62</w:t>
      </w:r>
      <w:r w:rsidR="00F94936">
        <w:t>8</w:t>
      </w:r>
    </w:p>
    <w:p w14:paraId="41D907AB" w14:textId="77777777" w:rsidR="00164114" w:rsidRPr="00834936" w:rsidRDefault="004619CA" w:rsidP="00164114">
      <w:pPr>
        <w:tabs>
          <w:tab w:val="left" w:leader="dot" w:pos="7740"/>
          <w:tab w:val="left" w:pos="7920"/>
          <w:tab w:val="right" w:pos="9270"/>
        </w:tabs>
      </w:pPr>
      <w:r w:rsidRPr="00834936">
        <w:t>Review time per response</w:t>
      </w:r>
      <w:r w:rsidR="00164114" w:rsidRPr="00834936">
        <w:tab/>
      </w:r>
      <w:r w:rsidR="00164114" w:rsidRPr="00834936">
        <w:tab/>
      </w:r>
      <w:r w:rsidR="00164114" w:rsidRPr="00834936">
        <w:tab/>
      </w:r>
      <w:r w:rsidR="00164114" w:rsidRPr="00834936">
        <w:rPr>
          <w:u w:val="single"/>
        </w:rPr>
        <w:t xml:space="preserve">x </w:t>
      </w:r>
      <w:r w:rsidR="00834936" w:rsidRPr="00834936">
        <w:rPr>
          <w:u w:val="single"/>
        </w:rPr>
        <w:t xml:space="preserve"> .</w:t>
      </w:r>
      <w:r w:rsidR="00B47B36">
        <w:rPr>
          <w:u w:val="single"/>
        </w:rPr>
        <w:t>1</w:t>
      </w:r>
      <w:r w:rsidR="00923816">
        <w:rPr>
          <w:u w:val="single"/>
        </w:rPr>
        <w:t>7</w:t>
      </w:r>
    </w:p>
    <w:p w14:paraId="3E07F85F" w14:textId="77777777" w:rsidR="00164114" w:rsidRPr="00834936" w:rsidRDefault="00164114" w:rsidP="00164114">
      <w:pPr>
        <w:tabs>
          <w:tab w:val="left" w:leader="dot" w:pos="7740"/>
          <w:tab w:val="right" w:pos="9270"/>
        </w:tabs>
      </w:pPr>
      <w:r w:rsidRPr="00834936">
        <w:t>Estimated total burden/hrs</w:t>
      </w:r>
      <w:r w:rsidRPr="00834936">
        <w:tab/>
      </w:r>
      <w:r w:rsidRPr="00834936">
        <w:tab/>
      </w:r>
      <w:r w:rsidR="00923816">
        <w:t>1126.76</w:t>
      </w:r>
    </w:p>
    <w:p w14:paraId="52D038C4" w14:textId="77777777" w:rsidR="00164114" w:rsidRPr="00834936" w:rsidRDefault="00164114" w:rsidP="00164114">
      <w:pPr>
        <w:tabs>
          <w:tab w:val="left" w:leader="dot" w:pos="7740"/>
          <w:tab w:val="right" w:pos="9270"/>
        </w:tabs>
      </w:pPr>
      <w:r w:rsidRPr="00834936">
        <w:t>Average wages + overhead</w:t>
      </w:r>
      <w:r w:rsidRPr="00834936">
        <w:tab/>
      </w:r>
      <w:r w:rsidRPr="00834936">
        <w:tab/>
      </w:r>
      <w:r w:rsidRPr="00834936">
        <w:rPr>
          <w:u w:val="single"/>
        </w:rPr>
        <w:t>x $</w:t>
      </w:r>
      <w:r w:rsidR="00834936" w:rsidRPr="00834936">
        <w:rPr>
          <w:u w:val="single"/>
        </w:rPr>
        <w:t>40</w:t>
      </w:r>
      <w:r w:rsidR="00B51987" w:rsidRPr="00834936">
        <w:rPr>
          <w:u w:val="single"/>
        </w:rPr>
        <w:t>.00</w:t>
      </w:r>
      <w:r w:rsidR="006C1A21">
        <w:rPr>
          <w:u w:val="single"/>
        </w:rPr>
        <w:t>*</w:t>
      </w:r>
    </w:p>
    <w:p w14:paraId="191E9265" w14:textId="77777777" w:rsidR="00164114" w:rsidRPr="0091272C" w:rsidRDefault="004619CA" w:rsidP="00164114">
      <w:pPr>
        <w:tabs>
          <w:tab w:val="left" w:leader="dot" w:pos="7740"/>
          <w:tab w:val="right" w:pos="9270"/>
        </w:tabs>
      </w:pPr>
      <w:r w:rsidRPr="00834936">
        <w:t>Total Government Cost</w:t>
      </w:r>
      <w:r w:rsidR="00164114" w:rsidRPr="00834936">
        <w:tab/>
      </w:r>
      <w:r w:rsidR="00164114" w:rsidRPr="00834936">
        <w:tab/>
        <w:t>$</w:t>
      </w:r>
      <w:r w:rsidR="00923816">
        <w:t>45,070.40</w:t>
      </w:r>
    </w:p>
    <w:p w14:paraId="44E2E257" w14:textId="77777777" w:rsidR="00997C10" w:rsidRDefault="00997C10" w:rsidP="00997C10"/>
    <w:p w14:paraId="4F11FF8B" w14:textId="77777777" w:rsidR="00923816" w:rsidRDefault="00923816" w:rsidP="0043714A">
      <w:r>
        <w:t xml:space="preserve">*Note: </w:t>
      </w:r>
      <w:r w:rsidRPr="00C843E6">
        <w:t>Based on the OPM salary table for calendar year 201</w:t>
      </w:r>
      <w:r>
        <w:t>5</w:t>
      </w:r>
      <w:r w:rsidRPr="00C843E6">
        <w:t>, we estimated an hourly rate equivalent to a GS-1</w:t>
      </w:r>
      <w:r>
        <w:t>1, Step-2, or $29.00</w:t>
      </w:r>
      <w:r w:rsidRPr="00C843E6">
        <w:t xml:space="preserve"> per hour, plus 36.</w:t>
      </w:r>
      <w:r>
        <w:t>25</w:t>
      </w:r>
      <w:r w:rsidRPr="00C843E6">
        <w:t xml:space="preserve"> percent overhead burden</w:t>
      </w:r>
      <w:r>
        <w:t>,</w:t>
      </w:r>
      <w:r w:rsidRPr="00C843E6">
        <w:t xml:space="preserve"> and rounded to the nearest whole dollar, or $</w:t>
      </w:r>
      <w:r>
        <w:t>40.</w:t>
      </w:r>
      <w:r w:rsidRPr="00C843E6">
        <w:t>00</w:t>
      </w:r>
    </w:p>
    <w:p w14:paraId="00854C78" w14:textId="77777777" w:rsidR="00923816" w:rsidRDefault="00923816" w:rsidP="0043714A"/>
    <w:p w14:paraId="14D34A53" w14:textId="77777777" w:rsidR="0043714A" w:rsidRPr="0091272C" w:rsidRDefault="006E14B6" w:rsidP="0043714A">
      <w:pPr>
        <w:rPr>
          <w:b/>
        </w:rPr>
      </w:pPr>
      <w:r w:rsidRPr="0091272C">
        <w:t xml:space="preserve">15.  </w:t>
      </w:r>
      <w:r w:rsidR="0043714A" w:rsidRPr="0091272C">
        <w:rPr>
          <w:b/>
        </w:rPr>
        <w:t>Explanation of Program Changes or Adjustments</w:t>
      </w:r>
    </w:p>
    <w:p w14:paraId="08D70482" w14:textId="77777777" w:rsidR="00C0287B" w:rsidRDefault="00C0287B" w:rsidP="00C0287B">
      <w:r w:rsidRPr="00C0287B">
        <w:t>This is a new information collection requirement.</w:t>
      </w:r>
    </w:p>
    <w:p w14:paraId="3BD4B09A" w14:textId="77777777" w:rsidR="00C0287B" w:rsidRDefault="00C0287B" w:rsidP="00C0287B"/>
    <w:p w14:paraId="6987DD12" w14:textId="77777777" w:rsidR="00734E0B" w:rsidRDefault="00C0287B" w:rsidP="00C0287B">
      <w:r>
        <w:t xml:space="preserve">16.  </w:t>
      </w:r>
      <w:r w:rsidRPr="00C0287B">
        <w:rPr>
          <w:b/>
        </w:rPr>
        <w:t>Outline plans for published results of information collections.</w:t>
      </w:r>
      <w:r w:rsidRPr="00C0287B">
        <w:t xml:space="preserve">  </w:t>
      </w:r>
    </w:p>
    <w:p w14:paraId="1C38EAE3" w14:textId="77777777" w:rsidR="00C0287B" w:rsidRDefault="00C0287B" w:rsidP="00C0287B">
      <w:r w:rsidRPr="00C0287B">
        <w:t>Results will not be tabulated or published.</w:t>
      </w:r>
    </w:p>
    <w:p w14:paraId="4E97B6CB" w14:textId="77777777" w:rsidR="00C0287B" w:rsidRDefault="00C0287B" w:rsidP="00C0287B"/>
    <w:p w14:paraId="2D4C69A8" w14:textId="77777777" w:rsidR="00734E0B" w:rsidRDefault="00C0287B" w:rsidP="00C0287B">
      <w:pPr>
        <w:rPr>
          <w:b/>
        </w:rPr>
      </w:pPr>
      <w:r>
        <w:t xml:space="preserve">17.  </w:t>
      </w:r>
      <w:r w:rsidRPr="00C0287B">
        <w:rPr>
          <w:b/>
        </w:rPr>
        <w:t xml:space="preserve">Approval not to display expiration date.  </w:t>
      </w:r>
    </w:p>
    <w:p w14:paraId="677E18B0" w14:textId="77777777" w:rsidR="00C0287B" w:rsidRPr="00734E0B" w:rsidRDefault="00734E0B" w:rsidP="00C0287B">
      <w:r w:rsidRPr="00734E0B">
        <w:t>DHS does not seek approval to not display the expiration dates for OMB approval of the information collection.</w:t>
      </w:r>
    </w:p>
    <w:p w14:paraId="6B85FCCA" w14:textId="77777777" w:rsidR="00C0287B" w:rsidRDefault="00C0287B" w:rsidP="00C0287B"/>
    <w:p w14:paraId="0E3FBDF5" w14:textId="77777777" w:rsidR="00734E0B" w:rsidRDefault="00C0287B" w:rsidP="00C0287B">
      <w:r>
        <w:t xml:space="preserve">18.  </w:t>
      </w:r>
      <w:r w:rsidRPr="00C0287B">
        <w:rPr>
          <w:b/>
        </w:rPr>
        <w:t>Explanation of exception to certification statement.</w:t>
      </w:r>
      <w:r w:rsidRPr="00C0287B">
        <w:t xml:space="preserve">  </w:t>
      </w:r>
    </w:p>
    <w:p w14:paraId="3E671B1F" w14:textId="77777777" w:rsidR="00C0287B" w:rsidRDefault="00C0287B" w:rsidP="00C0287B">
      <w:r w:rsidRPr="00C0287B">
        <w:lastRenderedPageBreak/>
        <w:t>Not applicable.</w:t>
      </w:r>
    </w:p>
    <w:p w14:paraId="14885A2B" w14:textId="77777777" w:rsidR="00C0287B" w:rsidRDefault="00C0287B" w:rsidP="00C0287B"/>
    <w:p w14:paraId="4DF7D84C" w14:textId="77777777" w:rsidR="00734E0B" w:rsidRDefault="00C0287B" w:rsidP="00C0287B">
      <w:pPr>
        <w:rPr>
          <w:b/>
        </w:rPr>
      </w:pPr>
      <w:r w:rsidRPr="00923816">
        <w:rPr>
          <w:b/>
        </w:rPr>
        <w:t>B.</w:t>
      </w:r>
      <w:r>
        <w:t xml:space="preserve">  </w:t>
      </w:r>
      <w:r w:rsidRPr="00C0287B">
        <w:rPr>
          <w:b/>
        </w:rPr>
        <w:t xml:space="preserve">Collections of Information Employing Statistical Methods.  </w:t>
      </w:r>
    </w:p>
    <w:p w14:paraId="3831A9AF" w14:textId="77777777" w:rsidR="00C0287B" w:rsidRPr="00C0287B" w:rsidRDefault="00C0287B" w:rsidP="00C0287B">
      <w:r w:rsidRPr="00C0287B">
        <w:t>Statistical methods are not used in this information collection.</w:t>
      </w:r>
    </w:p>
    <w:p w14:paraId="644782C0" w14:textId="77777777" w:rsidR="004043B9" w:rsidRPr="00316153" w:rsidRDefault="004043B9" w:rsidP="00C0287B"/>
    <w:sectPr w:rsidR="004043B9" w:rsidRPr="00316153" w:rsidSect="00AE13E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00B5C" w14:textId="77777777" w:rsidR="00F258DB" w:rsidRDefault="00F258DB" w:rsidP="00B451A5">
      <w:r>
        <w:separator/>
      </w:r>
    </w:p>
  </w:endnote>
  <w:endnote w:type="continuationSeparator" w:id="0">
    <w:p w14:paraId="69199D11" w14:textId="77777777" w:rsidR="00F258DB" w:rsidRDefault="00F258DB" w:rsidP="00B4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535506"/>
      <w:docPartObj>
        <w:docPartGallery w:val="Page Numbers (Bottom of Page)"/>
        <w:docPartUnique/>
      </w:docPartObj>
    </w:sdtPr>
    <w:sdtEndPr/>
    <w:sdtContent>
      <w:p w14:paraId="70322B1F" w14:textId="77777777" w:rsidR="00F22123" w:rsidRDefault="00F22123">
        <w:pPr>
          <w:pStyle w:val="Footer"/>
          <w:jc w:val="right"/>
        </w:pPr>
        <w:r>
          <w:t xml:space="preserve">Page | </w:t>
        </w:r>
        <w:r>
          <w:fldChar w:fldCharType="begin"/>
        </w:r>
        <w:r>
          <w:instrText xml:space="preserve"> PAGE   \* MERGEFORMAT </w:instrText>
        </w:r>
        <w:r>
          <w:fldChar w:fldCharType="separate"/>
        </w:r>
        <w:r w:rsidR="008B649C">
          <w:rPr>
            <w:noProof/>
          </w:rPr>
          <w:t>8</w:t>
        </w:r>
        <w:r>
          <w:rPr>
            <w:noProof/>
          </w:rPr>
          <w:fldChar w:fldCharType="end"/>
        </w:r>
        <w:r>
          <w:t xml:space="preserve"> </w:t>
        </w:r>
      </w:p>
    </w:sdtContent>
  </w:sdt>
  <w:p w14:paraId="4FAD419E" w14:textId="77777777" w:rsidR="005676A5" w:rsidRDefault="00567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0534B" w14:textId="77777777" w:rsidR="00F258DB" w:rsidRDefault="00F258DB" w:rsidP="00B451A5">
      <w:r>
        <w:separator/>
      </w:r>
    </w:p>
  </w:footnote>
  <w:footnote w:type="continuationSeparator" w:id="0">
    <w:p w14:paraId="4BF6DDB7" w14:textId="77777777" w:rsidR="00F258DB" w:rsidRDefault="00F258DB" w:rsidP="00B451A5">
      <w:r>
        <w:continuationSeparator/>
      </w:r>
    </w:p>
  </w:footnote>
  <w:footnote w:id="1">
    <w:p w14:paraId="5D216D08" w14:textId="77777777" w:rsidR="00586047" w:rsidRDefault="006C1A21">
      <w:pPr>
        <w:pStyle w:val="FootnoteText"/>
      </w:pPr>
      <w:r>
        <w:rPr>
          <w:rStyle w:val="FootnoteReference"/>
        </w:rPr>
        <w:t>*</w:t>
      </w:r>
      <w:r>
        <w:t xml:space="preserve">Note: </w:t>
      </w:r>
      <w:r w:rsidRPr="00C843E6">
        <w:t>Based on the OPM salary table for calendar year 201</w:t>
      </w:r>
      <w:r>
        <w:t>5</w:t>
      </w:r>
      <w:r w:rsidRPr="00C843E6">
        <w:t>, we estimated an hourly rate equivalent to a GS-1</w:t>
      </w:r>
      <w:r>
        <w:t>1, Step-2, or $29.00</w:t>
      </w:r>
      <w:r w:rsidRPr="00C843E6">
        <w:t xml:space="preserve"> per hour, plus 36.</w:t>
      </w:r>
      <w:r>
        <w:t>25</w:t>
      </w:r>
      <w:r w:rsidRPr="00C843E6">
        <w:t xml:space="preserve"> percent overhead burden</w:t>
      </w:r>
      <w:r>
        <w:t>,</w:t>
      </w:r>
      <w:r w:rsidRPr="00C843E6">
        <w:t xml:space="preserve"> and rounded to the nearest whole dollar, or $</w:t>
      </w:r>
      <w:r>
        <w:t>40.</w:t>
      </w:r>
      <w:r w:rsidRPr="00C843E6">
        <w:t>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721AC" w14:textId="0D9863F7" w:rsidR="005A0520" w:rsidRDefault="005A0520" w:rsidP="001C1E8C">
    <w:pPr>
      <w:pStyle w:val="Header"/>
      <w:rPr>
        <w:sz w:val="20"/>
        <w:szCs w:val="20"/>
      </w:rPr>
    </w:pPr>
    <w:r>
      <w:tab/>
    </w:r>
    <w:r>
      <w:tab/>
    </w:r>
  </w:p>
  <w:p w14:paraId="5FE3AAF5" w14:textId="77777777" w:rsidR="005A0520" w:rsidRPr="00B451A5" w:rsidRDefault="005A0520">
    <w:pPr>
      <w:pStyle w:val="Header"/>
      <w:rPr>
        <w:sz w:val="20"/>
        <w:szCs w:val="20"/>
      </w:rPr>
    </w:pPr>
    <w:r>
      <w:rPr>
        <w:sz w:val="20"/>
        <w:szCs w:val="20"/>
      </w:rPr>
      <w:tab/>
    </w:r>
    <w:r>
      <w:rPr>
        <w:sz w:val="20"/>
        <w:szCs w:val="20"/>
      </w:rPr>
      <w:tab/>
    </w:r>
    <w:r>
      <w:rPr>
        <w:sz w:val="20"/>
        <w:szCs w:val="20"/>
      </w:rPr>
      <w:tab/>
    </w:r>
  </w:p>
  <w:p w14:paraId="3C22734A" w14:textId="77777777" w:rsidR="005A0520" w:rsidRDefault="005A0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B3C"/>
    <w:multiLevelType w:val="hybridMultilevel"/>
    <w:tmpl w:val="6818BC2C"/>
    <w:lvl w:ilvl="0" w:tplc="8730E648">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87C9B"/>
    <w:multiLevelType w:val="hybridMultilevel"/>
    <w:tmpl w:val="998AE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0B01"/>
    <w:multiLevelType w:val="hybridMultilevel"/>
    <w:tmpl w:val="905A69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D97DAB"/>
    <w:multiLevelType w:val="hybridMultilevel"/>
    <w:tmpl w:val="71E257B0"/>
    <w:lvl w:ilvl="0" w:tplc="716A5B2E">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B762A1"/>
    <w:multiLevelType w:val="hybridMultilevel"/>
    <w:tmpl w:val="1D9EB1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062CB1"/>
    <w:multiLevelType w:val="hybridMultilevel"/>
    <w:tmpl w:val="6E60ED16"/>
    <w:lvl w:ilvl="0" w:tplc="DB6C5814">
      <w:start w:val="1"/>
      <w:numFmt w:val="lowerRoman"/>
      <w:lvlText w:val="%1."/>
      <w:lvlJc w:val="right"/>
      <w:pPr>
        <w:ind w:left="1080" w:hanging="360"/>
      </w:pPr>
    </w:lvl>
    <w:lvl w:ilvl="1" w:tplc="58869CA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51201"/>
    <w:multiLevelType w:val="hybridMultilevel"/>
    <w:tmpl w:val="BB18FF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166711"/>
    <w:multiLevelType w:val="hybridMultilevel"/>
    <w:tmpl w:val="77B83A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E14438"/>
    <w:multiLevelType w:val="hybridMultilevel"/>
    <w:tmpl w:val="B6601E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6E2B1D"/>
    <w:multiLevelType w:val="hybridMultilevel"/>
    <w:tmpl w:val="7ECCD7E4"/>
    <w:lvl w:ilvl="0" w:tplc="04090005">
      <w:start w:val="1"/>
      <w:numFmt w:val="bullet"/>
      <w:lvlText w:val=""/>
      <w:lvlJc w:val="left"/>
      <w:pPr>
        <w:ind w:left="360" w:hanging="360"/>
      </w:pPr>
      <w:rPr>
        <w:rFonts w:ascii="Wingdings" w:hAnsi="Wingdings" w:hint="default"/>
      </w:rPr>
    </w:lvl>
    <w:lvl w:ilvl="1" w:tplc="34B69CF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F2166E"/>
    <w:multiLevelType w:val="hybridMultilevel"/>
    <w:tmpl w:val="44ACD8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2D543D"/>
    <w:multiLevelType w:val="hybridMultilevel"/>
    <w:tmpl w:val="CDF6D7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7062FA"/>
    <w:multiLevelType w:val="hybridMultilevel"/>
    <w:tmpl w:val="CE8C45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9C6F3B"/>
    <w:multiLevelType w:val="hybridMultilevel"/>
    <w:tmpl w:val="037E3C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C91AF3"/>
    <w:multiLevelType w:val="hybridMultilevel"/>
    <w:tmpl w:val="19EE15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13"/>
  </w:num>
  <w:num w:numId="6">
    <w:abstractNumId w:val="7"/>
  </w:num>
  <w:num w:numId="7">
    <w:abstractNumId w:val="2"/>
  </w:num>
  <w:num w:numId="8">
    <w:abstractNumId w:val="14"/>
  </w:num>
  <w:num w:numId="9">
    <w:abstractNumId w:val="9"/>
  </w:num>
  <w:num w:numId="10">
    <w:abstractNumId w:val="10"/>
  </w:num>
  <w:num w:numId="11">
    <w:abstractNumId w:val="1"/>
  </w:num>
  <w:num w:numId="12">
    <w:abstractNumId w:val="11"/>
  </w:num>
  <w:num w:numId="13">
    <w:abstractNumId w:val="12"/>
  </w:num>
  <w:num w:numId="14">
    <w:abstractNumId w:val="3"/>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6"/>
    <w:rsid w:val="00005246"/>
    <w:rsid w:val="00015424"/>
    <w:rsid w:val="000266F3"/>
    <w:rsid w:val="00031E63"/>
    <w:rsid w:val="00035019"/>
    <w:rsid w:val="0004750D"/>
    <w:rsid w:val="0005501C"/>
    <w:rsid w:val="00055045"/>
    <w:rsid w:val="0008200F"/>
    <w:rsid w:val="00082EDF"/>
    <w:rsid w:val="000908EC"/>
    <w:rsid w:val="00092E9E"/>
    <w:rsid w:val="00093ACA"/>
    <w:rsid w:val="000940CB"/>
    <w:rsid w:val="00095DD2"/>
    <w:rsid w:val="00097F3C"/>
    <w:rsid w:val="000A3834"/>
    <w:rsid w:val="000B06CF"/>
    <w:rsid w:val="000B6571"/>
    <w:rsid w:val="000B7544"/>
    <w:rsid w:val="000C5166"/>
    <w:rsid w:val="000C65C4"/>
    <w:rsid w:val="000C684A"/>
    <w:rsid w:val="000C75E1"/>
    <w:rsid w:val="000D1895"/>
    <w:rsid w:val="000E7E7C"/>
    <w:rsid w:val="0010062D"/>
    <w:rsid w:val="00100901"/>
    <w:rsid w:val="00101C60"/>
    <w:rsid w:val="0010273C"/>
    <w:rsid w:val="001138A9"/>
    <w:rsid w:val="001167F9"/>
    <w:rsid w:val="001221C3"/>
    <w:rsid w:val="00134001"/>
    <w:rsid w:val="00137F83"/>
    <w:rsid w:val="00150261"/>
    <w:rsid w:val="00164114"/>
    <w:rsid w:val="00172313"/>
    <w:rsid w:val="0017523D"/>
    <w:rsid w:val="00181566"/>
    <w:rsid w:val="001852E6"/>
    <w:rsid w:val="00195975"/>
    <w:rsid w:val="001A0DF4"/>
    <w:rsid w:val="001A4C90"/>
    <w:rsid w:val="001B4413"/>
    <w:rsid w:val="001C1E8C"/>
    <w:rsid w:val="001C5B80"/>
    <w:rsid w:val="001C762C"/>
    <w:rsid w:val="001F0E44"/>
    <w:rsid w:val="001F3C6E"/>
    <w:rsid w:val="002109D4"/>
    <w:rsid w:val="002410F9"/>
    <w:rsid w:val="0024508E"/>
    <w:rsid w:val="0026155C"/>
    <w:rsid w:val="00265AF3"/>
    <w:rsid w:val="00270ECC"/>
    <w:rsid w:val="00271A63"/>
    <w:rsid w:val="002A3766"/>
    <w:rsid w:val="002A4C90"/>
    <w:rsid w:val="002A6764"/>
    <w:rsid w:val="002C0173"/>
    <w:rsid w:val="002C3056"/>
    <w:rsid w:val="002C386A"/>
    <w:rsid w:val="002D2532"/>
    <w:rsid w:val="002D3B58"/>
    <w:rsid w:val="002D5835"/>
    <w:rsid w:val="002D63D7"/>
    <w:rsid w:val="002E0367"/>
    <w:rsid w:val="002E4D76"/>
    <w:rsid w:val="002E625A"/>
    <w:rsid w:val="00302549"/>
    <w:rsid w:val="00303F88"/>
    <w:rsid w:val="00307667"/>
    <w:rsid w:val="00316153"/>
    <w:rsid w:val="00316E61"/>
    <w:rsid w:val="00321A67"/>
    <w:rsid w:val="00323972"/>
    <w:rsid w:val="00332B0B"/>
    <w:rsid w:val="00340BAF"/>
    <w:rsid w:val="00342412"/>
    <w:rsid w:val="003453FE"/>
    <w:rsid w:val="0034603B"/>
    <w:rsid w:val="0034666D"/>
    <w:rsid w:val="003567FE"/>
    <w:rsid w:val="003578D6"/>
    <w:rsid w:val="003637D6"/>
    <w:rsid w:val="00366AE5"/>
    <w:rsid w:val="003747F9"/>
    <w:rsid w:val="003813EB"/>
    <w:rsid w:val="00387394"/>
    <w:rsid w:val="0039086B"/>
    <w:rsid w:val="003918EC"/>
    <w:rsid w:val="003973E5"/>
    <w:rsid w:val="003B1DB2"/>
    <w:rsid w:val="003C191F"/>
    <w:rsid w:val="003C3A32"/>
    <w:rsid w:val="003C3DB4"/>
    <w:rsid w:val="003D6EF1"/>
    <w:rsid w:val="003E2351"/>
    <w:rsid w:val="00403A7C"/>
    <w:rsid w:val="00403AAB"/>
    <w:rsid w:val="004043B9"/>
    <w:rsid w:val="00407609"/>
    <w:rsid w:val="00421B92"/>
    <w:rsid w:val="004332F8"/>
    <w:rsid w:val="00437145"/>
    <w:rsid w:val="0043714A"/>
    <w:rsid w:val="0044248B"/>
    <w:rsid w:val="00444E4D"/>
    <w:rsid w:val="00444FAD"/>
    <w:rsid w:val="00453C3B"/>
    <w:rsid w:val="00455C3F"/>
    <w:rsid w:val="0045740C"/>
    <w:rsid w:val="0046179A"/>
    <w:rsid w:val="004619CA"/>
    <w:rsid w:val="00463817"/>
    <w:rsid w:val="00472F77"/>
    <w:rsid w:val="00473AB5"/>
    <w:rsid w:val="00477BB7"/>
    <w:rsid w:val="004876C5"/>
    <w:rsid w:val="00490CF6"/>
    <w:rsid w:val="004B3C40"/>
    <w:rsid w:val="004B785F"/>
    <w:rsid w:val="004C478A"/>
    <w:rsid w:val="004C4F78"/>
    <w:rsid w:val="004D1484"/>
    <w:rsid w:val="004D1D4D"/>
    <w:rsid w:val="004D3224"/>
    <w:rsid w:val="00516248"/>
    <w:rsid w:val="0051782F"/>
    <w:rsid w:val="00535C41"/>
    <w:rsid w:val="005379BA"/>
    <w:rsid w:val="00537FC4"/>
    <w:rsid w:val="00541FB9"/>
    <w:rsid w:val="0056026A"/>
    <w:rsid w:val="005676A5"/>
    <w:rsid w:val="00567BDF"/>
    <w:rsid w:val="005703CD"/>
    <w:rsid w:val="005770AA"/>
    <w:rsid w:val="00586047"/>
    <w:rsid w:val="00586DCC"/>
    <w:rsid w:val="00587F15"/>
    <w:rsid w:val="005A0520"/>
    <w:rsid w:val="005A30C7"/>
    <w:rsid w:val="005B0166"/>
    <w:rsid w:val="005B1B5D"/>
    <w:rsid w:val="005C24B3"/>
    <w:rsid w:val="005D0DC7"/>
    <w:rsid w:val="005E17A2"/>
    <w:rsid w:val="005E1BDF"/>
    <w:rsid w:val="005E1C8D"/>
    <w:rsid w:val="005E56B0"/>
    <w:rsid w:val="005F5C33"/>
    <w:rsid w:val="00600F36"/>
    <w:rsid w:val="00604B1A"/>
    <w:rsid w:val="006101E2"/>
    <w:rsid w:val="00616698"/>
    <w:rsid w:val="006179C0"/>
    <w:rsid w:val="00626899"/>
    <w:rsid w:val="00627EBC"/>
    <w:rsid w:val="00634A45"/>
    <w:rsid w:val="00637FC1"/>
    <w:rsid w:val="006517C2"/>
    <w:rsid w:val="00664933"/>
    <w:rsid w:val="006663C7"/>
    <w:rsid w:val="0067051B"/>
    <w:rsid w:val="00693265"/>
    <w:rsid w:val="006A08DC"/>
    <w:rsid w:val="006A7F1A"/>
    <w:rsid w:val="006B0736"/>
    <w:rsid w:val="006B283E"/>
    <w:rsid w:val="006C0FF7"/>
    <w:rsid w:val="006C1A21"/>
    <w:rsid w:val="006E0207"/>
    <w:rsid w:val="006E08E0"/>
    <w:rsid w:val="006E14B6"/>
    <w:rsid w:val="00703B7C"/>
    <w:rsid w:val="00705A93"/>
    <w:rsid w:val="00715720"/>
    <w:rsid w:val="00726DBF"/>
    <w:rsid w:val="00734E0B"/>
    <w:rsid w:val="00744299"/>
    <w:rsid w:val="00745054"/>
    <w:rsid w:val="007605BB"/>
    <w:rsid w:val="00770E36"/>
    <w:rsid w:val="00771D23"/>
    <w:rsid w:val="00786763"/>
    <w:rsid w:val="0079151F"/>
    <w:rsid w:val="0079741E"/>
    <w:rsid w:val="007A05C5"/>
    <w:rsid w:val="007B4CD5"/>
    <w:rsid w:val="007B6C8E"/>
    <w:rsid w:val="007C3EB0"/>
    <w:rsid w:val="007E1AD8"/>
    <w:rsid w:val="007F35F2"/>
    <w:rsid w:val="00811E9D"/>
    <w:rsid w:val="008205A8"/>
    <w:rsid w:val="00824050"/>
    <w:rsid w:val="00825A21"/>
    <w:rsid w:val="0083454C"/>
    <w:rsid w:val="00834936"/>
    <w:rsid w:val="0083696C"/>
    <w:rsid w:val="00845B41"/>
    <w:rsid w:val="00852101"/>
    <w:rsid w:val="0085700D"/>
    <w:rsid w:val="00864F55"/>
    <w:rsid w:val="00867EC5"/>
    <w:rsid w:val="00887292"/>
    <w:rsid w:val="00887678"/>
    <w:rsid w:val="00893A24"/>
    <w:rsid w:val="00897791"/>
    <w:rsid w:val="008A0380"/>
    <w:rsid w:val="008B649C"/>
    <w:rsid w:val="008C3B61"/>
    <w:rsid w:val="008D6B5A"/>
    <w:rsid w:val="008E276F"/>
    <w:rsid w:val="0090463F"/>
    <w:rsid w:val="00906FAC"/>
    <w:rsid w:val="00910296"/>
    <w:rsid w:val="00910920"/>
    <w:rsid w:val="0091272C"/>
    <w:rsid w:val="00916DBD"/>
    <w:rsid w:val="00920D10"/>
    <w:rsid w:val="00923816"/>
    <w:rsid w:val="00924499"/>
    <w:rsid w:val="00926E60"/>
    <w:rsid w:val="00935D7E"/>
    <w:rsid w:val="0094088B"/>
    <w:rsid w:val="00945F47"/>
    <w:rsid w:val="0094777C"/>
    <w:rsid w:val="00966061"/>
    <w:rsid w:val="00975D0A"/>
    <w:rsid w:val="0097600A"/>
    <w:rsid w:val="009761BA"/>
    <w:rsid w:val="009826EB"/>
    <w:rsid w:val="009861CB"/>
    <w:rsid w:val="00986E1C"/>
    <w:rsid w:val="00990A1F"/>
    <w:rsid w:val="00991F79"/>
    <w:rsid w:val="00997C10"/>
    <w:rsid w:val="009A1850"/>
    <w:rsid w:val="009A2934"/>
    <w:rsid w:val="009A31AE"/>
    <w:rsid w:val="009B060E"/>
    <w:rsid w:val="009B1A1C"/>
    <w:rsid w:val="009C1462"/>
    <w:rsid w:val="009E3A13"/>
    <w:rsid w:val="009E7EBA"/>
    <w:rsid w:val="00A006BA"/>
    <w:rsid w:val="00A00E78"/>
    <w:rsid w:val="00A01916"/>
    <w:rsid w:val="00A20450"/>
    <w:rsid w:val="00A20D4B"/>
    <w:rsid w:val="00A23826"/>
    <w:rsid w:val="00A27830"/>
    <w:rsid w:val="00A27B04"/>
    <w:rsid w:val="00A353E9"/>
    <w:rsid w:val="00A5147C"/>
    <w:rsid w:val="00A56650"/>
    <w:rsid w:val="00A6645F"/>
    <w:rsid w:val="00A82236"/>
    <w:rsid w:val="00A84849"/>
    <w:rsid w:val="00A94C1D"/>
    <w:rsid w:val="00A96B71"/>
    <w:rsid w:val="00A96F12"/>
    <w:rsid w:val="00A97BE0"/>
    <w:rsid w:val="00AA4F61"/>
    <w:rsid w:val="00AC1013"/>
    <w:rsid w:val="00AE0C98"/>
    <w:rsid w:val="00AE13EB"/>
    <w:rsid w:val="00AF1266"/>
    <w:rsid w:val="00B00A91"/>
    <w:rsid w:val="00B114C9"/>
    <w:rsid w:val="00B24661"/>
    <w:rsid w:val="00B451A5"/>
    <w:rsid w:val="00B47B36"/>
    <w:rsid w:val="00B47FED"/>
    <w:rsid w:val="00B51987"/>
    <w:rsid w:val="00B57185"/>
    <w:rsid w:val="00B73338"/>
    <w:rsid w:val="00B81DDD"/>
    <w:rsid w:val="00BA46F8"/>
    <w:rsid w:val="00BA6872"/>
    <w:rsid w:val="00BB26EF"/>
    <w:rsid w:val="00BC3D2E"/>
    <w:rsid w:val="00BD6025"/>
    <w:rsid w:val="00BE51AE"/>
    <w:rsid w:val="00BF2A6B"/>
    <w:rsid w:val="00BF5A76"/>
    <w:rsid w:val="00C0287B"/>
    <w:rsid w:val="00C02C83"/>
    <w:rsid w:val="00C06215"/>
    <w:rsid w:val="00C166AA"/>
    <w:rsid w:val="00C227E6"/>
    <w:rsid w:val="00C25289"/>
    <w:rsid w:val="00C31139"/>
    <w:rsid w:val="00C32E93"/>
    <w:rsid w:val="00C414D2"/>
    <w:rsid w:val="00C45590"/>
    <w:rsid w:val="00C549D5"/>
    <w:rsid w:val="00C755FD"/>
    <w:rsid w:val="00C8290B"/>
    <w:rsid w:val="00C843E6"/>
    <w:rsid w:val="00C9298C"/>
    <w:rsid w:val="00CA1223"/>
    <w:rsid w:val="00CA63AF"/>
    <w:rsid w:val="00CB73B5"/>
    <w:rsid w:val="00CC15BB"/>
    <w:rsid w:val="00CC6362"/>
    <w:rsid w:val="00CC6C21"/>
    <w:rsid w:val="00CE1D01"/>
    <w:rsid w:val="00CE6D10"/>
    <w:rsid w:val="00CF3310"/>
    <w:rsid w:val="00CF4369"/>
    <w:rsid w:val="00D00543"/>
    <w:rsid w:val="00D01BE9"/>
    <w:rsid w:val="00D03921"/>
    <w:rsid w:val="00D237D0"/>
    <w:rsid w:val="00D32709"/>
    <w:rsid w:val="00D42904"/>
    <w:rsid w:val="00D46A83"/>
    <w:rsid w:val="00D5086A"/>
    <w:rsid w:val="00D55B47"/>
    <w:rsid w:val="00D6471E"/>
    <w:rsid w:val="00D74A8D"/>
    <w:rsid w:val="00D85D61"/>
    <w:rsid w:val="00D8662E"/>
    <w:rsid w:val="00D90239"/>
    <w:rsid w:val="00D97D5D"/>
    <w:rsid w:val="00DD2034"/>
    <w:rsid w:val="00DD30C5"/>
    <w:rsid w:val="00DD4DAE"/>
    <w:rsid w:val="00DD734C"/>
    <w:rsid w:val="00DE30E0"/>
    <w:rsid w:val="00DE3553"/>
    <w:rsid w:val="00DF646E"/>
    <w:rsid w:val="00E05CC2"/>
    <w:rsid w:val="00E14953"/>
    <w:rsid w:val="00E50A5B"/>
    <w:rsid w:val="00E55ABF"/>
    <w:rsid w:val="00E77612"/>
    <w:rsid w:val="00E84661"/>
    <w:rsid w:val="00E91E3F"/>
    <w:rsid w:val="00E92289"/>
    <w:rsid w:val="00E940B7"/>
    <w:rsid w:val="00E9565F"/>
    <w:rsid w:val="00EA3CAC"/>
    <w:rsid w:val="00EB7EE5"/>
    <w:rsid w:val="00EC0D1A"/>
    <w:rsid w:val="00EC6BD5"/>
    <w:rsid w:val="00ED0BFC"/>
    <w:rsid w:val="00ED1F4D"/>
    <w:rsid w:val="00EE03E4"/>
    <w:rsid w:val="00EE38A0"/>
    <w:rsid w:val="00F14CCD"/>
    <w:rsid w:val="00F17BB4"/>
    <w:rsid w:val="00F22123"/>
    <w:rsid w:val="00F258DB"/>
    <w:rsid w:val="00F27F2D"/>
    <w:rsid w:val="00F5641C"/>
    <w:rsid w:val="00F63183"/>
    <w:rsid w:val="00F7075A"/>
    <w:rsid w:val="00F72802"/>
    <w:rsid w:val="00F72B69"/>
    <w:rsid w:val="00F74825"/>
    <w:rsid w:val="00F83802"/>
    <w:rsid w:val="00F84140"/>
    <w:rsid w:val="00F94936"/>
    <w:rsid w:val="00F95DE0"/>
    <w:rsid w:val="00F9715A"/>
    <w:rsid w:val="00FA0C8F"/>
    <w:rsid w:val="00FA71B1"/>
    <w:rsid w:val="00FB5935"/>
    <w:rsid w:val="00FB73A1"/>
    <w:rsid w:val="00FC0057"/>
    <w:rsid w:val="00FC3121"/>
    <w:rsid w:val="00FD3059"/>
    <w:rsid w:val="00FE0528"/>
    <w:rsid w:val="00FF09A4"/>
    <w:rsid w:val="00FF423C"/>
    <w:rsid w:val="00FF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BAAA2"/>
  <w15:docId w15:val="{4DA0227C-8DEB-4C23-8BA1-2D627A44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14B6"/>
    <w:rPr>
      <w:color w:val="0000FF"/>
      <w:u w:val="single"/>
    </w:rPr>
  </w:style>
  <w:style w:type="paragraph" w:styleId="Header">
    <w:name w:val="header"/>
    <w:basedOn w:val="Normal"/>
    <w:link w:val="HeaderChar"/>
    <w:uiPriority w:val="99"/>
    <w:rsid w:val="00B451A5"/>
    <w:pPr>
      <w:tabs>
        <w:tab w:val="center" w:pos="4680"/>
        <w:tab w:val="right" w:pos="9360"/>
      </w:tabs>
    </w:pPr>
  </w:style>
  <w:style w:type="character" w:customStyle="1" w:styleId="HeaderChar">
    <w:name w:val="Header Char"/>
    <w:basedOn w:val="DefaultParagraphFont"/>
    <w:link w:val="Header"/>
    <w:uiPriority w:val="99"/>
    <w:rsid w:val="00B451A5"/>
    <w:rPr>
      <w:sz w:val="24"/>
      <w:szCs w:val="24"/>
    </w:rPr>
  </w:style>
  <w:style w:type="paragraph" w:styleId="Footer">
    <w:name w:val="footer"/>
    <w:basedOn w:val="Normal"/>
    <w:link w:val="FooterChar"/>
    <w:uiPriority w:val="99"/>
    <w:rsid w:val="00B451A5"/>
    <w:pPr>
      <w:tabs>
        <w:tab w:val="center" w:pos="4680"/>
        <w:tab w:val="right" w:pos="9360"/>
      </w:tabs>
    </w:pPr>
  </w:style>
  <w:style w:type="character" w:customStyle="1" w:styleId="FooterChar">
    <w:name w:val="Footer Char"/>
    <w:basedOn w:val="DefaultParagraphFont"/>
    <w:link w:val="Footer"/>
    <w:uiPriority w:val="99"/>
    <w:rsid w:val="00B451A5"/>
    <w:rPr>
      <w:sz w:val="24"/>
      <w:szCs w:val="24"/>
    </w:rPr>
  </w:style>
  <w:style w:type="character" w:styleId="CommentReference">
    <w:name w:val="annotation reference"/>
    <w:basedOn w:val="DefaultParagraphFont"/>
    <w:rsid w:val="00F74825"/>
    <w:rPr>
      <w:sz w:val="16"/>
      <w:szCs w:val="16"/>
    </w:rPr>
  </w:style>
  <w:style w:type="paragraph" w:styleId="CommentText">
    <w:name w:val="annotation text"/>
    <w:basedOn w:val="Normal"/>
    <w:link w:val="CommentTextChar"/>
    <w:rsid w:val="00F74825"/>
    <w:rPr>
      <w:sz w:val="20"/>
      <w:szCs w:val="20"/>
    </w:rPr>
  </w:style>
  <w:style w:type="character" w:customStyle="1" w:styleId="CommentTextChar">
    <w:name w:val="Comment Text Char"/>
    <w:basedOn w:val="DefaultParagraphFont"/>
    <w:link w:val="CommentText"/>
    <w:rsid w:val="00F74825"/>
  </w:style>
  <w:style w:type="paragraph" w:styleId="CommentSubject">
    <w:name w:val="annotation subject"/>
    <w:basedOn w:val="CommentText"/>
    <w:next w:val="CommentText"/>
    <w:link w:val="CommentSubjectChar"/>
    <w:rsid w:val="00F74825"/>
    <w:rPr>
      <w:b/>
      <w:bCs/>
    </w:rPr>
  </w:style>
  <w:style w:type="character" w:customStyle="1" w:styleId="CommentSubjectChar">
    <w:name w:val="Comment Subject Char"/>
    <w:basedOn w:val="CommentTextChar"/>
    <w:link w:val="CommentSubject"/>
    <w:rsid w:val="00F74825"/>
    <w:rPr>
      <w:b/>
      <w:bCs/>
    </w:rPr>
  </w:style>
  <w:style w:type="paragraph" w:styleId="BalloonText">
    <w:name w:val="Balloon Text"/>
    <w:basedOn w:val="Normal"/>
    <w:link w:val="BalloonTextChar"/>
    <w:rsid w:val="00F74825"/>
    <w:rPr>
      <w:rFonts w:ascii="Tahoma" w:hAnsi="Tahoma" w:cs="Tahoma"/>
      <w:sz w:val="16"/>
      <w:szCs w:val="16"/>
    </w:rPr>
  </w:style>
  <w:style w:type="character" w:customStyle="1" w:styleId="BalloonTextChar">
    <w:name w:val="Balloon Text Char"/>
    <w:basedOn w:val="DefaultParagraphFont"/>
    <w:link w:val="BalloonText"/>
    <w:rsid w:val="00F74825"/>
    <w:rPr>
      <w:rFonts w:ascii="Tahoma" w:hAnsi="Tahoma" w:cs="Tahoma"/>
      <w:sz w:val="16"/>
      <w:szCs w:val="16"/>
    </w:rPr>
  </w:style>
  <w:style w:type="paragraph" w:styleId="Revision">
    <w:name w:val="Revision"/>
    <w:hidden/>
    <w:uiPriority w:val="99"/>
    <w:semiHidden/>
    <w:rsid w:val="00F27F2D"/>
    <w:rPr>
      <w:sz w:val="24"/>
      <w:szCs w:val="24"/>
    </w:rPr>
  </w:style>
  <w:style w:type="paragraph" w:styleId="FootnoteText">
    <w:name w:val="footnote text"/>
    <w:basedOn w:val="Normal"/>
    <w:link w:val="FootnoteTextChar"/>
    <w:rsid w:val="0097600A"/>
    <w:rPr>
      <w:rFonts w:eastAsia="Times"/>
      <w:sz w:val="20"/>
      <w:szCs w:val="20"/>
    </w:rPr>
  </w:style>
  <w:style w:type="character" w:customStyle="1" w:styleId="FootnoteTextChar">
    <w:name w:val="Footnote Text Char"/>
    <w:basedOn w:val="DefaultParagraphFont"/>
    <w:link w:val="FootnoteText"/>
    <w:rsid w:val="0097600A"/>
    <w:rPr>
      <w:rFonts w:eastAsia="Times"/>
    </w:rPr>
  </w:style>
  <w:style w:type="character" w:styleId="FootnoteReference">
    <w:name w:val="footnote reference"/>
    <w:basedOn w:val="DefaultParagraphFont"/>
    <w:rsid w:val="0097600A"/>
    <w:rPr>
      <w:vertAlign w:val="superscript"/>
    </w:rPr>
  </w:style>
  <w:style w:type="paragraph" w:styleId="ListParagraph">
    <w:name w:val="List Paragraph"/>
    <w:basedOn w:val="Normal"/>
    <w:uiPriority w:val="34"/>
    <w:qFormat/>
    <w:rsid w:val="0097600A"/>
    <w:pPr>
      <w:ind w:left="720"/>
      <w:contextualSpacing/>
    </w:pPr>
  </w:style>
  <w:style w:type="paragraph" w:styleId="NormalWeb">
    <w:name w:val="Normal (Web)"/>
    <w:basedOn w:val="Normal"/>
    <w:unhideWhenUsed/>
    <w:rsid w:val="00EC0D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325">
      <w:bodyDiv w:val="1"/>
      <w:marLeft w:val="0"/>
      <w:marRight w:val="0"/>
      <w:marTop w:val="0"/>
      <w:marBottom w:val="0"/>
      <w:divBdr>
        <w:top w:val="none" w:sz="0" w:space="0" w:color="auto"/>
        <w:left w:val="none" w:sz="0" w:space="0" w:color="auto"/>
        <w:bottom w:val="none" w:sz="0" w:space="0" w:color="auto"/>
        <w:right w:val="none" w:sz="0" w:space="0" w:color="auto"/>
      </w:divBdr>
    </w:div>
    <w:div w:id="103620816">
      <w:bodyDiv w:val="1"/>
      <w:marLeft w:val="0"/>
      <w:marRight w:val="0"/>
      <w:marTop w:val="0"/>
      <w:marBottom w:val="0"/>
      <w:divBdr>
        <w:top w:val="none" w:sz="0" w:space="0" w:color="auto"/>
        <w:left w:val="none" w:sz="0" w:space="0" w:color="auto"/>
        <w:bottom w:val="none" w:sz="0" w:space="0" w:color="auto"/>
        <w:right w:val="none" w:sz="0" w:space="0" w:color="auto"/>
      </w:divBdr>
      <w:divsChild>
        <w:div w:id="1293752298">
          <w:marLeft w:val="0"/>
          <w:marRight w:val="0"/>
          <w:marTop w:val="0"/>
          <w:marBottom w:val="0"/>
          <w:divBdr>
            <w:top w:val="none" w:sz="0" w:space="0" w:color="auto"/>
            <w:left w:val="none" w:sz="0" w:space="0" w:color="auto"/>
            <w:bottom w:val="none" w:sz="0" w:space="0" w:color="auto"/>
            <w:right w:val="none" w:sz="0" w:space="0" w:color="auto"/>
          </w:divBdr>
          <w:divsChild>
            <w:div w:id="1077171655">
              <w:marLeft w:val="0"/>
              <w:marRight w:val="0"/>
              <w:marTop w:val="0"/>
              <w:marBottom w:val="0"/>
              <w:divBdr>
                <w:top w:val="none" w:sz="0" w:space="0" w:color="auto"/>
                <w:left w:val="none" w:sz="0" w:space="0" w:color="auto"/>
                <w:bottom w:val="none" w:sz="0" w:space="0" w:color="auto"/>
                <w:right w:val="none" w:sz="0" w:space="0" w:color="auto"/>
              </w:divBdr>
              <w:divsChild>
                <w:div w:id="514466523">
                  <w:marLeft w:val="0"/>
                  <w:marRight w:val="0"/>
                  <w:marTop w:val="0"/>
                  <w:marBottom w:val="0"/>
                  <w:divBdr>
                    <w:top w:val="none" w:sz="0" w:space="0" w:color="auto"/>
                    <w:left w:val="none" w:sz="0" w:space="0" w:color="auto"/>
                    <w:bottom w:val="none" w:sz="0" w:space="0" w:color="auto"/>
                    <w:right w:val="none" w:sz="0" w:space="0" w:color="auto"/>
                  </w:divBdr>
                  <w:divsChild>
                    <w:div w:id="276639671">
                      <w:marLeft w:val="0"/>
                      <w:marRight w:val="0"/>
                      <w:marTop w:val="0"/>
                      <w:marBottom w:val="0"/>
                      <w:divBdr>
                        <w:top w:val="none" w:sz="0" w:space="0" w:color="auto"/>
                        <w:left w:val="none" w:sz="0" w:space="0" w:color="auto"/>
                        <w:bottom w:val="none" w:sz="0" w:space="0" w:color="auto"/>
                        <w:right w:val="none" w:sz="0" w:space="0" w:color="auto"/>
                      </w:divBdr>
                      <w:divsChild>
                        <w:div w:id="6490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601946">
      <w:bodyDiv w:val="1"/>
      <w:marLeft w:val="0"/>
      <w:marRight w:val="0"/>
      <w:marTop w:val="0"/>
      <w:marBottom w:val="0"/>
      <w:divBdr>
        <w:top w:val="none" w:sz="0" w:space="0" w:color="auto"/>
        <w:left w:val="none" w:sz="0" w:space="0" w:color="auto"/>
        <w:bottom w:val="none" w:sz="0" w:space="0" w:color="auto"/>
        <w:right w:val="none" w:sz="0" w:space="0" w:color="auto"/>
      </w:divBdr>
      <w:divsChild>
        <w:div w:id="679812862">
          <w:marLeft w:val="0"/>
          <w:marRight w:val="0"/>
          <w:marTop w:val="0"/>
          <w:marBottom w:val="0"/>
          <w:divBdr>
            <w:top w:val="none" w:sz="0" w:space="0" w:color="auto"/>
            <w:left w:val="none" w:sz="0" w:space="0" w:color="auto"/>
            <w:bottom w:val="none" w:sz="0" w:space="0" w:color="auto"/>
            <w:right w:val="none" w:sz="0" w:space="0" w:color="auto"/>
          </w:divBdr>
        </w:div>
        <w:div w:id="73936958">
          <w:marLeft w:val="0"/>
          <w:marRight w:val="0"/>
          <w:marTop w:val="0"/>
          <w:marBottom w:val="0"/>
          <w:divBdr>
            <w:top w:val="none" w:sz="0" w:space="0" w:color="auto"/>
            <w:left w:val="none" w:sz="0" w:space="0" w:color="auto"/>
            <w:bottom w:val="none" w:sz="0" w:space="0" w:color="auto"/>
            <w:right w:val="none" w:sz="0" w:space="0" w:color="auto"/>
          </w:divBdr>
        </w:div>
        <w:div w:id="1092047310">
          <w:marLeft w:val="0"/>
          <w:marRight w:val="0"/>
          <w:marTop w:val="0"/>
          <w:marBottom w:val="0"/>
          <w:divBdr>
            <w:top w:val="none" w:sz="0" w:space="0" w:color="auto"/>
            <w:left w:val="none" w:sz="0" w:space="0" w:color="auto"/>
            <w:bottom w:val="none" w:sz="0" w:space="0" w:color="auto"/>
            <w:right w:val="none" w:sz="0" w:space="0" w:color="auto"/>
          </w:divBdr>
        </w:div>
        <w:div w:id="1861048266">
          <w:marLeft w:val="0"/>
          <w:marRight w:val="0"/>
          <w:marTop w:val="0"/>
          <w:marBottom w:val="0"/>
          <w:divBdr>
            <w:top w:val="none" w:sz="0" w:space="0" w:color="auto"/>
            <w:left w:val="none" w:sz="0" w:space="0" w:color="auto"/>
            <w:bottom w:val="none" w:sz="0" w:space="0" w:color="auto"/>
            <w:right w:val="none" w:sz="0" w:space="0" w:color="auto"/>
          </w:divBdr>
        </w:div>
      </w:divsChild>
    </w:div>
    <w:div w:id="346640360">
      <w:bodyDiv w:val="1"/>
      <w:marLeft w:val="0"/>
      <w:marRight w:val="0"/>
      <w:marTop w:val="0"/>
      <w:marBottom w:val="0"/>
      <w:divBdr>
        <w:top w:val="none" w:sz="0" w:space="0" w:color="auto"/>
        <w:left w:val="none" w:sz="0" w:space="0" w:color="auto"/>
        <w:bottom w:val="none" w:sz="0" w:space="0" w:color="auto"/>
        <w:right w:val="none" w:sz="0" w:space="0" w:color="auto"/>
      </w:divBdr>
    </w:div>
    <w:div w:id="594872867">
      <w:bodyDiv w:val="1"/>
      <w:marLeft w:val="0"/>
      <w:marRight w:val="0"/>
      <w:marTop w:val="0"/>
      <w:marBottom w:val="0"/>
      <w:divBdr>
        <w:top w:val="none" w:sz="0" w:space="0" w:color="auto"/>
        <w:left w:val="none" w:sz="0" w:space="0" w:color="auto"/>
        <w:bottom w:val="none" w:sz="0" w:space="0" w:color="auto"/>
        <w:right w:val="none" w:sz="0" w:space="0" w:color="auto"/>
      </w:divBdr>
      <w:divsChild>
        <w:div w:id="1771462647">
          <w:marLeft w:val="0"/>
          <w:marRight w:val="0"/>
          <w:marTop w:val="0"/>
          <w:marBottom w:val="0"/>
          <w:divBdr>
            <w:top w:val="none" w:sz="0" w:space="0" w:color="auto"/>
            <w:left w:val="none" w:sz="0" w:space="0" w:color="auto"/>
            <w:bottom w:val="none" w:sz="0" w:space="0" w:color="auto"/>
            <w:right w:val="none" w:sz="0" w:space="0" w:color="auto"/>
          </w:divBdr>
        </w:div>
        <w:div w:id="827482605">
          <w:marLeft w:val="0"/>
          <w:marRight w:val="0"/>
          <w:marTop w:val="0"/>
          <w:marBottom w:val="0"/>
          <w:divBdr>
            <w:top w:val="none" w:sz="0" w:space="0" w:color="auto"/>
            <w:left w:val="none" w:sz="0" w:space="0" w:color="auto"/>
            <w:bottom w:val="none" w:sz="0" w:space="0" w:color="auto"/>
            <w:right w:val="none" w:sz="0" w:space="0" w:color="auto"/>
          </w:divBdr>
        </w:div>
        <w:div w:id="1507398929">
          <w:marLeft w:val="0"/>
          <w:marRight w:val="0"/>
          <w:marTop w:val="0"/>
          <w:marBottom w:val="0"/>
          <w:divBdr>
            <w:top w:val="none" w:sz="0" w:space="0" w:color="auto"/>
            <w:left w:val="none" w:sz="0" w:space="0" w:color="auto"/>
            <w:bottom w:val="none" w:sz="0" w:space="0" w:color="auto"/>
            <w:right w:val="none" w:sz="0" w:space="0" w:color="auto"/>
          </w:divBdr>
        </w:div>
        <w:div w:id="1228568123">
          <w:marLeft w:val="0"/>
          <w:marRight w:val="0"/>
          <w:marTop w:val="0"/>
          <w:marBottom w:val="0"/>
          <w:divBdr>
            <w:top w:val="none" w:sz="0" w:space="0" w:color="auto"/>
            <w:left w:val="none" w:sz="0" w:space="0" w:color="auto"/>
            <w:bottom w:val="none" w:sz="0" w:space="0" w:color="auto"/>
            <w:right w:val="none" w:sz="0" w:space="0" w:color="auto"/>
          </w:divBdr>
        </w:div>
        <w:div w:id="1407221443">
          <w:marLeft w:val="0"/>
          <w:marRight w:val="0"/>
          <w:marTop w:val="0"/>
          <w:marBottom w:val="0"/>
          <w:divBdr>
            <w:top w:val="none" w:sz="0" w:space="0" w:color="auto"/>
            <w:left w:val="none" w:sz="0" w:space="0" w:color="auto"/>
            <w:bottom w:val="none" w:sz="0" w:space="0" w:color="auto"/>
            <w:right w:val="none" w:sz="0" w:space="0" w:color="auto"/>
          </w:divBdr>
        </w:div>
      </w:divsChild>
    </w:div>
    <w:div w:id="610210141">
      <w:bodyDiv w:val="1"/>
      <w:marLeft w:val="0"/>
      <w:marRight w:val="0"/>
      <w:marTop w:val="0"/>
      <w:marBottom w:val="0"/>
      <w:divBdr>
        <w:top w:val="none" w:sz="0" w:space="0" w:color="auto"/>
        <w:left w:val="none" w:sz="0" w:space="0" w:color="auto"/>
        <w:bottom w:val="none" w:sz="0" w:space="0" w:color="auto"/>
        <w:right w:val="none" w:sz="0" w:space="0" w:color="auto"/>
      </w:divBdr>
    </w:div>
    <w:div w:id="695545413">
      <w:bodyDiv w:val="1"/>
      <w:marLeft w:val="0"/>
      <w:marRight w:val="0"/>
      <w:marTop w:val="0"/>
      <w:marBottom w:val="0"/>
      <w:divBdr>
        <w:top w:val="none" w:sz="0" w:space="0" w:color="auto"/>
        <w:left w:val="none" w:sz="0" w:space="0" w:color="auto"/>
        <w:bottom w:val="none" w:sz="0" w:space="0" w:color="auto"/>
        <w:right w:val="none" w:sz="0" w:space="0" w:color="auto"/>
      </w:divBdr>
      <w:divsChild>
        <w:div w:id="97339613">
          <w:marLeft w:val="0"/>
          <w:marRight w:val="0"/>
          <w:marTop w:val="0"/>
          <w:marBottom w:val="0"/>
          <w:divBdr>
            <w:top w:val="none" w:sz="0" w:space="0" w:color="auto"/>
            <w:left w:val="none" w:sz="0" w:space="0" w:color="auto"/>
            <w:bottom w:val="none" w:sz="0" w:space="0" w:color="auto"/>
            <w:right w:val="none" w:sz="0" w:space="0" w:color="auto"/>
          </w:divBdr>
        </w:div>
        <w:div w:id="1773623720">
          <w:marLeft w:val="0"/>
          <w:marRight w:val="0"/>
          <w:marTop w:val="0"/>
          <w:marBottom w:val="0"/>
          <w:divBdr>
            <w:top w:val="none" w:sz="0" w:space="0" w:color="auto"/>
            <w:left w:val="none" w:sz="0" w:space="0" w:color="auto"/>
            <w:bottom w:val="none" w:sz="0" w:space="0" w:color="auto"/>
            <w:right w:val="none" w:sz="0" w:space="0" w:color="auto"/>
          </w:divBdr>
        </w:div>
      </w:divsChild>
    </w:div>
    <w:div w:id="861288572">
      <w:bodyDiv w:val="1"/>
      <w:marLeft w:val="0"/>
      <w:marRight w:val="0"/>
      <w:marTop w:val="0"/>
      <w:marBottom w:val="0"/>
      <w:divBdr>
        <w:top w:val="none" w:sz="0" w:space="0" w:color="auto"/>
        <w:left w:val="none" w:sz="0" w:space="0" w:color="auto"/>
        <w:bottom w:val="none" w:sz="0" w:space="0" w:color="auto"/>
        <w:right w:val="none" w:sz="0" w:space="0" w:color="auto"/>
      </w:divBdr>
      <w:divsChild>
        <w:div w:id="2031948584">
          <w:marLeft w:val="0"/>
          <w:marRight w:val="0"/>
          <w:marTop w:val="0"/>
          <w:marBottom w:val="0"/>
          <w:divBdr>
            <w:top w:val="none" w:sz="0" w:space="0" w:color="auto"/>
            <w:left w:val="none" w:sz="0" w:space="0" w:color="auto"/>
            <w:bottom w:val="none" w:sz="0" w:space="0" w:color="auto"/>
            <w:right w:val="none" w:sz="0" w:space="0" w:color="auto"/>
          </w:divBdr>
        </w:div>
        <w:div w:id="1880820214">
          <w:marLeft w:val="0"/>
          <w:marRight w:val="0"/>
          <w:marTop w:val="0"/>
          <w:marBottom w:val="0"/>
          <w:divBdr>
            <w:top w:val="none" w:sz="0" w:space="0" w:color="auto"/>
            <w:left w:val="none" w:sz="0" w:space="0" w:color="auto"/>
            <w:bottom w:val="none" w:sz="0" w:space="0" w:color="auto"/>
            <w:right w:val="none" w:sz="0" w:space="0" w:color="auto"/>
          </w:divBdr>
        </w:div>
        <w:div w:id="748574851">
          <w:marLeft w:val="0"/>
          <w:marRight w:val="0"/>
          <w:marTop w:val="0"/>
          <w:marBottom w:val="0"/>
          <w:divBdr>
            <w:top w:val="none" w:sz="0" w:space="0" w:color="auto"/>
            <w:left w:val="none" w:sz="0" w:space="0" w:color="auto"/>
            <w:bottom w:val="none" w:sz="0" w:space="0" w:color="auto"/>
            <w:right w:val="none" w:sz="0" w:space="0" w:color="auto"/>
          </w:divBdr>
        </w:div>
      </w:divsChild>
    </w:div>
    <w:div w:id="1090152364">
      <w:bodyDiv w:val="1"/>
      <w:marLeft w:val="0"/>
      <w:marRight w:val="0"/>
      <w:marTop w:val="0"/>
      <w:marBottom w:val="0"/>
      <w:divBdr>
        <w:top w:val="none" w:sz="0" w:space="0" w:color="auto"/>
        <w:left w:val="none" w:sz="0" w:space="0" w:color="auto"/>
        <w:bottom w:val="none" w:sz="0" w:space="0" w:color="auto"/>
        <w:right w:val="none" w:sz="0" w:space="0" w:color="auto"/>
      </w:divBdr>
    </w:div>
    <w:div w:id="1102065357">
      <w:bodyDiv w:val="1"/>
      <w:marLeft w:val="0"/>
      <w:marRight w:val="0"/>
      <w:marTop w:val="0"/>
      <w:marBottom w:val="0"/>
      <w:divBdr>
        <w:top w:val="none" w:sz="0" w:space="0" w:color="auto"/>
        <w:left w:val="none" w:sz="0" w:space="0" w:color="auto"/>
        <w:bottom w:val="none" w:sz="0" w:space="0" w:color="auto"/>
        <w:right w:val="none" w:sz="0" w:space="0" w:color="auto"/>
      </w:divBdr>
    </w:div>
    <w:div w:id="1283223021">
      <w:bodyDiv w:val="1"/>
      <w:marLeft w:val="0"/>
      <w:marRight w:val="0"/>
      <w:marTop w:val="0"/>
      <w:marBottom w:val="0"/>
      <w:divBdr>
        <w:top w:val="none" w:sz="0" w:space="0" w:color="auto"/>
        <w:left w:val="none" w:sz="0" w:space="0" w:color="auto"/>
        <w:bottom w:val="none" w:sz="0" w:space="0" w:color="auto"/>
        <w:right w:val="none" w:sz="0" w:space="0" w:color="auto"/>
      </w:divBdr>
    </w:div>
    <w:div w:id="1400667218">
      <w:bodyDiv w:val="1"/>
      <w:marLeft w:val="0"/>
      <w:marRight w:val="0"/>
      <w:marTop w:val="0"/>
      <w:marBottom w:val="0"/>
      <w:divBdr>
        <w:top w:val="none" w:sz="0" w:space="0" w:color="auto"/>
        <w:left w:val="none" w:sz="0" w:space="0" w:color="auto"/>
        <w:bottom w:val="none" w:sz="0" w:space="0" w:color="auto"/>
        <w:right w:val="none" w:sz="0" w:space="0" w:color="auto"/>
      </w:divBdr>
    </w:div>
    <w:div w:id="2084374647">
      <w:bodyDiv w:val="1"/>
      <w:marLeft w:val="0"/>
      <w:marRight w:val="0"/>
      <w:marTop w:val="0"/>
      <w:marBottom w:val="0"/>
      <w:divBdr>
        <w:top w:val="none" w:sz="0" w:space="0" w:color="auto"/>
        <w:left w:val="none" w:sz="0" w:space="0" w:color="auto"/>
        <w:bottom w:val="none" w:sz="0" w:space="0" w:color="auto"/>
        <w:right w:val="none" w:sz="0" w:space="0" w:color="auto"/>
      </w:divBdr>
      <w:divsChild>
        <w:div w:id="1945068115">
          <w:marLeft w:val="0"/>
          <w:marRight w:val="0"/>
          <w:marTop w:val="0"/>
          <w:marBottom w:val="0"/>
          <w:divBdr>
            <w:top w:val="none" w:sz="0" w:space="0" w:color="auto"/>
            <w:left w:val="none" w:sz="0" w:space="0" w:color="auto"/>
            <w:bottom w:val="none" w:sz="0" w:space="0" w:color="auto"/>
            <w:right w:val="none" w:sz="0" w:space="0" w:color="auto"/>
          </w:divBdr>
        </w:div>
        <w:div w:id="75925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48B8-AAA5-4DD0-B877-D1C66E6A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2237</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Homeland Security</Company>
  <LinksUpToDate>false</LinksUpToDate>
  <CharactersWithSpaces>14959</CharactersWithSpaces>
  <SharedDoc>false</SharedDoc>
  <HLinks>
    <vt:vector size="6" baseType="variant">
      <vt:variant>
        <vt:i4>4259846</vt:i4>
      </vt:variant>
      <vt:variant>
        <vt:i4>0</vt:i4>
      </vt:variant>
      <vt:variant>
        <vt:i4>0</vt:i4>
      </vt:variant>
      <vt:variant>
        <vt:i4>5</vt:i4>
      </vt:variant>
      <vt:variant>
        <vt:lpwstr>http://www.arnet.gov/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patricia.corrigan</dc:creator>
  <cp:lastModifiedBy>OCIO PRA Branch</cp:lastModifiedBy>
  <cp:revision>4</cp:revision>
  <cp:lastPrinted>2015-04-23T15:00:00Z</cp:lastPrinted>
  <dcterms:created xsi:type="dcterms:W3CDTF">2016-02-16T18:04:00Z</dcterms:created>
  <dcterms:modified xsi:type="dcterms:W3CDTF">2016-02-16T18:07:00Z</dcterms:modified>
</cp:coreProperties>
</file>