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E5" w:rsidRDefault="008512E5">
      <w:pPr>
        <w:pStyle w:val="Title"/>
        <w:keepNext w:val="0"/>
        <w:keepLines w:val="0"/>
        <w:pBdr>
          <w:top w:val="none" w:sz="0" w:space="0" w:color="auto"/>
        </w:pBdr>
        <w:spacing w:before="0" w:after="0" w:line="240" w:lineRule="auto"/>
        <w:rPr>
          <w:rFonts w:ascii="Times New Roman" w:hAnsi="Times New Roman"/>
          <w:spacing w:val="0"/>
          <w:sz w:val="24"/>
        </w:rPr>
      </w:pPr>
    </w:p>
    <w:p w:rsidR="009A176C" w:rsidRDefault="009A176C" w:rsidP="009A176C">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A176C" w:rsidRDefault="009A176C" w:rsidP="009A176C">
      <w:pPr>
        <w:numPr>
          <w:ilvl w:val="12"/>
          <w:numId w:val="0"/>
        </w:numPr>
        <w:ind w:left="360"/>
      </w:pPr>
    </w:p>
    <w:p w:rsidR="009A176C" w:rsidRDefault="009A176C" w:rsidP="009A176C">
      <w:pPr>
        <w:numPr>
          <w:ilvl w:val="12"/>
          <w:numId w:val="0"/>
        </w:numPr>
        <w:ind w:left="360"/>
      </w:pPr>
      <w:r>
        <w:t xml:space="preserve">On December 12, 2003, the President of the United States signed into law the Vision 100 Century of Aviation Reauthorization Act. </w:t>
      </w:r>
      <w:r w:rsidR="00E225A7">
        <w:t xml:space="preserve"> S</w:t>
      </w:r>
      <w:r>
        <w:t>ection 611</w:t>
      </w:r>
      <w:r w:rsidR="00E225A7">
        <w:t xml:space="preserve"> of the Act</w:t>
      </w:r>
      <w:r>
        <w:t xml:space="preserve">, </w:t>
      </w:r>
      <w:r w:rsidR="00F105CF">
        <w:t xml:space="preserve">as codified at </w:t>
      </w:r>
      <w:r w:rsidR="00F105CF" w:rsidRPr="00556C5A">
        <w:t xml:space="preserve">49 U.S.C.  44924, </w:t>
      </w:r>
      <w:r>
        <w:t xml:space="preserve">requires the Department of Homeland Security (DHS) to ensure the security </w:t>
      </w:r>
      <w:r w:rsidR="00CA37E7">
        <w:t>of aircraft</w:t>
      </w:r>
      <w:r>
        <w:t xml:space="preserve"> </w:t>
      </w:r>
      <w:r w:rsidR="00CA37E7">
        <w:t>repair stations.</w:t>
      </w:r>
      <w:r w:rsidR="00CA37E7">
        <w:rPr>
          <w:rStyle w:val="FootnoteReference"/>
        </w:rPr>
        <w:footnoteReference w:id="2"/>
      </w:r>
    </w:p>
    <w:p w:rsidR="009A176C" w:rsidRDefault="009A176C" w:rsidP="009A176C">
      <w:pPr>
        <w:numPr>
          <w:ilvl w:val="12"/>
          <w:numId w:val="0"/>
        </w:numPr>
        <w:ind w:left="360"/>
      </w:pPr>
    </w:p>
    <w:p w:rsidR="00D71FFE" w:rsidRDefault="009A176C" w:rsidP="00D71FFE">
      <w:pPr>
        <w:numPr>
          <w:ilvl w:val="12"/>
          <w:numId w:val="0"/>
        </w:numPr>
        <w:ind w:left="360"/>
      </w:pPr>
      <w:r>
        <w:t xml:space="preserve">The </w:t>
      </w:r>
      <w:r w:rsidR="00433C3E">
        <w:t>statute</w:t>
      </w:r>
      <w:r>
        <w:t xml:space="preserve"> further requires a security review and audit of foreign repair stations certificated by the Federal Aviation Administration (FAA).  The Transportation Security Administration (TSA), on behalf of DHS conduct</w:t>
      </w:r>
      <w:r w:rsidR="00D71FFE">
        <w:t>s</w:t>
      </w:r>
      <w:r>
        <w:t xml:space="preserve"> the relevant tasks associated with this legislation. TSA published a </w:t>
      </w:r>
      <w:r w:rsidR="00D71FFE" w:rsidRPr="00D71FFE">
        <w:t>final rule setting forth the new requirements on January 2014.  See 79 FR 2120</w:t>
      </w:r>
      <w:r w:rsidR="00F105CF">
        <w:t xml:space="preserve"> (Jan. 13, 2014), codified at </w:t>
      </w:r>
      <w:r w:rsidR="00F105CF" w:rsidRPr="00556C5A">
        <w:t>49 CFR part 1554</w:t>
      </w:r>
      <w:r w:rsidR="00D71FFE" w:rsidRPr="00556C5A">
        <w:t>.</w:t>
      </w:r>
    </w:p>
    <w:p w:rsidR="00D71FFE" w:rsidRDefault="00D71FFE" w:rsidP="009A176C">
      <w:pPr>
        <w:numPr>
          <w:ilvl w:val="12"/>
          <w:numId w:val="0"/>
        </w:numPr>
        <w:ind w:left="360"/>
      </w:pPr>
    </w:p>
    <w:p w:rsidR="00F105CF" w:rsidRDefault="009A176C" w:rsidP="00F105CF">
      <w:pPr>
        <w:numPr>
          <w:ilvl w:val="12"/>
          <w:numId w:val="0"/>
        </w:numPr>
        <w:ind w:left="360"/>
        <w:rPr>
          <w:rFonts w:cs="Times New Roman"/>
          <w:szCs w:val="24"/>
        </w:rPr>
      </w:pPr>
      <w:r>
        <w:rPr>
          <w:rFonts w:cs="Times New Roman"/>
          <w:szCs w:val="24"/>
        </w:rPr>
        <w:t>U</w:t>
      </w:r>
      <w:r w:rsidRPr="009C3F3D">
        <w:rPr>
          <w:rFonts w:cs="Times New Roman"/>
          <w:szCs w:val="24"/>
        </w:rPr>
        <w:t>nder</w:t>
      </w:r>
      <w:r>
        <w:rPr>
          <w:rFonts w:cs="Times New Roman"/>
          <w:szCs w:val="24"/>
        </w:rPr>
        <w:t xml:space="preserve"> TSA</w:t>
      </w:r>
      <w:r w:rsidR="00F105CF">
        <w:rPr>
          <w:rFonts w:cs="Times New Roman"/>
          <w:szCs w:val="24"/>
        </w:rPr>
        <w:t>’s</w:t>
      </w:r>
      <w:r>
        <w:rPr>
          <w:rFonts w:cs="Times New Roman"/>
          <w:szCs w:val="24"/>
        </w:rPr>
        <w:t xml:space="preserve"> regulations</w:t>
      </w:r>
      <w:r w:rsidR="00F105CF">
        <w:rPr>
          <w:rFonts w:cs="Times New Roman"/>
          <w:szCs w:val="24"/>
        </w:rPr>
        <w:t>, all repair stations (</w:t>
      </w:r>
      <w:r w:rsidR="00F105CF" w:rsidRPr="005467A0">
        <w:rPr>
          <w:rFonts w:cs="Times New Roman"/>
          <w:bCs/>
          <w:szCs w:val="24"/>
        </w:rPr>
        <w:t xml:space="preserve">except for a </w:t>
      </w:r>
      <w:r w:rsidR="00F105CF">
        <w:rPr>
          <w:rFonts w:cs="Times New Roman"/>
          <w:bCs/>
          <w:szCs w:val="24"/>
        </w:rPr>
        <w:t>repair station certificated by the FAA under 49 CFR part 145 as located on a</w:t>
      </w:r>
      <w:r w:rsidR="00F105CF" w:rsidRPr="005467A0">
        <w:rPr>
          <w:rFonts w:cs="Times New Roman"/>
          <w:bCs/>
          <w:szCs w:val="24"/>
        </w:rPr>
        <w:t xml:space="preserve"> </w:t>
      </w:r>
      <w:r w:rsidR="00F105CF">
        <w:rPr>
          <w:rFonts w:cs="Times New Roman"/>
          <w:bCs/>
          <w:szCs w:val="24"/>
        </w:rPr>
        <w:t>U.S. or foreign Government military installation)</w:t>
      </w:r>
      <w:r w:rsidR="00F105CF" w:rsidDel="00F20FB6">
        <w:rPr>
          <w:rFonts w:cs="Times New Roman"/>
          <w:szCs w:val="24"/>
        </w:rPr>
        <w:t xml:space="preserve"> </w:t>
      </w:r>
      <w:r w:rsidR="00F105CF">
        <w:rPr>
          <w:rFonts w:cs="Times New Roman"/>
          <w:szCs w:val="24"/>
        </w:rPr>
        <w:t xml:space="preserve">are </w:t>
      </w:r>
      <w:r w:rsidR="00F105CF" w:rsidRPr="009C3F3D">
        <w:rPr>
          <w:rFonts w:cs="Times New Roman"/>
          <w:szCs w:val="24"/>
        </w:rPr>
        <w:t xml:space="preserve">required to provide </w:t>
      </w:r>
      <w:r w:rsidR="00F105CF">
        <w:rPr>
          <w:rFonts w:cs="Times New Roman"/>
          <w:szCs w:val="24"/>
        </w:rPr>
        <w:t>TSA</w:t>
      </w:r>
      <w:r w:rsidR="00F105CF" w:rsidRPr="009C3F3D">
        <w:rPr>
          <w:rFonts w:cs="Times New Roman"/>
          <w:szCs w:val="24"/>
        </w:rPr>
        <w:t xml:space="preserve"> access to </w:t>
      </w:r>
      <w:r w:rsidR="00F105CF">
        <w:rPr>
          <w:rFonts w:cs="Times New Roman"/>
          <w:szCs w:val="24"/>
        </w:rPr>
        <w:t>the</w:t>
      </w:r>
      <w:r w:rsidR="00F105CF" w:rsidRPr="009C3F3D">
        <w:rPr>
          <w:rFonts w:cs="Times New Roman"/>
          <w:szCs w:val="24"/>
        </w:rPr>
        <w:t xml:space="preserve"> records</w:t>
      </w:r>
      <w:r w:rsidR="00F105CF">
        <w:rPr>
          <w:rFonts w:cs="Times New Roman"/>
          <w:szCs w:val="24"/>
        </w:rPr>
        <w:t xml:space="preserve"> </w:t>
      </w:r>
      <w:r w:rsidR="00F105CF" w:rsidRPr="009C3F3D">
        <w:rPr>
          <w:rFonts w:cs="Times New Roman"/>
          <w:szCs w:val="24"/>
        </w:rPr>
        <w:t xml:space="preserve">and facilities necessary for </w:t>
      </w:r>
      <w:r w:rsidR="00F105CF">
        <w:rPr>
          <w:rFonts w:cs="Times New Roman"/>
          <w:szCs w:val="24"/>
        </w:rPr>
        <w:t xml:space="preserve">TSA to </w:t>
      </w:r>
      <w:r w:rsidR="00F105CF" w:rsidRPr="009C3F3D">
        <w:rPr>
          <w:rFonts w:cs="Times New Roman"/>
          <w:szCs w:val="24"/>
        </w:rPr>
        <w:t xml:space="preserve">conduct </w:t>
      </w:r>
      <w:r w:rsidR="00F105CF">
        <w:rPr>
          <w:rFonts w:cs="Times New Roman"/>
          <w:szCs w:val="24"/>
        </w:rPr>
        <w:t>security inspections</w:t>
      </w:r>
      <w:r w:rsidR="00F105CF" w:rsidRPr="009C3F3D">
        <w:rPr>
          <w:rFonts w:cs="Times New Roman"/>
          <w:szCs w:val="24"/>
        </w:rPr>
        <w:t xml:space="preserve">.  </w:t>
      </w:r>
      <w:r w:rsidR="00F105CF">
        <w:rPr>
          <w:rFonts w:cs="Times New Roman"/>
          <w:szCs w:val="24"/>
        </w:rPr>
        <w:t>(</w:t>
      </w:r>
      <w:r w:rsidR="00F105CF" w:rsidRPr="00451BBB">
        <w:rPr>
          <w:rFonts w:cs="Times New Roman"/>
          <w:szCs w:val="24"/>
        </w:rPr>
        <w:t>See 49 CFR 15</w:t>
      </w:r>
      <w:r w:rsidR="00F105CF">
        <w:rPr>
          <w:rFonts w:cs="Times New Roman"/>
          <w:szCs w:val="24"/>
        </w:rPr>
        <w:t>54.</w:t>
      </w:r>
      <w:r w:rsidR="00C32685">
        <w:rPr>
          <w:rFonts w:cs="Times New Roman"/>
          <w:szCs w:val="24"/>
        </w:rPr>
        <w:t>3</w:t>
      </w:r>
      <w:r w:rsidR="00F105CF" w:rsidRPr="00451BBB">
        <w:rPr>
          <w:rFonts w:cs="Times New Roman"/>
          <w:szCs w:val="24"/>
        </w:rPr>
        <w:t>).</w:t>
      </w:r>
      <w:r w:rsidR="00F105CF">
        <w:rPr>
          <w:rFonts w:cs="Times New Roman"/>
          <w:szCs w:val="24"/>
        </w:rPr>
        <w:t xml:space="preserve">  They </w:t>
      </w:r>
      <w:r w:rsidR="00F105CF" w:rsidRPr="00CB762A">
        <w:rPr>
          <w:rFonts w:cs="Times New Roman"/>
          <w:szCs w:val="24"/>
        </w:rPr>
        <w:t xml:space="preserve">must </w:t>
      </w:r>
      <w:r w:rsidR="00F105CF">
        <w:rPr>
          <w:rFonts w:cs="Times New Roman"/>
          <w:szCs w:val="24"/>
        </w:rPr>
        <w:t xml:space="preserve">also </w:t>
      </w:r>
      <w:r w:rsidR="00F105CF" w:rsidRPr="00CB762A">
        <w:rPr>
          <w:rFonts w:cs="Times New Roman"/>
          <w:szCs w:val="24"/>
        </w:rPr>
        <w:t xml:space="preserve">comply with </w:t>
      </w:r>
      <w:r w:rsidR="00F105CF">
        <w:rPr>
          <w:rFonts w:cs="Times New Roman"/>
          <w:szCs w:val="24"/>
        </w:rPr>
        <w:t>s</w:t>
      </w:r>
      <w:r w:rsidR="00F105CF" w:rsidRPr="00CB762A">
        <w:rPr>
          <w:rFonts w:cs="Times New Roman"/>
          <w:szCs w:val="24"/>
        </w:rPr>
        <w:t xml:space="preserve">ecurity </w:t>
      </w:r>
      <w:r w:rsidR="00F105CF">
        <w:rPr>
          <w:rFonts w:cs="Times New Roman"/>
          <w:szCs w:val="24"/>
        </w:rPr>
        <w:t>d</w:t>
      </w:r>
      <w:r w:rsidR="00F105CF" w:rsidRPr="00CB762A">
        <w:rPr>
          <w:rFonts w:cs="Times New Roman"/>
          <w:szCs w:val="24"/>
        </w:rPr>
        <w:t xml:space="preserve">irectives if issued by TSA, which could include requirements to maintain </w:t>
      </w:r>
      <w:r w:rsidR="00F105CF">
        <w:rPr>
          <w:rFonts w:cs="Times New Roman"/>
          <w:szCs w:val="24"/>
        </w:rPr>
        <w:t xml:space="preserve">additional </w:t>
      </w:r>
      <w:r w:rsidR="00F105CF" w:rsidRPr="00CB762A">
        <w:rPr>
          <w:rFonts w:cs="Times New Roman"/>
          <w:szCs w:val="24"/>
        </w:rPr>
        <w:t>records or provide information to TSA.</w:t>
      </w:r>
      <w:r w:rsidR="00F105CF">
        <w:rPr>
          <w:rFonts w:cs="Times New Roman"/>
          <w:szCs w:val="24"/>
        </w:rPr>
        <w:t xml:space="preserve">  </w:t>
      </w:r>
      <w:r w:rsidR="00FE5259">
        <w:rPr>
          <w:rFonts w:cs="Times New Roman"/>
          <w:szCs w:val="24"/>
        </w:rPr>
        <w:t>TSA may issue an SD when TSA determines that additional security measures are necessary to respond to specific threat or intelligence information. Repair stations must adopt each SD issued by TSA within the timeframe established by the SD. TSA will determine compliance with the requirements of an SD, which may include recordkeeping requirements, when conducting inspections.</w:t>
      </w:r>
    </w:p>
    <w:p w:rsidR="00F105CF" w:rsidRDefault="00F105CF" w:rsidP="00F105CF">
      <w:pPr>
        <w:numPr>
          <w:ilvl w:val="12"/>
          <w:numId w:val="0"/>
        </w:numPr>
        <w:ind w:left="360"/>
        <w:rPr>
          <w:rFonts w:cs="Times New Roman"/>
          <w:szCs w:val="24"/>
        </w:rPr>
      </w:pPr>
    </w:p>
    <w:p w:rsidR="00F105CF" w:rsidRDefault="00F105CF" w:rsidP="009A176C">
      <w:pPr>
        <w:numPr>
          <w:ilvl w:val="12"/>
          <w:numId w:val="0"/>
        </w:numPr>
        <w:ind w:left="360"/>
        <w:rPr>
          <w:rFonts w:cs="Times New Roman"/>
          <w:szCs w:val="24"/>
        </w:rPr>
      </w:pPr>
      <w:r>
        <w:rPr>
          <w:rFonts w:cs="Times New Roman"/>
          <w:szCs w:val="24"/>
        </w:rPr>
        <w:t>A</w:t>
      </w:r>
      <w:r w:rsidR="009A176C">
        <w:rPr>
          <w:rFonts w:cs="Times New Roman"/>
          <w:szCs w:val="24"/>
        </w:rPr>
        <w:t>ircraft repair stations</w:t>
      </w:r>
      <w:r w:rsidR="009A176C" w:rsidRPr="009C3F3D">
        <w:rPr>
          <w:rFonts w:cs="Times New Roman"/>
          <w:szCs w:val="24"/>
        </w:rPr>
        <w:t xml:space="preserve"> </w:t>
      </w:r>
      <w:r w:rsidR="004A63F9" w:rsidRPr="00551405">
        <w:rPr>
          <w:rFonts w:cs="Times New Roman"/>
          <w:szCs w:val="24"/>
        </w:rPr>
        <w:t>located on or adjacent to an airport</w:t>
      </w:r>
      <w:r w:rsidR="007F4109">
        <w:rPr>
          <w:rStyle w:val="FootnoteReference"/>
          <w:rFonts w:cs="Times New Roman"/>
          <w:szCs w:val="24"/>
        </w:rPr>
        <w:footnoteReference w:id="3"/>
      </w:r>
      <w:r w:rsidR="004A63F9" w:rsidRPr="00551405">
        <w:rPr>
          <w:rFonts w:cs="Times New Roman"/>
          <w:szCs w:val="24"/>
        </w:rPr>
        <w:t xml:space="preserve"> </w:t>
      </w:r>
      <w:r w:rsidR="009A176C">
        <w:rPr>
          <w:rFonts w:cs="Times New Roman"/>
          <w:szCs w:val="24"/>
        </w:rPr>
        <w:t xml:space="preserve">are </w:t>
      </w:r>
      <w:r>
        <w:rPr>
          <w:rFonts w:cs="Times New Roman"/>
          <w:szCs w:val="24"/>
        </w:rPr>
        <w:t xml:space="preserve">also </w:t>
      </w:r>
      <w:r w:rsidR="00583133">
        <w:rPr>
          <w:rFonts w:cs="Times New Roman"/>
          <w:szCs w:val="24"/>
        </w:rPr>
        <w:t>required</w:t>
      </w:r>
      <w:r w:rsidR="009A176C" w:rsidRPr="009C3F3D">
        <w:rPr>
          <w:rFonts w:cs="Times New Roman"/>
          <w:szCs w:val="24"/>
        </w:rPr>
        <w:t xml:space="preserve"> to </w:t>
      </w:r>
      <w:r w:rsidR="00B36D9C">
        <w:rPr>
          <w:rFonts w:cs="Times New Roman"/>
          <w:szCs w:val="24"/>
        </w:rPr>
        <w:t xml:space="preserve">implement security measures to prevent the unauthorized </w:t>
      </w:r>
      <w:r w:rsidR="00CA37E7">
        <w:rPr>
          <w:rFonts w:cs="Times New Roman"/>
          <w:szCs w:val="24"/>
        </w:rPr>
        <w:t>operation</w:t>
      </w:r>
      <w:r w:rsidR="00B36D9C">
        <w:rPr>
          <w:rFonts w:cs="Times New Roman"/>
          <w:szCs w:val="24"/>
        </w:rPr>
        <w:t xml:space="preserve"> of large aircraft capable of flight</w:t>
      </w:r>
      <w:r w:rsidR="008174F9">
        <w:rPr>
          <w:rFonts w:cs="Times New Roman"/>
          <w:szCs w:val="24"/>
        </w:rPr>
        <w:t xml:space="preserve"> that are left unattended</w:t>
      </w:r>
      <w:r w:rsidR="00CA37E7">
        <w:rPr>
          <w:rFonts w:cs="Times New Roman"/>
          <w:szCs w:val="24"/>
        </w:rPr>
        <w:t xml:space="preserve"> and designate an individual to be the TSA point of contact and be responsible for compliance</w:t>
      </w:r>
      <w:r w:rsidR="009A176C">
        <w:rPr>
          <w:rFonts w:cs="Times New Roman"/>
          <w:szCs w:val="24"/>
        </w:rPr>
        <w:t>.</w:t>
      </w:r>
      <w:r w:rsidR="00CA37E7">
        <w:rPr>
          <w:rFonts w:cs="Times New Roman"/>
          <w:szCs w:val="24"/>
        </w:rPr>
        <w:t xml:space="preserve">  </w:t>
      </w:r>
      <w:r w:rsidR="00551405">
        <w:rPr>
          <w:rFonts w:cs="Times New Roman"/>
          <w:szCs w:val="24"/>
        </w:rPr>
        <w:t xml:space="preserve">These </w:t>
      </w:r>
      <w:r w:rsidR="00CA37E7">
        <w:rPr>
          <w:rFonts w:cs="Times New Roman"/>
          <w:szCs w:val="24"/>
        </w:rPr>
        <w:t>repair stations will also be required to maintain</w:t>
      </w:r>
      <w:r w:rsidR="008174F9">
        <w:rPr>
          <w:rFonts w:cs="Times New Roman"/>
          <w:szCs w:val="24"/>
        </w:rPr>
        <w:t xml:space="preserve"> </w:t>
      </w:r>
      <w:r w:rsidR="008174F9">
        <w:rPr>
          <w:rFonts w:cs="Times New Roman"/>
          <w:szCs w:val="24"/>
        </w:rPr>
        <w:lastRenderedPageBreak/>
        <w:t>employment history records</w:t>
      </w:r>
      <w:r w:rsidR="0093361B">
        <w:rPr>
          <w:rFonts w:cs="Times New Roman"/>
          <w:szCs w:val="24"/>
        </w:rPr>
        <w:t xml:space="preserve"> if used as the means to verify employee background information</w:t>
      </w:r>
      <w:r w:rsidR="008174F9">
        <w:rPr>
          <w:rFonts w:cs="Times New Roman"/>
          <w:szCs w:val="24"/>
        </w:rPr>
        <w:t xml:space="preserve">. </w:t>
      </w:r>
      <w:r w:rsidR="009A176C">
        <w:rPr>
          <w:rFonts w:cs="Times New Roman"/>
          <w:szCs w:val="24"/>
        </w:rPr>
        <w:t xml:space="preserve"> </w:t>
      </w:r>
    </w:p>
    <w:p w:rsidR="00F760A3" w:rsidRDefault="00F760A3" w:rsidP="00FE5259">
      <w:pPr>
        <w:numPr>
          <w:ilvl w:val="12"/>
          <w:numId w:val="0"/>
        </w:numPr>
        <w:ind w:left="360"/>
        <w:rPr>
          <w:rFonts w:cs="Times New Roman"/>
          <w:szCs w:val="24"/>
        </w:rPr>
      </w:pPr>
    </w:p>
    <w:p w:rsidR="00FE5259" w:rsidRDefault="00F105CF" w:rsidP="00FE5259">
      <w:pPr>
        <w:numPr>
          <w:ilvl w:val="12"/>
          <w:numId w:val="0"/>
        </w:numPr>
        <w:ind w:left="360"/>
        <w:rPr>
          <w:rFonts w:cs="Times New Roman"/>
          <w:szCs w:val="24"/>
        </w:rPr>
      </w:pPr>
      <w:r>
        <w:rPr>
          <w:rFonts w:cs="Times New Roman"/>
          <w:szCs w:val="24"/>
        </w:rPr>
        <w:t xml:space="preserve">As a general practice, TSA does not intend to conduct regular inspections of </w:t>
      </w:r>
      <w:r w:rsidR="00551405" w:rsidRPr="00551405">
        <w:rPr>
          <w:rFonts w:cs="Times New Roman"/>
          <w:szCs w:val="24"/>
        </w:rPr>
        <w:t>repair stations not located on or adjacent to an airport</w:t>
      </w:r>
      <w:r>
        <w:rPr>
          <w:rFonts w:cs="Times New Roman"/>
          <w:szCs w:val="24"/>
        </w:rPr>
        <w:t xml:space="preserve"> </w:t>
      </w:r>
      <w:r w:rsidR="00551405" w:rsidRPr="00551405">
        <w:rPr>
          <w:rFonts w:cs="Times New Roman"/>
          <w:szCs w:val="24"/>
        </w:rPr>
        <w:t xml:space="preserve">except </w:t>
      </w:r>
      <w:r w:rsidR="005841AA" w:rsidRPr="005841AA">
        <w:rPr>
          <w:rFonts w:cs="Times New Roman"/>
          <w:szCs w:val="24"/>
        </w:rPr>
        <w:t xml:space="preserve">as necessary to comply with the requirement in 49 U.S.C. 44924 to conduct a security audit of all </w:t>
      </w:r>
      <w:r>
        <w:rPr>
          <w:rFonts w:cs="Times New Roman"/>
          <w:szCs w:val="24"/>
        </w:rPr>
        <w:t>covered</w:t>
      </w:r>
      <w:r w:rsidR="005841AA" w:rsidRPr="005841AA">
        <w:rPr>
          <w:rFonts w:cs="Times New Roman"/>
          <w:szCs w:val="24"/>
        </w:rPr>
        <w:t xml:space="preserve"> repair stations located outside the U.S.</w:t>
      </w:r>
      <w:r>
        <w:rPr>
          <w:rFonts w:cs="Times New Roman"/>
          <w:szCs w:val="24"/>
        </w:rPr>
        <w:t xml:space="preserve"> for the purpose of evaluating </w:t>
      </w:r>
      <w:r w:rsidR="005841AA" w:rsidRPr="005841AA">
        <w:rPr>
          <w:rFonts w:cs="Times New Roman"/>
          <w:szCs w:val="24"/>
        </w:rPr>
        <w:t xml:space="preserve">security risks as conditions warrant, and, in the event that TSA issues a </w:t>
      </w:r>
      <w:r w:rsidR="008361C7">
        <w:rPr>
          <w:rFonts w:cs="Times New Roman"/>
          <w:szCs w:val="24"/>
        </w:rPr>
        <w:t>S</w:t>
      </w:r>
      <w:r w:rsidR="005841AA" w:rsidRPr="005841AA">
        <w:rPr>
          <w:rFonts w:cs="Times New Roman"/>
          <w:szCs w:val="24"/>
        </w:rPr>
        <w:t xml:space="preserve">ecurity </w:t>
      </w:r>
      <w:r w:rsidR="008361C7">
        <w:rPr>
          <w:rFonts w:cs="Times New Roman"/>
          <w:szCs w:val="24"/>
        </w:rPr>
        <w:t>D</w:t>
      </w:r>
      <w:r w:rsidR="005841AA" w:rsidRPr="005841AA">
        <w:rPr>
          <w:rFonts w:cs="Times New Roman"/>
          <w:szCs w:val="24"/>
        </w:rPr>
        <w:t>irective</w:t>
      </w:r>
      <w:r w:rsidR="0082387E">
        <w:rPr>
          <w:rFonts w:cs="Times New Roman"/>
          <w:szCs w:val="24"/>
        </w:rPr>
        <w:t xml:space="preserve"> (SD)</w:t>
      </w:r>
      <w:r w:rsidR="005841AA" w:rsidRPr="005841AA">
        <w:rPr>
          <w:rFonts w:cs="Times New Roman"/>
          <w:szCs w:val="24"/>
        </w:rPr>
        <w:t xml:space="preserve"> to such a repair station, for compliance with </w:t>
      </w:r>
      <w:r w:rsidR="000166E4">
        <w:rPr>
          <w:rFonts w:cs="Times New Roman"/>
          <w:szCs w:val="24"/>
        </w:rPr>
        <w:t xml:space="preserve">the </w:t>
      </w:r>
      <w:r w:rsidR="008361C7">
        <w:rPr>
          <w:rFonts w:cs="Times New Roman"/>
          <w:szCs w:val="24"/>
        </w:rPr>
        <w:t>SD</w:t>
      </w:r>
      <w:r w:rsidR="005841AA">
        <w:rPr>
          <w:rFonts w:cs="Times New Roman"/>
          <w:szCs w:val="24"/>
        </w:rPr>
        <w:t>.</w:t>
      </w:r>
      <w:r w:rsidR="008361C7">
        <w:rPr>
          <w:rFonts w:cs="Times New Roman"/>
          <w:szCs w:val="24"/>
        </w:rPr>
        <w:t xml:space="preserve"> </w:t>
      </w:r>
      <w:r w:rsidR="00FE5259">
        <w:rPr>
          <w:rFonts w:cs="Times New Roman"/>
          <w:szCs w:val="24"/>
        </w:rPr>
        <w:t xml:space="preserve"> </w:t>
      </w:r>
      <w:r w:rsidR="00FE5259">
        <w:rPr>
          <w:rFonts w:cs="Times New Roman"/>
          <w:bCs/>
          <w:szCs w:val="24"/>
        </w:rPr>
        <w:t xml:space="preserve">As required by the statute TSA has completed </w:t>
      </w:r>
      <w:r w:rsidR="00FE5259" w:rsidRPr="00F512B0">
        <w:rPr>
          <w:rFonts w:cs="Times New Roman"/>
          <w:bCs/>
          <w:szCs w:val="24"/>
        </w:rPr>
        <w:t xml:space="preserve">a security review and audit of 707 repair stations outside the U.S.  There is no further requirement </w:t>
      </w:r>
      <w:r w:rsidR="00FE5259">
        <w:rPr>
          <w:rFonts w:cs="Times New Roman"/>
          <w:bCs/>
          <w:szCs w:val="24"/>
        </w:rPr>
        <w:t>in</w:t>
      </w:r>
      <w:r w:rsidR="00FE5259" w:rsidRPr="00F512B0">
        <w:rPr>
          <w:rFonts w:cs="Times New Roman"/>
          <w:bCs/>
          <w:szCs w:val="24"/>
        </w:rPr>
        <w:t xml:space="preserve"> the regulations to perform these audits.</w:t>
      </w:r>
      <w:r w:rsidR="00C32685">
        <w:rPr>
          <w:rFonts w:cs="Times New Roman"/>
          <w:bCs/>
          <w:szCs w:val="24"/>
        </w:rPr>
        <w:t xml:space="preserve">  </w:t>
      </w:r>
      <w:r w:rsidR="00C32685" w:rsidRPr="00F760A3">
        <w:rPr>
          <w:rFonts w:cs="Times New Roman"/>
          <w:bCs/>
          <w:szCs w:val="24"/>
          <w:u w:val="single"/>
        </w:rPr>
        <w:t>See</w:t>
      </w:r>
      <w:r w:rsidR="00C32685">
        <w:rPr>
          <w:rFonts w:cs="Times New Roman"/>
          <w:bCs/>
          <w:szCs w:val="24"/>
        </w:rPr>
        <w:t xml:space="preserve"> OMB control number 1652-0060 Aircraft Repair Station Security and 49 U.S.C. 44924(a).</w:t>
      </w:r>
    </w:p>
    <w:p w:rsidR="009A176C" w:rsidRDefault="001C72EC" w:rsidP="00BD2E87">
      <w:pPr>
        <w:numPr>
          <w:ilvl w:val="12"/>
          <w:numId w:val="0"/>
        </w:numPr>
        <w:tabs>
          <w:tab w:val="left" w:pos="6363"/>
        </w:tabs>
        <w:ind w:left="360"/>
        <w:rPr>
          <w:rFonts w:cs="Times New Roman"/>
          <w:szCs w:val="24"/>
        </w:rPr>
      </w:pPr>
      <w:r>
        <w:rPr>
          <w:rFonts w:cs="Times New Roman"/>
          <w:szCs w:val="24"/>
        </w:rPr>
        <w:tab/>
      </w:r>
    </w:p>
    <w:p w:rsidR="00E569D8" w:rsidRPr="004F6521" w:rsidRDefault="009A176C" w:rsidP="00BD2E87">
      <w:pPr>
        <w:numPr>
          <w:ilvl w:val="12"/>
          <w:numId w:val="0"/>
        </w:numPr>
        <w:ind w:left="360"/>
        <w:rPr>
          <w:rFonts w:cs="Times New Roman"/>
          <w:szCs w:val="24"/>
        </w:rPr>
      </w:pPr>
      <w:r>
        <w:rPr>
          <w:rFonts w:cs="Times New Roman"/>
          <w:szCs w:val="24"/>
        </w:rPr>
        <w:t>TSA conduct</w:t>
      </w:r>
      <w:r w:rsidR="00470B98">
        <w:rPr>
          <w:rFonts w:cs="Times New Roman"/>
          <w:szCs w:val="24"/>
        </w:rPr>
        <w:t>s</w:t>
      </w:r>
      <w:r>
        <w:rPr>
          <w:rFonts w:cs="Times New Roman"/>
          <w:szCs w:val="24"/>
        </w:rPr>
        <w:t xml:space="preserve"> the following information collections:</w:t>
      </w:r>
    </w:p>
    <w:p w:rsidR="009A176C" w:rsidRDefault="009A176C" w:rsidP="009A176C">
      <w:pPr>
        <w:numPr>
          <w:ilvl w:val="12"/>
          <w:numId w:val="0"/>
        </w:numPr>
        <w:ind w:left="360"/>
        <w:rPr>
          <w:rFonts w:cs="Times New Roman"/>
          <w:szCs w:val="24"/>
        </w:rPr>
      </w:pPr>
    </w:p>
    <w:p w:rsidR="00090225" w:rsidRDefault="009A176C" w:rsidP="00090225">
      <w:pPr>
        <w:pStyle w:val="ListParagraph"/>
        <w:numPr>
          <w:ilvl w:val="0"/>
          <w:numId w:val="24"/>
        </w:numPr>
        <w:rPr>
          <w:rFonts w:cs="Times New Roman"/>
          <w:szCs w:val="24"/>
        </w:rPr>
      </w:pPr>
      <w:r>
        <w:rPr>
          <w:rFonts w:cs="Times New Roman"/>
          <w:b/>
          <w:szCs w:val="24"/>
        </w:rPr>
        <w:t>Recordkeeping.</w:t>
      </w:r>
      <w:r>
        <w:rPr>
          <w:rFonts w:cs="Times New Roman"/>
          <w:szCs w:val="24"/>
        </w:rPr>
        <w:t xml:space="preserve"> </w:t>
      </w:r>
      <w:r w:rsidR="00FE5259">
        <w:rPr>
          <w:rFonts w:cs="Times New Roman"/>
          <w:szCs w:val="24"/>
        </w:rPr>
        <w:t>Under 49 CFR § 1554.3, r</w:t>
      </w:r>
      <w:r>
        <w:rPr>
          <w:rFonts w:cs="Times New Roman"/>
          <w:szCs w:val="24"/>
        </w:rPr>
        <w:t>epair station</w:t>
      </w:r>
      <w:r w:rsidR="00FB01D0">
        <w:rPr>
          <w:rFonts w:cs="Times New Roman"/>
          <w:szCs w:val="24"/>
        </w:rPr>
        <w:t>s</w:t>
      </w:r>
      <w:r>
        <w:rPr>
          <w:rFonts w:cs="Times New Roman"/>
          <w:szCs w:val="24"/>
        </w:rPr>
        <w:t xml:space="preserve"> </w:t>
      </w:r>
      <w:r w:rsidR="00FB01D0">
        <w:rPr>
          <w:rFonts w:cs="Times New Roman"/>
          <w:szCs w:val="24"/>
        </w:rPr>
        <w:t>that verify employee background information using employment history will be</w:t>
      </w:r>
      <w:r>
        <w:rPr>
          <w:rFonts w:cs="Times New Roman"/>
          <w:szCs w:val="24"/>
        </w:rPr>
        <w:t xml:space="preserve"> required to maintain </w:t>
      </w:r>
      <w:r w:rsidR="00031D71">
        <w:rPr>
          <w:rFonts w:cs="Times New Roman"/>
          <w:szCs w:val="24"/>
        </w:rPr>
        <w:t>employment history records and other records to demonstrate compliance with the security</w:t>
      </w:r>
      <w:r w:rsidR="00BD2E87">
        <w:rPr>
          <w:rFonts w:cs="Times New Roman"/>
          <w:szCs w:val="24"/>
        </w:rPr>
        <w:t xml:space="preserve"> </w:t>
      </w:r>
      <w:r w:rsidR="00031D71">
        <w:rPr>
          <w:rFonts w:cs="Times New Roman"/>
          <w:szCs w:val="24"/>
        </w:rPr>
        <w:t>measures</w:t>
      </w:r>
      <w:r w:rsidR="00BD2E87" w:rsidRPr="00BD2E87">
        <w:rPr>
          <w:rFonts w:cs="Times New Roman"/>
          <w:szCs w:val="24"/>
        </w:rPr>
        <w:t xml:space="preserve"> </w:t>
      </w:r>
      <w:r w:rsidR="00BD2E87">
        <w:rPr>
          <w:rFonts w:cs="Times New Roman"/>
          <w:szCs w:val="24"/>
        </w:rPr>
        <w:t>and directives</w:t>
      </w:r>
      <w:r w:rsidR="00031D71">
        <w:rPr>
          <w:rFonts w:cs="Times New Roman"/>
          <w:szCs w:val="24"/>
        </w:rPr>
        <w:t>, and make the records available for inspection by TSA upon request.</w:t>
      </w:r>
      <w:r w:rsidR="00FE5259">
        <w:rPr>
          <w:rFonts w:cs="Times New Roman"/>
          <w:szCs w:val="24"/>
        </w:rPr>
        <w:t xml:space="preserve">  </w:t>
      </w:r>
    </w:p>
    <w:p w:rsidR="00E569D8" w:rsidRPr="00034770" w:rsidRDefault="00E569D8" w:rsidP="00BD2E87">
      <w:pPr>
        <w:rPr>
          <w:b/>
        </w:rPr>
      </w:pPr>
    </w:p>
    <w:p w:rsidR="00090225" w:rsidRPr="00D96F89" w:rsidRDefault="00E569D8" w:rsidP="00090225">
      <w:pPr>
        <w:pStyle w:val="ListParagraph"/>
        <w:numPr>
          <w:ilvl w:val="0"/>
          <w:numId w:val="24"/>
        </w:numPr>
        <w:rPr>
          <w:rFonts w:cs="Times New Roman"/>
          <w:szCs w:val="24"/>
        </w:rPr>
      </w:pPr>
      <w:r>
        <w:rPr>
          <w:rFonts w:cs="Times New Roman"/>
          <w:b/>
          <w:szCs w:val="24"/>
        </w:rPr>
        <w:t xml:space="preserve"> Petition for Reconsideration</w:t>
      </w:r>
      <w:r w:rsidR="00FE5259">
        <w:rPr>
          <w:rFonts w:cs="Times New Roman"/>
          <w:b/>
          <w:szCs w:val="24"/>
        </w:rPr>
        <w:t>.</w:t>
      </w:r>
      <w:r w:rsidR="00B03343" w:rsidRPr="002942A4">
        <w:rPr>
          <w:rFonts w:cs="Times New Roman"/>
          <w:b/>
          <w:szCs w:val="24"/>
        </w:rPr>
        <w:t xml:space="preserve"> </w:t>
      </w:r>
      <w:r w:rsidR="00B03343" w:rsidRPr="002942A4">
        <w:rPr>
          <w:rFonts w:cs="Times New Roman"/>
          <w:szCs w:val="24"/>
        </w:rPr>
        <w:t xml:space="preserve">TSA has established procedures </w:t>
      </w:r>
      <w:r w:rsidR="00FE5259">
        <w:rPr>
          <w:rFonts w:cs="Times New Roman"/>
          <w:szCs w:val="24"/>
        </w:rPr>
        <w:t>for</w:t>
      </w:r>
      <w:r w:rsidR="00FE5259" w:rsidRPr="002942A4">
        <w:rPr>
          <w:rFonts w:cs="Times New Roman"/>
          <w:szCs w:val="24"/>
        </w:rPr>
        <w:t xml:space="preserve"> </w:t>
      </w:r>
      <w:r w:rsidR="00B03343" w:rsidRPr="002942A4">
        <w:rPr>
          <w:rFonts w:cs="Times New Roman"/>
          <w:szCs w:val="24"/>
        </w:rPr>
        <w:t xml:space="preserve">a repair station operator or owner </w:t>
      </w:r>
      <w:r w:rsidR="00FE5259">
        <w:rPr>
          <w:rFonts w:cs="Times New Roman"/>
          <w:szCs w:val="24"/>
        </w:rPr>
        <w:t>to</w:t>
      </w:r>
      <w:r w:rsidR="00FE5259" w:rsidRPr="002942A4">
        <w:rPr>
          <w:rFonts w:cs="Times New Roman"/>
          <w:szCs w:val="24"/>
        </w:rPr>
        <w:t xml:space="preserve"> </w:t>
      </w:r>
      <w:r w:rsidR="00B03343" w:rsidRPr="002942A4">
        <w:rPr>
          <w:rFonts w:cs="Times New Roman"/>
          <w:szCs w:val="24"/>
        </w:rPr>
        <w:t xml:space="preserve">request reconsideration of a determination that its certificate must be suspended or revoked. </w:t>
      </w:r>
      <w:r w:rsidR="00B03343" w:rsidRPr="002942A4">
        <w:rPr>
          <w:rFonts w:cs="Times New Roman"/>
          <w:bCs/>
          <w:szCs w:val="24"/>
        </w:rPr>
        <w:t xml:space="preserve">The petition must be in writing, in English, signed by the repair station operator or owner, and follow the procedures in </w:t>
      </w:r>
      <w:r w:rsidR="00FE5259">
        <w:rPr>
          <w:rFonts w:cs="Times New Roman"/>
          <w:bCs/>
          <w:szCs w:val="24"/>
        </w:rPr>
        <w:t xml:space="preserve">49 CFR </w:t>
      </w:r>
      <w:r w:rsidR="00B03343" w:rsidRPr="002942A4">
        <w:rPr>
          <w:rFonts w:cs="Times New Roman"/>
          <w:bCs/>
          <w:szCs w:val="24"/>
        </w:rPr>
        <w:t>§ 155</w:t>
      </w:r>
      <w:r w:rsidR="00FE5259">
        <w:rPr>
          <w:rFonts w:cs="Times New Roman"/>
          <w:bCs/>
          <w:szCs w:val="24"/>
        </w:rPr>
        <w:t>4</w:t>
      </w:r>
      <w:r w:rsidR="00B03343" w:rsidRPr="002942A4">
        <w:rPr>
          <w:rFonts w:cs="Times New Roman"/>
          <w:bCs/>
          <w:szCs w:val="24"/>
        </w:rPr>
        <w:t>.201 and § 155</w:t>
      </w:r>
      <w:r w:rsidR="00FE5259">
        <w:rPr>
          <w:rFonts w:cs="Times New Roman"/>
          <w:bCs/>
          <w:szCs w:val="24"/>
        </w:rPr>
        <w:t>4</w:t>
      </w:r>
      <w:r w:rsidR="00B03343" w:rsidRPr="002942A4">
        <w:rPr>
          <w:rFonts w:cs="Times New Roman"/>
          <w:bCs/>
          <w:szCs w:val="24"/>
        </w:rPr>
        <w:t>.203.</w:t>
      </w:r>
    </w:p>
    <w:p w:rsidR="009A176C" w:rsidRDefault="009A176C" w:rsidP="00B86EA5">
      <w:pPr>
        <w:numPr>
          <w:ilvl w:val="12"/>
          <w:numId w:val="0"/>
        </w:numPr>
      </w:pPr>
    </w:p>
    <w:p w:rsidR="009A176C" w:rsidRDefault="009A176C" w:rsidP="009A176C">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A176C" w:rsidRDefault="009A176C" w:rsidP="009A176C">
      <w:pPr>
        <w:numPr>
          <w:ilvl w:val="12"/>
          <w:numId w:val="0"/>
        </w:numPr>
        <w:rPr>
          <w:rFonts w:cs="Times New Roman"/>
          <w:szCs w:val="24"/>
        </w:rPr>
      </w:pPr>
    </w:p>
    <w:p w:rsidR="00AC70A3" w:rsidRDefault="00FE5259" w:rsidP="009A176C">
      <w:pPr>
        <w:numPr>
          <w:ilvl w:val="12"/>
          <w:numId w:val="0"/>
        </w:numPr>
        <w:ind w:left="360"/>
        <w:rPr>
          <w:rFonts w:cs="Times New Roman"/>
          <w:szCs w:val="24"/>
        </w:rPr>
      </w:pPr>
      <w:r>
        <w:rPr>
          <w:rFonts w:cs="Times New Roman"/>
          <w:szCs w:val="24"/>
        </w:rPr>
        <w:t xml:space="preserve">As necessary to ensure compliance with 49 CFR part 1554, </w:t>
      </w:r>
      <w:r w:rsidR="00031D71">
        <w:rPr>
          <w:rFonts w:cs="Times New Roman"/>
          <w:szCs w:val="24"/>
        </w:rPr>
        <w:t>TSA will review the</w:t>
      </w:r>
      <w:r w:rsidR="00AC70A3">
        <w:rPr>
          <w:rFonts w:cs="Times New Roman"/>
          <w:szCs w:val="24"/>
        </w:rPr>
        <w:t xml:space="preserve"> employment history records</w:t>
      </w:r>
      <w:r w:rsidR="0041159F">
        <w:rPr>
          <w:rFonts w:cs="Times New Roman"/>
          <w:szCs w:val="24"/>
        </w:rPr>
        <w:t xml:space="preserve"> and other records</w:t>
      </w:r>
      <w:r w:rsidR="00AC70A3">
        <w:rPr>
          <w:rFonts w:cs="Times New Roman"/>
          <w:szCs w:val="24"/>
        </w:rPr>
        <w:t xml:space="preserve"> </w:t>
      </w:r>
      <w:r>
        <w:rPr>
          <w:rFonts w:cs="Times New Roman"/>
          <w:szCs w:val="24"/>
        </w:rPr>
        <w:t xml:space="preserve">related to </w:t>
      </w:r>
      <w:r w:rsidR="002F3A2F">
        <w:rPr>
          <w:rFonts w:cs="Times New Roman"/>
          <w:szCs w:val="24"/>
        </w:rPr>
        <w:t>security directives</w:t>
      </w:r>
      <w:r w:rsidR="00FB01D0">
        <w:rPr>
          <w:rFonts w:cs="Times New Roman"/>
          <w:szCs w:val="24"/>
        </w:rPr>
        <w:t>.</w:t>
      </w:r>
      <w:r w:rsidR="00AC70A3" w:rsidDel="00AC70A3">
        <w:rPr>
          <w:rFonts w:cs="Times New Roman"/>
          <w:szCs w:val="24"/>
        </w:rPr>
        <w:t xml:space="preserve"> </w:t>
      </w:r>
    </w:p>
    <w:p w:rsidR="001912B0" w:rsidRDefault="001912B0" w:rsidP="009A176C">
      <w:pPr>
        <w:numPr>
          <w:ilvl w:val="12"/>
          <w:numId w:val="0"/>
        </w:numPr>
        <w:ind w:left="360"/>
        <w:rPr>
          <w:rFonts w:cs="Times New Roman"/>
          <w:szCs w:val="24"/>
        </w:rPr>
      </w:pPr>
    </w:p>
    <w:p w:rsidR="001912B0" w:rsidRDefault="001912B0" w:rsidP="009A176C">
      <w:pPr>
        <w:numPr>
          <w:ilvl w:val="12"/>
          <w:numId w:val="0"/>
        </w:numPr>
        <w:ind w:left="360"/>
        <w:rPr>
          <w:rFonts w:cs="Times New Roman"/>
          <w:bCs/>
          <w:szCs w:val="24"/>
        </w:rPr>
      </w:pPr>
      <w:r>
        <w:rPr>
          <w:rFonts w:cs="Times New Roman"/>
          <w:szCs w:val="24"/>
        </w:rPr>
        <w:t>The</w:t>
      </w:r>
      <w:r w:rsidRPr="001912B0">
        <w:rPr>
          <w:rFonts w:cs="Times New Roman"/>
          <w:szCs w:val="24"/>
        </w:rPr>
        <w:t xml:space="preserve"> TSA Administrator</w:t>
      </w:r>
      <w:r>
        <w:rPr>
          <w:rFonts w:cs="Times New Roman"/>
          <w:szCs w:val="24"/>
        </w:rPr>
        <w:t xml:space="preserve"> will review </w:t>
      </w:r>
      <w:r w:rsidR="00FE5259">
        <w:rPr>
          <w:rFonts w:cs="Times New Roman"/>
          <w:szCs w:val="24"/>
        </w:rPr>
        <w:t xml:space="preserve">information submitted as part of </w:t>
      </w:r>
      <w:r>
        <w:rPr>
          <w:rFonts w:cs="Times New Roman"/>
          <w:szCs w:val="24"/>
        </w:rPr>
        <w:t>a</w:t>
      </w:r>
      <w:r w:rsidR="00B03343" w:rsidRPr="002942A4">
        <w:rPr>
          <w:rFonts w:cs="Times New Roman"/>
          <w:szCs w:val="24"/>
        </w:rPr>
        <w:t xml:space="preserve"> petition for reconsideration of a determination that a repair station certificate must be suspended or revoked </w:t>
      </w:r>
      <w:r w:rsidR="00FE5259">
        <w:rPr>
          <w:rFonts w:cs="Times New Roman"/>
          <w:szCs w:val="24"/>
        </w:rPr>
        <w:t>before</w:t>
      </w:r>
      <w:r w:rsidR="00B03343" w:rsidRPr="002942A4">
        <w:rPr>
          <w:rFonts w:cs="Times New Roman"/>
          <w:szCs w:val="24"/>
        </w:rPr>
        <w:t xml:space="preserve"> issuing a final agency order. The TSA Administrator will </w:t>
      </w:r>
      <w:r w:rsidR="00B03343" w:rsidRPr="002942A4">
        <w:rPr>
          <w:rFonts w:cs="Times New Roman"/>
          <w:bCs/>
          <w:szCs w:val="24"/>
        </w:rPr>
        <w:t>either direct the TSA</w:t>
      </w:r>
      <w:r w:rsidR="00CB3780" w:rsidRPr="002942A4">
        <w:rPr>
          <w:rFonts w:cs="Times New Roman"/>
          <w:bCs/>
          <w:szCs w:val="24"/>
        </w:rPr>
        <w:t>-</w:t>
      </w:r>
      <w:r w:rsidR="00B03343" w:rsidRPr="002942A4">
        <w:rPr>
          <w:rFonts w:cs="Times New Roman"/>
          <w:bCs/>
          <w:szCs w:val="24"/>
        </w:rPr>
        <w:t>designated official to notify FAA and the repair station that the determination is rescinded and the certificate may be reinstated or affirm the determination.</w:t>
      </w:r>
      <w:r w:rsidR="00621F8E">
        <w:rPr>
          <w:rFonts w:cs="Times New Roman"/>
          <w:bCs/>
          <w:szCs w:val="24"/>
        </w:rPr>
        <w:t xml:space="preserve">  </w:t>
      </w:r>
    </w:p>
    <w:p w:rsidR="001912B0" w:rsidRDefault="001912B0" w:rsidP="009A176C">
      <w:pPr>
        <w:numPr>
          <w:ilvl w:val="12"/>
          <w:numId w:val="0"/>
        </w:numPr>
        <w:ind w:left="360"/>
        <w:rPr>
          <w:rFonts w:cs="Times New Roman"/>
          <w:bCs/>
          <w:szCs w:val="24"/>
        </w:rPr>
      </w:pPr>
    </w:p>
    <w:p w:rsidR="009A176C" w:rsidRDefault="009A176C" w:rsidP="00CB3780">
      <w:pPr>
        <w:numPr>
          <w:ilvl w:val="12"/>
          <w:numId w:val="0"/>
        </w:numPr>
        <w:ind w:left="360"/>
      </w:pPr>
    </w:p>
    <w:p w:rsidR="009A176C" w:rsidRDefault="009A176C" w:rsidP="009A176C">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w:t>
      </w:r>
      <w:r>
        <w:rPr>
          <w:b/>
          <w:i/>
          <w:snapToGrid w:val="0"/>
        </w:rPr>
        <w:lastRenderedPageBreak/>
        <w:t>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513B4F" w:rsidRDefault="00513B4F" w:rsidP="00662E7F">
      <w:pPr>
        <w:numPr>
          <w:ilvl w:val="12"/>
          <w:numId w:val="0"/>
        </w:numPr>
      </w:pPr>
    </w:p>
    <w:p w:rsidR="009A176C" w:rsidRPr="00141916" w:rsidRDefault="009A176C" w:rsidP="009A176C">
      <w:pPr>
        <w:numPr>
          <w:ilvl w:val="12"/>
          <w:numId w:val="0"/>
        </w:numPr>
        <w:ind w:left="360"/>
        <w:rPr>
          <w:rFonts w:cs="Times New Roman"/>
          <w:szCs w:val="24"/>
        </w:rPr>
      </w:pPr>
      <w:r w:rsidRPr="00141916">
        <w:rPr>
          <w:rFonts w:cs="Times New Roman"/>
          <w:szCs w:val="24"/>
        </w:rPr>
        <w:t xml:space="preserve">This collection of information is in compliance with the Government Paperwork Elimination Act (GPEA - Pub. L. 105-277) in that </w:t>
      </w:r>
      <w:r>
        <w:rPr>
          <w:rFonts w:cs="Times New Roman"/>
          <w:szCs w:val="24"/>
        </w:rPr>
        <w:t>TSA will allow</w:t>
      </w:r>
      <w:r w:rsidRPr="00141916">
        <w:rPr>
          <w:rFonts w:cs="Times New Roman"/>
          <w:szCs w:val="24"/>
        </w:rPr>
        <w:t xml:space="preserve"> transmission of </w:t>
      </w:r>
      <w:r w:rsidR="0079575A">
        <w:rPr>
          <w:rFonts w:cs="Times New Roman"/>
          <w:szCs w:val="24"/>
        </w:rPr>
        <w:t xml:space="preserve">all </w:t>
      </w:r>
      <w:r w:rsidRPr="00141916">
        <w:rPr>
          <w:rFonts w:cs="Times New Roman"/>
          <w:szCs w:val="24"/>
        </w:rPr>
        <w:t>documents</w:t>
      </w:r>
      <w:r w:rsidR="00BE10E0">
        <w:rPr>
          <w:rFonts w:cs="Times New Roman"/>
          <w:szCs w:val="24"/>
        </w:rPr>
        <w:t xml:space="preserve"> via email</w:t>
      </w:r>
      <w:r w:rsidR="00B701D3">
        <w:rPr>
          <w:rFonts w:cs="Times New Roman"/>
          <w:szCs w:val="24"/>
        </w:rPr>
        <w:t xml:space="preserve">, </w:t>
      </w:r>
      <w:hyperlink r:id="rId14" w:history="1">
        <w:r w:rsidR="00B701D3" w:rsidRPr="00D439C7">
          <w:rPr>
            <w:rStyle w:val="Hyperlink"/>
            <w:rFonts w:cs="Times New Roman"/>
            <w:szCs w:val="24"/>
          </w:rPr>
          <w:t>ars@tsa.dhs.gov</w:t>
        </w:r>
      </w:hyperlink>
      <w:r w:rsidR="00B701D3">
        <w:rPr>
          <w:rFonts w:cs="Times New Roman"/>
          <w:szCs w:val="24"/>
        </w:rPr>
        <w:t xml:space="preserve"> (U. S.), </w:t>
      </w:r>
      <w:hyperlink r:id="rId15" w:history="1">
        <w:r w:rsidR="00B701D3" w:rsidRPr="00D439C7">
          <w:rPr>
            <w:rStyle w:val="Hyperlink"/>
            <w:rFonts w:cs="Times New Roman"/>
            <w:szCs w:val="24"/>
          </w:rPr>
          <w:t>frs@tsa.dhs.gov</w:t>
        </w:r>
      </w:hyperlink>
      <w:r w:rsidR="00B701D3">
        <w:rPr>
          <w:rFonts w:cs="Times New Roman"/>
          <w:szCs w:val="24"/>
        </w:rPr>
        <w:t xml:space="preserve"> (outside the U.S.)</w:t>
      </w:r>
      <w:r w:rsidR="00BE10E0">
        <w:rPr>
          <w:rFonts w:cs="Times New Roman"/>
          <w:szCs w:val="24"/>
        </w:rPr>
        <w:t xml:space="preserve"> or fax</w:t>
      </w:r>
      <w:r w:rsidR="00204DEB">
        <w:rPr>
          <w:rFonts w:cs="Times New Roman"/>
          <w:szCs w:val="24"/>
        </w:rPr>
        <w:t>,</w:t>
      </w:r>
      <w:r w:rsidR="00211964">
        <w:rPr>
          <w:rFonts w:cs="Times New Roman"/>
          <w:szCs w:val="24"/>
        </w:rPr>
        <w:t xml:space="preserve"> </w:t>
      </w:r>
      <w:r w:rsidR="00B701D3">
        <w:rPr>
          <w:rFonts w:cs="Times New Roman"/>
          <w:szCs w:val="24"/>
        </w:rPr>
        <w:t xml:space="preserve">703-603-4044, </w:t>
      </w:r>
      <w:r w:rsidRPr="00141916">
        <w:rPr>
          <w:rFonts w:cs="Times New Roman"/>
          <w:szCs w:val="24"/>
        </w:rPr>
        <w:t>an</w:t>
      </w:r>
      <w:r>
        <w:rPr>
          <w:rFonts w:cs="Times New Roman"/>
          <w:szCs w:val="24"/>
        </w:rPr>
        <w:t xml:space="preserve">d retention of </w:t>
      </w:r>
      <w:r w:rsidR="0079575A">
        <w:rPr>
          <w:rFonts w:cs="Times New Roman"/>
          <w:szCs w:val="24"/>
        </w:rPr>
        <w:t xml:space="preserve">all </w:t>
      </w:r>
      <w:r>
        <w:rPr>
          <w:rFonts w:cs="Times New Roman"/>
          <w:szCs w:val="24"/>
        </w:rPr>
        <w:t>records to</w:t>
      </w:r>
      <w:r w:rsidRPr="00141916">
        <w:rPr>
          <w:rFonts w:cs="Times New Roman"/>
          <w:szCs w:val="24"/>
        </w:rPr>
        <w:t xml:space="preserve"> be conducted electronically.</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A176C" w:rsidRDefault="009A176C" w:rsidP="009A176C">
      <w:pPr>
        <w:numPr>
          <w:ilvl w:val="12"/>
          <w:numId w:val="0"/>
        </w:numPr>
        <w:ind w:left="360"/>
      </w:pPr>
    </w:p>
    <w:p w:rsidR="009A176C" w:rsidRDefault="009A176C" w:rsidP="00CB3780">
      <w:pPr>
        <w:numPr>
          <w:ilvl w:val="12"/>
          <w:numId w:val="0"/>
        </w:numPr>
        <w:ind w:left="360"/>
      </w:pPr>
      <w:r>
        <w:rPr>
          <w:rFonts w:cs="Times New Roman"/>
          <w:szCs w:val="24"/>
        </w:rPr>
        <w:t xml:space="preserve">The requirement to </w:t>
      </w:r>
      <w:r w:rsidR="00AC70A3">
        <w:rPr>
          <w:rFonts w:cs="Times New Roman"/>
          <w:szCs w:val="24"/>
        </w:rPr>
        <w:t>implement security measures</w:t>
      </w:r>
      <w:r w:rsidR="0079575A">
        <w:rPr>
          <w:rFonts w:cs="Times New Roman"/>
          <w:szCs w:val="24"/>
        </w:rPr>
        <w:t>,</w:t>
      </w:r>
      <w:r w:rsidR="00F512B0">
        <w:rPr>
          <w:rFonts w:cs="Times New Roman"/>
          <w:szCs w:val="24"/>
        </w:rPr>
        <w:t xml:space="preserve"> comply with</w:t>
      </w:r>
      <w:r w:rsidR="0041159F">
        <w:rPr>
          <w:rFonts w:cs="Times New Roman"/>
          <w:szCs w:val="24"/>
        </w:rPr>
        <w:t xml:space="preserve"> TSA</w:t>
      </w:r>
      <w:r w:rsidR="002F3A2F">
        <w:rPr>
          <w:rFonts w:cs="Times New Roman"/>
          <w:szCs w:val="24"/>
        </w:rPr>
        <w:t xml:space="preserve"> security directives</w:t>
      </w:r>
      <w:r w:rsidR="00E26CA1">
        <w:rPr>
          <w:rFonts w:cs="Times New Roman"/>
          <w:szCs w:val="24"/>
        </w:rPr>
        <w:t>,</w:t>
      </w:r>
      <w:r>
        <w:rPr>
          <w:rFonts w:cs="Times New Roman"/>
          <w:szCs w:val="24"/>
        </w:rPr>
        <w:t xml:space="preserve"> and maintain </w:t>
      </w:r>
      <w:r w:rsidR="00AC70A3">
        <w:rPr>
          <w:rFonts w:cs="Times New Roman"/>
          <w:szCs w:val="24"/>
        </w:rPr>
        <w:t xml:space="preserve">employment history </w:t>
      </w:r>
      <w:r>
        <w:rPr>
          <w:rFonts w:cs="Times New Roman"/>
          <w:szCs w:val="24"/>
        </w:rPr>
        <w:t xml:space="preserve">records is an entirely new requirement </w:t>
      </w:r>
      <w:r w:rsidR="0079575A">
        <w:rPr>
          <w:rFonts w:cs="Times New Roman"/>
          <w:szCs w:val="24"/>
        </w:rPr>
        <w:t>for</w:t>
      </w:r>
      <w:r>
        <w:rPr>
          <w:rFonts w:cs="Times New Roman"/>
          <w:szCs w:val="24"/>
        </w:rPr>
        <w:t xml:space="preserve"> </w:t>
      </w:r>
      <w:r w:rsidR="001F4CC5">
        <w:rPr>
          <w:rFonts w:cs="Times New Roman"/>
          <w:szCs w:val="24"/>
        </w:rPr>
        <w:t xml:space="preserve">certain </w:t>
      </w:r>
      <w:r>
        <w:rPr>
          <w:rFonts w:cs="Times New Roman"/>
          <w:szCs w:val="24"/>
        </w:rPr>
        <w:t>repair stations</w:t>
      </w:r>
      <w:r w:rsidR="000B680C">
        <w:rPr>
          <w:rFonts w:cs="Times New Roman"/>
          <w:szCs w:val="24"/>
        </w:rPr>
        <w:t>, effective January 13, 2014</w:t>
      </w:r>
      <w:r>
        <w:rPr>
          <w:rFonts w:cs="Times New Roman"/>
          <w:szCs w:val="24"/>
        </w:rPr>
        <w:t xml:space="preserve">. Therefore, </w:t>
      </w:r>
      <w:r w:rsidR="00E26CA1">
        <w:rPr>
          <w:rFonts w:cs="Times New Roman"/>
          <w:szCs w:val="24"/>
        </w:rPr>
        <w:t>this collection</w:t>
      </w:r>
      <w:r>
        <w:rPr>
          <w:rFonts w:cs="Times New Roman"/>
          <w:szCs w:val="24"/>
        </w:rPr>
        <w:t xml:space="preserve"> is</w:t>
      </w:r>
      <w:r w:rsidR="00E26CA1">
        <w:rPr>
          <w:rFonts w:cs="Times New Roman"/>
          <w:szCs w:val="24"/>
        </w:rPr>
        <w:t xml:space="preserve"> not</w:t>
      </w:r>
      <w:r>
        <w:rPr>
          <w:rFonts w:cs="Times New Roman"/>
          <w:szCs w:val="24"/>
        </w:rPr>
        <w:t xml:space="preserve"> a duplication of existing federal requirements. </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A176C" w:rsidRDefault="009A176C" w:rsidP="009A176C">
      <w:pPr>
        <w:numPr>
          <w:ilvl w:val="12"/>
          <w:numId w:val="0"/>
        </w:numPr>
        <w:ind w:left="360"/>
      </w:pPr>
    </w:p>
    <w:p w:rsidR="009A176C" w:rsidRDefault="009A176C" w:rsidP="009A176C">
      <w:pPr>
        <w:numPr>
          <w:ilvl w:val="12"/>
          <w:numId w:val="0"/>
        </w:numPr>
        <w:ind w:left="360"/>
      </w:pPr>
      <w:r w:rsidRPr="001D2FEE">
        <w:t>This collection of information does not have a significant impact on a substantial number of small businesses or other small entities.</w:t>
      </w:r>
      <w:r>
        <w:t xml:space="preserve">  </w:t>
      </w:r>
    </w:p>
    <w:p w:rsidR="004378EC" w:rsidRDefault="004378EC" w:rsidP="009A176C">
      <w:pPr>
        <w:numPr>
          <w:ilvl w:val="12"/>
          <w:numId w:val="0"/>
        </w:numPr>
        <w:ind w:left="360"/>
      </w:pPr>
    </w:p>
    <w:p w:rsidR="009A176C" w:rsidRDefault="009A176C" w:rsidP="009A176C">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A176C" w:rsidRDefault="009A176C" w:rsidP="009A176C">
      <w:pPr>
        <w:numPr>
          <w:ilvl w:val="12"/>
          <w:numId w:val="0"/>
        </w:numPr>
        <w:ind w:left="360"/>
      </w:pPr>
    </w:p>
    <w:p w:rsidR="009A176C" w:rsidRPr="001D2FEE" w:rsidRDefault="009A176C" w:rsidP="009A176C">
      <w:pPr>
        <w:numPr>
          <w:ilvl w:val="12"/>
          <w:numId w:val="0"/>
        </w:numPr>
        <w:ind w:left="360"/>
      </w:pPr>
      <w:r w:rsidRPr="001D2FEE">
        <w:t xml:space="preserve">TSA will not be able to meet its obligations </w:t>
      </w:r>
      <w:r>
        <w:t>under the Vision 100</w:t>
      </w:r>
      <w:r w:rsidR="00CB3780">
        <w:t>—</w:t>
      </w:r>
      <w:r>
        <w:t>Century of Aviation Reauthorization Act</w:t>
      </w:r>
      <w:r w:rsidR="00301D35">
        <w:t>, as codified at 49 U.S.C. 44924,</w:t>
      </w:r>
      <w:r w:rsidRPr="001D2FEE">
        <w:t xml:space="preserve"> if the information described in this Supporting Statement is not collected.</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A176C" w:rsidRDefault="009A176C" w:rsidP="009A176C">
      <w:pPr>
        <w:numPr>
          <w:ilvl w:val="12"/>
          <w:numId w:val="0"/>
        </w:numPr>
        <w:ind w:left="360"/>
      </w:pPr>
    </w:p>
    <w:p w:rsidR="009A176C" w:rsidRDefault="009A176C" w:rsidP="009A176C">
      <w:pPr>
        <w:numPr>
          <w:ilvl w:val="12"/>
          <w:numId w:val="0"/>
        </w:numPr>
        <w:ind w:left="360"/>
      </w:pPr>
      <w:r w:rsidRPr="00097104">
        <w:t>None of the requirements are inconsistent with the guidelines in 5 CFR 1320.5.</w:t>
      </w:r>
    </w:p>
    <w:p w:rsidR="009A176C" w:rsidRDefault="009A176C" w:rsidP="009A176C">
      <w:pPr>
        <w:numPr>
          <w:ilvl w:val="12"/>
          <w:numId w:val="0"/>
        </w:numPr>
        <w:ind w:left="360"/>
      </w:pPr>
    </w:p>
    <w:p w:rsidR="009A176C" w:rsidRDefault="009A176C" w:rsidP="009A176C">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lastRenderedPageBreak/>
        <w:t>by the agency in response to these comments.  Specifically address comments received on cost and hour burden.</w:t>
      </w:r>
    </w:p>
    <w:p w:rsidR="009A176C" w:rsidRDefault="009A176C" w:rsidP="009A176C">
      <w:pPr>
        <w:numPr>
          <w:ilvl w:val="12"/>
          <w:numId w:val="0"/>
        </w:numPr>
        <w:ind w:left="360"/>
      </w:pPr>
    </w:p>
    <w:p w:rsidR="002C51F7" w:rsidRPr="00AA78D3" w:rsidRDefault="000B680C" w:rsidP="009A176C">
      <w:pPr>
        <w:ind w:left="270"/>
        <w:rPr>
          <w:rFonts w:cs="Times New Roman"/>
          <w:color w:val="auto"/>
          <w:szCs w:val="24"/>
        </w:rPr>
      </w:pPr>
      <w:r w:rsidRPr="000B680C">
        <w:rPr>
          <w:rFonts w:cs="Times New Roman"/>
          <w:color w:val="auto"/>
          <w:szCs w:val="24"/>
        </w:rPr>
        <w:t xml:space="preserve">TSA </w:t>
      </w:r>
      <w:r w:rsidR="0041159F" w:rsidRPr="000B680C">
        <w:rPr>
          <w:rFonts w:cs="Times New Roman"/>
          <w:color w:val="auto"/>
          <w:szCs w:val="24"/>
        </w:rPr>
        <w:t xml:space="preserve">respectively </w:t>
      </w:r>
      <w:r w:rsidRPr="000B680C">
        <w:rPr>
          <w:rFonts w:cs="Times New Roman"/>
          <w:color w:val="auto"/>
          <w:szCs w:val="24"/>
        </w:rPr>
        <w:t xml:space="preserve">published two </w:t>
      </w:r>
      <w:r w:rsidRPr="00C32685">
        <w:rPr>
          <w:rFonts w:cs="Times New Roman"/>
          <w:color w:val="auto"/>
          <w:szCs w:val="24"/>
          <w:u w:val="single"/>
        </w:rPr>
        <w:t>Federal Register</w:t>
      </w:r>
      <w:r w:rsidRPr="000B680C">
        <w:rPr>
          <w:rFonts w:cs="Times New Roman"/>
          <w:color w:val="auto"/>
          <w:szCs w:val="24"/>
        </w:rPr>
        <w:t xml:space="preserve"> notices, with a 60-day and a 30-day comment period, soliciting comments on this information </w:t>
      </w:r>
      <w:r w:rsidR="00301D35">
        <w:rPr>
          <w:rFonts w:cs="Times New Roman"/>
          <w:color w:val="auto"/>
          <w:szCs w:val="24"/>
        </w:rPr>
        <w:t xml:space="preserve">collection </w:t>
      </w:r>
      <w:r w:rsidRPr="000B680C">
        <w:rPr>
          <w:rFonts w:cs="Times New Roman"/>
          <w:color w:val="auto"/>
          <w:szCs w:val="24"/>
        </w:rPr>
        <w:t xml:space="preserve">request.  </w:t>
      </w:r>
      <w:r w:rsidRPr="0041159F">
        <w:rPr>
          <w:rFonts w:cs="Times New Roman"/>
          <w:i/>
          <w:color w:val="auto"/>
          <w:szCs w:val="24"/>
        </w:rPr>
        <w:t>See</w:t>
      </w:r>
      <w:r w:rsidRPr="000B680C">
        <w:rPr>
          <w:rFonts w:cs="Times New Roman"/>
          <w:color w:val="auto"/>
          <w:szCs w:val="24"/>
        </w:rPr>
        <w:t xml:space="preserve"> 80 FR </w:t>
      </w:r>
      <w:r>
        <w:rPr>
          <w:rFonts w:cs="Times New Roman"/>
          <w:color w:val="auto"/>
          <w:szCs w:val="24"/>
        </w:rPr>
        <w:t>52777</w:t>
      </w:r>
      <w:r w:rsidRPr="000B680C">
        <w:rPr>
          <w:rFonts w:cs="Times New Roman"/>
          <w:color w:val="auto"/>
          <w:szCs w:val="24"/>
        </w:rPr>
        <w:t xml:space="preserve"> (</w:t>
      </w:r>
      <w:r>
        <w:rPr>
          <w:rFonts w:cs="Times New Roman"/>
          <w:color w:val="auto"/>
          <w:szCs w:val="24"/>
        </w:rPr>
        <w:t>Sept</w:t>
      </w:r>
      <w:r w:rsidR="00301D35">
        <w:rPr>
          <w:rFonts w:cs="Times New Roman"/>
          <w:color w:val="auto"/>
          <w:szCs w:val="24"/>
        </w:rPr>
        <w:t xml:space="preserve">. </w:t>
      </w:r>
      <w:r>
        <w:rPr>
          <w:rFonts w:cs="Times New Roman"/>
          <w:color w:val="auto"/>
          <w:szCs w:val="24"/>
        </w:rPr>
        <w:t xml:space="preserve"> </w:t>
      </w:r>
      <w:r w:rsidRPr="000B680C">
        <w:rPr>
          <w:rFonts w:cs="Times New Roman"/>
          <w:color w:val="auto"/>
          <w:szCs w:val="24"/>
        </w:rPr>
        <w:t>1, 2015</w:t>
      </w:r>
      <w:r w:rsidRPr="00B354E0">
        <w:rPr>
          <w:rFonts w:cs="Times New Roman"/>
          <w:color w:val="auto"/>
          <w:szCs w:val="24"/>
        </w:rPr>
        <w:t xml:space="preserve">) and 80 FR </w:t>
      </w:r>
      <w:r w:rsidR="00B354E0" w:rsidRPr="00B354E0">
        <w:rPr>
          <w:rFonts w:cs="Times New Roman"/>
          <w:color w:val="auto"/>
          <w:szCs w:val="24"/>
        </w:rPr>
        <w:t>72982</w:t>
      </w:r>
      <w:r w:rsidRPr="00B354E0">
        <w:rPr>
          <w:rFonts w:cs="Times New Roman"/>
          <w:color w:val="auto"/>
          <w:szCs w:val="24"/>
        </w:rPr>
        <w:t xml:space="preserve"> (</w:t>
      </w:r>
      <w:r w:rsidR="00B354E0" w:rsidRPr="00B354E0">
        <w:rPr>
          <w:rFonts w:cs="Times New Roman"/>
          <w:color w:val="auto"/>
          <w:szCs w:val="24"/>
        </w:rPr>
        <w:t>Nov. 23</w:t>
      </w:r>
      <w:r w:rsidRPr="00B354E0">
        <w:rPr>
          <w:rFonts w:cs="Times New Roman"/>
          <w:color w:val="auto"/>
          <w:szCs w:val="24"/>
        </w:rPr>
        <w:t>, 2015).</w:t>
      </w:r>
      <w:r w:rsidRPr="000B680C">
        <w:rPr>
          <w:rFonts w:cs="Times New Roman"/>
          <w:color w:val="auto"/>
          <w:szCs w:val="24"/>
        </w:rPr>
        <w:t xml:space="preserve">  The agency did not receive any comments on the collection of information.</w:t>
      </w: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Explain any decision to provide any payment or gift to respondents, other than remuneration of contractors or grantees.</w:t>
      </w:r>
    </w:p>
    <w:p w:rsidR="009A176C" w:rsidRDefault="009A176C" w:rsidP="009A176C">
      <w:pPr>
        <w:numPr>
          <w:ilvl w:val="12"/>
          <w:numId w:val="0"/>
        </w:numPr>
        <w:ind w:left="360"/>
      </w:pPr>
    </w:p>
    <w:p w:rsidR="009A176C" w:rsidRPr="00162E04" w:rsidRDefault="009A176C" w:rsidP="009A176C">
      <w:pPr>
        <w:numPr>
          <w:ilvl w:val="12"/>
          <w:numId w:val="0"/>
        </w:numPr>
        <w:ind w:left="360"/>
      </w:pPr>
      <w:r w:rsidRPr="00162E04">
        <w:t>T</w:t>
      </w:r>
      <w:r>
        <w:t>SA will not provide any payment or gifts to respondents</w:t>
      </w:r>
      <w:r w:rsidRPr="00162E04">
        <w:t xml:space="preserve"> for this information collection.</w:t>
      </w:r>
    </w:p>
    <w:p w:rsidR="00C926CA" w:rsidRDefault="00C926CA" w:rsidP="009A176C">
      <w:pPr>
        <w:numPr>
          <w:ilvl w:val="12"/>
          <w:numId w:val="0"/>
        </w:numPr>
      </w:pPr>
    </w:p>
    <w:p w:rsidR="009A176C" w:rsidRDefault="009A176C" w:rsidP="009A176C">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A176C" w:rsidRDefault="009A176C" w:rsidP="009A176C">
      <w:pPr>
        <w:numPr>
          <w:ilvl w:val="12"/>
          <w:numId w:val="0"/>
        </w:numPr>
        <w:ind w:left="360"/>
      </w:pPr>
    </w:p>
    <w:p w:rsidR="009A176C" w:rsidRDefault="0079575A" w:rsidP="009A176C">
      <w:pPr>
        <w:numPr>
          <w:ilvl w:val="12"/>
          <w:numId w:val="0"/>
        </w:numPr>
        <w:ind w:left="360"/>
      </w:pPr>
      <w:r>
        <w:t>Although TSA will not provide any assurance</w:t>
      </w:r>
      <w:r w:rsidR="00923558">
        <w:t>s</w:t>
      </w:r>
      <w:r>
        <w:t xml:space="preserve"> of confidentiality to respondents, </w:t>
      </w:r>
      <w:r w:rsidR="00C655DF">
        <w:t>information collected that is determined by TSA to be</w:t>
      </w:r>
      <w:r>
        <w:t xml:space="preserve"> Sensitive Security Information</w:t>
      </w:r>
      <w:r w:rsidR="003912FF">
        <w:t xml:space="preserve"> </w:t>
      </w:r>
      <w:r>
        <w:t>in accordance with</w:t>
      </w:r>
      <w:r w:rsidR="009A176C">
        <w:t xml:space="preserve"> 49 CFR</w:t>
      </w:r>
      <w:r>
        <w:t xml:space="preserve"> Part</w:t>
      </w:r>
      <w:r w:rsidR="009A176C">
        <w:t xml:space="preserve"> 1520</w:t>
      </w:r>
      <w:r w:rsidR="00C655DF">
        <w:t xml:space="preserve"> will be protected as such</w:t>
      </w:r>
      <w:r w:rsidR="009A176C">
        <w:t xml:space="preserve">. </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A176C" w:rsidRDefault="009A176C" w:rsidP="009A176C">
      <w:pPr>
        <w:numPr>
          <w:ilvl w:val="12"/>
          <w:numId w:val="0"/>
        </w:numPr>
        <w:ind w:left="360"/>
      </w:pPr>
    </w:p>
    <w:p w:rsidR="009A176C" w:rsidRDefault="009A176C" w:rsidP="009A176C">
      <w:pPr>
        <w:numPr>
          <w:ilvl w:val="12"/>
          <w:numId w:val="0"/>
        </w:numPr>
        <w:ind w:left="360"/>
      </w:pPr>
      <w:r w:rsidRPr="00097104">
        <w:t>This information collection does not involve any questions of a sensitive nature.</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Provide estimates of hour</w:t>
      </w:r>
      <w:r w:rsidR="00A21B38">
        <w:rPr>
          <w:b/>
          <w:i/>
        </w:rPr>
        <w:t xml:space="preserve"> and cost</w:t>
      </w:r>
      <w:r>
        <w:rPr>
          <w:b/>
          <w:i/>
        </w:rPr>
        <w:t xml:space="preserve"> burden of the collection of information.</w:t>
      </w:r>
    </w:p>
    <w:p w:rsidR="009A176C" w:rsidRDefault="009A176C" w:rsidP="009A176C">
      <w:pPr>
        <w:numPr>
          <w:ilvl w:val="12"/>
          <w:numId w:val="0"/>
        </w:numPr>
        <w:ind w:left="360"/>
      </w:pPr>
    </w:p>
    <w:p w:rsidR="00BD2E87" w:rsidRDefault="00BD2E87" w:rsidP="00BD2E87">
      <w:pPr>
        <w:tabs>
          <w:tab w:val="left" w:pos="360"/>
        </w:tabs>
        <w:ind w:left="360"/>
      </w:pPr>
      <w:r w:rsidRPr="00674AD3">
        <w:t>In this justification, TSA describes the respondent population and then presents a summary of each of the information collections covered by this ICR.</w:t>
      </w:r>
      <w:r>
        <w:t xml:space="preserve"> </w:t>
      </w:r>
    </w:p>
    <w:p w:rsidR="006D4B85" w:rsidRDefault="006D4B85" w:rsidP="00BD2E87">
      <w:pPr>
        <w:tabs>
          <w:tab w:val="left" w:pos="360"/>
        </w:tabs>
        <w:ind w:left="360"/>
      </w:pPr>
    </w:p>
    <w:p w:rsidR="00BD2E87" w:rsidRDefault="00BD2E87" w:rsidP="00BD2E87">
      <w:pPr>
        <w:keepNext/>
        <w:tabs>
          <w:tab w:val="left" w:pos="360"/>
        </w:tabs>
        <w:ind w:left="360"/>
        <w:rPr>
          <w:u w:val="single"/>
        </w:rPr>
      </w:pPr>
      <w:r w:rsidRPr="004E3EFC">
        <w:rPr>
          <w:u w:val="single"/>
        </w:rPr>
        <w:t>Information Collections</w:t>
      </w:r>
    </w:p>
    <w:p w:rsidR="00BD2E87" w:rsidRDefault="00BD2E87" w:rsidP="00BD2E87">
      <w:pPr>
        <w:keepNext/>
        <w:tabs>
          <w:tab w:val="left" w:pos="360"/>
        </w:tabs>
        <w:ind w:left="360"/>
        <w:rPr>
          <w:u w:val="single"/>
        </w:rPr>
      </w:pPr>
    </w:p>
    <w:p w:rsidR="00BD2E87" w:rsidRDefault="00BD2E87" w:rsidP="00BD2E87">
      <w:pPr>
        <w:numPr>
          <w:ilvl w:val="12"/>
          <w:numId w:val="0"/>
        </w:numPr>
        <w:ind w:left="360"/>
      </w:pPr>
      <w:r>
        <w:t>Repair stations are responsible for maintaining updated employment history records</w:t>
      </w:r>
      <w:r w:rsidR="006D4B85">
        <w:t xml:space="preserve"> and other records</w:t>
      </w:r>
      <w:r>
        <w:t xml:space="preserve"> to demonstrate compliance with the regulatory requirements</w:t>
      </w:r>
      <w:r w:rsidR="002F3A2F">
        <w:t xml:space="preserve"> and security directives</w:t>
      </w:r>
      <w:r w:rsidR="006D4B85">
        <w:t xml:space="preserve"> issued by TSA</w:t>
      </w:r>
      <w:r>
        <w:t xml:space="preserve">.  These records must be made available to TSA upon request. Additionally, a repair station operator or owner may appeal a determination by TSA that FAA must suspend or revoke its certificate. </w:t>
      </w:r>
    </w:p>
    <w:p w:rsidR="00BD2E87" w:rsidRDefault="00BD2E87" w:rsidP="00BD2E87">
      <w:pPr>
        <w:numPr>
          <w:ilvl w:val="12"/>
          <w:numId w:val="0"/>
        </w:numPr>
        <w:ind w:left="360"/>
      </w:pPr>
    </w:p>
    <w:p w:rsidR="00BD2E87" w:rsidRDefault="00BD2E87" w:rsidP="00BD2E87">
      <w:pPr>
        <w:numPr>
          <w:ilvl w:val="12"/>
          <w:numId w:val="0"/>
        </w:numPr>
        <w:ind w:left="360"/>
        <w:rPr>
          <w:rFonts w:cs="Times New Roman"/>
          <w:bCs/>
          <w:szCs w:val="24"/>
        </w:rPr>
      </w:pPr>
      <w:r>
        <w:t>The respondents to this information collection are the owners and/or operators of repair stations certificated by the FAA under 14 CFR part 145. To estimate the burden for domestic and foreign aircraft repair stations, TSA multiplies the fully-loaded wage rate of the industry employee responsible for their respective information collection activity by the time it takes to meet the compliance requirements. TSA uses the fully loaded wage rate of $28.35</w:t>
      </w:r>
      <w:r>
        <w:rPr>
          <w:rStyle w:val="FootnoteReference"/>
        </w:rPr>
        <w:footnoteReference w:id="4"/>
      </w:r>
      <w:r>
        <w:t xml:space="preserve"> for a </w:t>
      </w:r>
      <w:r>
        <w:lastRenderedPageBreak/>
        <w:t>human resource assistant and the fully loaded hourly wage rate for</w:t>
      </w:r>
      <w:r>
        <w:rPr>
          <w:rFonts w:cs="Times New Roman"/>
          <w:bCs/>
          <w:szCs w:val="24"/>
        </w:rPr>
        <w:t xml:space="preserve"> a first-line supervisor of mechanics, installers, and repairers of $49.77.</w:t>
      </w:r>
      <w:r>
        <w:rPr>
          <w:rStyle w:val="FootnoteReference"/>
          <w:rFonts w:cs="Times New Roman"/>
          <w:bCs/>
          <w:szCs w:val="24"/>
        </w:rPr>
        <w:footnoteReference w:id="5"/>
      </w:r>
      <w:r>
        <w:rPr>
          <w:rFonts w:cs="Times New Roman"/>
          <w:bCs/>
          <w:szCs w:val="24"/>
        </w:rPr>
        <w:t xml:space="preserve">  </w:t>
      </w:r>
    </w:p>
    <w:p w:rsidR="00BD2E87" w:rsidRDefault="00BD2E87" w:rsidP="00BD2E87">
      <w:pPr>
        <w:numPr>
          <w:ilvl w:val="12"/>
          <w:numId w:val="0"/>
        </w:numPr>
        <w:ind w:left="360"/>
        <w:rPr>
          <w:rFonts w:cs="Times New Roman"/>
          <w:bCs/>
          <w:szCs w:val="24"/>
        </w:rPr>
      </w:pPr>
    </w:p>
    <w:p w:rsidR="00BD2E87" w:rsidRDefault="00BD2E87" w:rsidP="00BD2E87">
      <w:pPr>
        <w:ind w:left="360"/>
      </w:pPr>
      <w:r w:rsidRPr="00D84EE1">
        <w:rPr>
          <w:u w:val="single"/>
        </w:rPr>
        <w:t>Recordkeeping</w:t>
      </w:r>
    </w:p>
    <w:p w:rsidR="00BD2E87" w:rsidRDefault="00BD2E87" w:rsidP="00BD2E87">
      <w:pPr>
        <w:ind w:left="360"/>
      </w:pPr>
    </w:p>
    <w:p w:rsidR="00BD2E87" w:rsidRDefault="00BD2E87" w:rsidP="00BD2E87">
      <w:pPr>
        <w:ind w:left="360"/>
      </w:pPr>
      <w:r>
        <w:t>Under 49 CFR 1544.3, r</w:t>
      </w:r>
      <w:r w:rsidRPr="00D84EE1">
        <w:t>epair stations that verify employee background information using employment history will be required to maintain employment history records and other records to demonstrate</w:t>
      </w:r>
      <w:r w:rsidRPr="00D84EE1">
        <w:rPr>
          <w:rFonts w:cs="Times New Roman"/>
          <w:szCs w:val="24"/>
        </w:rPr>
        <w:t xml:space="preserve"> compliance with the security measures</w:t>
      </w:r>
      <w:r w:rsidR="006D4B85">
        <w:rPr>
          <w:rFonts w:cs="Times New Roman"/>
          <w:szCs w:val="24"/>
        </w:rPr>
        <w:t xml:space="preserve"> and directives</w:t>
      </w:r>
      <w:r w:rsidRPr="00D84EE1">
        <w:rPr>
          <w:rFonts w:cs="Times New Roman"/>
          <w:szCs w:val="24"/>
        </w:rPr>
        <w:t>, and make the records available for inspection by TSA upon request.</w:t>
      </w:r>
      <w:r>
        <w:t xml:space="preserve"> </w:t>
      </w:r>
      <w:r w:rsidR="00011EF7">
        <w:t>A</w:t>
      </w:r>
      <w:r>
        <w:t xml:space="preserve">ircraft repair stations incur an opportunity cost to store employee history records.  </w:t>
      </w:r>
    </w:p>
    <w:p w:rsidR="00BD2E87" w:rsidRDefault="00BD2E87" w:rsidP="00BD2E87">
      <w:pPr>
        <w:ind w:left="360"/>
      </w:pPr>
    </w:p>
    <w:p w:rsidR="00BD2E87" w:rsidRDefault="00BD2E87" w:rsidP="00BD2E87">
      <w:pPr>
        <w:ind w:left="360"/>
      </w:pPr>
      <w:r>
        <w:t xml:space="preserve">TSA estimates that it takes .025 hours to maintain these records and make them available for inspection upon request. TSA continues to use the assumption from the final rule that there will be </w:t>
      </w:r>
      <w:r w:rsidR="00FE5259">
        <w:t xml:space="preserve">five </w:t>
      </w:r>
      <w:r>
        <w:t xml:space="preserve">new </w:t>
      </w:r>
      <w:proofErr w:type="gramStart"/>
      <w:r>
        <w:t>point</w:t>
      </w:r>
      <w:proofErr w:type="gramEnd"/>
      <w:r>
        <w:t xml:space="preserve"> of contacts submitting information and require recordkeeping annually</w:t>
      </w:r>
      <w:r w:rsidR="00011EF7">
        <w:t xml:space="preserve"> within United States</w:t>
      </w:r>
      <w:r w:rsidR="00011EF7" w:rsidRPr="00011EF7">
        <w:t xml:space="preserve"> </w:t>
      </w:r>
      <w:r w:rsidR="00011EF7">
        <w:t>and another 5 outside the United States</w:t>
      </w:r>
      <w:r>
        <w:t xml:space="preserve">. The total annual cost burden </w:t>
      </w:r>
      <w:r w:rsidR="00B54DA9">
        <w:t xml:space="preserve">for aircraft repair stations within and outside the United States </w:t>
      </w:r>
      <w:r>
        <w:t>is estimated by multiplying the hour burden by the annual number of respondents by the fully loaded wage rate of $28.35 for a human resource assistant is $</w:t>
      </w:r>
      <w:r w:rsidR="00B54DA9">
        <w:t xml:space="preserve">7.08 </w:t>
      </w:r>
      <w:r>
        <w:t xml:space="preserve">(.025 hours x </w:t>
      </w:r>
      <w:r w:rsidR="00B54DA9">
        <w:t xml:space="preserve">10 </w:t>
      </w:r>
      <w:r>
        <w:t xml:space="preserve">respondents x $28.35). </w:t>
      </w:r>
    </w:p>
    <w:p w:rsidR="00D1343A" w:rsidRDefault="00D1343A" w:rsidP="005F7187">
      <w:pPr>
        <w:numPr>
          <w:ilvl w:val="12"/>
          <w:numId w:val="0"/>
        </w:numPr>
        <w:ind w:left="360"/>
      </w:pPr>
    </w:p>
    <w:p w:rsidR="00BD2E87" w:rsidRDefault="00BD2E87" w:rsidP="00BD2E87">
      <w:pPr>
        <w:ind w:left="360"/>
        <w:rPr>
          <w:rFonts w:cs="Times New Roman"/>
          <w:bCs/>
          <w:szCs w:val="24"/>
        </w:rPr>
      </w:pPr>
      <w:r w:rsidRPr="00034770">
        <w:rPr>
          <w:rFonts w:cs="Times New Roman"/>
          <w:szCs w:val="24"/>
          <w:u w:val="single"/>
        </w:rPr>
        <w:t>Petition for Reconsideration</w:t>
      </w:r>
      <w:r w:rsidRPr="00D84EE1">
        <w:rPr>
          <w:rFonts w:cs="Times New Roman"/>
          <w:b/>
          <w:szCs w:val="24"/>
        </w:rPr>
        <w:t xml:space="preserve"> </w:t>
      </w:r>
      <w:r>
        <w:rPr>
          <w:rFonts w:cs="Times New Roman"/>
          <w:b/>
          <w:szCs w:val="24"/>
        </w:rPr>
        <w:br/>
      </w:r>
      <w:r>
        <w:rPr>
          <w:rFonts w:cs="Times New Roman"/>
          <w:b/>
          <w:szCs w:val="24"/>
        </w:rPr>
        <w:br/>
      </w:r>
      <w:r>
        <w:rPr>
          <w:rFonts w:cs="Times New Roman"/>
          <w:szCs w:val="24"/>
        </w:rPr>
        <w:t>Under 49 CFR 155</w:t>
      </w:r>
      <w:r w:rsidR="005D5FF6">
        <w:rPr>
          <w:rFonts w:cs="Times New Roman"/>
          <w:szCs w:val="24"/>
        </w:rPr>
        <w:t>4</w:t>
      </w:r>
      <w:r>
        <w:rPr>
          <w:rFonts w:cs="Times New Roman"/>
          <w:szCs w:val="24"/>
        </w:rPr>
        <w:t>.201 and 155</w:t>
      </w:r>
      <w:r w:rsidR="005D5FF6">
        <w:rPr>
          <w:rFonts w:cs="Times New Roman"/>
          <w:szCs w:val="24"/>
        </w:rPr>
        <w:t>4</w:t>
      </w:r>
      <w:r>
        <w:rPr>
          <w:rFonts w:cs="Times New Roman"/>
          <w:szCs w:val="24"/>
        </w:rPr>
        <w:t xml:space="preserve">.203, </w:t>
      </w:r>
      <w:r w:rsidRPr="00D84EE1">
        <w:rPr>
          <w:rFonts w:cs="Times New Roman"/>
          <w:szCs w:val="24"/>
        </w:rPr>
        <w:t xml:space="preserve">a repair station operator or owner may request reconsideration of a determination that its certificate must be suspended or revoked. </w:t>
      </w:r>
      <w:r w:rsidRPr="00D84EE1">
        <w:rPr>
          <w:rFonts w:cs="Times New Roman"/>
          <w:bCs/>
          <w:szCs w:val="24"/>
        </w:rPr>
        <w:t xml:space="preserve">The petition must be in writing, in English, </w:t>
      </w:r>
      <w:r>
        <w:rPr>
          <w:rFonts w:cs="Times New Roman"/>
          <w:bCs/>
          <w:szCs w:val="24"/>
        </w:rPr>
        <w:t xml:space="preserve">and </w:t>
      </w:r>
      <w:r w:rsidRPr="00D84EE1">
        <w:rPr>
          <w:rFonts w:cs="Times New Roman"/>
          <w:bCs/>
          <w:szCs w:val="24"/>
        </w:rPr>
        <w:t>signed by the re</w:t>
      </w:r>
      <w:r>
        <w:rPr>
          <w:rFonts w:cs="Times New Roman"/>
          <w:bCs/>
          <w:szCs w:val="24"/>
        </w:rPr>
        <w:t xml:space="preserve">pair station operator or owner.  TSA </w:t>
      </w:r>
      <w:r w:rsidR="00081710">
        <w:rPr>
          <w:rFonts w:cs="Times New Roman"/>
          <w:bCs/>
          <w:szCs w:val="24"/>
        </w:rPr>
        <w:t>estimates</w:t>
      </w:r>
      <w:r>
        <w:rPr>
          <w:rFonts w:cs="Times New Roman"/>
          <w:bCs/>
          <w:szCs w:val="24"/>
        </w:rPr>
        <w:t xml:space="preserve"> that, on an average annual basis, </w:t>
      </w:r>
      <w:r w:rsidR="00FE5259">
        <w:rPr>
          <w:rFonts w:cs="Times New Roman"/>
          <w:bCs/>
          <w:szCs w:val="24"/>
        </w:rPr>
        <w:t xml:space="preserve">one </w:t>
      </w:r>
      <w:r>
        <w:rPr>
          <w:rFonts w:cs="Times New Roman"/>
          <w:bCs/>
          <w:szCs w:val="24"/>
        </w:rPr>
        <w:t xml:space="preserve">repair station within the United States and </w:t>
      </w:r>
      <w:r w:rsidR="00FE5259">
        <w:rPr>
          <w:rFonts w:cs="Times New Roman"/>
          <w:bCs/>
          <w:szCs w:val="24"/>
        </w:rPr>
        <w:t xml:space="preserve">nine </w:t>
      </w:r>
      <w:r>
        <w:rPr>
          <w:rFonts w:cs="Times New Roman"/>
          <w:bCs/>
          <w:szCs w:val="24"/>
        </w:rPr>
        <w:t xml:space="preserve">outside the United States will undergo the suspension and revocation process. </w:t>
      </w:r>
    </w:p>
    <w:p w:rsidR="00BD2E87" w:rsidRDefault="00BD2E87" w:rsidP="00BD2E87">
      <w:pPr>
        <w:ind w:left="360"/>
        <w:rPr>
          <w:rFonts w:cs="Times New Roman"/>
          <w:bCs/>
          <w:szCs w:val="24"/>
        </w:rPr>
      </w:pPr>
    </w:p>
    <w:p w:rsidR="00BD2E87" w:rsidRDefault="00BD2E87" w:rsidP="00C32685">
      <w:pPr>
        <w:ind w:left="360"/>
        <w:rPr>
          <w:rFonts w:cs="Times New Roman"/>
          <w:szCs w:val="24"/>
        </w:rPr>
      </w:pPr>
      <w:r>
        <w:t xml:space="preserve">TSA estimates that it takes a first-line supervisor in a repair station within the United States 10 hours to fill out a petition and send it to TSA.  </w:t>
      </w:r>
      <w:r>
        <w:rPr>
          <w:rFonts w:cs="Times New Roman"/>
          <w:bCs/>
          <w:szCs w:val="24"/>
        </w:rPr>
        <w:t>TSA calculates an annual cost and hour burden for domestic repair station revocations at $497.70 (10 hours x $49.77 x 1 repair station).</w:t>
      </w:r>
      <w:r w:rsidDel="00E46297">
        <w:rPr>
          <w:rFonts w:cs="Times New Roman"/>
          <w:bCs/>
          <w:szCs w:val="24"/>
        </w:rPr>
        <w:t xml:space="preserve"> </w:t>
      </w:r>
      <w:r>
        <w:t xml:space="preserve">TSA estimates that it takes a first-line supervisor in a repair station outside the United States 12 hours to fill out a petition and send it to TSA.  </w:t>
      </w:r>
      <w:r>
        <w:rPr>
          <w:rFonts w:cs="Times New Roman"/>
          <w:bCs/>
          <w:szCs w:val="24"/>
        </w:rPr>
        <w:t xml:space="preserve">TSA calculates an annual </w:t>
      </w:r>
      <w:r>
        <w:rPr>
          <w:rFonts w:cs="Times New Roman"/>
          <w:bCs/>
          <w:szCs w:val="24"/>
        </w:rPr>
        <w:lastRenderedPageBreak/>
        <w:t>hour and cost burden for foreign repair station revocations at $5,375.16 (12 hours x $49.77 x 9 repair stations).</w:t>
      </w:r>
      <w:r>
        <w:rPr>
          <w:rFonts w:cs="Times New Roman"/>
          <w:szCs w:val="24"/>
        </w:rPr>
        <w:br/>
      </w:r>
    </w:p>
    <w:p w:rsidR="00BD2E87" w:rsidRPr="009C0A41" w:rsidRDefault="00BD2E87" w:rsidP="00BD2E87">
      <w:pPr>
        <w:keepNext/>
        <w:numPr>
          <w:ilvl w:val="12"/>
          <w:numId w:val="0"/>
        </w:numPr>
        <w:ind w:left="360"/>
        <w:rPr>
          <w:rFonts w:cs="Times New Roman"/>
          <w:szCs w:val="24"/>
          <w:u w:val="single"/>
        </w:rPr>
      </w:pPr>
      <w:r w:rsidRPr="009C0A41">
        <w:rPr>
          <w:rFonts w:cs="Times New Roman"/>
          <w:szCs w:val="24"/>
          <w:u w:val="single"/>
        </w:rPr>
        <w:t>Summary</w:t>
      </w:r>
    </w:p>
    <w:p w:rsidR="00BD2E87" w:rsidRDefault="00BD2E87" w:rsidP="00BD2E87">
      <w:pPr>
        <w:keepNext/>
        <w:numPr>
          <w:ilvl w:val="12"/>
          <w:numId w:val="0"/>
        </w:numPr>
      </w:pPr>
    </w:p>
    <w:p w:rsidR="00BD2E87" w:rsidRDefault="00BD2E87" w:rsidP="00BD2E87">
      <w:pPr>
        <w:numPr>
          <w:ilvl w:val="12"/>
          <w:numId w:val="0"/>
        </w:numPr>
        <w:ind w:left="360"/>
      </w:pPr>
      <w:r>
        <w:t>TSA estimates a total yearly average hour burden of 118 hours at a cost of $5,</w:t>
      </w:r>
      <w:r w:rsidR="00011EF7">
        <w:t>880</w:t>
      </w:r>
      <w:r>
        <w:t>.</w:t>
      </w:r>
      <w:r w:rsidR="00011EF7">
        <w:t>19</w:t>
      </w:r>
      <w:r>
        <w:t>. The following table shows the estimate hour and cost burden by domestic and foreign aircraft repair stations as a result of the information collections described above.</w:t>
      </w:r>
    </w:p>
    <w:p w:rsidR="00BD2E87" w:rsidRDefault="00BD2E87" w:rsidP="00BD2E87">
      <w:pPr>
        <w:numPr>
          <w:ilvl w:val="12"/>
          <w:numId w:val="0"/>
        </w:numPr>
        <w:ind w:left="360"/>
      </w:pPr>
    </w:p>
    <w:tbl>
      <w:tblPr>
        <w:tblW w:w="0" w:type="auto"/>
        <w:tblLayout w:type="fixed"/>
        <w:tblLook w:val="04A0" w:firstRow="1" w:lastRow="0" w:firstColumn="1" w:lastColumn="0" w:noHBand="0" w:noVBand="1"/>
      </w:tblPr>
      <w:tblGrid>
        <w:gridCol w:w="3713"/>
        <w:gridCol w:w="1341"/>
        <w:gridCol w:w="1535"/>
        <w:gridCol w:w="953"/>
        <w:gridCol w:w="846"/>
        <w:gridCol w:w="1188"/>
      </w:tblGrid>
      <w:tr w:rsidR="00D1343A" w:rsidRPr="00D1343A" w:rsidTr="00116BF5">
        <w:trPr>
          <w:trHeight w:val="315"/>
        </w:trPr>
        <w:tc>
          <w:tcPr>
            <w:tcW w:w="5054" w:type="dxa"/>
            <w:gridSpan w:val="2"/>
            <w:tcBorders>
              <w:top w:val="nil"/>
              <w:left w:val="nil"/>
              <w:bottom w:val="nil"/>
              <w:right w:val="nil"/>
            </w:tcBorders>
            <w:shd w:val="clear" w:color="auto" w:fill="auto"/>
            <w:noWrap/>
            <w:vAlign w:val="bottom"/>
            <w:hideMark/>
          </w:tcPr>
          <w:p w:rsidR="00D1343A" w:rsidRPr="00D1343A" w:rsidRDefault="00D1343A" w:rsidP="00D1343A">
            <w:pPr>
              <w:rPr>
                <w:rFonts w:ascii="Calibri" w:hAnsi="Calibri" w:cs="Calibri"/>
                <w:b/>
                <w:bCs/>
                <w:sz w:val="22"/>
                <w:szCs w:val="22"/>
              </w:rPr>
            </w:pPr>
            <w:r w:rsidRPr="00D1343A">
              <w:rPr>
                <w:rFonts w:ascii="Calibri" w:hAnsi="Calibri" w:cs="Calibri"/>
                <w:b/>
                <w:bCs/>
                <w:sz w:val="22"/>
                <w:szCs w:val="22"/>
              </w:rPr>
              <w:t>Table 2: Information Collection and Hour burden Summary</w:t>
            </w:r>
          </w:p>
        </w:tc>
        <w:tc>
          <w:tcPr>
            <w:tcW w:w="1535" w:type="dxa"/>
            <w:tcBorders>
              <w:top w:val="nil"/>
              <w:left w:val="nil"/>
              <w:bottom w:val="nil"/>
              <w:right w:val="nil"/>
            </w:tcBorders>
            <w:shd w:val="clear" w:color="auto" w:fill="auto"/>
            <w:noWrap/>
            <w:vAlign w:val="bottom"/>
            <w:hideMark/>
          </w:tcPr>
          <w:p w:rsidR="00D1343A" w:rsidRPr="00D1343A" w:rsidRDefault="00D1343A" w:rsidP="00D1343A">
            <w:pPr>
              <w:rPr>
                <w:rFonts w:ascii="Calibri" w:hAnsi="Calibri" w:cs="Calibri"/>
                <w:sz w:val="22"/>
                <w:szCs w:val="22"/>
              </w:rPr>
            </w:pPr>
          </w:p>
        </w:tc>
        <w:tc>
          <w:tcPr>
            <w:tcW w:w="953" w:type="dxa"/>
            <w:tcBorders>
              <w:top w:val="nil"/>
              <w:left w:val="nil"/>
              <w:bottom w:val="nil"/>
              <w:right w:val="nil"/>
            </w:tcBorders>
            <w:shd w:val="clear" w:color="auto" w:fill="auto"/>
            <w:noWrap/>
            <w:vAlign w:val="bottom"/>
            <w:hideMark/>
          </w:tcPr>
          <w:p w:rsidR="00D1343A" w:rsidRPr="00D1343A" w:rsidRDefault="00D1343A" w:rsidP="00D1343A">
            <w:pPr>
              <w:rPr>
                <w:rFonts w:ascii="Calibri" w:hAnsi="Calibri" w:cs="Calibri"/>
                <w:sz w:val="22"/>
                <w:szCs w:val="22"/>
              </w:rPr>
            </w:pPr>
          </w:p>
        </w:tc>
        <w:tc>
          <w:tcPr>
            <w:tcW w:w="846" w:type="dxa"/>
            <w:tcBorders>
              <w:top w:val="nil"/>
              <w:left w:val="nil"/>
              <w:bottom w:val="nil"/>
              <w:right w:val="nil"/>
            </w:tcBorders>
            <w:shd w:val="clear" w:color="auto" w:fill="auto"/>
            <w:noWrap/>
            <w:vAlign w:val="bottom"/>
            <w:hideMark/>
          </w:tcPr>
          <w:p w:rsidR="00D1343A" w:rsidRPr="00D1343A" w:rsidRDefault="00D1343A" w:rsidP="00D1343A">
            <w:pPr>
              <w:rPr>
                <w:rFonts w:ascii="Calibri" w:hAnsi="Calibri" w:cs="Calibri"/>
                <w:sz w:val="22"/>
                <w:szCs w:val="22"/>
              </w:rPr>
            </w:pPr>
          </w:p>
        </w:tc>
        <w:tc>
          <w:tcPr>
            <w:tcW w:w="1188" w:type="dxa"/>
            <w:tcBorders>
              <w:top w:val="nil"/>
              <w:left w:val="nil"/>
              <w:bottom w:val="nil"/>
              <w:right w:val="nil"/>
            </w:tcBorders>
            <w:shd w:val="clear" w:color="auto" w:fill="auto"/>
            <w:noWrap/>
            <w:vAlign w:val="bottom"/>
            <w:hideMark/>
          </w:tcPr>
          <w:p w:rsidR="00D1343A" w:rsidRPr="00D1343A" w:rsidRDefault="00D1343A" w:rsidP="00D1343A">
            <w:pPr>
              <w:rPr>
                <w:rFonts w:ascii="Calibri" w:hAnsi="Calibri" w:cs="Calibri"/>
                <w:sz w:val="22"/>
                <w:szCs w:val="22"/>
              </w:rPr>
            </w:pPr>
          </w:p>
        </w:tc>
      </w:tr>
      <w:tr w:rsidR="00D1343A" w:rsidRPr="00D1343A" w:rsidTr="00116BF5">
        <w:trPr>
          <w:trHeight w:val="960"/>
        </w:trPr>
        <w:tc>
          <w:tcPr>
            <w:tcW w:w="37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Information Collection</w:t>
            </w:r>
          </w:p>
        </w:tc>
        <w:tc>
          <w:tcPr>
            <w:tcW w:w="1341" w:type="dxa"/>
            <w:tcBorders>
              <w:top w:val="single" w:sz="8" w:space="0" w:color="auto"/>
              <w:left w:val="nil"/>
              <w:bottom w:val="nil"/>
              <w:right w:val="single" w:sz="8" w:space="0" w:color="auto"/>
            </w:tcBorders>
            <w:shd w:val="clear" w:color="000000" w:fill="FFFFFF"/>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Average Annual Responses</w:t>
            </w:r>
          </w:p>
        </w:tc>
        <w:tc>
          <w:tcPr>
            <w:tcW w:w="1535" w:type="dxa"/>
            <w:tcBorders>
              <w:top w:val="single" w:sz="8" w:space="0" w:color="auto"/>
              <w:left w:val="nil"/>
              <w:bottom w:val="nil"/>
              <w:right w:val="single" w:sz="8" w:space="0" w:color="auto"/>
            </w:tcBorders>
            <w:shd w:val="clear" w:color="000000" w:fill="FFFFFF"/>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Hour Burden per response</w:t>
            </w:r>
          </w:p>
        </w:tc>
        <w:tc>
          <w:tcPr>
            <w:tcW w:w="953" w:type="dxa"/>
            <w:tcBorders>
              <w:top w:val="single" w:sz="8" w:space="0" w:color="auto"/>
              <w:left w:val="nil"/>
              <w:bottom w:val="nil"/>
              <w:right w:val="single" w:sz="8" w:space="0" w:color="auto"/>
            </w:tcBorders>
            <w:shd w:val="clear" w:color="000000" w:fill="FFFFFF"/>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Total Annual Hour Burden</w:t>
            </w:r>
          </w:p>
        </w:tc>
        <w:tc>
          <w:tcPr>
            <w:tcW w:w="846" w:type="dxa"/>
            <w:tcBorders>
              <w:top w:val="single" w:sz="8" w:space="0" w:color="auto"/>
              <w:left w:val="nil"/>
              <w:bottom w:val="nil"/>
              <w:right w:val="single" w:sz="8" w:space="0" w:color="auto"/>
            </w:tcBorders>
            <w:shd w:val="clear" w:color="000000" w:fill="FFFFFF"/>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Full-Loaded Wage Rate</w:t>
            </w:r>
          </w:p>
        </w:tc>
        <w:tc>
          <w:tcPr>
            <w:tcW w:w="1188" w:type="dxa"/>
            <w:tcBorders>
              <w:top w:val="single" w:sz="8" w:space="0" w:color="auto"/>
              <w:left w:val="nil"/>
              <w:bottom w:val="nil"/>
              <w:right w:val="single" w:sz="8" w:space="0" w:color="auto"/>
            </w:tcBorders>
            <w:shd w:val="clear" w:color="000000" w:fill="FFFFFF"/>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Total Annual Cost burden</w:t>
            </w:r>
          </w:p>
        </w:tc>
      </w:tr>
      <w:tr w:rsidR="00D1343A" w:rsidRPr="00D1343A" w:rsidTr="00116BF5">
        <w:trPr>
          <w:trHeight w:val="315"/>
        </w:trPr>
        <w:tc>
          <w:tcPr>
            <w:tcW w:w="3713" w:type="dxa"/>
            <w:vMerge/>
            <w:tcBorders>
              <w:top w:val="single" w:sz="8" w:space="0" w:color="auto"/>
              <w:left w:val="single" w:sz="8" w:space="0" w:color="auto"/>
              <w:bottom w:val="single" w:sz="8" w:space="0" w:color="000000"/>
              <w:right w:val="single" w:sz="8" w:space="0" w:color="auto"/>
            </w:tcBorders>
            <w:vAlign w:val="center"/>
            <w:hideMark/>
          </w:tcPr>
          <w:p w:rsidR="00D1343A" w:rsidRPr="00D1343A" w:rsidRDefault="00D1343A" w:rsidP="00D1343A">
            <w:pPr>
              <w:rPr>
                <w:rFonts w:ascii="Calibri" w:hAnsi="Calibri" w:cs="Calibri"/>
                <w:b/>
                <w:bCs/>
                <w:sz w:val="18"/>
                <w:szCs w:val="18"/>
              </w:rPr>
            </w:pPr>
          </w:p>
        </w:tc>
        <w:tc>
          <w:tcPr>
            <w:tcW w:w="1341"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(a)</w:t>
            </w:r>
          </w:p>
        </w:tc>
        <w:tc>
          <w:tcPr>
            <w:tcW w:w="1535"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(b)</w:t>
            </w:r>
          </w:p>
        </w:tc>
        <w:tc>
          <w:tcPr>
            <w:tcW w:w="953"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(c) = (a x b)</w:t>
            </w:r>
          </w:p>
        </w:tc>
        <w:tc>
          <w:tcPr>
            <w:tcW w:w="846"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(d)</w:t>
            </w:r>
          </w:p>
        </w:tc>
        <w:tc>
          <w:tcPr>
            <w:tcW w:w="1188"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center"/>
              <w:rPr>
                <w:rFonts w:ascii="Calibri" w:hAnsi="Calibri" w:cs="Calibri"/>
                <w:b/>
                <w:bCs/>
                <w:sz w:val="18"/>
                <w:szCs w:val="18"/>
              </w:rPr>
            </w:pPr>
            <w:r w:rsidRPr="00D1343A">
              <w:rPr>
                <w:rFonts w:ascii="Calibri" w:hAnsi="Calibri" w:cs="Calibri"/>
                <w:b/>
                <w:bCs/>
                <w:sz w:val="18"/>
                <w:szCs w:val="18"/>
              </w:rPr>
              <w:t>(e) = (c x d)</w:t>
            </w:r>
          </w:p>
        </w:tc>
      </w:tr>
      <w:tr w:rsidR="00D1343A" w:rsidRPr="00D1343A" w:rsidTr="00116BF5">
        <w:trPr>
          <w:trHeight w:val="315"/>
        </w:trPr>
        <w:tc>
          <w:tcPr>
            <w:tcW w:w="3713" w:type="dxa"/>
            <w:tcBorders>
              <w:top w:val="nil"/>
              <w:left w:val="single" w:sz="8" w:space="0" w:color="auto"/>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i/>
                <w:iCs/>
                <w:sz w:val="18"/>
                <w:szCs w:val="18"/>
              </w:rPr>
            </w:pPr>
            <w:r w:rsidRPr="00D1343A">
              <w:rPr>
                <w:rFonts w:ascii="Calibri" w:hAnsi="Calibri" w:cs="Calibri"/>
                <w:i/>
                <w:iCs/>
                <w:sz w:val="18"/>
                <w:szCs w:val="18"/>
              </w:rPr>
              <w:t>Recordkeeping</w:t>
            </w:r>
          </w:p>
        </w:tc>
        <w:tc>
          <w:tcPr>
            <w:tcW w:w="1341" w:type="dxa"/>
            <w:tcBorders>
              <w:top w:val="single" w:sz="8" w:space="0" w:color="auto"/>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1535" w:type="dxa"/>
            <w:tcBorders>
              <w:top w:val="single" w:sz="8" w:space="0" w:color="auto"/>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953" w:type="dxa"/>
            <w:tcBorders>
              <w:top w:val="single" w:sz="8" w:space="0" w:color="auto"/>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846" w:type="dxa"/>
            <w:tcBorders>
              <w:top w:val="single" w:sz="8" w:space="0" w:color="auto"/>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1188" w:type="dxa"/>
            <w:tcBorders>
              <w:top w:val="single" w:sz="8" w:space="0" w:color="auto"/>
              <w:left w:val="nil"/>
              <w:bottom w:val="single" w:sz="8" w:space="0" w:color="auto"/>
              <w:right w:val="single" w:sz="8" w:space="0" w:color="auto"/>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r>
      <w:tr w:rsidR="00D1343A" w:rsidRPr="00D1343A" w:rsidTr="00116BF5">
        <w:trPr>
          <w:trHeight w:val="315"/>
        </w:trPr>
        <w:tc>
          <w:tcPr>
            <w:tcW w:w="3713" w:type="dxa"/>
            <w:tcBorders>
              <w:top w:val="nil"/>
              <w:left w:val="single" w:sz="8" w:space="0" w:color="auto"/>
              <w:bottom w:val="nil"/>
              <w:right w:val="single" w:sz="8" w:space="0" w:color="auto"/>
            </w:tcBorders>
            <w:shd w:val="clear" w:color="000000" w:fill="FFFFFF"/>
            <w:noWrap/>
            <w:vAlign w:val="center"/>
            <w:hideMark/>
          </w:tcPr>
          <w:p w:rsidR="00D1343A" w:rsidRPr="00D1343A" w:rsidRDefault="00D1343A" w:rsidP="00D1343A">
            <w:pPr>
              <w:ind w:firstLineChars="400" w:firstLine="720"/>
              <w:rPr>
                <w:rFonts w:ascii="Calibri" w:hAnsi="Calibri" w:cs="Calibri"/>
                <w:sz w:val="18"/>
                <w:szCs w:val="18"/>
              </w:rPr>
            </w:pPr>
            <w:r w:rsidRPr="00D1343A">
              <w:rPr>
                <w:rFonts w:ascii="Calibri" w:hAnsi="Calibri" w:cs="Calibri"/>
                <w:sz w:val="18"/>
                <w:szCs w:val="18"/>
              </w:rPr>
              <w:t>On-Airport RS outside the United States Record Filing</w:t>
            </w:r>
          </w:p>
        </w:tc>
        <w:tc>
          <w:tcPr>
            <w:tcW w:w="1341" w:type="dxa"/>
            <w:tcBorders>
              <w:top w:val="nil"/>
              <w:left w:val="nil"/>
              <w:bottom w:val="single" w:sz="8" w:space="0" w:color="auto"/>
              <w:right w:val="single" w:sz="8" w:space="0" w:color="auto"/>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5</w:t>
            </w:r>
          </w:p>
        </w:tc>
        <w:tc>
          <w:tcPr>
            <w:tcW w:w="1535" w:type="dxa"/>
            <w:tcBorders>
              <w:top w:val="nil"/>
              <w:left w:val="nil"/>
              <w:bottom w:val="single" w:sz="8" w:space="0" w:color="auto"/>
              <w:right w:val="nil"/>
            </w:tcBorders>
            <w:shd w:val="clear" w:color="auto" w:fill="auto"/>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0.025</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0.125</w:t>
            </w:r>
          </w:p>
        </w:tc>
        <w:tc>
          <w:tcPr>
            <w:tcW w:w="846" w:type="dxa"/>
            <w:tcBorders>
              <w:top w:val="nil"/>
              <w:left w:val="nil"/>
              <w:bottom w:val="single" w:sz="8" w:space="0" w:color="auto"/>
              <w:right w:val="single" w:sz="8" w:space="0" w:color="auto"/>
            </w:tcBorders>
            <w:shd w:val="clear" w:color="auto" w:fill="auto"/>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 xml:space="preserve">$28.35 </w:t>
            </w:r>
          </w:p>
        </w:tc>
        <w:tc>
          <w:tcPr>
            <w:tcW w:w="1188" w:type="dxa"/>
            <w:tcBorders>
              <w:top w:val="nil"/>
              <w:left w:val="nil"/>
              <w:bottom w:val="single" w:sz="8" w:space="0" w:color="auto"/>
              <w:right w:val="single" w:sz="8" w:space="0" w:color="auto"/>
            </w:tcBorders>
            <w:shd w:val="clear" w:color="auto" w:fill="auto"/>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 xml:space="preserve">$3.54 </w:t>
            </w:r>
          </w:p>
        </w:tc>
      </w:tr>
      <w:tr w:rsidR="00D35B7C" w:rsidRPr="00D1343A" w:rsidTr="00116BF5">
        <w:trPr>
          <w:trHeight w:val="315"/>
        </w:trPr>
        <w:tc>
          <w:tcPr>
            <w:tcW w:w="3713" w:type="dxa"/>
            <w:tcBorders>
              <w:top w:val="nil"/>
              <w:left w:val="single" w:sz="8" w:space="0" w:color="auto"/>
              <w:bottom w:val="nil"/>
              <w:right w:val="single" w:sz="8" w:space="0" w:color="auto"/>
            </w:tcBorders>
            <w:shd w:val="clear" w:color="000000" w:fill="FFFFFF"/>
            <w:noWrap/>
            <w:vAlign w:val="center"/>
          </w:tcPr>
          <w:p w:rsidR="00D35B7C" w:rsidRPr="00D1343A" w:rsidRDefault="00D35B7C" w:rsidP="00D1343A">
            <w:pPr>
              <w:ind w:firstLineChars="400" w:firstLine="720"/>
              <w:rPr>
                <w:rFonts w:ascii="Calibri" w:hAnsi="Calibri" w:cs="Calibri"/>
                <w:sz w:val="18"/>
                <w:szCs w:val="18"/>
              </w:rPr>
            </w:pPr>
            <w:r>
              <w:rPr>
                <w:rFonts w:ascii="Calibri" w:hAnsi="Calibri" w:cs="Calibri"/>
                <w:sz w:val="18"/>
                <w:szCs w:val="18"/>
              </w:rPr>
              <w:t>On-Airport RS within the United States</w:t>
            </w:r>
            <w:r w:rsidR="00723E5F">
              <w:t xml:space="preserve"> </w:t>
            </w:r>
            <w:r w:rsidR="00723E5F" w:rsidRPr="00723E5F">
              <w:rPr>
                <w:rFonts w:ascii="Calibri" w:hAnsi="Calibri" w:cs="Calibri"/>
                <w:sz w:val="18"/>
                <w:szCs w:val="18"/>
              </w:rPr>
              <w:t>Record Filing</w:t>
            </w:r>
          </w:p>
        </w:tc>
        <w:tc>
          <w:tcPr>
            <w:tcW w:w="1341" w:type="dxa"/>
            <w:tcBorders>
              <w:top w:val="nil"/>
              <w:left w:val="nil"/>
              <w:bottom w:val="single" w:sz="8" w:space="0" w:color="auto"/>
              <w:right w:val="single" w:sz="8" w:space="0" w:color="auto"/>
            </w:tcBorders>
            <w:shd w:val="clear" w:color="000000" w:fill="FFFFFF"/>
            <w:noWrap/>
            <w:vAlign w:val="center"/>
          </w:tcPr>
          <w:p w:rsidR="00D35B7C" w:rsidRPr="00D1343A" w:rsidRDefault="00D35B7C" w:rsidP="00D1343A">
            <w:pPr>
              <w:jc w:val="right"/>
              <w:rPr>
                <w:rFonts w:ascii="Calibri" w:hAnsi="Calibri" w:cs="Calibri"/>
                <w:sz w:val="18"/>
                <w:szCs w:val="18"/>
              </w:rPr>
            </w:pPr>
            <w:r>
              <w:rPr>
                <w:rFonts w:ascii="Calibri" w:hAnsi="Calibri" w:cs="Calibri"/>
                <w:sz w:val="18"/>
                <w:szCs w:val="18"/>
              </w:rPr>
              <w:t>5</w:t>
            </w:r>
          </w:p>
        </w:tc>
        <w:tc>
          <w:tcPr>
            <w:tcW w:w="1535" w:type="dxa"/>
            <w:tcBorders>
              <w:top w:val="nil"/>
              <w:left w:val="nil"/>
              <w:bottom w:val="single" w:sz="8" w:space="0" w:color="auto"/>
              <w:right w:val="nil"/>
            </w:tcBorders>
            <w:shd w:val="clear" w:color="auto" w:fill="auto"/>
            <w:noWrap/>
            <w:vAlign w:val="center"/>
          </w:tcPr>
          <w:p w:rsidR="00D35B7C" w:rsidRPr="00D1343A" w:rsidRDefault="003B0F77" w:rsidP="00D1343A">
            <w:pPr>
              <w:jc w:val="right"/>
              <w:rPr>
                <w:rFonts w:ascii="Calibri" w:hAnsi="Calibri" w:cs="Calibri"/>
                <w:sz w:val="18"/>
                <w:szCs w:val="18"/>
              </w:rPr>
            </w:pPr>
            <w:r>
              <w:rPr>
                <w:rFonts w:ascii="Calibri" w:hAnsi="Calibri" w:cs="Calibri"/>
                <w:sz w:val="18"/>
                <w:szCs w:val="18"/>
              </w:rPr>
              <w:t>0.025</w:t>
            </w:r>
          </w:p>
        </w:tc>
        <w:tc>
          <w:tcPr>
            <w:tcW w:w="953" w:type="dxa"/>
            <w:tcBorders>
              <w:top w:val="nil"/>
              <w:left w:val="single" w:sz="8" w:space="0" w:color="auto"/>
              <w:bottom w:val="single" w:sz="8" w:space="0" w:color="auto"/>
              <w:right w:val="single" w:sz="8" w:space="0" w:color="auto"/>
            </w:tcBorders>
            <w:shd w:val="clear" w:color="auto" w:fill="auto"/>
            <w:noWrap/>
            <w:vAlign w:val="center"/>
          </w:tcPr>
          <w:p w:rsidR="00D35B7C" w:rsidRPr="00D1343A" w:rsidRDefault="003B0F77" w:rsidP="00D1343A">
            <w:pPr>
              <w:jc w:val="right"/>
              <w:rPr>
                <w:rFonts w:ascii="Calibri" w:hAnsi="Calibri" w:cs="Calibri"/>
                <w:sz w:val="18"/>
                <w:szCs w:val="18"/>
              </w:rPr>
            </w:pPr>
            <w:r>
              <w:rPr>
                <w:rFonts w:ascii="Calibri" w:hAnsi="Calibri" w:cs="Calibri"/>
                <w:sz w:val="18"/>
                <w:szCs w:val="18"/>
              </w:rPr>
              <w:t>.125</w:t>
            </w:r>
          </w:p>
        </w:tc>
        <w:tc>
          <w:tcPr>
            <w:tcW w:w="846" w:type="dxa"/>
            <w:tcBorders>
              <w:top w:val="nil"/>
              <w:left w:val="nil"/>
              <w:bottom w:val="single" w:sz="8" w:space="0" w:color="auto"/>
              <w:right w:val="single" w:sz="8" w:space="0" w:color="auto"/>
            </w:tcBorders>
            <w:shd w:val="clear" w:color="auto" w:fill="auto"/>
            <w:vAlign w:val="center"/>
          </w:tcPr>
          <w:p w:rsidR="00D35B7C" w:rsidRPr="00D1343A" w:rsidRDefault="003B0F77" w:rsidP="00D1343A">
            <w:pPr>
              <w:jc w:val="right"/>
              <w:rPr>
                <w:rFonts w:ascii="Calibri" w:hAnsi="Calibri" w:cs="Calibri"/>
                <w:sz w:val="18"/>
                <w:szCs w:val="18"/>
              </w:rPr>
            </w:pPr>
            <w:r>
              <w:rPr>
                <w:rFonts w:ascii="Calibri" w:hAnsi="Calibri" w:cs="Calibri"/>
                <w:sz w:val="18"/>
                <w:szCs w:val="18"/>
              </w:rPr>
              <w:t>$28.35</w:t>
            </w:r>
          </w:p>
        </w:tc>
        <w:tc>
          <w:tcPr>
            <w:tcW w:w="1188" w:type="dxa"/>
            <w:tcBorders>
              <w:top w:val="nil"/>
              <w:left w:val="nil"/>
              <w:bottom w:val="single" w:sz="8" w:space="0" w:color="auto"/>
              <w:right w:val="single" w:sz="8" w:space="0" w:color="auto"/>
            </w:tcBorders>
            <w:shd w:val="clear" w:color="auto" w:fill="auto"/>
            <w:noWrap/>
            <w:vAlign w:val="center"/>
          </w:tcPr>
          <w:p w:rsidR="00D35B7C" w:rsidRPr="00D1343A" w:rsidRDefault="003B0F77" w:rsidP="00D1343A">
            <w:pPr>
              <w:jc w:val="right"/>
              <w:rPr>
                <w:rFonts w:ascii="Calibri" w:hAnsi="Calibri" w:cs="Calibri"/>
                <w:sz w:val="18"/>
                <w:szCs w:val="18"/>
              </w:rPr>
            </w:pPr>
            <w:r>
              <w:rPr>
                <w:rFonts w:ascii="Calibri" w:hAnsi="Calibri" w:cs="Calibri"/>
                <w:sz w:val="18"/>
                <w:szCs w:val="18"/>
              </w:rPr>
              <w:t>$3.54</w:t>
            </w:r>
          </w:p>
        </w:tc>
      </w:tr>
      <w:tr w:rsidR="00D1343A" w:rsidRPr="00D1343A" w:rsidTr="00116BF5">
        <w:trPr>
          <w:trHeight w:val="315"/>
        </w:trPr>
        <w:tc>
          <w:tcPr>
            <w:tcW w:w="371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1343A" w:rsidRPr="00D1343A" w:rsidRDefault="00D1343A" w:rsidP="00D1343A">
            <w:pPr>
              <w:rPr>
                <w:rFonts w:ascii="Calibri" w:hAnsi="Calibri" w:cs="Calibri"/>
                <w:i/>
                <w:iCs/>
                <w:sz w:val="18"/>
                <w:szCs w:val="18"/>
              </w:rPr>
            </w:pPr>
            <w:r w:rsidRPr="00D1343A">
              <w:rPr>
                <w:rFonts w:ascii="Calibri" w:hAnsi="Calibri" w:cs="Calibri"/>
                <w:i/>
                <w:iCs/>
                <w:sz w:val="18"/>
                <w:szCs w:val="18"/>
              </w:rPr>
              <w:t>Suspension/Revocation</w:t>
            </w:r>
          </w:p>
        </w:tc>
        <w:tc>
          <w:tcPr>
            <w:tcW w:w="1341" w:type="dxa"/>
            <w:tcBorders>
              <w:top w:val="nil"/>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1535" w:type="dxa"/>
            <w:tcBorders>
              <w:top w:val="nil"/>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953" w:type="dxa"/>
            <w:tcBorders>
              <w:top w:val="nil"/>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846" w:type="dxa"/>
            <w:tcBorders>
              <w:top w:val="nil"/>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c>
          <w:tcPr>
            <w:tcW w:w="1188" w:type="dxa"/>
            <w:tcBorders>
              <w:top w:val="nil"/>
              <w:left w:val="nil"/>
              <w:bottom w:val="single" w:sz="8" w:space="0" w:color="auto"/>
              <w:right w:val="single" w:sz="8" w:space="0" w:color="auto"/>
            </w:tcBorders>
            <w:shd w:val="clear" w:color="000000" w:fill="FFFFFF"/>
            <w:noWrap/>
            <w:vAlign w:val="center"/>
            <w:hideMark/>
          </w:tcPr>
          <w:p w:rsidR="00D1343A" w:rsidRPr="00D1343A" w:rsidRDefault="00D1343A" w:rsidP="00D1343A">
            <w:pPr>
              <w:rPr>
                <w:rFonts w:ascii="Calibri" w:hAnsi="Calibri" w:cs="Calibri"/>
                <w:sz w:val="18"/>
                <w:szCs w:val="18"/>
              </w:rPr>
            </w:pPr>
            <w:r w:rsidRPr="00D1343A">
              <w:rPr>
                <w:rFonts w:ascii="Calibri" w:hAnsi="Calibri" w:cs="Calibri"/>
                <w:sz w:val="18"/>
                <w:szCs w:val="18"/>
              </w:rPr>
              <w:t> </w:t>
            </w:r>
          </w:p>
        </w:tc>
      </w:tr>
      <w:tr w:rsidR="00D1343A" w:rsidRPr="00D1343A" w:rsidTr="00116BF5">
        <w:trPr>
          <w:trHeight w:val="300"/>
        </w:trPr>
        <w:tc>
          <w:tcPr>
            <w:tcW w:w="3713" w:type="dxa"/>
            <w:tcBorders>
              <w:top w:val="nil"/>
              <w:left w:val="single" w:sz="8" w:space="0" w:color="auto"/>
              <w:bottom w:val="nil"/>
              <w:right w:val="single" w:sz="8" w:space="0" w:color="auto"/>
            </w:tcBorders>
            <w:shd w:val="clear" w:color="000000" w:fill="FFFFFF"/>
            <w:noWrap/>
            <w:vAlign w:val="center"/>
            <w:hideMark/>
          </w:tcPr>
          <w:p w:rsidR="00D1343A" w:rsidRPr="00D1343A" w:rsidRDefault="00D1343A" w:rsidP="00D1343A">
            <w:pPr>
              <w:ind w:firstLineChars="400" w:firstLine="720"/>
              <w:rPr>
                <w:rFonts w:ascii="Calibri" w:hAnsi="Calibri" w:cs="Calibri"/>
                <w:sz w:val="18"/>
                <w:szCs w:val="18"/>
              </w:rPr>
            </w:pPr>
            <w:r w:rsidRPr="00D1343A">
              <w:rPr>
                <w:rFonts w:ascii="Calibri" w:hAnsi="Calibri" w:cs="Calibri"/>
                <w:sz w:val="18"/>
                <w:szCs w:val="18"/>
              </w:rPr>
              <w:t>On-Airport RS within the United States</w:t>
            </w:r>
          </w:p>
        </w:tc>
        <w:tc>
          <w:tcPr>
            <w:tcW w:w="1341"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1</w:t>
            </w:r>
          </w:p>
        </w:tc>
        <w:tc>
          <w:tcPr>
            <w:tcW w:w="1535"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10</w:t>
            </w:r>
          </w:p>
        </w:tc>
        <w:tc>
          <w:tcPr>
            <w:tcW w:w="953" w:type="dxa"/>
            <w:tcBorders>
              <w:top w:val="nil"/>
              <w:left w:val="nil"/>
              <w:bottom w:val="nil"/>
              <w:right w:val="nil"/>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10</w:t>
            </w:r>
          </w:p>
        </w:tc>
        <w:tc>
          <w:tcPr>
            <w:tcW w:w="84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1343A" w:rsidRPr="00D1343A" w:rsidRDefault="00D1343A" w:rsidP="00D1343A">
            <w:pPr>
              <w:jc w:val="center"/>
              <w:rPr>
                <w:rFonts w:ascii="Calibri" w:hAnsi="Calibri" w:cs="Calibri"/>
                <w:sz w:val="18"/>
                <w:szCs w:val="18"/>
              </w:rPr>
            </w:pPr>
            <w:r w:rsidRPr="00D1343A">
              <w:rPr>
                <w:rFonts w:ascii="Calibri" w:hAnsi="Calibri" w:cs="Calibri"/>
                <w:sz w:val="18"/>
                <w:szCs w:val="18"/>
              </w:rPr>
              <w:t xml:space="preserve">$49.77 </w:t>
            </w:r>
          </w:p>
        </w:tc>
        <w:tc>
          <w:tcPr>
            <w:tcW w:w="1188"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 xml:space="preserve">$497.70 </w:t>
            </w:r>
          </w:p>
        </w:tc>
      </w:tr>
      <w:tr w:rsidR="00D1343A" w:rsidRPr="00D1343A" w:rsidTr="00116BF5">
        <w:trPr>
          <w:trHeight w:val="315"/>
        </w:trPr>
        <w:tc>
          <w:tcPr>
            <w:tcW w:w="3713" w:type="dxa"/>
            <w:tcBorders>
              <w:top w:val="nil"/>
              <w:left w:val="single" w:sz="8" w:space="0" w:color="auto"/>
              <w:bottom w:val="nil"/>
              <w:right w:val="single" w:sz="8" w:space="0" w:color="auto"/>
            </w:tcBorders>
            <w:shd w:val="clear" w:color="000000" w:fill="FFFFFF"/>
            <w:noWrap/>
            <w:vAlign w:val="center"/>
            <w:hideMark/>
          </w:tcPr>
          <w:p w:rsidR="00D1343A" w:rsidRPr="00D1343A" w:rsidRDefault="00D1343A" w:rsidP="00D1343A">
            <w:pPr>
              <w:ind w:firstLineChars="400" w:firstLine="720"/>
              <w:rPr>
                <w:rFonts w:ascii="Calibri" w:hAnsi="Calibri" w:cs="Calibri"/>
                <w:sz w:val="18"/>
                <w:szCs w:val="18"/>
              </w:rPr>
            </w:pPr>
            <w:r w:rsidRPr="00D1343A">
              <w:rPr>
                <w:rFonts w:ascii="Calibri" w:hAnsi="Calibri" w:cs="Calibri"/>
                <w:sz w:val="18"/>
                <w:szCs w:val="18"/>
              </w:rPr>
              <w:t>On-Airport RS outside the United States</w:t>
            </w:r>
          </w:p>
        </w:tc>
        <w:tc>
          <w:tcPr>
            <w:tcW w:w="1341"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9</w:t>
            </w:r>
          </w:p>
        </w:tc>
        <w:tc>
          <w:tcPr>
            <w:tcW w:w="1535"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12</w:t>
            </w:r>
          </w:p>
        </w:tc>
        <w:tc>
          <w:tcPr>
            <w:tcW w:w="953" w:type="dxa"/>
            <w:tcBorders>
              <w:top w:val="nil"/>
              <w:left w:val="nil"/>
              <w:bottom w:val="nil"/>
              <w:right w:val="nil"/>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108</w:t>
            </w:r>
          </w:p>
        </w:tc>
        <w:tc>
          <w:tcPr>
            <w:tcW w:w="846" w:type="dxa"/>
            <w:vMerge/>
            <w:tcBorders>
              <w:top w:val="nil"/>
              <w:left w:val="single" w:sz="8" w:space="0" w:color="auto"/>
              <w:bottom w:val="single" w:sz="8" w:space="0" w:color="000000"/>
              <w:right w:val="single" w:sz="8" w:space="0" w:color="auto"/>
            </w:tcBorders>
            <w:vAlign w:val="center"/>
            <w:hideMark/>
          </w:tcPr>
          <w:p w:rsidR="00D1343A" w:rsidRPr="00D1343A" w:rsidRDefault="00D1343A" w:rsidP="00D1343A">
            <w:pPr>
              <w:rPr>
                <w:rFonts w:ascii="Calibri" w:hAnsi="Calibri" w:cs="Calibri"/>
                <w:sz w:val="18"/>
                <w:szCs w:val="18"/>
              </w:rPr>
            </w:pPr>
          </w:p>
        </w:tc>
        <w:tc>
          <w:tcPr>
            <w:tcW w:w="1188" w:type="dxa"/>
            <w:tcBorders>
              <w:top w:val="nil"/>
              <w:left w:val="nil"/>
              <w:bottom w:val="nil"/>
              <w:right w:val="single" w:sz="8" w:space="0" w:color="auto"/>
            </w:tcBorders>
            <w:shd w:val="clear" w:color="000000" w:fill="FFFFFF"/>
            <w:noWrap/>
            <w:vAlign w:val="center"/>
            <w:hideMark/>
          </w:tcPr>
          <w:p w:rsidR="00D1343A" w:rsidRPr="00D1343A" w:rsidRDefault="00D1343A" w:rsidP="00D1343A">
            <w:pPr>
              <w:jc w:val="right"/>
              <w:rPr>
                <w:rFonts w:ascii="Calibri" w:hAnsi="Calibri" w:cs="Calibri"/>
                <w:sz w:val="18"/>
                <w:szCs w:val="18"/>
              </w:rPr>
            </w:pPr>
            <w:r w:rsidRPr="00D1343A">
              <w:rPr>
                <w:rFonts w:ascii="Calibri" w:hAnsi="Calibri" w:cs="Calibri"/>
                <w:sz w:val="18"/>
                <w:szCs w:val="18"/>
              </w:rPr>
              <w:t xml:space="preserve">$5,375.16 </w:t>
            </w:r>
          </w:p>
        </w:tc>
      </w:tr>
      <w:tr w:rsidR="00D1343A" w:rsidRPr="00D1343A" w:rsidTr="00116BF5">
        <w:trPr>
          <w:trHeight w:val="315"/>
        </w:trPr>
        <w:tc>
          <w:tcPr>
            <w:tcW w:w="371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1343A" w:rsidRPr="00D1343A" w:rsidRDefault="00D1343A" w:rsidP="00D1343A">
            <w:pPr>
              <w:rPr>
                <w:rFonts w:ascii="Calibri" w:hAnsi="Calibri" w:cs="Calibri"/>
                <w:b/>
                <w:bCs/>
                <w:sz w:val="18"/>
                <w:szCs w:val="18"/>
              </w:rPr>
            </w:pPr>
            <w:r w:rsidRPr="00D1343A">
              <w:rPr>
                <w:rFonts w:ascii="Calibri" w:hAnsi="Calibri" w:cs="Calibri"/>
                <w:b/>
                <w:bCs/>
                <w:sz w:val="18"/>
                <w:szCs w:val="18"/>
              </w:rPr>
              <w:t xml:space="preserve">Total </w:t>
            </w:r>
          </w:p>
        </w:tc>
        <w:tc>
          <w:tcPr>
            <w:tcW w:w="1341" w:type="dxa"/>
            <w:tcBorders>
              <w:top w:val="single" w:sz="8" w:space="0" w:color="auto"/>
              <w:left w:val="nil"/>
              <w:bottom w:val="single" w:sz="8" w:space="0" w:color="auto"/>
              <w:right w:val="single" w:sz="8" w:space="0" w:color="auto"/>
            </w:tcBorders>
            <w:shd w:val="clear" w:color="000000" w:fill="FFFFFF"/>
            <w:noWrap/>
            <w:vAlign w:val="center"/>
            <w:hideMark/>
          </w:tcPr>
          <w:p w:rsidR="00D1343A" w:rsidRPr="00D1343A" w:rsidRDefault="002604C8" w:rsidP="00D1343A">
            <w:pPr>
              <w:jc w:val="right"/>
              <w:rPr>
                <w:rFonts w:ascii="Calibri" w:hAnsi="Calibri" w:cs="Calibri"/>
                <w:b/>
                <w:bCs/>
                <w:sz w:val="18"/>
                <w:szCs w:val="18"/>
              </w:rPr>
            </w:pPr>
            <w:r>
              <w:rPr>
                <w:rFonts w:ascii="Calibri" w:hAnsi="Calibri" w:cs="Calibri"/>
                <w:b/>
                <w:bCs/>
                <w:sz w:val="18"/>
                <w:szCs w:val="18"/>
              </w:rPr>
              <w:t>20</w:t>
            </w:r>
          </w:p>
        </w:tc>
        <w:tc>
          <w:tcPr>
            <w:tcW w:w="1535" w:type="dxa"/>
            <w:tcBorders>
              <w:top w:val="single" w:sz="8" w:space="0" w:color="auto"/>
              <w:left w:val="nil"/>
              <w:bottom w:val="single" w:sz="8" w:space="0" w:color="auto"/>
              <w:right w:val="nil"/>
            </w:tcBorders>
            <w:shd w:val="clear" w:color="000000" w:fill="FFFFFF"/>
            <w:noWrap/>
            <w:vAlign w:val="center"/>
            <w:hideMark/>
          </w:tcPr>
          <w:p w:rsidR="00D1343A" w:rsidRPr="00D1343A" w:rsidRDefault="00D1343A" w:rsidP="00D1343A">
            <w:pPr>
              <w:rPr>
                <w:rFonts w:ascii="Calibri" w:hAnsi="Calibri" w:cs="Calibri"/>
                <w:b/>
                <w:bCs/>
                <w:sz w:val="18"/>
                <w:szCs w:val="18"/>
              </w:rPr>
            </w:pPr>
            <w:r w:rsidRPr="00D1343A">
              <w:rPr>
                <w:rFonts w:ascii="Calibri" w:hAnsi="Calibri" w:cs="Calibri"/>
                <w:b/>
                <w:bCs/>
                <w:sz w:val="18"/>
                <w:szCs w:val="18"/>
              </w:rPr>
              <w:t> </w:t>
            </w:r>
          </w:p>
        </w:tc>
        <w:tc>
          <w:tcPr>
            <w:tcW w:w="95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1343A" w:rsidRPr="00D1343A" w:rsidRDefault="005F7187" w:rsidP="00AC7B22">
            <w:pPr>
              <w:jc w:val="right"/>
              <w:rPr>
                <w:rFonts w:ascii="Calibri" w:hAnsi="Calibri" w:cs="Calibri"/>
                <w:b/>
                <w:bCs/>
                <w:sz w:val="18"/>
                <w:szCs w:val="18"/>
              </w:rPr>
            </w:pPr>
            <w:r>
              <w:rPr>
                <w:rFonts w:ascii="Calibri" w:hAnsi="Calibri" w:cs="Calibri"/>
                <w:b/>
                <w:bCs/>
                <w:sz w:val="18"/>
                <w:szCs w:val="18"/>
              </w:rPr>
              <w:t>118.25</w:t>
            </w:r>
          </w:p>
        </w:tc>
        <w:tc>
          <w:tcPr>
            <w:tcW w:w="846" w:type="dxa"/>
            <w:tcBorders>
              <w:top w:val="nil"/>
              <w:left w:val="nil"/>
              <w:bottom w:val="single" w:sz="8" w:space="0" w:color="auto"/>
              <w:right w:val="single" w:sz="8" w:space="0" w:color="auto"/>
            </w:tcBorders>
            <w:shd w:val="clear" w:color="000000" w:fill="FFFFFF"/>
            <w:noWrap/>
            <w:vAlign w:val="center"/>
            <w:hideMark/>
          </w:tcPr>
          <w:p w:rsidR="00D1343A" w:rsidRPr="00D1343A" w:rsidRDefault="00D1343A" w:rsidP="00D1343A">
            <w:pPr>
              <w:rPr>
                <w:rFonts w:ascii="Calibri" w:hAnsi="Calibri" w:cs="Calibri"/>
                <w:b/>
                <w:bCs/>
                <w:sz w:val="18"/>
                <w:szCs w:val="18"/>
              </w:rPr>
            </w:pPr>
            <w:r w:rsidRPr="00D1343A">
              <w:rPr>
                <w:rFonts w:ascii="Calibri" w:hAnsi="Calibri" w:cs="Calibri"/>
                <w:b/>
                <w:bCs/>
                <w:sz w:val="18"/>
                <w:szCs w:val="18"/>
              </w:rPr>
              <w:t> </w:t>
            </w:r>
          </w:p>
        </w:tc>
        <w:tc>
          <w:tcPr>
            <w:tcW w:w="1188" w:type="dxa"/>
            <w:tcBorders>
              <w:top w:val="single" w:sz="8" w:space="0" w:color="auto"/>
              <w:left w:val="nil"/>
              <w:bottom w:val="single" w:sz="8" w:space="0" w:color="auto"/>
              <w:right w:val="single" w:sz="8" w:space="0" w:color="auto"/>
            </w:tcBorders>
            <w:shd w:val="clear" w:color="000000" w:fill="FFFFFF"/>
            <w:noWrap/>
            <w:vAlign w:val="center"/>
            <w:hideMark/>
          </w:tcPr>
          <w:p w:rsidR="00D1343A" w:rsidRPr="00D1343A" w:rsidRDefault="00D1343A" w:rsidP="00011EF7">
            <w:pPr>
              <w:jc w:val="right"/>
              <w:rPr>
                <w:rFonts w:ascii="Calibri" w:hAnsi="Calibri" w:cs="Calibri"/>
                <w:b/>
                <w:bCs/>
                <w:sz w:val="18"/>
                <w:szCs w:val="18"/>
              </w:rPr>
            </w:pPr>
            <w:r w:rsidRPr="00D1343A">
              <w:rPr>
                <w:rFonts w:ascii="Calibri" w:hAnsi="Calibri" w:cs="Calibri"/>
                <w:b/>
                <w:bCs/>
                <w:sz w:val="18"/>
                <w:szCs w:val="18"/>
              </w:rPr>
              <w:t>$</w:t>
            </w:r>
            <w:r w:rsidR="005F7187">
              <w:rPr>
                <w:rFonts w:ascii="Calibri" w:hAnsi="Calibri" w:cs="Calibri"/>
                <w:b/>
                <w:bCs/>
                <w:sz w:val="18"/>
                <w:szCs w:val="18"/>
              </w:rPr>
              <w:t>5,</w:t>
            </w:r>
            <w:r w:rsidR="00011EF7">
              <w:rPr>
                <w:rFonts w:ascii="Calibri" w:hAnsi="Calibri" w:cs="Calibri"/>
                <w:b/>
                <w:bCs/>
                <w:sz w:val="18"/>
                <w:szCs w:val="18"/>
              </w:rPr>
              <w:t>880.19</w:t>
            </w:r>
          </w:p>
        </w:tc>
      </w:tr>
    </w:tbl>
    <w:p w:rsidR="00BD2E87" w:rsidRDefault="00BD2E87" w:rsidP="00BD2E87">
      <w:pPr>
        <w:keepNext/>
        <w:numPr>
          <w:ilvl w:val="12"/>
          <w:numId w:val="0"/>
        </w:numPr>
        <w:ind w:left="360"/>
      </w:pPr>
    </w:p>
    <w:p w:rsidR="00BD2E87" w:rsidRDefault="00BD2E87" w:rsidP="00BD2E87">
      <w:pPr>
        <w:numPr>
          <w:ilvl w:val="12"/>
          <w:numId w:val="0"/>
        </w:numPr>
        <w:ind w:left="360"/>
      </w:pPr>
    </w:p>
    <w:p w:rsidR="00BD2E87" w:rsidRDefault="00BD2E87" w:rsidP="00BD2E87">
      <w:pPr>
        <w:numPr>
          <w:ilvl w:val="12"/>
          <w:numId w:val="0"/>
        </w:numPr>
      </w:pPr>
    </w:p>
    <w:p w:rsidR="00BD2E87" w:rsidRDefault="00BD2E87" w:rsidP="00BD2E87">
      <w:pPr>
        <w:keepNext/>
        <w:numPr>
          <w:ilvl w:val="0"/>
          <w:numId w:val="11"/>
        </w:numPr>
        <w:tabs>
          <w:tab w:val="left" w:pos="360"/>
        </w:tabs>
        <w:rPr>
          <w:b/>
          <w:i/>
        </w:rPr>
      </w:pPr>
      <w:r>
        <w:rPr>
          <w:b/>
          <w:i/>
        </w:rPr>
        <w:t xml:space="preserve">Provide an estimate </w:t>
      </w:r>
      <w:r w:rsidRPr="00A21B38">
        <w:rPr>
          <w:b/>
          <w:i/>
        </w:rPr>
        <w:t>of annualized capital and start-up costs</w:t>
      </w:r>
      <w:r w:rsidR="00081710" w:rsidRPr="00A21B38">
        <w:rPr>
          <w:b/>
          <w:i/>
        </w:rPr>
        <w:t>.</w:t>
      </w:r>
    </w:p>
    <w:p w:rsidR="00BD2E87" w:rsidRPr="00DB7CF2" w:rsidRDefault="00BD2E87" w:rsidP="00BD2E87">
      <w:pPr>
        <w:numPr>
          <w:ilvl w:val="12"/>
          <w:numId w:val="0"/>
        </w:numPr>
        <w:ind w:left="360"/>
      </w:pPr>
    </w:p>
    <w:p w:rsidR="00BD2E87" w:rsidRDefault="00BD2E87" w:rsidP="00BD2E87">
      <w:pPr>
        <w:numPr>
          <w:ilvl w:val="12"/>
          <w:numId w:val="0"/>
        </w:numPr>
        <w:ind w:left="360"/>
      </w:pPr>
      <w:r>
        <w:t xml:space="preserve">There </w:t>
      </w:r>
      <w:proofErr w:type="gramStart"/>
      <w:r>
        <w:t>are</w:t>
      </w:r>
      <w:proofErr w:type="gramEnd"/>
      <w:r>
        <w:t xml:space="preserve"> no start-up costs associated with the information collection. </w:t>
      </w:r>
      <w:r w:rsidR="00FC14D9">
        <w:t>Further, t</w:t>
      </w:r>
      <w:r w:rsidR="00FC14D9" w:rsidRPr="00FC14D9">
        <w:t xml:space="preserve">he cost analysis for this information collection does not take into account recordkeeping costs, because prior to TSA requiring recordkeeping of employment history records for Aircraft Repair Stations, the requirement of recordkeeping was already practiced industry-wide as a normal course of conducting business.  As such, the recordkeeping requirement does not pose an additional burden costs to Aircraft Repair Stations or at most a de </w:t>
      </w:r>
      <w:proofErr w:type="spellStart"/>
      <w:r w:rsidR="00FC14D9" w:rsidRPr="00FC14D9">
        <w:t>minimis</w:t>
      </w:r>
      <w:proofErr w:type="spellEnd"/>
      <w:r w:rsidR="00FC14D9" w:rsidRPr="00FC14D9">
        <w:t xml:space="preserve"> cost. </w:t>
      </w:r>
      <w:r w:rsidR="00636083" w:rsidRPr="00636083">
        <w:t xml:space="preserve"> </w:t>
      </w:r>
      <w:bookmarkStart w:id="0" w:name="_GoBack"/>
      <w:bookmarkEnd w:id="0"/>
    </w:p>
    <w:p w:rsidR="00BD2E87" w:rsidRDefault="00BD2E87" w:rsidP="00BD2E87">
      <w:pPr>
        <w:pStyle w:val="IndexHeading"/>
        <w:keepNext w:val="0"/>
        <w:numPr>
          <w:ilvl w:val="12"/>
          <w:numId w:val="0"/>
        </w:numPr>
        <w:spacing w:line="240" w:lineRule="auto"/>
        <w:rPr>
          <w:rFonts w:ascii="Times New Roman" w:hAnsi="Times New Roman"/>
          <w:spacing w:val="0"/>
        </w:rPr>
      </w:pPr>
    </w:p>
    <w:p w:rsidR="00BD2E87" w:rsidRDefault="00BD2E87" w:rsidP="00BD2E8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BD2E87" w:rsidRDefault="00BD2E87" w:rsidP="00BD2E87">
      <w:pPr>
        <w:keepNext/>
        <w:tabs>
          <w:tab w:val="left" w:pos="360"/>
        </w:tabs>
        <w:rPr>
          <w:b/>
          <w:i/>
        </w:rPr>
      </w:pPr>
    </w:p>
    <w:p w:rsidR="00D34FF6" w:rsidRDefault="00FE5259" w:rsidP="00D34FF6">
      <w:pPr>
        <w:numPr>
          <w:ilvl w:val="12"/>
          <w:numId w:val="0"/>
        </w:numPr>
        <w:ind w:left="360"/>
        <w:rPr>
          <w:color w:val="auto"/>
        </w:rPr>
      </w:pPr>
      <w:r>
        <w:rPr>
          <w:color w:val="auto"/>
        </w:rPr>
        <w:t xml:space="preserve">As previously discussed, </w:t>
      </w:r>
      <w:r w:rsidR="00D34FF6">
        <w:rPr>
          <w:color w:val="auto"/>
        </w:rPr>
        <w:t xml:space="preserve">49 CFR </w:t>
      </w:r>
      <w:r>
        <w:rPr>
          <w:color w:val="auto"/>
        </w:rPr>
        <w:t xml:space="preserve">part </w:t>
      </w:r>
      <w:r w:rsidR="00D34FF6">
        <w:rPr>
          <w:color w:val="auto"/>
        </w:rPr>
        <w:t xml:space="preserve">1554 requires TSA to verify information maintained by the respondents. </w:t>
      </w:r>
      <w:r w:rsidR="00D34FF6" w:rsidRPr="00A83D8B">
        <w:rPr>
          <w:color w:val="auto"/>
        </w:rPr>
        <w:t>The Federal government will incur costs to review employment history records</w:t>
      </w:r>
      <w:r w:rsidR="00D34FF6">
        <w:rPr>
          <w:color w:val="auto"/>
        </w:rPr>
        <w:t xml:space="preserve"> which will occur</w:t>
      </w:r>
      <w:r w:rsidR="00D34FF6" w:rsidRPr="00A83D8B">
        <w:rPr>
          <w:color w:val="auto"/>
        </w:rPr>
        <w:t xml:space="preserve"> when </w:t>
      </w:r>
      <w:r w:rsidR="00D34FF6">
        <w:rPr>
          <w:color w:val="auto"/>
        </w:rPr>
        <w:t xml:space="preserve">TSA performs live inspections. </w:t>
      </w:r>
    </w:p>
    <w:p w:rsidR="00D34FF6" w:rsidRDefault="00D34FF6" w:rsidP="00D34FF6">
      <w:pPr>
        <w:numPr>
          <w:ilvl w:val="12"/>
          <w:numId w:val="0"/>
        </w:numPr>
        <w:ind w:left="360"/>
        <w:rPr>
          <w:color w:val="auto"/>
        </w:rPr>
      </w:pPr>
    </w:p>
    <w:p w:rsidR="00D34FF6" w:rsidRDefault="00D34FF6" w:rsidP="00D34FF6">
      <w:pPr>
        <w:numPr>
          <w:ilvl w:val="12"/>
          <w:numId w:val="0"/>
        </w:numPr>
        <w:ind w:left="360"/>
      </w:pPr>
      <w:r>
        <w:rPr>
          <w:color w:val="auto"/>
        </w:rPr>
        <w:lastRenderedPageBreak/>
        <w:t>To estimate the yearly hour and cost burden to the Federal government, TSA multiplies the wage rate for a TSA Transportation Security Inspector (TSI) by the average hourly time it takes for a respective information collection activity to ensure compliance with the regulation as described previously.  TSA used salary data collected from the Office of Financial Management to create an average fully loaded wage based on I and J band inspectors; $58.89 for TSA domestic inspectors and $55.35 for TSA foreign inspectors.</w:t>
      </w:r>
    </w:p>
    <w:p w:rsidR="00D34FF6" w:rsidRDefault="00D34FF6" w:rsidP="00BD2E87">
      <w:pPr>
        <w:numPr>
          <w:ilvl w:val="12"/>
          <w:numId w:val="0"/>
        </w:numPr>
        <w:ind w:left="360"/>
      </w:pPr>
    </w:p>
    <w:p w:rsidR="00D34FF6" w:rsidRPr="00081710" w:rsidRDefault="00D34FF6" w:rsidP="00081710">
      <w:pPr>
        <w:keepNext/>
        <w:numPr>
          <w:ilvl w:val="12"/>
          <w:numId w:val="0"/>
        </w:numPr>
        <w:ind w:left="360"/>
        <w:rPr>
          <w:u w:val="single"/>
        </w:rPr>
      </w:pPr>
      <w:r w:rsidRPr="00081710">
        <w:rPr>
          <w:u w:val="single"/>
        </w:rPr>
        <w:t>Inspections</w:t>
      </w:r>
    </w:p>
    <w:p w:rsidR="00D34FF6" w:rsidRDefault="00D34FF6" w:rsidP="00BD2E87">
      <w:pPr>
        <w:numPr>
          <w:ilvl w:val="12"/>
          <w:numId w:val="0"/>
        </w:numPr>
        <w:ind w:left="360"/>
      </w:pPr>
    </w:p>
    <w:p w:rsidR="00BD2E87" w:rsidRDefault="00BD2E87" w:rsidP="00BD2E87">
      <w:pPr>
        <w:numPr>
          <w:ilvl w:val="12"/>
          <w:numId w:val="0"/>
        </w:numPr>
        <w:ind w:left="360"/>
      </w:pPr>
      <w:r w:rsidRPr="009C0A41">
        <w:t xml:space="preserve">The Federal </w:t>
      </w:r>
      <w:r w:rsidR="00FE5259">
        <w:t>g</w:t>
      </w:r>
      <w:r w:rsidRPr="009C0A41">
        <w:t xml:space="preserve">overnment </w:t>
      </w:r>
      <w:r w:rsidR="000623C2">
        <w:t>is</w:t>
      </w:r>
      <w:r w:rsidR="00CF6F18">
        <w:t xml:space="preserve"> responsible for conducting live inspections and </w:t>
      </w:r>
      <w:r w:rsidR="00081710">
        <w:t>validating</w:t>
      </w:r>
      <w:r w:rsidR="00CF6F18">
        <w:t xml:space="preserve"> that repair stations store the employment records of their security point of contact among other requirements</w:t>
      </w:r>
      <w:r w:rsidRPr="009C0A41">
        <w:t>.</w:t>
      </w:r>
      <w:r w:rsidR="00CF6F18">
        <w:t xml:space="preserve"> TSA expects to conduct 434 comprehensive and 442 targeted inspections at domestic repair stations in the next three years.</w:t>
      </w:r>
      <w:r w:rsidR="00D34FF6">
        <w:t xml:space="preserve"> This averages to 144.67 and 147.33 comprehensive and targeted inspections to occur annually. TSA estimates it takes </w:t>
      </w:r>
      <w:r w:rsidR="00FE5259">
        <w:t xml:space="preserve">one </w:t>
      </w:r>
      <w:r w:rsidR="00D34FF6">
        <w:t>hour to perform a comprehensive inspection and 0.5 hours to perform a targeted inspection.</w:t>
      </w:r>
      <w:r w:rsidR="00EE743C" w:rsidRPr="00EE743C">
        <w:rPr>
          <w:rFonts w:cs="Times New Roman"/>
          <w:bCs/>
          <w:szCs w:val="24"/>
        </w:rPr>
        <w:t xml:space="preserve"> </w:t>
      </w:r>
      <w:r w:rsidR="00EE743C">
        <w:rPr>
          <w:rFonts w:cs="Times New Roman"/>
          <w:bCs/>
          <w:szCs w:val="24"/>
        </w:rPr>
        <w:t>TSA calculates an annual cost burden for domestic repair station inspections at $</w:t>
      </w:r>
      <w:r w:rsidR="00D35B7C">
        <w:rPr>
          <w:rFonts w:cs="Times New Roman"/>
          <w:bCs/>
          <w:szCs w:val="24"/>
        </w:rPr>
        <w:t>12857.75</w:t>
      </w:r>
      <w:r w:rsidR="00EE743C">
        <w:rPr>
          <w:rFonts w:cs="Times New Roman"/>
          <w:bCs/>
          <w:szCs w:val="24"/>
        </w:rPr>
        <w:t xml:space="preserve"> (</w:t>
      </w:r>
      <w:r w:rsidR="002604C8">
        <w:rPr>
          <w:rFonts w:cs="Times New Roman"/>
          <w:bCs/>
          <w:szCs w:val="24"/>
        </w:rPr>
        <w:t>(</w:t>
      </w:r>
      <w:r w:rsidR="00EE743C">
        <w:rPr>
          <w:rFonts w:cs="Times New Roman"/>
          <w:bCs/>
          <w:szCs w:val="24"/>
        </w:rPr>
        <w:t>1 hour x $58.89 x 144.67</w:t>
      </w:r>
      <w:r w:rsidR="00D35B7C">
        <w:rPr>
          <w:rFonts w:cs="Times New Roman"/>
          <w:bCs/>
          <w:szCs w:val="24"/>
        </w:rPr>
        <w:t xml:space="preserve"> = $8,519.62</w:t>
      </w:r>
      <w:r w:rsidR="00EE743C">
        <w:rPr>
          <w:rFonts w:cs="Times New Roman"/>
          <w:bCs/>
          <w:szCs w:val="24"/>
        </w:rPr>
        <w:t xml:space="preserve"> </w:t>
      </w:r>
      <w:r w:rsidR="00D35B7C">
        <w:rPr>
          <w:rFonts w:cs="Times New Roman"/>
          <w:bCs/>
          <w:szCs w:val="24"/>
        </w:rPr>
        <w:t xml:space="preserve">comprehensive </w:t>
      </w:r>
      <w:r w:rsidR="00EE743C">
        <w:rPr>
          <w:rFonts w:cs="Times New Roman"/>
          <w:bCs/>
          <w:szCs w:val="24"/>
        </w:rPr>
        <w:t>inspections</w:t>
      </w:r>
      <w:r w:rsidR="002604C8">
        <w:rPr>
          <w:rFonts w:cs="Times New Roman"/>
          <w:bCs/>
          <w:szCs w:val="24"/>
        </w:rPr>
        <w:t>)</w:t>
      </w:r>
      <w:r w:rsidR="00EE743C">
        <w:rPr>
          <w:rFonts w:cs="Times New Roman"/>
          <w:bCs/>
          <w:szCs w:val="24"/>
        </w:rPr>
        <w:t xml:space="preserve"> + </w:t>
      </w:r>
      <w:r w:rsidR="002604C8">
        <w:rPr>
          <w:rFonts w:cs="Times New Roman"/>
          <w:bCs/>
          <w:szCs w:val="24"/>
        </w:rPr>
        <w:t>(</w:t>
      </w:r>
      <w:r w:rsidR="00EE743C">
        <w:rPr>
          <w:rFonts w:cs="Times New Roman"/>
          <w:bCs/>
          <w:szCs w:val="24"/>
        </w:rPr>
        <w:t xml:space="preserve">0.5 hours x $58.89 x 147.33 </w:t>
      </w:r>
      <w:r w:rsidR="00D35B7C">
        <w:rPr>
          <w:rFonts w:cs="Times New Roman"/>
          <w:bCs/>
          <w:szCs w:val="24"/>
        </w:rPr>
        <w:t xml:space="preserve">= 4338.13 targeted </w:t>
      </w:r>
      <w:r w:rsidR="00EE743C">
        <w:rPr>
          <w:rFonts w:cs="Times New Roman"/>
          <w:bCs/>
          <w:szCs w:val="24"/>
        </w:rPr>
        <w:t>inspections)</w:t>
      </w:r>
      <w:r w:rsidR="002604C8">
        <w:rPr>
          <w:rFonts w:cs="Times New Roman"/>
          <w:bCs/>
          <w:szCs w:val="24"/>
        </w:rPr>
        <w:t>)</w:t>
      </w:r>
      <w:r w:rsidR="00EE743C">
        <w:rPr>
          <w:rFonts w:cs="Times New Roman"/>
          <w:bCs/>
          <w:szCs w:val="24"/>
        </w:rPr>
        <w:t>.</w:t>
      </w:r>
    </w:p>
    <w:p w:rsidR="00D34FF6" w:rsidRDefault="00D34FF6" w:rsidP="00BD2E87">
      <w:pPr>
        <w:numPr>
          <w:ilvl w:val="12"/>
          <w:numId w:val="0"/>
        </w:numPr>
        <w:ind w:left="360"/>
      </w:pPr>
    </w:p>
    <w:p w:rsidR="00D34FF6" w:rsidRDefault="00D34FF6" w:rsidP="00BD2E87">
      <w:pPr>
        <w:numPr>
          <w:ilvl w:val="12"/>
          <w:numId w:val="0"/>
        </w:numPr>
        <w:ind w:left="360"/>
        <w:rPr>
          <w:rFonts w:cs="Times New Roman"/>
          <w:bCs/>
          <w:szCs w:val="24"/>
        </w:rPr>
      </w:pPr>
      <w:r>
        <w:t xml:space="preserve">TSA expects to conduct </w:t>
      </w:r>
      <w:r w:rsidR="00EE743C">
        <w:t>2</w:t>
      </w:r>
      <w:r w:rsidR="0069186C">
        <w:t>3</w:t>
      </w:r>
      <w:r w:rsidR="00EE743C">
        <w:t>1</w:t>
      </w:r>
      <w:r>
        <w:t xml:space="preserve"> </w:t>
      </w:r>
      <w:r w:rsidR="00EE743C">
        <w:t>live</w:t>
      </w:r>
      <w:r>
        <w:t xml:space="preserve"> inspections at </w:t>
      </w:r>
      <w:r w:rsidR="00EE743C">
        <w:t>foreign</w:t>
      </w:r>
      <w:r>
        <w:t xml:space="preserve"> repair stations in the next three years. This averages to </w:t>
      </w:r>
      <w:r w:rsidR="00EE743C">
        <w:t>7</w:t>
      </w:r>
      <w:r w:rsidR="0069186C">
        <w:t>7</w:t>
      </w:r>
      <w:r>
        <w:t xml:space="preserve"> </w:t>
      </w:r>
      <w:r w:rsidR="00EE743C">
        <w:t>live</w:t>
      </w:r>
      <w:r>
        <w:t xml:space="preserve"> inspections to occur annually. TSA estimates it takes </w:t>
      </w:r>
      <w:r w:rsidR="00FE5259">
        <w:t>one</w:t>
      </w:r>
      <w:r>
        <w:t xml:space="preserve"> hour to perform a </w:t>
      </w:r>
      <w:r w:rsidR="00EE743C">
        <w:t>live</w:t>
      </w:r>
      <w:r>
        <w:t xml:space="preserve"> inspection.</w:t>
      </w:r>
      <w:r w:rsidR="00EE743C" w:rsidRPr="00EE743C">
        <w:rPr>
          <w:rFonts w:cs="Times New Roman"/>
          <w:bCs/>
          <w:szCs w:val="24"/>
        </w:rPr>
        <w:t xml:space="preserve"> </w:t>
      </w:r>
      <w:r w:rsidR="00EE743C">
        <w:rPr>
          <w:rFonts w:cs="Times New Roman"/>
          <w:bCs/>
          <w:szCs w:val="24"/>
        </w:rPr>
        <w:t xml:space="preserve">TSA calculates an annual cost burden for foreign repair station </w:t>
      </w:r>
      <w:r w:rsidR="00957AC5">
        <w:rPr>
          <w:rFonts w:cs="Times New Roman"/>
          <w:bCs/>
          <w:szCs w:val="24"/>
        </w:rPr>
        <w:t>inspections</w:t>
      </w:r>
      <w:r w:rsidR="00EE743C">
        <w:rPr>
          <w:rFonts w:cs="Times New Roman"/>
          <w:bCs/>
          <w:szCs w:val="24"/>
        </w:rPr>
        <w:t xml:space="preserve"> at $</w:t>
      </w:r>
      <w:r w:rsidR="00957AC5">
        <w:rPr>
          <w:rFonts w:cs="Times New Roman"/>
          <w:bCs/>
          <w:szCs w:val="24"/>
        </w:rPr>
        <w:t>4</w:t>
      </w:r>
      <w:r w:rsidR="00EE743C">
        <w:rPr>
          <w:rFonts w:cs="Times New Roman"/>
          <w:bCs/>
          <w:szCs w:val="24"/>
        </w:rPr>
        <w:t>,</w:t>
      </w:r>
      <w:r w:rsidR="0069186C">
        <w:rPr>
          <w:rFonts w:cs="Times New Roman"/>
          <w:bCs/>
          <w:szCs w:val="24"/>
        </w:rPr>
        <w:t>261</w:t>
      </w:r>
      <w:r w:rsidR="00EE743C">
        <w:rPr>
          <w:rFonts w:cs="Times New Roman"/>
          <w:bCs/>
          <w:szCs w:val="24"/>
        </w:rPr>
        <w:t>.</w:t>
      </w:r>
      <w:r w:rsidR="0069186C">
        <w:rPr>
          <w:rFonts w:cs="Times New Roman"/>
          <w:bCs/>
          <w:szCs w:val="24"/>
        </w:rPr>
        <w:t>95</w:t>
      </w:r>
      <w:r w:rsidR="00EE743C">
        <w:rPr>
          <w:rFonts w:cs="Times New Roman"/>
          <w:bCs/>
          <w:szCs w:val="24"/>
        </w:rPr>
        <w:t xml:space="preserve"> (1 hour x $</w:t>
      </w:r>
      <w:r w:rsidR="00EF3D87">
        <w:rPr>
          <w:rFonts w:cs="Times New Roman"/>
          <w:bCs/>
          <w:szCs w:val="24"/>
        </w:rPr>
        <w:t>55</w:t>
      </w:r>
      <w:r w:rsidR="00EE743C">
        <w:rPr>
          <w:rFonts w:cs="Times New Roman"/>
          <w:bCs/>
          <w:szCs w:val="24"/>
        </w:rPr>
        <w:t>.</w:t>
      </w:r>
      <w:r w:rsidR="00EF3D87">
        <w:rPr>
          <w:rFonts w:cs="Times New Roman"/>
          <w:bCs/>
          <w:szCs w:val="24"/>
        </w:rPr>
        <w:t>35</w:t>
      </w:r>
      <w:r w:rsidR="00EE743C">
        <w:rPr>
          <w:rFonts w:cs="Times New Roman"/>
          <w:bCs/>
          <w:szCs w:val="24"/>
        </w:rPr>
        <w:t xml:space="preserve"> x </w:t>
      </w:r>
      <w:r w:rsidR="00EF3D87">
        <w:rPr>
          <w:rFonts w:cs="Times New Roman"/>
          <w:bCs/>
          <w:szCs w:val="24"/>
        </w:rPr>
        <w:t>77</w:t>
      </w:r>
      <w:r w:rsidR="00EE743C">
        <w:rPr>
          <w:rFonts w:cs="Times New Roman"/>
          <w:bCs/>
          <w:szCs w:val="24"/>
        </w:rPr>
        <w:t xml:space="preserve"> repair stations).</w:t>
      </w:r>
    </w:p>
    <w:p w:rsidR="00794DCB" w:rsidRDefault="00794DCB" w:rsidP="00BD2E87">
      <w:pPr>
        <w:numPr>
          <w:ilvl w:val="12"/>
          <w:numId w:val="0"/>
        </w:numPr>
        <w:ind w:left="360"/>
      </w:pPr>
    </w:p>
    <w:p w:rsidR="00794DCB" w:rsidRPr="00034770" w:rsidRDefault="00794DCB" w:rsidP="00794DCB">
      <w:pPr>
        <w:numPr>
          <w:ilvl w:val="12"/>
          <w:numId w:val="0"/>
        </w:numPr>
        <w:ind w:left="360"/>
        <w:rPr>
          <w:rFonts w:cs="Times New Roman"/>
          <w:szCs w:val="24"/>
          <w:u w:val="single"/>
        </w:rPr>
      </w:pPr>
      <w:r w:rsidRPr="00034770">
        <w:rPr>
          <w:rFonts w:cs="Times New Roman"/>
          <w:szCs w:val="24"/>
          <w:u w:val="single"/>
        </w:rPr>
        <w:t>Summary</w:t>
      </w:r>
    </w:p>
    <w:p w:rsidR="00794DCB" w:rsidRDefault="00794DCB" w:rsidP="00794DCB">
      <w:pPr>
        <w:numPr>
          <w:ilvl w:val="12"/>
          <w:numId w:val="0"/>
        </w:numPr>
        <w:rPr>
          <w:color w:val="auto"/>
        </w:rPr>
      </w:pPr>
    </w:p>
    <w:p w:rsidR="00794DCB" w:rsidRDefault="00794DCB" w:rsidP="00794DCB">
      <w:pPr>
        <w:numPr>
          <w:ilvl w:val="12"/>
          <w:numId w:val="0"/>
        </w:numPr>
        <w:ind w:left="360"/>
      </w:pPr>
      <w:r>
        <w:t xml:space="preserve">TSA estimates a total yearly average hour burden of </w:t>
      </w:r>
      <w:r w:rsidR="00FC7FD2">
        <w:t>29</w:t>
      </w:r>
      <w:r w:rsidR="002604C8">
        <w:t>5</w:t>
      </w:r>
      <w:r>
        <w:t xml:space="preserve"> hours to the federal government at a cost of $1</w:t>
      </w:r>
      <w:r w:rsidR="0069186C">
        <w:t>7</w:t>
      </w:r>
      <w:r>
        <w:t>,</w:t>
      </w:r>
      <w:r w:rsidR="0069186C">
        <w:t>119</w:t>
      </w:r>
      <w:r>
        <w:t>.</w:t>
      </w:r>
      <w:r w:rsidR="0069186C">
        <w:t>70</w:t>
      </w:r>
      <w:r>
        <w:t>. The following table shows the estimate hour and cost burden to TSA as a result of the information collections described above.</w:t>
      </w:r>
    </w:p>
    <w:p w:rsidR="00794DCB" w:rsidRPr="00A83D8B" w:rsidRDefault="00794DCB" w:rsidP="00794DCB">
      <w:pPr>
        <w:numPr>
          <w:ilvl w:val="12"/>
          <w:numId w:val="0"/>
        </w:numPr>
        <w:rPr>
          <w:color w:val="auto"/>
        </w:rPr>
      </w:pPr>
    </w:p>
    <w:p w:rsidR="00794DCB" w:rsidRDefault="00794DCB" w:rsidP="00794DCB">
      <w:pPr>
        <w:numPr>
          <w:ilvl w:val="12"/>
          <w:numId w:val="0"/>
        </w:numPr>
        <w:rPr>
          <w:color w:val="auto"/>
        </w:rPr>
      </w:pPr>
    </w:p>
    <w:tbl>
      <w:tblPr>
        <w:tblW w:w="0" w:type="auto"/>
        <w:tblInd w:w="93" w:type="dxa"/>
        <w:tblLayout w:type="fixed"/>
        <w:tblLook w:val="04A0" w:firstRow="1" w:lastRow="0" w:firstColumn="1" w:lastColumn="0" w:noHBand="0" w:noVBand="1"/>
      </w:tblPr>
      <w:tblGrid>
        <w:gridCol w:w="4695"/>
        <w:gridCol w:w="900"/>
        <w:gridCol w:w="900"/>
        <w:gridCol w:w="810"/>
        <w:gridCol w:w="894"/>
        <w:gridCol w:w="1284"/>
      </w:tblGrid>
      <w:tr w:rsidR="00794DCB" w:rsidRPr="009412F5" w:rsidTr="00F105CF">
        <w:trPr>
          <w:trHeight w:val="300"/>
        </w:trPr>
        <w:tc>
          <w:tcPr>
            <w:tcW w:w="4695" w:type="dxa"/>
            <w:tcBorders>
              <w:top w:val="nil"/>
              <w:left w:val="nil"/>
              <w:bottom w:val="nil"/>
              <w:right w:val="nil"/>
            </w:tcBorders>
            <w:shd w:val="clear" w:color="auto" w:fill="auto"/>
            <w:noWrap/>
            <w:vAlign w:val="bottom"/>
            <w:hideMark/>
          </w:tcPr>
          <w:p w:rsidR="00794DCB" w:rsidRPr="00AD36BC" w:rsidRDefault="00794DCB" w:rsidP="00F105CF">
            <w:pPr>
              <w:keepNext/>
              <w:rPr>
                <w:rFonts w:ascii="Calibri" w:hAnsi="Calibri" w:cs="Calibri"/>
                <w:b/>
                <w:bCs/>
                <w:sz w:val="22"/>
                <w:szCs w:val="18"/>
              </w:rPr>
            </w:pPr>
            <w:r w:rsidRPr="00AD36BC">
              <w:rPr>
                <w:rFonts w:ascii="Calibri" w:hAnsi="Calibri" w:cs="Calibri"/>
                <w:b/>
                <w:bCs/>
                <w:sz w:val="22"/>
                <w:szCs w:val="18"/>
              </w:rPr>
              <w:lastRenderedPageBreak/>
              <w:t xml:space="preserve">Table 3: Total Estimated Annual Cost to TSA  </w:t>
            </w:r>
          </w:p>
        </w:tc>
        <w:tc>
          <w:tcPr>
            <w:tcW w:w="900" w:type="dxa"/>
            <w:tcBorders>
              <w:top w:val="nil"/>
              <w:left w:val="nil"/>
              <w:bottom w:val="nil"/>
              <w:right w:val="nil"/>
            </w:tcBorders>
            <w:shd w:val="clear" w:color="auto" w:fill="auto"/>
            <w:noWrap/>
            <w:vAlign w:val="bottom"/>
            <w:hideMark/>
          </w:tcPr>
          <w:p w:rsidR="00794DCB" w:rsidRPr="009412F5" w:rsidRDefault="00794DCB" w:rsidP="00F105CF">
            <w:pPr>
              <w:keepNext/>
              <w:rPr>
                <w:rFonts w:ascii="Calibri" w:hAnsi="Calibri" w:cs="Calibri"/>
                <w:sz w:val="18"/>
                <w:szCs w:val="18"/>
              </w:rPr>
            </w:pPr>
          </w:p>
        </w:tc>
        <w:tc>
          <w:tcPr>
            <w:tcW w:w="900" w:type="dxa"/>
            <w:tcBorders>
              <w:top w:val="nil"/>
              <w:left w:val="nil"/>
              <w:bottom w:val="nil"/>
              <w:right w:val="nil"/>
            </w:tcBorders>
            <w:shd w:val="clear" w:color="auto" w:fill="auto"/>
            <w:noWrap/>
            <w:vAlign w:val="bottom"/>
            <w:hideMark/>
          </w:tcPr>
          <w:p w:rsidR="00794DCB" w:rsidRPr="009412F5" w:rsidRDefault="00794DCB" w:rsidP="00F105CF">
            <w:pPr>
              <w:keepNext/>
              <w:rPr>
                <w:rFonts w:ascii="Calibri" w:hAnsi="Calibri" w:cs="Calibri"/>
                <w:sz w:val="18"/>
                <w:szCs w:val="18"/>
              </w:rPr>
            </w:pPr>
          </w:p>
        </w:tc>
        <w:tc>
          <w:tcPr>
            <w:tcW w:w="810" w:type="dxa"/>
            <w:tcBorders>
              <w:top w:val="nil"/>
              <w:left w:val="nil"/>
              <w:bottom w:val="nil"/>
              <w:right w:val="nil"/>
            </w:tcBorders>
            <w:shd w:val="clear" w:color="auto" w:fill="auto"/>
            <w:noWrap/>
            <w:vAlign w:val="bottom"/>
            <w:hideMark/>
          </w:tcPr>
          <w:p w:rsidR="00794DCB" w:rsidRPr="009412F5" w:rsidRDefault="00794DCB" w:rsidP="00F105CF">
            <w:pPr>
              <w:keepNext/>
              <w:rPr>
                <w:rFonts w:ascii="Calibri" w:hAnsi="Calibri" w:cs="Calibri"/>
                <w:sz w:val="18"/>
                <w:szCs w:val="18"/>
              </w:rPr>
            </w:pPr>
          </w:p>
        </w:tc>
        <w:tc>
          <w:tcPr>
            <w:tcW w:w="894" w:type="dxa"/>
            <w:tcBorders>
              <w:top w:val="nil"/>
              <w:left w:val="nil"/>
              <w:bottom w:val="nil"/>
              <w:right w:val="nil"/>
            </w:tcBorders>
            <w:shd w:val="clear" w:color="auto" w:fill="auto"/>
            <w:noWrap/>
            <w:vAlign w:val="bottom"/>
            <w:hideMark/>
          </w:tcPr>
          <w:p w:rsidR="00794DCB" w:rsidRPr="009412F5" w:rsidRDefault="00794DCB" w:rsidP="00F105CF">
            <w:pPr>
              <w:keepNext/>
              <w:rPr>
                <w:rFonts w:ascii="Calibri" w:hAnsi="Calibri" w:cs="Calibri"/>
                <w:sz w:val="18"/>
                <w:szCs w:val="18"/>
              </w:rPr>
            </w:pPr>
          </w:p>
        </w:tc>
        <w:tc>
          <w:tcPr>
            <w:tcW w:w="1284" w:type="dxa"/>
            <w:tcBorders>
              <w:top w:val="nil"/>
              <w:left w:val="nil"/>
              <w:bottom w:val="nil"/>
              <w:right w:val="nil"/>
            </w:tcBorders>
            <w:shd w:val="clear" w:color="auto" w:fill="auto"/>
            <w:noWrap/>
            <w:vAlign w:val="bottom"/>
            <w:hideMark/>
          </w:tcPr>
          <w:p w:rsidR="00794DCB" w:rsidRPr="009412F5" w:rsidRDefault="00794DCB" w:rsidP="00F105CF">
            <w:pPr>
              <w:keepNext/>
              <w:rPr>
                <w:rFonts w:ascii="Calibri" w:hAnsi="Calibri" w:cs="Calibri"/>
                <w:sz w:val="18"/>
                <w:szCs w:val="18"/>
              </w:rPr>
            </w:pPr>
          </w:p>
        </w:tc>
      </w:tr>
      <w:tr w:rsidR="00794DCB" w:rsidRPr="009412F5" w:rsidTr="00F105CF">
        <w:trPr>
          <w:trHeight w:val="960"/>
        </w:trPr>
        <w:tc>
          <w:tcPr>
            <w:tcW w:w="46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Information Collection</w:t>
            </w:r>
          </w:p>
        </w:tc>
        <w:tc>
          <w:tcPr>
            <w:tcW w:w="900" w:type="dxa"/>
            <w:tcBorders>
              <w:top w:val="single" w:sz="4" w:space="0" w:color="auto"/>
              <w:left w:val="nil"/>
              <w:bottom w:val="nil"/>
              <w:right w:val="single" w:sz="4" w:space="0" w:color="auto"/>
            </w:tcBorders>
            <w:shd w:val="clear" w:color="000000" w:fill="FFFFFF"/>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Average Annual Inspections</w:t>
            </w:r>
          </w:p>
        </w:tc>
        <w:tc>
          <w:tcPr>
            <w:tcW w:w="900" w:type="dxa"/>
            <w:tcBorders>
              <w:top w:val="single" w:sz="4" w:space="0" w:color="auto"/>
              <w:left w:val="nil"/>
              <w:bottom w:val="nil"/>
              <w:right w:val="single" w:sz="4" w:space="0" w:color="auto"/>
            </w:tcBorders>
            <w:shd w:val="clear" w:color="000000" w:fill="FFFFFF"/>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Hour Burden per response</w:t>
            </w:r>
          </w:p>
        </w:tc>
        <w:tc>
          <w:tcPr>
            <w:tcW w:w="810" w:type="dxa"/>
            <w:tcBorders>
              <w:top w:val="single" w:sz="4" w:space="0" w:color="auto"/>
              <w:left w:val="nil"/>
              <w:bottom w:val="nil"/>
              <w:right w:val="single" w:sz="4" w:space="0" w:color="auto"/>
            </w:tcBorders>
            <w:shd w:val="clear" w:color="000000" w:fill="FFFFFF"/>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Total Annual Hour Burden</w:t>
            </w:r>
          </w:p>
        </w:tc>
        <w:tc>
          <w:tcPr>
            <w:tcW w:w="894" w:type="dxa"/>
            <w:tcBorders>
              <w:top w:val="single" w:sz="4" w:space="0" w:color="auto"/>
              <w:left w:val="nil"/>
              <w:bottom w:val="nil"/>
              <w:right w:val="single" w:sz="4" w:space="0" w:color="auto"/>
            </w:tcBorders>
            <w:shd w:val="clear" w:color="000000" w:fill="FFFFFF"/>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Fully-Loaded Wage Rate</w:t>
            </w:r>
          </w:p>
        </w:tc>
        <w:tc>
          <w:tcPr>
            <w:tcW w:w="1284" w:type="dxa"/>
            <w:tcBorders>
              <w:top w:val="single" w:sz="4" w:space="0" w:color="auto"/>
              <w:left w:val="nil"/>
              <w:bottom w:val="nil"/>
              <w:right w:val="single" w:sz="4" w:space="0" w:color="auto"/>
            </w:tcBorders>
            <w:shd w:val="clear" w:color="000000" w:fill="FFFFFF"/>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Total Annual Cost Burden</w:t>
            </w:r>
          </w:p>
        </w:tc>
      </w:tr>
      <w:tr w:rsidR="00794DCB" w:rsidRPr="009412F5" w:rsidTr="00F105CF">
        <w:trPr>
          <w:trHeight w:val="300"/>
        </w:trPr>
        <w:tc>
          <w:tcPr>
            <w:tcW w:w="4695" w:type="dxa"/>
            <w:vMerge/>
            <w:tcBorders>
              <w:top w:val="single" w:sz="4" w:space="0" w:color="auto"/>
              <w:left w:val="single" w:sz="4" w:space="0" w:color="auto"/>
              <w:bottom w:val="single" w:sz="4" w:space="0" w:color="000000"/>
              <w:right w:val="single" w:sz="4" w:space="0" w:color="auto"/>
            </w:tcBorders>
            <w:vAlign w:val="center"/>
            <w:hideMark/>
          </w:tcPr>
          <w:p w:rsidR="00794DCB" w:rsidRPr="009412F5" w:rsidRDefault="00794DCB" w:rsidP="00F105CF">
            <w:pPr>
              <w:keepNext/>
              <w:rPr>
                <w:rFonts w:ascii="Calibri" w:hAnsi="Calibri" w:cs="Calibri"/>
                <w:b/>
                <w:bCs/>
                <w:sz w:val="18"/>
                <w:szCs w:val="18"/>
              </w:rPr>
            </w:pPr>
          </w:p>
        </w:tc>
        <w:tc>
          <w:tcPr>
            <w:tcW w:w="900" w:type="dxa"/>
            <w:tcBorders>
              <w:top w:val="nil"/>
              <w:left w:val="nil"/>
              <w:bottom w:val="nil"/>
              <w:right w:val="single" w:sz="4" w:space="0" w:color="auto"/>
            </w:tcBorders>
            <w:shd w:val="clear" w:color="000000" w:fill="FFFFFF"/>
            <w:noWrap/>
            <w:vAlign w:val="center"/>
            <w:hideMark/>
          </w:tcPr>
          <w:p w:rsidR="00794DCB" w:rsidRPr="009412F5" w:rsidRDefault="00794DCB">
            <w:pPr>
              <w:keepNext/>
              <w:jc w:val="center"/>
              <w:rPr>
                <w:rFonts w:ascii="Calibri" w:hAnsi="Calibri" w:cs="Calibri"/>
                <w:b/>
                <w:bCs/>
                <w:sz w:val="18"/>
                <w:szCs w:val="18"/>
              </w:rPr>
            </w:pPr>
            <w:r w:rsidRPr="009412F5">
              <w:rPr>
                <w:rFonts w:ascii="Calibri" w:hAnsi="Calibri" w:cs="Calibri"/>
                <w:b/>
                <w:bCs/>
                <w:sz w:val="18"/>
                <w:szCs w:val="18"/>
              </w:rPr>
              <w:t>(</w:t>
            </w:r>
            <w:r w:rsidR="00DE0402">
              <w:rPr>
                <w:rFonts w:ascii="Calibri" w:hAnsi="Calibri" w:cs="Calibri"/>
                <w:b/>
                <w:bCs/>
                <w:sz w:val="18"/>
                <w:szCs w:val="18"/>
              </w:rPr>
              <w:t>a</w:t>
            </w:r>
            <w:r w:rsidRPr="009412F5">
              <w:rPr>
                <w:rFonts w:ascii="Calibri" w:hAnsi="Calibri" w:cs="Calibri"/>
                <w:b/>
                <w:bCs/>
                <w:sz w:val="18"/>
                <w:szCs w:val="18"/>
              </w:rPr>
              <w:t>)</w:t>
            </w:r>
          </w:p>
        </w:tc>
        <w:tc>
          <w:tcPr>
            <w:tcW w:w="900" w:type="dxa"/>
            <w:tcBorders>
              <w:top w:val="nil"/>
              <w:left w:val="nil"/>
              <w:bottom w:val="nil"/>
              <w:right w:val="single" w:sz="4" w:space="0" w:color="auto"/>
            </w:tcBorders>
            <w:shd w:val="clear" w:color="000000" w:fill="FFFFFF"/>
            <w:noWrap/>
            <w:vAlign w:val="center"/>
            <w:hideMark/>
          </w:tcPr>
          <w:p w:rsidR="00794DCB" w:rsidRPr="009412F5" w:rsidRDefault="00794DCB">
            <w:pPr>
              <w:keepNext/>
              <w:jc w:val="center"/>
              <w:rPr>
                <w:rFonts w:ascii="Calibri" w:hAnsi="Calibri" w:cs="Calibri"/>
                <w:b/>
                <w:bCs/>
                <w:sz w:val="18"/>
                <w:szCs w:val="18"/>
              </w:rPr>
            </w:pPr>
            <w:r w:rsidRPr="009412F5">
              <w:rPr>
                <w:rFonts w:ascii="Calibri" w:hAnsi="Calibri" w:cs="Calibri"/>
                <w:b/>
                <w:bCs/>
                <w:sz w:val="18"/>
                <w:szCs w:val="18"/>
              </w:rPr>
              <w:t>(</w:t>
            </w:r>
            <w:r w:rsidR="00DE0402">
              <w:rPr>
                <w:rFonts w:ascii="Calibri" w:hAnsi="Calibri" w:cs="Calibri"/>
                <w:b/>
                <w:bCs/>
                <w:sz w:val="18"/>
                <w:szCs w:val="18"/>
              </w:rPr>
              <w:t>b</w:t>
            </w:r>
            <w:r w:rsidRPr="009412F5">
              <w:rPr>
                <w:rFonts w:ascii="Calibri" w:hAnsi="Calibri" w:cs="Calibri"/>
                <w:b/>
                <w:bCs/>
                <w:sz w:val="18"/>
                <w:szCs w:val="18"/>
              </w:rPr>
              <w:t>)</w:t>
            </w:r>
          </w:p>
        </w:tc>
        <w:tc>
          <w:tcPr>
            <w:tcW w:w="810" w:type="dxa"/>
            <w:tcBorders>
              <w:top w:val="nil"/>
              <w:left w:val="nil"/>
              <w:bottom w:val="nil"/>
              <w:right w:val="single" w:sz="4" w:space="0" w:color="auto"/>
            </w:tcBorders>
            <w:shd w:val="clear" w:color="000000" w:fill="FFFFFF"/>
            <w:noWrap/>
            <w:vAlign w:val="center"/>
            <w:hideMark/>
          </w:tcPr>
          <w:p w:rsidR="00794DCB" w:rsidRPr="009412F5" w:rsidRDefault="00DE0402">
            <w:pPr>
              <w:keepNext/>
              <w:jc w:val="center"/>
              <w:rPr>
                <w:rFonts w:ascii="Calibri" w:hAnsi="Calibri" w:cs="Calibri"/>
                <w:b/>
                <w:bCs/>
                <w:sz w:val="18"/>
                <w:szCs w:val="18"/>
              </w:rPr>
            </w:pPr>
            <w:r>
              <w:rPr>
                <w:rFonts w:ascii="Calibri" w:hAnsi="Calibri" w:cs="Calibri"/>
                <w:b/>
                <w:bCs/>
                <w:sz w:val="18"/>
                <w:szCs w:val="18"/>
              </w:rPr>
              <w:t>(c) = (a) x (b)</w:t>
            </w:r>
            <w:r w:rsidR="00794DCB" w:rsidRPr="009412F5">
              <w:rPr>
                <w:rFonts w:ascii="Calibri" w:hAnsi="Calibri" w:cs="Calibri"/>
                <w:b/>
                <w:bCs/>
                <w:sz w:val="18"/>
                <w:szCs w:val="18"/>
              </w:rPr>
              <w:t> </w:t>
            </w:r>
          </w:p>
        </w:tc>
        <w:tc>
          <w:tcPr>
            <w:tcW w:w="894" w:type="dxa"/>
            <w:tcBorders>
              <w:top w:val="nil"/>
              <w:left w:val="nil"/>
              <w:bottom w:val="nil"/>
              <w:right w:val="single" w:sz="4" w:space="0" w:color="auto"/>
            </w:tcBorders>
            <w:shd w:val="clear" w:color="000000" w:fill="FFFFFF"/>
            <w:noWrap/>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 </w:t>
            </w:r>
            <w:r w:rsidR="00DE0402">
              <w:rPr>
                <w:rFonts w:ascii="Calibri" w:hAnsi="Calibri" w:cs="Calibri"/>
                <w:b/>
                <w:bCs/>
                <w:sz w:val="18"/>
                <w:szCs w:val="18"/>
              </w:rPr>
              <w:t>(d)</w:t>
            </w:r>
          </w:p>
        </w:tc>
        <w:tc>
          <w:tcPr>
            <w:tcW w:w="1284" w:type="dxa"/>
            <w:tcBorders>
              <w:top w:val="nil"/>
              <w:left w:val="nil"/>
              <w:bottom w:val="nil"/>
              <w:right w:val="single" w:sz="4" w:space="0" w:color="auto"/>
            </w:tcBorders>
            <w:shd w:val="clear" w:color="000000" w:fill="FFFFFF"/>
            <w:noWrap/>
            <w:vAlign w:val="center"/>
            <w:hideMark/>
          </w:tcPr>
          <w:p w:rsidR="00794DCB" w:rsidRPr="009412F5" w:rsidRDefault="00794DCB" w:rsidP="00F105CF">
            <w:pPr>
              <w:keepNext/>
              <w:jc w:val="center"/>
              <w:rPr>
                <w:rFonts w:ascii="Calibri" w:hAnsi="Calibri" w:cs="Calibri"/>
                <w:b/>
                <w:bCs/>
                <w:sz w:val="18"/>
                <w:szCs w:val="18"/>
              </w:rPr>
            </w:pPr>
            <w:r w:rsidRPr="009412F5">
              <w:rPr>
                <w:rFonts w:ascii="Calibri" w:hAnsi="Calibri" w:cs="Calibri"/>
                <w:b/>
                <w:bCs/>
                <w:sz w:val="18"/>
                <w:szCs w:val="18"/>
              </w:rPr>
              <w:t>(e)</w:t>
            </w:r>
            <w:r w:rsidR="00DE0402">
              <w:rPr>
                <w:rFonts w:ascii="Calibri" w:hAnsi="Calibri" w:cs="Calibri"/>
                <w:b/>
                <w:bCs/>
                <w:sz w:val="18"/>
                <w:szCs w:val="18"/>
              </w:rPr>
              <w:t xml:space="preserve"> = (c) x (d)</w:t>
            </w:r>
          </w:p>
        </w:tc>
      </w:tr>
      <w:tr w:rsidR="00794DCB" w:rsidRPr="009412F5" w:rsidTr="00081710">
        <w:trPr>
          <w:trHeight w:val="300"/>
        </w:trPr>
        <w:tc>
          <w:tcPr>
            <w:tcW w:w="4695" w:type="dxa"/>
            <w:tcBorders>
              <w:top w:val="nil"/>
              <w:left w:val="single" w:sz="4" w:space="0" w:color="auto"/>
              <w:bottom w:val="single" w:sz="4" w:space="0" w:color="auto"/>
              <w:right w:val="nil"/>
            </w:tcBorders>
            <w:shd w:val="clear" w:color="000000" w:fill="FFFFFF"/>
            <w:noWrap/>
            <w:vAlign w:val="bottom"/>
            <w:hideMark/>
          </w:tcPr>
          <w:p w:rsidR="00794DCB" w:rsidRPr="009412F5" w:rsidRDefault="00794DCB" w:rsidP="00F105CF">
            <w:pPr>
              <w:keepNext/>
              <w:rPr>
                <w:rFonts w:ascii="Calibri" w:hAnsi="Calibri" w:cs="Calibri"/>
                <w:i/>
                <w:iCs/>
                <w:sz w:val="18"/>
                <w:szCs w:val="18"/>
              </w:rPr>
            </w:pPr>
            <w:r>
              <w:rPr>
                <w:rFonts w:ascii="Calibri" w:hAnsi="Calibri" w:cs="Calibri"/>
                <w:i/>
                <w:iCs/>
                <w:sz w:val="18"/>
                <w:szCs w:val="18"/>
              </w:rPr>
              <w:t>Inspections</w:t>
            </w:r>
          </w:p>
        </w:tc>
        <w:tc>
          <w:tcPr>
            <w:tcW w:w="900" w:type="dxa"/>
            <w:tcBorders>
              <w:top w:val="single" w:sz="4" w:space="0" w:color="auto"/>
              <w:left w:val="nil"/>
              <w:bottom w:val="single" w:sz="4" w:space="0" w:color="auto"/>
              <w:right w:val="nil"/>
            </w:tcBorders>
            <w:shd w:val="clear" w:color="000000" w:fill="FFFFFF"/>
            <w:noWrap/>
            <w:vAlign w:val="bottom"/>
            <w:hideMark/>
          </w:tcPr>
          <w:p w:rsidR="00794DCB" w:rsidRPr="009412F5" w:rsidRDefault="00794DCB" w:rsidP="00F105CF">
            <w:pPr>
              <w:keepNext/>
              <w:rPr>
                <w:rFonts w:ascii="Calibri" w:hAnsi="Calibri" w:cs="Calibri"/>
                <w:sz w:val="18"/>
                <w:szCs w:val="18"/>
              </w:rPr>
            </w:pPr>
            <w:r w:rsidRPr="009412F5">
              <w:rPr>
                <w:rFonts w:ascii="Calibri" w:hAnsi="Calibri" w:cs="Calibri"/>
                <w:sz w:val="18"/>
                <w:szCs w:val="18"/>
              </w:rPr>
              <w:t> </w:t>
            </w:r>
          </w:p>
        </w:tc>
        <w:tc>
          <w:tcPr>
            <w:tcW w:w="900" w:type="dxa"/>
            <w:tcBorders>
              <w:top w:val="single" w:sz="4" w:space="0" w:color="auto"/>
              <w:left w:val="nil"/>
              <w:bottom w:val="single" w:sz="4" w:space="0" w:color="auto"/>
              <w:right w:val="nil"/>
            </w:tcBorders>
            <w:shd w:val="clear" w:color="000000" w:fill="FFFFFF"/>
            <w:noWrap/>
            <w:vAlign w:val="bottom"/>
            <w:hideMark/>
          </w:tcPr>
          <w:p w:rsidR="00794DCB" w:rsidRPr="009412F5" w:rsidRDefault="00794DCB" w:rsidP="00F105CF">
            <w:pPr>
              <w:keepNext/>
              <w:rPr>
                <w:rFonts w:ascii="Calibri" w:hAnsi="Calibri" w:cs="Calibri"/>
                <w:sz w:val="18"/>
                <w:szCs w:val="18"/>
              </w:rPr>
            </w:pPr>
            <w:r w:rsidRPr="009412F5">
              <w:rPr>
                <w:rFonts w:ascii="Calibri" w:hAnsi="Calibri" w:cs="Calibri"/>
                <w:sz w:val="18"/>
                <w:szCs w:val="18"/>
              </w:rPr>
              <w:t> </w:t>
            </w:r>
          </w:p>
        </w:tc>
        <w:tc>
          <w:tcPr>
            <w:tcW w:w="810" w:type="dxa"/>
            <w:tcBorders>
              <w:top w:val="single" w:sz="4" w:space="0" w:color="auto"/>
              <w:left w:val="nil"/>
              <w:bottom w:val="single" w:sz="4" w:space="0" w:color="auto"/>
              <w:right w:val="nil"/>
            </w:tcBorders>
            <w:shd w:val="clear" w:color="000000" w:fill="FFFFFF"/>
            <w:noWrap/>
            <w:vAlign w:val="bottom"/>
            <w:hideMark/>
          </w:tcPr>
          <w:p w:rsidR="00794DCB" w:rsidRPr="009412F5" w:rsidRDefault="00794DCB" w:rsidP="00F105CF">
            <w:pPr>
              <w:keepNext/>
              <w:rPr>
                <w:rFonts w:ascii="Calibri" w:hAnsi="Calibri" w:cs="Calibri"/>
                <w:sz w:val="18"/>
                <w:szCs w:val="18"/>
              </w:rPr>
            </w:pPr>
            <w:r w:rsidRPr="009412F5">
              <w:rPr>
                <w:rFonts w:ascii="Calibri" w:hAnsi="Calibri" w:cs="Calibri"/>
                <w:sz w:val="18"/>
                <w:szCs w:val="18"/>
              </w:rPr>
              <w:t> </w:t>
            </w:r>
          </w:p>
        </w:tc>
        <w:tc>
          <w:tcPr>
            <w:tcW w:w="894" w:type="dxa"/>
            <w:tcBorders>
              <w:top w:val="single" w:sz="4" w:space="0" w:color="auto"/>
              <w:left w:val="nil"/>
              <w:bottom w:val="single" w:sz="4" w:space="0" w:color="auto"/>
              <w:right w:val="nil"/>
            </w:tcBorders>
            <w:shd w:val="clear" w:color="000000" w:fill="FFFFFF"/>
            <w:noWrap/>
            <w:vAlign w:val="bottom"/>
            <w:hideMark/>
          </w:tcPr>
          <w:p w:rsidR="00794DCB" w:rsidRPr="009412F5" w:rsidRDefault="00794DCB" w:rsidP="00F105CF">
            <w:pPr>
              <w:keepNext/>
              <w:rPr>
                <w:rFonts w:ascii="Calibri" w:hAnsi="Calibri" w:cs="Calibri"/>
                <w:sz w:val="18"/>
                <w:szCs w:val="18"/>
              </w:rPr>
            </w:pPr>
            <w:r w:rsidRPr="009412F5">
              <w:rPr>
                <w:rFonts w:ascii="Calibri" w:hAnsi="Calibri" w:cs="Calibri"/>
                <w:sz w:val="18"/>
                <w:szCs w:val="18"/>
              </w:rPr>
              <w:t> </w:t>
            </w:r>
          </w:p>
        </w:tc>
        <w:tc>
          <w:tcPr>
            <w:tcW w:w="1284" w:type="dxa"/>
            <w:tcBorders>
              <w:top w:val="single" w:sz="4" w:space="0" w:color="auto"/>
              <w:left w:val="nil"/>
              <w:bottom w:val="single" w:sz="4" w:space="0" w:color="auto"/>
              <w:right w:val="single" w:sz="4" w:space="0" w:color="auto"/>
            </w:tcBorders>
            <w:shd w:val="clear" w:color="000000" w:fill="FFFFFF"/>
            <w:noWrap/>
            <w:vAlign w:val="bottom"/>
            <w:hideMark/>
          </w:tcPr>
          <w:p w:rsidR="00794DCB" w:rsidRPr="009412F5" w:rsidRDefault="00794DCB" w:rsidP="00F105CF">
            <w:pPr>
              <w:keepNext/>
              <w:rPr>
                <w:rFonts w:ascii="Calibri" w:hAnsi="Calibri" w:cs="Calibri"/>
                <w:sz w:val="18"/>
                <w:szCs w:val="18"/>
              </w:rPr>
            </w:pPr>
            <w:r w:rsidRPr="009412F5">
              <w:rPr>
                <w:rFonts w:ascii="Calibri" w:hAnsi="Calibri" w:cs="Calibri"/>
                <w:sz w:val="18"/>
                <w:szCs w:val="18"/>
              </w:rPr>
              <w:t> </w:t>
            </w:r>
          </w:p>
        </w:tc>
      </w:tr>
      <w:tr w:rsidR="00794DCB" w:rsidRPr="009412F5" w:rsidTr="00081710">
        <w:trPr>
          <w:trHeight w:val="300"/>
        </w:trPr>
        <w:tc>
          <w:tcPr>
            <w:tcW w:w="4695" w:type="dxa"/>
            <w:tcBorders>
              <w:top w:val="nil"/>
              <w:left w:val="single" w:sz="4" w:space="0" w:color="auto"/>
              <w:bottom w:val="nil"/>
              <w:right w:val="single" w:sz="4" w:space="0" w:color="auto"/>
            </w:tcBorders>
            <w:shd w:val="clear" w:color="000000" w:fill="FFFFFF"/>
            <w:noWrap/>
            <w:vAlign w:val="bottom"/>
            <w:hideMark/>
          </w:tcPr>
          <w:p w:rsidR="00794DCB" w:rsidRPr="009412F5" w:rsidRDefault="00794DCB">
            <w:pPr>
              <w:keepNext/>
              <w:ind w:firstLineChars="400" w:firstLine="720"/>
              <w:rPr>
                <w:rFonts w:ascii="Calibri" w:hAnsi="Calibri" w:cs="Calibri"/>
                <w:sz w:val="18"/>
                <w:szCs w:val="18"/>
              </w:rPr>
            </w:pPr>
            <w:r>
              <w:rPr>
                <w:rFonts w:ascii="Calibri" w:hAnsi="Calibri" w:cs="Calibri"/>
                <w:sz w:val="18"/>
                <w:szCs w:val="18"/>
              </w:rPr>
              <w:t>Comprehensive Inspections for RS within the United States</w:t>
            </w:r>
          </w:p>
        </w:tc>
        <w:tc>
          <w:tcPr>
            <w:tcW w:w="900" w:type="dxa"/>
            <w:tcBorders>
              <w:top w:val="nil"/>
              <w:left w:val="nil"/>
              <w:bottom w:val="nil"/>
              <w:right w:val="nil"/>
            </w:tcBorders>
            <w:shd w:val="clear" w:color="000000" w:fill="FFFFFF"/>
            <w:noWrap/>
            <w:vAlign w:val="bottom"/>
            <w:hideMark/>
          </w:tcPr>
          <w:p w:rsidR="00794DCB" w:rsidRPr="009412F5" w:rsidRDefault="00EF3D87" w:rsidP="00F105CF">
            <w:pPr>
              <w:keepNext/>
              <w:jc w:val="right"/>
              <w:rPr>
                <w:rFonts w:ascii="Calibri" w:hAnsi="Calibri" w:cs="Calibri"/>
                <w:sz w:val="18"/>
                <w:szCs w:val="18"/>
              </w:rPr>
            </w:pPr>
            <w:r>
              <w:rPr>
                <w:rFonts w:ascii="Calibri" w:hAnsi="Calibri" w:cs="Calibri"/>
                <w:sz w:val="18"/>
                <w:szCs w:val="18"/>
              </w:rPr>
              <w:t>144.67</w:t>
            </w:r>
          </w:p>
        </w:tc>
        <w:tc>
          <w:tcPr>
            <w:tcW w:w="900" w:type="dxa"/>
            <w:tcBorders>
              <w:top w:val="nil"/>
              <w:left w:val="single" w:sz="4" w:space="0" w:color="auto"/>
              <w:bottom w:val="nil"/>
              <w:right w:val="single" w:sz="4" w:space="0" w:color="auto"/>
            </w:tcBorders>
            <w:shd w:val="clear" w:color="000000" w:fill="FFFFFF"/>
            <w:noWrap/>
            <w:vAlign w:val="bottom"/>
            <w:hideMark/>
          </w:tcPr>
          <w:p w:rsidR="00794DCB" w:rsidRPr="009412F5" w:rsidRDefault="00EF3D87" w:rsidP="00F105CF">
            <w:pPr>
              <w:keepNext/>
              <w:jc w:val="right"/>
              <w:rPr>
                <w:rFonts w:ascii="Calibri" w:hAnsi="Calibri" w:cs="Calibri"/>
                <w:sz w:val="18"/>
                <w:szCs w:val="18"/>
              </w:rPr>
            </w:pPr>
            <w:r>
              <w:rPr>
                <w:rFonts w:ascii="Calibri" w:hAnsi="Calibri" w:cs="Calibri"/>
                <w:sz w:val="18"/>
                <w:szCs w:val="18"/>
              </w:rPr>
              <w:t>1</w:t>
            </w:r>
          </w:p>
        </w:tc>
        <w:tc>
          <w:tcPr>
            <w:tcW w:w="810" w:type="dxa"/>
            <w:tcBorders>
              <w:top w:val="nil"/>
              <w:left w:val="nil"/>
              <w:bottom w:val="nil"/>
              <w:right w:val="nil"/>
            </w:tcBorders>
            <w:shd w:val="clear" w:color="000000" w:fill="FFFFFF"/>
            <w:noWrap/>
            <w:vAlign w:val="bottom"/>
            <w:hideMark/>
          </w:tcPr>
          <w:p w:rsidR="00794DCB" w:rsidRPr="009412F5" w:rsidRDefault="00FC7FD2" w:rsidP="00F105CF">
            <w:pPr>
              <w:keepNext/>
              <w:jc w:val="right"/>
              <w:rPr>
                <w:rFonts w:ascii="Calibri" w:hAnsi="Calibri" w:cs="Calibri"/>
                <w:sz w:val="18"/>
                <w:szCs w:val="18"/>
              </w:rPr>
            </w:pPr>
            <w:r>
              <w:rPr>
                <w:rFonts w:ascii="Calibri" w:hAnsi="Calibri" w:cs="Calibri"/>
                <w:sz w:val="18"/>
                <w:szCs w:val="18"/>
              </w:rPr>
              <w:t>144.67</w:t>
            </w:r>
          </w:p>
        </w:tc>
        <w:tc>
          <w:tcPr>
            <w:tcW w:w="894" w:type="dxa"/>
            <w:tcBorders>
              <w:top w:val="single" w:sz="4" w:space="0" w:color="auto"/>
              <w:left w:val="single" w:sz="4" w:space="0" w:color="auto"/>
              <w:right w:val="single" w:sz="4" w:space="0" w:color="auto"/>
            </w:tcBorders>
            <w:shd w:val="clear" w:color="000000" w:fill="FFFFFF"/>
            <w:noWrap/>
            <w:vAlign w:val="bottom"/>
            <w:hideMark/>
          </w:tcPr>
          <w:p w:rsidR="00794DCB" w:rsidRPr="009412F5" w:rsidRDefault="00794DCB">
            <w:pPr>
              <w:keepNext/>
              <w:jc w:val="right"/>
              <w:rPr>
                <w:rFonts w:ascii="Calibri" w:hAnsi="Calibri" w:cs="Calibri"/>
                <w:sz w:val="18"/>
                <w:szCs w:val="18"/>
              </w:rPr>
            </w:pPr>
            <w:r w:rsidRPr="009412F5">
              <w:rPr>
                <w:rFonts w:ascii="Calibri" w:hAnsi="Calibri" w:cs="Calibri"/>
                <w:sz w:val="18"/>
                <w:szCs w:val="18"/>
              </w:rPr>
              <w:t>$5</w:t>
            </w:r>
            <w:r w:rsidR="00FC7FD2">
              <w:rPr>
                <w:rFonts w:ascii="Calibri" w:hAnsi="Calibri" w:cs="Calibri"/>
                <w:sz w:val="18"/>
                <w:szCs w:val="18"/>
              </w:rPr>
              <w:t>8</w:t>
            </w:r>
            <w:r w:rsidRPr="009412F5">
              <w:rPr>
                <w:rFonts w:ascii="Calibri" w:hAnsi="Calibri" w:cs="Calibri"/>
                <w:sz w:val="18"/>
                <w:szCs w:val="18"/>
              </w:rPr>
              <w:t>.</w:t>
            </w:r>
            <w:r w:rsidR="00FC7FD2">
              <w:rPr>
                <w:rFonts w:ascii="Calibri" w:hAnsi="Calibri" w:cs="Calibri"/>
                <w:sz w:val="18"/>
                <w:szCs w:val="18"/>
              </w:rPr>
              <w:t>89</w:t>
            </w:r>
          </w:p>
        </w:tc>
        <w:tc>
          <w:tcPr>
            <w:tcW w:w="1284" w:type="dxa"/>
            <w:tcBorders>
              <w:top w:val="nil"/>
              <w:left w:val="nil"/>
              <w:bottom w:val="nil"/>
              <w:right w:val="single" w:sz="4" w:space="0" w:color="auto"/>
            </w:tcBorders>
            <w:shd w:val="clear" w:color="000000" w:fill="FFFFFF"/>
            <w:noWrap/>
            <w:vAlign w:val="bottom"/>
            <w:hideMark/>
          </w:tcPr>
          <w:p w:rsidR="00794DCB" w:rsidRPr="009412F5" w:rsidRDefault="00794DCB">
            <w:pPr>
              <w:keepNext/>
              <w:jc w:val="right"/>
              <w:rPr>
                <w:rFonts w:ascii="Calibri" w:hAnsi="Calibri" w:cs="Calibri"/>
                <w:sz w:val="18"/>
                <w:szCs w:val="18"/>
              </w:rPr>
            </w:pPr>
            <w:r w:rsidRPr="009412F5">
              <w:rPr>
                <w:rFonts w:ascii="Calibri" w:hAnsi="Calibri" w:cs="Calibri"/>
                <w:sz w:val="18"/>
                <w:szCs w:val="18"/>
              </w:rPr>
              <w:t>$</w:t>
            </w:r>
            <w:r w:rsidR="00FC7FD2">
              <w:rPr>
                <w:rFonts w:ascii="Calibri" w:hAnsi="Calibri" w:cs="Calibri"/>
                <w:sz w:val="18"/>
                <w:szCs w:val="18"/>
              </w:rPr>
              <w:t>8,519.62</w:t>
            </w:r>
          </w:p>
        </w:tc>
      </w:tr>
      <w:tr w:rsidR="00794DCB" w:rsidRPr="009412F5" w:rsidTr="00081710">
        <w:trPr>
          <w:trHeight w:val="300"/>
        </w:trPr>
        <w:tc>
          <w:tcPr>
            <w:tcW w:w="4695" w:type="dxa"/>
            <w:tcBorders>
              <w:top w:val="nil"/>
              <w:left w:val="single" w:sz="4" w:space="0" w:color="auto"/>
              <w:bottom w:val="nil"/>
              <w:right w:val="single" w:sz="4" w:space="0" w:color="auto"/>
            </w:tcBorders>
            <w:shd w:val="clear" w:color="000000" w:fill="FFFFFF"/>
            <w:noWrap/>
            <w:vAlign w:val="bottom"/>
          </w:tcPr>
          <w:p w:rsidR="00794DCB" w:rsidRPr="009412F5" w:rsidRDefault="00794DCB" w:rsidP="00F105CF">
            <w:pPr>
              <w:keepNext/>
              <w:ind w:firstLineChars="400" w:firstLine="720"/>
              <w:rPr>
                <w:rFonts w:ascii="Calibri" w:hAnsi="Calibri" w:cs="Calibri"/>
                <w:sz w:val="18"/>
                <w:szCs w:val="18"/>
              </w:rPr>
            </w:pPr>
            <w:r>
              <w:rPr>
                <w:rFonts w:ascii="Calibri" w:hAnsi="Calibri" w:cs="Calibri"/>
                <w:sz w:val="18"/>
                <w:szCs w:val="18"/>
              </w:rPr>
              <w:t>Targeted Inspections for RS within the United States</w:t>
            </w:r>
          </w:p>
        </w:tc>
        <w:tc>
          <w:tcPr>
            <w:tcW w:w="900" w:type="dxa"/>
            <w:tcBorders>
              <w:top w:val="nil"/>
              <w:left w:val="nil"/>
              <w:bottom w:val="nil"/>
              <w:right w:val="single" w:sz="4" w:space="0" w:color="auto"/>
            </w:tcBorders>
            <w:shd w:val="clear" w:color="000000" w:fill="FFFFFF"/>
            <w:noWrap/>
            <w:vAlign w:val="bottom"/>
          </w:tcPr>
          <w:p w:rsidR="00794DCB" w:rsidRPr="009412F5" w:rsidRDefault="00EF3D87" w:rsidP="00F105CF">
            <w:pPr>
              <w:keepNext/>
              <w:jc w:val="right"/>
              <w:rPr>
                <w:rFonts w:ascii="Calibri" w:hAnsi="Calibri" w:cs="Calibri"/>
                <w:sz w:val="18"/>
                <w:szCs w:val="18"/>
              </w:rPr>
            </w:pPr>
            <w:r>
              <w:rPr>
                <w:rFonts w:ascii="Calibri" w:hAnsi="Calibri" w:cs="Calibri"/>
                <w:sz w:val="18"/>
                <w:szCs w:val="18"/>
              </w:rPr>
              <w:t>147.33</w:t>
            </w:r>
          </w:p>
        </w:tc>
        <w:tc>
          <w:tcPr>
            <w:tcW w:w="900" w:type="dxa"/>
            <w:tcBorders>
              <w:top w:val="nil"/>
              <w:left w:val="nil"/>
              <w:bottom w:val="nil"/>
              <w:right w:val="single" w:sz="4" w:space="0" w:color="auto"/>
            </w:tcBorders>
            <w:shd w:val="clear" w:color="000000" w:fill="FFFFFF"/>
            <w:noWrap/>
            <w:vAlign w:val="bottom"/>
          </w:tcPr>
          <w:p w:rsidR="00794DCB" w:rsidRPr="009412F5" w:rsidRDefault="00EF3D87" w:rsidP="00F105CF">
            <w:pPr>
              <w:keepNext/>
              <w:jc w:val="right"/>
              <w:rPr>
                <w:rFonts w:ascii="Calibri" w:hAnsi="Calibri" w:cs="Calibri"/>
                <w:sz w:val="18"/>
                <w:szCs w:val="18"/>
              </w:rPr>
            </w:pPr>
            <w:r>
              <w:rPr>
                <w:rFonts w:ascii="Calibri" w:hAnsi="Calibri" w:cs="Calibri"/>
                <w:sz w:val="18"/>
                <w:szCs w:val="18"/>
              </w:rPr>
              <w:t>0.5</w:t>
            </w:r>
          </w:p>
        </w:tc>
        <w:tc>
          <w:tcPr>
            <w:tcW w:w="810" w:type="dxa"/>
            <w:tcBorders>
              <w:top w:val="nil"/>
              <w:left w:val="nil"/>
              <w:bottom w:val="nil"/>
              <w:right w:val="nil"/>
            </w:tcBorders>
            <w:shd w:val="clear" w:color="000000" w:fill="FFFFFF"/>
            <w:noWrap/>
            <w:vAlign w:val="bottom"/>
          </w:tcPr>
          <w:p w:rsidR="00794DCB" w:rsidRPr="009412F5" w:rsidRDefault="00FC7FD2" w:rsidP="00F105CF">
            <w:pPr>
              <w:keepNext/>
              <w:jc w:val="right"/>
              <w:rPr>
                <w:rFonts w:ascii="Calibri" w:hAnsi="Calibri" w:cs="Calibri"/>
                <w:sz w:val="18"/>
                <w:szCs w:val="18"/>
              </w:rPr>
            </w:pPr>
            <w:r>
              <w:rPr>
                <w:rFonts w:ascii="Calibri" w:hAnsi="Calibri" w:cs="Calibri"/>
                <w:sz w:val="18"/>
                <w:szCs w:val="18"/>
              </w:rPr>
              <w:t>73.67</w:t>
            </w:r>
          </w:p>
        </w:tc>
        <w:tc>
          <w:tcPr>
            <w:tcW w:w="894" w:type="dxa"/>
            <w:tcBorders>
              <w:left w:val="single" w:sz="4" w:space="0" w:color="auto"/>
              <w:bottom w:val="nil"/>
              <w:right w:val="single" w:sz="4" w:space="0" w:color="auto"/>
            </w:tcBorders>
            <w:shd w:val="clear" w:color="000000" w:fill="FFFFFF"/>
            <w:noWrap/>
            <w:vAlign w:val="bottom"/>
          </w:tcPr>
          <w:p w:rsidR="00794DCB" w:rsidRPr="009412F5" w:rsidRDefault="00FC7FD2" w:rsidP="00F105CF">
            <w:pPr>
              <w:keepNext/>
              <w:jc w:val="right"/>
              <w:rPr>
                <w:rFonts w:ascii="Calibri" w:hAnsi="Calibri" w:cs="Calibri"/>
                <w:sz w:val="18"/>
                <w:szCs w:val="18"/>
              </w:rPr>
            </w:pPr>
            <w:r>
              <w:rPr>
                <w:rFonts w:ascii="Calibri" w:hAnsi="Calibri" w:cs="Calibri"/>
                <w:sz w:val="18"/>
                <w:szCs w:val="18"/>
              </w:rPr>
              <w:t>$58.89</w:t>
            </w:r>
          </w:p>
        </w:tc>
        <w:tc>
          <w:tcPr>
            <w:tcW w:w="1284" w:type="dxa"/>
            <w:tcBorders>
              <w:top w:val="nil"/>
              <w:left w:val="nil"/>
              <w:bottom w:val="nil"/>
              <w:right w:val="single" w:sz="4" w:space="0" w:color="auto"/>
            </w:tcBorders>
            <w:shd w:val="clear" w:color="000000" w:fill="FFFFFF"/>
            <w:noWrap/>
            <w:vAlign w:val="bottom"/>
          </w:tcPr>
          <w:p w:rsidR="00794DCB" w:rsidRPr="009412F5" w:rsidRDefault="00FC7FD2" w:rsidP="00F105CF">
            <w:pPr>
              <w:keepNext/>
              <w:jc w:val="right"/>
              <w:rPr>
                <w:rFonts w:ascii="Calibri" w:hAnsi="Calibri" w:cs="Calibri"/>
                <w:sz w:val="18"/>
                <w:szCs w:val="18"/>
              </w:rPr>
            </w:pPr>
            <w:r>
              <w:rPr>
                <w:rFonts w:ascii="Calibri" w:hAnsi="Calibri" w:cs="Calibri"/>
                <w:sz w:val="18"/>
                <w:szCs w:val="18"/>
              </w:rPr>
              <w:t>$4,338.13</w:t>
            </w:r>
          </w:p>
        </w:tc>
      </w:tr>
      <w:tr w:rsidR="00794DCB" w:rsidRPr="009412F5" w:rsidTr="00F105CF">
        <w:trPr>
          <w:trHeight w:val="300"/>
        </w:trPr>
        <w:tc>
          <w:tcPr>
            <w:tcW w:w="4695" w:type="dxa"/>
            <w:tcBorders>
              <w:top w:val="nil"/>
              <w:left w:val="single" w:sz="4" w:space="0" w:color="auto"/>
              <w:bottom w:val="nil"/>
              <w:right w:val="single" w:sz="4" w:space="0" w:color="auto"/>
            </w:tcBorders>
            <w:shd w:val="clear" w:color="000000" w:fill="FFFFFF"/>
            <w:noWrap/>
            <w:vAlign w:val="bottom"/>
            <w:hideMark/>
          </w:tcPr>
          <w:p w:rsidR="00794DCB" w:rsidRPr="009412F5" w:rsidRDefault="00794DCB">
            <w:pPr>
              <w:keepNext/>
              <w:ind w:firstLineChars="400" w:firstLine="720"/>
              <w:rPr>
                <w:rFonts w:ascii="Calibri" w:hAnsi="Calibri" w:cs="Calibri"/>
                <w:sz w:val="18"/>
                <w:szCs w:val="18"/>
              </w:rPr>
            </w:pPr>
            <w:r>
              <w:rPr>
                <w:rFonts w:ascii="Calibri" w:hAnsi="Calibri" w:cs="Calibri"/>
                <w:sz w:val="18"/>
                <w:szCs w:val="18"/>
              </w:rPr>
              <w:t>Live Inspections for RS outside the United States</w:t>
            </w:r>
          </w:p>
        </w:tc>
        <w:tc>
          <w:tcPr>
            <w:tcW w:w="900" w:type="dxa"/>
            <w:tcBorders>
              <w:top w:val="nil"/>
              <w:left w:val="nil"/>
              <w:bottom w:val="nil"/>
              <w:right w:val="single" w:sz="4" w:space="0" w:color="auto"/>
            </w:tcBorders>
            <w:shd w:val="clear" w:color="000000" w:fill="FFFFFF"/>
            <w:noWrap/>
            <w:vAlign w:val="bottom"/>
            <w:hideMark/>
          </w:tcPr>
          <w:p w:rsidR="00794DCB" w:rsidRPr="009412F5" w:rsidRDefault="00EF3D87">
            <w:pPr>
              <w:keepNext/>
              <w:jc w:val="right"/>
              <w:rPr>
                <w:rFonts w:ascii="Calibri" w:hAnsi="Calibri" w:cs="Calibri"/>
                <w:sz w:val="18"/>
                <w:szCs w:val="18"/>
              </w:rPr>
            </w:pPr>
            <w:r>
              <w:rPr>
                <w:rFonts w:ascii="Calibri" w:hAnsi="Calibri" w:cs="Calibri"/>
                <w:sz w:val="18"/>
                <w:szCs w:val="18"/>
              </w:rPr>
              <w:t>77</w:t>
            </w:r>
          </w:p>
        </w:tc>
        <w:tc>
          <w:tcPr>
            <w:tcW w:w="900" w:type="dxa"/>
            <w:tcBorders>
              <w:top w:val="nil"/>
              <w:left w:val="nil"/>
              <w:bottom w:val="nil"/>
              <w:right w:val="single" w:sz="4" w:space="0" w:color="auto"/>
            </w:tcBorders>
            <w:shd w:val="clear" w:color="000000" w:fill="FFFFFF"/>
            <w:noWrap/>
            <w:vAlign w:val="bottom"/>
            <w:hideMark/>
          </w:tcPr>
          <w:p w:rsidR="00794DCB" w:rsidRPr="009412F5" w:rsidRDefault="00EF3D87" w:rsidP="00F105CF">
            <w:pPr>
              <w:keepNext/>
              <w:jc w:val="right"/>
              <w:rPr>
                <w:rFonts w:ascii="Calibri" w:hAnsi="Calibri" w:cs="Calibri"/>
                <w:sz w:val="18"/>
                <w:szCs w:val="18"/>
              </w:rPr>
            </w:pPr>
            <w:r>
              <w:rPr>
                <w:rFonts w:ascii="Calibri" w:hAnsi="Calibri" w:cs="Calibri"/>
                <w:sz w:val="18"/>
                <w:szCs w:val="18"/>
              </w:rPr>
              <w:t>1</w:t>
            </w:r>
          </w:p>
        </w:tc>
        <w:tc>
          <w:tcPr>
            <w:tcW w:w="810" w:type="dxa"/>
            <w:tcBorders>
              <w:top w:val="nil"/>
              <w:left w:val="nil"/>
              <w:bottom w:val="nil"/>
              <w:right w:val="nil"/>
            </w:tcBorders>
            <w:shd w:val="clear" w:color="000000" w:fill="FFFFFF"/>
            <w:noWrap/>
            <w:vAlign w:val="bottom"/>
            <w:hideMark/>
          </w:tcPr>
          <w:p w:rsidR="00794DCB" w:rsidRPr="009412F5" w:rsidRDefault="00FC7FD2">
            <w:pPr>
              <w:keepNext/>
              <w:jc w:val="right"/>
              <w:rPr>
                <w:rFonts w:ascii="Calibri" w:hAnsi="Calibri" w:cs="Calibri"/>
                <w:sz w:val="18"/>
                <w:szCs w:val="18"/>
              </w:rPr>
            </w:pPr>
            <w:r>
              <w:rPr>
                <w:rFonts w:ascii="Calibri" w:hAnsi="Calibri" w:cs="Calibri"/>
                <w:sz w:val="18"/>
                <w:szCs w:val="18"/>
              </w:rPr>
              <w:t>77</w:t>
            </w:r>
          </w:p>
        </w:tc>
        <w:tc>
          <w:tcPr>
            <w:tcW w:w="894" w:type="dxa"/>
            <w:tcBorders>
              <w:top w:val="nil"/>
              <w:left w:val="single" w:sz="4" w:space="0" w:color="auto"/>
              <w:bottom w:val="nil"/>
              <w:right w:val="single" w:sz="4" w:space="0" w:color="auto"/>
            </w:tcBorders>
            <w:shd w:val="clear" w:color="000000" w:fill="FFFFFF"/>
            <w:noWrap/>
            <w:vAlign w:val="bottom"/>
            <w:hideMark/>
          </w:tcPr>
          <w:p w:rsidR="00794DCB" w:rsidRPr="009412F5" w:rsidRDefault="00794DCB" w:rsidP="00F105CF">
            <w:pPr>
              <w:keepNext/>
              <w:jc w:val="right"/>
              <w:rPr>
                <w:rFonts w:ascii="Calibri" w:hAnsi="Calibri" w:cs="Calibri"/>
                <w:sz w:val="18"/>
                <w:szCs w:val="18"/>
              </w:rPr>
            </w:pPr>
            <w:r w:rsidRPr="009412F5">
              <w:rPr>
                <w:rFonts w:ascii="Calibri" w:hAnsi="Calibri" w:cs="Calibri"/>
                <w:sz w:val="18"/>
                <w:szCs w:val="18"/>
              </w:rPr>
              <w:t xml:space="preserve">$55.35 </w:t>
            </w:r>
          </w:p>
        </w:tc>
        <w:tc>
          <w:tcPr>
            <w:tcW w:w="1284" w:type="dxa"/>
            <w:tcBorders>
              <w:top w:val="nil"/>
              <w:left w:val="nil"/>
              <w:bottom w:val="nil"/>
              <w:right w:val="single" w:sz="4" w:space="0" w:color="auto"/>
            </w:tcBorders>
            <w:shd w:val="clear" w:color="000000" w:fill="FFFFFF"/>
            <w:noWrap/>
            <w:vAlign w:val="bottom"/>
            <w:hideMark/>
          </w:tcPr>
          <w:p w:rsidR="00794DCB" w:rsidRPr="009412F5" w:rsidRDefault="00794DCB">
            <w:pPr>
              <w:keepNext/>
              <w:jc w:val="right"/>
              <w:rPr>
                <w:rFonts w:ascii="Calibri" w:hAnsi="Calibri" w:cs="Calibri"/>
                <w:sz w:val="18"/>
                <w:szCs w:val="18"/>
              </w:rPr>
            </w:pPr>
            <w:r w:rsidRPr="009412F5">
              <w:rPr>
                <w:rFonts w:ascii="Calibri" w:hAnsi="Calibri" w:cs="Calibri"/>
                <w:sz w:val="18"/>
                <w:szCs w:val="18"/>
              </w:rPr>
              <w:t>$</w:t>
            </w:r>
            <w:r w:rsidR="00FC7FD2">
              <w:rPr>
                <w:rFonts w:ascii="Calibri" w:hAnsi="Calibri" w:cs="Calibri"/>
                <w:sz w:val="18"/>
                <w:szCs w:val="18"/>
              </w:rPr>
              <w:t>4</w:t>
            </w:r>
            <w:r w:rsidRPr="009412F5">
              <w:rPr>
                <w:rFonts w:ascii="Calibri" w:hAnsi="Calibri" w:cs="Calibri"/>
                <w:sz w:val="18"/>
                <w:szCs w:val="18"/>
              </w:rPr>
              <w:t>,</w:t>
            </w:r>
            <w:r w:rsidR="0069186C">
              <w:rPr>
                <w:rFonts w:ascii="Calibri" w:hAnsi="Calibri" w:cs="Calibri"/>
                <w:sz w:val="18"/>
                <w:szCs w:val="18"/>
              </w:rPr>
              <w:t>261</w:t>
            </w:r>
            <w:r w:rsidRPr="009412F5">
              <w:rPr>
                <w:rFonts w:ascii="Calibri" w:hAnsi="Calibri" w:cs="Calibri"/>
                <w:sz w:val="18"/>
                <w:szCs w:val="18"/>
              </w:rPr>
              <w:t>.</w:t>
            </w:r>
            <w:r w:rsidR="0069186C">
              <w:rPr>
                <w:rFonts w:ascii="Calibri" w:hAnsi="Calibri" w:cs="Calibri"/>
                <w:sz w:val="18"/>
                <w:szCs w:val="18"/>
              </w:rPr>
              <w:t>95</w:t>
            </w:r>
            <w:r w:rsidRPr="009412F5">
              <w:rPr>
                <w:rFonts w:ascii="Calibri" w:hAnsi="Calibri" w:cs="Calibri"/>
                <w:sz w:val="18"/>
                <w:szCs w:val="18"/>
              </w:rPr>
              <w:t xml:space="preserve"> </w:t>
            </w:r>
          </w:p>
        </w:tc>
      </w:tr>
      <w:tr w:rsidR="00794DCB" w:rsidRPr="009412F5" w:rsidTr="00F105CF">
        <w:trPr>
          <w:trHeight w:val="300"/>
        </w:trPr>
        <w:tc>
          <w:tcPr>
            <w:tcW w:w="46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DCB" w:rsidRPr="009412F5" w:rsidRDefault="00794DCB" w:rsidP="00F105CF">
            <w:pPr>
              <w:keepNext/>
              <w:rPr>
                <w:rFonts w:ascii="Calibri" w:hAnsi="Calibri" w:cs="Calibri"/>
                <w:b/>
                <w:bCs/>
                <w:sz w:val="18"/>
                <w:szCs w:val="18"/>
              </w:rPr>
            </w:pPr>
            <w:r w:rsidRPr="009412F5">
              <w:rPr>
                <w:rFonts w:ascii="Calibri" w:hAnsi="Calibri" w:cs="Calibri"/>
                <w:b/>
                <w:bCs/>
                <w:sz w:val="18"/>
                <w:szCs w:val="18"/>
              </w:rPr>
              <w:t xml:space="preserve">Total </w:t>
            </w:r>
          </w:p>
        </w:tc>
        <w:tc>
          <w:tcPr>
            <w:tcW w:w="900" w:type="dxa"/>
            <w:tcBorders>
              <w:top w:val="single" w:sz="4" w:space="0" w:color="auto"/>
              <w:left w:val="nil"/>
              <w:bottom w:val="single" w:sz="4" w:space="0" w:color="auto"/>
              <w:right w:val="nil"/>
            </w:tcBorders>
            <w:shd w:val="clear" w:color="000000" w:fill="FFFFFF"/>
            <w:noWrap/>
            <w:vAlign w:val="bottom"/>
            <w:hideMark/>
          </w:tcPr>
          <w:p w:rsidR="00794DCB" w:rsidRPr="009412F5" w:rsidRDefault="00FC7FD2">
            <w:pPr>
              <w:keepNext/>
              <w:jc w:val="right"/>
              <w:rPr>
                <w:rFonts w:ascii="Calibri" w:hAnsi="Calibri" w:cs="Calibri"/>
                <w:b/>
                <w:bCs/>
                <w:sz w:val="18"/>
                <w:szCs w:val="18"/>
              </w:rPr>
            </w:pPr>
            <w:r>
              <w:rPr>
                <w:rFonts w:ascii="Calibri" w:hAnsi="Calibri" w:cs="Calibri"/>
                <w:b/>
                <w:bCs/>
                <w:sz w:val="18"/>
                <w:szCs w:val="18"/>
              </w:rPr>
              <w:t>36</w:t>
            </w:r>
            <w:r w:rsidR="0069186C">
              <w:rPr>
                <w:rFonts w:ascii="Calibri" w:hAnsi="Calibri" w:cs="Calibri"/>
                <w:b/>
                <w:bCs/>
                <w:sz w:val="18"/>
                <w:szCs w:val="18"/>
              </w:rPr>
              <w:t>9</w:t>
            </w:r>
          </w:p>
        </w:tc>
        <w:tc>
          <w:tcPr>
            <w:tcW w:w="900" w:type="dxa"/>
            <w:tcBorders>
              <w:top w:val="single" w:sz="4" w:space="0" w:color="auto"/>
              <w:left w:val="single" w:sz="4" w:space="0" w:color="auto"/>
              <w:bottom w:val="single" w:sz="4" w:space="0" w:color="auto"/>
              <w:right w:val="nil"/>
            </w:tcBorders>
            <w:shd w:val="clear" w:color="000000" w:fill="FFFFFF"/>
            <w:noWrap/>
            <w:vAlign w:val="bottom"/>
            <w:hideMark/>
          </w:tcPr>
          <w:p w:rsidR="00794DCB" w:rsidRPr="009412F5" w:rsidRDefault="00794DCB" w:rsidP="00F105CF">
            <w:pPr>
              <w:keepNext/>
              <w:rPr>
                <w:rFonts w:ascii="Calibri" w:hAnsi="Calibri" w:cs="Calibri"/>
                <w:b/>
                <w:bCs/>
                <w:sz w:val="18"/>
                <w:szCs w:val="18"/>
              </w:rPr>
            </w:pPr>
            <w:r w:rsidRPr="009412F5">
              <w:rPr>
                <w:rFonts w:ascii="Calibri" w:hAnsi="Calibri" w:cs="Calibri"/>
                <w:b/>
                <w:bCs/>
                <w:sz w:val="18"/>
                <w:szCs w:val="18"/>
              </w:rPr>
              <w:t> </w:t>
            </w:r>
          </w:p>
        </w:tc>
        <w:tc>
          <w:tcPr>
            <w:tcW w:w="810" w:type="dxa"/>
            <w:tcBorders>
              <w:top w:val="single" w:sz="4" w:space="0" w:color="auto"/>
              <w:left w:val="nil"/>
              <w:bottom w:val="single" w:sz="4" w:space="0" w:color="auto"/>
              <w:right w:val="nil"/>
            </w:tcBorders>
            <w:shd w:val="clear" w:color="000000" w:fill="FFFFFF"/>
            <w:noWrap/>
            <w:vAlign w:val="bottom"/>
            <w:hideMark/>
          </w:tcPr>
          <w:p w:rsidR="00794DCB" w:rsidRPr="009412F5" w:rsidRDefault="00FC7FD2">
            <w:pPr>
              <w:keepNext/>
              <w:jc w:val="right"/>
              <w:rPr>
                <w:rFonts w:ascii="Calibri" w:hAnsi="Calibri" w:cs="Calibri"/>
                <w:b/>
                <w:bCs/>
                <w:sz w:val="18"/>
                <w:szCs w:val="18"/>
              </w:rPr>
            </w:pPr>
            <w:r>
              <w:rPr>
                <w:rFonts w:ascii="Calibri" w:hAnsi="Calibri" w:cs="Calibri"/>
                <w:b/>
                <w:bCs/>
                <w:sz w:val="18"/>
                <w:szCs w:val="18"/>
              </w:rPr>
              <w:t>29</w:t>
            </w:r>
            <w:r w:rsidR="0069186C">
              <w:rPr>
                <w:rFonts w:ascii="Calibri" w:hAnsi="Calibri" w:cs="Calibri"/>
                <w:b/>
                <w:bCs/>
                <w:sz w:val="18"/>
                <w:szCs w:val="18"/>
              </w:rPr>
              <w:t>5</w:t>
            </w:r>
          </w:p>
        </w:tc>
        <w:tc>
          <w:tcPr>
            <w:tcW w:w="894" w:type="dxa"/>
            <w:tcBorders>
              <w:top w:val="single" w:sz="4" w:space="0" w:color="auto"/>
              <w:left w:val="nil"/>
              <w:bottom w:val="single" w:sz="4" w:space="0" w:color="auto"/>
              <w:right w:val="nil"/>
            </w:tcBorders>
            <w:shd w:val="clear" w:color="000000" w:fill="FFFFFF"/>
            <w:noWrap/>
            <w:vAlign w:val="bottom"/>
            <w:hideMark/>
          </w:tcPr>
          <w:p w:rsidR="00794DCB" w:rsidRPr="009412F5" w:rsidRDefault="00794DCB" w:rsidP="00F105CF">
            <w:pPr>
              <w:keepNext/>
              <w:rPr>
                <w:rFonts w:ascii="Calibri" w:hAnsi="Calibri" w:cs="Calibri"/>
                <w:b/>
                <w:bCs/>
                <w:sz w:val="18"/>
                <w:szCs w:val="18"/>
              </w:rPr>
            </w:pPr>
            <w:r w:rsidRPr="009412F5">
              <w:rPr>
                <w:rFonts w:ascii="Calibri" w:hAnsi="Calibri" w:cs="Calibri"/>
                <w:b/>
                <w:bCs/>
                <w:sz w:val="18"/>
                <w:szCs w:val="18"/>
              </w:rPr>
              <w:t> </w:t>
            </w:r>
          </w:p>
        </w:tc>
        <w:tc>
          <w:tcPr>
            <w:tcW w:w="12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DCB" w:rsidRPr="009412F5" w:rsidRDefault="00794DCB">
            <w:pPr>
              <w:keepNext/>
              <w:jc w:val="right"/>
              <w:rPr>
                <w:rFonts w:ascii="Calibri" w:hAnsi="Calibri" w:cs="Calibri"/>
                <w:b/>
                <w:bCs/>
                <w:sz w:val="18"/>
                <w:szCs w:val="18"/>
              </w:rPr>
            </w:pPr>
            <w:r w:rsidRPr="009412F5">
              <w:rPr>
                <w:rFonts w:ascii="Calibri" w:hAnsi="Calibri" w:cs="Calibri"/>
                <w:b/>
                <w:bCs/>
                <w:sz w:val="18"/>
                <w:szCs w:val="18"/>
              </w:rPr>
              <w:t>$1</w:t>
            </w:r>
            <w:r w:rsidR="0069186C">
              <w:rPr>
                <w:rFonts w:ascii="Calibri" w:hAnsi="Calibri" w:cs="Calibri"/>
                <w:b/>
                <w:bCs/>
                <w:sz w:val="18"/>
                <w:szCs w:val="18"/>
              </w:rPr>
              <w:t>7</w:t>
            </w:r>
            <w:r w:rsidRPr="009412F5">
              <w:rPr>
                <w:rFonts w:ascii="Calibri" w:hAnsi="Calibri" w:cs="Calibri"/>
                <w:b/>
                <w:bCs/>
                <w:sz w:val="18"/>
                <w:szCs w:val="18"/>
              </w:rPr>
              <w:t>,</w:t>
            </w:r>
            <w:r w:rsidR="0069186C">
              <w:rPr>
                <w:rFonts w:ascii="Calibri" w:hAnsi="Calibri" w:cs="Calibri"/>
                <w:b/>
                <w:bCs/>
                <w:sz w:val="18"/>
                <w:szCs w:val="18"/>
              </w:rPr>
              <w:t>119</w:t>
            </w:r>
            <w:r w:rsidRPr="009412F5">
              <w:rPr>
                <w:rFonts w:ascii="Calibri" w:hAnsi="Calibri" w:cs="Calibri"/>
                <w:b/>
                <w:bCs/>
                <w:sz w:val="18"/>
                <w:szCs w:val="18"/>
              </w:rPr>
              <w:t>.</w:t>
            </w:r>
            <w:r w:rsidR="0069186C">
              <w:rPr>
                <w:rFonts w:ascii="Calibri" w:hAnsi="Calibri" w:cs="Calibri"/>
                <w:b/>
                <w:bCs/>
                <w:sz w:val="18"/>
                <w:szCs w:val="18"/>
              </w:rPr>
              <w:t>70</w:t>
            </w:r>
            <w:r w:rsidRPr="009412F5">
              <w:rPr>
                <w:rFonts w:ascii="Calibri" w:hAnsi="Calibri" w:cs="Calibri"/>
                <w:b/>
                <w:bCs/>
                <w:sz w:val="18"/>
                <w:szCs w:val="18"/>
              </w:rPr>
              <w:t xml:space="preserve"> </w:t>
            </w:r>
          </w:p>
        </w:tc>
      </w:tr>
    </w:tbl>
    <w:p w:rsidR="00BD2E87" w:rsidRDefault="00794DCB" w:rsidP="00BD2E87">
      <w:pPr>
        <w:keepNext/>
        <w:rPr>
          <w:rFonts w:cs="Times New Roman"/>
          <w:szCs w:val="24"/>
        </w:rPr>
      </w:pPr>
      <w:r>
        <w:rPr>
          <w:color w:val="auto"/>
        </w:rPr>
        <w:br/>
      </w:r>
    </w:p>
    <w:p w:rsidR="00723E5F" w:rsidRDefault="00723E5F" w:rsidP="00BD2E87">
      <w:pPr>
        <w:keepNext/>
        <w:rPr>
          <w:rFonts w:cs="Times New Roman"/>
          <w:szCs w:val="24"/>
        </w:rPr>
      </w:pPr>
    </w:p>
    <w:p w:rsidR="00723E5F" w:rsidRDefault="00723E5F" w:rsidP="00BD2E87">
      <w:pPr>
        <w:keepNext/>
        <w:rPr>
          <w:rFonts w:cs="Times New Roman"/>
          <w:szCs w:val="24"/>
        </w:rPr>
      </w:pP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Explain the reasons for any program changes or adjustments reported in Items 13 or 14 of the OMB Form 83-I.</w:t>
      </w:r>
    </w:p>
    <w:p w:rsidR="009A176C" w:rsidRDefault="009A176C" w:rsidP="009A176C">
      <w:pPr>
        <w:numPr>
          <w:ilvl w:val="12"/>
          <w:numId w:val="0"/>
        </w:numPr>
        <w:ind w:left="360"/>
      </w:pPr>
    </w:p>
    <w:p w:rsidR="009A176C" w:rsidRDefault="0019292E" w:rsidP="0019292E">
      <w:pPr>
        <w:numPr>
          <w:ilvl w:val="12"/>
          <w:numId w:val="0"/>
        </w:numPr>
        <w:ind w:left="360"/>
      </w:pPr>
      <w:r>
        <w:t>T</w:t>
      </w:r>
      <w:r w:rsidR="00E478C5">
        <w:t>SA has adjusted its</w:t>
      </w:r>
      <w:r w:rsidR="00CF7F41">
        <w:t xml:space="preserve"> burden estimates</w:t>
      </w:r>
      <w:r>
        <w:t xml:space="preserve"> because TSA</w:t>
      </w:r>
      <w:r w:rsidR="00CF7F41">
        <w:t xml:space="preserve"> </w:t>
      </w:r>
      <w:r w:rsidR="00E478C5">
        <w:t>is</w:t>
      </w:r>
      <w:r w:rsidR="00CF7F41" w:rsidRPr="00CF7F41">
        <w:t xml:space="preserve"> no longer collect</w:t>
      </w:r>
      <w:r w:rsidR="00E478C5">
        <w:t xml:space="preserve">ing information via </w:t>
      </w:r>
      <w:r w:rsidR="00CF7F41" w:rsidRPr="00CF7F41">
        <w:t>paper and desk audits</w:t>
      </w:r>
      <w:r w:rsidR="00CF7F41">
        <w:t>.</w:t>
      </w:r>
      <w:r w:rsidR="00E478C5">
        <w:t xml:space="preserve"> TSA has </w:t>
      </w:r>
      <w:r>
        <w:t>complet</w:t>
      </w:r>
      <w:r w:rsidR="00E478C5">
        <w:t>ed</w:t>
      </w:r>
      <w:r>
        <w:t xml:space="preserve"> </w:t>
      </w:r>
      <w:r w:rsidR="00F512B0" w:rsidRPr="00F512B0">
        <w:t xml:space="preserve">a security review and </w:t>
      </w:r>
      <w:r w:rsidR="00081710" w:rsidRPr="00F512B0">
        <w:t xml:space="preserve">audit </w:t>
      </w:r>
      <w:r>
        <w:rPr>
          <w:rFonts w:cs="Times New Roman"/>
          <w:bCs/>
          <w:szCs w:val="24"/>
        </w:rPr>
        <w:t>of 707 repair stations outside the U.S.</w:t>
      </w:r>
      <w:r w:rsidR="00E478C5">
        <w:rPr>
          <w:rFonts w:cs="Times New Roman"/>
          <w:bCs/>
          <w:szCs w:val="24"/>
        </w:rPr>
        <w:t>, and thus complied with the statute.</w:t>
      </w:r>
      <w:r>
        <w:rPr>
          <w:rFonts w:cs="Times New Roman"/>
          <w:bCs/>
          <w:szCs w:val="24"/>
        </w:rPr>
        <w:t xml:space="preserve">  T</w:t>
      </w:r>
      <w:r w:rsidR="00E478C5">
        <w:rPr>
          <w:rFonts w:cs="Times New Roman"/>
          <w:bCs/>
          <w:szCs w:val="24"/>
        </w:rPr>
        <w:t>SA</w:t>
      </w:r>
      <w:r>
        <w:rPr>
          <w:rFonts w:cs="Times New Roman"/>
          <w:bCs/>
          <w:szCs w:val="24"/>
        </w:rPr>
        <w:t xml:space="preserve"> regulations do not require that these audits continue.  Thus, TSA</w:t>
      </w:r>
      <w:r w:rsidR="00E478C5">
        <w:rPr>
          <w:rFonts w:cs="Times New Roman"/>
          <w:bCs/>
          <w:szCs w:val="24"/>
        </w:rPr>
        <w:t xml:space="preserve"> has</w:t>
      </w:r>
      <w:r>
        <w:rPr>
          <w:rFonts w:cs="Times New Roman"/>
          <w:bCs/>
          <w:szCs w:val="24"/>
        </w:rPr>
        <w:t xml:space="preserve"> reduc</w:t>
      </w:r>
      <w:r w:rsidR="00E478C5">
        <w:rPr>
          <w:rFonts w:cs="Times New Roman"/>
          <w:bCs/>
          <w:szCs w:val="24"/>
        </w:rPr>
        <w:t>ed</w:t>
      </w:r>
      <w:r>
        <w:rPr>
          <w:rFonts w:cs="Times New Roman"/>
          <w:bCs/>
          <w:szCs w:val="24"/>
        </w:rPr>
        <w:t xml:space="preserve"> </w:t>
      </w:r>
      <w:r w:rsidR="00E478C5">
        <w:rPr>
          <w:rFonts w:cs="Times New Roman"/>
          <w:bCs/>
          <w:szCs w:val="24"/>
        </w:rPr>
        <w:t>its</w:t>
      </w:r>
      <w:r>
        <w:rPr>
          <w:rFonts w:cs="Times New Roman"/>
          <w:bCs/>
          <w:szCs w:val="24"/>
        </w:rPr>
        <w:t xml:space="preserve"> burden</w:t>
      </w:r>
      <w:r w:rsidR="00E478C5">
        <w:rPr>
          <w:rFonts w:cs="Times New Roman"/>
          <w:bCs/>
          <w:szCs w:val="24"/>
        </w:rPr>
        <w:t xml:space="preserve"> estimates</w:t>
      </w:r>
      <w:r w:rsidR="005F7187">
        <w:rPr>
          <w:rFonts w:cs="Times New Roman"/>
          <w:bCs/>
          <w:szCs w:val="24"/>
        </w:rPr>
        <w:t>, becaus</w:t>
      </w:r>
      <w:r w:rsidR="00C32685">
        <w:rPr>
          <w:rFonts w:cs="Times New Roman"/>
          <w:bCs/>
          <w:szCs w:val="24"/>
        </w:rPr>
        <w:t>e</w:t>
      </w:r>
      <w:r w:rsidR="005F7187">
        <w:rPr>
          <w:rFonts w:cs="Times New Roman"/>
          <w:bCs/>
          <w:szCs w:val="24"/>
        </w:rPr>
        <w:t xml:space="preserve"> it</w:t>
      </w:r>
      <w:r>
        <w:t xml:space="preserve"> is able to</w:t>
      </w:r>
      <w:r w:rsidR="00FB3B75">
        <w:t xml:space="preserve"> </w:t>
      </w:r>
      <w:r>
        <w:t xml:space="preserve">obtain </w:t>
      </w:r>
      <w:r w:rsidR="00FB3B75">
        <w:t xml:space="preserve">information </w:t>
      </w:r>
      <w:r>
        <w:t xml:space="preserve">for </w:t>
      </w:r>
      <w:r w:rsidR="00081710">
        <w:t>the repair</w:t>
      </w:r>
      <w:r>
        <w:t xml:space="preserve"> stations outside the U</w:t>
      </w:r>
      <w:r w:rsidR="00FE5259">
        <w:t>.</w:t>
      </w:r>
      <w:r>
        <w:t>S</w:t>
      </w:r>
      <w:r w:rsidR="00FE5259">
        <w:t>.</w:t>
      </w:r>
      <w:r>
        <w:t xml:space="preserve"> </w:t>
      </w:r>
      <w:r w:rsidR="00FB3B75">
        <w:t>through a memorandum of understanding with the FAA.</w:t>
      </w: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176C" w:rsidRDefault="009A176C" w:rsidP="009A176C">
      <w:pPr>
        <w:numPr>
          <w:ilvl w:val="12"/>
          <w:numId w:val="0"/>
        </w:numPr>
        <w:ind w:left="360"/>
      </w:pPr>
    </w:p>
    <w:p w:rsidR="009A176C" w:rsidRPr="008A623E" w:rsidRDefault="009A176C" w:rsidP="009A176C">
      <w:pPr>
        <w:numPr>
          <w:ilvl w:val="12"/>
          <w:numId w:val="0"/>
        </w:numPr>
        <w:ind w:left="360"/>
      </w:pPr>
      <w:r w:rsidRPr="008A623E">
        <w:t xml:space="preserve">This information collection will not be published for statistical purposes. </w:t>
      </w: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A176C" w:rsidRDefault="009A176C" w:rsidP="009A176C">
      <w:pPr>
        <w:numPr>
          <w:ilvl w:val="12"/>
          <w:numId w:val="0"/>
        </w:numPr>
        <w:ind w:left="360"/>
      </w:pPr>
    </w:p>
    <w:p w:rsidR="009A176C" w:rsidRDefault="009A176C" w:rsidP="009A176C">
      <w:pPr>
        <w:ind w:left="360"/>
        <w:rPr>
          <w:rFonts w:cs="Times New Roman"/>
          <w:szCs w:val="24"/>
        </w:rPr>
      </w:pPr>
      <w:r>
        <w:rPr>
          <w:rFonts w:cs="Times New Roman"/>
          <w:szCs w:val="24"/>
        </w:rPr>
        <w:t xml:space="preserve">TSA </w:t>
      </w:r>
      <w:r w:rsidR="001404D7">
        <w:rPr>
          <w:rFonts w:cs="Times New Roman"/>
          <w:szCs w:val="24"/>
        </w:rPr>
        <w:t>will display the OMB number and expiration date</w:t>
      </w:r>
      <w:r>
        <w:rPr>
          <w:rFonts w:cs="Times New Roman"/>
          <w:szCs w:val="24"/>
        </w:rPr>
        <w:t>.</w:t>
      </w:r>
    </w:p>
    <w:p w:rsidR="001A600F" w:rsidRDefault="001A600F" w:rsidP="009A176C">
      <w:pPr>
        <w:ind w:left="360"/>
        <w:rPr>
          <w:rFonts w:cs="Times New Roman"/>
          <w:szCs w:val="24"/>
        </w:rPr>
      </w:pPr>
    </w:p>
    <w:p w:rsidR="009A176C" w:rsidRDefault="009A176C" w:rsidP="009A176C">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A176C" w:rsidRDefault="009A176C" w:rsidP="009A176C">
      <w:pPr>
        <w:numPr>
          <w:ilvl w:val="12"/>
          <w:numId w:val="0"/>
        </w:numPr>
        <w:ind w:left="360"/>
      </w:pPr>
    </w:p>
    <w:p w:rsidR="009A176C" w:rsidRDefault="009A176C" w:rsidP="009A176C">
      <w:pPr>
        <w:ind w:left="360"/>
      </w:pPr>
      <w:r>
        <w:t>TSA is not seeking any exceptions to the certification requirement.</w:t>
      </w:r>
    </w:p>
    <w:p w:rsidR="009A176C" w:rsidRDefault="009A176C" w:rsidP="009A176C">
      <w:pPr>
        <w:keepNext/>
        <w:tabs>
          <w:tab w:val="left" w:pos="360"/>
        </w:tabs>
        <w:ind w:left="360"/>
      </w:pPr>
    </w:p>
    <w:p w:rsidR="00B03343" w:rsidRDefault="00B03343" w:rsidP="00B03343">
      <w:pPr>
        <w:keepNext/>
        <w:tabs>
          <w:tab w:val="left" w:pos="360"/>
        </w:tabs>
        <w:ind w:left="360"/>
      </w:pPr>
    </w:p>
    <w:sectPr w:rsidR="00B03343" w:rsidSect="005563BD">
      <w:head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A7107" w15:done="0"/>
  <w15:commentEx w15:paraId="3378A9FC" w15:done="0"/>
  <w15:commentEx w15:paraId="77F2A60D" w15:done="0"/>
  <w15:commentEx w15:paraId="266A782F" w15:done="0"/>
  <w15:commentEx w15:paraId="57EE9A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CE" w:rsidRDefault="005134CE">
      <w:r>
        <w:separator/>
      </w:r>
    </w:p>
  </w:endnote>
  <w:endnote w:type="continuationSeparator" w:id="0">
    <w:p w:rsidR="005134CE" w:rsidRDefault="005134CE">
      <w:r>
        <w:continuationSeparator/>
      </w:r>
    </w:p>
  </w:endnote>
  <w:endnote w:type="continuationNotice" w:id="1">
    <w:p w:rsidR="005134CE" w:rsidRDefault="00513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3C2" w:rsidRDefault="000623C2">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CE" w:rsidRDefault="005134CE">
      <w:r>
        <w:separator/>
      </w:r>
    </w:p>
  </w:footnote>
  <w:footnote w:type="continuationSeparator" w:id="0">
    <w:p w:rsidR="005134CE" w:rsidRDefault="005134CE">
      <w:r>
        <w:continuationSeparator/>
      </w:r>
    </w:p>
  </w:footnote>
  <w:footnote w:type="continuationNotice" w:id="1">
    <w:p w:rsidR="005134CE" w:rsidRDefault="005134CE"/>
  </w:footnote>
  <w:footnote w:id="2">
    <w:p w:rsidR="000623C2" w:rsidRDefault="000623C2" w:rsidP="00CA37E7">
      <w:pPr>
        <w:pStyle w:val="FootnoteText"/>
      </w:pPr>
      <w:r>
        <w:rPr>
          <w:rStyle w:val="FootnoteReference"/>
        </w:rPr>
        <w:footnoteRef/>
      </w:r>
      <w:r>
        <w:t xml:space="preserve"> To maintain consistency with FAA terminology, TSA will refer to domestic repair stations as repair stations within the U.S., and will refer to foreign repair stations as repair stations</w:t>
      </w:r>
      <w:r w:rsidR="00F760A3">
        <w:t xml:space="preserve"> </w:t>
      </w:r>
      <w:r>
        <w:t>outside within the U.S.</w:t>
      </w:r>
    </w:p>
  </w:footnote>
  <w:footnote w:id="3">
    <w:p w:rsidR="000623C2" w:rsidRDefault="000623C2">
      <w:pPr>
        <w:pStyle w:val="FootnoteText"/>
      </w:pPr>
      <w:r>
        <w:rPr>
          <w:rStyle w:val="FootnoteReference"/>
        </w:rPr>
        <w:footnoteRef/>
      </w:r>
      <w:r>
        <w:t xml:space="preserve"> </w:t>
      </w:r>
      <w:r w:rsidRPr="007F4109">
        <w:t>TSA will consider a repair station to be “on airport” if it is on an air operations area or security identification display area of an airport covered by an airport security program under 49 CFR part 1542 in the U.S., or on the security restricted area of any commensurate airport outside the U.S. regulated by a government entity.  TSA will consider a repair station to be adjacent to an airport if there is an access point between the repair station and the airport of sufficient size to allow the movement of large aircraft between the repair station and the area described as “on airport.”  TSA has determined that these repair stations pose the highest risk to security due to their proximity to an airport and runways and the presence of operational aircraft of a size and weight that could inflict significant damage and loss of life.</w:t>
      </w:r>
    </w:p>
  </w:footnote>
  <w:footnote w:id="4">
    <w:p w:rsidR="000623C2" w:rsidRPr="005F2A28" w:rsidRDefault="000623C2" w:rsidP="00BD2E87">
      <w:pPr>
        <w:pStyle w:val="FootnoteText"/>
        <w:ind w:left="180" w:hanging="180"/>
      </w:pPr>
      <w:r>
        <w:rPr>
          <w:rStyle w:val="FootnoteReference"/>
        </w:rPr>
        <w:footnoteRef/>
      </w:r>
      <w:r>
        <w:t xml:space="preserve"> </w:t>
      </w:r>
      <w:r w:rsidRPr="00615D1F">
        <w:t>Fully loaded hourly average wage rate $</w:t>
      </w:r>
      <w:r>
        <w:t>28</w:t>
      </w:r>
      <w:r w:rsidRPr="00615D1F">
        <w:t>.</w:t>
      </w:r>
      <w:r>
        <w:t>35</w:t>
      </w:r>
      <w:r w:rsidRPr="00615D1F">
        <w:t xml:space="preserve"> </w:t>
      </w:r>
      <w:r w:rsidRPr="005F2A28">
        <w:t>= hourly average wage $</w:t>
      </w:r>
      <w:r>
        <w:t>18</w:t>
      </w:r>
      <w:r w:rsidRPr="005F2A28">
        <w:t>.</w:t>
      </w:r>
      <w:r>
        <w:t>46</w:t>
      </w:r>
      <w:r w:rsidRPr="005F2A28">
        <w:t xml:space="preserve"> x compensation factor 1.53</w:t>
      </w:r>
      <w:r>
        <w:t>6</w:t>
      </w:r>
      <w:r w:rsidRPr="005F2A28">
        <w:t xml:space="preserve">.  </w:t>
      </w:r>
    </w:p>
    <w:p w:rsidR="000623C2" w:rsidRDefault="000623C2" w:rsidP="00F760A3">
      <w:r w:rsidRPr="00716172">
        <w:rPr>
          <w:rFonts w:cs="Times New Roman"/>
          <w:sz w:val="20"/>
        </w:rPr>
        <w:t>Source-hourly ave</w:t>
      </w:r>
      <w:r w:rsidRPr="003B0137">
        <w:rPr>
          <w:rFonts w:cs="Times New Roman"/>
          <w:sz w:val="20"/>
        </w:rPr>
        <w:t xml:space="preserve">rage wage: </w:t>
      </w:r>
      <w:r>
        <w:rPr>
          <w:rFonts w:cs="Times New Roman"/>
          <w:sz w:val="20"/>
        </w:rPr>
        <w:t xml:space="preserve"> </w:t>
      </w:r>
      <w:r w:rsidRPr="003B0137">
        <w:rPr>
          <w:rFonts w:cs="Times New Roman"/>
          <w:sz w:val="20"/>
        </w:rPr>
        <w:t>BLS, May 2014 National Industry-Specific Occupational Employment and Wage Estimates, NAICS 48</w:t>
      </w:r>
      <w:r>
        <w:rPr>
          <w:rFonts w:cs="Times New Roman"/>
          <w:sz w:val="20"/>
        </w:rPr>
        <w:t>8</w:t>
      </w:r>
      <w:r w:rsidRPr="003B0137">
        <w:rPr>
          <w:rFonts w:cs="Times New Roman"/>
          <w:sz w:val="20"/>
        </w:rPr>
        <w:t xml:space="preserve">100 </w:t>
      </w:r>
      <w:r>
        <w:rPr>
          <w:rFonts w:cs="Times New Roman"/>
          <w:sz w:val="20"/>
        </w:rPr>
        <w:t>–</w:t>
      </w:r>
      <w:r w:rsidRPr="003B0137">
        <w:rPr>
          <w:rFonts w:cs="Times New Roman"/>
          <w:sz w:val="20"/>
        </w:rPr>
        <w:t xml:space="preserve"> S</w:t>
      </w:r>
      <w:r>
        <w:rPr>
          <w:rFonts w:cs="Times New Roman"/>
          <w:sz w:val="20"/>
        </w:rPr>
        <w:t>upport Activities for</w:t>
      </w:r>
      <w:r w:rsidRPr="003B0137">
        <w:rPr>
          <w:rFonts w:cs="Times New Roman"/>
          <w:sz w:val="20"/>
        </w:rPr>
        <w:t xml:space="preserve"> Air Transportation, </w:t>
      </w:r>
      <w:r>
        <w:rPr>
          <w:rFonts w:cs="Times New Roman"/>
          <w:sz w:val="20"/>
        </w:rPr>
        <w:t>43</w:t>
      </w:r>
      <w:r w:rsidRPr="000821F9">
        <w:rPr>
          <w:rFonts w:cs="Times New Roman"/>
          <w:sz w:val="20"/>
        </w:rPr>
        <w:t>-</w:t>
      </w:r>
      <w:r>
        <w:rPr>
          <w:rFonts w:cs="Times New Roman"/>
          <w:sz w:val="20"/>
        </w:rPr>
        <w:t>416</w:t>
      </w:r>
      <w:r w:rsidRPr="000821F9">
        <w:rPr>
          <w:rFonts w:cs="Times New Roman"/>
          <w:sz w:val="20"/>
        </w:rPr>
        <w:t xml:space="preserve">1 </w:t>
      </w:r>
      <w:r>
        <w:rPr>
          <w:rFonts w:cs="Times New Roman"/>
          <w:sz w:val="20"/>
        </w:rPr>
        <w:t>Human Resource Assistants, Except Payroll and Timekeeping</w:t>
      </w:r>
      <w:r w:rsidRPr="00615D1F">
        <w:rPr>
          <w:rFonts w:cs="Times New Roman"/>
          <w:sz w:val="20"/>
        </w:rPr>
        <w:t>.</w:t>
      </w:r>
      <w:r w:rsidRPr="000821F9">
        <w:rPr>
          <w:rFonts w:cs="Times New Roman"/>
          <w:sz w:val="20"/>
        </w:rPr>
        <w:t xml:space="preserve"> </w:t>
      </w:r>
      <w:hyperlink r:id="rId1" w:history="1">
        <w:r w:rsidRPr="00DB2F33">
          <w:rPr>
            <w:rStyle w:val="Hyperlink"/>
            <w:rFonts w:cs="Times New Roman"/>
            <w:sz w:val="20"/>
          </w:rPr>
          <w:t>http://stats.bls.gov/oes/2014/may/naics4_488100.htm</w:t>
        </w:r>
      </w:hyperlink>
      <w:r>
        <w:rPr>
          <w:rFonts w:cs="Times New Roman"/>
          <w:sz w:val="20"/>
        </w:rPr>
        <w:t xml:space="preserve"> </w:t>
      </w:r>
      <w:r w:rsidRPr="00CB6376">
        <w:rPr>
          <w:rFonts w:cs="Times New Roman"/>
          <w:color w:val="auto"/>
          <w:sz w:val="20"/>
        </w:rPr>
        <w:t xml:space="preserve">Accessed on </w:t>
      </w:r>
      <w:r>
        <w:rPr>
          <w:rFonts w:cs="Times New Roman"/>
          <w:color w:val="auto"/>
          <w:sz w:val="20"/>
        </w:rPr>
        <w:t>Octob</w:t>
      </w:r>
      <w:r w:rsidRPr="00CB6376">
        <w:rPr>
          <w:rFonts w:cs="Times New Roman"/>
          <w:color w:val="auto"/>
          <w:sz w:val="20"/>
        </w:rPr>
        <w:t xml:space="preserve">er </w:t>
      </w:r>
      <w:r>
        <w:rPr>
          <w:rFonts w:cs="Times New Roman"/>
          <w:color w:val="auto"/>
          <w:sz w:val="20"/>
        </w:rPr>
        <w:t>9</w:t>
      </w:r>
      <w:r w:rsidRPr="00CB6376">
        <w:rPr>
          <w:rFonts w:cs="Times New Roman"/>
          <w:color w:val="auto"/>
          <w:sz w:val="20"/>
        </w:rPr>
        <w:t>, 2015.</w:t>
      </w:r>
      <w:r>
        <w:rPr>
          <w:rFonts w:cs="Times New Roman"/>
          <w:color w:val="auto"/>
          <w:sz w:val="20"/>
        </w:rPr>
        <w:t xml:space="preserve"> </w:t>
      </w:r>
      <w:r w:rsidRPr="00584B49">
        <w:rPr>
          <w:sz w:val="20"/>
        </w:rPr>
        <w:t>Source-compensation factor:</w:t>
      </w:r>
      <w:r>
        <w:rPr>
          <w:sz w:val="20"/>
        </w:rPr>
        <w:t xml:space="preserve"> </w:t>
      </w:r>
      <w:r w:rsidRPr="00584B49">
        <w:rPr>
          <w:sz w:val="20"/>
        </w:rPr>
        <w:t xml:space="preserve"> BLS Economic News Release March 2015 Employer Costs for Employee Compensation Summary Table 11 for All full time workers in private industry for Transportation and material moving. 1.53</w:t>
      </w:r>
      <w:r>
        <w:rPr>
          <w:sz w:val="20"/>
        </w:rPr>
        <w:t>6</w:t>
      </w:r>
      <w:r w:rsidRPr="00584B49">
        <w:rPr>
          <w:sz w:val="20"/>
        </w:rPr>
        <w:t xml:space="preserve"> = $30.96 in total compensation ÷ $20.15 in wages and salaries.</w:t>
      </w:r>
      <w:r>
        <w:rPr>
          <w:sz w:val="20"/>
        </w:rPr>
        <w:t xml:space="preserve"> </w:t>
      </w:r>
      <w:hyperlink r:id="rId2" w:history="1">
        <w:r w:rsidRPr="00DB2F33">
          <w:rPr>
            <w:rStyle w:val="Hyperlink"/>
            <w:sz w:val="20"/>
          </w:rPr>
          <w:t>http://www.bls.gov/news.release/pdf/ecec.pdf</w:t>
        </w:r>
      </w:hyperlink>
      <w:r w:rsidRPr="007C3221">
        <w:rPr>
          <w:sz w:val="20"/>
        </w:rPr>
        <w:t xml:space="preserve">. Accessed on </w:t>
      </w:r>
      <w:r>
        <w:rPr>
          <w:sz w:val="20"/>
        </w:rPr>
        <w:t>October 9</w:t>
      </w:r>
      <w:r w:rsidRPr="007C3221">
        <w:rPr>
          <w:sz w:val="20"/>
        </w:rPr>
        <w:t>, 2015</w:t>
      </w:r>
      <w:r>
        <w:rPr>
          <w:sz w:val="20"/>
        </w:rPr>
        <w:t>.</w:t>
      </w:r>
    </w:p>
  </w:footnote>
  <w:footnote w:id="5">
    <w:p w:rsidR="000623C2" w:rsidRPr="005F2A28" w:rsidRDefault="000623C2" w:rsidP="00BD2E87">
      <w:pPr>
        <w:pStyle w:val="FootnoteText"/>
        <w:ind w:left="180" w:hanging="180"/>
      </w:pPr>
      <w:r>
        <w:rPr>
          <w:rStyle w:val="FootnoteReference"/>
        </w:rPr>
        <w:footnoteRef/>
      </w:r>
      <w:r>
        <w:t xml:space="preserve"> </w:t>
      </w:r>
      <w:r w:rsidRPr="00615D1F">
        <w:t>Fully loaded hourly average wage rate $</w:t>
      </w:r>
      <w:r>
        <w:t>49</w:t>
      </w:r>
      <w:r w:rsidRPr="00615D1F">
        <w:t>.</w:t>
      </w:r>
      <w:r>
        <w:t>77</w:t>
      </w:r>
      <w:r w:rsidRPr="00615D1F">
        <w:t xml:space="preserve"> </w:t>
      </w:r>
      <w:r w:rsidRPr="005F2A28">
        <w:t>= hourly average wage $</w:t>
      </w:r>
      <w:r>
        <w:t>32</w:t>
      </w:r>
      <w:r w:rsidRPr="005F2A28">
        <w:t>.</w:t>
      </w:r>
      <w:r>
        <w:t>40</w:t>
      </w:r>
      <w:r w:rsidRPr="005F2A28">
        <w:t xml:space="preserve"> x compensation factor 1.53</w:t>
      </w:r>
      <w:r>
        <w:t>6</w:t>
      </w:r>
      <w:r w:rsidRPr="005F2A28">
        <w:t xml:space="preserve">.  </w:t>
      </w:r>
    </w:p>
    <w:p w:rsidR="000623C2" w:rsidRDefault="000623C2" w:rsidP="00BD2E87">
      <w:pPr>
        <w:pStyle w:val="FootnoteText"/>
      </w:pPr>
      <w:r w:rsidRPr="00716172">
        <w:rPr>
          <w:rFonts w:cs="Times New Roman"/>
        </w:rPr>
        <w:t>Source-hourly ave</w:t>
      </w:r>
      <w:r w:rsidRPr="003B0137">
        <w:rPr>
          <w:rFonts w:cs="Times New Roman"/>
        </w:rPr>
        <w:t>rage wage: BLS, May 2014 National Industry-Specific Occupational Employment and Wage Estimates, NAICS 48</w:t>
      </w:r>
      <w:r>
        <w:rPr>
          <w:rFonts w:cs="Times New Roman"/>
        </w:rPr>
        <w:t>8</w:t>
      </w:r>
      <w:r w:rsidRPr="003B0137">
        <w:rPr>
          <w:rFonts w:cs="Times New Roman"/>
        </w:rPr>
        <w:t xml:space="preserve">100 </w:t>
      </w:r>
      <w:r>
        <w:rPr>
          <w:rFonts w:cs="Times New Roman"/>
        </w:rPr>
        <w:t>–</w:t>
      </w:r>
      <w:r w:rsidRPr="003B0137">
        <w:rPr>
          <w:rFonts w:cs="Times New Roman"/>
        </w:rPr>
        <w:t xml:space="preserve"> S</w:t>
      </w:r>
      <w:r>
        <w:rPr>
          <w:rFonts w:cs="Times New Roman"/>
        </w:rPr>
        <w:t>upport Activities for</w:t>
      </w:r>
      <w:r w:rsidRPr="003B0137">
        <w:rPr>
          <w:rFonts w:cs="Times New Roman"/>
        </w:rPr>
        <w:t xml:space="preserve"> Air Transportation, </w:t>
      </w:r>
      <w:r>
        <w:rPr>
          <w:rFonts w:cs="Times New Roman"/>
        </w:rPr>
        <w:t>49</w:t>
      </w:r>
      <w:r w:rsidRPr="000821F9">
        <w:rPr>
          <w:rFonts w:cs="Times New Roman"/>
        </w:rPr>
        <w:t>-</w:t>
      </w:r>
      <w:r>
        <w:rPr>
          <w:rFonts w:cs="Times New Roman"/>
        </w:rPr>
        <w:t>1</w:t>
      </w:r>
      <w:r w:rsidRPr="000821F9">
        <w:rPr>
          <w:rFonts w:cs="Times New Roman"/>
        </w:rPr>
        <w:t>011</w:t>
      </w:r>
      <w:r>
        <w:rPr>
          <w:rFonts w:cs="Times New Roman"/>
        </w:rPr>
        <w:t>First-Line Supervisors of Mechanics, Installers, and Repairers</w:t>
      </w:r>
      <w:r w:rsidRPr="00615D1F">
        <w:rPr>
          <w:rFonts w:cs="Times New Roman"/>
        </w:rPr>
        <w:t>.</w:t>
      </w:r>
      <w:r w:rsidRPr="000821F9">
        <w:rPr>
          <w:rFonts w:cs="Times New Roman"/>
        </w:rPr>
        <w:t xml:space="preserve"> </w:t>
      </w:r>
      <w:hyperlink r:id="rId3" w:history="1">
        <w:r w:rsidRPr="00DB2F33">
          <w:rPr>
            <w:rStyle w:val="Hyperlink"/>
            <w:rFonts w:cs="Times New Roman"/>
          </w:rPr>
          <w:t>http://stats.bls.gov/oes/2014/may/naics4_488100.htm</w:t>
        </w:r>
      </w:hyperlink>
      <w:r>
        <w:rPr>
          <w:rFonts w:cs="Times New Roman"/>
        </w:rPr>
        <w:t xml:space="preserve"> </w:t>
      </w:r>
      <w:r w:rsidRPr="00CB6376">
        <w:rPr>
          <w:rFonts w:cs="Times New Roman"/>
          <w:color w:val="auto"/>
        </w:rPr>
        <w:t xml:space="preserve">Accessed on </w:t>
      </w:r>
      <w:r>
        <w:rPr>
          <w:rFonts w:cs="Times New Roman"/>
          <w:color w:val="auto"/>
        </w:rPr>
        <w:t>Octob</w:t>
      </w:r>
      <w:r w:rsidRPr="00CB6376">
        <w:rPr>
          <w:rFonts w:cs="Times New Roman"/>
          <w:color w:val="auto"/>
        </w:rPr>
        <w:t xml:space="preserve">er </w:t>
      </w:r>
      <w:r>
        <w:rPr>
          <w:rFonts w:cs="Times New Roman"/>
          <w:color w:val="auto"/>
        </w:rPr>
        <w:t>9</w:t>
      </w:r>
      <w:r w:rsidRPr="00CB6376">
        <w:rPr>
          <w:rFonts w:cs="Times New Roman"/>
          <w:color w:val="auto"/>
        </w:rPr>
        <w:t>, 2015.</w:t>
      </w:r>
      <w:r>
        <w:rPr>
          <w:rFonts w:cs="Times New Roman"/>
          <w:color w:val="auto"/>
        </w:rPr>
        <w:t xml:space="preserve"> </w:t>
      </w:r>
      <w:r w:rsidRPr="00426BEE">
        <w:t>Source-compensation factor: BLS Economic News Release March 2015 Employer Costs for Employee Compensation Summary Table 11 for All full time workers in private industry for Transportation and material moving. 1.53</w:t>
      </w:r>
      <w:r>
        <w:t>6</w:t>
      </w:r>
      <w:r w:rsidRPr="00426BEE">
        <w:t xml:space="preserve"> = $30.96 in total compensation ÷ $20.15 in wages and salaries.</w:t>
      </w:r>
      <w:r>
        <w:t xml:space="preserve"> </w:t>
      </w:r>
      <w:hyperlink r:id="rId4" w:history="1">
        <w:r w:rsidRPr="00DB2F33">
          <w:rPr>
            <w:rStyle w:val="Hyperlink"/>
          </w:rPr>
          <w:t>http://www.bls.gov/news.release/pdf/ecec.pdf</w:t>
        </w:r>
      </w:hyperlink>
      <w:r w:rsidRPr="007C3221">
        <w:t xml:space="preserve">. Accessed on </w:t>
      </w:r>
      <w:r>
        <w:t>October 9</w:t>
      </w:r>
      <w:r w:rsidRPr="007C3221">
        <w:t>, 2015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3C2" w:rsidRDefault="000623C2">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C14D9">
      <w:rPr>
        <w:rStyle w:val="PageNumber"/>
        <w:rFonts w:ascii="Times New Roman" w:hAnsi="Times New Roman"/>
        <w:noProof/>
        <w:sz w:val="24"/>
      </w:rPr>
      <w:t>6</w:t>
    </w:r>
    <w:r>
      <w:rPr>
        <w:rStyle w:val="PageNumber"/>
        <w:rFonts w:ascii="Times New Roman" w:hAnsi="Times New Roman"/>
        <w:sz w:val="24"/>
      </w:rPr>
      <w:fldChar w:fldCharType="end"/>
    </w:r>
  </w:p>
  <w:p w:rsidR="000623C2" w:rsidRDefault="000623C2">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CB" w:rsidRDefault="00A506CB" w:rsidP="00A506C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A506CB" w:rsidRDefault="00A506CB" w:rsidP="00A506CB">
    <w:pPr>
      <w:jc w:val="center"/>
      <w:rPr>
        <w:rFonts w:cs="Times New Roman"/>
        <w:b/>
        <w:sz w:val="28"/>
      </w:rPr>
    </w:pPr>
  </w:p>
  <w:p w:rsidR="00A506CB" w:rsidRDefault="00A506CB" w:rsidP="00A506CB">
    <w:pPr>
      <w:jc w:val="center"/>
      <w:rPr>
        <w:rFonts w:cs="Times New Roman"/>
        <w:b/>
        <w:sz w:val="28"/>
      </w:rPr>
    </w:pPr>
    <w:r>
      <w:rPr>
        <w:rFonts w:cs="Times New Roman"/>
        <w:b/>
        <w:sz w:val="28"/>
      </w:rPr>
      <w:t>Aircraft Repair Station Security</w:t>
    </w:r>
  </w:p>
  <w:p w:rsidR="00A506CB" w:rsidRPr="003803EE" w:rsidRDefault="00A506CB" w:rsidP="00A506CB">
    <w:pPr>
      <w:jc w:val="center"/>
      <w:rPr>
        <w:rFonts w:cs="Times New Roman"/>
        <w:b/>
        <w:sz w:val="22"/>
        <w:szCs w:val="22"/>
      </w:rPr>
    </w:pPr>
    <w:r w:rsidRPr="003803EE">
      <w:rPr>
        <w:rFonts w:cs="Times New Roman"/>
        <w:b/>
        <w:sz w:val="22"/>
        <w:szCs w:val="22"/>
      </w:rPr>
      <w:t xml:space="preserve">OMB Control Number 1652-0060 </w:t>
    </w:r>
  </w:p>
  <w:p w:rsidR="00A506CB" w:rsidRPr="003803EE" w:rsidRDefault="00A506CB" w:rsidP="00A506CB">
    <w:pPr>
      <w:jc w:val="center"/>
      <w:rPr>
        <w:rFonts w:cs="Times New Roman"/>
        <w:b/>
        <w:sz w:val="22"/>
        <w:szCs w:val="22"/>
      </w:rPr>
    </w:pPr>
    <w:r w:rsidRPr="003803EE">
      <w:rPr>
        <w:rFonts w:cs="Times New Roman"/>
        <w:b/>
        <w:sz w:val="22"/>
        <w:szCs w:val="22"/>
      </w:rPr>
      <w:t>Exp. 12/31/2015</w:t>
    </w:r>
  </w:p>
  <w:p w:rsidR="000623C2" w:rsidRDefault="000623C2">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4D4C18"/>
    <w:multiLevelType w:val="hybridMultilevel"/>
    <w:tmpl w:val="CE82D7F6"/>
    <w:lvl w:ilvl="0" w:tplc="0098FF78">
      <w:start w:val="1"/>
      <w:numFmt w:val="decimal"/>
      <w:lvlText w:val="(%1)"/>
      <w:lvlJc w:val="left"/>
      <w:pPr>
        <w:ind w:left="135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D5620BC"/>
    <w:multiLevelType w:val="singleLevel"/>
    <w:tmpl w:val="0409000F"/>
    <w:lvl w:ilvl="0">
      <w:start w:val="1"/>
      <w:numFmt w:val="decimal"/>
      <w:lvlText w:val="%1."/>
      <w:lvlJc w:val="left"/>
      <w:pPr>
        <w:tabs>
          <w:tab w:val="num" w:pos="360"/>
        </w:tabs>
        <w:ind w:left="360" w:hanging="360"/>
      </w:pPr>
    </w:lvl>
  </w:abstractNum>
  <w:abstractNum w:abstractNumId="16">
    <w:nsid w:val="4D992D8D"/>
    <w:multiLevelType w:val="hybridMultilevel"/>
    <w:tmpl w:val="16CCED56"/>
    <w:lvl w:ilvl="0" w:tplc="04090001">
      <w:start w:val="1"/>
      <w:numFmt w:val="bullet"/>
      <w:lvlText w:val=""/>
      <w:lvlJc w:val="left"/>
      <w:pPr>
        <w:ind w:left="765" w:hanging="360"/>
      </w:pPr>
      <w:rPr>
        <w:rFonts w:ascii="Symbol" w:hAnsi="Symbol"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587131AB"/>
    <w:multiLevelType w:val="hybridMultilevel"/>
    <w:tmpl w:val="6B9CA4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C77359"/>
    <w:multiLevelType w:val="hybridMultilevel"/>
    <w:tmpl w:val="2300F9CE"/>
    <w:lvl w:ilvl="0" w:tplc="ED2C7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22"/>
  </w:num>
  <w:num w:numId="14">
    <w:abstractNumId w:val="11"/>
  </w:num>
  <w:num w:numId="15">
    <w:abstractNumId w:val="12"/>
  </w:num>
  <w:num w:numId="16">
    <w:abstractNumId w:val="14"/>
  </w:num>
  <w:num w:numId="17">
    <w:abstractNumId w:val="20"/>
  </w:num>
  <w:num w:numId="18">
    <w:abstractNumId w:val="15"/>
  </w:num>
  <w:num w:numId="19">
    <w:abstractNumId w:val="24"/>
  </w:num>
  <w:num w:numId="20">
    <w:abstractNumId w:val="17"/>
  </w:num>
  <w:num w:numId="21">
    <w:abstractNumId w:val="21"/>
  </w:num>
  <w:num w:numId="22">
    <w:abstractNumId w:val="18"/>
  </w:num>
  <w:num w:numId="23">
    <w:abstractNumId w:val="16"/>
  </w:num>
  <w:num w:numId="24">
    <w:abstractNumId w:val="19"/>
  </w:num>
  <w:num w:numId="2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F0"/>
    <w:rsid w:val="000056D3"/>
    <w:rsid w:val="00010007"/>
    <w:rsid w:val="00011EF7"/>
    <w:rsid w:val="000166E4"/>
    <w:rsid w:val="000172D2"/>
    <w:rsid w:val="000207C6"/>
    <w:rsid w:val="00021656"/>
    <w:rsid w:val="00021FB9"/>
    <w:rsid w:val="00022E70"/>
    <w:rsid w:val="00027B30"/>
    <w:rsid w:val="00030E16"/>
    <w:rsid w:val="00031D71"/>
    <w:rsid w:val="00032368"/>
    <w:rsid w:val="00037840"/>
    <w:rsid w:val="00043751"/>
    <w:rsid w:val="000438EB"/>
    <w:rsid w:val="00044481"/>
    <w:rsid w:val="00047500"/>
    <w:rsid w:val="00052AD4"/>
    <w:rsid w:val="0005364D"/>
    <w:rsid w:val="000568CF"/>
    <w:rsid w:val="0006081F"/>
    <w:rsid w:val="000623C2"/>
    <w:rsid w:val="0006485B"/>
    <w:rsid w:val="00065E93"/>
    <w:rsid w:val="00067C0B"/>
    <w:rsid w:val="00071F25"/>
    <w:rsid w:val="00073650"/>
    <w:rsid w:val="000773C3"/>
    <w:rsid w:val="00081710"/>
    <w:rsid w:val="0008296B"/>
    <w:rsid w:val="00082DF1"/>
    <w:rsid w:val="0008616B"/>
    <w:rsid w:val="00090225"/>
    <w:rsid w:val="000946CD"/>
    <w:rsid w:val="00094712"/>
    <w:rsid w:val="00097104"/>
    <w:rsid w:val="000A189B"/>
    <w:rsid w:val="000A4AE7"/>
    <w:rsid w:val="000B680C"/>
    <w:rsid w:val="000B74A7"/>
    <w:rsid w:val="000C3B51"/>
    <w:rsid w:val="000C4037"/>
    <w:rsid w:val="000C455B"/>
    <w:rsid w:val="000D0E42"/>
    <w:rsid w:val="000D0F2F"/>
    <w:rsid w:val="000D1940"/>
    <w:rsid w:val="000E12CE"/>
    <w:rsid w:val="000F0D09"/>
    <w:rsid w:val="000F68B5"/>
    <w:rsid w:val="000F760A"/>
    <w:rsid w:val="001027DB"/>
    <w:rsid w:val="00102963"/>
    <w:rsid w:val="00116BF5"/>
    <w:rsid w:val="00124B94"/>
    <w:rsid w:val="00126649"/>
    <w:rsid w:val="001304F5"/>
    <w:rsid w:val="001404D7"/>
    <w:rsid w:val="00141916"/>
    <w:rsid w:val="00143335"/>
    <w:rsid w:val="00143B82"/>
    <w:rsid w:val="00150258"/>
    <w:rsid w:val="00155620"/>
    <w:rsid w:val="00162E04"/>
    <w:rsid w:val="001679F0"/>
    <w:rsid w:val="00170E3E"/>
    <w:rsid w:val="00175194"/>
    <w:rsid w:val="001771BF"/>
    <w:rsid w:val="00182600"/>
    <w:rsid w:val="00182C1A"/>
    <w:rsid w:val="001854E4"/>
    <w:rsid w:val="00185740"/>
    <w:rsid w:val="001912B0"/>
    <w:rsid w:val="0019292E"/>
    <w:rsid w:val="001A2107"/>
    <w:rsid w:val="001A3976"/>
    <w:rsid w:val="001A600F"/>
    <w:rsid w:val="001C097B"/>
    <w:rsid w:val="001C1D80"/>
    <w:rsid w:val="001C36A9"/>
    <w:rsid w:val="001C72EC"/>
    <w:rsid w:val="001D2FEE"/>
    <w:rsid w:val="001E316C"/>
    <w:rsid w:val="001E606A"/>
    <w:rsid w:val="001F063C"/>
    <w:rsid w:val="001F49D7"/>
    <w:rsid w:val="001F4CC5"/>
    <w:rsid w:val="00200760"/>
    <w:rsid w:val="00200925"/>
    <w:rsid w:val="00204DEB"/>
    <w:rsid w:val="00211964"/>
    <w:rsid w:val="00213B08"/>
    <w:rsid w:val="00215BB9"/>
    <w:rsid w:val="00217235"/>
    <w:rsid w:val="00223A38"/>
    <w:rsid w:val="002303C4"/>
    <w:rsid w:val="002522F1"/>
    <w:rsid w:val="00252634"/>
    <w:rsid w:val="002544F5"/>
    <w:rsid w:val="0025462B"/>
    <w:rsid w:val="00257403"/>
    <w:rsid w:val="002604C8"/>
    <w:rsid w:val="00265636"/>
    <w:rsid w:val="00265CF5"/>
    <w:rsid w:val="0027030B"/>
    <w:rsid w:val="00270770"/>
    <w:rsid w:val="00270D95"/>
    <w:rsid w:val="002766D5"/>
    <w:rsid w:val="0027796C"/>
    <w:rsid w:val="00283E98"/>
    <w:rsid w:val="00290B12"/>
    <w:rsid w:val="00291125"/>
    <w:rsid w:val="00293615"/>
    <w:rsid w:val="002942A4"/>
    <w:rsid w:val="00294C49"/>
    <w:rsid w:val="00295117"/>
    <w:rsid w:val="002A1017"/>
    <w:rsid w:val="002A1D2D"/>
    <w:rsid w:val="002A386D"/>
    <w:rsid w:val="002A5888"/>
    <w:rsid w:val="002A5C6F"/>
    <w:rsid w:val="002B083B"/>
    <w:rsid w:val="002B2BB3"/>
    <w:rsid w:val="002C2A02"/>
    <w:rsid w:val="002C4B92"/>
    <w:rsid w:val="002C51F7"/>
    <w:rsid w:val="002C591E"/>
    <w:rsid w:val="002D1EFC"/>
    <w:rsid w:val="002D55BA"/>
    <w:rsid w:val="002D6EB3"/>
    <w:rsid w:val="002F3A2F"/>
    <w:rsid w:val="002F524B"/>
    <w:rsid w:val="002F62D7"/>
    <w:rsid w:val="002F671F"/>
    <w:rsid w:val="002F67C1"/>
    <w:rsid w:val="002F737B"/>
    <w:rsid w:val="00300358"/>
    <w:rsid w:val="003008E5"/>
    <w:rsid w:val="00300985"/>
    <w:rsid w:val="00301D35"/>
    <w:rsid w:val="003055AB"/>
    <w:rsid w:val="003067EA"/>
    <w:rsid w:val="0031094E"/>
    <w:rsid w:val="00311113"/>
    <w:rsid w:val="00311136"/>
    <w:rsid w:val="00317738"/>
    <w:rsid w:val="00320485"/>
    <w:rsid w:val="0032255A"/>
    <w:rsid w:val="00322D63"/>
    <w:rsid w:val="003238A8"/>
    <w:rsid w:val="00326135"/>
    <w:rsid w:val="00330539"/>
    <w:rsid w:val="00331F2A"/>
    <w:rsid w:val="00334071"/>
    <w:rsid w:val="003375E5"/>
    <w:rsid w:val="00341E08"/>
    <w:rsid w:val="003470C8"/>
    <w:rsid w:val="00351A51"/>
    <w:rsid w:val="00356E44"/>
    <w:rsid w:val="00357FB0"/>
    <w:rsid w:val="00360A83"/>
    <w:rsid w:val="00362A00"/>
    <w:rsid w:val="00371AAC"/>
    <w:rsid w:val="003731D6"/>
    <w:rsid w:val="003803EE"/>
    <w:rsid w:val="00382461"/>
    <w:rsid w:val="00382EC2"/>
    <w:rsid w:val="003845B2"/>
    <w:rsid w:val="00386937"/>
    <w:rsid w:val="003912FF"/>
    <w:rsid w:val="00392368"/>
    <w:rsid w:val="0039530D"/>
    <w:rsid w:val="00397F94"/>
    <w:rsid w:val="003A1A42"/>
    <w:rsid w:val="003B0F77"/>
    <w:rsid w:val="003B354C"/>
    <w:rsid w:val="003B7BD1"/>
    <w:rsid w:val="003C06B4"/>
    <w:rsid w:val="003C1957"/>
    <w:rsid w:val="003C73DB"/>
    <w:rsid w:val="003D6EBC"/>
    <w:rsid w:val="003E272E"/>
    <w:rsid w:val="003E5800"/>
    <w:rsid w:val="003F0882"/>
    <w:rsid w:val="003F290E"/>
    <w:rsid w:val="00400826"/>
    <w:rsid w:val="00401844"/>
    <w:rsid w:val="0040312B"/>
    <w:rsid w:val="00407FB9"/>
    <w:rsid w:val="0041159F"/>
    <w:rsid w:val="00415795"/>
    <w:rsid w:val="00415AA6"/>
    <w:rsid w:val="00416D0A"/>
    <w:rsid w:val="004173CC"/>
    <w:rsid w:val="0042126D"/>
    <w:rsid w:val="00421E50"/>
    <w:rsid w:val="004228CD"/>
    <w:rsid w:val="004244E5"/>
    <w:rsid w:val="00427BEA"/>
    <w:rsid w:val="00433C3E"/>
    <w:rsid w:val="004378EC"/>
    <w:rsid w:val="0044593E"/>
    <w:rsid w:val="00451538"/>
    <w:rsid w:val="00452E94"/>
    <w:rsid w:val="00460529"/>
    <w:rsid w:val="00461FD7"/>
    <w:rsid w:val="00470B98"/>
    <w:rsid w:val="0047117A"/>
    <w:rsid w:val="00473D0E"/>
    <w:rsid w:val="004802F3"/>
    <w:rsid w:val="0048039F"/>
    <w:rsid w:val="00483112"/>
    <w:rsid w:val="0048545F"/>
    <w:rsid w:val="00491E86"/>
    <w:rsid w:val="00494613"/>
    <w:rsid w:val="00494F53"/>
    <w:rsid w:val="004A05CA"/>
    <w:rsid w:val="004A63F9"/>
    <w:rsid w:val="004A72B1"/>
    <w:rsid w:val="004B0AD0"/>
    <w:rsid w:val="004B3DA0"/>
    <w:rsid w:val="004B650A"/>
    <w:rsid w:val="004C0810"/>
    <w:rsid w:val="004C15C3"/>
    <w:rsid w:val="004D2F07"/>
    <w:rsid w:val="004E488F"/>
    <w:rsid w:val="004E4A72"/>
    <w:rsid w:val="004E5DC6"/>
    <w:rsid w:val="004E6A19"/>
    <w:rsid w:val="004F2768"/>
    <w:rsid w:val="004F47A5"/>
    <w:rsid w:val="004F4AEC"/>
    <w:rsid w:val="004F6521"/>
    <w:rsid w:val="005134CE"/>
    <w:rsid w:val="00513B4F"/>
    <w:rsid w:val="00513C9C"/>
    <w:rsid w:val="005161E4"/>
    <w:rsid w:val="005206FB"/>
    <w:rsid w:val="00520995"/>
    <w:rsid w:val="005252E0"/>
    <w:rsid w:val="00526179"/>
    <w:rsid w:val="00526F7A"/>
    <w:rsid w:val="00527183"/>
    <w:rsid w:val="00527AA7"/>
    <w:rsid w:val="00540A24"/>
    <w:rsid w:val="005412CF"/>
    <w:rsid w:val="00541E06"/>
    <w:rsid w:val="00551405"/>
    <w:rsid w:val="005522FB"/>
    <w:rsid w:val="0055320A"/>
    <w:rsid w:val="005563BD"/>
    <w:rsid w:val="00556C5A"/>
    <w:rsid w:val="005611D4"/>
    <w:rsid w:val="005632A3"/>
    <w:rsid w:val="0056667A"/>
    <w:rsid w:val="005675CB"/>
    <w:rsid w:val="005767EB"/>
    <w:rsid w:val="00577A2C"/>
    <w:rsid w:val="0058174F"/>
    <w:rsid w:val="00583133"/>
    <w:rsid w:val="00583A59"/>
    <w:rsid w:val="005841AA"/>
    <w:rsid w:val="00584B49"/>
    <w:rsid w:val="00586D6A"/>
    <w:rsid w:val="00594811"/>
    <w:rsid w:val="00594D31"/>
    <w:rsid w:val="00595D47"/>
    <w:rsid w:val="00597D10"/>
    <w:rsid w:val="005A344C"/>
    <w:rsid w:val="005B18D9"/>
    <w:rsid w:val="005B37D8"/>
    <w:rsid w:val="005B7C7A"/>
    <w:rsid w:val="005C433C"/>
    <w:rsid w:val="005C4F56"/>
    <w:rsid w:val="005D3EF6"/>
    <w:rsid w:val="005D5FF6"/>
    <w:rsid w:val="005E4BC0"/>
    <w:rsid w:val="005E6694"/>
    <w:rsid w:val="005E724B"/>
    <w:rsid w:val="005E7AA5"/>
    <w:rsid w:val="005E7B32"/>
    <w:rsid w:val="005F7187"/>
    <w:rsid w:val="0060394D"/>
    <w:rsid w:val="00605D3A"/>
    <w:rsid w:val="006115D8"/>
    <w:rsid w:val="006143A5"/>
    <w:rsid w:val="00614791"/>
    <w:rsid w:val="00621F8E"/>
    <w:rsid w:val="00636083"/>
    <w:rsid w:val="00657903"/>
    <w:rsid w:val="00662E7F"/>
    <w:rsid w:val="00681611"/>
    <w:rsid w:val="00683582"/>
    <w:rsid w:val="0068771F"/>
    <w:rsid w:val="0069186C"/>
    <w:rsid w:val="006B13F8"/>
    <w:rsid w:val="006C2467"/>
    <w:rsid w:val="006C5730"/>
    <w:rsid w:val="006D0F3A"/>
    <w:rsid w:val="006D1535"/>
    <w:rsid w:val="006D466D"/>
    <w:rsid w:val="006D4B4A"/>
    <w:rsid w:val="006D4B85"/>
    <w:rsid w:val="006E290F"/>
    <w:rsid w:val="006F71F1"/>
    <w:rsid w:val="00702889"/>
    <w:rsid w:val="00703F70"/>
    <w:rsid w:val="0070475E"/>
    <w:rsid w:val="00705C1D"/>
    <w:rsid w:val="007105E7"/>
    <w:rsid w:val="00716F80"/>
    <w:rsid w:val="00723E5F"/>
    <w:rsid w:val="00745B61"/>
    <w:rsid w:val="00756732"/>
    <w:rsid w:val="007707A4"/>
    <w:rsid w:val="007751ED"/>
    <w:rsid w:val="00780F29"/>
    <w:rsid w:val="00782CAA"/>
    <w:rsid w:val="00794DCB"/>
    <w:rsid w:val="0079575A"/>
    <w:rsid w:val="007A7E78"/>
    <w:rsid w:val="007C0028"/>
    <w:rsid w:val="007C17EA"/>
    <w:rsid w:val="007C2BD0"/>
    <w:rsid w:val="007C3221"/>
    <w:rsid w:val="007C4DCA"/>
    <w:rsid w:val="007C5890"/>
    <w:rsid w:val="007C5BFB"/>
    <w:rsid w:val="007E0C15"/>
    <w:rsid w:val="007F2BAE"/>
    <w:rsid w:val="007F4109"/>
    <w:rsid w:val="007F5A5A"/>
    <w:rsid w:val="008004FE"/>
    <w:rsid w:val="0080231A"/>
    <w:rsid w:val="008130A9"/>
    <w:rsid w:val="00813D6C"/>
    <w:rsid w:val="00814FCE"/>
    <w:rsid w:val="008174F9"/>
    <w:rsid w:val="00820D21"/>
    <w:rsid w:val="0082387E"/>
    <w:rsid w:val="008361C7"/>
    <w:rsid w:val="00837362"/>
    <w:rsid w:val="008376BD"/>
    <w:rsid w:val="0084413D"/>
    <w:rsid w:val="00844282"/>
    <w:rsid w:val="00846FE7"/>
    <w:rsid w:val="008512E5"/>
    <w:rsid w:val="008549B4"/>
    <w:rsid w:val="00856083"/>
    <w:rsid w:val="00860423"/>
    <w:rsid w:val="00861186"/>
    <w:rsid w:val="00865A32"/>
    <w:rsid w:val="00866D50"/>
    <w:rsid w:val="00867234"/>
    <w:rsid w:val="0087031A"/>
    <w:rsid w:val="008760EA"/>
    <w:rsid w:val="008804F9"/>
    <w:rsid w:val="00884A80"/>
    <w:rsid w:val="008A09E4"/>
    <w:rsid w:val="008A0D21"/>
    <w:rsid w:val="008A1722"/>
    <w:rsid w:val="008A238D"/>
    <w:rsid w:val="008A39E6"/>
    <w:rsid w:val="008A5EF2"/>
    <w:rsid w:val="008A623E"/>
    <w:rsid w:val="008A719F"/>
    <w:rsid w:val="008A7ED8"/>
    <w:rsid w:val="008B3946"/>
    <w:rsid w:val="008B439F"/>
    <w:rsid w:val="008C0AFA"/>
    <w:rsid w:val="008C40FF"/>
    <w:rsid w:val="008D2361"/>
    <w:rsid w:val="008D6FBD"/>
    <w:rsid w:val="008D72CC"/>
    <w:rsid w:val="008E5A39"/>
    <w:rsid w:val="008F1D1D"/>
    <w:rsid w:val="009028D7"/>
    <w:rsid w:val="009202DD"/>
    <w:rsid w:val="009228D0"/>
    <w:rsid w:val="00923558"/>
    <w:rsid w:val="00924D89"/>
    <w:rsid w:val="00927AE4"/>
    <w:rsid w:val="0093361B"/>
    <w:rsid w:val="009408EC"/>
    <w:rsid w:val="009412F5"/>
    <w:rsid w:val="0094726D"/>
    <w:rsid w:val="00947B88"/>
    <w:rsid w:val="009501FD"/>
    <w:rsid w:val="00954DD6"/>
    <w:rsid w:val="00957AC5"/>
    <w:rsid w:val="00967655"/>
    <w:rsid w:val="0097238B"/>
    <w:rsid w:val="00974E6A"/>
    <w:rsid w:val="00977360"/>
    <w:rsid w:val="00983187"/>
    <w:rsid w:val="00983385"/>
    <w:rsid w:val="009A028E"/>
    <w:rsid w:val="009A176C"/>
    <w:rsid w:val="009A1D32"/>
    <w:rsid w:val="009A27C9"/>
    <w:rsid w:val="009A6BD8"/>
    <w:rsid w:val="009B0AC1"/>
    <w:rsid w:val="009D0D0D"/>
    <w:rsid w:val="009D1243"/>
    <w:rsid w:val="009D150F"/>
    <w:rsid w:val="009D1F4E"/>
    <w:rsid w:val="009D4302"/>
    <w:rsid w:val="009E5AC8"/>
    <w:rsid w:val="009E6058"/>
    <w:rsid w:val="009E6200"/>
    <w:rsid w:val="009F583C"/>
    <w:rsid w:val="009F7FBC"/>
    <w:rsid w:val="00A0590C"/>
    <w:rsid w:val="00A11C51"/>
    <w:rsid w:val="00A1779A"/>
    <w:rsid w:val="00A21B38"/>
    <w:rsid w:val="00A31163"/>
    <w:rsid w:val="00A32CC4"/>
    <w:rsid w:val="00A333B0"/>
    <w:rsid w:val="00A339B0"/>
    <w:rsid w:val="00A3511C"/>
    <w:rsid w:val="00A3766F"/>
    <w:rsid w:val="00A4016C"/>
    <w:rsid w:val="00A43F90"/>
    <w:rsid w:val="00A506CB"/>
    <w:rsid w:val="00A6042E"/>
    <w:rsid w:val="00A73A68"/>
    <w:rsid w:val="00A83953"/>
    <w:rsid w:val="00A83D8B"/>
    <w:rsid w:val="00A84875"/>
    <w:rsid w:val="00A86E1C"/>
    <w:rsid w:val="00A93D3A"/>
    <w:rsid w:val="00A954B4"/>
    <w:rsid w:val="00AA6E46"/>
    <w:rsid w:val="00AA74EA"/>
    <w:rsid w:val="00AA78D3"/>
    <w:rsid w:val="00AB4A39"/>
    <w:rsid w:val="00AB4CB1"/>
    <w:rsid w:val="00AC20DD"/>
    <w:rsid w:val="00AC22D0"/>
    <w:rsid w:val="00AC70A3"/>
    <w:rsid w:val="00AC7B22"/>
    <w:rsid w:val="00AC7EA4"/>
    <w:rsid w:val="00AD022D"/>
    <w:rsid w:val="00AD5346"/>
    <w:rsid w:val="00AD6F03"/>
    <w:rsid w:val="00AE334A"/>
    <w:rsid w:val="00AE3E5F"/>
    <w:rsid w:val="00AF13B4"/>
    <w:rsid w:val="00AF471D"/>
    <w:rsid w:val="00AF4BB2"/>
    <w:rsid w:val="00B0324E"/>
    <w:rsid w:val="00B03343"/>
    <w:rsid w:val="00B05246"/>
    <w:rsid w:val="00B06903"/>
    <w:rsid w:val="00B130B3"/>
    <w:rsid w:val="00B20667"/>
    <w:rsid w:val="00B2107C"/>
    <w:rsid w:val="00B2399C"/>
    <w:rsid w:val="00B23D2E"/>
    <w:rsid w:val="00B31D41"/>
    <w:rsid w:val="00B322BF"/>
    <w:rsid w:val="00B354E0"/>
    <w:rsid w:val="00B359D8"/>
    <w:rsid w:val="00B35D9B"/>
    <w:rsid w:val="00B36D9C"/>
    <w:rsid w:val="00B370DE"/>
    <w:rsid w:val="00B37B22"/>
    <w:rsid w:val="00B436FF"/>
    <w:rsid w:val="00B45E98"/>
    <w:rsid w:val="00B45EB6"/>
    <w:rsid w:val="00B46298"/>
    <w:rsid w:val="00B54DA9"/>
    <w:rsid w:val="00B608AD"/>
    <w:rsid w:val="00B6212D"/>
    <w:rsid w:val="00B62C44"/>
    <w:rsid w:val="00B62F82"/>
    <w:rsid w:val="00B63A12"/>
    <w:rsid w:val="00B6416D"/>
    <w:rsid w:val="00B66B3A"/>
    <w:rsid w:val="00B701D3"/>
    <w:rsid w:val="00B73510"/>
    <w:rsid w:val="00B77407"/>
    <w:rsid w:val="00B8018F"/>
    <w:rsid w:val="00B8105F"/>
    <w:rsid w:val="00B82CAF"/>
    <w:rsid w:val="00B83827"/>
    <w:rsid w:val="00B8426D"/>
    <w:rsid w:val="00B86548"/>
    <w:rsid w:val="00B86A7B"/>
    <w:rsid w:val="00B86EA5"/>
    <w:rsid w:val="00B9156B"/>
    <w:rsid w:val="00B9400F"/>
    <w:rsid w:val="00B961AE"/>
    <w:rsid w:val="00BB2B73"/>
    <w:rsid w:val="00BB443E"/>
    <w:rsid w:val="00BB703D"/>
    <w:rsid w:val="00BB7717"/>
    <w:rsid w:val="00BC43A1"/>
    <w:rsid w:val="00BD2ABA"/>
    <w:rsid w:val="00BD2E87"/>
    <w:rsid w:val="00BE10E0"/>
    <w:rsid w:val="00BE75BC"/>
    <w:rsid w:val="00BF06E8"/>
    <w:rsid w:val="00BF15CD"/>
    <w:rsid w:val="00BF32AF"/>
    <w:rsid w:val="00BF398E"/>
    <w:rsid w:val="00C01600"/>
    <w:rsid w:val="00C13D81"/>
    <w:rsid w:val="00C15910"/>
    <w:rsid w:val="00C1758D"/>
    <w:rsid w:val="00C25093"/>
    <w:rsid w:val="00C26FD1"/>
    <w:rsid w:val="00C32685"/>
    <w:rsid w:val="00C35F4F"/>
    <w:rsid w:val="00C378FC"/>
    <w:rsid w:val="00C46989"/>
    <w:rsid w:val="00C47723"/>
    <w:rsid w:val="00C5247C"/>
    <w:rsid w:val="00C525FD"/>
    <w:rsid w:val="00C531B2"/>
    <w:rsid w:val="00C54450"/>
    <w:rsid w:val="00C61882"/>
    <w:rsid w:val="00C63DE2"/>
    <w:rsid w:val="00C655DF"/>
    <w:rsid w:val="00C719F3"/>
    <w:rsid w:val="00C926CA"/>
    <w:rsid w:val="00CA37E7"/>
    <w:rsid w:val="00CA49E0"/>
    <w:rsid w:val="00CB0AD6"/>
    <w:rsid w:val="00CB1300"/>
    <w:rsid w:val="00CB308D"/>
    <w:rsid w:val="00CB3780"/>
    <w:rsid w:val="00CB762A"/>
    <w:rsid w:val="00CC053B"/>
    <w:rsid w:val="00CC1078"/>
    <w:rsid w:val="00CD00FC"/>
    <w:rsid w:val="00CD108A"/>
    <w:rsid w:val="00CE0900"/>
    <w:rsid w:val="00CE3669"/>
    <w:rsid w:val="00CE6630"/>
    <w:rsid w:val="00CF20F2"/>
    <w:rsid w:val="00CF51D0"/>
    <w:rsid w:val="00CF6F18"/>
    <w:rsid w:val="00CF7F41"/>
    <w:rsid w:val="00D0304B"/>
    <w:rsid w:val="00D0748B"/>
    <w:rsid w:val="00D1343A"/>
    <w:rsid w:val="00D17824"/>
    <w:rsid w:val="00D233D4"/>
    <w:rsid w:val="00D23DA8"/>
    <w:rsid w:val="00D26A7D"/>
    <w:rsid w:val="00D31CA4"/>
    <w:rsid w:val="00D34FF6"/>
    <w:rsid w:val="00D35B7C"/>
    <w:rsid w:val="00D4342A"/>
    <w:rsid w:val="00D44FAF"/>
    <w:rsid w:val="00D53B39"/>
    <w:rsid w:val="00D53E4E"/>
    <w:rsid w:val="00D56366"/>
    <w:rsid w:val="00D56D30"/>
    <w:rsid w:val="00D6249E"/>
    <w:rsid w:val="00D67D35"/>
    <w:rsid w:val="00D71FFE"/>
    <w:rsid w:val="00D771B8"/>
    <w:rsid w:val="00D80F38"/>
    <w:rsid w:val="00D846EE"/>
    <w:rsid w:val="00D84EE1"/>
    <w:rsid w:val="00D85620"/>
    <w:rsid w:val="00D86599"/>
    <w:rsid w:val="00D91AEF"/>
    <w:rsid w:val="00D91B2F"/>
    <w:rsid w:val="00D93F02"/>
    <w:rsid w:val="00D96F89"/>
    <w:rsid w:val="00D972B1"/>
    <w:rsid w:val="00D975F9"/>
    <w:rsid w:val="00DA2669"/>
    <w:rsid w:val="00DB476C"/>
    <w:rsid w:val="00DB508B"/>
    <w:rsid w:val="00DB7CF2"/>
    <w:rsid w:val="00DB7D55"/>
    <w:rsid w:val="00DC1CAC"/>
    <w:rsid w:val="00DC47E5"/>
    <w:rsid w:val="00DD3B3D"/>
    <w:rsid w:val="00DD736D"/>
    <w:rsid w:val="00DD7D96"/>
    <w:rsid w:val="00DE0402"/>
    <w:rsid w:val="00DE3448"/>
    <w:rsid w:val="00DE4831"/>
    <w:rsid w:val="00DF0F9C"/>
    <w:rsid w:val="00E02EB6"/>
    <w:rsid w:val="00E053C0"/>
    <w:rsid w:val="00E1138B"/>
    <w:rsid w:val="00E2041D"/>
    <w:rsid w:val="00E22310"/>
    <w:rsid w:val="00E225A7"/>
    <w:rsid w:val="00E239E1"/>
    <w:rsid w:val="00E24B19"/>
    <w:rsid w:val="00E26B94"/>
    <w:rsid w:val="00E26CA1"/>
    <w:rsid w:val="00E27C5F"/>
    <w:rsid w:val="00E337F5"/>
    <w:rsid w:val="00E41C83"/>
    <w:rsid w:val="00E44745"/>
    <w:rsid w:val="00E46297"/>
    <w:rsid w:val="00E478C5"/>
    <w:rsid w:val="00E52BED"/>
    <w:rsid w:val="00E543F5"/>
    <w:rsid w:val="00E5580D"/>
    <w:rsid w:val="00E569D8"/>
    <w:rsid w:val="00E74713"/>
    <w:rsid w:val="00E75D87"/>
    <w:rsid w:val="00E75E24"/>
    <w:rsid w:val="00E762AE"/>
    <w:rsid w:val="00E76943"/>
    <w:rsid w:val="00E82A7D"/>
    <w:rsid w:val="00E82EB0"/>
    <w:rsid w:val="00E85D1B"/>
    <w:rsid w:val="00E86EE8"/>
    <w:rsid w:val="00E95E0B"/>
    <w:rsid w:val="00EA1F42"/>
    <w:rsid w:val="00EA218A"/>
    <w:rsid w:val="00EA2680"/>
    <w:rsid w:val="00EA2E86"/>
    <w:rsid w:val="00EA486A"/>
    <w:rsid w:val="00EC1B55"/>
    <w:rsid w:val="00ED1855"/>
    <w:rsid w:val="00ED6571"/>
    <w:rsid w:val="00ED66A4"/>
    <w:rsid w:val="00EE4BA6"/>
    <w:rsid w:val="00EE743C"/>
    <w:rsid w:val="00EF00EC"/>
    <w:rsid w:val="00EF3D87"/>
    <w:rsid w:val="00F0344F"/>
    <w:rsid w:val="00F071DC"/>
    <w:rsid w:val="00F105CF"/>
    <w:rsid w:val="00F20FB6"/>
    <w:rsid w:val="00F21713"/>
    <w:rsid w:val="00F239C0"/>
    <w:rsid w:val="00F307D3"/>
    <w:rsid w:val="00F40FE6"/>
    <w:rsid w:val="00F429BE"/>
    <w:rsid w:val="00F512B0"/>
    <w:rsid w:val="00F55BEA"/>
    <w:rsid w:val="00F565EE"/>
    <w:rsid w:val="00F6082F"/>
    <w:rsid w:val="00F60E59"/>
    <w:rsid w:val="00F63B90"/>
    <w:rsid w:val="00F63FC4"/>
    <w:rsid w:val="00F650B4"/>
    <w:rsid w:val="00F74C53"/>
    <w:rsid w:val="00F760A3"/>
    <w:rsid w:val="00F763CC"/>
    <w:rsid w:val="00F86623"/>
    <w:rsid w:val="00F915AE"/>
    <w:rsid w:val="00F91A76"/>
    <w:rsid w:val="00F91CF8"/>
    <w:rsid w:val="00FA1AD0"/>
    <w:rsid w:val="00FB01D0"/>
    <w:rsid w:val="00FB09CD"/>
    <w:rsid w:val="00FB3B75"/>
    <w:rsid w:val="00FB521D"/>
    <w:rsid w:val="00FC14D9"/>
    <w:rsid w:val="00FC2DD5"/>
    <w:rsid w:val="00FC7E88"/>
    <w:rsid w:val="00FC7FD2"/>
    <w:rsid w:val="00FD0483"/>
    <w:rsid w:val="00FD4B5F"/>
    <w:rsid w:val="00FE24C5"/>
    <w:rsid w:val="00FE2A15"/>
    <w:rsid w:val="00FE4DEB"/>
    <w:rsid w:val="00FE5259"/>
    <w:rsid w:val="00FF211E"/>
    <w:rsid w:val="00FF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B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link w:val="HeaderChar"/>
    <w:uiPriority w:val="99"/>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 w:type="character" w:styleId="FollowedHyperlink">
    <w:name w:val="FollowedHyperlink"/>
    <w:basedOn w:val="DefaultParagraphFont"/>
    <w:semiHidden/>
    <w:unhideWhenUsed/>
    <w:rsid w:val="00AE334A"/>
    <w:rPr>
      <w:color w:val="800080" w:themeColor="followedHyperlink"/>
      <w:u w:val="single"/>
    </w:rPr>
  </w:style>
  <w:style w:type="paragraph" w:styleId="NormalWeb">
    <w:name w:val="Normal (Web)"/>
    <w:basedOn w:val="Normal"/>
    <w:uiPriority w:val="99"/>
    <w:rsid w:val="007F2BAE"/>
    <w:pPr>
      <w:spacing w:before="100" w:beforeAutospacing="1" w:after="100" w:afterAutospacing="1"/>
    </w:pPr>
    <w:rPr>
      <w:rFonts w:cs="Times New Roman"/>
      <w:color w:val="auto"/>
      <w:szCs w:val="24"/>
    </w:rPr>
  </w:style>
  <w:style w:type="character" w:customStyle="1" w:styleId="HeaderChar">
    <w:name w:val="Header Char"/>
    <w:basedOn w:val="DefaultParagraphFont"/>
    <w:link w:val="Header"/>
    <w:uiPriority w:val="99"/>
    <w:rsid w:val="00A506CB"/>
    <w:rPr>
      <w:rFonts w:ascii="Arial" w:hAnsi="Arial"/>
      <w:caps/>
      <w:spacing w:val="-5"/>
      <w:sz w:val="15"/>
    </w:rPr>
  </w:style>
  <w:style w:type="character" w:customStyle="1" w:styleId="TitleChar">
    <w:name w:val="Title Char"/>
    <w:basedOn w:val="DefaultParagraphFont"/>
    <w:link w:val="Title"/>
    <w:rsid w:val="00A506CB"/>
    <w:rPr>
      <w:rFonts w:ascii="Arial Black" w:hAnsi="Arial Black"/>
      <w:spacing w:val="-30"/>
      <w:kern w:val="28"/>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B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link w:val="HeaderChar"/>
    <w:uiPriority w:val="99"/>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 w:type="character" w:styleId="FollowedHyperlink">
    <w:name w:val="FollowedHyperlink"/>
    <w:basedOn w:val="DefaultParagraphFont"/>
    <w:semiHidden/>
    <w:unhideWhenUsed/>
    <w:rsid w:val="00AE334A"/>
    <w:rPr>
      <w:color w:val="800080" w:themeColor="followedHyperlink"/>
      <w:u w:val="single"/>
    </w:rPr>
  </w:style>
  <w:style w:type="paragraph" w:styleId="NormalWeb">
    <w:name w:val="Normal (Web)"/>
    <w:basedOn w:val="Normal"/>
    <w:uiPriority w:val="99"/>
    <w:rsid w:val="007F2BAE"/>
    <w:pPr>
      <w:spacing w:before="100" w:beforeAutospacing="1" w:after="100" w:afterAutospacing="1"/>
    </w:pPr>
    <w:rPr>
      <w:rFonts w:cs="Times New Roman"/>
      <w:color w:val="auto"/>
      <w:szCs w:val="24"/>
    </w:rPr>
  </w:style>
  <w:style w:type="character" w:customStyle="1" w:styleId="HeaderChar">
    <w:name w:val="Header Char"/>
    <w:basedOn w:val="DefaultParagraphFont"/>
    <w:link w:val="Header"/>
    <w:uiPriority w:val="99"/>
    <w:rsid w:val="00A506CB"/>
    <w:rPr>
      <w:rFonts w:ascii="Arial" w:hAnsi="Arial"/>
      <w:caps/>
      <w:spacing w:val="-5"/>
      <w:sz w:val="15"/>
    </w:rPr>
  </w:style>
  <w:style w:type="character" w:customStyle="1" w:styleId="TitleChar">
    <w:name w:val="Title Char"/>
    <w:basedOn w:val="DefaultParagraphFont"/>
    <w:link w:val="Title"/>
    <w:rsid w:val="00A506CB"/>
    <w:rPr>
      <w:rFonts w:ascii="Arial Black" w:hAnsi="Arial Black"/>
      <w:spacing w:val="-3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393">
      <w:bodyDiv w:val="1"/>
      <w:marLeft w:val="0"/>
      <w:marRight w:val="0"/>
      <w:marTop w:val="0"/>
      <w:marBottom w:val="0"/>
      <w:divBdr>
        <w:top w:val="none" w:sz="0" w:space="0" w:color="auto"/>
        <w:left w:val="none" w:sz="0" w:space="0" w:color="auto"/>
        <w:bottom w:val="none" w:sz="0" w:space="0" w:color="auto"/>
        <w:right w:val="none" w:sz="0" w:space="0" w:color="auto"/>
      </w:divBdr>
    </w:div>
    <w:div w:id="121384064">
      <w:bodyDiv w:val="1"/>
      <w:marLeft w:val="0"/>
      <w:marRight w:val="0"/>
      <w:marTop w:val="0"/>
      <w:marBottom w:val="0"/>
      <w:divBdr>
        <w:top w:val="none" w:sz="0" w:space="0" w:color="auto"/>
        <w:left w:val="none" w:sz="0" w:space="0" w:color="auto"/>
        <w:bottom w:val="none" w:sz="0" w:space="0" w:color="auto"/>
        <w:right w:val="none" w:sz="0" w:space="0" w:color="auto"/>
      </w:divBdr>
    </w:div>
    <w:div w:id="126361872">
      <w:bodyDiv w:val="1"/>
      <w:marLeft w:val="0"/>
      <w:marRight w:val="0"/>
      <w:marTop w:val="0"/>
      <w:marBottom w:val="0"/>
      <w:divBdr>
        <w:top w:val="none" w:sz="0" w:space="0" w:color="auto"/>
        <w:left w:val="none" w:sz="0" w:space="0" w:color="auto"/>
        <w:bottom w:val="none" w:sz="0" w:space="0" w:color="auto"/>
        <w:right w:val="none" w:sz="0" w:space="0" w:color="auto"/>
      </w:divBdr>
    </w:div>
    <w:div w:id="261425012">
      <w:bodyDiv w:val="1"/>
      <w:marLeft w:val="0"/>
      <w:marRight w:val="0"/>
      <w:marTop w:val="0"/>
      <w:marBottom w:val="0"/>
      <w:divBdr>
        <w:top w:val="none" w:sz="0" w:space="0" w:color="auto"/>
        <w:left w:val="none" w:sz="0" w:space="0" w:color="auto"/>
        <w:bottom w:val="none" w:sz="0" w:space="0" w:color="auto"/>
        <w:right w:val="none" w:sz="0" w:space="0" w:color="auto"/>
      </w:divBdr>
    </w:div>
    <w:div w:id="279412289">
      <w:bodyDiv w:val="1"/>
      <w:marLeft w:val="0"/>
      <w:marRight w:val="0"/>
      <w:marTop w:val="0"/>
      <w:marBottom w:val="0"/>
      <w:divBdr>
        <w:top w:val="none" w:sz="0" w:space="0" w:color="auto"/>
        <w:left w:val="none" w:sz="0" w:space="0" w:color="auto"/>
        <w:bottom w:val="none" w:sz="0" w:space="0" w:color="auto"/>
        <w:right w:val="none" w:sz="0" w:space="0" w:color="auto"/>
      </w:divBdr>
    </w:div>
    <w:div w:id="303389194">
      <w:bodyDiv w:val="1"/>
      <w:marLeft w:val="0"/>
      <w:marRight w:val="0"/>
      <w:marTop w:val="0"/>
      <w:marBottom w:val="0"/>
      <w:divBdr>
        <w:top w:val="none" w:sz="0" w:space="0" w:color="auto"/>
        <w:left w:val="none" w:sz="0" w:space="0" w:color="auto"/>
        <w:bottom w:val="none" w:sz="0" w:space="0" w:color="auto"/>
        <w:right w:val="none" w:sz="0" w:space="0" w:color="auto"/>
      </w:divBdr>
    </w:div>
    <w:div w:id="336546361">
      <w:bodyDiv w:val="1"/>
      <w:marLeft w:val="0"/>
      <w:marRight w:val="0"/>
      <w:marTop w:val="0"/>
      <w:marBottom w:val="0"/>
      <w:divBdr>
        <w:top w:val="none" w:sz="0" w:space="0" w:color="auto"/>
        <w:left w:val="none" w:sz="0" w:space="0" w:color="auto"/>
        <w:bottom w:val="none" w:sz="0" w:space="0" w:color="auto"/>
        <w:right w:val="none" w:sz="0" w:space="0" w:color="auto"/>
      </w:divBdr>
    </w:div>
    <w:div w:id="407963390">
      <w:bodyDiv w:val="1"/>
      <w:marLeft w:val="0"/>
      <w:marRight w:val="0"/>
      <w:marTop w:val="0"/>
      <w:marBottom w:val="0"/>
      <w:divBdr>
        <w:top w:val="none" w:sz="0" w:space="0" w:color="auto"/>
        <w:left w:val="none" w:sz="0" w:space="0" w:color="auto"/>
        <w:bottom w:val="none" w:sz="0" w:space="0" w:color="auto"/>
        <w:right w:val="none" w:sz="0" w:space="0" w:color="auto"/>
      </w:divBdr>
    </w:div>
    <w:div w:id="503781649">
      <w:bodyDiv w:val="1"/>
      <w:marLeft w:val="0"/>
      <w:marRight w:val="0"/>
      <w:marTop w:val="0"/>
      <w:marBottom w:val="0"/>
      <w:divBdr>
        <w:top w:val="none" w:sz="0" w:space="0" w:color="auto"/>
        <w:left w:val="none" w:sz="0" w:space="0" w:color="auto"/>
        <w:bottom w:val="none" w:sz="0" w:space="0" w:color="auto"/>
        <w:right w:val="none" w:sz="0" w:space="0" w:color="auto"/>
      </w:divBdr>
    </w:div>
    <w:div w:id="504512853">
      <w:bodyDiv w:val="1"/>
      <w:marLeft w:val="0"/>
      <w:marRight w:val="0"/>
      <w:marTop w:val="0"/>
      <w:marBottom w:val="0"/>
      <w:divBdr>
        <w:top w:val="none" w:sz="0" w:space="0" w:color="auto"/>
        <w:left w:val="none" w:sz="0" w:space="0" w:color="auto"/>
        <w:bottom w:val="none" w:sz="0" w:space="0" w:color="auto"/>
        <w:right w:val="none" w:sz="0" w:space="0" w:color="auto"/>
      </w:divBdr>
    </w:div>
    <w:div w:id="568033060">
      <w:bodyDiv w:val="1"/>
      <w:marLeft w:val="0"/>
      <w:marRight w:val="0"/>
      <w:marTop w:val="0"/>
      <w:marBottom w:val="0"/>
      <w:divBdr>
        <w:top w:val="none" w:sz="0" w:space="0" w:color="auto"/>
        <w:left w:val="none" w:sz="0" w:space="0" w:color="auto"/>
        <w:bottom w:val="none" w:sz="0" w:space="0" w:color="auto"/>
        <w:right w:val="none" w:sz="0" w:space="0" w:color="auto"/>
      </w:divBdr>
    </w:div>
    <w:div w:id="604583215">
      <w:bodyDiv w:val="1"/>
      <w:marLeft w:val="0"/>
      <w:marRight w:val="0"/>
      <w:marTop w:val="0"/>
      <w:marBottom w:val="0"/>
      <w:divBdr>
        <w:top w:val="none" w:sz="0" w:space="0" w:color="auto"/>
        <w:left w:val="none" w:sz="0" w:space="0" w:color="auto"/>
        <w:bottom w:val="none" w:sz="0" w:space="0" w:color="auto"/>
        <w:right w:val="none" w:sz="0" w:space="0" w:color="auto"/>
      </w:divBdr>
    </w:div>
    <w:div w:id="800731054">
      <w:bodyDiv w:val="1"/>
      <w:marLeft w:val="0"/>
      <w:marRight w:val="0"/>
      <w:marTop w:val="0"/>
      <w:marBottom w:val="0"/>
      <w:divBdr>
        <w:top w:val="none" w:sz="0" w:space="0" w:color="auto"/>
        <w:left w:val="none" w:sz="0" w:space="0" w:color="auto"/>
        <w:bottom w:val="none" w:sz="0" w:space="0" w:color="auto"/>
        <w:right w:val="none" w:sz="0" w:space="0" w:color="auto"/>
      </w:divBdr>
    </w:div>
    <w:div w:id="883518888">
      <w:bodyDiv w:val="1"/>
      <w:marLeft w:val="0"/>
      <w:marRight w:val="0"/>
      <w:marTop w:val="0"/>
      <w:marBottom w:val="0"/>
      <w:divBdr>
        <w:top w:val="none" w:sz="0" w:space="0" w:color="auto"/>
        <w:left w:val="none" w:sz="0" w:space="0" w:color="auto"/>
        <w:bottom w:val="none" w:sz="0" w:space="0" w:color="auto"/>
        <w:right w:val="none" w:sz="0" w:space="0" w:color="auto"/>
      </w:divBdr>
    </w:div>
    <w:div w:id="995036342">
      <w:bodyDiv w:val="1"/>
      <w:marLeft w:val="0"/>
      <w:marRight w:val="0"/>
      <w:marTop w:val="0"/>
      <w:marBottom w:val="0"/>
      <w:divBdr>
        <w:top w:val="none" w:sz="0" w:space="0" w:color="auto"/>
        <w:left w:val="none" w:sz="0" w:space="0" w:color="auto"/>
        <w:bottom w:val="none" w:sz="0" w:space="0" w:color="auto"/>
        <w:right w:val="none" w:sz="0" w:space="0" w:color="auto"/>
      </w:divBdr>
    </w:div>
    <w:div w:id="1000279688">
      <w:bodyDiv w:val="1"/>
      <w:marLeft w:val="0"/>
      <w:marRight w:val="0"/>
      <w:marTop w:val="0"/>
      <w:marBottom w:val="0"/>
      <w:divBdr>
        <w:top w:val="none" w:sz="0" w:space="0" w:color="auto"/>
        <w:left w:val="none" w:sz="0" w:space="0" w:color="auto"/>
        <w:bottom w:val="none" w:sz="0" w:space="0" w:color="auto"/>
        <w:right w:val="none" w:sz="0" w:space="0" w:color="auto"/>
      </w:divBdr>
    </w:div>
    <w:div w:id="1006055714">
      <w:bodyDiv w:val="1"/>
      <w:marLeft w:val="0"/>
      <w:marRight w:val="0"/>
      <w:marTop w:val="0"/>
      <w:marBottom w:val="0"/>
      <w:divBdr>
        <w:top w:val="none" w:sz="0" w:space="0" w:color="auto"/>
        <w:left w:val="none" w:sz="0" w:space="0" w:color="auto"/>
        <w:bottom w:val="none" w:sz="0" w:space="0" w:color="auto"/>
        <w:right w:val="none" w:sz="0" w:space="0" w:color="auto"/>
      </w:divBdr>
    </w:div>
    <w:div w:id="1081482858">
      <w:bodyDiv w:val="1"/>
      <w:marLeft w:val="0"/>
      <w:marRight w:val="0"/>
      <w:marTop w:val="0"/>
      <w:marBottom w:val="0"/>
      <w:divBdr>
        <w:top w:val="none" w:sz="0" w:space="0" w:color="auto"/>
        <w:left w:val="none" w:sz="0" w:space="0" w:color="auto"/>
        <w:bottom w:val="none" w:sz="0" w:space="0" w:color="auto"/>
        <w:right w:val="none" w:sz="0" w:space="0" w:color="auto"/>
      </w:divBdr>
    </w:div>
    <w:div w:id="1088118190">
      <w:bodyDiv w:val="1"/>
      <w:marLeft w:val="0"/>
      <w:marRight w:val="0"/>
      <w:marTop w:val="0"/>
      <w:marBottom w:val="0"/>
      <w:divBdr>
        <w:top w:val="none" w:sz="0" w:space="0" w:color="auto"/>
        <w:left w:val="none" w:sz="0" w:space="0" w:color="auto"/>
        <w:bottom w:val="none" w:sz="0" w:space="0" w:color="auto"/>
        <w:right w:val="none" w:sz="0" w:space="0" w:color="auto"/>
      </w:divBdr>
    </w:div>
    <w:div w:id="1098254574">
      <w:bodyDiv w:val="1"/>
      <w:marLeft w:val="0"/>
      <w:marRight w:val="0"/>
      <w:marTop w:val="0"/>
      <w:marBottom w:val="0"/>
      <w:divBdr>
        <w:top w:val="none" w:sz="0" w:space="0" w:color="auto"/>
        <w:left w:val="none" w:sz="0" w:space="0" w:color="auto"/>
        <w:bottom w:val="none" w:sz="0" w:space="0" w:color="auto"/>
        <w:right w:val="none" w:sz="0" w:space="0" w:color="auto"/>
      </w:divBdr>
    </w:div>
    <w:div w:id="1183783880">
      <w:bodyDiv w:val="1"/>
      <w:marLeft w:val="0"/>
      <w:marRight w:val="0"/>
      <w:marTop w:val="0"/>
      <w:marBottom w:val="0"/>
      <w:divBdr>
        <w:top w:val="none" w:sz="0" w:space="0" w:color="auto"/>
        <w:left w:val="none" w:sz="0" w:space="0" w:color="auto"/>
        <w:bottom w:val="none" w:sz="0" w:space="0" w:color="auto"/>
        <w:right w:val="none" w:sz="0" w:space="0" w:color="auto"/>
      </w:divBdr>
    </w:div>
    <w:div w:id="1306743007">
      <w:bodyDiv w:val="1"/>
      <w:marLeft w:val="0"/>
      <w:marRight w:val="0"/>
      <w:marTop w:val="0"/>
      <w:marBottom w:val="0"/>
      <w:divBdr>
        <w:top w:val="none" w:sz="0" w:space="0" w:color="auto"/>
        <w:left w:val="none" w:sz="0" w:space="0" w:color="auto"/>
        <w:bottom w:val="none" w:sz="0" w:space="0" w:color="auto"/>
        <w:right w:val="none" w:sz="0" w:space="0" w:color="auto"/>
      </w:divBdr>
    </w:div>
    <w:div w:id="1494103273">
      <w:bodyDiv w:val="1"/>
      <w:marLeft w:val="0"/>
      <w:marRight w:val="0"/>
      <w:marTop w:val="0"/>
      <w:marBottom w:val="0"/>
      <w:divBdr>
        <w:top w:val="none" w:sz="0" w:space="0" w:color="auto"/>
        <w:left w:val="none" w:sz="0" w:space="0" w:color="auto"/>
        <w:bottom w:val="none" w:sz="0" w:space="0" w:color="auto"/>
        <w:right w:val="none" w:sz="0" w:space="0" w:color="auto"/>
      </w:divBdr>
    </w:div>
    <w:div w:id="1516381340">
      <w:bodyDiv w:val="1"/>
      <w:marLeft w:val="0"/>
      <w:marRight w:val="0"/>
      <w:marTop w:val="0"/>
      <w:marBottom w:val="0"/>
      <w:divBdr>
        <w:top w:val="none" w:sz="0" w:space="0" w:color="auto"/>
        <w:left w:val="none" w:sz="0" w:space="0" w:color="auto"/>
        <w:bottom w:val="none" w:sz="0" w:space="0" w:color="auto"/>
        <w:right w:val="none" w:sz="0" w:space="0" w:color="auto"/>
      </w:divBdr>
    </w:div>
    <w:div w:id="1543901574">
      <w:bodyDiv w:val="1"/>
      <w:marLeft w:val="0"/>
      <w:marRight w:val="0"/>
      <w:marTop w:val="0"/>
      <w:marBottom w:val="0"/>
      <w:divBdr>
        <w:top w:val="none" w:sz="0" w:space="0" w:color="auto"/>
        <w:left w:val="none" w:sz="0" w:space="0" w:color="auto"/>
        <w:bottom w:val="none" w:sz="0" w:space="0" w:color="auto"/>
        <w:right w:val="none" w:sz="0" w:space="0" w:color="auto"/>
      </w:divBdr>
    </w:div>
    <w:div w:id="1646468566">
      <w:bodyDiv w:val="1"/>
      <w:marLeft w:val="0"/>
      <w:marRight w:val="0"/>
      <w:marTop w:val="0"/>
      <w:marBottom w:val="0"/>
      <w:divBdr>
        <w:top w:val="none" w:sz="0" w:space="0" w:color="auto"/>
        <w:left w:val="none" w:sz="0" w:space="0" w:color="auto"/>
        <w:bottom w:val="none" w:sz="0" w:space="0" w:color="auto"/>
        <w:right w:val="none" w:sz="0" w:space="0" w:color="auto"/>
      </w:divBdr>
    </w:div>
    <w:div w:id="1700659932">
      <w:bodyDiv w:val="1"/>
      <w:marLeft w:val="0"/>
      <w:marRight w:val="0"/>
      <w:marTop w:val="0"/>
      <w:marBottom w:val="0"/>
      <w:divBdr>
        <w:top w:val="none" w:sz="0" w:space="0" w:color="auto"/>
        <w:left w:val="none" w:sz="0" w:space="0" w:color="auto"/>
        <w:bottom w:val="none" w:sz="0" w:space="0" w:color="auto"/>
        <w:right w:val="none" w:sz="0" w:space="0" w:color="auto"/>
      </w:divBdr>
    </w:div>
    <w:div w:id="1713118638">
      <w:bodyDiv w:val="1"/>
      <w:marLeft w:val="0"/>
      <w:marRight w:val="0"/>
      <w:marTop w:val="0"/>
      <w:marBottom w:val="0"/>
      <w:divBdr>
        <w:top w:val="none" w:sz="0" w:space="0" w:color="auto"/>
        <w:left w:val="none" w:sz="0" w:space="0" w:color="auto"/>
        <w:bottom w:val="none" w:sz="0" w:space="0" w:color="auto"/>
        <w:right w:val="none" w:sz="0" w:space="0" w:color="auto"/>
      </w:divBdr>
    </w:div>
    <w:div w:id="1721663415">
      <w:bodyDiv w:val="1"/>
      <w:marLeft w:val="0"/>
      <w:marRight w:val="0"/>
      <w:marTop w:val="0"/>
      <w:marBottom w:val="0"/>
      <w:divBdr>
        <w:top w:val="none" w:sz="0" w:space="0" w:color="auto"/>
        <w:left w:val="none" w:sz="0" w:space="0" w:color="auto"/>
        <w:bottom w:val="none" w:sz="0" w:space="0" w:color="auto"/>
        <w:right w:val="none" w:sz="0" w:space="0" w:color="auto"/>
      </w:divBdr>
    </w:div>
    <w:div w:id="1722902124">
      <w:bodyDiv w:val="1"/>
      <w:marLeft w:val="0"/>
      <w:marRight w:val="0"/>
      <w:marTop w:val="0"/>
      <w:marBottom w:val="0"/>
      <w:divBdr>
        <w:top w:val="none" w:sz="0" w:space="0" w:color="auto"/>
        <w:left w:val="none" w:sz="0" w:space="0" w:color="auto"/>
        <w:bottom w:val="none" w:sz="0" w:space="0" w:color="auto"/>
        <w:right w:val="none" w:sz="0" w:space="0" w:color="auto"/>
      </w:divBdr>
    </w:div>
    <w:div w:id="1759674318">
      <w:bodyDiv w:val="1"/>
      <w:marLeft w:val="0"/>
      <w:marRight w:val="0"/>
      <w:marTop w:val="0"/>
      <w:marBottom w:val="0"/>
      <w:divBdr>
        <w:top w:val="none" w:sz="0" w:space="0" w:color="auto"/>
        <w:left w:val="none" w:sz="0" w:space="0" w:color="auto"/>
        <w:bottom w:val="none" w:sz="0" w:space="0" w:color="auto"/>
        <w:right w:val="none" w:sz="0" w:space="0" w:color="auto"/>
      </w:divBdr>
    </w:div>
    <w:div w:id="1784958274">
      <w:bodyDiv w:val="1"/>
      <w:marLeft w:val="0"/>
      <w:marRight w:val="0"/>
      <w:marTop w:val="0"/>
      <w:marBottom w:val="0"/>
      <w:divBdr>
        <w:top w:val="none" w:sz="0" w:space="0" w:color="auto"/>
        <w:left w:val="none" w:sz="0" w:space="0" w:color="auto"/>
        <w:bottom w:val="none" w:sz="0" w:space="0" w:color="auto"/>
        <w:right w:val="none" w:sz="0" w:space="0" w:color="auto"/>
      </w:divBdr>
    </w:div>
    <w:div w:id="1839150564">
      <w:bodyDiv w:val="1"/>
      <w:marLeft w:val="0"/>
      <w:marRight w:val="0"/>
      <w:marTop w:val="0"/>
      <w:marBottom w:val="0"/>
      <w:divBdr>
        <w:top w:val="none" w:sz="0" w:space="0" w:color="auto"/>
        <w:left w:val="none" w:sz="0" w:space="0" w:color="auto"/>
        <w:bottom w:val="none" w:sz="0" w:space="0" w:color="auto"/>
        <w:right w:val="none" w:sz="0" w:space="0" w:color="auto"/>
      </w:divBdr>
    </w:div>
    <w:div w:id="1963882068">
      <w:bodyDiv w:val="1"/>
      <w:marLeft w:val="0"/>
      <w:marRight w:val="0"/>
      <w:marTop w:val="0"/>
      <w:marBottom w:val="0"/>
      <w:divBdr>
        <w:top w:val="none" w:sz="0" w:space="0" w:color="auto"/>
        <w:left w:val="none" w:sz="0" w:space="0" w:color="auto"/>
        <w:bottom w:val="none" w:sz="0" w:space="0" w:color="auto"/>
        <w:right w:val="none" w:sz="0" w:space="0" w:color="auto"/>
      </w:divBdr>
    </w:div>
    <w:div w:id="1989549179">
      <w:bodyDiv w:val="1"/>
      <w:marLeft w:val="0"/>
      <w:marRight w:val="0"/>
      <w:marTop w:val="0"/>
      <w:marBottom w:val="0"/>
      <w:divBdr>
        <w:top w:val="none" w:sz="0" w:space="0" w:color="auto"/>
        <w:left w:val="none" w:sz="0" w:space="0" w:color="auto"/>
        <w:bottom w:val="none" w:sz="0" w:space="0" w:color="auto"/>
        <w:right w:val="none" w:sz="0" w:space="0" w:color="auto"/>
      </w:divBdr>
    </w:div>
    <w:div w:id="2020545140">
      <w:bodyDiv w:val="1"/>
      <w:marLeft w:val="0"/>
      <w:marRight w:val="0"/>
      <w:marTop w:val="0"/>
      <w:marBottom w:val="0"/>
      <w:divBdr>
        <w:top w:val="none" w:sz="0" w:space="0" w:color="auto"/>
        <w:left w:val="none" w:sz="0" w:space="0" w:color="auto"/>
        <w:bottom w:val="none" w:sz="0" w:space="0" w:color="auto"/>
        <w:right w:val="none" w:sz="0" w:space="0" w:color="auto"/>
      </w:divBdr>
    </w:div>
    <w:div w:id="2077196237">
      <w:bodyDiv w:val="1"/>
      <w:marLeft w:val="0"/>
      <w:marRight w:val="0"/>
      <w:marTop w:val="0"/>
      <w:marBottom w:val="0"/>
      <w:divBdr>
        <w:top w:val="none" w:sz="0" w:space="0" w:color="auto"/>
        <w:left w:val="none" w:sz="0" w:space="0" w:color="auto"/>
        <w:bottom w:val="none" w:sz="0" w:space="0" w:color="auto"/>
        <w:right w:val="none" w:sz="0" w:space="0" w:color="auto"/>
      </w:divBdr>
    </w:div>
    <w:div w:id="20826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frs@tsa.dhs.gov" TargetMode="Externa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rs@tsa.dhs.go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tats.bls.gov/oes/2014/may/naics4_488100.htm" TargetMode="External"/><Relationship Id="rId2" Type="http://schemas.openxmlformats.org/officeDocument/2006/relationships/hyperlink" Target="http://www.bls.gov/news.release/pdf/ecec.pdf" TargetMode="External"/><Relationship Id="rId1" Type="http://schemas.openxmlformats.org/officeDocument/2006/relationships/hyperlink" Target="http://stats.bls.gov/oes/2014/may/naics4_488100.htm" TargetMode="External"/><Relationship Id="rId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WorkFolderID xmlns="bf977825-2753-42ca-8bd5-f8c4d4b2aac8">17331</WorkFolderID>
    <WorkFolderDocumentType xmlns="bf977825-2753-42ca-8bd5-f8c4d4b2aac8">Attachments</WorkFolderDocumentType>
    <TSAControlNumber xmlns="bf977825-2753-42ca-8bd5-f8c4d4b2aac8">OIT-151105-015</TSAControlNumber>
  </documentManagement>
</p:properties>
</file>

<file path=customXml/item2.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58F0-57CF-41A1-9E05-D585EAA8069B}">
  <ds:schemaRefs>
    <ds:schemaRef ds:uri="http://schemas.microsoft.com/office/2006/metadata/properties"/>
    <ds:schemaRef ds:uri="bf977825-2753-42ca-8bd5-f8c4d4b2aac8"/>
  </ds:schemaRefs>
</ds:datastoreItem>
</file>

<file path=customXml/itemProps2.xml><?xml version="1.0" encoding="utf-8"?>
<ds:datastoreItem xmlns:ds="http://schemas.openxmlformats.org/officeDocument/2006/customXml" ds:itemID="{5927313D-6160-40EE-B0CA-8A33CCBA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AF31FE7-EFFD-4C71-8099-12472237052F}">
  <ds:schemaRefs>
    <ds:schemaRef ds:uri="http://schemas.microsoft.com/office/2006/metadata/longProperties"/>
  </ds:schemaRefs>
</ds:datastoreItem>
</file>

<file path=customXml/itemProps4.xml><?xml version="1.0" encoding="utf-8"?>
<ds:datastoreItem xmlns:ds="http://schemas.openxmlformats.org/officeDocument/2006/customXml" ds:itemID="{7CC7CAEC-5067-4A1C-86CA-417844229F03}">
  <ds:schemaRefs>
    <ds:schemaRef ds:uri="http://schemas.microsoft.com/sharepoint/v3/contenttype/forms"/>
  </ds:schemaRefs>
</ds:datastoreItem>
</file>

<file path=customXml/itemProps5.xml><?xml version="1.0" encoding="utf-8"?>
<ds:datastoreItem xmlns:ds="http://schemas.openxmlformats.org/officeDocument/2006/customXml" ds:itemID="{320E2346-F115-4CAB-9E19-C45D134D6946}">
  <ds:schemaRefs>
    <ds:schemaRef ds:uri="http://schemas.openxmlformats.org/officeDocument/2006/bibliography"/>
  </ds:schemaRefs>
</ds:datastoreItem>
</file>

<file path=customXml/itemProps6.xml><?xml version="1.0" encoding="utf-8"?>
<ds:datastoreItem xmlns:ds="http://schemas.openxmlformats.org/officeDocument/2006/customXml" ds:itemID="{31D9AA50-5EF7-4A5E-8177-4E1435F4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TSK + tmm Comments on Paperwork Reduction Form 9941 For Fill-In; with Supplemental Info Section</vt:lpstr>
    </vt:vector>
  </TitlesOfParts>
  <Company>TSA</Company>
  <LinksUpToDate>false</LinksUpToDate>
  <CharactersWithSpaces>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 tmm Comments on Paperwork Reduction Form 9941 For Fill-In; with Supplemental Info Section</dc:title>
  <dc:creator>Marisa.Mullen</dc:creator>
  <cp:lastModifiedBy>Walsh, Christina A.</cp:lastModifiedBy>
  <cp:revision>2</cp:revision>
  <cp:lastPrinted>2015-10-08T19:15:00Z</cp:lastPrinted>
  <dcterms:created xsi:type="dcterms:W3CDTF">2016-03-28T18:39:00Z</dcterms:created>
  <dcterms:modified xsi:type="dcterms:W3CDTF">2016-03-28T18:39:00Z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0x01010050B1262A16444C27977BDE8CDD25D55500EB8CE97793A1EC4B86B7FAB18E9825A1</vt:lpwstr>
  </property>
  <property fmtid="{D5CDD505-2E9C-101B-9397-08002B2CF9AE}" pid="4" name="Owner">
    <vt:lpwstr/>
  </property>
  <property fmtid="{D5CDD505-2E9C-101B-9397-08002B2CF9AE}" pid="5" name="Status">
    <vt:lpwstr>Draft</vt:lpwstr>
  </property>
  <property fmtid="{D5CDD505-2E9C-101B-9397-08002B2CF9AE}" pid="6" name="_NewReviewCycle">
    <vt:lpwstr/>
  </property>
  <property fmtid="{D5CDD505-2E9C-101B-9397-08002B2CF9AE}" pid="7" name="_dlc_DocIdItemGuid">
    <vt:lpwstr>9425f7d3-5617-4838-87d9-91b8331f397c</vt:lpwstr>
  </property>
  <property fmtid="{D5CDD505-2E9C-101B-9397-08002B2CF9AE}" pid="8" name="Type of Request">
    <vt:lpwstr>Revision</vt:lpwstr>
  </property>
  <property fmtid="{D5CDD505-2E9C-101B-9397-08002B2CF9AE}" pid="9" name="Supplementary Document">
    <vt:lpwstr>Supporting Statement</vt:lpwstr>
  </property>
  <property fmtid="{D5CDD505-2E9C-101B-9397-08002B2CF9AE}" pid="10" name="_dlc_DocId">
    <vt:lpwstr>2MNXFYDWMX7Y-461-2533</vt:lpwstr>
  </property>
  <property fmtid="{D5CDD505-2E9C-101B-9397-08002B2CF9AE}" pid="11" name="Legacy">
    <vt:lpwstr>N/A</vt:lpwstr>
  </property>
  <property fmtid="{D5CDD505-2E9C-101B-9397-08002B2CF9AE}" pid="12" name="Renewal Year">
    <vt:lpwstr>FY15</vt:lpwstr>
  </property>
  <property fmtid="{D5CDD505-2E9C-101B-9397-08002B2CF9AE}" pid="13" name="_dlc_DocIdUrl">
    <vt:lpwstr>https://team.ishare.tsa.dhs.gov/sites/oit/bmo/PRA/_layouts/DocIdRedir.aspx?ID=2MNXFYDWMX7Y-461-25332MNXFYDWMX7Y-461-2533</vt:lpwstr>
  </property>
  <property fmtid="{D5CDD505-2E9C-101B-9397-08002B2CF9AE}" pid="14" name="Day Notice">
    <vt:lpwstr>N/A</vt:lpwstr>
  </property>
</Properties>
</file>