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4293" w14:textId="77777777" w:rsidR="0078241C" w:rsidRPr="00C51585" w:rsidRDefault="00EF233E" w:rsidP="00320D31">
      <w:pPr>
        <w:jc w:val="center"/>
      </w:pPr>
      <w:bookmarkStart w:id="0" w:name="_GoBack"/>
      <w:bookmarkEnd w:id="0"/>
      <w:r w:rsidRPr="00C51585">
        <w:t xml:space="preserve">Supporting Statement </w:t>
      </w:r>
      <w:r w:rsidR="00320D31" w:rsidRPr="00C51585">
        <w:t xml:space="preserve">for </w:t>
      </w:r>
    </w:p>
    <w:p w14:paraId="77D9E08F" w14:textId="77777777" w:rsidR="00320D31" w:rsidRPr="00C51585" w:rsidRDefault="00320D31" w:rsidP="00320D31">
      <w:pPr>
        <w:jc w:val="center"/>
        <w:rPr>
          <w:b/>
        </w:rPr>
      </w:pPr>
      <w:r w:rsidRPr="00C51585">
        <w:rPr>
          <w:b/>
        </w:rPr>
        <w:t xml:space="preserve">FERC-725, Certification of Electric Reliability Organization; </w:t>
      </w:r>
    </w:p>
    <w:p w14:paraId="7C88C203" w14:textId="77777777" w:rsidR="00320D31" w:rsidRPr="00C51585" w:rsidRDefault="00320D31" w:rsidP="00320D31">
      <w:pPr>
        <w:jc w:val="center"/>
        <w:rPr>
          <w:b/>
        </w:rPr>
      </w:pPr>
      <w:r w:rsidRPr="00C51585">
        <w:rPr>
          <w:b/>
        </w:rPr>
        <w:t>Procedures for Electric Reliability Standards</w:t>
      </w:r>
    </w:p>
    <w:p w14:paraId="50823998" w14:textId="13CE2A07" w:rsidR="00B67516" w:rsidRDefault="00320D31" w:rsidP="00320D31">
      <w:pPr>
        <w:jc w:val="center"/>
      </w:pPr>
      <w:r w:rsidRPr="00C51585">
        <w:t xml:space="preserve">Non-substantive change request </w:t>
      </w:r>
      <w:r w:rsidR="00B67516">
        <w:t>for proposal</w:t>
      </w:r>
      <w:r w:rsidRPr="00C51585">
        <w:t xml:space="preserve"> </w:t>
      </w:r>
    </w:p>
    <w:p w14:paraId="2587D4DE" w14:textId="2EE85C21" w:rsidR="00320D31" w:rsidRPr="00C51585" w:rsidRDefault="00320D31" w:rsidP="00320D31">
      <w:pPr>
        <w:jc w:val="center"/>
      </w:pPr>
      <w:proofErr w:type="gramStart"/>
      <w:r w:rsidRPr="00C51585">
        <w:t>in</w:t>
      </w:r>
      <w:proofErr w:type="gramEnd"/>
      <w:r w:rsidRPr="00C51585">
        <w:t xml:space="preserve"> the </w:t>
      </w:r>
      <w:r w:rsidR="00A97D27">
        <w:t>NOPR</w:t>
      </w:r>
      <w:r w:rsidRPr="00C51585">
        <w:t xml:space="preserve"> </w:t>
      </w:r>
      <w:r w:rsidR="00984D34" w:rsidRPr="00C51585">
        <w:t xml:space="preserve">in Docket </w:t>
      </w:r>
      <w:r w:rsidR="00A37743">
        <w:t>RM15-25</w:t>
      </w:r>
      <w:r w:rsidR="00497762" w:rsidRPr="00C51585">
        <w:t>-000</w:t>
      </w:r>
    </w:p>
    <w:p w14:paraId="66FE1227" w14:textId="77777777" w:rsidR="00320D31" w:rsidRPr="00C51585" w:rsidRDefault="00320D31" w:rsidP="00320D31">
      <w:pPr>
        <w:jc w:val="center"/>
      </w:pPr>
    </w:p>
    <w:p w14:paraId="3C0B4347" w14:textId="77777777" w:rsidR="00984D34" w:rsidRPr="00C51585" w:rsidRDefault="00984D34" w:rsidP="00320D31">
      <w:pPr>
        <w:jc w:val="center"/>
      </w:pPr>
    </w:p>
    <w:p w14:paraId="1720BDDB" w14:textId="3416D949" w:rsidR="00320D31" w:rsidRPr="00C51585" w:rsidRDefault="00320D31" w:rsidP="00984D34">
      <w:pPr>
        <w:ind w:firstLine="720"/>
      </w:pPr>
      <w:r w:rsidRPr="00C51585">
        <w:t xml:space="preserve">The Federal Energy Regulatory Commission (Commission or FERC) requests that the Office of Management and Budget (OMB) review and approve this request for a non-substantive change to the FERC-725 information collection.  </w:t>
      </w:r>
      <w:r w:rsidR="00982807">
        <w:t>This request is triggered by the Notice of Proposed Rulemaking (NOPR)</w:t>
      </w:r>
      <w:r w:rsidR="00982807">
        <w:rPr>
          <w:rStyle w:val="FootnoteReference"/>
        </w:rPr>
        <w:footnoteReference w:id="1"/>
      </w:r>
      <w:r w:rsidR="00982807">
        <w:t xml:space="preserve"> issued 9/17/15 in Docket RM15-25.</w:t>
      </w:r>
    </w:p>
    <w:p w14:paraId="5E2043D6" w14:textId="77777777" w:rsidR="00B317FE" w:rsidRPr="00C51585" w:rsidRDefault="00B317FE" w:rsidP="00320D31"/>
    <w:p w14:paraId="16D75B4F" w14:textId="77777777" w:rsidR="00DC4A32" w:rsidRDefault="00B317FE" w:rsidP="00DC4A32">
      <w:pPr>
        <w:ind w:firstLine="720"/>
        <w:rPr>
          <w:szCs w:val="26"/>
        </w:rPr>
      </w:pPr>
      <w:r w:rsidRPr="00C51585">
        <w:rPr>
          <w:szCs w:val="26"/>
        </w:rPr>
        <w:t>Under section 215 of the Federal Power Act, the Federal Energy Regulatory Commission (Commission</w:t>
      </w:r>
      <w:r w:rsidR="00C10B1D" w:rsidRPr="00C51585">
        <w:rPr>
          <w:szCs w:val="26"/>
        </w:rPr>
        <w:t xml:space="preserve"> or FERC</w:t>
      </w:r>
      <w:r w:rsidRPr="00C51585">
        <w:rPr>
          <w:szCs w:val="26"/>
        </w:rPr>
        <w:t>) direct</w:t>
      </w:r>
      <w:r w:rsidR="009C6FB1" w:rsidRPr="00C51585">
        <w:rPr>
          <w:szCs w:val="26"/>
        </w:rPr>
        <w:t>s</w:t>
      </w:r>
      <w:r w:rsidRPr="00C51585">
        <w:rPr>
          <w:szCs w:val="26"/>
        </w:rPr>
        <w:t xml:space="preserve"> the North American Electric Reliability Corporation (NERC), the Commission-certified Electric Reliability Organization</w:t>
      </w:r>
      <w:r w:rsidR="00C10B1D" w:rsidRPr="00C51585">
        <w:rPr>
          <w:szCs w:val="26"/>
        </w:rPr>
        <w:t xml:space="preserve"> (ERO)</w:t>
      </w:r>
      <w:r w:rsidRPr="00C51585">
        <w:rPr>
          <w:szCs w:val="26"/>
        </w:rPr>
        <w:t xml:space="preserve">, to </w:t>
      </w:r>
      <w:r w:rsidR="00DC4A32">
        <w:rPr>
          <w:szCs w:val="26"/>
        </w:rPr>
        <w:t xml:space="preserve">provide </w:t>
      </w:r>
      <w:r w:rsidR="00DC4A32" w:rsidRPr="0063130E">
        <w:rPr>
          <w:szCs w:val="26"/>
        </w:rPr>
        <w:t xml:space="preserve">Commission </w:t>
      </w:r>
      <w:r w:rsidR="00DC4A32">
        <w:rPr>
          <w:szCs w:val="26"/>
        </w:rPr>
        <w:t xml:space="preserve">staff with </w:t>
      </w:r>
      <w:r w:rsidR="00DC4A32" w:rsidRPr="0063130E">
        <w:rPr>
          <w:szCs w:val="26"/>
        </w:rPr>
        <w:t>access</w:t>
      </w:r>
      <w:r w:rsidR="00DC4A32">
        <w:rPr>
          <w:szCs w:val="26"/>
        </w:rPr>
        <w:t xml:space="preserve"> (i.e., view and download data)</w:t>
      </w:r>
      <w:r w:rsidR="00DC4A32" w:rsidRPr="0063130E">
        <w:rPr>
          <w:szCs w:val="26"/>
        </w:rPr>
        <w:t xml:space="preserve">, on a non-public and ongoing basis, to </w:t>
      </w:r>
      <w:r w:rsidR="00DC4A32">
        <w:rPr>
          <w:szCs w:val="26"/>
        </w:rPr>
        <w:t>certain databases compiled and maintained by NERC.  T</w:t>
      </w:r>
      <w:r w:rsidR="00DC4A32" w:rsidRPr="00014800">
        <w:rPr>
          <w:szCs w:val="26"/>
        </w:rPr>
        <w:t>he Commission</w:t>
      </w:r>
      <w:r w:rsidR="00DC4A32">
        <w:rPr>
          <w:szCs w:val="26"/>
        </w:rPr>
        <w:t xml:space="preserve">’s proposal applies </w:t>
      </w:r>
      <w:r w:rsidR="00DC4A32" w:rsidRPr="00014800">
        <w:rPr>
          <w:szCs w:val="26"/>
        </w:rPr>
        <w:t xml:space="preserve">to the following three NERC </w:t>
      </w:r>
      <w:r w:rsidR="00DC4A32">
        <w:rPr>
          <w:szCs w:val="26"/>
        </w:rPr>
        <w:t>database</w:t>
      </w:r>
      <w:r w:rsidR="00DC4A32" w:rsidRPr="00014800">
        <w:rPr>
          <w:szCs w:val="26"/>
        </w:rPr>
        <w:t xml:space="preserve">s:  (1) </w:t>
      </w:r>
      <w:r w:rsidR="00DC4A32">
        <w:rPr>
          <w:szCs w:val="26"/>
        </w:rPr>
        <w:t xml:space="preserve">the </w:t>
      </w:r>
      <w:r w:rsidR="00DC4A32" w:rsidRPr="00014800">
        <w:rPr>
          <w:szCs w:val="26"/>
        </w:rPr>
        <w:t xml:space="preserve">Transmission Availability Data System (TADS), (2) </w:t>
      </w:r>
      <w:r w:rsidR="00DC4A32">
        <w:rPr>
          <w:szCs w:val="26"/>
        </w:rPr>
        <w:t xml:space="preserve">the </w:t>
      </w:r>
      <w:r w:rsidR="00DC4A32" w:rsidRPr="00014800">
        <w:rPr>
          <w:szCs w:val="26"/>
        </w:rPr>
        <w:t xml:space="preserve">Generator Availability Data System (GADS), and (3) </w:t>
      </w:r>
      <w:r w:rsidR="00DC4A32">
        <w:rPr>
          <w:szCs w:val="26"/>
        </w:rPr>
        <w:t xml:space="preserve">the protection </w:t>
      </w:r>
      <w:r w:rsidR="00DC4A32" w:rsidRPr="00014800">
        <w:rPr>
          <w:szCs w:val="26"/>
        </w:rPr>
        <w:t xml:space="preserve">system </w:t>
      </w:r>
      <w:proofErr w:type="spellStart"/>
      <w:proofErr w:type="gramStart"/>
      <w:r w:rsidR="00DC4A32" w:rsidRPr="00014800">
        <w:rPr>
          <w:szCs w:val="26"/>
        </w:rPr>
        <w:t>misoperations</w:t>
      </w:r>
      <w:proofErr w:type="spellEnd"/>
      <w:proofErr w:type="gramEnd"/>
      <w:r w:rsidR="00DC4A32" w:rsidRPr="00014800">
        <w:rPr>
          <w:szCs w:val="26"/>
        </w:rPr>
        <w:t xml:space="preserve"> </w:t>
      </w:r>
      <w:r w:rsidR="00DC4A32">
        <w:rPr>
          <w:szCs w:val="26"/>
        </w:rPr>
        <w:t>database</w:t>
      </w:r>
      <w:r w:rsidR="00DC4A32" w:rsidRPr="00014800">
        <w:rPr>
          <w:szCs w:val="26"/>
        </w:rPr>
        <w:t xml:space="preserve">.  </w:t>
      </w:r>
      <w:r w:rsidR="00DC4A32">
        <w:rPr>
          <w:szCs w:val="26"/>
        </w:rPr>
        <w:t>Access to these</w:t>
      </w:r>
      <w:r w:rsidR="00DC4A32" w:rsidRPr="00014800">
        <w:rPr>
          <w:szCs w:val="26"/>
        </w:rPr>
        <w:t xml:space="preserve"> </w:t>
      </w:r>
      <w:r w:rsidR="00DC4A32">
        <w:rPr>
          <w:szCs w:val="26"/>
        </w:rPr>
        <w:t>databases, which will be limited to data regarding U.S. facilities,</w:t>
      </w:r>
      <w:r w:rsidR="00DC4A32" w:rsidRPr="00014800">
        <w:rPr>
          <w:szCs w:val="26"/>
        </w:rPr>
        <w:t xml:space="preserve"> will </w:t>
      </w:r>
      <w:r w:rsidR="00DC4A32">
        <w:rPr>
          <w:szCs w:val="26"/>
        </w:rPr>
        <w:t>provide the Commission with information necessary for the Commission to</w:t>
      </w:r>
      <w:r w:rsidR="00DC4A32" w:rsidRPr="00014800">
        <w:rPr>
          <w:szCs w:val="26"/>
        </w:rPr>
        <w:t xml:space="preserve"> deter</w:t>
      </w:r>
      <w:r w:rsidR="00DC4A32">
        <w:rPr>
          <w:szCs w:val="26"/>
        </w:rPr>
        <w:t>mine</w:t>
      </w:r>
      <w:r w:rsidR="00DC4A32" w:rsidRPr="00014800">
        <w:rPr>
          <w:szCs w:val="26"/>
        </w:rPr>
        <w:t xml:space="preserve"> the </w:t>
      </w:r>
      <w:r w:rsidR="00DC4A32">
        <w:rPr>
          <w:szCs w:val="26"/>
        </w:rPr>
        <w:t>need for</w:t>
      </w:r>
      <w:r w:rsidR="00DC4A32" w:rsidRPr="00014800">
        <w:rPr>
          <w:szCs w:val="26"/>
        </w:rPr>
        <w:t xml:space="preserve"> new or modified Reli</w:t>
      </w:r>
      <w:r w:rsidR="00DC4A32">
        <w:rPr>
          <w:szCs w:val="26"/>
        </w:rPr>
        <w:t>ability Standards and to better evaluate</w:t>
      </w:r>
      <w:r w:rsidR="00DC4A32" w:rsidRPr="00014800">
        <w:rPr>
          <w:szCs w:val="26"/>
        </w:rPr>
        <w:t xml:space="preserve"> NERC</w:t>
      </w:r>
      <w:r w:rsidR="00DC4A32">
        <w:rPr>
          <w:szCs w:val="26"/>
        </w:rPr>
        <w:t>’s</w:t>
      </w:r>
      <w:r w:rsidR="00DC4A32" w:rsidRPr="00014800">
        <w:rPr>
          <w:szCs w:val="26"/>
        </w:rPr>
        <w:t xml:space="preserve"> </w:t>
      </w:r>
      <w:r w:rsidR="00DC4A32">
        <w:rPr>
          <w:szCs w:val="26"/>
        </w:rPr>
        <w:t xml:space="preserve">periodic </w:t>
      </w:r>
      <w:r w:rsidR="00DC4A32" w:rsidRPr="00014800">
        <w:rPr>
          <w:szCs w:val="26"/>
        </w:rPr>
        <w:t>reliability and adequacy assessments</w:t>
      </w:r>
      <w:r w:rsidR="00DC4A32">
        <w:rPr>
          <w:szCs w:val="26"/>
        </w:rPr>
        <w:t>.</w:t>
      </w:r>
    </w:p>
    <w:p w14:paraId="5ED6B51F" w14:textId="77777777" w:rsidR="00DC4A32" w:rsidRDefault="00DC4A32" w:rsidP="00DC4A32">
      <w:pPr>
        <w:ind w:firstLine="720"/>
        <w:rPr>
          <w:szCs w:val="26"/>
        </w:rPr>
      </w:pPr>
    </w:p>
    <w:p w14:paraId="6DEF54C7" w14:textId="77777777" w:rsidR="00DC4A32" w:rsidRDefault="00DC4A32" w:rsidP="00DC4A32">
      <w:pPr>
        <w:widowControl w:val="0"/>
        <w:ind w:firstLine="720"/>
      </w:pPr>
      <w:r w:rsidRPr="00DC4A32">
        <w:rPr>
          <w:szCs w:val="26"/>
        </w:rPr>
        <w:t xml:space="preserve">The Commission proposes to </w:t>
      </w:r>
      <w:r w:rsidRPr="00014800">
        <w:rPr>
          <w:szCs w:val="26"/>
        </w:rPr>
        <w:t>amend its regulations, pursuant to section 215</w:t>
      </w:r>
      <w:r>
        <w:rPr>
          <w:szCs w:val="26"/>
        </w:rPr>
        <w:t xml:space="preserve"> of the Federal Power Act (FPA), and </w:t>
      </w:r>
      <w:r>
        <w:t>locate the above proposed requirement within section</w:t>
      </w:r>
      <w:r w:rsidRPr="00A457B9">
        <w:t xml:space="preserve"> 39.11</w:t>
      </w:r>
      <w:r>
        <w:t xml:space="preserve"> of the Commission’s regulations, which governs the preparation and submission of reliability reports.</w:t>
      </w:r>
      <w:r>
        <w:rPr>
          <w:rStyle w:val="FootnoteReference"/>
        </w:rPr>
        <w:footnoteReference w:id="2"/>
      </w:r>
      <w:r>
        <w:t xml:space="preserve">  </w:t>
      </w:r>
      <w:r w:rsidRPr="00DC4A32">
        <w:rPr>
          <w:szCs w:val="26"/>
        </w:rPr>
        <w:t xml:space="preserve">Section 39.2(d) of the Commission’s regulations requires NERC and </w:t>
      </w:r>
      <w:r w:rsidRPr="00DC4A32">
        <w:rPr>
          <w:szCs w:val="26"/>
        </w:rPr>
        <w:lastRenderedPageBreak/>
        <w:t>each Regional Entity to “provide the Commission such information as is necessary to implement section 215 of the Federal Power Act.”</w:t>
      </w:r>
      <w:r w:rsidRPr="00DC4A32">
        <w:rPr>
          <w:b/>
          <w:vertAlign w:val="superscript"/>
        </w:rPr>
        <w:footnoteReference w:id="3"/>
      </w:r>
      <w:r w:rsidRPr="00DC4A32">
        <w:rPr>
          <w:szCs w:val="26"/>
        </w:rPr>
        <w:t xml:space="preserve">  Section 39.2(d) of the Commission’s regulations also requires each user, owner and operator of the Bulk-Power System within the United States (other than Alaska and Hawaii) to provide the Commission, NERC and each applicable Regional Entity with “such information as is necessary to implement</w:t>
      </w:r>
      <w:r w:rsidRPr="0010607E">
        <w:t xml:space="preserve"> section 215 of the Federal Power Act as determined by the Commission and set out in the Rules of the Electric Reliability Organization and each applicable Regional Entity.”</w:t>
      </w:r>
      <w:r w:rsidRPr="0010607E">
        <w:rPr>
          <w:rStyle w:val="FootnoteReference"/>
        </w:rPr>
        <w:footnoteReference w:id="4"/>
      </w:r>
    </w:p>
    <w:p w14:paraId="1194536D" w14:textId="77777777" w:rsidR="00DC4A32" w:rsidRDefault="00DC4A32" w:rsidP="00DC4A32">
      <w:pPr>
        <w:widowControl w:val="0"/>
        <w:ind w:firstLine="720"/>
      </w:pPr>
    </w:p>
    <w:p w14:paraId="02513D1D" w14:textId="77777777" w:rsidR="00654C15" w:rsidRDefault="00654C15" w:rsidP="00C03354">
      <w:pPr>
        <w:pStyle w:val="FERCparanumber"/>
        <w:numPr>
          <w:ilvl w:val="0"/>
          <w:numId w:val="0"/>
        </w:numPr>
        <w:autoSpaceDE w:val="0"/>
        <w:autoSpaceDN w:val="0"/>
        <w:adjustRightInd w:val="0"/>
        <w:ind w:firstLine="720"/>
        <w:rPr>
          <w:szCs w:val="26"/>
        </w:rPr>
      </w:pPr>
      <w:r>
        <w:t xml:space="preserve">NERC conducts ongoing data collections from </w:t>
      </w:r>
      <w:r>
        <w:rPr>
          <w:szCs w:val="26"/>
        </w:rPr>
        <w:t xml:space="preserve">registered entities to populate databases for </w:t>
      </w:r>
      <w:r w:rsidRPr="00417620">
        <w:rPr>
          <w:szCs w:val="26"/>
        </w:rPr>
        <w:t>transmission outage</w:t>
      </w:r>
      <w:r>
        <w:rPr>
          <w:szCs w:val="26"/>
        </w:rPr>
        <w:t>s</w:t>
      </w:r>
      <w:r w:rsidRPr="00417620">
        <w:rPr>
          <w:szCs w:val="26"/>
        </w:rPr>
        <w:t xml:space="preserve"> through TADS, generation outage</w:t>
      </w:r>
      <w:r>
        <w:rPr>
          <w:szCs w:val="26"/>
        </w:rPr>
        <w:t xml:space="preserve">s </w:t>
      </w:r>
      <w:r w:rsidRPr="00417620">
        <w:rPr>
          <w:szCs w:val="26"/>
        </w:rPr>
        <w:t xml:space="preserve">through GADS, and </w:t>
      </w:r>
      <w:r>
        <w:rPr>
          <w:szCs w:val="26"/>
        </w:rPr>
        <w:t xml:space="preserve">protection </w:t>
      </w:r>
      <w:r w:rsidRPr="00417620">
        <w:rPr>
          <w:szCs w:val="26"/>
        </w:rPr>
        <w:t xml:space="preserve">system </w:t>
      </w:r>
      <w:proofErr w:type="spellStart"/>
      <w:r w:rsidRPr="00417620">
        <w:rPr>
          <w:szCs w:val="26"/>
        </w:rPr>
        <w:t>misoperations</w:t>
      </w:r>
      <w:proofErr w:type="spellEnd"/>
      <w:r w:rsidRPr="00417620">
        <w:rPr>
          <w:szCs w:val="26"/>
        </w:rPr>
        <w:t xml:space="preserve"> through </w:t>
      </w:r>
      <w:r>
        <w:rPr>
          <w:szCs w:val="26"/>
        </w:rPr>
        <w:t xml:space="preserve">NERC’s protection system </w:t>
      </w:r>
      <w:proofErr w:type="spellStart"/>
      <w:proofErr w:type="gramStart"/>
      <w:r>
        <w:rPr>
          <w:szCs w:val="26"/>
        </w:rPr>
        <w:t>misoperations</w:t>
      </w:r>
      <w:proofErr w:type="spellEnd"/>
      <w:proofErr w:type="gramEnd"/>
      <w:r>
        <w:rPr>
          <w:szCs w:val="26"/>
        </w:rPr>
        <w:t xml:space="preserve"> database</w:t>
      </w:r>
      <w:r w:rsidRPr="00417620">
        <w:rPr>
          <w:szCs w:val="26"/>
        </w:rPr>
        <w:t xml:space="preserve">.  </w:t>
      </w:r>
      <w:r>
        <w:rPr>
          <w:szCs w:val="26"/>
        </w:rPr>
        <w:t>Each of these NERC databases is discussed below.</w:t>
      </w:r>
    </w:p>
    <w:p w14:paraId="01A24413" w14:textId="77777777" w:rsidR="00C03354" w:rsidRPr="003E2C1B" w:rsidRDefault="00C03354" w:rsidP="00C03354">
      <w:pPr>
        <w:pStyle w:val="FERCparanumber"/>
        <w:numPr>
          <w:ilvl w:val="0"/>
          <w:numId w:val="0"/>
        </w:numPr>
        <w:autoSpaceDE w:val="0"/>
        <w:autoSpaceDN w:val="0"/>
        <w:adjustRightInd w:val="0"/>
      </w:pPr>
    </w:p>
    <w:p w14:paraId="491A4BC5" w14:textId="77777777" w:rsidR="00654C15" w:rsidRPr="00CD5A56" w:rsidRDefault="00654C15" w:rsidP="00B95416">
      <w:pPr>
        <w:pStyle w:val="Heading3"/>
        <w:numPr>
          <w:ilvl w:val="2"/>
          <w:numId w:val="0"/>
        </w:numPr>
        <w:autoSpaceDE w:val="0"/>
        <w:autoSpaceDN w:val="0"/>
        <w:adjustRightInd w:val="0"/>
        <w:spacing w:before="0" w:after="260"/>
        <w:ind w:left="2160" w:hanging="720"/>
      </w:pPr>
      <w:r>
        <w:t>TADS Database</w:t>
      </w:r>
    </w:p>
    <w:p w14:paraId="10D99E41" w14:textId="69566065" w:rsidR="00C03354" w:rsidRDefault="00654C15" w:rsidP="00C03354">
      <w:pPr>
        <w:pStyle w:val="FERCparanumber"/>
        <w:numPr>
          <w:ilvl w:val="0"/>
          <w:numId w:val="0"/>
        </w:numPr>
        <w:shd w:val="clear" w:color="auto" w:fill="FFFFFF"/>
        <w:autoSpaceDE w:val="0"/>
        <w:autoSpaceDN w:val="0"/>
        <w:adjustRightInd w:val="0"/>
        <w:spacing w:before="100" w:beforeAutospacing="1" w:after="100" w:afterAutospacing="1"/>
        <w:ind w:firstLine="720"/>
        <w:rPr>
          <w:szCs w:val="26"/>
        </w:rPr>
      </w:pPr>
      <w:r w:rsidRPr="00654C15">
        <w:rPr>
          <w:szCs w:val="26"/>
        </w:rPr>
        <w:t>NERC began collecting</w:t>
      </w:r>
      <w:r w:rsidRPr="009C40B3">
        <w:rPr>
          <w:szCs w:val="26"/>
        </w:rPr>
        <w:t xml:space="preserve"> TADS data on a mandatory basis in 2007</w:t>
      </w:r>
      <w:r w:rsidR="00810A2C">
        <w:rPr>
          <w:szCs w:val="26"/>
        </w:rPr>
        <w:t xml:space="preserve">, </w:t>
      </w:r>
      <w:r w:rsidR="00810A2C" w:rsidRPr="00986DCC">
        <w:rPr>
          <w:szCs w:val="26"/>
        </w:rPr>
        <w:t xml:space="preserve">pursuant to </w:t>
      </w:r>
      <w:r w:rsidR="00810A2C">
        <w:rPr>
          <w:szCs w:val="26"/>
        </w:rPr>
        <w:t xml:space="preserve">a data request issued in accordance with </w:t>
      </w:r>
      <w:r w:rsidR="00810A2C" w:rsidRPr="00986DCC">
        <w:rPr>
          <w:szCs w:val="26"/>
        </w:rPr>
        <w:t>section 1600 of the NERC Rules of Procedure.</w:t>
      </w:r>
      <w:r w:rsidR="00810A2C">
        <w:rPr>
          <w:rStyle w:val="FootnoteReference"/>
        </w:rPr>
        <w:footnoteReference w:id="5"/>
      </w:r>
      <w:r w:rsidRPr="009C40B3">
        <w:rPr>
          <w:szCs w:val="26"/>
        </w:rPr>
        <w:t xml:space="preserve">  </w:t>
      </w:r>
      <w:r w:rsidR="009C40B3" w:rsidRPr="00654C15">
        <w:rPr>
          <w:szCs w:val="26"/>
        </w:rPr>
        <w:t>Currently</w:t>
      </w:r>
      <w:r w:rsidR="009C40B3" w:rsidRPr="009C40B3">
        <w:rPr>
          <w:szCs w:val="26"/>
        </w:rPr>
        <w:t xml:space="preserve"> </w:t>
      </w:r>
      <w:r w:rsidR="009C40B3">
        <w:rPr>
          <w:szCs w:val="26"/>
        </w:rPr>
        <w:t>a</w:t>
      </w:r>
      <w:r w:rsidRPr="009C40B3">
        <w:rPr>
          <w:szCs w:val="26"/>
        </w:rPr>
        <w:t>pplicable entities</w:t>
      </w:r>
      <w:r w:rsidR="009C40B3">
        <w:rPr>
          <w:szCs w:val="26"/>
        </w:rPr>
        <w:t xml:space="preserve"> (</w:t>
      </w:r>
      <w:r w:rsidR="009C40B3">
        <w:t>transmission owners)</w:t>
      </w:r>
      <w:r w:rsidRPr="009C40B3">
        <w:rPr>
          <w:szCs w:val="26"/>
        </w:rPr>
        <w:t xml:space="preserve"> are required to provide certain data for the on-line TADS database based on a common template</w:t>
      </w:r>
      <w:r>
        <w:rPr>
          <w:rStyle w:val="FootnoteReference"/>
        </w:rPr>
        <w:footnoteReference w:id="6"/>
      </w:r>
      <w:r w:rsidR="009C40B3">
        <w:rPr>
          <w:szCs w:val="26"/>
        </w:rPr>
        <w:t xml:space="preserve"> each quarter.  T</w:t>
      </w:r>
      <w:r w:rsidRPr="00654C15">
        <w:rPr>
          <w:szCs w:val="26"/>
        </w:rPr>
        <w:t xml:space="preserve">he </w:t>
      </w:r>
      <w:r w:rsidRPr="009C40B3">
        <w:rPr>
          <w:color w:val="000000"/>
          <w:szCs w:val="26"/>
        </w:rPr>
        <w:t xml:space="preserve">TADS database compiles transmission outage data in a common format for:  (1) bulk electric system AC circuits (overhead and underground); (2) transmission transformers (except generator step-up units); (3) bulk electric system AC/DC back-to-back converters; and </w:t>
      </w:r>
      <w:r w:rsidRPr="009C40B3">
        <w:rPr>
          <w:color w:val="000000"/>
          <w:szCs w:val="26"/>
        </w:rPr>
        <w:lastRenderedPageBreak/>
        <w:t>(4) bulk electric system DC circuits.</w:t>
      </w:r>
      <w:r>
        <w:rPr>
          <w:rStyle w:val="FootnoteReference"/>
          <w:color w:val="000000"/>
        </w:rPr>
        <w:footnoteReference w:id="7"/>
      </w:r>
      <w:r w:rsidRPr="00654C15">
        <w:rPr>
          <w:color w:val="000000"/>
          <w:szCs w:val="26"/>
        </w:rPr>
        <w:t xml:space="preserve">  </w:t>
      </w:r>
      <w:r w:rsidRPr="00654C15">
        <w:rPr>
          <w:szCs w:val="26"/>
        </w:rPr>
        <w:t xml:space="preserve">The TADS </w:t>
      </w:r>
      <w:r w:rsidRPr="009C40B3">
        <w:rPr>
          <w:szCs w:val="26"/>
        </w:rPr>
        <w:t>data collection template includes the following information fields:  (1) type of facilities, (2) outage start time and duration, (3) event type, (4) initiating cause code, and (5) sustained cause code (for sustained outages).</w:t>
      </w:r>
      <w:r>
        <w:rPr>
          <w:rStyle w:val="FootnoteReference"/>
        </w:rPr>
        <w:footnoteReference w:id="8"/>
      </w:r>
      <w:r w:rsidRPr="00654C15">
        <w:rPr>
          <w:szCs w:val="26"/>
        </w:rPr>
        <w:t xml:space="preserve">  “Cause codes” for common causes of transmission outages</w:t>
      </w:r>
      <w:r w:rsidRPr="009C40B3">
        <w:rPr>
          <w:szCs w:val="26"/>
        </w:rPr>
        <w:t xml:space="preserve"> include:  (1) lightning, (2) fire, (3) vandalism, (4) failed equipment (with multiple sub-listings), (5) vegetation, and (6) “unknown</w:t>
      </w:r>
      <w:r w:rsidRPr="00B95416">
        <w:rPr>
          <w:szCs w:val="26"/>
        </w:rPr>
        <w:t>.”</w:t>
      </w:r>
      <w:r>
        <w:rPr>
          <w:rStyle w:val="FootnoteReference"/>
        </w:rPr>
        <w:footnoteReference w:id="9"/>
      </w:r>
      <w:r w:rsidRPr="00654C15">
        <w:rPr>
          <w:szCs w:val="26"/>
        </w:rPr>
        <w:t xml:space="preserve">  There were 10,787 TADS events between 2012 and 2014.</w:t>
      </w:r>
      <w:r>
        <w:rPr>
          <w:rStyle w:val="FootnoteReference"/>
        </w:rPr>
        <w:footnoteReference w:id="10"/>
      </w:r>
      <w:r w:rsidRPr="00654C15">
        <w:rPr>
          <w:szCs w:val="26"/>
        </w:rPr>
        <w:t xml:space="preserve">  </w:t>
      </w:r>
    </w:p>
    <w:p w14:paraId="0798D43F" w14:textId="77777777" w:rsidR="00654C15" w:rsidRPr="00293B9E" w:rsidRDefault="00654C15" w:rsidP="00C03354">
      <w:pPr>
        <w:pStyle w:val="FERCparanumber"/>
        <w:numPr>
          <w:ilvl w:val="0"/>
          <w:numId w:val="0"/>
        </w:numPr>
        <w:shd w:val="clear" w:color="auto" w:fill="FFFFFF"/>
        <w:autoSpaceDE w:val="0"/>
        <w:autoSpaceDN w:val="0"/>
        <w:adjustRightInd w:val="0"/>
        <w:spacing w:before="100" w:beforeAutospacing="1" w:after="100" w:afterAutospacing="1"/>
        <w:ind w:firstLine="720"/>
      </w:pPr>
      <w:r w:rsidRPr="00654C15">
        <w:rPr>
          <w:color w:val="000000"/>
          <w:shd w:val="clear" w:color="auto" w:fill="FFFFFF"/>
        </w:rPr>
        <w:t xml:space="preserve">NERC uses TADS data to </w:t>
      </w:r>
      <w:r w:rsidRPr="009C40B3">
        <w:rPr>
          <w:color w:val="000000"/>
          <w:shd w:val="clear" w:color="auto" w:fill="FFFFFF"/>
        </w:rPr>
        <w:t>develop transmission metrics to analyze outage frequency, duration, causes, and other factors related to transmission outages.</w:t>
      </w:r>
      <w:r>
        <w:rPr>
          <w:rStyle w:val="FootnoteReference"/>
          <w:color w:val="000000"/>
          <w:shd w:val="clear" w:color="auto" w:fill="FFFFFF"/>
        </w:rPr>
        <w:footnoteReference w:id="11"/>
      </w:r>
      <w:r w:rsidRPr="00654C15">
        <w:rPr>
          <w:color w:val="000000"/>
          <w:shd w:val="clear" w:color="auto" w:fill="FFFFFF"/>
        </w:rPr>
        <w:t xml:space="preserve">  NERC also provides individual transmission owners with TADS metrics for their facilities.</w:t>
      </w:r>
      <w:r>
        <w:rPr>
          <w:rStyle w:val="FootnoteReference"/>
          <w:color w:val="000000"/>
          <w:shd w:val="clear" w:color="auto" w:fill="FFFFFF"/>
        </w:rPr>
        <w:footnoteReference w:id="12"/>
      </w:r>
      <w:r w:rsidRPr="00654C15">
        <w:rPr>
          <w:color w:val="000000"/>
          <w:shd w:val="clear" w:color="auto" w:fill="FFFFFF"/>
        </w:rPr>
        <w:t xml:space="preserve">  NERC issues an annual public report based on TADS data that </w:t>
      </w:r>
      <w:r w:rsidRPr="009C40B3">
        <w:rPr>
          <w:color w:val="000000"/>
          <w:shd w:val="clear" w:color="auto" w:fill="FFFFFF"/>
        </w:rPr>
        <w:t>shows aggregate metrics for each NERC Region, with the underlying data typically accorded confidential treatment.</w:t>
      </w:r>
      <w:r>
        <w:rPr>
          <w:rStyle w:val="FootnoteReference"/>
          <w:color w:val="000000"/>
          <w:shd w:val="clear" w:color="auto" w:fill="FFFFFF"/>
        </w:rPr>
        <w:footnoteReference w:id="13"/>
      </w:r>
    </w:p>
    <w:p w14:paraId="0D1323F2" w14:textId="77777777" w:rsidR="00654C15" w:rsidRPr="00CD5A56" w:rsidRDefault="00654C15" w:rsidP="00B95416">
      <w:pPr>
        <w:pStyle w:val="Heading3"/>
        <w:numPr>
          <w:ilvl w:val="2"/>
          <w:numId w:val="0"/>
        </w:numPr>
        <w:autoSpaceDE w:val="0"/>
        <w:autoSpaceDN w:val="0"/>
        <w:adjustRightInd w:val="0"/>
        <w:spacing w:before="0" w:after="260"/>
        <w:ind w:left="1440"/>
      </w:pPr>
      <w:r>
        <w:lastRenderedPageBreak/>
        <w:t>GADS Database</w:t>
      </w:r>
    </w:p>
    <w:p w14:paraId="3256B117" w14:textId="31BCF076" w:rsidR="00B95416" w:rsidRDefault="00654C15" w:rsidP="00C03354">
      <w:pPr>
        <w:pStyle w:val="FERCparanumber"/>
        <w:numPr>
          <w:ilvl w:val="0"/>
          <w:numId w:val="0"/>
        </w:numPr>
        <w:autoSpaceDE w:val="0"/>
        <w:autoSpaceDN w:val="0"/>
        <w:adjustRightInd w:val="0"/>
        <w:ind w:firstLine="720"/>
        <w:rPr>
          <w:szCs w:val="26"/>
        </w:rPr>
      </w:pPr>
      <w:r>
        <w:rPr>
          <w:szCs w:val="26"/>
        </w:rPr>
        <w:t>The collection of GADS data</w:t>
      </w:r>
      <w:r w:rsidRPr="00417620">
        <w:rPr>
          <w:szCs w:val="26"/>
        </w:rPr>
        <w:t xml:space="preserve"> has been mandatory since 2012</w:t>
      </w:r>
      <w:r w:rsidR="00810A2C">
        <w:rPr>
          <w:szCs w:val="26"/>
        </w:rPr>
        <w:t xml:space="preserve">, pursuant to a data request issued in accordance with </w:t>
      </w:r>
      <w:r w:rsidR="00810A2C" w:rsidRPr="00986DCC">
        <w:rPr>
          <w:szCs w:val="26"/>
        </w:rPr>
        <w:t>section 1600 of the NERC Rules of Procedure</w:t>
      </w:r>
      <w:r w:rsidR="00810A2C" w:rsidRPr="00417620">
        <w:rPr>
          <w:szCs w:val="26"/>
        </w:rPr>
        <w:t>.</w:t>
      </w:r>
      <w:r w:rsidR="00810A2C">
        <w:rPr>
          <w:rStyle w:val="FootnoteReference"/>
        </w:rPr>
        <w:footnoteReference w:id="14"/>
      </w:r>
      <w:r>
        <w:rPr>
          <w:szCs w:val="26"/>
        </w:rPr>
        <w:t xml:space="preserve">  </w:t>
      </w:r>
      <w:r w:rsidR="009C40B3" w:rsidRPr="00654C15">
        <w:rPr>
          <w:szCs w:val="26"/>
        </w:rPr>
        <w:t>Currently</w:t>
      </w:r>
      <w:r w:rsidR="009C40B3" w:rsidRPr="009C40B3">
        <w:rPr>
          <w:szCs w:val="26"/>
        </w:rPr>
        <w:t xml:space="preserve"> </w:t>
      </w:r>
      <w:r w:rsidR="009C40B3">
        <w:rPr>
          <w:szCs w:val="26"/>
        </w:rPr>
        <w:t>a</w:t>
      </w:r>
      <w:r w:rsidR="009C40B3" w:rsidRPr="009C40B3">
        <w:rPr>
          <w:szCs w:val="26"/>
        </w:rPr>
        <w:t xml:space="preserve">pplicable entities </w:t>
      </w:r>
      <w:r w:rsidR="009C40B3">
        <w:rPr>
          <w:szCs w:val="26"/>
        </w:rPr>
        <w:t>(</w:t>
      </w:r>
      <w:r w:rsidR="009C40B3">
        <w:t>g</w:t>
      </w:r>
      <w:r w:rsidR="009C40B3" w:rsidRPr="00C7384D">
        <w:t>enera</w:t>
      </w:r>
      <w:r w:rsidR="009C40B3">
        <w:t xml:space="preserve">tor owners) </w:t>
      </w:r>
      <w:r w:rsidR="009C40B3" w:rsidRPr="009C40B3">
        <w:rPr>
          <w:szCs w:val="26"/>
        </w:rPr>
        <w:t xml:space="preserve">are required to provide certain data for the on-line </w:t>
      </w:r>
      <w:r w:rsidR="009C40B3">
        <w:rPr>
          <w:szCs w:val="26"/>
        </w:rPr>
        <w:t>G</w:t>
      </w:r>
      <w:r w:rsidR="009C40B3" w:rsidRPr="009C40B3">
        <w:rPr>
          <w:szCs w:val="26"/>
        </w:rPr>
        <w:t>ADS database based on a common template</w:t>
      </w:r>
      <w:r w:rsidR="009C40B3">
        <w:rPr>
          <w:rStyle w:val="FootnoteReference"/>
        </w:rPr>
        <w:footnoteReference w:id="15"/>
      </w:r>
      <w:r w:rsidR="009C40B3">
        <w:rPr>
          <w:szCs w:val="26"/>
        </w:rPr>
        <w:t xml:space="preserve"> each quarter.  </w:t>
      </w:r>
      <w:r w:rsidRPr="00D33D26">
        <w:rPr>
          <w:szCs w:val="26"/>
        </w:rPr>
        <w:t xml:space="preserve">The GADS </w:t>
      </w:r>
      <w:r>
        <w:rPr>
          <w:szCs w:val="26"/>
        </w:rPr>
        <w:t>database</w:t>
      </w:r>
      <w:r w:rsidRPr="00417620">
        <w:rPr>
          <w:szCs w:val="26"/>
        </w:rPr>
        <w:t xml:space="preserve"> collects, records, and retrieves operating information on power plant availability, including event, performance, and design data.</w:t>
      </w:r>
      <w:r>
        <w:rPr>
          <w:rStyle w:val="FootnoteReference"/>
        </w:rPr>
        <w:footnoteReference w:id="16"/>
      </w:r>
      <w:r w:rsidRPr="00417620">
        <w:rPr>
          <w:szCs w:val="26"/>
        </w:rPr>
        <w:t xml:space="preserve">  </w:t>
      </w:r>
    </w:p>
    <w:p w14:paraId="42D47F58" w14:textId="77777777" w:rsidR="00C03354" w:rsidRDefault="00C03354" w:rsidP="00C03354">
      <w:pPr>
        <w:pStyle w:val="FERCparanumber"/>
        <w:numPr>
          <w:ilvl w:val="0"/>
          <w:numId w:val="0"/>
        </w:numPr>
        <w:autoSpaceDE w:val="0"/>
        <w:autoSpaceDN w:val="0"/>
        <w:adjustRightInd w:val="0"/>
        <w:rPr>
          <w:szCs w:val="26"/>
        </w:rPr>
      </w:pPr>
    </w:p>
    <w:p w14:paraId="6D263173" w14:textId="77777777" w:rsidR="00B95416" w:rsidRDefault="009C40B3" w:rsidP="00C03354">
      <w:pPr>
        <w:pStyle w:val="FERCparanumber"/>
        <w:numPr>
          <w:ilvl w:val="0"/>
          <w:numId w:val="0"/>
        </w:numPr>
        <w:autoSpaceDE w:val="0"/>
        <w:autoSpaceDN w:val="0"/>
        <w:adjustRightInd w:val="0"/>
        <w:ind w:firstLine="720"/>
        <w:rPr>
          <w:szCs w:val="26"/>
        </w:rPr>
      </w:pPr>
      <w:r>
        <w:rPr>
          <w:szCs w:val="26"/>
        </w:rPr>
        <w:t>Specifically, the</w:t>
      </w:r>
      <w:r w:rsidR="00654C15" w:rsidRPr="009C40B3">
        <w:rPr>
          <w:szCs w:val="26"/>
        </w:rPr>
        <w:t xml:space="preserve"> GADS</w:t>
      </w:r>
      <w:r w:rsidR="00654C15" w:rsidRPr="009C40B3">
        <w:rPr>
          <w:color w:val="000000"/>
          <w:szCs w:val="26"/>
        </w:rPr>
        <w:t xml:space="preserve"> </w:t>
      </w:r>
      <w:r>
        <w:rPr>
          <w:color w:val="000000"/>
          <w:szCs w:val="26"/>
        </w:rPr>
        <w:t xml:space="preserve">database </w:t>
      </w:r>
      <w:r w:rsidR="00654C15" w:rsidRPr="009C40B3">
        <w:rPr>
          <w:color w:val="000000"/>
          <w:szCs w:val="26"/>
        </w:rPr>
        <w:t xml:space="preserve">collects outage data pertaining to </w:t>
      </w:r>
      <w:r w:rsidR="00654C15">
        <w:t>ten types of conventional generating units with capacity of 20 MW and larger, including:  (1) f</w:t>
      </w:r>
      <w:r w:rsidR="00654C15" w:rsidRPr="009C40B3">
        <w:rPr>
          <w:color w:val="000000"/>
          <w:szCs w:val="26"/>
        </w:rPr>
        <w:t xml:space="preserve">ossil steam including fluidized bed design; (2) nuclear; (3) gas turbines/jet engines; (4) internal combustion engines (diesel engines); (5) hydro units/pumped storage; (6) combined cycle blocks and their related components; (7) cogeneration blocks and their related components; (8) multi-boiler/multi-turbine units; (9) geothermal units; and (10) </w:t>
      </w:r>
      <w:r w:rsidR="00654C15">
        <w:t>other miscellaneous conventional generating units (e.g.,  biomass, landfill gases)</w:t>
      </w:r>
      <w:r w:rsidR="00654C15" w:rsidRPr="009C40B3">
        <w:rPr>
          <w:color w:val="000000"/>
          <w:szCs w:val="26"/>
        </w:rPr>
        <w:t>.</w:t>
      </w:r>
      <w:r w:rsidR="00654C15">
        <w:rPr>
          <w:rStyle w:val="FootnoteReference"/>
          <w:color w:val="000000"/>
        </w:rPr>
        <w:footnoteReference w:id="17"/>
      </w:r>
      <w:r w:rsidR="00654C15" w:rsidRPr="009C40B3">
        <w:rPr>
          <w:color w:val="000000"/>
          <w:szCs w:val="26"/>
        </w:rPr>
        <w:t xml:space="preserve"> </w:t>
      </w:r>
      <w:r w:rsidR="00654C15" w:rsidRPr="009C40B3">
        <w:rPr>
          <w:szCs w:val="26"/>
        </w:rPr>
        <w:t xml:space="preserve"> The GADS data collection template includes the following d</w:t>
      </w:r>
      <w:r w:rsidR="00654C15">
        <w:t>esign, event, and performance information:  (1) design records, (2) event records and (3) performance records.</w:t>
      </w:r>
      <w:r w:rsidR="00654C15">
        <w:rPr>
          <w:rStyle w:val="FootnoteReference"/>
        </w:rPr>
        <w:footnoteReference w:id="18"/>
      </w:r>
      <w:r w:rsidR="00654C15" w:rsidRPr="009C40B3">
        <w:rPr>
          <w:szCs w:val="26"/>
        </w:rPr>
        <w:t xml:space="preserve">  </w:t>
      </w:r>
      <w:r w:rsidR="00654C15">
        <w:t xml:space="preserve">Design records refer to the characteristics of each unit such as GADS utility code, GADS unit code, NERC Regional Entity where the unit is located, name of the unit, commercial </w:t>
      </w:r>
      <w:r w:rsidR="00654C15">
        <w:lastRenderedPageBreak/>
        <w:t>operating date, and type of generating unit (fossil, combined cycle, etc.).</w:t>
      </w:r>
      <w:r w:rsidR="00654C15">
        <w:rPr>
          <w:rStyle w:val="FootnoteReference"/>
        </w:rPr>
        <w:footnoteReference w:id="19"/>
      </w:r>
      <w:r w:rsidR="00654C15" w:rsidRPr="009C40B3">
        <w:rPr>
          <w:szCs w:val="26"/>
        </w:rPr>
        <w:t xml:space="preserve">  </w:t>
      </w:r>
      <w:r w:rsidR="00654C15">
        <w:t>Event records include information about when and to what extent the generating unit could not generate power.</w:t>
      </w:r>
      <w:r w:rsidR="00654C15">
        <w:rPr>
          <w:rStyle w:val="FootnoteReference"/>
        </w:rPr>
        <w:footnoteReference w:id="20"/>
      </w:r>
      <w:r w:rsidR="00654C15">
        <w:t xml:space="preserve">  Performance records refer to monthly generation, unit</w:t>
      </w:r>
      <w:r w:rsidR="00654C15" w:rsidRPr="009C40B3">
        <w:rPr>
          <w:rFonts w:ascii="Cambria Math" w:hAnsi="Cambria Math" w:cs="Cambria Math"/>
        </w:rPr>
        <w:t>‐</w:t>
      </w:r>
      <w:r w:rsidR="00654C15">
        <w:t>attempted starts, actual starts, summary event outage information, and fuels.</w:t>
      </w:r>
      <w:r w:rsidR="00654C15">
        <w:rPr>
          <w:rStyle w:val="FootnoteReference"/>
        </w:rPr>
        <w:footnoteReference w:id="21"/>
      </w:r>
      <w:r w:rsidR="00654C15">
        <w:t xml:space="preserve">  </w:t>
      </w:r>
      <w:r w:rsidR="00654C15" w:rsidRPr="009C40B3">
        <w:rPr>
          <w:szCs w:val="26"/>
        </w:rPr>
        <w:t>For 2011-2013, the GADS database contains data from more than 5,000 units.</w:t>
      </w:r>
      <w:r w:rsidR="00654C15">
        <w:rPr>
          <w:rStyle w:val="FootnoteReference"/>
        </w:rPr>
        <w:footnoteReference w:id="22"/>
      </w:r>
      <w:r w:rsidR="00654C15" w:rsidRPr="009C40B3">
        <w:rPr>
          <w:szCs w:val="26"/>
        </w:rPr>
        <w:t xml:space="preserve">  </w:t>
      </w:r>
    </w:p>
    <w:p w14:paraId="6D440ADA" w14:textId="77777777" w:rsidR="00B95416" w:rsidRDefault="00B95416" w:rsidP="00C03354">
      <w:pPr>
        <w:pStyle w:val="FERCparanumber"/>
        <w:numPr>
          <w:ilvl w:val="0"/>
          <w:numId w:val="0"/>
        </w:numPr>
        <w:autoSpaceDE w:val="0"/>
        <w:autoSpaceDN w:val="0"/>
        <w:adjustRightInd w:val="0"/>
        <w:rPr>
          <w:szCs w:val="26"/>
        </w:rPr>
      </w:pPr>
    </w:p>
    <w:p w14:paraId="6661339F" w14:textId="77777777" w:rsidR="00654C15" w:rsidRDefault="00654C15" w:rsidP="00C03354">
      <w:pPr>
        <w:pStyle w:val="FERCparanumber"/>
        <w:numPr>
          <w:ilvl w:val="0"/>
          <w:numId w:val="0"/>
        </w:numPr>
        <w:autoSpaceDE w:val="0"/>
        <w:autoSpaceDN w:val="0"/>
        <w:adjustRightInd w:val="0"/>
        <w:ind w:firstLine="720"/>
        <w:rPr>
          <w:color w:val="000000"/>
          <w:shd w:val="clear" w:color="auto" w:fill="FFFFFF"/>
        </w:rPr>
      </w:pPr>
      <w:r w:rsidRPr="009C40B3">
        <w:rPr>
          <w:color w:val="000000"/>
          <w:shd w:val="clear" w:color="auto" w:fill="FFFFFF"/>
        </w:rPr>
        <w:t xml:space="preserve">NERC uses GADS data to </w:t>
      </w:r>
      <w:r>
        <w:t>measure generation reliability and publishes</w:t>
      </w:r>
      <w:r w:rsidRPr="009C40B3">
        <w:rPr>
          <w:color w:val="000000"/>
          <w:shd w:val="clear" w:color="auto" w:fill="FFFFFF"/>
        </w:rPr>
        <w:t xml:space="preserve"> aggregate performance metrics for each NERC Region </w:t>
      </w:r>
      <w:r>
        <w:t>in publicly available annual state of reliability and reliability assessment reports.</w:t>
      </w:r>
      <w:r>
        <w:rPr>
          <w:rStyle w:val="FootnoteReference"/>
        </w:rPr>
        <w:footnoteReference w:id="23"/>
      </w:r>
      <w:r>
        <w:t xml:space="preserve">  </w:t>
      </w:r>
      <w:r w:rsidRPr="009C40B3">
        <w:rPr>
          <w:color w:val="000000"/>
          <w:shd w:val="clear" w:color="auto" w:fill="FFFFFF"/>
        </w:rPr>
        <w:t>The underlying data are typically accorded confidential treatment.</w:t>
      </w:r>
    </w:p>
    <w:p w14:paraId="3A06404A" w14:textId="77777777" w:rsidR="00B95416" w:rsidRPr="00B74A22" w:rsidRDefault="00B95416" w:rsidP="00C03354">
      <w:pPr>
        <w:pStyle w:val="FERCparanumber"/>
        <w:numPr>
          <w:ilvl w:val="0"/>
          <w:numId w:val="0"/>
        </w:numPr>
        <w:autoSpaceDE w:val="0"/>
        <w:autoSpaceDN w:val="0"/>
        <w:adjustRightInd w:val="0"/>
      </w:pPr>
    </w:p>
    <w:p w14:paraId="1CDD3572" w14:textId="77777777" w:rsidR="00654C15" w:rsidRPr="00CD5A56" w:rsidRDefault="00654C15" w:rsidP="00B95416">
      <w:pPr>
        <w:pStyle w:val="Heading3"/>
        <w:numPr>
          <w:ilvl w:val="2"/>
          <w:numId w:val="0"/>
        </w:numPr>
        <w:autoSpaceDE w:val="0"/>
        <w:autoSpaceDN w:val="0"/>
        <w:adjustRightInd w:val="0"/>
        <w:spacing w:before="0" w:after="260"/>
        <w:ind w:left="1440"/>
      </w:pPr>
      <w:r w:rsidRPr="00C7384D">
        <w:t xml:space="preserve">Protection System </w:t>
      </w:r>
      <w:proofErr w:type="spellStart"/>
      <w:r w:rsidRPr="00C7384D">
        <w:t>Misoperations</w:t>
      </w:r>
      <w:proofErr w:type="spellEnd"/>
      <w:r w:rsidRPr="00C7384D">
        <w:t xml:space="preserve"> </w:t>
      </w:r>
      <w:r>
        <w:t>Database</w:t>
      </w:r>
    </w:p>
    <w:p w14:paraId="6D5812BB" w14:textId="77777777" w:rsidR="00962399" w:rsidRDefault="00654C15" w:rsidP="00C03354">
      <w:pPr>
        <w:pStyle w:val="FERCparanumber"/>
        <w:widowControl w:val="0"/>
        <w:numPr>
          <w:ilvl w:val="0"/>
          <w:numId w:val="0"/>
        </w:numPr>
        <w:autoSpaceDE w:val="0"/>
        <w:autoSpaceDN w:val="0"/>
        <w:adjustRightInd w:val="0"/>
        <w:ind w:firstLine="720"/>
        <w:rPr>
          <w:szCs w:val="26"/>
        </w:rPr>
      </w:pPr>
      <w:r>
        <w:t>Protection s</w:t>
      </w:r>
      <w:r w:rsidRPr="00C7384D">
        <w:t>ystem</w:t>
      </w:r>
      <w:r>
        <w:t xml:space="preserve"> </w:t>
      </w:r>
      <w:proofErr w:type="spellStart"/>
      <w:proofErr w:type="gramStart"/>
      <w:r>
        <w:t>misoperations</w:t>
      </w:r>
      <w:proofErr w:type="spellEnd"/>
      <w:proofErr w:type="gramEnd"/>
      <w:r>
        <w:t xml:space="preserve"> data have been reported by transmission owners, g</w:t>
      </w:r>
      <w:r w:rsidRPr="00C7384D">
        <w:t>enera</w:t>
      </w:r>
      <w:r>
        <w:t>tor o</w:t>
      </w:r>
      <w:r w:rsidRPr="00C7384D">
        <w:t xml:space="preserve">wners </w:t>
      </w:r>
      <w:r>
        <w:t>and distribution providers on a mandatory basis since 2011 pursuant to Reliability Standard PRC-004</w:t>
      </w:r>
      <w:r w:rsidRPr="00C7384D">
        <w:t>.</w:t>
      </w:r>
      <w:r w:rsidRPr="0010607E">
        <w:rPr>
          <w:rStyle w:val="FootnoteReference"/>
        </w:rPr>
        <w:footnoteReference w:id="24"/>
      </w:r>
      <w:r>
        <w:t xml:space="preserve">  Following implementation of Reliability Standard PRC-</w:t>
      </w:r>
      <w:r>
        <w:lastRenderedPageBreak/>
        <w:t xml:space="preserve">004-4, the obligation to report </w:t>
      </w:r>
      <w:proofErr w:type="spellStart"/>
      <w:r>
        <w:t>misoperation</w:t>
      </w:r>
      <w:proofErr w:type="spellEnd"/>
      <w:r>
        <w:t xml:space="preserve"> data will be made mandatory</w:t>
      </w:r>
      <w:r w:rsidR="009C40B3">
        <w:t xml:space="preserve"> via an</w:t>
      </w:r>
      <w:r w:rsidR="009C40B3" w:rsidRPr="009C40B3">
        <w:rPr>
          <w:szCs w:val="26"/>
        </w:rPr>
        <w:t xml:space="preserve"> on-line database</w:t>
      </w:r>
      <w:r w:rsidR="009C40B3" w:rsidRPr="00B95416">
        <w:rPr>
          <w:szCs w:val="26"/>
        </w:rPr>
        <w:t xml:space="preserve"> based on a common template</w:t>
      </w:r>
      <w:r w:rsidR="009C40B3">
        <w:rPr>
          <w:rStyle w:val="FootnoteReference"/>
        </w:rPr>
        <w:footnoteReference w:id="25"/>
      </w:r>
      <w:r w:rsidR="009C40B3" w:rsidRPr="009C40B3">
        <w:rPr>
          <w:szCs w:val="26"/>
        </w:rPr>
        <w:t xml:space="preserve"> each quart</w:t>
      </w:r>
      <w:r w:rsidR="009C40B3" w:rsidRPr="00B95416">
        <w:rPr>
          <w:szCs w:val="26"/>
        </w:rPr>
        <w:t xml:space="preserve">er.  </w:t>
      </w:r>
      <w:r>
        <w:t xml:space="preserve"> </w:t>
      </w:r>
      <w:r w:rsidRPr="009C40B3">
        <w:rPr>
          <w:szCs w:val="26"/>
        </w:rPr>
        <w:t>Currently, the p</w:t>
      </w:r>
      <w:r>
        <w:t xml:space="preserve">rotection system </w:t>
      </w:r>
      <w:proofErr w:type="spellStart"/>
      <w:r>
        <w:t>m</w:t>
      </w:r>
      <w:r w:rsidRPr="00C7384D">
        <w:t>isoperations</w:t>
      </w:r>
      <w:proofErr w:type="spellEnd"/>
      <w:r w:rsidRPr="00C7384D">
        <w:t xml:space="preserve"> </w:t>
      </w:r>
      <w:r>
        <w:t xml:space="preserve">database </w:t>
      </w:r>
      <w:r w:rsidRPr="009C40B3">
        <w:rPr>
          <w:color w:val="000000"/>
          <w:szCs w:val="26"/>
        </w:rPr>
        <w:t xml:space="preserve">collects more than 20 fields for a reportable </w:t>
      </w:r>
      <w:proofErr w:type="spellStart"/>
      <w:r w:rsidRPr="009C40B3">
        <w:rPr>
          <w:color w:val="000000"/>
          <w:szCs w:val="26"/>
        </w:rPr>
        <w:t>m</w:t>
      </w:r>
      <w:r>
        <w:t>isoperation</w:t>
      </w:r>
      <w:proofErr w:type="spellEnd"/>
      <w:r>
        <w:t xml:space="preserve"> event, including:  (1) </w:t>
      </w:r>
      <w:proofErr w:type="spellStart"/>
      <w:r>
        <w:t>misoperation</w:t>
      </w:r>
      <w:proofErr w:type="spellEnd"/>
      <w:r>
        <w:t xml:space="preserve"> date; (2) event description; (3) protection systems/components that </w:t>
      </w:r>
      <w:proofErr w:type="spellStart"/>
      <w:r>
        <w:t>misoperated</w:t>
      </w:r>
      <w:proofErr w:type="spellEnd"/>
      <w:r>
        <w:t xml:space="preserve">; (4) equipment removed from service (permanently or temporarily) as the result of the </w:t>
      </w:r>
      <w:proofErr w:type="spellStart"/>
      <w:r>
        <w:t>misoperation</w:t>
      </w:r>
      <w:proofErr w:type="spellEnd"/>
      <w:r>
        <w:t xml:space="preserve">; (5) </w:t>
      </w:r>
      <w:proofErr w:type="spellStart"/>
      <w:r>
        <w:t>misoperation</w:t>
      </w:r>
      <w:proofErr w:type="spellEnd"/>
      <w:r>
        <w:t xml:space="preserve"> category; and (6) cause(s) of </w:t>
      </w:r>
      <w:proofErr w:type="spellStart"/>
      <w:r>
        <w:t>misoperation</w:t>
      </w:r>
      <w:proofErr w:type="spellEnd"/>
      <w:r>
        <w:t>.</w:t>
      </w:r>
      <w:r>
        <w:rPr>
          <w:rStyle w:val="FootnoteReference"/>
        </w:rPr>
        <w:footnoteReference w:id="26"/>
      </w:r>
      <w:r>
        <w:t xml:space="preserve">  For 2014, t</w:t>
      </w:r>
      <w:r w:rsidRPr="009C40B3">
        <w:rPr>
          <w:szCs w:val="26"/>
        </w:rPr>
        <w:t xml:space="preserve">he protection system </w:t>
      </w:r>
      <w:proofErr w:type="spellStart"/>
      <w:proofErr w:type="gramStart"/>
      <w:r w:rsidRPr="009C40B3">
        <w:rPr>
          <w:szCs w:val="26"/>
        </w:rPr>
        <w:t>misoperations</w:t>
      </w:r>
      <w:proofErr w:type="spellEnd"/>
      <w:proofErr w:type="gramEnd"/>
      <w:r w:rsidRPr="009C40B3">
        <w:rPr>
          <w:szCs w:val="26"/>
        </w:rPr>
        <w:t xml:space="preserve"> database contains information on approximately</w:t>
      </w:r>
      <w:r w:rsidRPr="00B95416">
        <w:rPr>
          <w:szCs w:val="26"/>
        </w:rPr>
        <w:t xml:space="preserve"> 2,000 </w:t>
      </w:r>
      <w:proofErr w:type="spellStart"/>
      <w:r w:rsidRPr="00B95416">
        <w:rPr>
          <w:szCs w:val="26"/>
        </w:rPr>
        <w:t>misoperation</w:t>
      </w:r>
      <w:proofErr w:type="spellEnd"/>
      <w:r w:rsidRPr="00B95416">
        <w:rPr>
          <w:szCs w:val="26"/>
        </w:rPr>
        <w:t xml:space="preserve"> events.</w:t>
      </w:r>
      <w:r>
        <w:rPr>
          <w:rStyle w:val="FootnoteReference"/>
        </w:rPr>
        <w:footnoteReference w:id="27"/>
      </w:r>
      <w:r w:rsidRPr="009C40B3">
        <w:rPr>
          <w:szCs w:val="26"/>
        </w:rPr>
        <w:t xml:space="preserve">  </w:t>
      </w:r>
    </w:p>
    <w:p w14:paraId="66D3723D" w14:textId="77777777" w:rsidR="00962399" w:rsidRDefault="00962399" w:rsidP="00C03354">
      <w:pPr>
        <w:pStyle w:val="FERCparanumber"/>
        <w:widowControl w:val="0"/>
        <w:numPr>
          <w:ilvl w:val="0"/>
          <w:numId w:val="0"/>
        </w:numPr>
        <w:autoSpaceDE w:val="0"/>
        <w:autoSpaceDN w:val="0"/>
        <w:adjustRightInd w:val="0"/>
        <w:ind w:firstLine="720"/>
        <w:rPr>
          <w:szCs w:val="26"/>
        </w:rPr>
      </w:pPr>
    </w:p>
    <w:p w14:paraId="58D273FD" w14:textId="77777777" w:rsidR="00654C15" w:rsidRDefault="00654C15" w:rsidP="00C03354">
      <w:pPr>
        <w:pStyle w:val="FERCparanumber"/>
        <w:widowControl w:val="0"/>
        <w:numPr>
          <w:ilvl w:val="0"/>
          <w:numId w:val="0"/>
        </w:numPr>
        <w:autoSpaceDE w:val="0"/>
        <w:autoSpaceDN w:val="0"/>
        <w:adjustRightInd w:val="0"/>
        <w:ind w:firstLine="720"/>
        <w:rPr>
          <w:color w:val="000000"/>
          <w:shd w:val="clear" w:color="auto" w:fill="FFFFFF"/>
        </w:rPr>
      </w:pPr>
      <w:r>
        <w:t xml:space="preserve">Protection system </w:t>
      </w:r>
      <w:proofErr w:type="spellStart"/>
      <w:r>
        <w:t>misoperations</w:t>
      </w:r>
      <w:proofErr w:type="spellEnd"/>
      <w:r>
        <w:t xml:space="preserve"> have exacerbated the severity of most cascading power outages, having played a significant role in the August 14, 2003 Northeast blackout, for example.</w:t>
      </w:r>
      <w:r>
        <w:rPr>
          <w:rStyle w:val="FootnoteReference"/>
        </w:rPr>
        <w:footnoteReference w:id="28"/>
      </w:r>
      <w:r>
        <w:t xml:space="preserve">  NERC uses protection system </w:t>
      </w:r>
      <w:proofErr w:type="spellStart"/>
      <w:proofErr w:type="gramStart"/>
      <w:r>
        <w:t>misoperations</w:t>
      </w:r>
      <w:proofErr w:type="spellEnd"/>
      <w:proofErr w:type="gramEnd"/>
      <w:r>
        <w:t xml:space="preserve"> data to assess protection system performance and trends in protection system performance that may </w:t>
      </w:r>
      <w:r>
        <w:lastRenderedPageBreak/>
        <w:t>negatively impact reliability.</w:t>
      </w:r>
      <w:r>
        <w:rPr>
          <w:rStyle w:val="FootnoteReference"/>
        </w:rPr>
        <w:footnoteReference w:id="29"/>
      </w:r>
      <w:r>
        <w:t xml:space="preserve">  NERC publishes</w:t>
      </w:r>
      <w:r w:rsidRPr="009C40B3">
        <w:rPr>
          <w:color w:val="000000"/>
          <w:shd w:val="clear" w:color="auto" w:fill="FFFFFF"/>
        </w:rPr>
        <w:t xml:space="preserve"> aggregate </w:t>
      </w:r>
      <w:proofErr w:type="spellStart"/>
      <w:r w:rsidRPr="009C40B3">
        <w:rPr>
          <w:color w:val="000000"/>
          <w:shd w:val="clear" w:color="auto" w:fill="FFFFFF"/>
        </w:rPr>
        <w:t>misoperation</w:t>
      </w:r>
      <w:proofErr w:type="spellEnd"/>
      <w:r w:rsidRPr="009C40B3">
        <w:rPr>
          <w:color w:val="000000"/>
          <w:shd w:val="clear" w:color="auto" w:fill="FFFFFF"/>
        </w:rPr>
        <w:t xml:space="preserve"> information for each NERC Region </w:t>
      </w:r>
      <w:r>
        <w:t>in annual public state of reliability reports, with the u</w:t>
      </w:r>
      <w:r w:rsidRPr="009C40B3">
        <w:rPr>
          <w:color w:val="000000"/>
          <w:shd w:val="clear" w:color="auto" w:fill="FFFFFF"/>
        </w:rPr>
        <w:t xml:space="preserve">nderlying data typically </w:t>
      </w:r>
      <w:r w:rsidRPr="00B95416">
        <w:rPr>
          <w:color w:val="000000"/>
          <w:shd w:val="clear" w:color="auto" w:fill="FFFFFF"/>
        </w:rPr>
        <w:t>being accorded confidential treatment.</w:t>
      </w:r>
      <w:r>
        <w:rPr>
          <w:rStyle w:val="FootnoteReference"/>
          <w:color w:val="000000"/>
          <w:shd w:val="clear" w:color="auto" w:fill="FFFFFF"/>
        </w:rPr>
        <w:footnoteReference w:id="30"/>
      </w:r>
      <w:r w:rsidRPr="009C40B3">
        <w:rPr>
          <w:color w:val="000000"/>
          <w:shd w:val="clear" w:color="auto" w:fill="FFFFFF"/>
        </w:rPr>
        <w:t xml:space="preserve"> </w:t>
      </w:r>
    </w:p>
    <w:p w14:paraId="1CB884FB" w14:textId="77777777" w:rsidR="004057D6" w:rsidRDefault="004057D6" w:rsidP="00C03354">
      <w:pPr>
        <w:pStyle w:val="FERCparanumber"/>
        <w:widowControl w:val="0"/>
        <w:numPr>
          <w:ilvl w:val="0"/>
          <w:numId w:val="0"/>
        </w:numPr>
        <w:autoSpaceDE w:val="0"/>
        <w:autoSpaceDN w:val="0"/>
        <w:adjustRightInd w:val="0"/>
        <w:ind w:firstLine="720"/>
      </w:pPr>
    </w:p>
    <w:p w14:paraId="6DD26361" w14:textId="77777777" w:rsidR="004057D6" w:rsidRDefault="004057D6" w:rsidP="00C03354">
      <w:pPr>
        <w:pStyle w:val="FERCparanumber"/>
        <w:widowControl w:val="0"/>
        <w:numPr>
          <w:ilvl w:val="0"/>
          <w:numId w:val="0"/>
        </w:numPr>
        <w:autoSpaceDE w:val="0"/>
        <w:autoSpaceDN w:val="0"/>
        <w:adjustRightInd w:val="0"/>
        <w:ind w:firstLine="720"/>
      </w:pPr>
    </w:p>
    <w:p w14:paraId="3B3B640B" w14:textId="77777777" w:rsidR="004057D6" w:rsidRPr="00554307" w:rsidRDefault="004057D6" w:rsidP="004057D6">
      <w:pPr>
        <w:pStyle w:val="FERCparanumber"/>
        <w:widowControl w:val="0"/>
        <w:numPr>
          <w:ilvl w:val="0"/>
          <w:numId w:val="0"/>
        </w:numPr>
        <w:autoSpaceDE w:val="0"/>
        <w:autoSpaceDN w:val="0"/>
        <w:adjustRightInd w:val="0"/>
        <w:ind w:firstLine="720"/>
        <w:rPr>
          <w:b/>
        </w:rPr>
      </w:pPr>
      <w:proofErr w:type="gramStart"/>
      <w:r>
        <w:rPr>
          <w:b/>
        </w:rPr>
        <w:t>S</w:t>
      </w:r>
      <w:r w:rsidRPr="00554307">
        <w:rPr>
          <w:b/>
        </w:rPr>
        <w:t>ummary.</w:t>
      </w:r>
      <w:proofErr w:type="gramEnd"/>
    </w:p>
    <w:p w14:paraId="7079D1BC" w14:textId="77777777" w:rsidR="00554307" w:rsidRDefault="00B95416" w:rsidP="00554307">
      <w:pPr>
        <w:tabs>
          <w:tab w:val="left" w:pos="720"/>
        </w:tabs>
        <w:autoSpaceDE w:val="0"/>
        <w:autoSpaceDN w:val="0"/>
        <w:adjustRightInd w:val="0"/>
        <w:ind w:firstLine="720"/>
      </w:pPr>
      <w:r>
        <w:t xml:space="preserve">The Commission’s proposal would make TADS, GADS, and protection system </w:t>
      </w:r>
      <w:proofErr w:type="spellStart"/>
      <w:proofErr w:type="gramStart"/>
      <w:r>
        <w:t>misoperations</w:t>
      </w:r>
      <w:proofErr w:type="spellEnd"/>
      <w:proofErr w:type="gramEnd"/>
      <w:r>
        <w:t xml:space="preserve"> data, currently collected by the ERO, available to Commission staff on a non-public and ongoing basis.  The proposal would not require ERO to collect new information, compile information into any kind of report, or reformulate the raw data.  Accordingly, the Commission estimates that the one-time burden associated with compliance with this proposed rule is </w:t>
      </w:r>
      <w:r w:rsidRPr="00D05C12">
        <w:rPr>
          <w:i/>
        </w:rPr>
        <w:t xml:space="preserve">de </w:t>
      </w:r>
      <w:proofErr w:type="spellStart"/>
      <w:r w:rsidRPr="00D05C12">
        <w:rPr>
          <w:i/>
        </w:rPr>
        <w:t>minimis</w:t>
      </w:r>
      <w:proofErr w:type="spellEnd"/>
      <w:r>
        <w:t xml:space="preserve"> and is limited to the ERO reviewing the Commission’s proposed regulation and providing Commission staff with access to the existing TADS, GADS, and protection system </w:t>
      </w:r>
      <w:proofErr w:type="spellStart"/>
      <w:proofErr w:type="gramStart"/>
      <w:r>
        <w:t>misoperations</w:t>
      </w:r>
      <w:proofErr w:type="spellEnd"/>
      <w:proofErr w:type="gramEnd"/>
      <w:r>
        <w:t xml:space="preserve"> databases.  </w:t>
      </w:r>
    </w:p>
    <w:p w14:paraId="0C700E0A" w14:textId="77777777" w:rsidR="00B95416" w:rsidRDefault="00C42C48" w:rsidP="00554307">
      <w:pPr>
        <w:tabs>
          <w:tab w:val="left" w:pos="720"/>
        </w:tabs>
        <w:autoSpaceDE w:val="0"/>
        <w:autoSpaceDN w:val="0"/>
        <w:adjustRightInd w:val="0"/>
        <w:ind w:firstLine="720"/>
      </w:pPr>
      <w:r w:rsidRPr="00C51585">
        <w:t xml:space="preserve">  </w:t>
      </w:r>
      <w:r w:rsidR="00B95416" w:rsidRPr="00B95416">
        <w:t xml:space="preserve"> </w:t>
      </w:r>
    </w:p>
    <w:p w14:paraId="41D748F5" w14:textId="77777777" w:rsidR="00B95416" w:rsidRPr="0010607E" w:rsidRDefault="00B95416" w:rsidP="00C03354">
      <w:pPr>
        <w:tabs>
          <w:tab w:val="left" w:pos="720"/>
        </w:tabs>
        <w:autoSpaceDE w:val="0"/>
        <w:autoSpaceDN w:val="0"/>
        <w:adjustRightInd w:val="0"/>
      </w:pPr>
      <w:r>
        <w:tab/>
        <w:t xml:space="preserve">In addition, the requirement for the ERO to provide the proposed data access to the Commission </w:t>
      </w:r>
      <w:r w:rsidR="004057D6">
        <w:t>is</w:t>
      </w:r>
      <w:r>
        <w:t xml:space="preserve"> included in the existing FERC-725, Certification of Electric Reliability Organization; Procedures for Electric Reliability Standards (OMB Control No. 1902-0225).   FERC-725 includes information used by the Commission to implement the statutory provisions of section 215 of the FPA.  FERC-725 includes the burden, reporting and recordkeeping requirements associated with: (a) </w:t>
      </w:r>
      <w:proofErr w:type="spellStart"/>
      <w:r w:rsidRPr="00C60EEB">
        <w:t>Self Assessment</w:t>
      </w:r>
      <w:proofErr w:type="spellEnd"/>
      <w:r w:rsidRPr="00C60EEB">
        <w:t xml:space="preserve"> and ERO Application</w:t>
      </w:r>
      <w:r>
        <w:t>, (b)</w:t>
      </w:r>
      <w:r w:rsidRPr="00C60EEB">
        <w:t xml:space="preserve"> Reliability Assessments</w:t>
      </w:r>
      <w:r>
        <w:t>, (c)</w:t>
      </w:r>
      <w:r w:rsidRPr="00C60EEB">
        <w:t xml:space="preserve"> Reliability Standards Development</w:t>
      </w:r>
      <w:r>
        <w:t>, (d)</w:t>
      </w:r>
      <w:r w:rsidRPr="00C60EEB">
        <w:t xml:space="preserve"> Reliability Compliance</w:t>
      </w:r>
      <w:r>
        <w:t>, (e)</w:t>
      </w:r>
      <w:r w:rsidRPr="00C60EEB">
        <w:t xml:space="preserve"> Stakeholder Survey</w:t>
      </w:r>
      <w:r>
        <w:t>, and (f)</w:t>
      </w:r>
      <w:r w:rsidRPr="00C60EEB">
        <w:t xml:space="preserve"> Other Reporting</w:t>
      </w:r>
      <w:r>
        <w:t xml:space="preserve">.  </w:t>
      </w:r>
    </w:p>
    <w:p w14:paraId="7B16C919" w14:textId="77777777" w:rsidR="00554307" w:rsidRDefault="00554307" w:rsidP="00554307">
      <w:pPr>
        <w:ind w:firstLine="720"/>
      </w:pPr>
    </w:p>
    <w:p w14:paraId="342DCC14" w14:textId="5CC5FD7C" w:rsidR="005158D0" w:rsidRPr="00C51585" w:rsidRDefault="004057D6" w:rsidP="00554307">
      <w:pPr>
        <w:ind w:firstLine="720"/>
      </w:pPr>
      <w:r w:rsidRPr="00C51585">
        <w:t>For th</w:t>
      </w:r>
      <w:r>
        <w:t>ese</w:t>
      </w:r>
      <w:r w:rsidRPr="00C51585">
        <w:t xml:space="preserve"> reason</w:t>
      </w:r>
      <w:r>
        <w:t>s</w:t>
      </w:r>
      <w:r w:rsidRPr="00C51585">
        <w:t xml:space="preserve">, the Commission is submitting this non-substantive change </w:t>
      </w:r>
      <w:r w:rsidR="00E61F33">
        <w:t xml:space="preserve">(for the NOPR in Docket RM15-25) </w:t>
      </w:r>
      <w:r w:rsidRPr="00C51585">
        <w:t>to OMB for FERC-725</w:t>
      </w:r>
      <w:r w:rsidR="0021052C">
        <w:t>.</w:t>
      </w:r>
    </w:p>
    <w:p w14:paraId="5BFAE8D1" w14:textId="77777777" w:rsidR="005158D0" w:rsidRDefault="005158D0" w:rsidP="005158D0">
      <w:pPr>
        <w:ind w:firstLine="720"/>
      </w:pPr>
    </w:p>
    <w:sectPr w:rsidR="005158D0" w:rsidSect="00C10B1D">
      <w:headerReference w:type="default" r:id="rId13"/>
      <w:footerReference w:type="default" r:id="rId14"/>
      <w:headerReference w:type="first" r:id="rId15"/>
      <w:footerReference w:type="first" r:id="rId16"/>
      <w:pgSz w:w="12240" w:h="15840" w:code="1"/>
      <w:pgMar w:top="1440" w:right="1440" w:bottom="1440" w:left="1440" w:header="1440" w:footer="144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7D658" w14:textId="77777777" w:rsidR="00BA632E" w:rsidRDefault="00BA632E" w:rsidP="00275619">
      <w:r>
        <w:separator/>
      </w:r>
    </w:p>
  </w:endnote>
  <w:endnote w:type="continuationSeparator" w:id="0">
    <w:p w14:paraId="219ED63C" w14:textId="77777777" w:rsidR="00BA632E" w:rsidRDefault="00BA632E" w:rsidP="002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07812"/>
      <w:docPartObj>
        <w:docPartGallery w:val="Page Numbers (Bottom of Page)"/>
        <w:docPartUnique/>
      </w:docPartObj>
    </w:sdtPr>
    <w:sdtEndPr>
      <w:rPr>
        <w:noProof/>
      </w:rPr>
    </w:sdtEndPr>
    <w:sdtContent>
      <w:p w14:paraId="7660A75A" w14:textId="77777777" w:rsidR="00C10B1D" w:rsidRDefault="00C10B1D">
        <w:pPr>
          <w:pStyle w:val="Footer"/>
          <w:jc w:val="right"/>
        </w:pPr>
        <w:r>
          <w:fldChar w:fldCharType="begin"/>
        </w:r>
        <w:r>
          <w:instrText xml:space="preserve"> PAGE   \* MERGEFORMAT </w:instrText>
        </w:r>
        <w:r>
          <w:fldChar w:fldCharType="separate"/>
        </w:r>
        <w:r w:rsidR="00435FF2">
          <w:rPr>
            <w:noProof/>
          </w:rPr>
          <w:t>1</w:t>
        </w:r>
        <w:r>
          <w:rPr>
            <w:noProof/>
          </w:rPr>
          <w:fldChar w:fldCharType="end"/>
        </w:r>
      </w:p>
    </w:sdtContent>
  </w:sdt>
  <w:p w14:paraId="75012F9D" w14:textId="77777777" w:rsidR="00984D34" w:rsidRDefault="00984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90306"/>
      <w:docPartObj>
        <w:docPartGallery w:val="Page Numbers (Bottom of Page)"/>
        <w:docPartUnique/>
      </w:docPartObj>
    </w:sdtPr>
    <w:sdtEndPr>
      <w:rPr>
        <w:noProof/>
      </w:rPr>
    </w:sdtEndPr>
    <w:sdtContent>
      <w:p w14:paraId="130D4343" w14:textId="77777777" w:rsidR="00643ECC" w:rsidRDefault="00643ECC">
        <w:pPr>
          <w:pStyle w:val="Footer"/>
          <w:jc w:val="right"/>
        </w:pPr>
        <w:r>
          <w:fldChar w:fldCharType="begin"/>
        </w:r>
        <w:r>
          <w:instrText xml:space="preserve"> PAGE   \* MERGEFORMAT </w:instrText>
        </w:r>
        <w:r>
          <w:fldChar w:fldCharType="separate"/>
        </w:r>
        <w:r w:rsidR="00C10B1D">
          <w:rPr>
            <w:noProof/>
          </w:rPr>
          <w:t>1</w:t>
        </w:r>
        <w:r>
          <w:rPr>
            <w:noProof/>
          </w:rPr>
          <w:fldChar w:fldCharType="end"/>
        </w:r>
      </w:p>
    </w:sdtContent>
  </w:sdt>
  <w:p w14:paraId="7EDA2166" w14:textId="77777777" w:rsidR="00643ECC" w:rsidRDefault="00643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273B1" w14:textId="77777777" w:rsidR="00BA632E" w:rsidRDefault="00BA632E" w:rsidP="00275619">
      <w:r>
        <w:separator/>
      </w:r>
    </w:p>
  </w:footnote>
  <w:footnote w:type="continuationSeparator" w:id="0">
    <w:p w14:paraId="5DEEBBDF" w14:textId="77777777" w:rsidR="00BA632E" w:rsidRDefault="00BA632E" w:rsidP="00275619">
      <w:r>
        <w:continuationSeparator/>
      </w:r>
    </w:p>
  </w:footnote>
  <w:footnote w:id="1">
    <w:p w14:paraId="6B9A9850" w14:textId="40BD1AA7" w:rsidR="00982807" w:rsidRDefault="00982807">
      <w:pPr>
        <w:pStyle w:val="FootnoteText"/>
      </w:pPr>
      <w:r>
        <w:rPr>
          <w:rStyle w:val="FootnoteReference"/>
        </w:rPr>
        <w:footnoteRef/>
      </w:r>
      <w:r>
        <w:t xml:space="preserve"> The NOPR is posted in FERC’s eLibrary at </w:t>
      </w:r>
      <w:hyperlink r:id="rId1" w:history="1">
        <w:r w:rsidRPr="00B42ED7">
          <w:rPr>
            <w:rStyle w:val="Hyperlink"/>
          </w:rPr>
          <w:t>http://elibrary-backup.ferc.gov/idmws/common/OpenNat.asp?fileID=13989466</w:t>
        </w:r>
      </w:hyperlink>
      <w:r>
        <w:t xml:space="preserve">; Commissioner </w:t>
      </w:r>
      <w:proofErr w:type="spellStart"/>
      <w:r>
        <w:t>LaFleur’s</w:t>
      </w:r>
      <w:proofErr w:type="spellEnd"/>
      <w:r>
        <w:t xml:space="preserve"> statement appears at </w:t>
      </w:r>
      <w:hyperlink r:id="rId2" w:history="1">
        <w:r w:rsidRPr="00B42ED7">
          <w:rPr>
            <w:rStyle w:val="Hyperlink"/>
          </w:rPr>
          <w:t>http://elibrary-backup.ferc.gov/idmws/common/OpenNat.asp?fileID=13989195</w:t>
        </w:r>
      </w:hyperlink>
      <w:r>
        <w:t xml:space="preserve">; the News Release appears at </w:t>
      </w:r>
      <w:r w:rsidRPr="00982807">
        <w:t>http://elibrary-backup.ferc.gov/idmws/common/OpenNat.asp?fileID=13989193</w:t>
      </w:r>
      <w:r>
        <w:t>.</w:t>
      </w:r>
    </w:p>
  </w:footnote>
  <w:footnote w:id="2">
    <w:p w14:paraId="4F0A8DBF" w14:textId="77777777" w:rsidR="00DC4A32" w:rsidRDefault="00DC4A32" w:rsidP="00DC4A32">
      <w:pPr>
        <w:pStyle w:val="FootnoteText"/>
      </w:pPr>
      <w:r>
        <w:rPr>
          <w:rStyle w:val="FootnoteReference"/>
        </w:rPr>
        <w:footnoteRef/>
      </w:r>
      <w:r>
        <w:t xml:space="preserve"> </w:t>
      </w:r>
      <w:proofErr w:type="gramStart"/>
      <w:r>
        <w:t>18 CFR 39.11.</w:t>
      </w:r>
      <w:proofErr w:type="gramEnd"/>
    </w:p>
  </w:footnote>
  <w:footnote w:id="3">
    <w:p w14:paraId="62ECBA51" w14:textId="77777777" w:rsidR="00DC4A32" w:rsidRPr="00BA7254" w:rsidRDefault="00DC4A32" w:rsidP="00DC4A32">
      <w:pPr>
        <w:pStyle w:val="FootnoteText"/>
        <w:spacing w:after="240"/>
        <w:rPr>
          <w:szCs w:val="26"/>
        </w:rPr>
      </w:pPr>
      <w:r w:rsidRPr="00BA7254">
        <w:rPr>
          <w:rStyle w:val="FootnoteReference"/>
        </w:rPr>
        <w:footnoteRef/>
      </w:r>
      <w:r>
        <w:rPr>
          <w:szCs w:val="26"/>
        </w:rPr>
        <w:t xml:space="preserve"> </w:t>
      </w:r>
      <w:proofErr w:type="gramStart"/>
      <w:r>
        <w:rPr>
          <w:szCs w:val="26"/>
        </w:rPr>
        <w:t>18 CFR 39.2(d)</w:t>
      </w:r>
      <w:r w:rsidRPr="00BA7254">
        <w:rPr>
          <w:szCs w:val="26"/>
        </w:rPr>
        <w:t>.</w:t>
      </w:r>
      <w:proofErr w:type="gramEnd"/>
    </w:p>
  </w:footnote>
  <w:footnote w:id="4">
    <w:p w14:paraId="2EB49EC7" w14:textId="77777777" w:rsidR="00DC4A32" w:rsidRPr="00BA7254" w:rsidRDefault="00DC4A32" w:rsidP="00DC4A32">
      <w:pPr>
        <w:pStyle w:val="FootnoteText"/>
        <w:spacing w:after="240"/>
        <w:rPr>
          <w:szCs w:val="26"/>
        </w:rPr>
      </w:pPr>
      <w:r w:rsidRPr="00BA7254">
        <w:rPr>
          <w:rStyle w:val="FootnoteReference"/>
        </w:rPr>
        <w:footnoteRef/>
      </w:r>
      <w:r w:rsidRPr="00BA7254">
        <w:rPr>
          <w:szCs w:val="26"/>
        </w:rPr>
        <w:t xml:space="preserve"> </w:t>
      </w:r>
      <w:r w:rsidRPr="00893481">
        <w:rPr>
          <w:i/>
          <w:szCs w:val="26"/>
        </w:rPr>
        <w:t>Id</w:t>
      </w:r>
      <w:r>
        <w:rPr>
          <w:szCs w:val="26"/>
        </w:rPr>
        <w:t>.</w:t>
      </w:r>
    </w:p>
  </w:footnote>
  <w:footnote w:id="5">
    <w:p w14:paraId="623BFA9A" w14:textId="77777777" w:rsidR="00810A2C" w:rsidRPr="00DF07F9" w:rsidRDefault="00810A2C" w:rsidP="00810A2C">
      <w:pPr>
        <w:pStyle w:val="FootnoteText"/>
      </w:pPr>
      <w:r>
        <w:rPr>
          <w:rStyle w:val="FootnoteReference"/>
        </w:rPr>
        <w:footnoteRef/>
      </w:r>
      <w:r>
        <w:t xml:space="preserve"> </w:t>
      </w:r>
      <w:r>
        <w:rPr>
          <w:i/>
        </w:rPr>
        <w:t>See</w:t>
      </w:r>
      <w:r>
        <w:t xml:space="preserve"> </w:t>
      </w:r>
      <w:r>
        <w:rPr>
          <w:i/>
        </w:rPr>
        <w:t>generally</w:t>
      </w:r>
      <w:r>
        <w:t xml:space="preserve"> NERC, Summary of Phase I TADS Data Collection (November 9, 2007), </w:t>
      </w:r>
      <w:r>
        <w:rPr>
          <w:i/>
        </w:rPr>
        <w:t>available at</w:t>
      </w:r>
      <w:r>
        <w:t xml:space="preserve"> </w:t>
      </w:r>
      <w:r w:rsidRPr="00127743">
        <w:t>http://www.nerc.com/pa/RAPA/tads/TADSTF%20Archives%20DL/TADS_Data_Request_Summary.pdf</w:t>
      </w:r>
      <w:r>
        <w:t>.</w:t>
      </w:r>
    </w:p>
  </w:footnote>
  <w:footnote w:id="6">
    <w:p w14:paraId="3209DCA2" w14:textId="77777777" w:rsidR="00654C15" w:rsidRPr="00DF07F9" w:rsidRDefault="00654C15" w:rsidP="00654C15">
      <w:pPr>
        <w:pStyle w:val="FootnoteText"/>
        <w:spacing w:after="24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7">
    <w:p w14:paraId="3F6201E7" w14:textId="77777777" w:rsidR="00654C15" w:rsidRDefault="00654C15" w:rsidP="00654C15">
      <w:pPr>
        <w:pStyle w:val="FootnoteText"/>
      </w:pPr>
      <w:r>
        <w:rPr>
          <w:rStyle w:val="FootnoteReference"/>
        </w:rPr>
        <w:footnoteRef/>
      </w:r>
      <w:r>
        <w:t xml:space="preserve"> </w:t>
      </w:r>
      <w:proofErr w:type="gramStart"/>
      <w:r w:rsidRPr="00D33D26">
        <w:rPr>
          <w:i/>
        </w:rPr>
        <w:t>See</w:t>
      </w:r>
      <w:r>
        <w:t xml:space="preserve"> NERC TADS Home Page, </w:t>
      </w:r>
      <w:r>
        <w:rPr>
          <w:i/>
        </w:rPr>
        <w:t xml:space="preserve">available at </w:t>
      </w:r>
      <w:r w:rsidRPr="002D7201">
        <w:t>http://www.nerc.com/pa/RAPA/tads/Pages/default.aspx</w:t>
      </w:r>
      <w:r>
        <w:t>.</w:t>
      </w:r>
      <w:proofErr w:type="gramEnd"/>
    </w:p>
  </w:footnote>
  <w:footnote w:id="8">
    <w:p w14:paraId="2DEFC699" w14:textId="77777777" w:rsidR="00654C15" w:rsidRPr="00127743" w:rsidRDefault="00654C15" w:rsidP="00654C15">
      <w:pPr>
        <w:pStyle w:val="FootnoteText"/>
      </w:pPr>
      <w:r>
        <w:rPr>
          <w:rStyle w:val="FootnoteReference"/>
        </w:rPr>
        <w:footnoteRef/>
      </w:r>
      <w:r>
        <w:t xml:space="preserve"> </w:t>
      </w:r>
      <w:r>
        <w:rPr>
          <w:i/>
        </w:rPr>
        <w:t>See</w:t>
      </w:r>
      <w:r>
        <w:t xml:space="preserve"> Transmission Availability Data System (TADS) Data Reporting Instruction Manual (August 1, 2014), </w:t>
      </w:r>
      <w:r>
        <w:rPr>
          <w:i/>
        </w:rPr>
        <w:t xml:space="preserve">available at </w:t>
      </w:r>
      <w:r w:rsidRPr="00127743">
        <w:t>http://www.nerc.com/pa/RAPA/tads/Documents/2015_TADS_DRI.pdf</w:t>
      </w:r>
      <w:r>
        <w:t>.</w:t>
      </w:r>
    </w:p>
  </w:footnote>
  <w:footnote w:id="9">
    <w:p w14:paraId="62A2A097" w14:textId="77777777" w:rsidR="00654C15" w:rsidRPr="0043303C" w:rsidRDefault="00654C15" w:rsidP="00654C15">
      <w:pPr>
        <w:pStyle w:val="FootnoteText"/>
      </w:pPr>
      <w:r>
        <w:rPr>
          <w:rStyle w:val="FootnoteReference"/>
        </w:rPr>
        <w:footnoteRef/>
      </w:r>
      <w:r>
        <w:t xml:space="preserve"> </w:t>
      </w:r>
      <w:r w:rsidRPr="00E21535">
        <w:rPr>
          <w:i/>
        </w:rPr>
        <w:t>See</w:t>
      </w:r>
      <w:r>
        <w:t xml:space="preserve"> Transmission Availability Data System Definitions (August 1, 2014), </w:t>
      </w:r>
      <w:r w:rsidRPr="00E21535">
        <w:rPr>
          <w:i/>
        </w:rPr>
        <w:t>available at</w:t>
      </w:r>
      <w:r>
        <w:t xml:space="preserve"> </w:t>
      </w:r>
      <w:r w:rsidRPr="002D7201">
        <w:t>http://www.nerc.com/pa/RAPA/tads/Documents/2015_TADS_Appendix_7.pdf</w:t>
      </w:r>
      <w:r>
        <w:t>.</w:t>
      </w:r>
    </w:p>
  </w:footnote>
  <w:footnote w:id="10">
    <w:p w14:paraId="13F7A5DD" w14:textId="77777777" w:rsidR="00654C15" w:rsidRDefault="00654C15" w:rsidP="00654C15">
      <w:pPr>
        <w:pStyle w:val="FootnoteText"/>
      </w:pPr>
      <w:r>
        <w:rPr>
          <w:rStyle w:val="FootnoteReference"/>
        </w:rPr>
        <w:footnoteRef/>
      </w:r>
      <w:r>
        <w:t xml:space="preserve"> </w:t>
      </w:r>
      <w:r>
        <w:rPr>
          <w:i/>
        </w:rPr>
        <w:t>See</w:t>
      </w:r>
      <w:r>
        <w:t xml:space="preserve">, </w:t>
      </w:r>
      <w:r>
        <w:rPr>
          <w:i/>
        </w:rPr>
        <w:t>e.g.</w:t>
      </w:r>
      <w:r>
        <w:t xml:space="preserve">, NERC, State of Reliability 2015, Appendix A (Statistical Analysis for Risk Issue Identification and Transmission Outage Severity Analysis) at 86 (May 2015), </w:t>
      </w:r>
      <w:r>
        <w:rPr>
          <w:i/>
        </w:rPr>
        <w:t xml:space="preserve">available at </w:t>
      </w:r>
      <w:r w:rsidRPr="002D7201">
        <w:t>http://www.nerc.com/pa/RAPA/PA/Performance%20Analysis%20DL/2015%20State%20of%20Reliability.pdf</w:t>
      </w:r>
      <w:r>
        <w:t>.</w:t>
      </w:r>
    </w:p>
  </w:footnote>
  <w:footnote w:id="11">
    <w:p w14:paraId="1EA2BD12" w14:textId="77777777" w:rsidR="00654C15" w:rsidRPr="0043303C" w:rsidRDefault="00654C15" w:rsidP="00654C15">
      <w:pPr>
        <w:pStyle w:val="FootnoteText"/>
        <w:rPr>
          <w:i/>
        </w:rPr>
      </w:pPr>
      <w:r>
        <w:rPr>
          <w:rStyle w:val="FootnoteReference"/>
        </w:rPr>
        <w:footnoteRef/>
      </w:r>
      <w:r>
        <w:t xml:space="preserve"> </w:t>
      </w:r>
      <w:proofErr w:type="gramStart"/>
      <w:r w:rsidRPr="00D33D26">
        <w:rPr>
          <w:i/>
        </w:rPr>
        <w:t>See</w:t>
      </w:r>
      <w:r>
        <w:t xml:space="preserve"> NERC TADS Home Page.</w:t>
      </w:r>
      <w:proofErr w:type="gramEnd"/>
    </w:p>
  </w:footnote>
  <w:footnote w:id="12">
    <w:p w14:paraId="643C0E57" w14:textId="77777777" w:rsidR="00654C15" w:rsidRPr="00723AAA" w:rsidRDefault="00654C15" w:rsidP="00654C15">
      <w:pPr>
        <w:pStyle w:val="FootnoteText"/>
        <w:rPr>
          <w:i/>
        </w:rPr>
      </w:pPr>
      <w:r>
        <w:rPr>
          <w:rStyle w:val="FootnoteReference"/>
        </w:rPr>
        <w:footnoteRef/>
      </w:r>
      <w:r>
        <w:t xml:space="preserve"> </w:t>
      </w:r>
      <w:r>
        <w:rPr>
          <w:i/>
        </w:rPr>
        <w:t>Id.</w:t>
      </w:r>
    </w:p>
  </w:footnote>
  <w:footnote w:id="13">
    <w:p w14:paraId="6EFEFF49" w14:textId="77777777" w:rsidR="00654C15" w:rsidRPr="00723AAA" w:rsidRDefault="00654C15" w:rsidP="00654C15">
      <w:pPr>
        <w:pStyle w:val="FootnoteText"/>
        <w:rPr>
          <w:i/>
        </w:rPr>
      </w:pPr>
      <w:r>
        <w:rPr>
          <w:rStyle w:val="FootnoteReference"/>
        </w:rPr>
        <w:footnoteRef/>
      </w:r>
      <w:r>
        <w:t xml:space="preserve"> </w:t>
      </w:r>
      <w:r>
        <w:rPr>
          <w:i/>
        </w:rPr>
        <w:t>Id.</w:t>
      </w:r>
    </w:p>
  </w:footnote>
  <w:footnote w:id="14">
    <w:p w14:paraId="47949200" w14:textId="77777777" w:rsidR="00810A2C" w:rsidRDefault="00810A2C" w:rsidP="00810A2C">
      <w:pPr>
        <w:pStyle w:val="FootnoteText"/>
      </w:pPr>
      <w:r>
        <w:rPr>
          <w:rStyle w:val="FootnoteReference"/>
        </w:rPr>
        <w:footnoteRef/>
      </w:r>
      <w:r>
        <w:t xml:space="preserve"> </w:t>
      </w:r>
      <w:r w:rsidRPr="00861390">
        <w:rPr>
          <w:i/>
        </w:rPr>
        <w:t>See</w:t>
      </w:r>
      <w:r>
        <w:t xml:space="preserve"> NERC, Generating Availability Data System Mandatory Reporting of Conventional Generation Performance Data at 2 (July 2011), </w:t>
      </w:r>
      <w:r w:rsidRPr="00723AAA">
        <w:rPr>
          <w:i/>
        </w:rPr>
        <w:t xml:space="preserve">available </w:t>
      </w:r>
      <w:proofErr w:type="spellStart"/>
      <w:r w:rsidRPr="00723AAA">
        <w:rPr>
          <w:i/>
        </w:rPr>
        <w:t xml:space="preserve">at </w:t>
      </w:r>
      <w:r w:rsidRPr="007D2C2D">
        <w:t>http://www.nerc.com/pa/RAPA/gads/MandatoryGADS/Revised_Final_Draft_GADSTF_Recommendation_Report.pdf</w:t>
      </w:r>
      <w:r>
        <w:t xml:space="preserve">; </w:t>
      </w:r>
      <w:r>
        <w:rPr>
          <w:i/>
        </w:rPr>
        <w:t>s</w:t>
      </w:r>
      <w:r w:rsidRPr="00D33D26">
        <w:rPr>
          <w:i/>
        </w:rPr>
        <w:t>ee</w:t>
      </w:r>
      <w:proofErr w:type="spellEnd"/>
      <w:r>
        <w:t xml:space="preserve"> </w:t>
      </w:r>
      <w:r>
        <w:rPr>
          <w:i/>
        </w:rPr>
        <w:t>also</w:t>
      </w:r>
      <w:r>
        <w:t xml:space="preserve"> NERC GADS Home Page, </w:t>
      </w:r>
      <w:r>
        <w:rPr>
          <w:i/>
        </w:rPr>
        <w:t xml:space="preserve">available at </w:t>
      </w:r>
      <w:r w:rsidRPr="00723AAA">
        <w:t>http://www.nerc.com/pa/RAPA/gads/Pages/default.aspx</w:t>
      </w:r>
      <w:r>
        <w:t>.</w:t>
      </w:r>
    </w:p>
  </w:footnote>
  <w:footnote w:id="15">
    <w:p w14:paraId="29B1D4DB" w14:textId="77777777" w:rsidR="009C40B3" w:rsidRPr="00DF07F9" w:rsidRDefault="009C40B3" w:rsidP="009C40B3">
      <w:pPr>
        <w:pStyle w:val="FootnoteText"/>
        <w:spacing w:after="24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16">
    <w:p w14:paraId="263F9AA5" w14:textId="77777777" w:rsidR="00654C15" w:rsidRPr="00723AAA" w:rsidRDefault="00654C15" w:rsidP="00654C15">
      <w:pPr>
        <w:pStyle w:val="FootnoteText"/>
      </w:pPr>
      <w:r>
        <w:rPr>
          <w:rStyle w:val="FootnoteReference"/>
        </w:rPr>
        <w:footnoteRef/>
      </w:r>
      <w:r>
        <w:t xml:space="preserve"> </w:t>
      </w:r>
      <w:proofErr w:type="gramStart"/>
      <w:r w:rsidRPr="00D33D26">
        <w:rPr>
          <w:i/>
        </w:rPr>
        <w:t>See</w:t>
      </w:r>
      <w:r>
        <w:t xml:space="preserve"> NERC GADS Home Page.</w:t>
      </w:r>
      <w:proofErr w:type="gramEnd"/>
    </w:p>
  </w:footnote>
  <w:footnote w:id="17">
    <w:p w14:paraId="711C718C" w14:textId="77777777" w:rsidR="00654C15" w:rsidRPr="0040166C" w:rsidRDefault="00654C15" w:rsidP="00654C15">
      <w:pPr>
        <w:pStyle w:val="FootnoteText"/>
      </w:pPr>
      <w:r>
        <w:rPr>
          <w:rStyle w:val="FootnoteReference"/>
        </w:rPr>
        <w:footnoteRef/>
      </w:r>
      <w:r>
        <w:t xml:space="preserve"> </w:t>
      </w:r>
      <w:proofErr w:type="gramStart"/>
      <w:r>
        <w:t>Generating Availability Data System Mandatory Reporting of Conventional Generation Performance Data at 15.</w:t>
      </w:r>
      <w:proofErr w:type="gramEnd"/>
    </w:p>
  </w:footnote>
  <w:footnote w:id="18">
    <w:p w14:paraId="6B3CFE3E" w14:textId="77777777" w:rsidR="00654C15" w:rsidRPr="0040166C" w:rsidRDefault="00654C15" w:rsidP="00654C15">
      <w:pPr>
        <w:pStyle w:val="FootnoteText"/>
      </w:pPr>
      <w:r>
        <w:rPr>
          <w:rStyle w:val="FootnoteReference"/>
        </w:rPr>
        <w:footnoteRef/>
      </w:r>
      <w:r>
        <w:t xml:space="preserve"> </w:t>
      </w:r>
      <w:r>
        <w:rPr>
          <w:i/>
        </w:rPr>
        <w:t xml:space="preserve">Id., </w:t>
      </w:r>
      <w:r>
        <w:t>Appendix V (Rules of Procedure Section 1600 Justification)</w:t>
      </w:r>
      <w:r>
        <w:rPr>
          <w:i/>
        </w:rPr>
        <w:t xml:space="preserve"> </w:t>
      </w:r>
      <w:r>
        <w:t xml:space="preserve">at 35.  </w:t>
      </w:r>
    </w:p>
  </w:footnote>
  <w:footnote w:id="19">
    <w:p w14:paraId="1DF2906E" w14:textId="77777777" w:rsidR="00654C15" w:rsidRPr="00C913D8" w:rsidRDefault="00654C15" w:rsidP="00654C15">
      <w:pPr>
        <w:pStyle w:val="FootnoteText"/>
      </w:pPr>
      <w:r>
        <w:rPr>
          <w:rStyle w:val="FootnoteReference"/>
        </w:rPr>
        <w:footnoteRef/>
      </w:r>
      <w:r>
        <w:t xml:space="preserve"> </w:t>
      </w:r>
      <w:r>
        <w:rPr>
          <w:i/>
        </w:rPr>
        <w:t>Id.</w:t>
      </w:r>
    </w:p>
  </w:footnote>
  <w:footnote w:id="20">
    <w:p w14:paraId="7D9B81D5" w14:textId="77777777" w:rsidR="00654C15" w:rsidRPr="00C913D8" w:rsidRDefault="00654C15" w:rsidP="00654C15">
      <w:pPr>
        <w:pStyle w:val="FootnoteText"/>
        <w:rPr>
          <w:i/>
        </w:rPr>
      </w:pPr>
      <w:r>
        <w:rPr>
          <w:rStyle w:val="FootnoteReference"/>
        </w:rPr>
        <w:footnoteRef/>
      </w:r>
      <w:r>
        <w:t xml:space="preserve"> </w:t>
      </w:r>
      <w:r>
        <w:rPr>
          <w:i/>
        </w:rPr>
        <w:t>Id.</w:t>
      </w:r>
    </w:p>
  </w:footnote>
  <w:footnote w:id="21">
    <w:p w14:paraId="51D0B938" w14:textId="77777777" w:rsidR="00654C15" w:rsidRPr="00C913D8" w:rsidRDefault="00654C15" w:rsidP="00654C15">
      <w:pPr>
        <w:pStyle w:val="FootnoteText"/>
        <w:rPr>
          <w:i/>
        </w:rPr>
      </w:pPr>
      <w:r>
        <w:rPr>
          <w:rStyle w:val="FootnoteReference"/>
        </w:rPr>
        <w:footnoteRef/>
      </w:r>
      <w:r>
        <w:t xml:space="preserve"> </w:t>
      </w:r>
      <w:r>
        <w:rPr>
          <w:i/>
        </w:rPr>
        <w:t>Id.</w:t>
      </w:r>
    </w:p>
  </w:footnote>
  <w:footnote w:id="22">
    <w:p w14:paraId="4F5E8850" w14:textId="77777777" w:rsidR="00654C15" w:rsidRDefault="00654C15" w:rsidP="00654C15">
      <w:pPr>
        <w:pStyle w:val="FootnoteText"/>
      </w:pPr>
      <w:r>
        <w:rPr>
          <w:rStyle w:val="FootnoteReference"/>
        </w:rPr>
        <w:footnoteRef/>
      </w:r>
      <w:r>
        <w:t xml:space="preserve"> </w:t>
      </w:r>
      <w:proofErr w:type="gramStart"/>
      <w:r>
        <w:t>State of Reliability 2015, Appendix B (Analysis of Generation Data) at 107.</w:t>
      </w:r>
      <w:proofErr w:type="gramEnd"/>
    </w:p>
  </w:footnote>
  <w:footnote w:id="23">
    <w:p w14:paraId="78A03F46" w14:textId="77777777" w:rsidR="00654C15" w:rsidRPr="0042710B" w:rsidRDefault="00654C15" w:rsidP="00654C15">
      <w:pPr>
        <w:pStyle w:val="FootnoteText"/>
      </w:pPr>
      <w:r>
        <w:rPr>
          <w:rStyle w:val="FootnoteReference"/>
        </w:rPr>
        <w:footnoteRef/>
      </w:r>
      <w:r>
        <w:t xml:space="preserve"> </w:t>
      </w:r>
      <w:proofErr w:type="gramStart"/>
      <w:r>
        <w:rPr>
          <w:i/>
        </w:rPr>
        <w:t>See</w:t>
      </w:r>
      <w:r>
        <w:t xml:space="preserve">, </w:t>
      </w:r>
      <w:r>
        <w:rPr>
          <w:i/>
        </w:rPr>
        <w:t>e.g.</w:t>
      </w:r>
      <w:r>
        <w:t xml:space="preserve">, </w:t>
      </w:r>
      <w:r>
        <w:rPr>
          <w:i/>
        </w:rPr>
        <w:t>id.</w:t>
      </w:r>
      <w:r>
        <w:t>, Appendix B (Analysis of Generation Data).</w:t>
      </w:r>
      <w:proofErr w:type="gramEnd"/>
    </w:p>
  </w:footnote>
  <w:footnote w:id="24">
    <w:p w14:paraId="36A854F2" w14:textId="77777777" w:rsidR="00654C15" w:rsidRDefault="00654C15" w:rsidP="00654C15">
      <w:pPr>
        <w:spacing w:after="120"/>
        <w:ind w:firstLine="720"/>
      </w:pPr>
      <w:r w:rsidRPr="00BA7254">
        <w:rPr>
          <w:rStyle w:val="FootnoteReference"/>
        </w:rPr>
        <w:footnoteRef/>
      </w:r>
      <w:r w:rsidRPr="00BA7254">
        <w:rPr>
          <w:szCs w:val="26"/>
        </w:rPr>
        <w:t xml:space="preserve"> </w:t>
      </w:r>
      <w:r>
        <w:rPr>
          <w:iCs/>
          <w:szCs w:val="26"/>
        </w:rPr>
        <w:t xml:space="preserve">The Commission approved </w:t>
      </w:r>
      <w:r w:rsidRPr="00BA7254">
        <w:rPr>
          <w:szCs w:val="26"/>
        </w:rPr>
        <w:t xml:space="preserve">Reliability </w:t>
      </w:r>
      <w:r>
        <w:rPr>
          <w:iCs/>
          <w:szCs w:val="26"/>
        </w:rPr>
        <w:t>Standard PRC-004-1 (</w:t>
      </w:r>
      <w:r w:rsidRPr="00A81779">
        <w:rPr>
          <w:iCs/>
          <w:szCs w:val="26"/>
        </w:rPr>
        <w:t xml:space="preserve">Analysis and Reporting of Transmission Protection System </w:t>
      </w:r>
      <w:proofErr w:type="spellStart"/>
      <w:r w:rsidRPr="00A81779">
        <w:rPr>
          <w:iCs/>
          <w:szCs w:val="26"/>
        </w:rPr>
        <w:t>Misoperations</w:t>
      </w:r>
      <w:proofErr w:type="spellEnd"/>
      <w:r>
        <w:rPr>
          <w:iCs/>
          <w:szCs w:val="26"/>
        </w:rPr>
        <w:t>)</w:t>
      </w:r>
      <w:r w:rsidRPr="00A81779">
        <w:rPr>
          <w:iCs/>
          <w:szCs w:val="26"/>
        </w:rPr>
        <w:t xml:space="preserve"> </w:t>
      </w:r>
      <w:r>
        <w:rPr>
          <w:iCs/>
          <w:szCs w:val="26"/>
        </w:rPr>
        <w:t xml:space="preserve">in Order No. 693.  </w:t>
      </w:r>
      <w:r w:rsidRPr="007350AA">
        <w:rPr>
          <w:i/>
        </w:rPr>
        <w:t>Mandatory Reliability Standards for the Bulk-Power System</w:t>
      </w:r>
      <w:r>
        <w:t xml:space="preserve">, Order No. 693, FERC Stats. </w:t>
      </w:r>
      <w:proofErr w:type="gramStart"/>
      <w:r>
        <w:t xml:space="preserve">&amp; </w:t>
      </w:r>
      <w:proofErr w:type="spellStart"/>
      <w:r>
        <w:t>Regs</w:t>
      </w:r>
      <w:proofErr w:type="spellEnd"/>
      <w:r>
        <w:t>.</w:t>
      </w:r>
      <w:proofErr w:type="gramEnd"/>
      <w:r>
        <w:t xml:space="preserve"> ¶ 31,242, at PP 1467-1469, </w:t>
      </w:r>
      <w:r w:rsidRPr="00914CBD">
        <w:rPr>
          <w:i/>
        </w:rPr>
        <w:t xml:space="preserve">order on </w:t>
      </w:r>
      <w:proofErr w:type="spellStart"/>
      <w:r w:rsidRPr="00914CBD">
        <w:rPr>
          <w:i/>
        </w:rPr>
        <w:t>reh’g</w:t>
      </w:r>
      <w:proofErr w:type="spellEnd"/>
      <w:r>
        <w:t xml:space="preserve">, Order No. 693-A, 120 FERC ¶ 61,053 (2007).  The Commission subsequently approved the following revisions and interpretations to Reliability Standard PRC-004, which was renamed </w:t>
      </w:r>
      <w:r w:rsidRPr="00A81779">
        <w:t xml:space="preserve">Analysis and Mitigation of Transmission and Generation Protection System </w:t>
      </w:r>
      <w:proofErr w:type="spellStart"/>
      <w:r w:rsidRPr="00A81779">
        <w:t>Misoperations</w:t>
      </w:r>
      <w:proofErr w:type="spellEnd"/>
      <w:r>
        <w:t xml:space="preserve">:  Reliability Standards PRC-004-1a, PRC-004-2, PRC-004-2a, PRC-004-2.1a, PRC-004-2.1(i)a, PRC-004-3, and PRC-004-4.  </w:t>
      </w:r>
      <w:r w:rsidRPr="00620477">
        <w:rPr>
          <w:i/>
        </w:rPr>
        <w:t xml:space="preserve">See </w:t>
      </w:r>
      <w:r>
        <w:rPr>
          <w:i/>
        </w:rPr>
        <w:t xml:space="preserve">North American Electric Reliability </w:t>
      </w:r>
      <w:r w:rsidRPr="009707E7">
        <w:t>Corporation</w:t>
      </w:r>
      <w:r>
        <w:t xml:space="preserve">, 136 FERC ¶ 61,208 (2011) (approving interpretation resulting in Reliability Standard PRC-004-1a and Reliability Standard PRC-004-2a); </w:t>
      </w:r>
      <w:r w:rsidRPr="004A40C7">
        <w:rPr>
          <w:i/>
        </w:rPr>
        <w:t>North</w:t>
      </w:r>
      <w:r w:rsidRPr="009707E7">
        <w:rPr>
          <w:i/>
        </w:rPr>
        <w:t xml:space="preserve"> American Electric Reliability Corp.</w:t>
      </w:r>
      <w:r>
        <w:t xml:space="preserve">, 134 FERC ¶ 61,015 (2011) (approving Reliability Standard PRC-004-2); </w:t>
      </w:r>
      <w:r w:rsidRPr="00620477">
        <w:rPr>
          <w:i/>
        </w:rPr>
        <w:t>Generator Requirements at the Transmission Interface</w:t>
      </w:r>
      <w:r>
        <w:t xml:space="preserve">, Order No. 785, 144 FERC ¶ 61,221 (2012) (approving Reliability Standard PRC-004-2.1a); </w:t>
      </w:r>
      <w:r w:rsidRPr="00620477">
        <w:rPr>
          <w:i/>
        </w:rPr>
        <w:t>North American Electric Reliability Corp.</w:t>
      </w:r>
      <w:r>
        <w:t xml:space="preserve">, 151 FERC ¶ 61,129 (2015) (approving Reliability Standard PRC-004-3); </w:t>
      </w:r>
      <w:r>
        <w:rPr>
          <w:i/>
        </w:rPr>
        <w:t>North American Electric Reliability Corporation</w:t>
      </w:r>
      <w:r>
        <w:t>, 151 FERC ¶ 61,186 (2015) (approving Reliability Standards PRC-004-2.1(i)a and PRC-004-4).</w:t>
      </w:r>
    </w:p>
    <w:p w14:paraId="72CF8CC5" w14:textId="77777777" w:rsidR="00D12093" w:rsidRPr="00620477" w:rsidRDefault="006155AC" w:rsidP="00654C15">
      <w:pPr>
        <w:spacing w:after="120"/>
        <w:ind w:firstLine="720"/>
        <w:rPr>
          <w:szCs w:val="26"/>
        </w:rPr>
      </w:pPr>
      <w:r>
        <w:rPr>
          <w:szCs w:val="26"/>
        </w:rPr>
        <w:t xml:space="preserve">As noted in the delegated order in Docket No. </w:t>
      </w:r>
      <w:proofErr w:type="gramStart"/>
      <w:r>
        <w:rPr>
          <w:szCs w:val="26"/>
        </w:rPr>
        <w:t>RD15-3 (issued 5/29/2015), t</w:t>
      </w:r>
      <w:r w:rsidR="00D12093" w:rsidRPr="00D12093">
        <w:rPr>
          <w:szCs w:val="26"/>
        </w:rPr>
        <w:t>he reporting requirements for Reliability Standard PRC-004-3, approved by the Commission in Docket No.</w:t>
      </w:r>
      <w:proofErr w:type="gramEnd"/>
      <w:r w:rsidR="00D12093" w:rsidRPr="00D12093">
        <w:rPr>
          <w:szCs w:val="26"/>
        </w:rPr>
        <w:t xml:space="preserve"> RD14-14, </w:t>
      </w:r>
      <w:r w:rsidR="00D12093">
        <w:rPr>
          <w:szCs w:val="26"/>
        </w:rPr>
        <w:t>are pending OMB review</w:t>
      </w:r>
      <w:r w:rsidR="00D12093" w:rsidRPr="00D12093">
        <w:rPr>
          <w:szCs w:val="26"/>
        </w:rPr>
        <w:t xml:space="preserve"> under FERC-725G1</w:t>
      </w:r>
      <w:r w:rsidR="00D12093">
        <w:rPr>
          <w:szCs w:val="26"/>
        </w:rPr>
        <w:t xml:space="preserve"> (ICR No. </w:t>
      </w:r>
      <w:r w:rsidR="00D12093" w:rsidRPr="00D12093">
        <w:rPr>
          <w:szCs w:val="26"/>
        </w:rPr>
        <w:t>201508-1902-004</w:t>
      </w:r>
      <w:r>
        <w:rPr>
          <w:szCs w:val="26"/>
        </w:rPr>
        <w:t>)</w:t>
      </w:r>
      <w:r w:rsidR="00D12093" w:rsidRPr="00D12093">
        <w:rPr>
          <w:szCs w:val="26"/>
        </w:rPr>
        <w:t xml:space="preserve">.  </w:t>
      </w:r>
    </w:p>
  </w:footnote>
  <w:footnote w:id="25">
    <w:p w14:paraId="1F585F00" w14:textId="77777777" w:rsidR="009C40B3" w:rsidRPr="00DF07F9" w:rsidRDefault="009C40B3" w:rsidP="009C40B3">
      <w:pPr>
        <w:pStyle w:val="FootnoteText"/>
        <w:spacing w:after="24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26">
    <w:p w14:paraId="1C413907" w14:textId="77777777" w:rsidR="00654C15" w:rsidRPr="00627182" w:rsidRDefault="00654C15" w:rsidP="00654C15">
      <w:pPr>
        <w:pStyle w:val="FootnoteText"/>
      </w:pPr>
      <w:r>
        <w:rPr>
          <w:rStyle w:val="FootnoteReference"/>
        </w:rPr>
        <w:footnoteRef/>
      </w:r>
      <w:r>
        <w:t xml:space="preserve"> </w:t>
      </w:r>
      <w:r>
        <w:rPr>
          <w:i/>
        </w:rPr>
        <w:t xml:space="preserve">Id. </w:t>
      </w:r>
      <w:r>
        <w:t>at 13-14</w:t>
      </w:r>
      <w:r>
        <w:rPr>
          <w:i/>
        </w:rPr>
        <w:t>; s</w:t>
      </w:r>
      <w:r w:rsidRPr="00627182">
        <w:rPr>
          <w:i/>
        </w:rPr>
        <w:t>ee</w:t>
      </w:r>
      <w:r>
        <w:rPr>
          <w:i/>
        </w:rPr>
        <w:t xml:space="preserve"> also</w:t>
      </w:r>
      <w:r>
        <w:t xml:space="preserve"> </w:t>
      </w:r>
      <w:r w:rsidRPr="00627182">
        <w:t>NERC</w:t>
      </w:r>
      <w:r>
        <w:t xml:space="preserve">, Protection System </w:t>
      </w:r>
      <w:proofErr w:type="spellStart"/>
      <w:r>
        <w:t>Misoperations</w:t>
      </w:r>
      <w:proofErr w:type="spellEnd"/>
      <w:r>
        <w:t xml:space="preserve"> Home Page, </w:t>
      </w:r>
      <w:r>
        <w:rPr>
          <w:i/>
        </w:rPr>
        <w:t xml:space="preserve">available at </w:t>
      </w:r>
      <w:r w:rsidRPr="002D7201">
        <w:t>http://www.nerc.com/pa/RAPA/ri/Pages/ProtectionSystemMisoperations.aspx</w:t>
      </w:r>
      <w:r>
        <w:t>.</w:t>
      </w:r>
    </w:p>
  </w:footnote>
  <w:footnote w:id="27">
    <w:p w14:paraId="0D357399" w14:textId="77777777" w:rsidR="00654C15" w:rsidRDefault="00654C15" w:rsidP="00654C15">
      <w:pPr>
        <w:pStyle w:val="FootnoteText"/>
      </w:pPr>
      <w:r>
        <w:rPr>
          <w:rStyle w:val="FootnoteReference"/>
        </w:rPr>
        <w:footnoteRef/>
      </w:r>
      <w:r>
        <w:t xml:space="preserve"> </w:t>
      </w:r>
      <w:proofErr w:type="gramStart"/>
      <w:r>
        <w:t>State of Reliability 2015 at 47.</w:t>
      </w:r>
      <w:proofErr w:type="gramEnd"/>
    </w:p>
  </w:footnote>
  <w:footnote w:id="28">
    <w:p w14:paraId="56A074F2" w14:textId="77777777" w:rsidR="00654C15" w:rsidRPr="00627182" w:rsidRDefault="00654C15" w:rsidP="00654C15">
      <w:pPr>
        <w:pStyle w:val="FootnoteText"/>
      </w:pPr>
      <w:r>
        <w:rPr>
          <w:rStyle w:val="FootnoteReference"/>
        </w:rPr>
        <w:footnoteRef/>
      </w:r>
      <w:r>
        <w:t xml:space="preserve"> </w:t>
      </w:r>
      <w:r w:rsidRPr="00AC76AD">
        <w:rPr>
          <w:i/>
        </w:rPr>
        <w:t>See</w:t>
      </w:r>
      <w:r>
        <w:t xml:space="preserve"> </w:t>
      </w:r>
      <w:r w:rsidRPr="00AC76AD">
        <w:t>Request</w:t>
      </w:r>
      <w:r>
        <w:t xml:space="preserve"> for Data or Information Protection System </w:t>
      </w:r>
      <w:proofErr w:type="spellStart"/>
      <w:r>
        <w:t>Misoperation</w:t>
      </w:r>
      <w:proofErr w:type="spellEnd"/>
      <w:r>
        <w:t xml:space="preserve"> Data Collection at 5.</w:t>
      </w:r>
    </w:p>
  </w:footnote>
  <w:footnote w:id="29">
    <w:p w14:paraId="64B342E0" w14:textId="77777777" w:rsidR="00654C15" w:rsidRDefault="00654C15" w:rsidP="00654C15">
      <w:pPr>
        <w:pStyle w:val="FootnoteText"/>
      </w:pPr>
      <w:r>
        <w:rPr>
          <w:rStyle w:val="FootnoteReference"/>
        </w:rPr>
        <w:footnoteRef/>
      </w:r>
      <w:r>
        <w:t xml:space="preserve"> </w:t>
      </w:r>
      <w:r w:rsidRPr="00C77336">
        <w:rPr>
          <w:i/>
        </w:rPr>
        <w:t>See</w:t>
      </w:r>
      <w:r>
        <w:t xml:space="preserve"> </w:t>
      </w:r>
      <w:r>
        <w:rPr>
          <w:i/>
        </w:rPr>
        <w:t xml:space="preserve">id. </w:t>
      </w:r>
      <w:proofErr w:type="gramStart"/>
      <w:r>
        <w:t>at</w:t>
      </w:r>
      <w:proofErr w:type="gramEnd"/>
      <w:r>
        <w:t xml:space="preserve"> 14.</w:t>
      </w:r>
    </w:p>
  </w:footnote>
  <w:footnote w:id="30">
    <w:p w14:paraId="4C1978D8" w14:textId="77777777" w:rsidR="00654C15" w:rsidRPr="00EA7220" w:rsidRDefault="00654C15" w:rsidP="00654C15">
      <w:pPr>
        <w:pStyle w:val="FootnoteText"/>
        <w:rPr>
          <w:i/>
        </w:rPr>
      </w:pPr>
      <w:r>
        <w:rPr>
          <w:rStyle w:val="FootnoteReference"/>
        </w:rPr>
        <w:footnoteRef/>
      </w:r>
      <w:r>
        <w:t xml:space="preserve"> </w:t>
      </w:r>
      <w:proofErr w:type="gramStart"/>
      <w:r>
        <w:rPr>
          <w:i/>
        </w:rPr>
        <w:t>See</w:t>
      </w:r>
      <w:r>
        <w:t xml:space="preserve">, </w:t>
      </w:r>
      <w:r>
        <w:rPr>
          <w:i/>
        </w:rPr>
        <w:t>e.g.</w:t>
      </w:r>
      <w:r>
        <w:t>, State of Reliability 2015 at 45-48.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0CE3" w14:textId="77777777" w:rsidR="00C10B1D" w:rsidRPr="00BC1295" w:rsidRDefault="00C10B1D" w:rsidP="00C10B1D">
    <w:pPr>
      <w:pStyle w:val="Header"/>
    </w:pPr>
    <w:r w:rsidRPr="00BC1295">
      <w:t>FERC-725 (OMB Control No. 1902-0225)</w:t>
    </w:r>
  </w:p>
  <w:p w14:paraId="055D6EE8" w14:textId="7031853F" w:rsidR="00C10B1D" w:rsidRDefault="00A37743" w:rsidP="00C10B1D">
    <w:pPr>
      <w:pStyle w:val="Header"/>
    </w:pPr>
    <w:r>
      <w:t>NOPR</w:t>
    </w:r>
    <w:r w:rsidR="00C10B1D" w:rsidRPr="00BC1295">
      <w:t xml:space="preserve"> </w:t>
    </w:r>
    <w:r w:rsidR="00435FF2">
      <w:t>(</w:t>
    </w:r>
    <w:r w:rsidR="00C10B1D" w:rsidRPr="00982807">
      <w:t xml:space="preserve">Issued </w:t>
    </w:r>
    <w:r w:rsidRPr="00EF1AB7">
      <w:t>9/17/2015</w:t>
    </w:r>
    <w:r w:rsidR="00435FF2">
      <w:t>)</w:t>
    </w:r>
    <w:r w:rsidR="00C10B1D" w:rsidRPr="00982807">
      <w:t>, in</w:t>
    </w:r>
    <w:r w:rsidR="00C10B1D">
      <w:t xml:space="preserve"> Docket </w:t>
    </w:r>
    <w:r>
      <w:t>RM15-25</w:t>
    </w:r>
    <w:r w:rsidR="007E5330">
      <w:t>-000</w:t>
    </w:r>
  </w:p>
  <w:p w14:paraId="6C74794B" w14:textId="18902293" w:rsidR="00984D34" w:rsidRDefault="00C10B1D" w:rsidP="00C10B1D">
    <w:pPr>
      <w:pStyle w:val="Header"/>
    </w:pPr>
    <w:r>
      <w:t>RIN</w:t>
    </w:r>
    <w:r w:rsidRPr="00394EDB">
      <w:t xml:space="preserve">: </w:t>
    </w:r>
    <w:r w:rsidR="00B67516" w:rsidRPr="00394EDB">
      <w:t>1902-AF11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4946" w14:textId="77777777" w:rsidR="00275619" w:rsidRDefault="00275619">
    <w:pPr>
      <w:pStyle w:val="Header"/>
    </w:pPr>
    <w:r>
      <w:t>FERC-725 (OMB Control No. 1902-0225)</w:t>
    </w:r>
  </w:p>
  <w:p w14:paraId="04A7D7DA" w14:textId="77777777" w:rsidR="00275619" w:rsidRDefault="00D11B4A">
    <w:pPr>
      <w:pStyle w:val="Header"/>
    </w:pPr>
    <w:proofErr w:type="gramStart"/>
    <w:r w:rsidRPr="00D11B4A">
      <w:rPr>
        <w:highlight w:val="yellow"/>
      </w:rPr>
      <w:t>Order ???</w:t>
    </w:r>
    <w:proofErr w:type="gramEnd"/>
    <w:r w:rsidRPr="00D11B4A">
      <w:rPr>
        <w:highlight w:val="yellow"/>
      </w:rPr>
      <w:t xml:space="preserve"> (Final Rule, </w:t>
    </w:r>
    <w:proofErr w:type="gramStart"/>
    <w:r w:rsidR="00275619" w:rsidRPr="00D11B4A">
      <w:rPr>
        <w:highlight w:val="yellow"/>
      </w:rPr>
      <w:t xml:space="preserve">Issued </w:t>
    </w:r>
    <w:r w:rsidRPr="00D11B4A">
      <w:rPr>
        <w:highlight w:val="yellow"/>
      </w:rPr>
      <w:t>??</w:t>
    </w:r>
    <w:proofErr w:type="gramEnd"/>
    <w:r w:rsidRPr="00D11B4A">
      <w:rPr>
        <w:highlight w:val="yellow"/>
      </w:rPr>
      <w:t>/??/2013,</w:t>
    </w:r>
    <w:r w:rsidRPr="00D11B4A">
      <w:t xml:space="preserve"> </w:t>
    </w:r>
    <w:r>
      <w:t xml:space="preserve">in Docket RM12-22  </w:t>
    </w:r>
  </w:p>
  <w:p w14:paraId="36107C5F" w14:textId="77777777" w:rsidR="00275619" w:rsidRDefault="00275619">
    <w:pPr>
      <w:pStyle w:val="Header"/>
    </w:pPr>
    <w:r>
      <w:t>RIN: 1902-AE57</w:t>
    </w:r>
  </w:p>
  <w:p w14:paraId="31800880" w14:textId="77777777" w:rsidR="00275619" w:rsidRDefault="00275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9A28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1A2F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CC16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A87E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BE7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46B8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E68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2099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BA4D728"/>
    <w:lvl w:ilvl="0">
      <w:start w:val="1"/>
      <w:numFmt w:val="decimal"/>
      <w:pStyle w:val="ListNumber"/>
      <w:lvlText w:val="%1."/>
      <w:lvlJc w:val="left"/>
      <w:pPr>
        <w:tabs>
          <w:tab w:val="num" w:pos="360"/>
        </w:tabs>
        <w:ind w:left="360" w:hanging="360"/>
      </w:pPr>
    </w:lvl>
  </w:abstractNum>
  <w:abstractNum w:abstractNumId="9">
    <w:nsid w:val="FFFFFF89"/>
    <w:multiLevelType w:val="singleLevel"/>
    <w:tmpl w:val="9D3C96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DBF04FC"/>
    <w:multiLevelType w:val="hybridMultilevel"/>
    <w:tmpl w:val="497CA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4472B8"/>
    <w:multiLevelType w:val="hybridMultilevel"/>
    <w:tmpl w:val="9A0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E4DD3"/>
    <w:multiLevelType w:val="hybridMultilevel"/>
    <w:tmpl w:val="50CAE678"/>
    <w:lvl w:ilvl="0" w:tplc="D4323D4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31"/>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260"/>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3A6A"/>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52C"/>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19"/>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0B"/>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2D1"/>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D31"/>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E3A"/>
    <w:rsid w:val="00391F4F"/>
    <w:rsid w:val="0039233F"/>
    <w:rsid w:val="00392700"/>
    <w:rsid w:val="00392944"/>
    <w:rsid w:val="00393159"/>
    <w:rsid w:val="00393361"/>
    <w:rsid w:val="00393427"/>
    <w:rsid w:val="0039352D"/>
    <w:rsid w:val="00393D97"/>
    <w:rsid w:val="00394278"/>
    <w:rsid w:val="003945AB"/>
    <w:rsid w:val="00394ED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E7B5E"/>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57D6"/>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5FF2"/>
    <w:rsid w:val="00436223"/>
    <w:rsid w:val="00436DBC"/>
    <w:rsid w:val="00437192"/>
    <w:rsid w:val="00437350"/>
    <w:rsid w:val="00437475"/>
    <w:rsid w:val="004378AA"/>
    <w:rsid w:val="00440D0D"/>
    <w:rsid w:val="00440D7D"/>
    <w:rsid w:val="00440DF1"/>
    <w:rsid w:val="004414A2"/>
    <w:rsid w:val="004415F9"/>
    <w:rsid w:val="00441DB3"/>
    <w:rsid w:val="00441E9B"/>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762"/>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7C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3C8"/>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28B"/>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8D0"/>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4307"/>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5AC"/>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3FE"/>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3ECC"/>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1835"/>
    <w:rsid w:val="0065202B"/>
    <w:rsid w:val="006527E3"/>
    <w:rsid w:val="00652B04"/>
    <w:rsid w:val="006531CC"/>
    <w:rsid w:val="00653472"/>
    <w:rsid w:val="00653D1A"/>
    <w:rsid w:val="00654C15"/>
    <w:rsid w:val="006550D8"/>
    <w:rsid w:val="0065600A"/>
    <w:rsid w:val="00656023"/>
    <w:rsid w:val="0065768D"/>
    <w:rsid w:val="00657C3A"/>
    <w:rsid w:val="0066064E"/>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A17"/>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357"/>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BC"/>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5E0"/>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899"/>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5330"/>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2C"/>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AD0"/>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5B0"/>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4AB"/>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315"/>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447"/>
    <w:rsid w:val="009606FD"/>
    <w:rsid w:val="00960D3B"/>
    <w:rsid w:val="00960D6B"/>
    <w:rsid w:val="009611CD"/>
    <w:rsid w:val="00961568"/>
    <w:rsid w:val="00961752"/>
    <w:rsid w:val="00961AEF"/>
    <w:rsid w:val="00961DAE"/>
    <w:rsid w:val="00962399"/>
    <w:rsid w:val="00962480"/>
    <w:rsid w:val="00962609"/>
    <w:rsid w:val="00962B8A"/>
    <w:rsid w:val="00962CF0"/>
    <w:rsid w:val="00962F9D"/>
    <w:rsid w:val="0096332B"/>
    <w:rsid w:val="00963C10"/>
    <w:rsid w:val="0096401E"/>
    <w:rsid w:val="00964751"/>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016"/>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807"/>
    <w:rsid w:val="009829D3"/>
    <w:rsid w:val="00983F55"/>
    <w:rsid w:val="00983FD2"/>
    <w:rsid w:val="00984D34"/>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0B3"/>
    <w:rsid w:val="009C41BA"/>
    <w:rsid w:val="009C4BD8"/>
    <w:rsid w:val="009C50DB"/>
    <w:rsid w:val="009C53DA"/>
    <w:rsid w:val="009C54E3"/>
    <w:rsid w:val="009C5A19"/>
    <w:rsid w:val="009C5A71"/>
    <w:rsid w:val="009C604B"/>
    <w:rsid w:val="009C65E0"/>
    <w:rsid w:val="009C66C2"/>
    <w:rsid w:val="009C6B91"/>
    <w:rsid w:val="009C6FB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984"/>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43"/>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97D27"/>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7FE"/>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516"/>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6BB"/>
    <w:rsid w:val="00B90F2D"/>
    <w:rsid w:val="00B91447"/>
    <w:rsid w:val="00B91B28"/>
    <w:rsid w:val="00B91F8C"/>
    <w:rsid w:val="00B923F9"/>
    <w:rsid w:val="00B9277E"/>
    <w:rsid w:val="00B93398"/>
    <w:rsid w:val="00B93520"/>
    <w:rsid w:val="00B94085"/>
    <w:rsid w:val="00B94258"/>
    <w:rsid w:val="00B94662"/>
    <w:rsid w:val="00B94C6A"/>
    <w:rsid w:val="00B95416"/>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32E"/>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295"/>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0CBC"/>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354"/>
    <w:rsid w:val="00C03426"/>
    <w:rsid w:val="00C035EB"/>
    <w:rsid w:val="00C03F7E"/>
    <w:rsid w:val="00C040C3"/>
    <w:rsid w:val="00C0487E"/>
    <w:rsid w:val="00C04A62"/>
    <w:rsid w:val="00C05242"/>
    <w:rsid w:val="00C05BEF"/>
    <w:rsid w:val="00C10277"/>
    <w:rsid w:val="00C1080B"/>
    <w:rsid w:val="00C10B1D"/>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C4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8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77D44"/>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293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3EF8"/>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5D77"/>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59B"/>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B4A"/>
    <w:rsid w:val="00D11FF8"/>
    <w:rsid w:val="00D12093"/>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4A32"/>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78F"/>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1F33"/>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409"/>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B7"/>
    <w:rsid w:val="00EF1AC9"/>
    <w:rsid w:val="00EF2028"/>
    <w:rsid w:val="00EF20AC"/>
    <w:rsid w:val="00EF233E"/>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54E"/>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7CA"/>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2E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487256"/>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 w:type="character" w:styleId="CommentReference">
    <w:name w:val="annotation reference"/>
    <w:basedOn w:val="DefaultParagraphFont"/>
    <w:rsid w:val="00A37743"/>
    <w:rPr>
      <w:sz w:val="16"/>
      <w:szCs w:val="16"/>
    </w:rPr>
  </w:style>
  <w:style w:type="character" w:customStyle="1" w:styleId="FERCparanumberChar1">
    <w:name w:val="FERC paranumber Char1"/>
    <w:link w:val="FERCparanumber"/>
    <w:rsid w:val="00DC4A32"/>
    <w:rPr>
      <w:sz w:val="26"/>
      <w:szCs w:val="24"/>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DC4A32"/>
    <w:rPr>
      <w:sz w:val="26"/>
    </w:rPr>
  </w:style>
  <w:style w:type="paragraph" w:customStyle="1" w:styleId="FERCparanumberChar">
    <w:name w:val="FERC paranumber Char"/>
    <w:basedOn w:val="Normal"/>
    <w:link w:val="FERCparanumberCharChar"/>
    <w:rsid w:val="00DC4A32"/>
    <w:pPr>
      <w:tabs>
        <w:tab w:val="num" w:pos="720"/>
      </w:tabs>
      <w:autoSpaceDE w:val="0"/>
      <w:autoSpaceDN w:val="0"/>
      <w:adjustRightInd w:val="0"/>
      <w:spacing w:line="480" w:lineRule="auto"/>
    </w:pPr>
  </w:style>
  <w:style w:type="character" w:customStyle="1" w:styleId="FERCparanumberCharChar">
    <w:name w:val="FERC paranumber Char Char"/>
    <w:link w:val="FERCparanumberChar"/>
    <w:rsid w:val="00DC4A3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487256"/>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 w:type="character" w:styleId="CommentReference">
    <w:name w:val="annotation reference"/>
    <w:basedOn w:val="DefaultParagraphFont"/>
    <w:rsid w:val="00A37743"/>
    <w:rPr>
      <w:sz w:val="16"/>
      <w:szCs w:val="16"/>
    </w:rPr>
  </w:style>
  <w:style w:type="character" w:customStyle="1" w:styleId="FERCparanumberChar1">
    <w:name w:val="FERC paranumber Char1"/>
    <w:link w:val="FERCparanumber"/>
    <w:rsid w:val="00DC4A32"/>
    <w:rPr>
      <w:sz w:val="26"/>
      <w:szCs w:val="24"/>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DC4A32"/>
    <w:rPr>
      <w:sz w:val="26"/>
    </w:rPr>
  </w:style>
  <w:style w:type="paragraph" w:customStyle="1" w:styleId="FERCparanumberChar">
    <w:name w:val="FERC paranumber Char"/>
    <w:basedOn w:val="Normal"/>
    <w:link w:val="FERCparanumberCharChar"/>
    <w:rsid w:val="00DC4A32"/>
    <w:pPr>
      <w:tabs>
        <w:tab w:val="num" w:pos="720"/>
      </w:tabs>
      <w:autoSpaceDE w:val="0"/>
      <w:autoSpaceDN w:val="0"/>
      <w:adjustRightInd w:val="0"/>
      <w:spacing w:line="480" w:lineRule="auto"/>
    </w:pPr>
  </w:style>
  <w:style w:type="character" w:customStyle="1" w:styleId="FERCparanumberCharChar">
    <w:name w:val="FERC paranumber Char Char"/>
    <w:link w:val="FERCparanumberChar"/>
    <w:rsid w:val="00DC4A3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library-backup.ferc.gov/idmws/common/OpenNat.asp?fileID=13989195" TargetMode="External"/><Relationship Id="rId1" Type="http://schemas.openxmlformats.org/officeDocument/2006/relationships/hyperlink" Target="http://elibrary-backup.ferc.gov/idmws/common/OpenNat.asp?fileID=13989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2015-09-21T00:00:00-04:00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RM15-25</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A899-6C01-4207-92BF-63EE69183E3D}">
  <ds:schemaRefs>
    <ds:schemaRef ds:uri="http://schemas.microsoft.com/sharepoint/v3/contenttype/forms"/>
  </ds:schemaRefs>
</ds:datastoreItem>
</file>

<file path=customXml/itemProps2.xml><?xml version="1.0" encoding="utf-8"?>
<ds:datastoreItem xmlns:ds="http://schemas.openxmlformats.org/officeDocument/2006/customXml" ds:itemID="{97D75804-6A0F-4997-AA39-59EC05DECB2F}">
  <ds:schemaRefs>
    <ds:schemaRef ds:uri="http://schemas.microsoft.com/office/2006/metadata/customXsn"/>
  </ds:schemaRefs>
</ds:datastoreItem>
</file>

<file path=customXml/itemProps3.xml><?xml version="1.0" encoding="utf-8"?>
<ds:datastoreItem xmlns:ds="http://schemas.openxmlformats.org/officeDocument/2006/customXml" ds:itemID="{6450FE10-BF9C-419A-BF50-64153B25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DD959-0F54-4CCD-BAF0-CE613CA11C2E}">
  <ds:schemaRefs>
    <ds:schemaRef ds:uri="http://schemas.openxmlformats.org/package/2006/metadata/core-properties"/>
    <ds:schemaRef ds:uri="http://purl.org/dc/elements/1.1/"/>
    <ds:schemaRef ds:uri="http://purl.org/dc/terms/"/>
    <ds:schemaRef ds:uri="d6eefc7d-9817-4fa6-84d5-3bc009be21b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326D75C-C0BA-490F-AEAE-8A064150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1294</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Palmer</dc:creator>
  <cp:lastModifiedBy>Ellen Brown</cp:lastModifiedBy>
  <cp:revision>10</cp:revision>
  <dcterms:created xsi:type="dcterms:W3CDTF">2015-09-01T13:02:00Z</dcterms:created>
  <dcterms:modified xsi:type="dcterms:W3CDTF">2015-09-21T16:14:00Z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