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4FA00" w14:textId="77777777" w:rsidR="00516F81" w:rsidRDefault="00516F81" w:rsidP="00E9792F">
      <w:pPr>
        <w:pStyle w:val="NormalWeb"/>
        <w:ind w:left="0" w:firstLine="0"/>
      </w:pPr>
      <w:bookmarkStart w:id="0" w:name="_GoBack"/>
      <w:bookmarkEnd w:id="0"/>
      <w:r>
        <w:t>FEDERAL MARITIME COMMISSION</w:t>
      </w:r>
    </w:p>
    <w:p w14:paraId="4027B355" w14:textId="77777777" w:rsidR="00516F81" w:rsidRDefault="00516F81" w:rsidP="00E9792F">
      <w:pPr>
        <w:pStyle w:val="NormalWeb"/>
        <w:ind w:left="0" w:firstLine="0"/>
      </w:pPr>
      <w:r>
        <w:t xml:space="preserve">Docket 13-05 - </w:t>
      </w:r>
      <w:r w:rsidRPr="00A3196A">
        <w:t xml:space="preserve">Amendments to Regulations Governing Ocean Transportation Intermediary Licensing </w:t>
      </w:r>
      <w:r>
        <w:t>a</w:t>
      </w:r>
      <w:r w:rsidRPr="00A3196A">
        <w:t xml:space="preserve">nd Financial Responsibility Requirements, </w:t>
      </w:r>
      <w:r>
        <w:t>a</w:t>
      </w:r>
      <w:r w:rsidRPr="00A3196A">
        <w:t xml:space="preserve">nd General </w:t>
      </w:r>
      <w:r w:rsidRPr="00516F81">
        <w:t>Duties Final Rule</w:t>
      </w:r>
    </w:p>
    <w:p w14:paraId="7AC290BF" w14:textId="77777777" w:rsidR="00516F81" w:rsidRPr="00516F81" w:rsidRDefault="00516F81" w:rsidP="00E9792F">
      <w:pPr>
        <w:pStyle w:val="NormalWeb"/>
        <w:ind w:left="0" w:firstLine="0"/>
        <w:rPr>
          <w:b/>
        </w:rPr>
      </w:pPr>
      <w:r w:rsidRPr="00516F81">
        <w:rPr>
          <w:b/>
        </w:rPr>
        <w:t>SUMMARY OF COMMENTS</w:t>
      </w:r>
    </w:p>
    <w:p w14:paraId="1C0F3B21" w14:textId="75BCECD0" w:rsidR="00516F81" w:rsidRPr="009962B5" w:rsidRDefault="00516F81" w:rsidP="00E9792F">
      <w:pPr>
        <w:pStyle w:val="NormalWeb"/>
        <w:ind w:left="0" w:firstLine="0"/>
      </w:pPr>
      <w:r>
        <w:tab/>
        <w:t xml:space="preserve">The Commission received 25 comments in response to the proposed rule.  </w:t>
      </w:r>
    </w:p>
    <w:p w14:paraId="0F5C11B2" w14:textId="77777777" w:rsidR="00516F81" w:rsidRPr="003110E0" w:rsidRDefault="00516F81" w:rsidP="00E9792F">
      <w:pPr>
        <w:pStyle w:val="NormalWeb"/>
        <w:ind w:left="0" w:firstLine="0"/>
        <w:rPr>
          <w:u w:val="single"/>
        </w:rPr>
      </w:pPr>
      <w:r w:rsidRPr="003110E0">
        <w:rPr>
          <w:u w:val="single"/>
        </w:rPr>
        <w:t xml:space="preserve">Section 515.2 </w:t>
      </w:r>
      <w:r>
        <w:rPr>
          <w:u w:val="single"/>
        </w:rPr>
        <w:t>–</w:t>
      </w:r>
      <w:r w:rsidRPr="003110E0">
        <w:rPr>
          <w:u w:val="single"/>
        </w:rPr>
        <w:t xml:space="preserve"> Definitions</w:t>
      </w:r>
      <w:r>
        <w:rPr>
          <w:u w:val="single"/>
        </w:rPr>
        <w:t>.</w:t>
      </w:r>
      <w:r w:rsidRPr="003110E0">
        <w:rPr>
          <w:u w:val="single"/>
        </w:rPr>
        <w:t xml:space="preserve"> </w:t>
      </w:r>
    </w:p>
    <w:p w14:paraId="5A1F8FB0" w14:textId="1B91B7BE" w:rsidR="00516F81" w:rsidRDefault="00516F81" w:rsidP="0001643E">
      <w:pPr>
        <w:pStyle w:val="NormalWeb"/>
        <w:ind w:left="0"/>
      </w:pPr>
      <w:r>
        <w:t xml:space="preserve">The proposed rule removes </w:t>
      </w:r>
      <w:r w:rsidRPr="009962B5">
        <w:t>several definitions</w:t>
      </w:r>
      <w:r>
        <w:t xml:space="preserve"> </w:t>
      </w:r>
      <w:r w:rsidRPr="009962B5">
        <w:t>that are no longer relevant to the Commission’s regulatory activities, including</w:t>
      </w:r>
      <w:r>
        <w:t xml:space="preserve"> </w:t>
      </w:r>
      <w:r w:rsidRPr="009962B5">
        <w:t xml:space="preserve">“ocean freight broker” </w:t>
      </w:r>
      <w:r>
        <w:t xml:space="preserve">(section 515.2(n)), </w:t>
      </w:r>
      <w:r w:rsidRPr="009962B5">
        <w:t xml:space="preserve">“brokerage” </w:t>
      </w:r>
      <w:r>
        <w:t>(section 515.2(d)) and “small shipment</w:t>
      </w:r>
      <w:r w:rsidRPr="009962B5">
        <w:t>”</w:t>
      </w:r>
      <w:r>
        <w:t xml:space="preserve"> (section 515.2(u)).  NCBFAA and NYNJFFF&amp;BA agree that these terms are no longer necessary.</w:t>
      </w:r>
    </w:p>
    <w:p w14:paraId="0B04026D" w14:textId="2FA0B030" w:rsidR="00516F81" w:rsidRDefault="00516F81" w:rsidP="009534A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ind w:firstLine="720"/>
        <w:contextualSpacing/>
      </w:pPr>
      <w:r>
        <w:lastRenderedPageBreak/>
        <w:t xml:space="preserve">Several comments expressed concern that the revision of the term </w:t>
      </w:r>
      <w:r w:rsidRPr="009962B5">
        <w:t xml:space="preserve">“principal” </w:t>
      </w:r>
      <w:r>
        <w:t xml:space="preserve">in section </w:t>
      </w:r>
      <w:r w:rsidRPr="00975287">
        <w:t>515.2(o)</w:t>
      </w:r>
      <w:r>
        <w:t xml:space="preserve"> made it capable of a broader </w:t>
      </w:r>
      <w:r w:rsidR="002236FE">
        <w:t xml:space="preserve">and more problematic, </w:t>
      </w:r>
      <w:r>
        <w:t>application than the current definition.</w:t>
      </w:r>
      <w:r w:rsidR="00F0067A">
        <w:t xml:space="preserve">  </w:t>
      </w:r>
      <w:r w:rsidRPr="002E73D6">
        <w:t xml:space="preserve">The Commission </w:t>
      </w:r>
      <w:r>
        <w:t xml:space="preserve">revised the definition to </w:t>
      </w:r>
      <w:r w:rsidRPr="002E73D6">
        <w:t>substantially restore the current definition</w:t>
      </w:r>
      <w:r w:rsidR="006575F2">
        <w:t>.</w:t>
      </w:r>
    </w:p>
    <w:p w14:paraId="33DDC433" w14:textId="5850D4F6" w:rsidR="00516F81" w:rsidRDefault="00516F81" w:rsidP="009534A7">
      <w:pPr>
        <w:pStyle w:val="NormalWeb"/>
        <w:ind w:left="0"/>
      </w:pPr>
      <w:r>
        <w:t xml:space="preserve">Favorable comments were made regarding revisions to the definitions of “freight forwarding services” and “non-vessel-operating common carrier services.” </w:t>
      </w:r>
    </w:p>
    <w:p w14:paraId="37B82D6D" w14:textId="1167226D" w:rsidR="009534A7" w:rsidRDefault="00516F81" w:rsidP="009534A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ind w:firstLine="720"/>
        <w:contextualSpacing/>
      </w:pPr>
      <w:r>
        <w:t>The term “qualifying individual” (QI) is added and defines QI as an individual who meets the Shipping Act’s experience and character requirements.  Comment</w:t>
      </w:r>
      <w:r w:rsidR="00365AC1">
        <w:t>s</w:t>
      </w:r>
      <w:r>
        <w:t xml:space="preserve"> on the definition of “qualifying individual”</w:t>
      </w:r>
      <w:r w:rsidR="00365AC1">
        <w:t xml:space="preserve"> (QI)</w:t>
      </w:r>
      <w:r>
        <w:t xml:space="preserve">, </w:t>
      </w:r>
      <w:r w:rsidR="00365AC1">
        <w:t xml:space="preserve">opined </w:t>
      </w:r>
      <w:r>
        <w:t xml:space="preserve">that the Commission’s review process </w:t>
      </w:r>
      <w:r w:rsidR="00365AC1">
        <w:t xml:space="preserve">of the QI </w:t>
      </w:r>
      <w:r>
        <w:t>does not adequately address a qualifying individual’s competence</w:t>
      </w:r>
      <w:r w:rsidR="00365AC1">
        <w:t xml:space="preserve"> and recommended establishment of </w:t>
      </w:r>
      <w:r w:rsidR="00365AC1">
        <w:lastRenderedPageBreak/>
        <w:t>affirmative competency requirements</w:t>
      </w:r>
      <w:r>
        <w:t xml:space="preserve">.  </w:t>
      </w:r>
      <w:r w:rsidR="00365AC1">
        <w:t>The Commission noted that the suggestions were</w:t>
      </w:r>
      <w:r>
        <w:t xml:space="preserve"> beyond the scope of the </w:t>
      </w:r>
      <w:r w:rsidR="00187F5D">
        <w:t>NOPR and would require subsequent rulemaking proceedings</w:t>
      </w:r>
      <w:r>
        <w:t xml:space="preserve">. </w:t>
      </w:r>
    </w:p>
    <w:p w14:paraId="16D0937D" w14:textId="77777777" w:rsidR="009534A7" w:rsidRDefault="009534A7" w:rsidP="009534A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ind w:firstLine="720"/>
        <w:contextualSpacing/>
      </w:pPr>
    </w:p>
    <w:p w14:paraId="5DBC9FA2" w14:textId="2FB3910E" w:rsidR="00516F81" w:rsidRDefault="00516F81" w:rsidP="009534A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ind w:firstLine="720"/>
        <w:contextualSpacing/>
      </w:pPr>
      <w:r>
        <w:t xml:space="preserve"> </w:t>
      </w:r>
    </w:p>
    <w:p w14:paraId="2844F227" w14:textId="77777777" w:rsidR="00516F81" w:rsidRPr="003110E0" w:rsidRDefault="00516F81" w:rsidP="00E9792F">
      <w:pPr>
        <w:pStyle w:val="NormalWeb"/>
        <w:ind w:left="0" w:firstLine="0"/>
        <w:rPr>
          <w:u w:val="single"/>
        </w:rPr>
      </w:pPr>
      <w:r w:rsidRPr="003110E0">
        <w:rPr>
          <w:u w:val="single"/>
        </w:rPr>
        <w:t>Section 515.3 – License; when required</w:t>
      </w:r>
      <w:r>
        <w:rPr>
          <w:u w:val="single"/>
        </w:rPr>
        <w:t>.</w:t>
      </w:r>
    </w:p>
    <w:p w14:paraId="4929D4BF" w14:textId="6F03F520" w:rsidR="00516F81" w:rsidRDefault="00365AC1" w:rsidP="009534A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ind w:firstLine="720"/>
        <w:contextualSpacing/>
      </w:pPr>
      <w:r>
        <w:t xml:space="preserve">Comments </w:t>
      </w:r>
      <w:r w:rsidR="00DD0826">
        <w:t>asserted that the requirement that</w:t>
      </w:r>
      <w:r w:rsidR="00F0067A">
        <w:t xml:space="preserve"> unlicensed foreign-based OTIs must use only licensed OTIs as their agents in the U.S. </w:t>
      </w:r>
      <w:r w:rsidR="00D369E4">
        <w:t>may have</w:t>
      </w:r>
      <w:r w:rsidR="00F0067A">
        <w:t xml:space="preserve"> the prohibited effect of regulating NVOCCs’ agents</w:t>
      </w:r>
      <w:r w:rsidR="00516F81">
        <w:t xml:space="preserve">.  The Commission </w:t>
      </w:r>
      <w:r w:rsidR="00DD0826">
        <w:t>noted</w:t>
      </w:r>
      <w:r>
        <w:t xml:space="preserve"> </w:t>
      </w:r>
      <w:r w:rsidR="00F0067A">
        <w:t xml:space="preserve">its reliance upon </w:t>
      </w:r>
      <w:r>
        <w:t>Congress</w:t>
      </w:r>
      <w:r w:rsidR="00F0067A">
        <w:t>’</w:t>
      </w:r>
      <w:r>
        <w:t xml:space="preserve"> instruct</w:t>
      </w:r>
      <w:r w:rsidR="00F0067A">
        <w:t>ions in enacting the Ocean Shipping Reform Act of 1998, that</w:t>
      </w:r>
      <w:r>
        <w:t xml:space="preserve"> the Commission </w:t>
      </w:r>
      <w:r w:rsidR="00516F81" w:rsidRPr="00794616">
        <w:t xml:space="preserve">determine </w:t>
      </w:r>
      <w:r w:rsidR="00F0067A">
        <w:t>“</w:t>
      </w:r>
      <w:r w:rsidR="00516F81" w:rsidRPr="00794616">
        <w:t>when foreign-based entities</w:t>
      </w:r>
      <w:r w:rsidR="00516F81">
        <w:t xml:space="preserve"> </w:t>
      </w:r>
      <w:r w:rsidR="00516F81" w:rsidRPr="00794616">
        <w:t>conducting business in the United</w:t>
      </w:r>
      <w:r w:rsidR="00516F81">
        <w:t xml:space="preserve"> </w:t>
      </w:r>
      <w:r w:rsidR="00516F81" w:rsidRPr="00794616">
        <w:t xml:space="preserve">States are to be considered persons </w:t>
      </w:r>
      <w:r w:rsidR="00516F81" w:rsidRPr="00794616">
        <w:lastRenderedPageBreak/>
        <w:t>in</w:t>
      </w:r>
      <w:r w:rsidR="00516F81">
        <w:t xml:space="preserve"> </w:t>
      </w:r>
      <w:r w:rsidR="00516F81" w:rsidRPr="00794616">
        <w:t>the United States’’ for purposes of the</w:t>
      </w:r>
      <w:r w:rsidR="00516F81">
        <w:t xml:space="preserve"> </w:t>
      </w:r>
      <w:r w:rsidR="00516F81" w:rsidRPr="00794616">
        <w:t>licensing requirements of section 19 of</w:t>
      </w:r>
      <w:r w:rsidR="00516F81">
        <w:t xml:space="preserve"> </w:t>
      </w:r>
      <w:r w:rsidR="00516F81" w:rsidRPr="00794616">
        <w:t>the 1984 Act</w:t>
      </w:r>
      <w:r w:rsidR="00D63300">
        <w:t>.</w:t>
      </w:r>
      <w:r w:rsidR="00F0067A">
        <w:t xml:space="preserve"> </w:t>
      </w:r>
      <w:r w:rsidR="00D63300">
        <w:t xml:space="preserve">  The rule </w:t>
      </w:r>
      <w:r w:rsidR="00F0067A">
        <w:t>comports with that instruction</w:t>
      </w:r>
      <w:r w:rsidR="00516F81" w:rsidRPr="00794616">
        <w:t xml:space="preserve">. </w:t>
      </w:r>
    </w:p>
    <w:p w14:paraId="64D36D57" w14:textId="77777777" w:rsidR="00516F81" w:rsidRPr="003110E0" w:rsidRDefault="00516F81" w:rsidP="00E9792F">
      <w:pPr>
        <w:pStyle w:val="NormalWeb"/>
        <w:ind w:left="0" w:firstLine="0"/>
        <w:rPr>
          <w:u w:val="single"/>
        </w:rPr>
      </w:pPr>
      <w:r w:rsidRPr="003110E0">
        <w:rPr>
          <w:u w:val="single"/>
        </w:rPr>
        <w:t>Section 515.4 – License; when not required</w:t>
      </w:r>
      <w:r>
        <w:rPr>
          <w:u w:val="single"/>
        </w:rPr>
        <w:t>.</w:t>
      </w:r>
    </w:p>
    <w:p w14:paraId="1E168729" w14:textId="10D392F0" w:rsidR="00516F81" w:rsidRDefault="009534A7" w:rsidP="00E9792F">
      <w:pPr>
        <w:widowControl/>
        <w:tabs>
          <w:tab w:val="clear" w:pos="0"/>
        </w:tabs>
        <w:spacing w:line="480" w:lineRule="auto"/>
      </w:pPr>
      <w:r>
        <w:tab/>
      </w:r>
      <w:r w:rsidR="00516F81">
        <w:t>Comments uniformly support</w:t>
      </w:r>
      <w:r w:rsidR="00296AE3">
        <w:t>ed</w:t>
      </w:r>
      <w:r w:rsidR="00516F81">
        <w:t xml:space="preserve"> the elimination of the </w:t>
      </w:r>
      <w:r w:rsidR="00922EC5">
        <w:t>current requirement that OTI increase their bonds by</w:t>
      </w:r>
      <w:r w:rsidR="00516F81">
        <w:t xml:space="preserve"> $10,000 for each unincorporated branch office.</w:t>
      </w:r>
    </w:p>
    <w:p w14:paraId="57B4A0AB" w14:textId="723EC0A5" w:rsidR="00674010" w:rsidRDefault="009534A7" w:rsidP="00E9792F">
      <w:pPr>
        <w:widowControl/>
        <w:tabs>
          <w:tab w:val="clear" w:pos="0"/>
        </w:tabs>
        <w:spacing w:line="480" w:lineRule="auto"/>
      </w:pPr>
      <w:r>
        <w:tab/>
      </w:r>
      <w:r w:rsidR="00922EC5">
        <w:t>Comments opposed</w:t>
      </w:r>
      <w:r w:rsidR="00516F81">
        <w:t xml:space="preserve"> </w:t>
      </w:r>
      <w:r w:rsidR="00D369E4">
        <w:t>a</w:t>
      </w:r>
      <w:r w:rsidR="00516F81">
        <w:t xml:space="preserve"> provision in section 515.4(b) that an OTI </w:t>
      </w:r>
      <w:r w:rsidR="00D369E4">
        <w:t>be</w:t>
      </w:r>
      <w:r w:rsidR="00516F81">
        <w:t xml:space="preserve"> fully responsible for the acts and omissions of any of its employees and agents performed in connection with </w:t>
      </w:r>
      <w:r w:rsidR="00922EC5">
        <w:t xml:space="preserve">a </w:t>
      </w:r>
      <w:r w:rsidR="00516F81">
        <w:t xml:space="preserve">licensee’s business.  The </w:t>
      </w:r>
      <w:r w:rsidR="00922EC5">
        <w:t xml:space="preserve">Commission indicated that </w:t>
      </w:r>
      <w:r w:rsidR="004941E4">
        <w:t xml:space="preserve">the </w:t>
      </w:r>
      <w:r w:rsidR="00516F81">
        <w:t xml:space="preserve">current rule reference to strict responsibility is imprecise and </w:t>
      </w:r>
      <w:r w:rsidR="00922EC5">
        <w:t xml:space="preserve">the </w:t>
      </w:r>
      <w:r w:rsidR="004941E4">
        <w:t xml:space="preserve">change </w:t>
      </w:r>
      <w:r w:rsidR="00922EC5">
        <w:t>will avoid</w:t>
      </w:r>
      <w:r w:rsidR="00516F81">
        <w:t xml:space="preserve"> </w:t>
      </w:r>
      <w:r w:rsidR="004941E4">
        <w:t>inference</w:t>
      </w:r>
      <w:r w:rsidR="00516F81">
        <w:t xml:space="preserve"> that </w:t>
      </w:r>
      <w:r w:rsidR="00674010">
        <w:t>“</w:t>
      </w:r>
      <w:r w:rsidR="00516F81">
        <w:t>strict liability</w:t>
      </w:r>
      <w:r w:rsidR="00674010">
        <w:t>”</w:t>
      </w:r>
      <w:r w:rsidR="00922EC5">
        <w:t xml:space="preserve"> regimes </w:t>
      </w:r>
      <w:r w:rsidR="00674010">
        <w:t>applicable under other laws govern th</w:t>
      </w:r>
      <w:r w:rsidR="004941E4">
        <w:t>e</w:t>
      </w:r>
      <w:r w:rsidR="00674010">
        <w:t xml:space="preserve"> provision</w:t>
      </w:r>
      <w:r w:rsidR="00516F81">
        <w:t>.</w:t>
      </w:r>
    </w:p>
    <w:p w14:paraId="3BBF92BF" w14:textId="77777777" w:rsidR="00516F81" w:rsidRPr="0026145D" w:rsidRDefault="00516F81" w:rsidP="00E9792F">
      <w:pPr>
        <w:pStyle w:val="NormalWeb"/>
        <w:ind w:left="0" w:firstLine="0"/>
        <w:rPr>
          <w:u w:val="single"/>
        </w:rPr>
      </w:pPr>
      <w:r w:rsidRPr="009962B5">
        <w:t xml:space="preserve"> </w:t>
      </w:r>
      <w:r w:rsidRPr="0026145D">
        <w:rPr>
          <w:u w:val="single"/>
        </w:rPr>
        <w:t xml:space="preserve">Section 515.5 – Forms and </w:t>
      </w:r>
      <w:r>
        <w:rPr>
          <w:u w:val="single"/>
        </w:rPr>
        <w:t>f</w:t>
      </w:r>
      <w:r w:rsidRPr="0026145D">
        <w:rPr>
          <w:u w:val="single"/>
        </w:rPr>
        <w:t>ees.</w:t>
      </w:r>
    </w:p>
    <w:p w14:paraId="7BEF63D0" w14:textId="77777777" w:rsidR="00201EC0" w:rsidRDefault="00922EC5" w:rsidP="009534A7">
      <w:pPr>
        <w:pStyle w:val="NormalWeb"/>
        <w:ind w:left="0"/>
      </w:pPr>
      <w:r>
        <w:lastRenderedPageBreak/>
        <w:t xml:space="preserve">Comments </w:t>
      </w:r>
      <w:r w:rsidR="00516F81">
        <w:t>support</w:t>
      </w:r>
      <w:r w:rsidR="006575F2">
        <w:t xml:space="preserve"> </w:t>
      </w:r>
      <w:r w:rsidR="00516F81">
        <w:t xml:space="preserve">the changes to </w:t>
      </w:r>
      <w:r w:rsidR="00516F81" w:rsidRPr="00A830B6">
        <w:t>section 515.5</w:t>
      </w:r>
      <w:r w:rsidR="00516F81">
        <w:t xml:space="preserve"> providing for the electronic filing of applications and the </w:t>
      </w:r>
      <w:r>
        <w:t>reorganization of information regarding applicable fees and regarding efficiencies that occur with implementation of electronic payments</w:t>
      </w:r>
      <w:r w:rsidR="00516F81">
        <w:t xml:space="preserve">. </w:t>
      </w:r>
    </w:p>
    <w:p w14:paraId="342C422A" w14:textId="0ACF9CC1" w:rsidR="00516F81" w:rsidRDefault="00516F81" w:rsidP="00E9792F">
      <w:pPr>
        <w:pStyle w:val="NormalWeb"/>
        <w:ind w:left="0" w:firstLine="0"/>
      </w:pPr>
      <w:r>
        <w:t xml:space="preserve"> </w:t>
      </w:r>
      <w:r w:rsidRPr="00807C67">
        <w:rPr>
          <w:u w:val="single"/>
        </w:rPr>
        <w:t xml:space="preserve">Section 515.11 – Basic </w:t>
      </w:r>
      <w:r>
        <w:rPr>
          <w:u w:val="single"/>
        </w:rPr>
        <w:t>r</w:t>
      </w:r>
      <w:r w:rsidRPr="00807C67">
        <w:rPr>
          <w:u w:val="single"/>
        </w:rPr>
        <w:t>equirements for licensing; eligibility</w:t>
      </w:r>
      <w:r>
        <w:t>.</w:t>
      </w:r>
    </w:p>
    <w:p w14:paraId="20F32578" w14:textId="61596598" w:rsidR="00516F81" w:rsidRDefault="00922EC5" w:rsidP="009534A7">
      <w:pPr>
        <w:pStyle w:val="MediumGrid1-Accent21"/>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ind w:left="0" w:firstLine="720"/>
      </w:pPr>
      <w:r>
        <w:t xml:space="preserve">Comments questioned why the experience of foreign-based OTIs must be obtained with respect to </w:t>
      </w:r>
      <w:r w:rsidR="009C363E">
        <w:t>transactions in the U.S. ocean-borne foreign commerce.</w:t>
      </w:r>
      <w:r w:rsidR="00516F81">
        <w:t xml:space="preserve"> </w:t>
      </w:r>
      <w:r w:rsidR="009C363E">
        <w:t xml:space="preserve">The </w:t>
      </w:r>
      <w:r w:rsidR="00516F81">
        <w:t xml:space="preserve">Commission </w:t>
      </w:r>
      <w:r w:rsidR="00B935CA">
        <w:t xml:space="preserve">responded </w:t>
      </w:r>
      <w:r w:rsidR="00516F81">
        <w:t xml:space="preserve">that </w:t>
      </w:r>
      <w:r w:rsidR="008670AB">
        <w:t xml:space="preserve">such </w:t>
      </w:r>
      <w:r w:rsidR="00516F81">
        <w:t xml:space="preserve">OTI experience provides them with exposure to and working knowledge of U.S. laws, regulations, and practices, including the Shipping Act and Commission regulations.  </w:t>
      </w:r>
    </w:p>
    <w:p w14:paraId="2AF128C3" w14:textId="107BB50D" w:rsidR="00516F81" w:rsidRDefault="00B935CA" w:rsidP="009534A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ind w:firstLine="720"/>
        <w:contextualSpacing/>
      </w:pPr>
      <w:r>
        <w:t>Comments</w:t>
      </w:r>
      <w:r w:rsidR="00516F81">
        <w:t xml:space="preserve"> expresse</w:t>
      </w:r>
      <w:r>
        <w:t>d</w:t>
      </w:r>
      <w:r w:rsidR="00516F81">
        <w:t xml:space="preserve"> concern that </w:t>
      </w:r>
      <w:r w:rsidR="00D369E4">
        <w:t xml:space="preserve">certain </w:t>
      </w:r>
      <w:r w:rsidR="00516F81">
        <w:t xml:space="preserve">information considered by the Commission in </w:t>
      </w:r>
      <w:r w:rsidR="00D369E4">
        <w:t xml:space="preserve">the process of </w:t>
      </w:r>
      <w:r w:rsidR="00516F81">
        <w:t xml:space="preserve">assessing an applicant’s character could </w:t>
      </w:r>
      <w:r w:rsidR="00D369E4">
        <w:t xml:space="preserve">result in </w:t>
      </w:r>
      <w:r w:rsidR="00516F81">
        <w:t xml:space="preserve">the denial of a license </w:t>
      </w:r>
      <w:r w:rsidR="00887AEE">
        <w:t>though</w:t>
      </w:r>
      <w:r w:rsidR="00D369E4">
        <w:t xml:space="preserve"> th</w:t>
      </w:r>
      <w:r w:rsidR="00887AEE">
        <w:t>e</w:t>
      </w:r>
      <w:r w:rsidR="00D369E4">
        <w:t xml:space="preserve"> information has no connection to </w:t>
      </w:r>
      <w:r w:rsidR="00D369E4">
        <w:lastRenderedPageBreak/>
        <w:t xml:space="preserve">an </w:t>
      </w:r>
      <w:r w:rsidR="00887AEE">
        <w:t>licensee’s/</w:t>
      </w:r>
      <w:r w:rsidR="00D369E4">
        <w:t>applicant’s character</w:t>
      </w:r>
      <w:r w:rsidR="00516F81">
        <w:t xml:space="preserve">.  </w:t>
      </w:r>
      <w:r w:rsidR="00C3760F">
        <w:t>The Final Rule notes</w:t>
      </w:r>
      <w:r>
        <w:t xml:space="preserve"> that</w:t>
      </w:r>
      <w:r w:rsidR="00516F81">
        <w:t xml:space="preserve"> factors set out in </w:t>
      </w:r>
      <w:r>
        <w:t>the rule revision</w:t>
      </w:r>
      <w:r w:rsidR="00516F81">
        <w:t xml:space="preserve"> have been </w:t>
      </w:r>
      <w:r w:rsidR="00C3760F">
        <w:t>relied upon</w:t>
      </w:r>
      <w:r w:rsidR="00516F81">
        <w:t xml:space="preserve"> for years in Commission licensing determinations.</w:t>
      </w:r>
    </w:p>
    <w:p w14:paraId="535B4379" w14:textId="77777777" w:rsidR="00516F81" w:rsidRDefault="00516F81" w:rsidP="00E9792F">
      <w:pPr>
        <w:pStyle w:val="NormalWeb"/>
        <w:ind w:left="0" w:firstLine="0"/>
      </w:pPr>
      <w:r w:rsidRPr="00EA24BE">
        <w:rPr>
          <w:u w:val="single"/>
        </w:rPr>
        <w:t>Section 515.14 – Issuance, renewal, and use of license</w:t>
      </w:r>
      <w:r>
        <w:t xml:space="preserve">. </w:t>
      </w:r>
    </w:p>
    <w:p w14:paraId="6F385DA8" w14:textId="59BD4D9C" w:rsidR="00265161" w:rsidRDefault="009534A7" w:rsidP="00E9792F">
      <w:pPr>
        <w:spacing w:line="480" w:lineRule="auto"/>
      </w:pPr>
      <w:r>
        <w:tab/>
      </w:r>
      <w:r w:rsidR="00265161">
        <w:t>C</w:t>
      </w:r>
      <w:r w:rsidR="00516F81" w:rsidRPr="00C644FC">
        <w:t>omments object to the requirement that licenses be renewed every three years because the Commission’s regulations already require that certain changes in a licensee’s organization be submitted to the Commission for prior approval</w:t>
      </w:r>
      <w:r w:rsidR="00265161">
        <w:t xml:space="preserve"> on an ongoing basis and suggested vigorous enforcement of current rules.</w:t>
      </w:r>
      <w:r w:rsidR="00516F81" w:rsidRPr="00C644FC">
        <w:t xml:space="preserve"> </w:t>
      </w:r>
      <w:r w:rsidR="00265161" w:rsidRPr="00265161">
        <w:t xml:space="preserve"> </w:t>
      </w:r>
      <w:r w:rsidR="00265161">
        <w:t>The Final Rule Supplementary Information indicates that the incidence of noncompliance with the current reporting requirements supports the new license renewal requirements.</w:t>
      </w:r>
    </w:p>
    <w:p w14:paraId="606DFB07" w14:textId="77777777" w:rsidR="00516F81" w:rsidRPr="00DC09DC" w:rsidRDefault="00516F81" w:rsidP="00E9792F">
      <w:pPr>
        <w:pStyle w:val="NormalWeb"/>
        <w:ind w:left="0" w:firstLine="0"/>
      </w:pPr>
      <w:r w:rsidRPr="00A510CA">
        <w:rPr>
          <w:u w:val="single"/>
        </w:rPr>
        <w:t>Section 515.17 – Hearing procedures governing</w:t>
      </w:r>
      <w:r>
        <w:rPr>
          <w:u w:val="single"/>
        </w:rPr>
        <w:t>:</w:t>
      </w:r>
      <w:r w:rsidRPr="00A510CA">
        <w:rPr>
          <w:u w:val="single"/>
        </w:rPr>
        <w:t xml:space="preserve"> denial, revocation, or suspension of OTI license</w:t>
      </w:r>
      <w:r>
        <w:rPr>
          <w:u w:val="single"/>
        </w:rPr>
        <w:t>s</w:t>
      </w:r>
      <w:r>
        <w:t>.</w:t>
      </w:r>
    </w:p>
    <w:p w14:paraId="4E574E09" w14:textId="42121253" w:rsidR="009534A7" w:rsidRDefault="00C938A7" w:rsidP="009534A7">
      <w:pPr>
        <w:pStyle w:val="NormalWeb"/>
        <w:ind w:left="0"/>
      </w:pPr>
      <w:r>
        <w:lastRenderedPageBreak/>
        <w:t>Commenters expressed c</w:t>
      </w:r>
      <w:r w:rsidR="00C46723" w:rsidRPr="00C46723">
        <w:t xml:space="preserve">oncern that the </w:t>
      </w:r>
      <w:r w:rsidR="00780B81" w:rsidRPr="00780B81">
        <w:t xml:space="preserve">section 515.17 </w:t>
      </w:r>
      <w:r w:rsidR="00C46723" w:rsidRPr="00C46723">
        <w:t xml:space="preserve">expedited hearing procedure may not accord OTIs adequate due process.  </w:t>
      </w:r>
      <w:r w:rsidR="00780B81">
        <w:t>In response, the Commission revised the section in the Final Rule so that</w:t>
      </w:r>
      <w:r w:rsidR="00C46723" w:rsidRPr="00C46723">
        <w:t xml:space="preserve"> where the Commission gives notice of intent to revoke or suspend an OTI’s license, terminate the registration of an un-licensed foreign-based NVOCC, or deny a license application, </w:t>
      </w:r>
      <w:r w:rsidR="00780B81">
        <w:t xml:space="preserve">the </w:t>
      </w:r>
      <w:r w:rsidR="00C46723" w:rsidRPr="00C46723">
        <w:t>OTI</w:t>
      </w:r>
      <w:r w:rsidR="00780B81">
        <w:t xml:space="preserve"> or license applicant </w:t>
      </w:r>
      <w:r w:rsidR="00C46723" w:rsidRPr="00C46723">
        <w:t xml:space="preserve">may file exceptions </w:t>
      </w:r>
      <w:r w:rsidR="00887AEE">
        <w:t xml:space="preserve">formally </w:t>
      </w:r>
      <w:r w:rsidR="00C46723" w:rsidRPr="00C46723">
        <w:t>challenging an adverse decision pursuant to the requirements of section 502.227 of the Commission’s Rules of Practice and Procedure.  Section 502.227 governs exceptions filed to, for example, Initial Decisions of Administrative Law Judges in formal Commission proceedings.</w:t>
      </w:r>
    </w:p>
    <w:p w14:paraId="76442544" w14:textId="06598C7C" w:rsidR="00C46723" w:rsidRPr="00C46723" w:rsidRDefault="00C46723" w:rsidP="009534A7">
      <w:pPr>
        <w:pStyle w:val="NormalWeb"/>
        <w:ind w:left="0"/>
      </w:pPr>
      <w:r w:rsidRPr="00C46723">
        <w:t xml:space="preserve">  </w:t>
      </w:r>
    </w:p>
    <w:p w14:paraId="2F5686DC" w14:textId="77777777" w:rsidR="00516F81" w:rsidRDefault="00516F81" w:rsidP="00E9792F">
      <w:pPr>
        <w:pStyle w:val="NormalWeb"/>
        <w:ind w:left="0" w:firstLine="0"/>
      </w:pPr>
      <w:r w:rsidRPr="0052360B">
        <w:rPr>
          <w:u w:val="single"/>
        </w:rPr>
        <w:t>Section 515.23</w:t>
      </w:r>
      <w:r>
        <w:rPr>
          <w:u w:val="single"/>
        </w:rPr>
        <w:t xml:space="preserve"> - </w:t>
      </w:r>
      <w:r w:rsidRPr="0052360B">
        <w:rPr>
          <w:u w:val="single"/>
        </w:rPr>
        <w:t>Claims against an ocean transportation intermediary</w:t>
      </w:r>
      <w:r>
        <w:t>.</w:t>
      </w:r>
    </w:p>
    <w:p w14:paraId="258061CB" w14:textId="403939F7" w:rsidR="00C46723" w:rsidRPr="00C46723" w:rsidRDefault="00C46723" w:rsidP="009534A7">
      <w:pPr>
        <w:pStyle w:val="NormalWeb"/>
        <w:ind w:left="0"/>
      </w:pPr>
      <w:r w:rsidRPr="00C46723">
        <w:lastRenderedPageBreak/>
        <w:t xml:space="preserve">Some commenters expressed concern that the requirement, in each of the Forms, that financial responsibility providers report claims made against and claim pay-outs from, OTI financial responsibility, could be used against an OTI by competitors.  </w:t>
      </w:r>
      <w:r w:rsidR="00010641">
        <w:t xml:space="preserve">Financial responsibility providers have long been required by the terms of the Forms to report claims to the Commission.  </w:t>
      </w:r>
      <w:r w:rsidRPr="00C46723">
        <w:t xml:space="preserve">The Final Rule </w:t>
      </w:r>
      <w:r w:rsidR="00FD5A16">
        <w:t>require</w:t>
      </w:r>
      <w:r w:rsidR="00445221">
        <w:t>s</w:t>
      </w:r>
      <w:r w:rsidRPr="00C46723">
        <w:t xml:space="preserve"> such information </w:t>
      </w:r>
      <w:r w:rsidR="00445221">
        <w:t xml:space="preserve">to </w:t>
      </w:r>
      <w:r w:rsidRPr="00C46723">
        <w:t xml:space="preserve">be reported </w:t>
      </w:r>
      <w:r w:rsidR="00FD5A16">
        <w:t xml:space="preserve">only </w:t>
      </w:r>
      <w:r w:rsidRPr="00C46723">
        <w:t>to the Commission</w:t>
      </w:r>
      <w:r w:rsidR="008F65A6">
        <w:t>;</w:t>
      </w:r>
      <w:r w:rsidR="00FD5A16">
        <w:t xml:space="preserve"> that the information i</w:t>
      </w:r>
      <w:r w:rsidRPr="00C46723">
        <w:t>s for the Commission’s internal use only</w:t>
      </w:r>
      <w:r w:rsidR="008F65A6">
        <w:t>;</w:t>
      </w:r>
      <w:r w:rsidRPr="00C46723">
        <w:t xml:space="preserve"> and</w:t>
      </w:r>
      <w:r w:rsidR="008F65A6">
        <w:t xml:space="preserve"> that such data</w:t>
      </w:r>
      <w:r w:rsidRPr="00C46723">
        <w:t xml:space="preserve"> will be protected to the extent provided by law. </w:t>
      </w:r>
    </w:p>
    <w:p w14:paraId="2CE6E5F5" w14:textId="348FF8DA" w:rsidR="00516F81" w:rsidRDefault="00C46723" w:rsidP="009534A7">
      <w:pPr>
        <w:pStyle w:val="MediumGrid1-Accent21"/>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ind w:left="0" w:firstLine="720"/>
      </w:pPr>
      <w:r>
        <w:t xml:space="preserve">A financial responsibility provider </w:t>
      </w:r>
      <w:r w:rsidR="00516F81">
        <w:t>support</w:t>
      </w:r>
      <w:r>
        <w:t>ed</w:t>
      </w:r>
      <w:r w:rsidR="00516F81">
        <w:t xml:space="preserve"> </w:t>
      </w:r>
      <w:r w:rsidR="00666CDC">
        <w:t>claim notification requirements.</w:t>
      </w:r>
      <w:r w:rsidR="00B91C78">
        <w:t xml:space="preserve"> The provider also pointed out </w:t>
      </w:r>
      <w:r w:rsidR="00474CF5">
        <w:t xml:space="preserve">minor </w:t>
      </w:r>
      <w:r w:rsidR="00666CDC">
        <w:t xml:space="preserve">corrections </w:t>
      </w:r>
      <w:r w:rsidR="00474CF5">
        <w:t>to</w:t>
      </w:r>
      <w:r w:rsidR="00666CDC">
        <w:t xml:space="preserve"> </w:t>
      </w:r>
      <w:r w:rsidR="00B91C78">
        <w:t xml:space="preserve">the </w:t>
      </w:r>
      <w:r w:rsidR="00666CDC">
        <w:t>S</w:t>
      </w:r>
      <w:r w:rsidR="00B91C78">
        <w:t xml:space="preserve">urety </w:t>
      </w:r>
      <w:r w:rsidR="00666CDC">
        <w:t>B</w:t>
      </w:r>
      <w:r w:rsidR="00B91C78">
        <w:t xml:space="preserve">ond </w:t>
      </w:r>
      <w:r w:rsidR="00562630">
        <w:t xml:space="preserve">Form </w:t>
      </w:r>
      <w:r w:rsidR="00B91C78">
        <w:t xml:space="preserve">and </w:t>
      </w:r>
      <w:r w:rsidR="00474CF5">
        <w:t xml:space="preserve">the need to </w:t>
      </w:r>
      <w:r w:rsidR="006E7FDD">
        <w:t>delete a</w:t>
      </w:r>
      <w:r w:rsidR="00B91C78">
        <w:t xml:space="preserve"> “proviso” paragraph </w:t>
      </w:r>
      <w:r w:rsidR="00474CF5">
        <w:t xml:space="preserve">that was </w:t>
      </w:r>
      <w:r w:rsidR="00B91C78">
        <w:t xml:space="preserve">not appropriate for </w:t>
      </w:r>
      <w:r w:rsidR="00B91C78" w:rsidRPr="00B91C78">
        <w:t>Forms FMC-48, FMC-67 and FMC-68</w:t>
      </w:r>
      <w:r w:rsidR="00B91C78">
        <w:t>.  The Commission made the</w:t>
      </w:r>
      <w:r w:rsidR="00474CF5">
        <w:t>se</w:t>
      </w:r>
      <w:r w:rsidR="00B91C78">
        <w:t xml:space="preserve"> changes.  </w:t>
      </w:r>
    </w:p>
    <w:p w14:paraId="3110B482" w14:textId="77777777" w:rsidR="00516F81" w:rsidRPr="00405DF1" w:rsidRDefault="00516F81" w:rsidP="00E9792F">
      <w:pPr>
        <w:pStyle w:val="NormalWeb"/>
        <w:ind w:left="0" w:firstLine="0"/>
      </w:pPr>
      <w:r w:rsidRPr="00405DF1">
        <w:rPr>
          <w:u w:val="single"/>
        </w:rPr>
        <w:lastRenderedPageBreak/>
        <w:t>Section 515.27 - Proof of compliance – NVOCC</w:t>
      </w:r>
      <w:r w:rsidRPr="00405DF1">
        <w:t>.</w:t>
      </w:r>
    </w:p>
    <w:p w14:paraId="664B96ED" w14:textId="62681B56" w:rsidR="00516F81" w:rsidRDefault="00B91C78" w:rsidP="009534A7">
      <w:pPr>
        <w:pStyle w:val="NormalWeb"/>
        <w:ind w:left="0"/>
      </w:pPr>
      <w:r>
        <w:t xml:space="preserve">The Commission adopted </w:t>
      </w:r>
      <w:r w:rsidR="00266F1B">
        <w:t>a commenter’s</w:t>
      </w:r>
      <w:r>
        <w:t xml:space="preserve"> suggestion that </w:t>
      </w:r>
      <w:r w:rsidR="00266F1B">
        <w:t>sub</w:t>
      </w:r>
      <w:r>
        <w:t>s</w:t>
      </w:r>
      <w:r w:rsidR="00516F81">
        <w:t>ection 515.27(d)</w:t>
      </w:r>
      <w:r w:rsidR="008F65A6">
        <w:t>,</w:t>
      </w:r>
      <w:r w:rsidR="00516F81">
        <w:t xml:space="preserve"> </w:t>
      </w:r>
      <w:r w:rsidR="00266F1B">
        <w:t>as proposed</w:t>
      </w:r>
      <w:r w:rsidR="008F65A6">
        <w:t>,</w:t>
      </w:r>
      <w:r w:rsidR="00266F1B">
        <w:t xml:space="preserve"> be </w:t>
      </w:r>
      <w:r w:rsidR="00516F81">
        <w:t>harmonize</w:t>
      </w:r>
      <w:r w:rsidR="00266F1B">
        <w:t>d with</w:t>
      </w:r>
      <w:r w:rsidR="00516F81">
        <w:t xml:space="preserve"> </w:t>
      </w:r>
      <w:r w:rsidR="008F10D8">
        <w:t>the remainder of the section</w:t>
      </w:r>
      <w:r w:rsidR="00516F81">
        <w:t xml:space="preserve">.  </w:t>
      </w:r>
    </w:p>
    <w:p w14:paraId="4D81E9B4" w14:textId="77777777" w:rsidR="00516F81" w:rsidRDefault="00516F81" w:rsidP="00E9792F">
      <w:pPr>
        <w:pStyle w:val="NormalWeb"/>
        <w:ind w:left="0" w:firstLine="0"/>
      </w:pPr>
      <w:r w:rsidRPr="00441F8E">
        <w:rPr>
          <w:u w:val="single"/>
        </w:rPr>
        <w:t>Section 515.31</w:t>
      </w:r>
      <w:r>
        <w:rPr>
          <w:u w:val="single"/>
        </w:rPr>
        <w:t xml:space="preserve"> -</w:t>
      </w:r>
      <w:r w:rsidRPr="00441F8E">
        <w:rPr>
          <w:u w:val="single"/>
        </w:rPr>
        <w:t xml:space="preserve"> General </w:t>
      </w:r>
      <w:r>
        <w:rPr>
          <w:u w:val="single"/>
        </w:rPr>
        <w:t>d</w:t>
      </w:r>
      <w:r w:rsidRPr="00441F8E">
        <w:rPr>
          <w:u w:val="single"/>
        </w:rPr>
        <w:t>uties</w:t>
      </w:r>
      <w:r>
        <w:t>.</w:t>
      </w:r>
    </w:p>
    <w:p w14:paraId="0A621541" w14:textId="24C30876" w:rsidR="00516F81" w:rsidRDefault="00516F81" w:rsidP="00E9792F">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contextualSpacing/>
      </w:pPr>
      <w:r>
        <w:t xml:space="preserve"> </w:t>
      </w:r>
      <w:r w:rsidR="009534A7">
        <w:tab/>
      </w:r>
      <w:r w:rsidR="007D4CF0">
        <w:t>C</w:t>
      </w:r>
      <w:r>
        <w:t xml:space="preserve">omments </w:t>
      </w:r>
      <w:r w:rsidR="007D4CF0">
        <w:t xml:space="preserve">suggested </w:t>
      </w:r>
      <w:r>
        <w:t xml:space="preserve">that OTIs are not in a position to ensure that </w:t>
      </w:r>
      <w:r w:rsidR="007D4CF0">
        <w:t xml:space="preserve">OTIs’ </w:t>
      </w:r>
      <w:r>
        <w:t>agents make their corporate records available</w:t>
      </w:r>
      <w:r w:rsidR="007D4CF0">
        <w:t xml:space="preserve"> when requested by the Commission</w:t>
      </w:r>
      <w:r>
        <w:t>.</w:t>
      </w:r>
      <w:r w:rsidR="00883D01">
        <w:t xml:space="preserve">  </w:t>
      </w:r>
      <w:r w:rsidR="007D4CF0">
        <w:t xml:space="preserve">The Commission </w:t>
      </w:r>
      <w:r w:rsidR="00883D01">
        <w:t>responded</w:t>
      </w:r>
      <w:r w:rsidR="007D4CF0">
        <w:t xml:space="preserve"> that </w:t>
      </w:r>
      <w:r>
        <w:t xml:space="preserve">OTIs </w:t>
      </w:r>
      <w:r w:rsidR="007D4CF0">
        <w:t xml:space="preserve">are able </w:t>
      </w:r>
      <w:r>
        <w:t xml:space="preserve">to obligate </w:t>
      </w:r>
      <w:r w:rsidR="00A51F9A">
        <w:t>their</w:t>
      </w:r>
      <w:r>
        <w:t xml:space="preserve"> agents to provide records </w:t>
      </w:r>
      <w:r w:rsidR="007D4CF0">
        <w:t>by incorporating</w:t>
      </w:r>
      <w:r>
        <w:t xml:space="preserve"> provisions in</w:t>
      </w:r>
      <w:r w:rsidR="007D4CF0">
        <w:t xml:space="preserve"> </w:t>
      </w:r>
      <w:r w:rsidR="005A3862">
        <w:t>agency agreements.</w:t>
      </w:r>
    </w:p>
    <w:p w14:paraId="06D35A56" w14:textId="692857E7" w:rsidR="00516F81" w:rsidRDefault="007D4CF0" w:rsidP="009534A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ind w:firstLine="720"/>
        <w:contextualSpacing/>
      </w:pPr>
      <w:r>
        <w:t xml:space="preserve">Comments </w:t>
      </w:r>
      <w:r w:rsidR="00516F81">
        <w:t>express</w:t>
      </w:r>
      <w:r>
        <w:t>ed</w:t>
      </w:r>
      <w:r w:rsidR="00516F81">
        <w:t xml:space="preserve"> concern that section 515.31(j) can be read to apply to agents that might advertise to perform </w:t>
      </w:r>
      <w:r w:rsidR="007119F9">
        <w:t xml:space="preserve">miscellaneous </w:t>
      </w:r>
      <w:r w:rsidR="00516F81">
        <w:t>OTI service</w:t>
      </w:r>
      <w:r w:rsidR="00110512">
        <w:t xml:space="preserve">s </w:t>
      </w:r>
      <w:r w:rsidR="00516F81">
        <w:t xml:space="preserve">as </w:t>
      </w:r>
      <w:r w:rsidR="00110512">
        <w:t>an agent of</w:t>
      </w:r>
      <w:r w:rsidR="00516F81">
        <w:t xml:space="preserve"> an OTI.  The Commission agree</w:t>
      </w:r>
      <w:r>
        <w:t>d</w:t>
      </w:r>
      <w:r w:rsidR="00516F81">
        <w:t xml:space="preserve"> </w:t>
      </w:r>
      <w:r>
        <w:t xml:space="preserve">and revised the requirement </w:t>
      </w:r>
      <w:r w:rsidR="00110512">
        <w:t xml:space="preserve">to </w:t>
      </w:r>
      <w:r w:rsidR="00110512">
        <w:lastRenderedPageBreak/>
        <w:t xml:space="preserve">clarify that </w:t>
      </w:r>
      <w:r>
        <w:t xml:space="preserve">it prohibits the advertisement or holding out </w:t>
      </w:r>
      <w:r w:rsidR="00110512">
        <w:t xml:space="preserve">by a person </w:t>
      </w:r>
      <w:r>
        <w:t>to “act” as an OTI unless th</w:t>
      </w:r>
      <w:r w:rsidR="00110512">
        <w:t>at</w:t>
      </w:r>
      <w:r>
        <w:t xml:space="preserve"> person is licensed or registered. </w:t>
      </w:r>
    </w:p>
    <w:p w14:paraId="3CC32F80" w14:textId="77777777" w:rsidR="00AF6EE7" w:rsidRPr="00516F81" w:rsidRDefault="00AF6EE7" w:rsidP="00E9792F"/>
    <w:sectPr w:rsidR="00AF6EE7" w:rsidRPr="00516F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B2AE0" w14:textId="77777777" w:rsidR="00B11C18" w:rsidRDefault="00B11C18" w:rsidP="00516F81">
      <w:r>
        <w:separator/>
      </w:r>
    </w:p>
  </w:endnote>
  <w:endnote w:type="continuationSeparator" w:id="0">
    <w:p w14:paraId="05ADD1D7" w14:textId="77777777" w:rsidR="00B11C18" w:rsidRDefault="00B11C18" w:rsidP="0051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550E4" w14:textId="3E0F5B97" w:rsidR="00B5707F" w:rsidRDefault="00B5707F">
    <w:pPr>
      <w:pStyle w:val="Footer"/>
      <w:pBdr>
        <w:top w:val="thinThickSmallGap" w:sz="24" w:space="1" w:color="823B0B" w:themeColor="accent2" w:themeShade="7F"/>
      </w:pBdr>
      <w:rPr>
        <w:rFonts w:asciiTheme="majorHAnsi" w:hAnsiTheme="majorHAnsi"/>
      </w:rPr>
    </w:pPr>
    <w:r>
      <w:rPr>
        <w:rFonts w:asciiTheme="majorHAnsi" w:hAnsiTheme="majorHAnsi"/>
        <w:b/>
      </w:rPr>
      <w:t>Summary of Comments</w:t>
    </w:r>
    <w:r>
      <w:rPr>
        <w:rFonts w:asciiTheme="majorHAnsi" w:hAnsiTheme="majorHAnsi"/>
      </w:rPr>
      <w:ptab w:relativeTo="margin" w:alignment="right" w:leader="none"/>
    </w:r>
    <w:r>
      <w:rPr>
        <w:rFonts w:asciiTheme="majorHAnsi" w:hAnsiTheme="majorHAnsi"/>
      </w:rPr>
      <w:t xml:space="preserve">Page </w:t>
    </w:r>
    <w:r>
      <w:rPr>
        <w:rFonts w:asciiTheme="minorHAnsi" w:hAnsiTheme="minorHAnsi"/>
      </w:rPr>
      <w:fldChar w:fldCharType="begin"/>
    </w:r>
    <w:r>
      <w:instrText xml:space="preserve"> PAGE   \* MERGEFORMAT </w:instrText>
    </w:r>
    <w:r>
      <w:rPr>
        <w:rFonts w:asciiTheme="minorHAnsi" w:hAnsiTheme="minorHAnsi"/>
      </w:rPr>
      <w:fldChar w:fldCharType="separate"/>
    </w:r>
    <w:r w:rsidR="00905D60" w:rsidRPr="00905D60">
      <w:rPr>
        <w:rFonts w:asciiTheme="majorHAnsi" w:hAnsiTheme="majorHAnsi"/>
        <w:noProof/>
      </w:rPr>
      <w:t>2</w:t>
    </w:r>
    <w:r>
      <w:rPr>
        <w:rFonts w:asciiTheme="majorHAnsi" w:hAnsiTheme="majorHAnsi"/>
        <w:noProof/>
      </w:rPr>
      <w:fldChar w:fldCharType="end"/>
    </w:r>
  </w:p>
  <w:p w14:paraId="6487675E" w14:textId="77777777" w:rsidR="005668E9" w:rsidRDefault="00566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B1EB0" w14:textId="77777777" w:rsidR="00B11C18" w:rsidRDefault="00B11C18" w:rsidP="00516F81">
      <w:r>
        <w:separator/>
      </w:r>
    </w:p>
  </w:footnote>
  <w:footnote w:type="continuationSeparator" w:id="0">
    <w:p w14:paraId="4F0318CB" w14:textId="77777777" w:rsidR="00B11C18" w:rsidRDefault="00B11C18" w:rsidP="00516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914C1"/>
    <w:multiLevelType w:val="multilevel"/>
    <w:tmpl w:val="A1FCD8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SixteenTes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3B00615"/>
    <w:multiLevelType w:val="multilevel"/>
    <w:tmpl w:val="EEA60334"/>
    <w:lvl w:ilvl="0">
      <w:start w:val="515"/>
      <w:numFmt w:val="decimal"/>
      <w:lvlText w:val="%1"/>
      <w:lvlJc w:val="left"/>
      <w:pPr>
        <w:ind w:left="660" w:hanging="660"/>
      </w:pPr>
      <w:rPr>
        <w:rFonts w:hint="default"/>
      </w:rPr>
    </w:lvl>
    <w:lvl w:ilvl="1">
      <w:start w:val="9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C4E0CDD"/>
    <w:multiLevelType w:val="hybridMultilevel"/>
    <w:tmpl w:val="C2140888"/>
    <w:lvl w:ilvl="0" w:tplc="3BCEE1B6">
      <w:start w:val="1"/>
      <w:numFmt w:val="decimal"/>
      <w:lvlText w:val="%1."/>
      <w:lvlJc w:val="left"/>
      <w:pPr>
        <w:tabs>
          <w:tab w:val="num" w:pos="1080"/>
        </w:tabs>
        <w:ind w:left="1080" w:hanging="270"/>
      </w:pPr>
      <w:rPr>
        <w:rFonts w:hint="default"/>
        <w:i w:val="0"/>
      </w:r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F81"/>
    <w:rsid w:val="00010641"/>
    <w:rsid w:val="0001643E"/>
    <w:rsid w:val="000C6F93"/>
    <w:rsid w:val="00110512"/>
    <w:rsid w:val="00187F5D"/>
    <w:rsid w:val="00201EC0"/>
    <w:rsid w:val="002236FE"/>
    <w:rsid w:val="00265161"/>
    <w:rsid w:val="00266F1B"/>
    <w:rsid w:val="00296AE3"/>
    <w:rsid w:val="00365AC1"/>
    <w:rsid w:val="00445221"/>
    <w:rsid w:val="00474CF5"/>
    <w:rsid w:val="004941E4"/>
    <w:rsid w:val="004D46B7"/>
    <w:rsid w:val="00516F81"/>
    <w:rsid w:val="00562630"/>
    <w:rsid w:val="005668E9"/>
    <w:rsid w:val="005A2161"/>
    <w:rsid w:val="005A3862"/>
    <w:rsid w:val="006575F2"/>
    <w:rsid w:val="00666CDC"/>
    <w:rsid w:val="00674010"/>
    <w:rsid w:val="006E7FDD"/>
    <w:rsid w:val="007119F9"/>
    <w:rsid w:val="00757E7A"/>
    <w:rsid w:val="00780B81"/>
    <w:rsid w:val="00781F13"/>
    <w:rsid w:val="007D4CF0"/>
    <w:rsid w:val="007D6440"/>
    <w:rsid w:val="008670AB"/>
    <w:rsid w:val="00883D01"/>
    <w:rsid w:val="00887AEE"/>
    <w:rsid w:val="008F10D8"/>
    <w:rsid w:val="008F65A6"/>
    <w:rsid w:val="00905D60"/>
    <w:rsid w:val="00922EC5"/>
    <w:rsid w:val="009534A7"/>
    <w:rsid w:val="00963458"/>
    <w:rsid w:val="009C363E"/>
    <w:rsid w:val="00A51F9A"/>
    <w:rsid w:val="00AF6EE7"/>
    <w:rsid w:val="00B11C18"/>
    <w:rsid w:val="00B5707F"/>
    <w:rsid w:val="00B91C78"/>
    <w:rsid w:val="00B935CA"/>
    <w:rsid w:val="00BD42C3"/>
    <w:rsid w:val="00C3760F"/>
    <w:rsid w:val="00C46723"/>
    <w:rsid w:val="00C938A7"/>
    <w:rsid w:val="00D369E4"/>
    <w:rsid w:val="00D63300"/>
    <w:rsid w:val="00DB1C9B"/>
    <w:rsid w:val="00DD0826"/>
    <w:rsid w:val="00E9792F"/>
    <w:rsid w:val="00F0067A"/>
    <w:rsid w:val="00FD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8E42"/>
  <w15:chartTrackingRefBased/>
  <w15:docId w15:val="{FF34F522-475D-4604-8969-BE49B6BC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F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516F8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16F81"/>
    <w:rPr>
      <w:rFonts w:ascii="Times New Roman" w:eastAsia="Times New Roman" w:hAnsi="Times New Roman" w:cs="Times New Roman"/>
      <w:b/>
      <w:bCs/>
      <w:sz w:val="20"/>
      <w:szCs w:val="20"/>
    </w:rPr>
  </w:style>
  <w:style w:type="paragraph" w:customStyle="1" w:styleId="Level1">
    <w:name w:val="Level 1"/>
    <w:uiPriority w:val="99"/>
    <w:rsid w:val="00516F81"/>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uiPriority w:val="99"/>
    <w:rsid w:val="00516F81"/>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Level3">
    <w:name w:val="Level 3"/>
    <w:uiPriority w:val="99"/>
    <w:rsid w:val="00516F81"/>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customStyle="1" w:styleId="Level4">
    <w:name w:val="Level 4"/>
    <w:uiPriority w:val="99"/>
    <w:rsid w:val="00516F81"/>
    <w:pPr>
      <w:widowControl w:val="0"/>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Level5">
    <w:name w:val="Level 5"/>
    <w:uiPriority w:val="99"/>
    <w:rsid w:val="00516F81"/>
    <w:pPr>
      <w:widowControl w:val="0"/>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Level6">
    <w:name w:val="Level 6"/>
    <w:uiPriority w:val="99"/>
    <w:rsid w:val="00516F81"/>
    <w:pPr>
      <w:widowControl w:val="0"/>
      <w:autoSpaceDE w:val="0"/>
      <w:autoSpaceDN w:val="0"/>
      <w:adjustRightInd w:val="0"/>
      <w:spacing w:after="0" w:line="240" w:lineRule="auto"/>
      <w:ind w:left="4320"/>
      <w:jc w:val="both"/>
    </w:pPr>
    <w:rPr>
      <w:rFonts w:ascii="Times New Roman" w:eastAsia="Times New Roman" w:hAnsi="Times New Roman" w:cs="Times New Roman"/>
      <w:sz w:val="24"/>
      <w:szCs w:val="24"/>
    </w:rPr>
  </w:style>
  <w:style w:type="paragraph" w:customStyle="1" w:styleId="Level7">
    <w:name w:val="Level 7"/>
    <w:uiPriority w:val="99"/>
    <w:rsid w:val="00516F81"/>
    <w:pPr>
      <w:widowControl w:val="0"/>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paragraph" w:customStyle="1" w:styleId="Level8">
    <w:name w:val="Level 8"/>
    <w:uiPriority w:val="99"/>
    <w:rsid w:val="00516F81"/>
    <w:pPr>
      <w:widowControl w:val="0"/>
      <w:autoSpaceDE w:val="0"/>
      <w:autoSpaceDN w:val="0"/>
      <w:adjustRightInd w:val="0"/>
      <w:spacing w:after="0" w:line="240" w:lineRule="auto"/>
      <w:ind w:left="5760"/>
      <w:jc w:val="both"/>
    </w:pPr>
    <w:rPr>
      <w:rFonts w:ascii="Times New Roman" w:eastAsia="Times New Roman" w:hAnsi="Times New Roman" w:cs="Times New Roman"/>
      <w:sz w:val="24"/>
      <w:szCs w:val="24"/>
    </w:rPr>
  </w:style>
  <w:style w:type="paragraph" w:customStyle="1" w:styleId="Level9">
    <w:name w:val="Level 9"/>
    <w:uiPriority w:val="99"/>
    <w:rsid w:val="00516F81"/>
    <w:pPr>
      <w:widowControl w:val="0"/>
      <w:autoSpaceDE w:val="0"/>
      <w:autoSpaceDN w:val="0"/>
      <w:adjustRightInd w:val="0"/>
      <w:spacing w:after="0" w:line="240" w:lineRule="auto"/>
      <w:ind w:left="-1440"/>
      <w:jc w:val="both"/>
    </w:pPr>
    <w:rPr>
      <w:rFonts w:ascii="Times New Roman" w:eastAsia="Times New Roman" w:hAnsi="Times New Roman" w:cs="Times New Roman"/>
      <w:b/>
      <w:bCs/>
      <w:sz w:val="24"/>
      <w:szCs w:val="24"/>
    </w:rPr>
  </w:style>
  <w:style w:type="paragraph" w:customStyle="1" w:styleId="17">
    <w:name w:val="_17"/>
    <w:uiPriority w:val="99"/>
    <w:rsid w:val="00516F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6">
    <w:name w:val="_16"/>
    <w:uiPriority w:val="99"/>
    <w:rsid w:val="00516F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15">
    <w:name w:val="_15"/>
    <w:uiPriority w:val="99"/>
    <w:rsid w:val="00516F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customStyle="1" w:styleId="14">
    <w:name w:val="_14"/>
    <w:uiPriority w:val="99"/>
    <w:rsid w:val="00516F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13">
    <w:name w:val="_13"/>
    <w:uiPriority w:val="99"/>
    <w:rsid w:val="00516F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12">
    <w:name w:val="_12"/>
    <w:uiPriority w:val="99"/>
    <w:rsid w:val="00516F8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szCs w:val="24"/>
    </w:rPr>
  </w:style>
  <w:style w:type="paragraph" w:customStyle="1" w:styleId="11">
    <w:name w:val="_11"/>
    <w:uiPriority w:val="99"/>
    <w:rsid w:val="00516F8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paragraph" w:customStyle="1" w:styleId="10">
    <w:name w:val="_10"/>
    <w:uiPriority w:val="99"/>
    <w:rsid w:val="00516F81"/>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szCs w:val="24"/>
    </w:rPr>
  </w:style>
  <w:style w:type="paragraph" w:customStyle="1" w:styleId="26">
    <w:name w:val="_26"/>
    <w:uiPriority w:val="99"/>
    <w:rsid w:val="00516F8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5">
    <w:name w:val="_25"/>
    <w:uiPriority w:val="99"/>
    <w:rsid w:val="00516F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24">
    <w:name w:val="_24"/>
    <w:uiPriority w:val="99"/>
    <w:rsid w:val="00516F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customStyle="1" w:styleId="23">
    <w:name w:val="_23"/>
    <w:uiPriority w:val="99"/>
    <w:rsid w:val="00516F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22">
    <w:name w:val="_22"/>
    <w:uiPriority w:val="99"/>
    <w:rsid w:val="00516F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21">
    <w:name w:val="_21"/>
    <w:uiPriority w:val="99"/>
    <w:rsid w:val="00516F8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szCs w:val="24"/>
    </w:rPr>
  </w:style>
  <w:style w:type="paragraph" w:customStyle="1" w:styleId="20">
    <w:name w:val="_20"/>
    <w:uiPriority w:val="99"/>
    <w:rsid w:val="00516F8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paragraph" w:customStyle="1" w:styleId="19">
    <w:name w:val="_19"/>
    <w:uiPriority w:val="99"/>
    <w:rsid w:val="00516F81"/>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szCs w:val="24"/>
    </w:rPr>
  </w:style>
  <w:style w:type="paragraph" w:customStyle="1" w:styleId="18">
    <w:name w:val="_18"/>
    <w:uiPriority w:val="99"/>
    <w:rsid w:val="00516F81"/>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eastAsia="Times New Roman" w:hAnsi="Times New Roman" w:cs="Times New Roman"/>
      <w:sz w:val="24"/>
      <w:szCs w:val="24"/>
    </w:rPr>
  </w:style>
  <w:style w:type="paragraph" w:customStyle="1" w:styleId="9">
    <w:name w:val="_9"/>
    <w:uiPriority w:val="99"/>
    <w:rsid w:val="00516F81"/>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eastAsia="Times New Roman" w:hAnsi="Times New Roman" w:cs="Times New Roman"/>
      <w:sz w:val="24"/>
      <w:szCs w:val="24"/>
    </w:rPr>
  </w:style>
  <w:style w:type="paragraph" w:customStyle="1" w:styleId="8">
    <w:name w:val="_8"/>
    <w:uiPriority w:val="99"/>
    <w:rsid w:val="00516F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
    <w:name w:val="_7"/>
    <w:uiPriority w:val="99"/>
    <w:rsid w:val="00516F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6">
    <w:name w:val="_6"/>
    <w:uiPriority w:val="99"/>
    <w:rsid w:val="00516F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customStyle="1" w:styleId="5">
    <w:name w:val="_5"/>
    <w:uiPriority w:val="99"/>
    <w:rsid w:val="00516F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4">
    <w:name w:val="_4"/>
    <w:uiPriority w:val="99"/>
    <w:rsid w:val="00516F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3">
    <w:name w:val="_3"/>
    <w:uiPriority w:val="99"/>
    <w:rsid w:val="00516F8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eastAsia="Times New Roman" w:hAnsi="Times New Roman" w:cs="Times New Roman"/>
      <w:sz w:val="24"/>
      <w:szCs w:val="24"/>
    </w:rPr>
  </w:style>
  <w:style w:type="paragraph" w:customStyle="1" w:styleId="2">
    <w:name w:val="_2"/>
    <w:uiPriority w:val="99"/>
    <w:rsid w:val="00516F8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paragraph" w:customStyle="1" w:styleId="1">
    <w:name w:val="_1"/>
    <w:uiPriority w:val="99"/>
    <w:rsid w:val="00516F81"/>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eastAsia="Times New Roman" w:hAnsi="Times New Roman" w:cs="Times New Roman"/>
      <w:sz w:val="24"/>
      <w:szCs w:val="24"/>
    </w:rPr>
  </w:style>
  <w:style w:type="paragraph" w:customStyle="1" w:styleId="a">
    <w:name w:val="_"/>
    <w:uiPriority w:val="99"/>
    <w:rsid w:val="00516F81"/>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eastAsia="Times New Roman" w:hAnsi="Times New Roman" w:cs="Times New Roman"/>
      <w:sz w:val="24"/>
      <w:szCs w:val="24"/>
    </w:rPr>
  </w:style>
  <w:style w:type="paragraph" w:customStyle="1" w:styleId="DefinitionT">
    <w:name w:val="Definition T"/>
    <w:uiPriority w:val="99"/>
    <w:rsid w:val="00516F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DefinitionL">
    <w:name w:val="Definition L"/>
    <w:uiPriority w:val="99"/>
    <w:rsid w:val="00516F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eastAsia="Times New Roman" w:hAnsi="Times New Roman" w:cs="Times New Roman"/>
      <w:sz w:val="24"/>
      <w:szCs w:val="24"/>
    </w:rPr>
  </w:style>
  <w:style w:type="character" w:customStyle="1" w:styleId="Definition">
    <w:name w:val="Definition"/>
    <w:uiPriority w:val="99"/>
    <w:rsid w:val="00516F81"/>
    <w:rPr>
      <w:i/>
      <w:iCs/>
    </w:rPr>
  </w:style>
  <w:style w:type="paragraph" w:customStyle="1" w:styleId="H1">
    <w:name w:val="H1"/>
    <w:uiPriority w:val="99"/>
    <w:rsid w:val="00516F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48"/>
      <w:szCs w:val="48"/>
    </w:rPr>
  </w:style>
  <w:style w:type="paragraph" w:customStyle="1" w:styleId="H2">
    <w:name w:val="H2"/>
    <w:uiPriority w:val="99"/>
    <w:rsid w:val="00516F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36"/>
      <w:szCs w:val="36"/>
    </w:rPr>
  </w:style>
  <w:style w:type="paragraph" w:customStyle="1" w:styleId="H3">
    <w:name w:val="H3"/>
    <w:uiPriority w:val="99"/>
    <w:rsid w:val="00516F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customStyle="1" w:styleId="H4">
    <w:name w:val="H4"/>
    <w:uiPriority w:val="99"/>
    <w:rsid w:val="00516F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4"/>
      <w:szCs w:val="24"/>
    </w:rPr>
  </w:style>
  <w:style w:type="paragraph" w:customStyle="1" w:styleId="H5">
    <w:name w:val="H5"/>
    <w:uiPriority w:val="99"/>
    <w:rsid w:val="00516F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0"/>
      <w:szCs w:val="20"/>
    </w:rPr>
  </w:style>
  <w:style w:type="paragraph" w:customStyle="1" w:styleId="H6">
    <w:name w:val="H6"/>
    <w:uiPriority w:val="99"/>
    <w:rsid w:val="00516F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16"/>
      <w:szCs w:val="16"/>
    </w:rPr>
  </w:style>
  <w:style w:type="paragraph" w:customStyle="1" w:styleId="Address">
    <w:name w:val="Address"/>
    <w:uiPriority w:val="99"/>
    <w:rsid w:val="00516F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i/>
      <w:iCs/>
      <w:sz w:val="24"/>
      <w:szCs w:val="24"/>
    </w:rPr>
  </w:style>
  <w:style w:type="paragraph" w:customStyle="1" w:styleId="Blockquote">
    <w:name w:val="Blockquote"/>
    <w:uiPriority w:val="99"/>
    <w:rsid w:val="00516F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sz w:val="24"/>
      <w:szCs w:val="24"/>
    </w:rPr>
  </w:style>
  <w:style w:type="character" w:customStyle="1" w:styleId="CITE">
    <w:name w:val="CITE"/>
    <w:uiPriority w:val="99"/>
    <w:rsid w:val="00516F81"/>
    <w:rPr>
      <w:i/>
      <w:iCs/>
    </w:rPr>
  </w:style>
  <w:style w:type="character" w:customStyle="1" w:styleId="CODE">
    <w:name w:val="CODE"/>
    <w:uiPriority w:val="99"/>
    <w:rsid w:val="00516F81"/>
    <w:rPr>
      <w:rFonts w:ascii="Courier New" w:hAnsi="Courier New" w:cs="Courier New"/>
      <w:sz w:val="20"/>
      <w:szCs w:val="20"/>
    </w:rPr>
  </w:style>
  <w:style w:type="character" w:styleId="Emphasis">
    <w:name w:val="Emphasis"/>
    <w:basedOn w:val="DefaultParagraphFont"/>
    <w:uiPriority w:val="99"/>
    <w:qFormat/>
    <w:rsid w:val="00516F81"/>
    <w:rPr>
      <w:i/>
      <w:iCs/>
    </w:rPr>
  </w:style>
  <w:style w:type="character" w:styleId="Hyperlink">
    <w:name w:val="Hyperlink"/>
    <w:basedOn w:val="DefaultParagraphFont"/>
    <w:rsid w:val="00516F81"/>
    <w:rPr>
      <w:color w:val="0000FF"/>
      <w:u w:val="single"/>
    </w:rPr>
  </w:style>
  <w:style w:type="character" w:customStyle="1" w:styleId="FollowedHype">
    <w:name w:val="FollowedHype"/>
    <w:uiPriority w:val="99"/>
    <w:rsid w:val="00516F81"/>
    <w:rPr>
      <w:color w:val="800080"/>
      <w:u w:val="single"/>
    </w:rPr>
  </w:style>
  <w:style w:type="character" w:customStyle="1" w:styleId="Keyboard">
    <w:name w:val="Keyboard"/>
    <w:uiPriority w:val="99"/>
    <w:rsid w:val="00516F81"/>
    <w:rPr>
      <w:rFonts w:ascii="Courier New" w:hAnsi="Courier New" w:cs="Courier New"/>
      <w:b/>
      <w:bCs/>
      <w:sz w:val="20"/>
      <w:szCs w:val="20"/>
    </w:rPr>
  </w:style>
  <w:style w:type="paragraph" w:customStyle="1" w:styleId="Preformatted">
    <w:name w:val="Preformatted"/>
    <w:uiPriority w:val="99"/>
    <w:rsid w:val="00516F8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zBottomof">
    <w:name w:val="zBottom of"/>
    <w:uiPriority w:val="99"/>
    <w:rsid w:val="00516F81"/>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eastAsia="Times New Roman" w:hAnsi="Arial" w:cs="Arial"/>
      <w:sz w:val="16"/>
      <w:szCs w:val="16"/>
    </w:rPr>
  </w:style>
  <w:style w:type="paragraph" w:customStyle="1" w:styleId="zTopofFor">
    <w:name w:val="zTop of For"/>
    <w:uiPriority w:val="99"/>
    <w:rsid w:val="00516F81"/>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eastAsia="Times New Roman" w:hAnsi="Arial" w:cs="Arial"/>
      <w:sz w:val="16"/>
      <w:szCs w:val="16"/>
    </w:rPr>
  </w:style>
  <w:style w:type="character" w:customStyle="1" w:styleId="Sample">
    <w:name w:val="Sample"/>
    <w:uiPriority w:val="99"/>
    <w:rsid w:val="00516F81"/>
    <w:rPr>
      <w:rFonts w:ascii="Courier New" w:hAnsi="Courier New" w:cs="Courier New"/>
    </w:rPr>
  </w:style>
  <w:style w:type="character" w:styleId="Strong">
    <w:name w:val="Strong"/>
    <w:basedOn w:val="DefaultParagraphFont"/>
    <w:uiPriority w:val="22"/>
    <w:qFormat/>
    <w:rsid w:val="00516F81"/>
    <w:rPr>
      <w:b/>
      <w:bCs/>
    </w:rPr>
  </w:style>
  <w:style w:type="character" w:customStyle="1" w:styleId="Typewriter">
    <w:name w:val="Typewriter"/>
    <w:uiPriority w:val="99"/>
    <w:rsid w:val="00516F81"/>
    <w:rPr>
      <w:rFonts w:ascii="Courier New" w:hAnsi="Courier New" w:cs="Courier New"/>
      <w:sz w:val="20"/>
      <w:szCs w:val="20"/>
    </w:rPr>
  </w:style>
  <w:style w:type="character" w:customStyle="1" w:styleId="Variable">
    <w:name w:val="Variable"/>
    <w:uiPriority w:val="99"/>
    <w:rsid w:val="00516F81"/>
    <w:rPr>
      <w:i/>
      <w:iCs/>
    </w:rPr>
  </w:style>
  <w:style w:type="character" w:customStyle="1" w:styleId="HTMLMarkup">
    <w:name w:val="HTML Markup"/>
    <w:uiPriority w:val="99"/>
    <w:rsid w:val="00516F81"/>
    <w:rPr>
      <w:vanish/>
      <w:color w:val="FF0000"/>
    </w:rPr>
  </w:style>
  <w:style w:type="character" w:customStyle="1" w:styleId="Comment">
    <w:name w:val="Comment"/>
    <w:uiPriority w:val="99"/>
    <w:rsid w:val="00516F81"/>
  </w:style>
  <w:style w:type="paragraph" w:styleId="FootnoteText">
    <w:name w:val="footnote text"/>
    <w:basedOn w:val="Normal"/>
    <w:link w:val="FootnoteTextChar"/>
    <w:uiPriority w:val="99"/>
    <w:rsid w:val="00516F81"/>
    <w:rPr>
      <w:sz w:val="20"/>
      <w:szCs w:val="20"/>
    </w:rPr>
  </w:style>
  <w:style w:type="character" w:customStyle="1" w:styleId="FootnoteTextChar">
    <w:name w:val="Footnote Text Char"/>
    <w:basedOn w:val="DefaultParagraphFont"/>
    <w:link w:val="FootnoteText"/>
    <w:uiPriority w:val="99"/>
    <w:rsid w:val="00516F81"/>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16F81"/>
    <w:rPr>
      <w:vertAlign w:val="superscript"/>
    </w:rPr>
  </w:style>
  <w:style w:type="paragraph" w:styleId="NormalWeb">
    <w:name w:val="Normal (Web)"/>
    <w:basedOn w:val="Normal"/>
    <w:link w:val="NormalWebChar"/>
    <w:uiPriority w:val="99"/>
    <w:rsid w:val="00516F81"/>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ind w:left="720" w:firstLine="720"/>
      <w:contextualSpacing/>
    </w:pPr>
    <w:rPr>
      <w:bCs/>
    </w:rPr>
  </w:style>
  <w:style w:type="character" w:customStyle="1" w:styleId="updatebodytest">
    <w:name w:val="updatebodytest"/>
    <w:basedOn w:val="DefaultParagraphFont"/>
    <w:rsid w:val="00516F81"/>
  </w:style>
  <w:style w:type="paragraph" w:customStyle="1" w:styleId="MediumGrid1-Accent21">
    <w:name w:val="Medium Grid 1 - Accent 21"/>
    <w:basedOn w:val="Normal"/>
    <w:uiPriority w:val="34"/>
    <w:qFormat/>
    <w:rsid w:val="00516F81"/>
    <w:pPr>
      <w:ind w:left="720"/>
      <w:contextualSpacing/>
    </w:pPr>
  </w:style>
  <w:style w:type="paragraph" w:styleId="BalloonText">
    <w:name w:val="Balloon Text"/>
    <w:basedOn w:val="Normal"/>
    <w:link w:val="BalloonTextChar"/>
    <w:uiPriority w:val="99"/>
    <w:semiHidden/>
    <w:unhideWhenUsed/>
    <w:rsid w:val="00516F81"/>
    <w:rPr>
      <w:rFonts w:ascii="Tahoma" w:hAnsi="Tahoma" w:cs="Tahoma"/>
      <w:sz w:val="16"/>
      <w:szCs w:val="16"/>
    </w:rPr>
  </w:style>
  <w:style w:type="character" w:customStyle="1" w:styleId="BalloonTextChar">
    <w:name w:val="Balloon Text Char"/>
    <w:basedOn w:val="DefaultParagraphFont"/>
    <w:link w:val="BalloonText"/>
    <w:uiPriority w:val="99"/>
    <w:semiHidden/>
    <w:rsid w:val="00516F81"/>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516F8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16F81"/>
    <w:rPr>
      <w:rFonts w:ascii="Courier New" w:eastAsia="Times New Roman" w:hAnsi="Courier New" w:cs="Courier New"/>
      <w:sz w:val="20"/>
      <w:szCs w:val="20"/>
    </w:rPr>
  </w:style>
  <w:style w:type="table" w:styleId="TableGrid">
    <w:name w:val="Table Grid"/>
    <w:basedOn w:val="TableNormal"/>
    <w:uiPriority w:val="59"/>
    <w:rsid w:val="00516F8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16F8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16F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516F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6F8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516F81"/>
    <w:rPr>
      <w:rFonts w:ascii="Times New Roman" w:eastAsia="Times New Roman" w:hAnsi="Times New Roman" w:cs="Times New Roman"/>
      <w:sz w:val="24"/>
      <w:szCs w:val="24"/>
    </w:rPr>
  </w:style>
  <w:style w:type="paragraph" w:styleId="NoSpacing">
    <w:name w:val="No Spacing"/>
    <w:uiPriority w:val="1"/>
    <w:qFormat/>
    <w:rsid w:val="00516F8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Paragraph">
    <w:name w:val="List Paragraph"/>
    <w:basedOn w:val="Normal"/>
    <w:qFormat/>
    <w:rsid w:val="00516F81"/>
    <w:pPr>
      <w:ind w:left="720"/>
      <w:contextualSpacing/>
    </w:pPr>
  </w:style>
  <w:style w:type="paragraph" w:styleId="EndnoteText">
    <w:name w:val="endnote text"/>
    <w:basedOn w:val="Normal"/>
    <w:link w:val="EndnoteTextChar"/>
    <w:rsid w:val="00516F81"/>
    <w:rPr>
      <w:sz w:val="20"/>
      <w:szCs w:val="20"/>
    </w:rPr>
  </w:style>
  <w:style w:type="character" w:customStyle="1" w:styleId="EndnoteTextChar">
    <w:name w:val="Endnote Text Char"/>
    <w:basedOn w:val="DefaultParagraphFont"/>
    <w:link w:val="EndnoteText"/>
    <w:rsid w:val="00516F81"/>
    <w:rPr>
      <w:rFonts w:ascii="Times New Roman" w:eastAsia="Times New Roman" w:hAnsi="Times New Roman" w:cs="Times New Roman"/>
      <w:sz w:val="20"/>
      <w:szCs w:val="20"/>
    </w:rPr>
  </w:style>
  <w:style w:type="character" w:styleId="EndnoteReference">
    <w:name w:val="endnote reference"/>
    <w:basedOn w:val="DefaultParagraphFont"/>
    <w:rsid w:val="00516F81"/>
    <w:rPr>
      <w:vertAlign w:val="superscript"/>
    </w:rPr>
  </w:style>
  <w:style w:type="paragraph" w:styleId="Revision">
    <w:name w:val="Revision"/>
    <w:hidden/>
    <w:rsid w:val="00516F81"/>
    <w:pPr>
      <w:spacing w:after="0" w:line="240" w:lineRule="auto"/>
    </w:pPr>
    <w:rPr>
      <w:rFonts w:ascii="Times New Roman" w:eastAsia="Times New Roman" w:hAnsi="Times New Roman" w:cs="Times New Roman"/>
      <w:sz w:val="24"/>
      <w:szCs w:val="24"/>
    </w:rPr>
  </w:style>
  <w:style w:type="paragraph" w:customStyle="1" w:styleId="SixteenTest">
    <w:name w:val="Sixteen Test"/>
    <w:basedOn w:val="NormalWeb"/>
    <w:link w:val="SixteenTestChar"/>
    <w:qFormat/>
    <w:rsid w:val="00516F81"/>
    <w:pPr>
      <w:numPr>
        <w:ilvl w:val="2"/>
        <w:numId w:val="3"/>
      </w:numPr>
    </w:pPr>
    <w:rPr>
      <w:bCs w:val="0"/>
    </w:rPr>
  </w:style>
  <w:style w:type="character" w:customStyle="1" w:styleId="NormalWebChar">
    <w:name w:val="Normal (Web) Char"/>
    <w:basedOn w:val="DefaultParagraphFont"/>
    <w:link w:val="NormalWeb"/>
    <w:uiPriority w:val="99"/>
    <w:rsid w:val="00516F81"/>
    <w:rPr>
      <w:rFonts w:ascii="Times New Roman" w:eastAsia="Times New Roman" w:hAnsi="Times New Roman" w:cs="Times New Roman"/>
      <w:bCs/>
      <w:sz w:val="24"/>
      <w:szCs w:val="24"/>
      <w:shd w:val="clear" w:color="auto" w:fill="FFFFFF"/>
    </w:rPr>
  </w:style>
  <w:style w:type="character" w:customStyle="1" w:styleId="SixteenTestChar">
    <w:name w:val="Sixteen Test Char"/>
    <w:basedOn w:val="NormalWebChar"/>
    <w:link w:val="SixteenTest"/>
    <w:rsid w:val="00516F81"/>
    <w:rPr>
      <w:rFonts w:ascii="Times New Roman" w:eastAsia="Times New Roman" w:hAnsi="Times New Roman" w:cs="Times New Roman"/>
      <w:bCs w:val="0"/>
      <w:sz w:val="24"/>
      <w:szCs w:val="24"/>
      <w:shd w:val="clear" w:color="auto" w:fill="FFFFFF"/>
    </w:rPr>
  </w:style>
  <w:style w:type="paragraph" w:styleId="DocumentMap">
    <w:name w:val="Document Map"/>
    <w:basedOn w:val="Normal"/>
    <w:link w:val="DocumentMapChar"/>
    <w:rsid w:val="00516F81"/>
    <w:rPr>
      <w:rFonts w:ascii="Tahoma" w:hAnsi="Tahoma" w:cs="Tahoma"/>
      <w:sz w:val="16"/>
      <w:szCs w:val="16"/>
    </w:rPr>
  </w:style>
  <w:style w:type="character" w:customStyle="1" w:styleId="DocumentMapChar">
    <w:name w:val="Document Map Char"/>
    <w:basedOn w:val="DefaultParagraphFont"/>
    <w:link w:val="DocumentMap"/>
    <w:rsid w:val="00516F81"/>
    <w:rPr>
      <w:rFonts w:ascii="Tahoma" w:eastAsia="Times New Roman" w:hAnsi="Tahoma" w:cs="Tahoma"/>
      <w:sz w:val="16"/>
      <w:szCs w:val="16"/>
    </w:rPr>
  </w:style>
  <w:style w:type="character" w:styleId="CommentReference">
    <w:name w:val="annotation reference"/>
    <w:basedOn w:val="DefaultParagraphFont"/>
    <w:rsid w:val="00516F81"/>
    <w:rPr>
      <w:sz w:val="16"/>
      <w:szCs w:val="16"/>
    </w:rPr>
  </w:style>
  <w:style w:type="paragraph" w:styleId="CommentText">
    <w:name w:val="annotation text"/>
    <w:basedOn w:val="Normal"/>
    <w:link w:val="CommentTextChar"/>
    <w:uiPriority w:val="99"/>
    <w:rsid w:val="00516F81"/>
    <w:rPr>
      <w:sz w:val="20"/>
      <w:szCs w:val="20"/>
    </w:rPr>
  </w:style>
  <w:style w:type="character" w:customStyle="1" w:styleId="CommentTextChar">
    <w:name w:val="Comment Text Char"/>
    <w:basedOn w:val="DefaultParagraphFont"/>
    <w:link w:val="CommentText"/>
    <w:uiPriority w:val="99"/>
    <w:rsid w:val="0051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6F81"/>
    <w:rPr>
      <w:b/>
      <w:bCs/>
    </w:rPr>
  </w:style>
  <w:style w:type="character" w:customStyle="1" w:styleId="CommentSubjectChar">
    <w:name w:val="Comment Subject Char"/>
    <w:basedOn w:val="CommentTextChar"/>
    <w:link w:val="CommentSubject"/>
    <w:rsid w:val="00516F8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B319-C336-48C3-8B25-A2AB0373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Trogdon</dc:creator>
  <cp:keywords/>
  <dc:description/>
  <cp:lastModifiedBy>Donna Lee</cp:lastModifiedBy>
  <cp:revision>2</cp:revision>
  <cp:lastPrinted>2015-11-03T17:24:00Z</cp:lastPrinted>
  <dcterms:created xsi:type="dcterms:W3CDTF">2015-11-03T20:02:00Z</dcterms:created>
  <dcterms:modified xsi:type="dcterms:W3CDTF">2015-11-03T20:02:00Z</dcterms:modified>
</cp:coreProperties>
</file>