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B28EF" w14:textId="77777777" w:rsidR="00FA5243" w:rsidRDefault="0025093A" w:rsidP="0025093A">
      <w:pPr>
        <w:jc w:val="center"/>
        <w:rPr>
          <w:b/>
        </w:rPr>
      </w:pPr>
      <w:r>
        <w:rPr>
          <w:b/>
        </w:rPr>
        <w:t>NARRATIVE SUPPORTING STATEMENT</w:t>
      </w:r>
    </w:p>
    <w:p w14:paraId="370E556E" w14:textId="77777777" w:rsidR="0025093A" w:rsidRDefault="0025093A" w:rsidP="0025093A">
      <w:pPr>
        <w:jc w:val="center"/>
        <w:rPr>
          <w:b/>
        </w:rPr>
      </w:pPr>
      <w:r>
        <w:rPr>
          <w:b/>
        </w:rPr>
        <w:t>FOR 46 CFR PART 5</w:t>
      </w:r>
      <w:r w:rsidR="00E030A0">
        <w:rPr>
          <w:b/>
        </w:rPr>
        <w:t>15</w:t>
      </w:r>
    </w:p>
    <w:p w14:paraId="3BF0397F" w14:textId="77777777" w:rsidR="0025093A" w:rsidRDefault="0025093A" w:rsidP="0025093A">
      <w:pPr>
        <w:jc w:val="center"/>
        <w:rPr>
          <w:b/>
        </w:rPr>
      </w:pPr>
      <w:r>
        <w:rPr>
          <w:b/>
        </w:rPr>
        <w:t xml:space="preserve">AND </w:t>
      </w:r>
      <w:r w:rsidR="00E178CC">
        <w:rPr>
          <w:b/>
        </w:rPr>
        <w:t xml:space="preserve">PROPOSED CHANGES TO </w:t>
      </w:r>
      <w:r>
        <w:rPr>
          <w:b/>
        </w:rPr>
        <w:t>RELATED FORM</w:t>
      </w:r>
      <w:r w:rsidR="00962A16">
        <w:rPr>
          <w:b/>
        </w:rPr>
        <w:t>S</w:t>
      </w:r>
      <w:r>
        <w:rPr>
          <w:b/>
        </w:rPr>
        <w:t xml:space="preserve"> FMC-</w:t>
      </w:r>
      <w:r w:rsidR="004631A8">
        <w:rPr>
          <w:b/>
        </w:rPr>
        <w:t xml:space="preserve"> </w:t>
      </w:r>
      <w:r w:rsidR="00962A16">
        <w:rPr>
          <w:b/>
        </w:rPr>
        <w:t xml:space="preserve">48, </w:t>
      </w:r>
      <w:r w:rsidR="00B36EDE" w:rsidRPr="00B36EDE">
        <w:rPr>
          <w:b/>
        </w:rPr>
        <w:t>48A</w:t>
      </w:r>
      <w:r w:rsidR="00962A16">
        <w:rPr>
          <w:b/>
        </w:rPr>
        <w:t xml:space="preserve">, </w:t>
      </w:r>
      <w:r w:rsidR="004F5A0D">
        <w:rPr>
          <w:b/>
        </w:rPr>
        <w:t xml:space="preserve">67, 68, </w:t>
      </w:r>
      <w:r w:rsidR="00B36EDE">
        <w:rPr>
          <w:b/>
        </w:rPr>
        <w:t>69 and 69A</w:t>
      </w:r>
    </w:p>
    <w:p w14:paraId="09DAA37E" w14:textId="77777777" w:rsidR="0025093A" w:rsidRDefault="0025093A" w:rsidP="0025093A"/>
    <w:p w14:paraId="23BED0E6" w14:textId="77777777" w:rsidR="0025093A" w:rsidRDefault="0025093A" w:rsidP="0025093A"/>
    <w:p w14:paraId="6A60BCE7" w14:textId="77777777" w:rsidR="0025093A" w:rsidRPr="001D5B6E" w:rsidRDefault="0025093A" w:rsidP="0025093A">
      <w:pPr>
        <w:rPr>
          <w:b/>
        </w:rPr>
      </w:pPr>
      <w:r w:rsidRPr="001D5B6E">
        <w:rPr>
          <w:b/>
        </w:rPr>
        <w:t>A.</w:t>
      </w:r>
      <w:r w:rsidRPr="001D5B6E">
        <w:rPr>
          <w:b/>
        </w:rPr>
        <w:tab/>
        <w:t>Justification</w:t>
      </w:r>
    </w:p>
    <w:p w14:paraId="1C3BD059" w14:textId="77777777" w:rsidR="0025093A" w:rsidRDefault="0025093A" w:rsidP="0025093A"/>
    <w:p w14:paraId="3DB4A56C" w14:textId="54E99284" w:rsidR="0025093A" w:rsidRDefault="0025093A" w:rsidP="001D5B6E">
      <w:pPr>
        <w:jc w:val="both"/>
      </w:pPr>
      <w:r>
        <w:t>1.</w:t>
      </w:r>
      <w:r>
        <w:tab/>
      </w:r>
      <w:r w:rsidR="00962A16">
        <w:t xml:space="preserve">Section 19 of the Shipping Act of 1984, as modified by Public Law 105-258 (The Ocean Shipping Reform Act of 1998) </w:t>
      </w:r>
      <w:r w:rsidR="00E178CC">
        <w:t xml:space="preserve">(Shipping Act) </w:t>
      </w:r>
      <w:r w:rsidR="00962A16">
        <w:t>and Section 424 of Public Law 105-383 (The Coast Guard Authorization Act of 1998), require</w:t>
      </w:r>
      <w:r w:rsidR="00E4293E">
        <w:t>s</w:t>
      </w:r>
      <w:r w:rsidR="00962A16">
        <w:t xml:space="preserve"> that all ocean transportation intermediaries (OTIs) in the United States </w:t>
      </w:r>
      <w:r w:rsidR="00D4417B">
        <w:t xml:space="preserve">to </w:t>
      </w:r>
      <w:r w:rsidR="00962A16">
        <w:t>be licensed by the Commission</w:t>
      </w:r>
      <w:r w:rsidR="00E178CC">
        <w:t xml:space="preserve">, </w:t>
      </w:r>
      <w:r w:rsidR="00FC0405">
        <w:t xml:space="preserve">publish a tariff of their rates and charges and provide </w:t>
      </w:r>
      <w:r w:rsidR="0042726F">
        <w:t xml:space="preserve">a bond, proof of insurance or other surety. </w:t>
      </w:r>
      <w:r w:rsidR="00B36EDE">
        <w:t>These requirements are now codified in positive law at 46 U.S.C. §§ 40901-40904 (2006)</w:t>
      </w:r>
      <w:r w:rsidR="00986193">
        <w:t xml:space="preserve">.  </w:t>
      </w:r>
      <w:r w:rsidR="00962A16">
        <w:t xml:space="preserve">  </w:t>
      </w:r>
      <w:r w:rsidR="00983417">
        <w:t>N</w:t>
      </w:r>
      <w:r w:rsidR="00D4417B">
        <w:t>on-vessel-operating common carriers (NVOCCs)</w:t>
      </w:r>
      <w:r w:rsidR="00983417">
        <w:t xml:space="preserve"> OTIs</w:t>
      </w:r>
      <w:r w:rsidR="00D4417B">
        <w:t xml:space="preserve"> </w:t>
      </w:r>
      <w:r w:rsidR="0042726F">
        <w:t xml:space="preserve">that are not </w:t>
      </w:r>
      <w:r w:rsidR="00983417">
        <w:t xml:space="preserve">resident </w:t>
      </w:r>
      <w:r w:rsidR="0042726F">
        <w:t xml:space="preserve">“in the United States” </w:t>
      </w:r>
      <w:r w:rsidR="00983417">
        <w:t xml:space="preserve">must </w:t>
      </w:r>
      <w:r w:rsidR="0042726F">
        <w:t>publish a tariff</w:t>
      </w:r>
      <w:r w:rsidR="0042726F" w:rsidRPr="0042726F">
        <w:t xml:space="preserve"> </w:t>
      </w:r>
      <w:r w:rsidR="0042726F">
        <w:t xml:space="preserve">and provide a bond, proof of insurance or other surety.  </w:t>
      </w:r>
      <w:r w:rsidR="00962A16">
        <w:t xml:space="preserve">These requirements are implemented in </w:t>
      </w:r>
      <w:r w:rsidR="00242C7A">
        <w:t xml:space="preserve">Commission </w:t>
      </w:r>
      <w:r w:rsidR="00962A16">
        <w:t xml:space="preserve">regulations contained in 46 CFR Part 515.  </w:t>
      </w:r>
    </w:p>
    <w:p w14:paraId="563AF7D3" w14:textId="77777777" w:rsidR="0025093A" w:rsidRDefault="0025093A" w:rsidP="001D5B6E">
      <w:pPr>
        <w:jc w:val="both"/>
      </w:pPr>
    </w:p>
    <w:p w14:paraId="7EA6A43E" w14:textId="52E1DEF4" w:rsidR="00C416B5" w:rsidRDefault="00983417" w:rsidP="003821B5">
      <w:pPr>
        <w:ind w:firstLine="720"/>
        <w:jc w:val="both"/>
      </w:pPr>
      <w:r>
        <w:t xml:space="preserve">FMC Docket No. 13-05 </w:t>
      </w:r>
      <w:r w:rsidR="00E13192">
        <w:rPr>
          <w:i/>
        </w:rPr>
        <w:t>Amendments to Regulations Governing Ocean Transportation Intermediary Licensing &amp; Financial Responsibility Requirements, &amp; General Duties</w:t>
      </w:r>
      <w:r w:rsidR="00FA107F">
        <w:t xml:space="preserve"> </w:t>
      </w:r>
      <w:r w:rsidR="003821B5" w:rsidRPr="00A614DA">
        <w:t xml:space="preserve">was commenced May 21, 2013 as an Advance Notice of Proposed Rulemaking.  The ANPR was published in the </w:t>
      </w:r>
      <w:r w:rsidR="003821B5" w:rsidRPr="00A614DA">
        <w:rPr>
          <w:i/>
        </w:rPr>
        <w:t>Federal Register</w:t>
      </w:r>
      <w:r w:rsidR="003821B5" w:rsidRPr="00A614DA">
        <w:t xml:space="preserve">. 78 Fed. Reg. 32946 - 32978 </w:t>
      </w:r>
      <w:r w:rsidR="00DF34EE">
        <w:t>(</w:t>
      </w:r>
      <w:r w:rsidR="003821B5" w:rsidRPr="00A614DA">
        <w:t>May 31, 2013</w:t>
      </w:r>
      <w:r w:rsidR="00DF34EE">
        <w:t>)</w:t>
      </w:r>
      <w:r w:rsidR="003821B5" w:rsidRPr="00A614DA">
        <w:t xml:space="preserve">.  </w:t>
      </w:r>
      <w:r w:rsidR="00A614DA" w:rsidRPr="00A614DA">
        <w:t xml:space="preserve">Over </w:t>
      </w:r>
      <w:r w:rsidR="003821B5" w:rsidRPr="00A614DA">
        <w:t>80 written comments were received</w:t>
      </w:r>
      <w:r w:rsidR="00DF34EE">
        <w:t xml:space="preserve"> in response to the ANPR</w:t>
      </w:r>
      <w:r w:rsidR="003821B5" w:rsidRPr="00A614DA">
        <w:t xml:space="preserve">.  </w:t>
      </w:r>
    </w:p>
    <w:p w14:paraId="1BAF8413" w14:textId="77777777" w:rsidR="00A614DA" w:rsidRDefault="00A614DA" w:rsidP="003821B5">
      <w:pPr>
        <w:ind w:firstLine="720"/>
        <w:jc w:val="both"/>
        <w:rPr>
          <w:highlight w:val="yellow"/>
        </w:rPr>
      </w:pPr>
    </w:p>
    <w:p w14:paraId="67651B38" w14:textId="3BAFFF3A" w:rsidR="00541241" w:rsidRPr="00541241" w:rsidRDefault="002433D0" w:rsidP="00541241">
      <w:pPr>
        <w:ind w:firstLine="720"/>
        <w:jc w:val="both"/>
      </w:pPr>
      <w:r w:rsidRPr="003B26A6">
        <w:t>After further outreach to the industry</w:t>
      </w:r>
      <w:r w:rsidR="00541241">
        <w:t>, n</w:t>
      </w:r>
      <w:r w:rsidR="00541241" w:rsidRPr="00541241">
        <w:t>umerous concepts and proposals</w:t>
      </w:r>
      <w:r w:rsidR="00541241">
        <w:t xml:space="preserve"> in the ANPR were deleted </w:t>
      </w:r>
      <w:r w:rsidR="00541241" w:rsidRPr="00541241">
        <w:t>from further consideration</w:t>
      </w:r>
      <w:r w:rsidR="00541241">
        <w:t xml:space="preserve"> by the Commission</w:t>
      </w:r>
      <w:r w:rsidR="00E13192">
        <w:t>.</w:t>
      </w:r>
      <w:r w:rsidR="00E13192" w:rsidRPr="00E13192">
        <w:rPr>
          <w:i/>
        </w:rPr>
        <w:t xml:space="preserve"> Amendments to Regulations Governing Ocean Transportation Intermediary Licensing &amp; Financial Responsibility Requirements, &amp; General Duties</w:t>
      </w:r>
      <w:r w:rsidR="00E13192">
        <w:rPr>
          <w:i/>
        </w:rPr>
        <w:t>.</w:t>
      </w:r>
      <w:r w:rsidRPr="003B26A6">
        <w:t xml:space="preserve"> </w:t>
      </w:r>
      <w:r w:rsidR="00E13192">
        <w:t xml:space="preserve"> The</w:t>
      </w:r>
      <w:r w:rsidRPr="003B26A6">
        <w:t xml:space="preserve"> Commission voted at its meeting of </w:t>
      </w:r>
      <w:r w:rsidR="003B26A6">
        <w:t>September 25</w:t>
      </w:r>
      <w:r w:rsidRPr="003B26A6">
        <w:t>, 2014 to proceed with the NOPR.</w:t>
      </w:r>
      <w:r w:rsidR="003B26A6">
        <w:t xml:space="preserve"> The NOPR </w:t>
      </w:r>
      <w:r w:rsidR="00976AC8">
        <w:t xml:space="preserve">was </w:t>
      </w:r>
      <w:r w:rsidR="00B36EDE">
        <w:t>published in</w:t>
      </w:r>
      <w:bookmarkStart w:id="0" w:name="_GoBack"/>
      <w:bookmarkEnd w:id="0"/>
      <w:r w:rsidR="00B36EDE">
        <w:t xml:space="preserve"> the </w:t>
      </w:r>
      <w:r w:rsidR="00B36EDE" w:rsidRPr="00B36EDE">
        <w:rPr>
          <w:i/>
        </w:rPr>
        <w:t>Federal Register</w:t>
      </w:r>
      <w:r w:rsidR="00B36EDE" w:rsidRPr="00976AC8">
        <w:t xml:space="preserve">.  </w:t>
      </w:r>
      <w:r w:rsidR="007E745B">
        <w:t>79</w:t>
      </w:r>
      <w:r w:rsidR="00B36EDE" w:rsidRPr="00976AC8">
        <w:t xml:space="preserve"> Fed. Reg.</w:t>
      </w:r>
      <w:r w:rsidR="007E745B">
        <w:t xml:space="preserve"> </w:t>
      </w:r>
      <w:r w:rsidR="00541241">
        <w:t xml:space="preserve">61544 - 61561 </w:t>
      </w:r>
      <w:r w:rsidR="00B36EDE" w:rsidRPr="00976AC8">
        <w:t xml:space="preserve">(October </w:t>
      </w:r>
      <w:r w:rsidR="00923A1C" w:rsidRPr="00976AC8">
        <w:t>10</w:t>
      </w:r>
      <w:r w:rsidR="00B36EDE" w:rsidRPr="00976AC8">
        <w:t>, 2014</w:t>
      </w:r>
      <w:r w:rsidR="00B83932" w:rsidRPr="00976AC8">
        <w:t>)</w:t>
      </w:r>
      <w:r w:rsidR="00B36EDE" w:rsidRPr="00976AC8">
        <w:t>.</w:t>
      </w:r>
      <w:r w:rsidR="00541241">
        <w:t xml:space="preserve">  </w:t>
      </w:r>
      <w:r w:rsidR="000E3307">
        <w:t xml:space="preserve"> </w:t>
      </w:r>
      <w:r w:rsidR="00541241" w:rsidRPr="00541241">
        <w:t>The Commission received twenty-five comments in response to the NOPR.  See the Summary of Comments</w:t>
      </w:r>
      <w:r w:rsidR="00E13192">
        <w:t>,</w:t>
      </w:r>
      <w:r w:rsidR="00541241" w:rsidRPr="00541241">
        <w:t xml:space="preserve"> separately attached to this narrative.</w:t>
      </w:r>
    </w:p>
    <w:p w14:paraId="17DC9935" w14:textId="77777777" w:rsidR="00541241" w:rsidRDefault="00541241" w:rsidP="003B26A6">
      <w:pPr>
        <w:ind w:firstLine="720"/>
        <w:jc w:val="both"/>
      </w:pPr>
    </w:p>
    <w:p w14:paraId="51899567" w14:textId="3089C57C" w:rsidR="001D0B23" w:rsidRDefault="001D0B23" w:rsidP="003B26A6">
      <w:pPr>
        <w:ind w:firstLine="720"/>
        <w:jc w:val="both"/>
      </w:pPr>
      <w:r>
        <w:t xml:space="preserve">The Commission voted on October 21, 2015 to adopt a Final Rule.  The Final Rule reflects the changes made by the Commission </w:t>
      </w:r>
      <w:r w:rsidR="003E5DFC">
        <w:t xml:space="preserve">at the ANPR stage that were </w:t>
      </w:r>
      <w:r>
        <w:t>set forth in the NOPR</w:t>
      </w:r>
      <w:r w:rsidR="003E5DFC">
        <w:t xml:space="preserve">.  The Final Rule has not yet been published in the </w:t>
      </w:r>
      <w:r w:rsidR="003E5DFC" w:rsidRPr="00C416B5">
        <w:rPr>
          <w:i/>
        </w:rPr>
        <w:t>Federal Register</w:t>
      </w:r>
      <w:r w:rsidR="003E5DFC">
        <w:t>.</w:t>
      </w:r>
    </w:p>
    <w:p w14:paraId="26355F78" w14:textId="77777777" w:rsidR="00B36EDE" w:rsidRDefault="00B36EDE" w:rsidP="001D5B6E">
      <w:pPr>
        <w:jc w:val="both"/>
      </w:pPr>
    </w:p>
    <w:p w14:paraId="1A84974E" w14:textId="725D8B91" w:rsidR="00D76C8F" w:rsidRDefault="00B36EDE" w:rsidP="00B36EDE">
      <w:pPr>
        <w:ind w:firstLine="720"/>
        <w:jc w:val="both"/>
      </w:pPr>
      <w:r>
        <w:t xml:space="preserve">The </w:t>
      </w:r>
      <w:r w:rsidR="001D0B23">
        <w:t xml:space="preserve">Final Rule retains the </w:t>
      </w:r>
      <w:r w:rsidR="00825690">
        <w:t xml:space="preserve">minor </w:t>
      </w:r>
      <w:r>
        <w:t xml:space="preserve">changes to Forms FMC-48, </w:t>
      </w:r>
      <w:r w:rsidR="00F27F9B">
        <w:t xml:space="preserve">FMC-48A, </w:t>
      </w:r>
      <w:r w:rsidR="00F27F9B">
        <w:rPr>
          <w:i/>
        </w:rPr>
        <w:t>OTI Optional Rider for Additional NVOCC Financial Responsibility</w:t>
      </w:r>
      <w:r w:rsidR="00F27F9B">
        <w:t xml:space="preserve"> </w:t>
      </w:r>
      <w:r>
        <w:rPr>
          <w:i/>
        </w:rPr>
        <w:t>Bond Form</w:t>
      </w:r>
      <w:r>
        <w:t xml:space="preserve">, FMC-67, </w:t>
      </w:r>
      <w:r>
        <w:rPr>
          <w:i/>
        </w:rPr>
        <w:t>OTI Insurance Form</w:t>
      </w:r>
      <w:r>
        <w:t>,</w:t>
      </w:r>
      <w:r w:rsidRPr="009459CA">
        <w:t xml:space="preserve"> </w:t>
      </w:r>
      <w:r>
        <w:t xml:space="preserve">FMC-68, </w:t>
      </w:r>
      <w:r>
        <w:rPr>
          <w:i/>
        </w:rPr>
        <w:t>OTI Guaranty Form</w:t>
      </w:r>
      <w:r>
        <w:t xml:space="preserve">, FMC-69, </w:t>
      </w:r>
      <w:r>
        <w:rPr>
          <w:i/>
        </w:rPr>
        <w:t>OTI Group Bond Form</w:t>
      </w:r>
      <w:r>
        <w:t xml:space="preserve">; </w:t>
      </w:r>
      <w:r w:rsidR="00F27F9B">
        <w:t xml:space="preserve">and FMC-69A, </w:t>
      </w:r>
      <w:r w:rsidR="00F27F9B" w:rsidRPr="00F458E1">
        <w:rPr>
          <w:i/>
        </w:rPr>
        <w:t>Optional Rider for Additional NVOCC Financial Responsibility for Group Bonds</w:t>
      </w:r>
      <w:r w:rsidR="00825690" w:rsidRPr="003B26A6">
        <w:rPr>
          <w:i/>
        </w:rPr>
        <w:t xml:space="preserve">.  </w:t>
      </w:r>
      <w:r w:rsidR="00790062">
        <w:t xml:space="preserve">These Forms were included for public comment at all stages of this rulemaking proceeding.  </w:t>
      </w:r>
      <w:r w:rsidR="00825690" w:rsidRPr="003B26A6">
        <w:t>N</w:t>
      </w:r>
      <w:r w:rsidRPr="003B26A6">
        <w:t xml:space="preserve">o new forms are included in the </w:t>
      </w:r>
      <w:r w:rsidR="001D0B23">
        <w:t>Final Rule</w:t>
      </w:r>
      <w:r w:rsidRPr="003B26A6">
        <w:t>.</w:t>
      </w:r>
    </w:p>
    <w:p w14:paraId="6D5E7643" w14:textId="77777777" w:rsidR="00FA107F" w:rsidRDefault="00FA107F" w:rsidP="00B36EDE">
      <w:pPr>
        <w:ind w:firstLine="720"/>
        <w:jc w:val="both"/>
      </w:pPr>
    </w:p>
    <w:p w14:paraId="5BEBCFAA" w14:textId="77777777" w:rsidR="00FA107F" w:rsidRDefault="00FA107F" w:rsidP="00B36EDE">
      <w:pPr>
        <w:ind w:firstLine="720"/>
        <w:jc w:val="both"/>
      </w:pPr>
    </w:p>
    <w:p w14:paraId="008A992F" w14:textId="77777777" w:rsidR="00FA107F" w:rsidRDefault="00FA107F" w:rsidP="00B36EDE">
      <w:pPr>
        <w:ind w:firstLine="720"/>
        <w:jc w:val="both"/>
      </w:pPr>
    </w:p>
    <w:p w14:paraId="689C4A45" w14:textId="6BAD4C85" w:rsidR="00380BF5" w:rsidRDefault="00972178" w:rsidP="00B36EDE">
      <w:pPr>
        <w:ind w:firstLine="720"/>
        <w:jc w:val="both"/>
      </w:pPr>
      <w:r>
        <w:t xml:space="preserve"> </w:t>
      </w:r>
    </w:p>
    <w:p w14:paraId="4EDA2470" w14:textId="77777777" w:rsidR="00380BF5" w:rsidRDefault="00380BF5" w:rsidP="001D5B6E">
      <w:pPr>
        <w:jc w:val="both"/>
      </w:pPr>
    </w:p>
    <w:p w14:paraId="21B4C1B1" w14:textId="77777777" w:rsidR="00FB333A" w:rsidRPr="00380BF5" w:rsidRDefault="00380BF5" w:rsidP="001D5B6E">
      <w:pPr>
        <w:jc w:val="both"/>
        <w:rPr>
          <w:b/>
          <w:u w:val="single"/>
        </w:rPr>
      </w:pPr>
      <w:r>
        <w:tab/>
      </w:r>
      <w:r w:rsidR="003F198D" w:rsidRPr="003F198D">
        <w:rPr>
          <w:b/>
          <w:u w:val="single"/>
        </w:rPr>
        <w:t>Forms FMC-48,</w:t>
      </w:r>
      <w:r w:rsidR="00AA168D">
        <w:rPr>
          <w:b/>
          <w:u w:val="single"/>
        </w:rPr>
        <w:t xml:space="preserve"> FMC-48A,</w:t>
      </w:r>
      <w:r w:rsidR="003F198D" w:rsidRPr="003F198D">
        <w:rPr>
          <w:b/>
          <w:u w:val="single"/>
        </w:rPr>
        <w:t xml:space="preserve"> FMC-67, FMC-68</w:t>
      </w:r>
      <w:r w:rsidR="00AA168D">
        <w:rPr>
          <w:b/>
          <w:u w:val="single"/>
        </w:rPr>
        <w:t>, FMC-69, and FMC-69A</w:t>
      </w:r>
    </w:p>
    <w:p w14:paraId="2E777772" w14:textId="77777777" w:rsidR="00FB333A" w:rsidRDefault="00FB333A" w:rsidP="001D5B6E">
      <w:pPr>
        <w:jc w:val="both"/>
      </w:pPr>
    </w:p>
    <w:p w14:paraId="382E2994" w14:textId="1327CDA1" w:rsidR="00F25E72" w:rsidRPr="005B60FD" w:rsidRDefault="00AA168D" w:rsidP="00F25E72">
      <w:pPr>
        <w:ind w:firstLine="720"/>
        <w:jc w:val="both"/>
        <w:rPr>
          <w:highlight w:val="yellow"/>
        </w:rPr>
      </w:pPr>
      <w:r>
        <w:t xml:space="preserve">Forms FMC-48, </w:t>
      </w:r>
      <w:r w:rsidR="00FB333A">
        <w:t>FMC-67, FMC-68</w:t>
      </w:r>
      <w:r>
        <w:t xml:space="preserve">, </w:t>
      </w:r>
      <w:r w:rsidR="00FB333A">
        <w:t xml:space="preserve">and FMC-69 </w:t>
      </w:r>
      <w:r w:rsidR="00EB23E2">
        <w:t xml:space="preserve">are revised to refer to §515.21, which </w:t>
      </w:r>
      <w:r w:rsidR="00BE1C88">
        <w:t xml:space="preserve">section </w:t>
      </w:r>
      <w:r w:rsidR="00EB23E2">
        <w:t xml:space="preserve">requires the financial responsibility to be </w:t>
      </w:r>
      <w:r w:rsidR="00CF67FE">
        <w:t>furnished by each OTI</w:t>
      </w:r>
      <w:r w:rsidR="00EB23E2">
        <w:t xml:space="preserve">. </w:t>
      </w:r>
      <w:r w:rsidR="003800D0">
        <w:t xml:space="preserve"> </w:t>
      </w:r>
      <w:r w:rsidR="00CF67FE" w:rsidRPr="005B60FD">
        <w:t xml:space="preserve">These Forms are also revised to require financial responsibility providers to </w:t>
      </w:r>
      <w:r w:rsidR="00F25E72" w:rsidRPr="005B60FD">
        <w:t xml:space="preserve">promptly </w:t>
      </w:r>
      <w:r w:rsidR="00CF67FE" w:rsidRPr="005B60FD">
        <w:t xml:space="preserve">submit notices to the Commission of each claim made against an OTI and of </w:t>
      </w:r>
      <w:r w:rsidR="00E75DFA" w:rsidRPr="005B60FD">
        <w:t>the amount</w:t>
      </w:r>
      <w:r w:rsidR="00CF67FE" w:rsidRPr="005B60FD">
        <w:t xml:space="preserve"> paid</w:t>
      </w:r>
      <w:r w:rsidR="00E75DFA" w:rsidRPr="005B60FD">
        <w:t xml:space="preserve"> </w:t>
      </w:r>
      <w:r w:rsidR="00CF67FE" w:rsidRPr="005B60FD">
        <w:t xml:space="preserve">by the financial responsibility provider.  </w:t>
      </w:r>
      <w:r w:rsidR="00F25E72" w:rsidRPr="005B60FD">
        <w:t>As such these changes do not require additional information collection from the OTIs</w:t>
      </w:r>
      <w:r w:rsidR="00E75DFA" w:rsidRPr="005B60FD">
        <w:t xml:space="preserve"> but from the financial responsibility providers</w:t>
      </w:r>
      <w:r w:rsidR="00F25E72" w:rsidRPr="005B60FD">
        <w:t>.</w:t>
      </w:r>
      <w:r w:rsidR="001D0B23">
        <w:t xml:space="preserve">  </w:t>
      </w:r>
    </w:p>
    <w:p w14:paraId="5DFDF273" w14:textId="77777777" w:rsidR="00FA4440" w:rsidRPr="005B60FD" w:rsidRDefault="00FA4440" w:rsidP="00F25E72">
      <w:pPr>
        <w:ind w:firstLine="720"/>
        <w:jc w:val="both"/>
        <w:rPr>
          <w:highlight w:val="yellow"/>
        </w:rPr>
      </w:pPr>
    </w:p>
    <w:p w14:paraId="55FD6284" w14:textId="77777777" w:rsidR="006C2A47" w:rsidRDefault="00BE1C88">
      <w:pPr>
        <w:ind w:firstLine="720"/>
        <w:jc w:val="both"/>
      </w:pPr>
      <w:r>
        <w:t>These</w:t>
      </w:r>
      <w:r w:rsidR="00EB23E2">
        <w:t xml:space="preserve"> Forms </w:t>
      </w:r>
      <w:r w:rsidR="00FB333A">
        <w:t xml:space="preserve">currently provide that claims against the financial responsibility covered by them shall be available to pay any settlement “pursuant to a claim under 46 CFR § 515.23(b).”  Each of these forms are revised to provide for settlement “pursuant to a claim under 46 CFR § 515.23” so as to encompass all of the relevant provisions of §515.23.  </w:t>
      </w:r>
      <w:r w:rsidR="008317B9">
        <w:t>.</w:t>
      </w:r>
    </w:p>
    <w:p w14:paraId="74B954E4" w14:textId="77777777" w:rsidR="00FB333A" w:rsidRDefault="00FB333A" w:rsidP="001D5B6E">
      <w:pPr>
        <w:jc w:val="both"/>
      </w:pPr>
    </w:p>
    <w:p w14:paraId="04FAA119" w14:textId="310CBBC0" w:rsidR="00BE6F47" w:rsidRDefault="00706AA5" w:rsidP="00BE6F47">
      <w:pPr>
        <w:ind w:firstLine="720"/>
        <w:jc w:val="both"/>
      </w:pPr>
      <w:r w:rsidRPr="005B60FD">
        <w:t>The forms are revised to provide that the notification required be directed specifically to the Director of the Bureau of Certification and Licensing rather than to the Commission generally or to the Commission’s Secretary.</w:t>
      </w:r>
      <w:r>
        <w:t xml:space="preserve">  </w:t>
      </w:r>
      <w:r w:rsidR="00BE6F47">
        <w:t xml:space="preserve">Forms FMC-48A, </w:t>
      </w:r>
      <w:r w:rsidR="00BE6F47">
        <w:rPr>
          <w:i/>
        </w:rPr>
        <w:t>OTI Optional Rider for Additional NVOCC Financial Responsibility</w:t>
      </w:r>
      <w:r w:rsidR="00BE6F47">
        <w:t xml:space="preserve"> and FMC-69A, </w:t>
      </w:r>
      <w:r w:rsidR="00BE6F47" w:rsidRPr="00F458E1">
        <w:rPr>
          <w:i/>
        </w:rPr>
        <w:t xml:space="preserve">Optional Rider for Additional NVOCC </w:t>
      </w:r>
      <w:r w:rsidR="00BE6F47" w:rsidRPr="00F458E1">
        <w:rPr>
          <w:i/>
        </w:rPr>
        <w:lastRenderedPageBreak/>
        <w:t>Financial Responsibility for Group Bonds</w:t>
      </w:r>
      <w:r w:rsidR="00BE6F47">
        <w:rPr>
          <w:i/>
        </w:rPr>
        <w:t xml:space="preserve">, </w:t>
      </w:r>
      <w:r w:rsidR="00103EFD">
        <w:t xml:space="preserve">are </w:t>
      </w:r>
      <w:r w:rsidR="009E58A4">
        <w:t xml:space="preserve">also </w:t>
      </w:r>
      <w:r w:rsidR="00103EFD">
        <w:t>revised to require notices be provided to the Director, Bureau of Certification and Licensing</w:t>
      </w:r>
      <w:r w:rsidR="00BE6F47">
        <w:t xml:space="preserve">.  </w:t>
      </w:r>
    </w:p>
    <w:p w14:paraId="1E02EFB6" w14:textId="77777777" w:rsidR="00380BF5" w:rsidRDefault="00380BF5" w:rsidP="00D648B6">
      <w:pPr>
        <w:ind w:firstLine="720"/>
        <w:jc w:val="both"/>
      </w:pPr>
    </w:p>
    <w:p w14:paraId="71B2D25C" w14:textId="77777777" w:rsidR="00F74EB4" w:rsidRPr="005E537F" w:rsidRDefault="009E58A4" w:rsidP="00D648B6">
      <w:pPr>
        <w:ind w:firstLine="720"/>
        <w:jc w:val="both"/>
      </w:pPr>
      <w:r w:rsidRPr="005E537F">
        <w:rPr>
          <w:b/>
        </w:rPr>
        <w:t>License Renewal</w:t>
      </w:r>
    </w:p>
    <w:p w14:paraId="743D0AEE" w14:textId="77777777" w:rsidR="00F74EB4" w:rsidRPr="005E537F" w:rsidRDefault="00F74EB4" w:rsidP="00D648B6">
      <w:pPr>
        <w:ind w:firstLine="720"/>
        <w:jc w:val="both"/>
      </w:pPr>
    </w:p>
    <w:p w14:paraId="06AD3660" w14:textId="3F744787" w:rsidR="00130009" w:rsidRDefault="00924408" w:rsidP="00130009">
      <w:pPr>
        <w:ind w:firstLine="720"/>
        <w:jc w:val="both"/>
      </w:pPr>
      <w:r w:rsidRPr="005E537F">
        <w:t xml:space="preserve">The </w:t>
      </w:r>
      <w:r w:rsidR="00536780">
        <w:t>Final Rule</w:t>
      </w:r>
      <w:r w:rsidRPr="005E537F">
        <w:t xml:space="preserve"> </w:t>
      </w:r>
      <w:r w:rsidR="00536780">
        <w:t>provides for</w:t>
      </w:r>
      <w:r w:rsidR="00023D8B" w:rsidRPr="005E537F">
        <w:t xml:space="preserve"> </w:t>
      </w:r>
      <w:r w:rsidR="00536780">
        <w:t>implementation of the</w:t>
      </w:r>
      <w:r w:rsidR="00023D8B" w:rsidRPr="005E537F">
        <w:t xml:space="preserve"> requirement in section 515.14(d) that all licensed OTIs must renew their license every </w:t>
      </w:r>
      <w:r w:rsidR="00821C2E" w:rsidRPr="005E537F">
        <w:t>3</w:t>
      </w:r>
      <w:r w:rsidR="00023D8B" w:rsidRPr="005E537F">
        <w:t xml:space="preserve"> years.  </w:t>
      </w:r>
      <w:r w:rsidR="00392538" w:rsidRPr="005E537F">
        <w:t>Responding to numerous comments to at the ANPR</w:t>
      </w:r>
      <w:r w:rsidR="00536780">
        <w:t xml:space="preserve"> and the NOPR</w:t>
      </w:r>
      <w:r w:rsidR="00392538" w:rsidRPr="005E537F">
        <w:t xml:space="preserve"> stage</w:t>
      </w:r>
      <w:r w:rsidR="00536780">
        <w:t>s</w:t>
      </w:r>
      <w:r w:rsidR="00392538" w:rsidRPr="005E537F">
        <w:t xml:space="preserve">, the Commission </w:t>
      </w:r>
      <w:r w:rsidR="00B80597">
        <w:t>will provide a</w:t>
      </w:r>
      <w:r w:rsidR="00392538" w:rsidRPr="005E537F">
        <w:t xml:space="preserve"> renewal process </w:t>
      </w:r>
      <w:r w:rsidR="00B80597">
        <w:t xml:space="preserve">that is </w:t>
      </w:r>
      <w:r w:rsidR="00392538" w:rsidRPr="005E537F">
        <w:t xml:space="preserve">entirely on-line and user friendly. </w:t>
      </w:r>
      <w:r w:rsidR="00C74974" w:rsidRPr="005E537F">
        <w:t>The license renewal requirement ensure</w:t>
      </w:r>
      <w:r w:rsidR="00B80597">
        <w:t>s</w:t>
      </w:r>
      <w:r w:rsidR="00C74974" w:rsidRPr="005E537F">
        <w:t xml:space="preserve"> that information essential to the Commission’s oversight of OTIs is verified periodically.  </w:t>
      </w:r>
      <w:r w:rsidR="00C74974" w:rsidRPr="00B80597">
        <w:t xml:space="preserve"> </w:t>
      </w:r>
      <w:r w:rsidR="00B80597">
        <w:t>L</w:t>
      </w:r>
      <w:r w:rsidR="00C74974" w:rsidRPr="00B80597">
        <w:t>icensed</w:t>
      </w:r>
      <w:r w:rsidR="00B80597">
        <w:t xml:space="preserve"> </w:t>
      </w:r>
      <w:r w:rsidR="00C74974" w:rsidRPr="005E537F">
        <w:t xml:space="preserve">OTIs </w:t>
      </w:r>
      <w:r w:rsidR="00B80597">
        <w:t xml:space="preserve">will </w:t>
      </w:r>
      <w:r w:rsidR="00C74974" w:rsidRPr="005E537F">
        <w:t xml:space="preserve">verify on-line </w:t>
      </w:r>
      <w:r w:rsidR="00130009" w:rsidRPr="005E537F">
        <w:t>information</w:t>
      </w:r>
      <w:r w:rsidR="00DC3AD4" w:rsidRPr="005E537F">
        <w:t xml:space="preserve"> material to a licensee’s ongoing status and contact information</w:t>
      </w:r>
      <w:r w:rsidR="00130009" w:rsidRPr="005E537F">
        <w:t>.</w:t>
      </w:r>
      <w:r w:rsidR="00130009" w:rsidRPr="00937A5C">
        <w:t xml:space="preserve">  </w:t>
      </w:r>
      <w:r w:rsidR="00B80597" w:rsidRPr="005E537F">
        <w:t>OTIs would only update information that is no longer accurate.</w:t>
      </w:r>
      <w:r w:rsidR="00DF0976">
        <w:t xml:space="preserve">  T</w:t>
      </w:r>
      <w:r w:rsidR="00DF0976" w:rsidRPr="00E94B93">
        <w:t>here will be no fee assessed for the renewal process.</w:t>
      </w:r>
    </w:p>
    <w:p w14:paraId="6140DBCE" w14:textId="77777777" w:rsidR="00F06B21" w:rsidRDefault="00F06B21" w:rsidP="00D648B6">
      <w:pPr>
        <w:ind w:firstLine="720"/>
        <w:jc w:val="both"/>
      </w:pPr>
    </w:p>
    <w:p w14:paraId="24D6ADF3" w14:textId="7C1377FF" w:rsidR="001C6559" w:rsidRDefault="00F06B21" w:rsidP="001C6559">
      <w:pPr>
        <w:ind w:firstLine="720"/>
        <w:jc w:val="both"/>
      </w:pPr>
      <w:r w:rsidRPr="005E537F">
        <w:t>If there are no changes</w:t>
      </w:r>
      <w:r>
        <w:t xml:space="preserve"> to an OTI’s information</w:t>
      </w:r>
      <w:r w:rsidRPr="005E537F">
        <w:t xml:space="preserve">, the renewal process acts as a certification that the information </w:t>
      </w:r>
      <w:r>
        <w:t>remains</w:t>
      </w:r>
      <w:r w:rsidRPr="005E537F">
        <w:t xml:space="preserve"> accurate and may be relied upon by the public and the Commission.</w:t>
      </w:r>
      <w:r>
        <w:t xml:space="preserve">  </w:t>
      </w:r>
    </w:p>
    <w:p w14:paraId="30A6F028" w14:textId="77777777" w:rsidR="00183CC1" w:rsidRDefault="00183CC1" w:rsidP="00183CC1">
      <w:pPr>
        <w:ind w:firstLine="720"/>
        <w:jc w:val="both"/>
      </w:pPr>
    </w:p>
    <w:p w14:paraId="0F57F9C3" w14:textId="77777777" w:rsidR="00183CC1" w:rsidRDefault="00183CC1" w:rsidP="00183CC1">
      <w:pPr>
        <w:ind w:firstLine="720"/>
        <w:jc w:val="both"/>
      </w:pPr>
      <w:r w:rsidRPr="009D58CC">
        <w:t xml:space="preserve"> </w:t>
      </w:r>
      <w:r>
        <w:t xml:space="preserve">The Commission voted to delay the effectiveness of paragraphs 515.14(c) and (d) (contain the license renewal requirements) for one year </w:t>
      </w:r>
      <w:r>
        <w:lastRenderedPageBreak/>
        <w:t>from the effective date of the Final Rule.  The delay will provide time necessary for the Commission to develop the computer elements that enable OTIs to complete their license renewals on-line</w:t>
      </w:r>
      <w:r w:rsidR="007F1D26">
        <w:t xml:space="preserve">, and to </w:t>
      </w:r>
      <w:r w:rsidR="001E0F44">
        <w:t xml:space="preserve">commence </w:t>
      </w:r>
      <w:r w:rsidR="007F1D26">
        <w:t xml:space="preserve">a phased </w:t>
      </w:r>
      <w:r w:rsidR="00DF0976">
        <w:t xml:space="preserve">implementation whereby OTI renewals </w:t>
      </w:r>
      <w:r w:rsidR="001E0F44">
        <w:t xml:space="preserve">are scheduled, </w:t>
      </w:r>
      <w:r w:rsidR="00DF0976">
        <w:t>received and processed on a monthly basis.</w:t>
      </w:r>
    </w:p>
    <w:p w14:paraId="3D156F67" w14:textId="77777777" w:rsidR="00183CC1" w:rsidRDefault="00183CC1" w:rsidP="00A615AE">
      <w:pPr>
        <w:ind w:firstLine="720"/>
        <w:jc w:val="both"/>
      </w:pPr>
    </w:p>
    <w:p w14:paraId="7A5F99C8" w14:textId="77777777" w:rsidR="00183CC1" w:rsidRPr="00A615AE" w:rsidRDefault="00183CC1" w:rsidP="00A615AE">
      <w:pPr>
        <w:ind w:firstLine="720"/>
        <w:jc w:val="both"/>
      </w:pPr>
      <w:r>
        <w:rPr>
          <w:b/>
        </w:rPr>
        <w:t xml:space="preserve">Expedited Hearing and Appeal Procedures </w:t>
      </w:r>
    </w:p>
    <w:p w14:paraId="409B85EB" w14:textId="77777777" w:rsidR="00CF6D2C" w:rsidRDefault="00CF6D2C" w:rsidP="00A615AE">
      <w:pPr>
        <w:ind w:firstLine="720"/>
        <w:jc w:val="both"/>
      </w:pPr>
    </w:p>
    <w:p w14:paraId="61B16211" w14:textId="6AF41B61" w:rsidR="007F28F5" w:rsidRDefault="00F362AD" w:rsidP="00A615AE">
      <w:pPr>
        <w:ind w:firstLine="720"/>
        <w:jc w:val="both"/>
      </w:pPr>
      <w:r>
        <w:t>To further ensure due process in circumstances where the Commission gives notice of intent to revoke or suspend</w:t>
      </w:r>
      <w:r w:rsidR="00CF6D2C">
        <w:t xml:space="preserve"> </w:t>
      </w:r>
      <w:r>
        <w:t>an OTI’s license, terminate the registration of a</w:t>
      </w:r>
      <w:r w:rsidR="00183CC1">
        <w:t>n un-licensed</w:t>
      </w:r>
      <w:r>
        <w:t xml:space="preserve"> foreign-based NVOCC, or deny a license application, </w:t>
      </w:r>
      <w:r w:rsidR="00CF6D2C">
        <w:t>section 515.17</w:t>
      </w:r>
      <w:r w:rsidR="009E79EB">
        <w:t>(c)</w:t>
      </w:r>
      <w:r w:rsidR="00055BAB">
        <w:t xml:space="preserve"> has been added </w:t>
      </w:r>
      <w:r w:rsidR="00AE7B93">
        <w:t xml:space="preserve">to provide </w:t>
      </w:r>
      <w:r w:rsidR="00E840CE">
        <w:t>that an</w:t>
      </w:r>
      <w:r w:rsidR="003E3B48">
        <w:t xml:space="preserve"> </w:t>
      </w:r>
      <w:r w:rsidR="008F7D7E">
        <w:t>OTI</w:t>
      </w:r>
      <w:r w:rsidR="003E3B48">
        <w:t xml:space="preserve"> may file exceptions </w:t>
      </w:r>
      <w:r w:rsidR="009E79EB">
        <w:t xml:space="preserve">challenging an adverse decision by a hearing officer pursuant to </w:t>
      </w:r>
      <w:r w:rsidR="00055BAB">
        <w:t xml:space="preserve">the requirements of section </w:t>
      </w:r>
      <w:r w:rsidR="009E79EB">
        <w:t xml:space="preserve">502.227 of the Commission’s </w:t>
      </w:r>
      <w:r w:rsidR="003E3B48">
        <w:t>Rules of Practice and Procedure</w:t>
      </w:r>
      <w:r w:rsidR="009E79EB">
        <w:t xml:space="preserve">.  Section 502.227 </w:t>
      </w:r>
      <w:r w:rsidR="003E3B48">
        <w:t>govern</w:t>
      </w:r>
      <w:r>
        <w:t xml:space="preserve">s exceptions filed to, for example, Initial Decisions of Administrative Law Judges in </w:t>
      </w:r>
      <w:r w:rsidR="009E79EB">
        <w:t>formal Commission proceedings</w:t>
      </w:r>
      <w:r w:rsidR="003E3B48">
        <w:t>.</w:t>
      </w:r>
      <w:r w:rsidR="00D538F0">
        <w:t xml:space="preserve">  </w:t>
      </w:r>
    </w:p>
    <w:p w14:paraId="11EF7656" w14:textId="77777777" w:rsidR="003800D0" w:rsidRDefault="003800D0" w:rsidP="00A615AE">
      <w:pPr>
        <w:ind w:firstLine="720"/>
        <w:jc w:val="both"/>
      </w:pPr>
    </w:p>
    <w:p w14:paraId="6D0C154B" w14:textId="77777777" w:rsidR="007F28F5" w:rsidRDefault="007F28F5" w:rsidP="00A615AE">
      <w:pPr>
        <w:ind w:left="720"/>
        <w:jc w:val="both"/>
      </w:pPr>
      <w:r>
        <w:rPr>
          <w:b/>
        </w:rPr>
        <w:t xml:space="preserve">Financial Responsibility </w:t>
      </w:r>
      <w:r w:rsidR="00A615AE">
        <w:rPr>
          <w:b/>
        </w:rPr>
        <w:t>Increases</w:t>
      </w:r>
      <w:r>
        <w:rPr>
          <w:b/>
        </w:rPr>
        <w:t xml:space="preserve"> for </w:t>
      </w:r>
      <w:r w:rsidR="00A615AE">
        <w:rPr>
          <w:b/>
        </w:rPr>
        <w:t>Unincorporated</w:t>
      </w:r>
      <w:r>
        <w:rPr>
          <w:b/>
        </w:rPr>
        <w:t xml:space="preserve"> Branch Offices Eliminated.</w:t>
      </w:r>
    </w:p>
    <w:p w14:paraId="0399C667" w14:textId="77777777" w:rsidR="00FA7E94" w:rsidRDefault="00FA7E94" w:rsidP="00A615AE">
      <w:pPr>
        <w:ind w:left="720"/>
        <w:jc w:val="both"/>
      </w:pPr>
    </w:p>
    <w:p w14:paraId="33671502" w14:textId="3D19B75C" w:rsidR="00877DB5" w:rsidRDefault="00FA7E94" w:rsidP="001D5B6E">
      <w:pPr>
        <w:jc w:val="both"/>
      </w:pPr>
      <w:r>
        <w:tab/>
      </w:r>
      <w:r w:rsidR="003E6ECE">
        <w:t>The Final Rule deletes the section 515.21(a)(4) r</w:t>
      </w:r>
      <w:r>
        <w:t>equire</w:t>
      </w:r>
      <w:r w:rsidR="003E6ECE">
        <w:t>me</w:t>
      </w:r>
      <w:r w:rsidR="00C600BD">
        <w:t>n</w:t>
      </w:r>
      <w:r w:rsidR="003E6ECE">
        <w:t xml:space="preserve">t </w:t>
      </w:r>
      <w:r>
        <w:t xml:space="preserve">that an OTI’s financial responsibility be increased by $10,000 for each unincorporated branch office established by the OTI.  </w:t>
      </w:r>
    </w:p>
    <w:p w14:paraId="1E9C078F" w14:textId="77777777" w:rsidR="00D45D7D" w:rsidRDefault="00D45D7D" w:rsidP="001D5B6E">
      <w:pPr>
        <w:jc w:val="both"/>
      </w:pPr>
    </w:p>
    <w:p w14:paraId="149DAE8B" w14:textId="6AE8E952" w:rsidR="00F076DA" w:rsidRDefault="001D5B6E" w:rsidP="001D5B6E">
      <w:pPr>
        <w:jc w:val="both"/>
      </w:pPr>
      <w:r>
        <w:t>2.</w:t>
      </w:r>
      <w:r>
        <w:tab/>
      </w:r>
      <w:r w:rsidR="00D648B6">
        <w:t xml:space="preserve">Information obtained under part </w:t>
      </w:r>
      <w:r w:rsidR="00E840CE">
        <w:t xml:space="preserve">515 </w:t>
      </w:r>
      <w:r w:rsidR="00D648B6">
        <w:t>and</w:t>
      </w:r>
      <w:r w:rsidR="00E840CE">
        <w:t xml:space="preserve"> the</w:t>
      </w:r>
      <w:r w:rsidR="00F559ED">
        <w:t xml:space="preserve"> revised </w:t>
      </w:r>
      <w:r w:rsidR="00F06B21">
        <w:t xml:space="preserve">financial responsibility </w:t>
      </w:r>
      <w:r w:rsidR="00F559ED">
        <w:t>Forms</w:t>
      </w:r>
      <w:r w:rsidR="00D648B6">
        <w:t xml:space="preserve"> </w:t>
      </w:r>
      <w:r w:rsidR="00F559ED">
        <w:t xml:space="preserve">will be </w:t>
      </w:r>
      <w:r w:rsidR="00D648B6">
        <w:t xml:space="preserve">used to </w:t>
      </w:r>
      <w:r w:rsidR="00F559ED">
        <w:t xml:space="preserve">improve the Commission’s oversight of OTIs </w:t>
      </w:r>
      <w:r w:rsidR="00F559ED">
        <w:lastRenderedPageBreak/>
        <w:t>with respect to the resolution of claims made against OTIs’ financial responsibility and with respect to assuring that the information the Commission has in it records is regularly obtained and updated through the OTI license renewal process</w:t>
      </w:r>
      <w:r w:rsidR="00D648B6">
        <w:t xml:space="preserve">.  </w:t>
      </w:r>
      <w:r w:rsidR="003B520C">
        <w:t xml:space="preserve"> </w:t>
      </w:r>
    </w:p>
    <w:p w14:paraId="7C1DC5B5" w14:textId="77777777" w:rsidR="001D5B6E" w:rsidRDefault="001D5B6E" w:rsidP="001D5B6E">
      <w:pPr>
        <w:jc w:val="both"/>
      </w:pPr>
    </w:p>
    <w:p w14:paraId="1D36A439" w14:textId="77777777" w:rsidR="00E326E3" w:rsidRDefault="00C840F0" w:rsidP="001D5B6E">
      <w:pPr>
        <w:jc w:val="both"/>
      </w:pPr>
      <w:r>
        <w:t>3</w:t>
      </w:r>
      <w:r w:rsidR="00E326E3">
        <w:t>.</w:t>
      </w:r>
      <w:r w:rsidR="00E326E3">
        <w:tab/>
        <w:t xml:space="preserve">The information requested </w:t>
      </w:r>
      <w:r w:rsidR="00D0134D">
        <w:t xml:space="preserve">by the Commission is </w:t>
      </w:r>
      <w:r w:rsidR="000D1698">
        <w:t>necessary</w:t>
      </w:r>
      <w:r w:rsidR="00D0134D">
        <w:t xml:space="preserve"> to the </w:t>
      </w:r>
      <w:r w:rsidR="00E4293E">
        <w:t>agency’s</w:t>
      </w:r>
      <w:r w:rsidR="00D0134D">
        <w:t xml:space="preserve"> licensing process</w:t>
      </w:r>
      <w:r w:rsidR="000D1698">
        <w:t>, and does not duplicate any information that would normally be collected elsewhere.</w:t>
      </w:r>
    </w:p>
    <w:p w14:paraId="5446CEBC" w14:textId="77777777" w:rsidR="000D1698" w:rsidRDefault="000D1698" w:rsidP="001D5B6E">
      <w:pPr>
        <w:jc w:val="both"/>
      </w:pPr>
    </w:p>
    <w:p w14:paraId="3B75ECB2" w14:textId="77777777" w:rsidR="00E326E3" w:rsidRDefault="00C840F0" w:rsidP="001D5B6E">
      <w:pPr>
        <w:jc w:val="both"/>
      </w:pPr>
      <w:r>
        <w:t>4</w:t>
      </w:r>
      <w:r w:rsidR="00E326E3">
        <w:t>.</w:t>
      </w:r>
      <w:r w:rsidR="00E326E3">
        <w:tab/>
      </w:r>
      <w:r w:rsidR="00EC4088" w:rsidRPr="00E94B93">
        <w:t xml:space="preserve">The </w:t>
      </w:r>
      <w:r w:rsidR="0052771C" w:rsidRPr="00E94B93">
        <w:t>Commission’s Chairman</w:t>
      </w:r>
      <w:r w:rsidR="00EC4088" w:rsidRPr="00E94B93">
        <w:t xml:space="preserve"> </w:t>
      </w:r>
      <w:r w:rsidR="0052771C" w:rsidRPr="00E94B93">
        <w:t>has</w:t>
      </w:r>
      <w:r w:rsidR="00972178" w:rsidRPr="00E94B93">
        <w:t xml:space="preserve"> </w:t>
      </w:r>
      <w:r w:rsidR="00EC4088" w:rsidRPr="00E94B93">
        <w:t>certif</w:t>
      </w:r>
      <w:r w:rsidR="0052771C" w:rsidRPr="00E94B93">
        <w:t>ied</w:t>
      </w:r>
      <w:r w:rsidR="00EC4088" w:rsidRPr="00E94B93">
        <w:t xml:space="preserve"> that th</w:t>
      </w:r>
      <w:r w:rsidR="0052771C" w:rsidRPr="00E94B93">
        <w:t xml:space="preserve">e collection of information pursuant to the Notice of Proposed Rulemaking </w:t>
      </w:r>
      <w:r w:rsidR="00EC4088" w:rsidRPr="00E94B93">
        <w:t xml:space="preserve">does not have a significant economic impact on a substantial number of small entities.  </w:t>
      </w:r>
      <w:r w:rsidR="0052771C" w:rsidRPr="00E94B93">
        <w:t>The Commission’s threshold analysis required by the Regulatory Flexibility Act, as amended, revealed that the only disbenefit of the proposed rule was the renewal requirement and that burden is estimated to be less than one-tenth of one percent of average annual revenue for the smallest OTIs.</w:t>
      </w:r>
      <w:r w:rsidR="00EC4088">
        <w:t xml:space="preserve"> </w:t>
      </w:r>
    </w:p>
    <w:p w14:paraId="36063FCE" w14:textId="77777777" w:rsidR="0052771C" w:rsidRDefault="0052771C" w:rsidP="001D5B6E">
      <w:pPr>
        <w:jc w:val="both"/>
      </w:pPr>
    </w:p>
    <w:p w14:paraId="28CAA531" w14:textId="4AB7A49E" w:rsidR="00AA7716" w:rsidRDefault="00637F2D" w:rsidP="001D5B6E">
      <w:pPr>
        <w:jc w:val="both"/>
      </w:pPr>
      <w:r>
        <w:t>5</w:t>
      </w:r>
      <w:r w:rsidR="00E326E3">
        <w:t>.</w:t>
      </w:r>
      <w:r w:rsidR="00E326E3">
        <w:tab/>
      </w:r>
      <w:r w:rsidR="00986193">
        <w:t xml:space="preserve">This information collection does not (1) require </w:t>
      </w:r>
      <w:r w:rsidR="00A21842">
        <w:t xml:space="preserve">OTI </w:t>
      </w:r>
      <w:r w:rsidR="00986193">
        <w:t xml:space="preserve">respondents to report information to the agency more often than </w:t>
      </w:r>
      <w:r w:rsidR="00A21842">
        <w:t xml:space="preserve">every </w:t>
      </w:r>
      <w:r w:rsidR="0052771C">
        <w:t>3</w:t>
      </w:r>
      <w:r w:rsidR="00A21842">
        <w:t xml:space="preserve"> years</w:t>
      </w:r>
      <w:r w:rsidR="00986193">
        <w:t xml:space="preserve">; (2) require respondents to prepare a written response to a collection of information in fewer than </w:t>
      </w:r>
      <w:r w:rsidR="00A21842">
        <w:t>2 years</w:t>
      </w:r>
      <w:r w:rsidR="00986193">
        <w:t xml:space="preserve"> after receipt of it; (3) require respondents to submit more than an original and two copies of any document; (4) include confidentiality pledges; or (5) require respondents to submit proprietary information without protecting such information to the full extent of the law. </w:t>
      </w:r>
      <w:r w:rsidR="00953F03">
        <w:t xml:space="preserve">The FMC is actively pursuing IT solutions that will facilitate secure, automated filing of </w:t>
      </w:r>
      <w:r w:rsidR="00953F03">
        <w:lastRenderedPageBreak/>
        <w:t xml:space="preserve">OTI licensing and renewal data. </w:t>
      </w:r>
      <w:r w:rsidR="00986193">
        <w:t xml:space="preserve"> </w:t>
      </w:r>
      <w:r w:rsidR="00B018D1">
        <w:t xml:space="preserve">Existing </w:t>
      </w:r>
      <w:r w:rsidR="00986193">
        <w:t>46 CFR 515.33 require</w:t>
      </w:r>
      <w:r w:rsidR="00681467">
        <w:t>s</w:t>
      </w:r>
      <w:r w:rsidR="00986193">
        <w:t xml:space="preserve"> that certain records be kept for five years.  This requirement is consistent with the statute of limitations </w:t>
      </w:r>
      <w:r w:rsidR="00B018D1">
        <w:t xml:space="preserve">period </w:t>
      </w:r>
      <w:r w:rsidR="00986193">
        <w:t>for civil penalty cases, and is consistent with the requirements contained in section 13 of the Shipping Act of 1984 (46 U.S.C. 41109).  Any confidential information required under this collection (</w:t>
      </w:r>
      <w:r w:rsidR="007D3EFB">
        <w:t xml:space="preserve">such as </w:t>
      </w:r>
      <w:r w:rsidR="00986193">
        <w:t xml:space="preserve">Social Security Numbers, is protected by the Privacy Act and by security and privacy policies developed by the bureau responsible for this collection.  </w:t>
      </w:r>
      <w:r w:rsidR="007D2CE6">
        <w:t xml:space="preserve">Social Security Numbers in the optional automated filing are encrypted.  </w:t>
      </w:r>
    </w:p>
    <w:p w14:paraId="01301D19" w14:textId="77777777" w:rsidR="00E326E3" w:rsidRDefault="00E326E3" w:rsidP="001D5B6E">
      <w:pPr>
        <w:jc w:val="both"/>
      </w:pPr>
    </w:p>
    <w:p w14:paraId="2DD908D2" w14:textId="407FA25B" w:rsidR="00E326E3" w:rsidRDefault="00637F2D" w:rsidP="001D5B6E">
      <w:pPr>
        <w:jc w:val="both"/>
      </w:pPr>
      <w:r>
        <w:t>6</w:t>
      </w:r>
      <w:r w:rsidR="00E326E3">
        <w:t>.</w:t>
      </w:r>
      <w:r w:rsidR="00E326E3">
        <w:tab/>
      </w:r>
      <w:r w:rsidR="00B34D16">
        <w:t xml:space="preserve"> </w:t>
      </w:r>
      <w:r w:rsidR="003800D0">
        <w:t xml:space="preserve">If the information were not collected, the Commission would not have information upon which to support a finding that an applicant, or existing licensee, is qualified for licensing or continues to meet the regulatory requirements of an OTI.  Failure to collect this information would also prevent the Commission from adequately protecting the public by ensuring that OTIs have obtained acceptable evidence of financial responsibility as required by section 19 of the Shipping Act.  Therefore, the Commission would be unable to fulfill its statutory mandate.  </w:t>
      </w:r>
    </w:p>
    <w:p w14:paraId="7A3437BA" w14:textId="77777777" w:rsidR="00E326E3" w:rsidRDefault="00E326E3" w:rsidP="001D5B6E">
      <w:pPr>
        <w:jc w:val="both"/>
      </w:pPr>
    </w:p>
    <w:p w14:paraId="404AE54D" w14:textId="77777777" w:rsidR="00E326E3" w:rsidRDefault="00637F2D" w:rsidP="001D5B6E">
      <w:pPr>
        <w:jc w:val="both"/>
      </w:pPr>
      <w:r>
        <w:t>7</w:t>
      </w:r>
      <w:r w:rsidR="00E326E3">
        <w:t>.</w:t>
      </w:r>
      <w:r w:rsidR="00E326E3">
        <w:tab/>
        <w:t>Not applicable</w:t>
      </w:r>
      <w:r w:rsidR="00BC3FA1">
        <w:t xml:space="preserve"> – The Commission does not provide any payments or gifts to respondents.  </w:t>
      </w:r>
    </w:p>
    <w:p w14:paraId="144B8D79" w14:textId="77777777" w:rsidR="00E326E3" w:rsidRDefault="00E326E3" w:rsidP="001D5B6E">
      <w:pPr>
        <w:jc w:val="both"/>
      </w:pPr>
    </w:p>
    <w:p w14:paraId="317F0DE9" w14:textId="77777777" w:rsidR="00A149E4" w:rsidRDefault="00637F2D" w:rsidP="001D5B6E">
      <w:pPr>
        <w:jc w:val="both"/>
      </w:pPr>
      <w:r>
        <w:t>8</w:t>
      </w:r>
      <w:r w:rsidR="00E326E3">
        <w:t>.</w:t>
      </w:r>
      <w:r w:rsidR="00E326E3">
        <w:tab/>
      </w:r>
      <w:r w:rsidR="00A149E4">
        <w:t xml:space="preserve">The information </w:t>
      </w:r>
      <w:r w:rsidR="005E7863">
        <w:t xml:space="preserve">submitted </w:t>
      </w:r>
      <w:r w:rsidR="00A149E4">
        <w:t xml:space="preserve">by </w:t>
      </w:r>
      <w:r w:rsidR="005E7863">
        <w:t xml:space="preserve">OTIs </w:t>
      </w:r>
      <w:r w:rsidR="00A149E4">
        <w:t xml:space="preserve">is subject to the limitations of the Freedom of Information Act and the Privacy Act.  </w:t>
      </w:r>
      <w:r w:rsidR="0063383A">
        <w:t xml:space="preserve">The bureau involved in this collection of information also has strict policies in place regarding the handling of confidential or sensitive information.  </w:t>
      </w:r>
    </w:p>
    <w:p w14:paraId="72456AE6" w14:textId="77777777" w:rsidR="00A149E4" w:rsidRDefault="00A149E4" w:rsidP="001D5B6E">
      <w:pPr>
        <w:jc w:val="both"/>
      </w:pPr>
    </w:p>
    <w:p w14:paraId="6C22EFCA" w14:textId="77777777" w:rsidR="00E326E3" w:rsidRDefault="00637F2D" w:rsidP="00637F2D">
      <w:pPr>
        <w:jc w:val="both"/>
      </w:pPr>
      <w:r>
        <w:t>9</w:t>
      </w:r>
      <w:r w:rsidR="003B55AD">
        <w:t>.</w:t>
      </w:r>
      <w:r w:rsidR="003B55AD">
        <w:tab/>
      </w:r>
      <w:r w:rsidR="00521B0F">
        <w:t xml:space="preserve">The Commission considers this information necessary because </w:t>
      </w:r>
      <w:r w:rsidR="00672738">
        <w:t xml:space="preserve">licensees </w:t>
      </w:r>
      <w:r w:rsidR="00521B0F">
        <w:t xml:space="preserve">will be representing others in fiduciary </w:t>
      </w:r>
      <w:r w:rsidR="00672738">
        <w:t xml:space="preserve">capacities </w:t>
      </w:r>
      <w:r w:rsidR="00986193">
        <w:t>or assuming responsibility for the safe transportation of cargo</w:t>
      </w:r>
      <w:r w:rsidR="00521B0F">
        <w:t xml:space="preserve">.  There are no questions of a sensitive nature in Forms FMC-48, </w:t>
      </w:r>
      <w:r>
        <w:t xml:space="preserve">48A, </w:t>
      </w:r>
      <w:r w:rsidR="00B34D16">
        <w:t xml:space="preserve">67, 68, </w:t>
      </w:r>
      <w:r>
        <w:t xml:space="preserve">69 or </w:t>
      </w:r>
      <w:r w:rsidR="00521B0F">
        <w:t>69</w:t>
      </w:r>
      <w:r>
        <w:t>A</w:t>
      </w:r>
      <w:r w:rsidR="00672738">
        <w:t>.</w:t>
      </w:r>
    </w:p>
    <w:p w14:paraId="13560A80" w14:textId="77777777" w:rsidR="00E326E3" w:rsidRDefault="00E326E3" w:rsidP="001D5B6E">
      <w:pPr>
        <w:jc w:val="both"/>
      </w:pPr>
    </w:p>
    <w:p w14:paraId="66DD9C8D" w14:textId="77777777" w:rsidR="001A695F" w:rsidRDefault="00311174" w:rsidP="00B57DCC">
      <w:pPr>
        <w:jc w:val="both"/>
      </w:pPr>
      <w:r>
        <w:lastRenderedPageBreak/>
        <w:t>1</w:t>
      </w:r>
      <w:r w:rsidR="00637F2D">
        <w:t>0</w:t>
      </w:r>
      <w:r>
        <w:t>.</w:t>
      </w:r>
      <w:r>
        <w:tab/>
      </w:r>
      <w:r w:rsidR="001A695F">
        <w:t xml:space="preserve">There </w:t>
      </w:r>
      <w:r w:rsidR="00B34D16">
        <w:t>is</w:t>
      </w:r>
      <w:r w:rsidR="001A695F">
        <w:t xml:space="preserve"> currently </w:t>
      </w:r>
      <w:r w:rsidR="00B34D16">
        <w:t xml:space="preserve">an estimated universe of </w:t>
      </w:r>
      <w:r w:rsidR="005E7863" w:rsidRPr="00A9340B">
        <w:t xml:space="preserve">approximately </w:t>
      </w:r>
      <w:r w:rsidR="00A9340B" w:rsidRPr="00A9340B">
        <w:t>6,000</w:t>
      </w:r>
      <w:r w:rsidR="003B55AD">
        <w:t xml:space="preserve"> U.S. licensed </w:t>
      </w:r>
      <w:r w:rsidR="00B34D16">
        <w:t>OTIs under 46 CFR 515.</w:t>
      </w:r>
      <w:r w:rsidR="001A695F">
        <w:t xml:space="preserve">  </w:t>
      </w:r>
      <w:r w:rsidR="00B57DCC">
        <w:t xml:space="preserve">The Commission estimates that this collection of information imposes, in varying degrees, a reporting burden to the entire respondent universe.  The burden is calculated on the estimated amount of time necessary to comply with various requirements of 46 CFR 515, as set forth in </w:t>
      </w:r>
      <w:r w:rsidR="00667C0B">
        <w:t xml:space="preserve">the </w:t>
      </w:r>
      <w:r w:rsidR="00494471">
        <w:t>Attachment</w:t>
      </w:r>
      <w:r w:rsidR="00667C0B">
        <w:t xml:space="preserve"> to this document</w:t>
      </w:r>
      <w:r w:rsidR="00B57DCC">
        <w:t xml:space="preserve">.  </w:t>
      </w:r>
      <w:r w:rsidR="00667C0B">
        <w:t xml:space="preserve">The </w:t>
      </w:r>
      <w:r w:rsidR="00494471">
        <w:t>Attachment</w:t>
      </w:r>
      <w:r w:rsidR="001A695F">
        <w:t xml:space="preserve"> shows the breakdown of the estimated burden of </w:t>
      </w:r>
      <w:r w:rsidR="00A2289D">
        <w:rPr>
          <w:b/>
        </w:rPr>
        <w:t>5,469</w:t>
      </w:r>
      <w:r w:rsidR="00A2289D" w:rsidRPr="00C77E63">
        <w:rPr>
          <w:b/>
        </w:rPr>
        <w:t xml:space="preserve"> </w:t>
      </w:r>
      <w:r w:rsidR="001A695F">
        <w:t xml:space="preserve">hours for </w:t>
      </w:r>
      <w:r w:rsidR="00B57DCC">
        <w:t xml:space="preserve">respondents </w:t>
      </w:r>
      <w:r w:rsidR="001A695F">
        <w:t xml:space="preserve">to comply with 46 CFR 515.  </w:t>
      </w:r>
    </w:p>
    <w:p w14:paraId="5ECBB512" w14:textId="77777777" w:rsidR="001A695F" w:rsidRDefault="001A695F" w:rsidP="001A695F">
      <w:pPr>
        <w:ind w:firstLine="720"/>
        <w:jc w:val="both"/>
      </w:pPr>
    </w:p>
    <w:p w14:paraId="47EE6A4D" w14:textId="77777777" w:rsidR="001A695F" w:rsidRDefault="001A695F" w:rsidP="001A695F">
      <w:pPr>
        <w:ind w:firstLine="720"/>
        <w:jc w:val="both"/>
      </w:pPr>
      <w:r>
        <w:t>The annual cost to respondents</w:t>
      </w:r>
      <w:r w:rsidR="00B57DCC">
        <w:t xml:space="preserve"> is estimated at </w:t>
      </w:r>
      <w:r w:rsidR="00A2289D">
        <w:rPr>
          <w:b/>
        </w:rPr>
        <w:t>$479,715</w:t>
      </w:r>
      <w:r w:rsidR="00015813">
        <w:t>.</w:t>
      </w:r>
      <w:r w:rsidR="00B57DCC">
        <w:t xml:space="preserve">  This cost has been calculated in consideration of the time to gather information and furnish it to the Commission, as well as comply with the requirements of 46 CFR 515.  It also includes clerical time, as well as overhead and operational expenses</w:t>
      </w:r>
      <w:r w:rsidR="0025300D">
        <w:t>.  No time is allocated for disclosure, as there are no disclosure requirements involved in this collection.</w:t>
      </w:r>
    </w:p>
    <w:p w14:paraId="2070E1FE" w14:textId="77777777" w:rsidR="001A695F" w:rsidRDefault="001A695F" w:rsidP="001A695F">
      <w:pPr>
        <w:ind w:firstLine="720"/>
        <w:jc w:val="both"/>
      </w:pPr>
    </w:p>
    <w:p w14:paraId="259A94D5" w14:textId="77777777" w:rsidR="00877DB5" w:rsidRDefault="001A695F" w:rsidP="00B57DCC">
      <w:pPr>
        <w:ind w:firstLine="720"/>
        <w:jc w:val="both"/>
      </w:pPr>
      <w:r>
        <w:t xml:space="preserve">We estimate that </w:t>
      </w:r>
      <w:r w:rsidR="005E7863">
        <w:t>the</w:t>
      </w:r>
      <w:r>
        <w:t xml:space="preserve"> response time </w:t>
      </w:r>
      <w:r w:rsidR="00657F19">
        <w:t xml:space="preserve">to file </w:t>
      </w:r>
      <w:r w:rsidR="005E7863">
        <w:t>these forms</w:t>
      </w:r>
      <w:r w:rsidR="00657F19">
        <w:t xml:space="preserve">, including the time to gather the documents necessary to fill in the form, varies from </w:t>
      </w:r>
      <w:r w:rsidR="00960A9B">
        <w:t>1</w:t>
      </w:r>
      <w:r w:rsidR="00657F19">
        <w:t xml:space="preserve"> hour to a maximum of </w:t>
      </w:r>
      <w:r w:rsidR="00960A9B">
        <w:t xml:space="preserve">5 </w:t>
      </w:r>
      <w:r w:rsidR="00657F19">
        <w:t xml:space="preserve">hours; on average it is estimated that it takes </w:t>
      </w:r>
      <w:r w:rsidR="00960A9B">
        <w:t xml:space="preserve">2 </w:t>
      </w:r>
      <w:r w:rsidR="00657F19">
        <w:t xml:space="preserve">hours to complete the form.    </w:t>
      </w:r>
    </w:p>
    <w:p w14:paraId="364C74C3" w14:textId="77777777" w:rsidR="00B57DCC" w:rsidRDefault="00B57DCC" w:rsidP="00B57DCC">
      <w:pPr>
        <w:ind w:firstLine="720"/>
        <w:jc w:val="both"/>
      </w:pPr>
    </w:p>
    <w:p w14:paraId="2E283E53" w14:textId="77777777" w:rsidR="00C96645" w:rsidRDefault="00C96645" w:rsidP="00C96645">
      <w:pPr>
        <w:jc w:val="both"/>
      </w:pPr>
      <w:r>
        <w:t>1</w:t>
      </w:r>
      <w:r w:rsidR="00993E09">
        <w:t>1</w:t>
      </w:r>
      <w:r>
        <w:t>.</w:t>
      </w:r>
      <w:r>
        <w:tab/>
      </w:r>
      <w:r w:rsidR="00B64471">
        <w:t xml:space="preserve">There are no additional cost burdens to respondents or recordkeepers other than those reported in item 12.  </w:t>
      </w:r>
    </w:p>
    <w:p w14:paraId="58EBB5B1" w14:textId="77777777" w:rsidR="00650CCA" w:rsidRDefault="00650CCA" w:rsidP="00650CCA">
      <w:pPr>
        <w:jc w:val="both"/>
      </w:pPr>
    </w:p>
    <w:p w14:paraId="65A62256" w14:textId="77777777" w:rsidR="00650CCA" w:rsidRDefault="00650CCA" w:rsidP="00650CCA">
      <w:pPr>
        <w:jc w:val="both"/>
      </w:pPr>
      <w:r>
        <w:lastRenderedPageBreak/>
        <w:t>1</w:t>
      </w:r>
      <w:r w:rsidR="00993E09">
        <w:t>2</w:t>
      </w:r>
      <w:r>
        <w:t>.</w:t>
      </w:r>
      <w:r>
        <w:tab/>
        <w:t>T</w:t>
      </w:r>
      <w:r w:rsidR="00B57DCC">
        <w:t xml:space="preserve">he cost to the Federal Government for the Commission to carry out </w:t>
      </w:r>
      <w:r w:rsidR="00F46498">
        <w:t>this collection of information</w:t>
      </w:r>
      <w:r w:rsidR="00B57DCC">
        <w:t xml:space="preserve"> is estimated to be </w:t>
      </w:r>
      <w:r w:rsidR="00B57DCC" w:rsidRPr="00BE6AA8">
        <w:rPr>
          <w:b/>
        </w:rPr>
        <w:t>$</w:t>
      </w:r>
      <w:r w:rsidR="00BE6AA8" w:rsidRPr="00BE6AA8">
        <w:rPr>
          <w:b/>
        </w:rPr>
        <w:t>1,113,525</w:t>
      </w:r>
      <w:r w:rsidR="00F46498">
        <w:t>.</w:t>
      </w:r>
      <w:r w:rsidR="00B57DCC">
        <w:t xml:space="preserve">  This includes overhead and benefits, and is based on a burden of </w:t>
      </w:r>
      <w:r w:rsidR="00BE6AA8" w:rsidRPr="00BE6AA8">
        <w:rPr>
          <w:b/>
        </w:rPr>
        <w:t>13,390</w:t>
      </w:r>
      <w:r w:rsidR="00BE6AA8">
        <w:t xml:space="preserve"> </w:t>
      </w:r>
      <w:r w:rsidR="00B57DCC">
        <w:t>person</w:t>
      </w:r>
      <w:r w:rsidR="0063383A">
        <w:t>-</w:t>
      </w:r>
      <w:r w:rsidR="00B57DCC">
        <w:t xml:space="preserve">hours.  </w:t>
      </w:r>
    </w:p>
    <w:p w14:paraId="318031AF" w14:textId="77777777" w:rsidR="00993E09" w:rsidRDefault="00993E09" w:rsidP="00650CCA">
      <w:pPr>
        <w:jc w:val="both"/>
      </w:pPr>
    </w:p>
    <w:p w14:paraId="1DFEC464" w14:textId="77777777" w:rsidR="00A51068" w:rsidRDefault="00993E09" w:rsidP="00A51068">
      <w:pPr>
        <w:jc w:val="both"/>
      </w:pPr>
      <w:r>
        <w:t>13</w:t>
      </w:r>
      <w:r w:rsidR="00650CCA">
        <w:t>.</w:t>
      </w:r>
      <w:r w:rsidR="00650CCA">
        <w:tab/>
      </w:r>
      <w:r w:rsidR="00A51068">
        <w:t xml:space="preserve">The burden estimate for this collection of information has decreased since it was last submitted.  </w:t>
      </w:r>
      <w:r w:rsidR="008B03F4">
        <w:t>A decrease in the number of filings regarding financial instruments and license applications resulted in a reduction in the burden.</w:t>
      </w:r>
    </w:p>
    <w:p w14:paraId="51C1048C" w14:textId="77777777" w:rsidR="003F7497" w:rsidRDefault="003F7497" w:rsidP="00650CCA">
      <w:pPr>
        <w:jc w:val="both"/>
      </w:pPr>
    </w:p>
    <w:p w14:paraId="74D84EFD" w14:textId="77777777" w:rsidR="00650CCA" w:rsidRDefault="00993E09" w:rsidP="00650CCA">
      <w:pPr>
        <w:jc w:val="both"/>
      </w:pPr>
      <w:r>
        <w:t>14</w:t>
      </w:r>
      <w:r w:rsidR="00650CCA">
        <w:t>.</w:t>
      </w:r>
      <w:r w:rsidR="00650CCA">
        <w:tab/>
        <w:t>Not applicable – no information will be published.</w:t>
      </w:r>
    </w:p>
    <w:p w14:paraId="295B41D6" w14:textId="77777777" w:rsidR="00650CCA" w:rsidRDefault="00650CCA" w:rsidP="00650CCA">
      <w:pPr>
        <w:jc w:val="both"/>
      </w:pPr>
    </w:p>
    <w:p w14:paraId="2CF98762" w14:textId="77777777" w:rsidR="00650CCA" w:rsidRDefault="00993E09" w:rsidP="00650CCA">
      <w:pPr>
        <w:jc w:val="both"/>
      </w:pPr>
      <w:r>
        <w:t>15</w:t>
      </w:r>
      <w:r w:rsidR="00292776">
        <w:t>.</w:t>
      </w:r>
      <w:r w:rsidR="00292776">
        <w:tab/>
        <w:t>Not applicable – the expiration date will be displayed.</w:t>
      </w:r>
    </w:p>
    <w:p w14:paraId="7BCB8FDE" w14:textId="77777777" w:rsidR="00650CCA" w:rsidRDefault="00650CCA" w:rsidP="00650CCA">
      <w:pPr>
        <w:jc w:val="both"/>
      </w:pPr>
    </w:p>
    <w:p w14:paraId="4B5B2C9C" w14:textId="77777777" w:rsidR="00650CCA" w:rsidRDefault="00650CCA" w:rsidP="00650CCA">
      <w:pPr>
        <w:jc w:val="both"/>
      </w:pPr>
      <w:r>
        <w:t>18.</w:t>
      </w:r>
      <w:r>
        <w:tab/>
        <w:t>Not applicable</w:t>
      </w:r>
      <w:r w:rsidR="00292776">
        <w:t xml:space="preserve"> – no exceptions to the certification statement</w:t>
      </w:r>
      <w:r>
        <w:t>.</w:t>
      </w:r>
    </w:p>
    <w:p w14:paraId="03CB4B58" w14:textId="77777777" w:rsidR="00650CCA" w:rsidRDefault="00650CCA" w:rsidP="00650CCA">
      <w:pPr>
        <w:jc w:val="both"/>
      </w:pPr>
    </w:p>
    <w:p w14:paraId="29162D50" w14:textId="77777777" w:rsidR="00650CCA" w:rsidRDefault="00650CCA" w:rsidP="00650CCA">
      <w:pPr>
        <w:jc w:val="both"/>
      </w:pPr>
      <w:r>
        <w:rPr>
          <w:b/>
        </w:rPr>
        <w:t>B.</w:t>
      </w:r>
      <w:r>
        <w:rPr>
          <w:b/>
        </w:rPr>
        <w:tab/>
        <w:t>Collections of Information Employing Statistical Methods</w:t>
      </w:r>
    </w:p>
    <w:p w14:paraId="52D50E55" w14:textId="77777777" w:rsidR="00650CCA" w:rsidRDefault="00650CCA" w:rsidP="00650CCA">
      <w:pPr>
        <w:jc w:val="both"/>
      </w:pPr>
    </w:p>
    <w:p w14:paraId="5293BC87" w14:textId="77777777" w:rsidR="00650CCA" w:rsidRDefault="00650CCA" w:rsidP="00650CCA">
      <w:pPr>
        <w:jc w:val="both"/>
      </w:pPr>
      <w:r>
        <w:tab/>
        <w:t>This collection of information does not employ statistical methods.</w:t>
      </w:r>
    </w:p>
    <w:p w14:paraId="08B4653B" w14:textId="77777777" w:rsidR="003865CF" w:rsidRPr="003865CF" w:rsidRDefault="00C64691" w:rsidP="00494471">
      <w:pPr>
        <w:jc w:val="right"/>
        <w:rPr>
          <w:b/>
        </w:rPr>
      </w:pPr>
      <w:r>
        <w:br w:type="page"/>
      </w:r>
      <w:r w:rsidR="00494471">
        <w:rPr>
          <w:b/>
        </w:rPr>
        <w:lastRenderedPageBreak/>
        <w:t>ATTACHMENT</w:t>
      </w:r>
    </w:p>
    <w:p w14:paraId="0B9C4847" w14:textId="77777777" w:rsidR="00494471" w:rsidRDefault="00494471" w:rsidP="003865CF">
      <w:pPr>
        <w:jc w:val="center"/>
        <w:rPr>
          <w:b/>
          <w:sz w:val="28"/>
          <w:szCs w:val="28"/>
        </w:rPr>
      </w:pPr>
    </w:p>
    <w:p w14:paraId="058D75FB" w14:textId="77777777" w:rsidR="003865CF" w:rsidRPr="00F42D1E" w:rsidRDefault="003865CF" w:rsidP="003865CF">
      <w:pPr>
        <w:jc w:val="center"/>
        <w:rPr>
          <w:b/>
          <w:sz w:val="28"/>
          <w:szCs w:val="28"/>
        </w:rPr>
      </w:pPr>
      <w:r w:rsidRPr="00F42D1E">
        <w:rPr>
          <w:b/>
          <w:sz w:val="28"/>
          <w:szCs w:val="28"/>
        </w:rPr>
        <w:t>INDUSTRY BURDEN FOR PART 515 FORMS</w:t>
      </w:r>
    </w:p>
    <w:p w14:paraId="1EF3DBC7" w14:textId="77777777" w:rsidR="003865CF" w:rsidRDefault="003865CF" w:rsidP="003865CF"/>
    <w:tbl>
      <w:tblPr>
        <w:tblStyle w:val="TableGrid"/>
        <w:tblW w:w="10368" w:type="dxa"/>
        <w:tblLayout w:type="fixed"/>
        <w:tblLook w:val="01E0" w:firstRow="1" w:lastRow="1" w:firstColumn="1" w:lastColumn="1" w:noHBand="0" w:noVBand="0"/>
      </w:tblPr>
      <w:tblGrid>
        <w:gridCol w:w="2268"/>
        <w:gridCol w:w="1530"/>
        <w:gridCol w:w="1515"/>
        <w:gridCol w:w="1635"/>
        <w:gridCol w:w="1620"/>
        <w:gridCol w:w="1800"/>
      </w:tblGrid>
      <w:tr w:rsidR="003865CF" w:rsidRPr="00C77E63" w14:paraId="5A93E060" w14:textId="77777777" w:rsidTr="00C77E63">
        <w:tc>
          <w:tcPr>
            <w:tcW w:w="2268" w:type="dxa"/>
          </w:tcPr>
          <w:p w14:paraId="0C43209C" w14:textId="77777777" w:rsidR="003865CF" w:rsidRPr="00C77E63" w:rsidRDefault="003865CF" w:rsidP="005B071B">
            <w:pPr>
              <w:rPr>
                <w:b/>
              </w:rPr>
            </w:pPr>
            <w:r w:rsidRPr="00C77E63">
              <w:rPr>
                <w:b/>
              </w:rPr>
              <w:t>Requirement</w:t>
            </w:r>
          </w:p>
        </w:tc>
        <w:tc>
          <w:tcPr>
            <w:tcW w:w="1530" w:type="dxa"/>
          </w:tcPr>
          <w:p w14:paraId="0646C6CF" w14:textId="77777777" w:rsidR="003865CF" w:rsidRPr="00C77E63" w:rsidRDefault="003865CF" w:rsidP="005B071B">
            <w:pPr>
              <w:rPr>
                <w:b/>
              </w:rPr>
            </w:pPr>
            <w:r w:rsidRPr="00C77E63">
              <w:rPr>
                <w:b/>
              </w:rPr>
              <w:t>Respondents</w:t>
            </w:r>
          </w:p>
          <w:p w14:paraId="6445A746" w14:textId="77777777" w:rsidR="003865CF" w:rsidRPr="00C77E63" w:rsidRDefault="003865CF" w:rsidP="005B071B">
            <w:pPr>
              <w:rPr>
                <w:b/>
              </w:rPr>
            </w:pPr>
            <w:r w:rsidRPr="00C77E63">
              <w:rPr>
                <w:b/>
              </w:rPr>
              <w:t>(See Note 1)</w:t>
            </w:r>
          </w:p>
        </w:tc>
        <w:tc>
          <w:tcPr>
            <w:tcW w:w="1515" w:type="dxa"/>
          </w:tcPr>
          <w:p w14:paraId="5F2F0B7C" w14:textId="77777777" w:rsidR="003865CF" w:rsidRPr="00C77E63" w:rsidRDefault="003865CF" w:rsidP="005B071B">
            <w:pPr>
              <w:rPr>
                <w:b/>
              </w:rPr>
            </w:pPr>
            <w:r w:rsidRPr="00C77E63">
              <w:rPr>
                <w:b/>
              </w:rPr>
              <w:t>Annual Instances</w:t>
            </w:r>
          </w:p>
        </w:tc>
        <w:tc>
          <w:tcPr>
            <w:tcW w:w="1635" w:type="dxa"/>
          </w:tcPr>
          <w:p w14:paraId="2AD872D5" w14:textId="77777777" w:rsidR="003865CF" w:rsidRPr="00C77E63" w:rsidRDefault="003865CF" w:rsidP="005B071B">
            <w:pPr>
              <w:rPr>
                <w:b/>
              </w:rPr>
            </w:pPr>
            <w:r w:rsidRPr="00C77E63">
              <w:rPr>
                <w:b/>
              </w:rPr>
              <w:t xml:space="preserve">Average </w:t>
            </w:r>
            <w:r w:rsidR="00DA3AE3" w:rsidRPr="00C77E63">
              <w:rPr>
                <w:b/>
              </w:rPr>
              <w:t>Person-hours</w:t>
            </w:r>
            <w:r w:rsidRPr="00C77E63">
              <w:rPr>
                <w:b/>
              </w:rPr>
              <w:t xml:space="preserve"> Per Response (See Note 2)</w:t>
            </w:r>
          </w:p>
        </w:tc>
        <w:tc>
          <w:tcPr>
            <w:tcW w:w="1620" w:type="dxa"/>
          </w:tcPr>
          <w:p w14:paraId="4CBA269A" w14:textId="77777777" w:rsidR="003865CF" w:rsidRPr="00C77E63" w:rsidRDefault="003865CF" w:rsidP="005B071B">
            <w:pPr>
              <w:rPr>
                <w:b/>
              </w:rPr>
            </w:pPr>
            <w:r w:rsidRPr="00C77E63">
              <w:rPr>
                <w:b/>
              </w:rPr>
              <w:t xml:space="preserve">Total </w:t>
            </w:r>
            <w:r w:rsidR="00DA3AE3" w:rsidRPr="00C77E63">
              <w:rPr>
                <w:b/>
              </w:rPr>
              <w:t>Person-hours</w:t>
            </w:r>
          </w:p>
        </w:tc>
        <w:tc>
          <w:tcPr>
            <w:tcW w:w="1800" w:type="dxa"/>
          </w:tcPr>
          <w:p w14:paraId="1C67B7E4" w14:textId="77777777" w:rsidR="003865CF" w:rsidRPr="00C77E63" w:rsidRDefault="003865CF" w:rsidP="005B071B">
            <w:pPr>
              <w:rPr>
                <w:b/>
              </w:rPr>
            </w:pPr>
            <w:r w:rsidRPr="00C77E63">
              <w:rPr>
                <w:b/>
              </w:rPr>
              <w:t>Frequency</w:t>
            </w:r>
          </w:p>
          <w:p w14:paraId="5206666A" w14:textId="77777777" w:rsidR="003865CF" w:rsidRPr="00C77E63" w:rsidRDefault="003865CF" w:rsidP="005B071B">
            <w:pPr>
              <w:rPr>
                <w:b/>
              </w:rPr>
            </w:pPr>
            <w:r w:rsidRPr="00C77E63">
              <w:rPr>
                <w:b/>
              </w:rPr>
              <w:t xml:space="preserve">(See Note 6) </w:t>
            </w:r>
          </w:p>
        </w:tc>
      </w:tr>
      <w:tr w:rsidR="00AB40C9" w:rsidRPr="00C77E63" w14:paraId="690893A0" w14:textId="77777777" w:rsidTr="00C77E63">
        <w:tc>
          <w:tcPr>
            <w:tcW w:w="2268" w:type="dxa"/>
          </w:tcPr>
          <w:p w14:paraId="7613A3FB" w14:textId="77777777" w:rsidR="00AB40C9" w:rsidRPr="00C77E63" w:rsidRDefault="00101DAD" w:rsidP="005B071B">
            <w:pPr>
              <w:rPr>
                <w:b/>
              </w:rPr>
            </w:pPr>
            <w:r w:rsidRPr="00C77E63">
              <w:rPr>
                <w:b/>
              </w:rPr>
              <w:t>OIT Licensing:</w:t>
            </w:r>
          </w:p>
          <w:p w14:paraId="6A86BD9B" w14:textId="77777777" w:rsidR="00101DAD" w:rsidRPr="00C77E63" w:rsidRDefault="00101DAD" w:rsidP="005B071B">
            <w:r w:rsidRPr="00C77E63">
              <w:rPr>
                <w:b/>
              </w:rPr>
              <w:t>46 CFR 515.12</w:t>
            </w:r>
          </w:p>
        </w:tc>
        <w:tc>
          <w:tcPr>
            <w:tcW w:w="1530" w:type="dxa"/>
          </w:tcPr>
          <w:p w14:paraId="4E24D307" w14:textId="77777777" w:rsidR="00AB40C9" w:rsidRPr="00C77E63" w:rsidRDefault="00AB40C9" w:rsidP="005B071B"/>
        </w:tc>
        <w:tc>
          <w:tcPr>
            <w:tcW w:w="1515" w:type="dxa"/>
          </w:tcPr>
          <w:p w14:paraId="75C086B6" w14:textId="77777777" w:rsidR="00AB40C9" w:rsidRPr="00C77E63" w:rsidRDefault="00AB40C9" w:rsidP="005B071B"/>
        </w:tc>
        <w:tc>
          <w:tcPr>
            <w:tcW w:w="1635" w:type="dxa"/>
          </w:tcPr>
          <w:p w14:paraId="75FCE5C8" w14:textId="77777777" w:rsidR="00AB40C9" w:rsidRPr="00C77E63" w:rsidRDefault="00AB40C9" w:rsidP="005B071B"/>
        </w:tc>
        <w:tc>
          <w:tcPr>
            <w:tcW w:w="1620" w:type="dxa"/>
          </w:tcPr>
          <w:p w14:paraId="020818A1" w14:textId="77777777" w:rsidR="00AB40C9" w:rsidRPr="00C77E63" w:rsidRDefault="00AB40C9" w:rsidP="005B071B"/>
        </w:tc>
        <w:tc>
          <w:tcPr>
            <w:tcW w:w="1800" w:type="dxa"/>
          </w:tcPr>
          <w:p w14:paraId="0BA58C6B" w14:textId="77777777" w:rsidR="00AB40C9" w:rsidRPr="00C77E63" w:rsidRDefault="00AB40C9" w:rsidP="005B071B">
            <w:pPr>
              <w:rPr>
                <w:b/>
              </w:rPr>
            </w:pPr>
          </w:p>
        </w:tc>
      </w:tr>
      <w:tr w:rsidR="00AB40C9" w:rsidRPr="00C77E63" w14:paraId="62A613DC" w14:textId="77777777" w:rsidTr="00C77E63">
        <w:tc>
          <w:tcPr>
            <w:tcW w:w="2268" w:type="dxa"/>
          </w:tcPr>
          <w:p w14:paraId="09145F26" w14:textId="77777777" w:rsidR="00AB40C9" w:rsidRPr="00C77E63" w:rsidRDefault="00101DAD" w:rsidP="005B071B">
            <w:r w:rsidRPr="00C77E63">
              <w:t>FMC-18 paper form (new/amended)</w:t>
            </w:r>
          </w:p>
        </w:tc>
        <w:tc>
          <w:tcPr>
            <w:tcW w:w="1530" w:type="dxa"/>
          </w:tcPr>
          <w:p w14:paraId="6D92ECEC" w14:textId="77777777" w:rsidR="00AB40C9" w:rsidRPr="00C77E63" w:rsidRDefault="00AB40C9" w:rsidP="005B071B"/>
        </w:tc>
        <w:tc>
          <w:tcPr>
            <w:tcW w:w="1515" w:type="dxa"/>
          </w:tcPr>
          <w:p w14:paraId="38981BD0" w14:textId="77777777" w:rsidR="00AB40C9" w:rsidRPr="00C77E63" w:rsidRDefault="00101DAD" w:rsidP="00101DAD">
            <w:r w:rsidRPr="00C77E63">
              <w:t>55</w:t>
            </w:r>
          </w:p>
        </w:tc>
        <w:tc>
          <w:tcPr>
            <w:tcW w:w="1635" w:type="dxa"/>
          </w:tcPr>
          <w:p w14:paraId="3E6FBAA0" w14:textId="77777777" w:rsidR="00AB40C9" w:rsidRPr="00C77E63" w:rsidRDefault="00101DAD" w:rsidP="005B071B">
            <w:r w:rsidRPr="00C77E63">
              <w:t>2 (see Note 3)</w:t>
            </w:r>
          </w:p>
        </w:tc>
        <w:tc>
          <w:tcPr>
            <w:tcW w:w="1620" w:type="dxa"/>
          </w:tcPr>
          <w:p w14:paraId="5F577194" w14:textId="77777777" w:rsidR="00AB40C9" w:rsidRPr="00C77E63" w:rsidRDefault="00101DAD" w:rsidP="005B071B">
            <w:r w:rsidRPr="00C77E63">
              <w:t>110 hours</w:t>
            </w:r>
          </w:p>
        </w:tc>
        <w:tc>
          <w:tcPr>
            <w:tcW w:w="1800" w:type="dxa"/>
          </w:tcPr>
          <w:p w14:paraId="38AD125C" w14:textId="77777777" w:rsidR="00AB40C9" w:rsidRPr="00C77E63" w:rsidRDefault="00AB40C9" w:rsidP="005B071B">
            <w:pPr>
              <w:rPr>
                <w:b/>
              </w:rPr>
            </w:pPr>
          </w:p>
        </w:tc>
      </w:tr>
      <w:tr w:rsidR="00AB40C9" w:rsidRPr="00C77E63" w14:paraId="304793F9" w14:textId="77777777" w:rsidTr="00C77E63">
        <w:tc>
          <w:tcPr>
            <w:tcW w:w="2268" w:type="dxa"/>
          </w:tcPr>
          <w:p w14:paraId="1854C0DB" w14:textId="77777777" w:rsidR="00AB40C9" w:rsidRPr="00C77E63" w:rsidRDefault="00101DAD" w:rsidP="005B071B">
            <w:r w:rsidRPr="00C77E63">
              <w:t>FMC-18 electronic form (new/amended)</w:t>
            </w:r>
          </w:p>
        </w:tc>
        <w:tc>
          <w:tcPr>
            <w:tcW w:w="1530" w:type="dxa"/>
          </w:tcPr>
          <w:p w14:paraId="0677548C" w14:textId="77777777" w:rsidR="00AB40C9" w:rsidRPr="00C77E63" w:rsidRDefault="00AB40C9" w:rsidP="005B071B"/>
        </w:tc>
        <w:tc>
          <w:tcPr>
            <w:tcW w:w="1515" w:type="dxa"/>
          </w:tcPr>
          <w:p w14:paraId="2AF3412C" w14:textId="77777777" w:rsidR="00AB40C9" w:rsidRPr="00C77E63" w:rsidRDefault="00101DAD" w:rsidP="005B071B">
            <w:r w:rsidRPr="00C77E63">
              <w:t>570</w:t>
            </w:r>
          </w:p>
        </w:tc>
        <w:tc>
          <w:tcPr>
            <w:tcW w:w="1635" w:type="dxa"/>
          </w:tcPr>
          <w:p w14:paraId="5118054F" w14:textId="77777777" w:rsidR="00AB40C9" w:rsidRPr="00C77E63" w:rsidRDefault="00101DAD" w:rsidP="005B071B">
            <w:r w:rsidRPr="00C77E63">
              <w:t>2 (see Note 3)</w:t>
            </w:r>
          </w:p>
        </w:tc>
        <w:tc>
          <w:tcPr>
            <w:tcW w:w="1620" w:type="dxa"/>
          </w:tcPr>
          <w:p w14:paraId="219076C0" w14:textId="77777777" w:rsidR="00AB40C9" w:rsidRPr="00C77E63" w:rsidRDefault="00101DAD" w:rsidP="005B071B">
            <w:r w:rsidRPr="00C77E63">
              <w:t>1140 hours</w:t>
            </w:r>
          </w:p>
        </w:tc>
        <w:tc>
          <w:tcPr>
            <w:tcW w:w="1800" w:type="dxa"/>
          </w:tcPr>
          <w:p w14:paraId="3E286F6E" w14:textId="77777777" w:rsidR="00AB40C9" w:rsidRPr="00C77E63" w:rsidRDefault="00AB40C9" w:rsidP="005B071B">
            <w:pPr>
              <w:rPr>
                <w:b/>
              </w:rPr>
            </w:pPr>
          </w:p>
        </w:tc>
      </w:tr>
      <w:tr w:rsidR="00702B3B" w:rsidRPr="00C77E63" w14:paraId="5238A9C2" w14:textId="77777777" w:rsidTr="00C77E63">
        <w:tc>
          <w:tcPr>
            <w:tcW w:w="2268" w:type="dxa"/>
          </w:tcPr>
          <w:p w14:paraId="45047619" w14:textId="77777777" w:rsidR="00702B3B" w:rsidRPr="00702B3B" w:rsidRDefault="00702B3B" w:rsidP="00702B3B">
            <w:r w:rsidRPr="00702B3B">
              <w:t>OIT License Renewal</w:t>
            </w:r>
          </w:p>
        </w:tc>
        <w:tc>
          <w:tcPr>
            <w:tcW w:w="1530" w:type="dxa"/>
          </w:tcPr>
          <w:p w14:paraId="5733713A" w14:textId="77777777" w:rsidR="00702B3B" w:rsidRPr="00C77E63" w:rsidRDefault="00702B3B" w:rsidP="00702B3B"/>
        </w:tc>
        <w:tc>
          <w:tcPr>
            <w:tcW w:w="1515" w:type="dxa"/>
          </w:tcPr>
          <w:p w14:paraId="6B8B973C" w14:textId="77777777" w:rsidR="00702B3B" w:rsidRPr="00C77E63" w:rsidRDefault="00702B3B" w:rsidP="00702B3B">
            <w:r>
              <w:t>2,000</w:t>
            </w:r>
          </w:p>
        </w:tc>
        <w:tc>
          <w:tcPr>
            <w:tcW w:w="1635" w:type="dxa"/>
          </w:tcPr>
          <w:p w14:paraId="6535B87A" w14:textId="77777777" w:rsidR="00702B3B" w:rsidRPr="00C77E63" w:rsidRDefault="00702B3B" w:rsidP="00702B3B">
            <w:r>
              <w:t>45 minutes</w:t>
            </w:r>
          </w:p>
        </w:tc>
        <w:tc>
          <w:tcPr>
            <w:tcW w:w="1620" w:type="dxa"/>
          </w:tcPr>
          <w:p w14:paraId="58F31EDF" w14:textId="77777777" w:rsidR="00702B3B" w:rsidRDefault="00702B3B" w:rsidP="00702B3B">
            <w:r>
              <w:t>1500 hours</w:t>
            </w:r>
          </w:p>
          <w:p w14:paraId="01F44933" w14:textId="77777777" w:rsidR="00702B3B" w:rsidRPr="00C77E63" w:rsidRDefault="00702B3B" w:rsidP="00702B3B"/>
        </w:tc>
        <w:tc>
          <w:tcPr>
            <w:tcW w:w="1800" w:type="dxa"/>
          </w:tcPr>
          <w:p w14:paraId="13A8EA7E" w14:textId="77777777" w:rsidR="00702B3B" w:rsidRPr="00C77E63" w:rsidRDefault="00702B3B" w:rsidP="00702B3B">
            <w:pPr>
              <w:rPr>
                <w:b/>
              </w:rPr>
            </w:pPr>
          </w:p>
        </w:tc>
      </w:tr>
      <w:tr w:rsidR="00702B3B" w:rsidRPr="00C77E63" w14:paraId="3DEDFB22" w14:textId="77777777" w:rsidTr="00C77E63">
        <w:tc>
          <w:tcPr>
            <w:tcW w:w="2268" w:type="dxa"/>
          </w:tcPr>
          <w:p w14:paraId="62D55AFB" w14:textId="77777777" w:rsidR="00702B3B" w:rsidRPr="00702B3B" w:rsidRDefault="00702B3B" w:rsidP="005B071B">
            <w:pPr>
              <w:rPr>
                <w:b/>
              </w:rPr>
            </w:pPr>
            <w:r w:rsidRPr="00702B3B">
              <w:rPr>
                <w:b/>
              </w:rPr>
              <w:t xml:space="preserve">Financial Responsibility: </w:t>
            </w:r>
          </w:p>
          <w:p w14:paraId="2E10316A" w14:textId="77777777" w:rsidR="00702B3B" w:rsidRPr="00C77E63" w:rsidRDefault="00702B3B" w:rsidP="005B071B">
            <w:r w:rsidRPr="00702B3B">
              <w:rPr>
                <w:b/>
              </w:rPr>
              <w:t>46 CFR 515.22</w:t>
            </w:r>
          </w:p>
        </w:tc>
        <w:tc>
          <w:tcPr>
            <w:tcW w:w="1530" w:type="dxa"/>
          </w:tcPr>
          <w:p w14:paraId="3E448E5E" w14:textId="77777777" w:rsidR="00702B3B" w:rsidRPr="00C77E63" w:rsidRDefault="00702B3B" w:rsidP="005B071B"/>
        </w:tc>
        <w:tc>
          <w:tcPr>
            <w:tcW w:w="1515" w:type="dxa"/>
          </w:tcPr>
          <w:p w14:paraId="67168456" w14:textId="77777777" w:rsidR="00702B3B" w:rsidRPr="00C77E63" w:rsidRDefault="00702B3B" w:rsidP="005B071B"/>
        </w:tc>
        <w:tc>
          <w:tcPr>
            <w:tcW w:w="1635" w:type="dxa"/>
          </w:tcPr>
          <w:p w14:paraId="65DFCF6D" w14:textId="77777777" w:rsidR="00702B3B" w:rsidRPr="00C77E63" w:rsidRDefault="00702B3B" w:rsidP="005B071B"/>
        </w:tc>
        <w:tc>
          <w:tcPr>
            <w:tcW w:w="1620" w:type="dxa"/>
          </w:tcPr>
          <w:p w14:paraId="56256FEC" w14:textId="77777777" w:rsidR="00702B3B" w:rsidRPr="00C77E63" w:rsidRDefault="00702B3B" w:rsidP="005B071B"/>
        </w:tc>
        <w:tc>
          <w:tcPr>
            <w:tcW w:w="1800" w:type="dxa"/>
          </w:tcPr>
          <w:p w14:paraId="75439D14" w14:textId="77777777" w:rsidR="00702B3B" w:rsidRPr="00C77E63" w:rsidRDefault="00702B3B" w:rsidP="005B071B">
            <w:pPr>
              <w:rPr>
                <w:b/>
              </w:rPr>
            </w:pPr>
          </w:p>
        </w:tc>
      </w:tr>
      <w:tr w:rsidR="00702B3B" w:rsidRPr="00C77E63" w14:paraId="59107071" w14:textId="77777777" w:rsidTr="00C77E63">
        <w:tc>
          <w:tcPr>
            <w:tcW w:w="2268" w:type="dxa"/>
          </w:tcPr>
          <w:p w14:paraId="6DC80C5C" w14:textId="77777777" w:rsidR="00702B3B" w:rsidRPr="00C77E63" w:rsidRDefault="00702B3B" w:rsidP="005B071B">
            <w:r w:rsidRPr="00C77E63">
              <w:t>FMC-48 - OTI Bond (new/amended)</w:t>
            </w:r>
          </w:p>
        </w:tc>
        <w:tc>
          <w:tcPr>
            <w:tcW w:w="1530" w:type="dxa"/>
          </w:tcPr>
          <w:p w14:paraId="2E8F0A6D" w14:textId="77777777" w:rsidR="00702B3B" w:rsidRPr="00C77E63" w:rsidRDefault="00702B3B" w:rsidP="005B071B"/>
        </w:tc>
        <w:tc>
          <w:tcPr>
            <w:tcW w:w="1515" w:type="dxa"/>
          </w:tcPr>
          <w:p w14:paraId="408FCBBE" w14:textId="77777777" w:rsidR="00702B3B" w:rsidRPr="00C77E63" w:rsidRDefault="00702B3B" w:rsidP="005B071B">
            <w:r w:rsidRPr="00C77E63">
              <w:t>6,990</w:t>
            </w:r>
          </w:p>
          <w:p w14:paraId="67881130" w14:textId="77777777" w:rsidR="00702B3B" w:rsidRPr="00C77E63" w:rsidRDefault="00702B3B" w:rsidP="005B071B">
            <w:r w:rsidRPr="00C77E63">
              <w:t>(see Note 4)</w:t>
            </w:r>
          </w:p>
        </w:tc>
        <w:tc>
          <w:tcPr>
            <w:tcW w:w="1635" w:type="dxa"/>
          </w:tcPr>
          <w:p w14:paraId="6A083E1E" w14:textId="77777777" w:rsidR="00702B3B" w:rsidRPr="00C77E63" w:rsidRDefault="00702B3B" w:rsidP="005B071B">
            <w:r w:rsidRPr="00C77E63">
              <w:t>20 minutes</w:t>
            </w:r>
          </w:p>
          <w:p w14:paraId="59440360" w14:textId="77777777" w:rsidR="00702B3B" w:rsidRPr="00C77E63" w:rsidRDefault="00702B3B" w:rsidP="005B071B">
            <w:r w:rsidRPr="00C77E63">
              <w:t>(see Note 5)</w:t>
            </w:r>
          </w:p>
        </w:tc>
        <w:tc>
          <w:tcPr>
            <w:tcW w:w="1620" w:type="dxa"/>
          </w:tcPr>
          <w:p w14:paraId="21426B18" w14:textId="77777777" w:rsidR="00702B3B" w:rsidRPr="00C77E63" w:rsidRDefault="00702B3B" w:rsidP="005B071B">
            <w:r w:rsidRPr="00C77E63">
              <w:t>2330 hours</w:t>
            </w:r>
          </w:p>
        </w:tc>
        <w:tc>
          <w:tcPr>
            <w:tcW w:w="1800" w:type="dxa"/>
          </w:tcPr>
          <w:p w14:paraId="0C133CCE" w14:textId="77777777" w:rsidR="00702B3B" w:rsidRPr="00C77E63" w:rsidRDefault="00702B3B" w:rsidP="005B071B">
            <w:pPr>
              <w:rPr>
                <w:b/>
              </w:rPr>
            </w:pPr>
          </w:p>
        </w:tc>
      </w:tr>
      <w:tr w:rsidR="00702B3B" w:rsidRPr="00C77E63" w14:paraId="107A7B41" w14:textId="77777777" w:rsidTr="00C77E63">
        <w:tc>
          <w:tcPr>
            <w:tcW w:w="2268" w:type="dxa"/>
          </w:tcPr>
          <w:p w14:paraId="66B6956F" w14:textId="77777777" w:rsidR="00702B3B" w:rsidRPr="00C77E63" w:rsidRDefault="00702B3B" w:rsidP="005B071B">
            <w:r w:rsidRPr="00C77E63">
              <w:t>FMC-67 - Insurance</w:t>
            </w:r>
          </w:p>
        </w:tc>
        <w:tc>
          <w:tcPr>
            <w:tcW w:w="1530" w:type="dxa"/>
          </w:tcPr>
          <w:p w14:paraId="058FC33B" w14:textId="77777777" w:rsidR="00702B3B" w:rsidRPr="00C77E63" w:rsidRDefault="00702B3B" w:rsidP="005B071B"/>
        </w:tc>
        <w:tc>
          <w:tcPr>
            <w:tcW w:w="1515" w:type="dxa"/>
          </w:tcPr>
          <w:p w14:paraId="7741643B" w14:textId="77777777" w:rsidR="00702B3B" w:rsidRPr="00C77E63" w:rsidRDefault="00702B3B" w:rsidP="005B071B">
            <w:r w:rsidRPr="00C77E63">
              <w:t>0</w:t>
            </w:r>
          </w:p>
        </w:tc>
        <w:tc>
          <w:tcPr>
            <w:tcW w:w="1635" w:type="dxa"/>
          </w:tcPr>
          <w:p w14:paraId="22AF154F" w14:textId="77777777" w:rsidR="00702B3B" w:rsidRPr="00C77E63" w:rsidRDefault="00702B3B" w:rsidP="005B071B">
            <w:r w:rsidRPr="00C77E63">
              <w:t>0</w:t>
            </w:r>
          </w:p>
        </w:tc>
        <w:tc>
          <w:tcPr>
            <w:tcW w:w="1620" w:type="dxa"/>
          </w:tcPr>
          <w:p w14:paraId="31D14480" w14:textId="77777777" w:rsidR="00702B3B" w:rsidRPr="00C77E63" w:rsidRDefault="00702B3B" w:rsidP="005B071B">
            <w:r w:rsidRPr="00C77E63">
              <w:t>0</w:t>
            </w:r>
          </w:p>
        </w:tc>
        <w:tc>
          <w:tcPr>
            <w:tcW w:w="1800" w:type="dxa"/>
          </w:tcPr>
          <w:p w14:paraId="443DC34F" w14:textId="77777777" w:rsidR="00702B3B" w:rsidRPr="00C77E63" w:rsidRDefault="00702B3B" w:rsidP="005B071B">
            <w:pPr>
              <w:rPr>
                <w:b/>
              </w:rPr>
            </w:pPr>
          </w:p>
        </w:tc>
      </w:tr>
      <w:tr w:rsidR="00702B3B" w:rsidRPr="00C77E63" w14:paraId="3B0C843A" w14:textId="77777777" w:rsidTr="00C77E63">
        <w:tc>
          <w:tcPr>
            <w:tcW w:w="2268" w:type="dxa"/>
          </w:tcPr>
          <w:p w14:paraId="45D72004" w14:textId="77777777" w:rsidR="00702B3B" w:rsidRPr="00C77E63" w:rsidRDefault="00702B3B" w:rsidP="005B071B">
            <w:r w:rsidRPr="00C77E63">
              <w:t>FMC-68 - Guaranty</w:t>
            </w:r>
          </w:p>
        </w:tc>
        <w:tc>
          <w:tcPr>
            <w:tcW w:w="1530" w:type="dxa"/>
          </w:tcPr>
          <w:p w14:paraId="68F40428" w14:textId="77777777" w:rsidR="00702B3B" w:rsidRPr="00C77E63" w:rsidRDefault="00702B3B" w:rsidP="005B071B"/>
        </w:tc>
        <w:tc>
          <w:tcPr>
            <w:tcW w:w="1515" w:type="dxa"/>
          </w:tcPr>
          <w:p w14:paraId="7450500A" w14:textId="77777777" w:rsidR="00702B3B" w:rsidRPr="00C77E63" w:rsidRDefault="00702B3B" w:rsidP="005B071B">
            <w:r w:rsidRPr="00C77E63">
              <w:t>0</w:t>
            </w:r>
          </w:p>
        </w:tc>
        <w:tc>
          <w:tcPr>
            <w:tcW w:w="1635" w:type="dxa"/>
          </w:tcPr>
          <w:p w14:paraId="481B83D9" w14:textId="77777777" w:rsidR="00702B3B" w:rsidRPr="00C77E63" w:rsidRDefault="00702B3B" w:rsidP="005B071B">
            <w:r w:rsidRPr="00C77E63">
              <w:t>0</w:t>
            </w:r>
          </w:p>
        </w:tc>
        <w:tc>
          <w:tcPr>
            <w:tcW w:w="1620" w:type="dxa"/>
          </w:tcPr>
          <w:p w14:paraId="629DEB2E" w14:textId="77777777" w:rsidR="00702B3B" w:rsidRPr="00C77E63" w:rsidRDefault="00702B3B" w:rsidP="005B071B">
            <w:r w:rsidRPr="00C77E63">
              <w:t>0</w:t>
            </w:r>
          </w:p>
        </w:tc>
        <w:tc>
          <w:tcPr>
            <w:tcW w:w="1800" w:type="dxa"/>
          </w:tcPr>
          <w:p w14:paraId="5F542B43" w14:textId="77777777" w:rsidR="00702B3B" w:rsidRPr="00C77E63" w:rsidRDefault="00702B3B" w:rsidP="005B071B">
            <w:pPr>
              <w:rPr>
                <w:b/>
              </w:rPr>
            </w:pPr>
          </w:p>
        </w:tc>
      </w:tr>
      <w:tr w:rsidR="00702B3B" w:rsidRPr="00C77E63" w14:paraId="21AAA587" w14:textId="77777777" w:rsidTr="00C77E63">
        <w:tc>
          <w:tcPr>
            <w:tcW w:w="2268" w:type="dxa"/>
          </w:tcPr>
          <w:p w14:paraId="6A398B92" w14:textId="77777777" w:rsidR="00702B3B" w:rsidRPr="00C77E63" w:rsidRDefault="00702B3B" w:rsidP="005B071B">
            <w:r w:rsidRPr="00C77E63">
              <w:t>FMC-69 Group Bond (new/amended)</w:t>
            </w:r>
          </w:p>
        </w:tc>
        <w:tc>
          <w:tcPr>
            <w:tcW w:w="1530" w:type="dxa"/>
          </w:tcPr>
          <w:p w14:paraId="3CAC4C76" w14:textId="77777777" w:rsidR="00702B3B" w:rsidRPr="00C77E63" w:rsidRDefault="00702B3B" w:rsidP="005B071B"/>
        </w:tc>
        <w:tc>
          <w:tcPr>
            <w:tcW w:w="1515" w:type="dxa"/>
          </w:tcPr>
          <w:p w14:paraId="38FE1E57" w14:textId="77777777" w:rsidR="00702B3B" w:rsidRPr="00C77E63" w:rsidRDefault="00702B3B" w:rsidP="005B071B">
            <w:r w:rsidRPr="00C77E63">
              <w:t>64</w:t>
            </w:r>
          </w:p>
        </w:tc>
        <w:tc>
          <w:tcPr>
            <w:tcW w:w="1635" w:type="dxa"/>
          </w:tcPr>
          <w:p w14:paraId="07DEB06C" w14:textId="77777777" w:rsidR="00702B3B" w:rsidRPr="00C77E63" w:rsidRDefault="00702B3B" w:rsidP="005B071B">
            <w:r w:rsidRPr="00C77E63">
              <w:t>20 minutes</w:t>
            </w:r>
          </w:p>
          <w:p w14:paraId="0522D749" w14:textId="77777777" w:rsidR="00702B3B" w:rsidRPr="00C77E63" w:rsidRDefault="00702B3B" w:rsidP="005B071B">
            <w:r w:rsidRPr="00C77E63">
              <w:t>(see Note 5)</w:t>
            </w:r>
          </w:p>
        </w:tc>
        <w:tc>
          <w:tcPr>
            <w:tcW w:w="1620" w:type="dxa"/>
          </w:tcPr>
          <w:p w14:paraId="24A9B9E7" w14:textId="77777777" w:rsidR="00702B3B" w:rsidRPr="00C77E63" w:rsidRDefault="00702B3B" w:rsidP="005B071B">
            <w:r w:rsidRPr="00C77E63">
              <w:t>21 hours</w:t>
            </w:r>
          </w:p>
        </w:tc>
        <w:tc>
          <w:tcPr>
            <w:tcW w:w="1800" w:type="dxa"/>
          </w:tcPr>
          <w:p w14:paraId="1E4D971B" w14:textId="77777777" w:rsidR="00702B3B" w:rsidRPr="00C77E63" w:rsidRDefault="00702B3B" w:rsidP="005B071B">
            <w:pPr>
              <w:rPr>
                <w:b/>
              </w:rPr>
            </w:pPr>
          </w:p>
        </w:tc>
      </w:tr>
      <w:tr w:rsidR="00702B3B" w:rsidRPr="00C77E63" w14:paraId="4D530A02" w14:textId="77777777" w:rsidTr="00C77E63">
        <w:tc>
          <w:tcPr>
            <w:tcW w:w="2268" w:type="dxa"/>
          </w:tcPr>
          <w:p w14:paraId="2A9CE0CB" w14:textId="77777777" w:rsidR="00702B3B" w:rsidRPr="00C77E63" w:rsidRDefault="00702B3B" w:rsidP="005B071B">
            <w:pPr>
              <w:rPr>
                <w:b/>
              </w:rPr>
            </w:pPr>
            <w:r w:rsidRPr="00C77E63">
              <w:rPr>
                <w:b/>
              </w:rPr>
              <w:t>Financial Responsibility:</w:t>
            </w:r>
          </w:p>
          <w:p w14:paraId="5F68A0CA" w14:textId="77777777" w:rsidR="00702B3B" w:rsidRPr="00C77E63" w:rsidRDefault="00702B3B" w:rsidP="005B071B">
            <w:pPr>
              <w:rPr>
                <w:b/>
              </w:rPr>
            </w:pPr>
            <w:r w:rsidRPr="00C77E63">
              <w:rPr>
                <w:b/>
              </w:rPr>
              <w:t>46 CFR 515.25</w:t>
            </w:r>
          </w:p>
        </w:tc>
        <w:tc>
          <w:tcPr>
            <w:tcW w:w="1530" w:type="dxa"/>
          </w:tcPr>
          <w:p w14:paraId="4BED4571" w14:textId="77777777" w:rsidR="00702B3B" w:rsidRPr="00C77E63" w:rsidRDefault="00702B3B" w:rsidP="005B071B"/>
        </w:tc>
        <w:tc>
          <w:tcPr>
            <w:tcW w:w="1515" w:type="dxa"/>
          </w:tcPr>
          <w:p w14:paraId="688DD4A5" w14:textId="77777777" w:rsidR="00702B3B" w:rsidRPr="00C77E63" w:rsidRDefault="00702B3B" w:rsidP="005B071B"/>
        </w:tc>
        <w:tc>
          <w:tcPr>
            <w:tcW w:w="1635" w:type="dxa"/>
          </w:tcPr>
          <w:p w14:paraId="24239A8E" w14:textId="77777777" w:rsidR="00702B3B" w:rsidRPr="00C77E63" w:rsidRDefault="00702B3B" w:rsidP="005B071B"/>
        </w:tc>
        <w:tc>
          <w:tcPr>
            <w:tcW w:w="1620" w:type="dxa"/>
          </w:tcPr>
          <w:p w14:paraId="04ED008C" w14:textId="77777777" w:rsidR="00702B3B" w:rsidRPr="00C77E63" w:rsidRDefault="00702B3B" w:rsidP="005B071B"/>
        </w:tc>
        <w:tc>
          <w:tcPr>
            <w:tcW w:w="1800" w:type="dxa"/>
          </w:tcPr>
          <w:p w14:paraId="133AAEDD" w14:textId="77777777" w:rsidR="00702B3B" w:rsidRPr="00C77E63" w:rsidRDefault="00702B3B" w:rsidP="005B071B">
            <w:pPr>
              <w:rPr>
                <w:b/>
              </w:rPr>
            </w:pPr>
          </w:p>
        </w:tc>
      </w:tr>
      <w:tr w:rsidR="00702B3B" w:rsidRPr="00C77E63" w14:paraId="487D1BFF" w14:textId="77777777" w:rsidTr="00C77E63">
        <w:tc>
          <w:tcPr>
            <w:tcW w:w="2268" w:type="dxa"/>
          </w:tcPr>
          <w:p w14:paraId="05B3D1A3" w14:textId="77777777" w:rsidR="00702B3B" w:rsidRPr="00C77E63" w:rsidRDefault="00702B3B" w:rsidP="005B071B">
            <w:r w:rsidRPr="00C77E63">
              <w:t>FMC-48A Optional Rider</w:t>
            </w:r>
          </w:p>
        </w:tc>
        <w:tc>
          <w:tcPr>
            <w:tcW w:w="1530" w:type="dxa"/>
          </w:tcPr>
          <w:p w14:paraId="5E7E04B3" w14:textId="77777777" w:rsidR="00702B3B" w:rsidRPr="00C77E63" w:rsidRDefault="00702B3B" w:rsidP="005B071B"/>
        </w:tc>
        <w:tc>
          <w:tcPr>
            <w:tcW w:w="1515" w:type="dxa"/>
          </w:tcPr>
          <w:p w14:paraId="2387207E" w14:textId="77777777" w:rsidR="00702B3B" w:rsidRPr="00C77E63" w:rsidRDefault="00702B3B" w:rsidP="005B071B">
            <w:r w:rsidRPr="00C77E63">
              <w:t>13</w:t>
            </w:r>
          </w:p>
        </w:tc>
        <w:tc>
          <w:tcPr>
            <w:tcW w:w="1635" w:type="dxa"/>
          </w:tcPr>
          <w:p w14:paraId="11F656F8" w14:textId="77777777" w:rsidR="00702B3B" w:rsidRPr="00C77E63" w:rsidRDefault="00702B3B" w:rsidP="005B071B">
            <w:r w:rsidRPr="00C77E63">
              <w:t>20 minutes</w:t>
            </w:r>
          </w:p>
          <w:p w14:paraId="32732FBA" w14:textId="77777777" w:rsidR="00702B3B" w:rsidRPr="00C77E63" w:rsidRDefault="00702B3B" w:rsidP="005B071B">
            <w:r w:rsidRPr="00C77E63">
              <w:t>(see note 5)</w:t>
            </w:r>
          </w:p>
        </w:tc>
        <w:tc>
          <w:tcPr>
            <w:tcW w:w="1620" w:type="dxa"/>
          </w:tcPr>
          <w:p w14:paraId="07FABEED" w14:textId="77777777" w:rsidR="00702B3B" w:rsidRPr="00C77E63" w:rsidRDefault="00702B3B" w:rsidP="005B071B">
            <w:r w:rsidRPr="00C77E63">
              <w:t>4 hours</w:t>
            </w:r>
          </w:p>
        </w:tc>
        <w:tc>
          <w:tcPr>
            <w:tcW w:w="1800" w:type="dxa"/>
          </w:tcPr>
          <w:p w14:paraId="397B4119" w14:textId="77777777" w:rsidR="00702B3B" w:rsidRPr="00C77E63" w:rsidRDefault="00702B3B" w:rsidP="005B071B">
            <w:pPr>
              <w:rPr>
                <w:b/>
              </w:rPr>
            </w:pPr>
          </w:p>
        </w:tc>
      </w:tr>
      <w:tr w:rsidR="00702B3B" w:rsidRPr="00C77E63" w14:paraId="367A34D3" w14:textId="77777777" w:rsidTr="00C77E63">
        <w:tc>
          <w:tcPr>
            <w:tcW w:w="2268" w:type="dxa"/>
          </w:tcPr>
          <w:p w14:paraId="02A7DD28" w14:textId="77777777" w:rsidR="00702B3B" w:rsidRPr="00C77E63" w:rsidRDefault="00702B3B" w:rsidP="005B071B">
            <w:r w:rsidRPr="00C77E63">
              <w:t>FMC 69A Optional Group Rider</w:t>
            </w:r>
          </w:p>
        </w:tc>
        <w:tc>
          <w:tcPr>
            <w:tcW w:w="1530" w:type="dxa"/>
          </w:tcPr>
          <w:p w14:paraId="7CDC00FF" w14:textId="77777777" w:rsidR="00702B3B" w:rsidRPr="00C77E63" w:rsidRDefault="00702B3B" w:rsidP="005B071B"/>
        </w:tc>
        <w:tc>
          <w:tcPr>
            <w:tcW w:w="1515" w:type="dxa"/>
          </w:tcPr>
          <w:p w14:paraId="1F1F430F" w14:textId="77777777" w:rsidR="00702B3B" w:rsidRPr="00C77E63" w:rsidRDefault="00702B3B" w:rsidP="005B071B">
            <w:r w:rsidRPr="00C77E63">
              <w:t>2</w:t>
            </w:r>
          </w:p>
        </w:tc>
        <w:tc>
          <w:tcPr>
            <w:tcW w:w="1635" w:type="dxa"/>
          </w:tcPr>
          <w:p w14:paraId="0D5C49C7" w14:textId="77777777" w:rsidR="00702B3B" w:rsidRPr="00C77E63" w:rsidRDefault="00702B3B" w:rsidP="005B071B">
            <w:r w:rsidRPr="00C77E63">
              <w:t>20 minutes</w:t>
            </w:r>
          </w:p>
        </w:tc>
        <w:tc>
          <w:tcPr>
            <w:tcW w:w="1620" w:type="dxa"/>
          </w:tcPr>
          <w:p w14:paraId="28871B08" w14:textId="77777777" w:rsidR="00702B3B" w:rsidRPr="00C77E63" w:rsidRDefault="00702B3B" w:rsidP="005B071B">
            <w:r w:rsidRPr="00C77E63">
              <w:t>40 minutes</w:t>
            </w:r>
          </w:p>
        </w:tc>
        <w:tc>
          <w:tcPr>
            <w:tcW w:w="1800" w:type="dxa"/>
          </w:tcPr>
          <w:p w14:paraId="6224BD2C" w14:textId="77777777" w:rsidR="00702B3B" w:rsidRPr="00C77E63" w:rsidRDefault="00702B3B" w:rsidP="005B071B">
            <w:pPr>
              <w:rPr>
                <w:b/>
              </w:rPr>
            </w:pPr>
          </w:p>
        </w:tc>
      </w:tr>
      <w:tr w:rsidR="00702B3B" w:rsidRPr="00C77E63" w14:paraId="4307F9B8" w14:textId="77777777" w:rsidTr="00C77E63">
        <w:tc>
          <w:tcPr>
            <w:tcW w:w="2268" w:type="dxa"/>
          </w:tcPr>
          <w:p w14:paraId="09495574" w14:textId="77777777" w:rsidR="00702B3B" w:rsidRDefault="00702B3B" w:rsidP="00CE2E44">
            <w:r w:rsidRPr="00C77E63">
              <w:t>FMC-65</w:t>
            </w:r>
            <w:r>
              <w:t xml:space="preserve"> License</w:t>
            </w:r>
          </w:p>
          <w:p w14:paraId="5D5FEB9A" w14:textId="77777777" w:rsidR="00702B3B" w:rsidRPr="00C77E63" w:rsidRDefault="00702B3B" w:rsidP="00CE2E44">
            <w:r>
              <w:t>FMC-65 Renewal</w:t>
            </w:r>
          </w:p>
        </w:tc>
        <w:tc>
          <w:tcPr>
            <w:tcW w:w="1530" w:type="dxa"/>
          </w:tcPr>
          <w:p w14:paraId="43DE5015" w14:textId="77777777" w:rsidR="00702B3B" w:rsidRPr="00C77E63" w:rsidRDefault="00702B3B" w:rsidP="005B071B"/>
        </w:tc>
        <w:tc>
          <w:tcPr>
            <w:tcW w:w="1515" w:type="dxa"/>
          </w:tcPr>
          <w:p w14:paraId="42B30700" w14:textId="77777777" w:rsidR="00702B3B" w:rsidRDefault="00702B3B" w:rsidP="000B421B">
            <w:r>
              <w:t>150</w:t>
            </w:r>
          </w:p>
          <w:p w14:paraId="69206EE1" w14:textId="77777777" w:rsidR="00702B3B" w:rsidRPr="00C77E63" w:rsidRDefault="00702B3B" w:rsidP="000B421B">
            <w:r>
              <w:t>1300</w:t>
            </w:r>
          </w:p>
        </w:tc>
        <w:tc>
          <w:tcPr>
            <w:tcW w:w="1635" w:type="dxa"/>
          </w:tcPr>
          <w:p w14:paraId="1C4A8C73" w14:textId="77777777" w:rsidR="00702B3B" w:rsidRDefault="00702B3B" w:rsidP="00CE2E44">
            <w:r>
              <w:t>15</w:t>
            </w:r>
            <w:r w:rsidRPr="00C77E63">
              <w:t xml:space="preserve"> minutes</w:t>
            </w:r>
          </w:p>
          <w:p w14:paraId="72FAE207" w14:textId="77777777" w:rsidR="00702B3B" w:rsidRPr="00C77E63" w:rsidRDefault="00702B3B" w:rsidP="00CE2E44">
            <w:r>
              <w:t>15 minutes</w:t>
            </w:r>
          </w:p>
        </w:tc>
        <w:tc>
          <w:tcPr>
            <w:tcW w:w="1620" w:type="dxa"/>
          </w:tcPr>
          <w:p w14:paraId="1DBE26F9" w14:textId="77777777" w:rsidR="00702B3B" w:rsidRDefault="00702B3B" w:rsidP="005B071B">
            <w:r>
              <w:t>38 hours</w:t>
            </w:r>
          </w:p>
          <w:p w14:paraId="22E9DED3" w14:textId="77777777" w:rsidR="00702B3B" w:rsidRPr="00C77E63" w:rsidRDefault="00702B3B" w:rsidP="00CE2E44">
            <w:r>
              <w:t>325 hours</w:t>
            </w:r>
          </w:p>
        </w:tc>
        <w:tc>
          <w:tcPr>
            <w:tcW w:w="1800" w:type="dxa"/>
          </w:tcPr>
          <w:p w14:paraId="0115F942" w14:textId="77777777" w:rsidR="00702B3B" w:rsidRPr="00C77E63" w:rsidRDefault="00702B3B" w:rsidP="005B071B">
            <w:pPr>
              <w:rPr>
                <w:b/>
              </w:rPr>
            </w:pPr>
          </w:p>
        </w:tc>
      </w:tr>
      <w:tr w:rsidR="00702B3B" w:rsidRPr="00C77E63" w14:paraId="77CCF09C" w14:textId="77777777" w:rsidTr="00C77E63">
        <w:tc>
          <w:tcPr>
            <w:tcW w:w="2268" w:type="dxa"/>
          </w:tcPr>
          <w:p w14:paraId="2403F026" w14:textId="77777777" w:rsidR="00702B3B" w:rsidRPr="00C77E63" w:rsidRDefault="00702B3B" w:rsidP="005B071B">
            <w:pPr>
              <w:rPr>
                <w:b/>
              </w:rPr>
            </w:pPr>
            <w:r w:rsidRPr="00C77E63">
              <w:rPr>
                <w:b/>
              </w:rPr>
              <w:t>GRAND TOTAL</w:t>
            </w:r>
          </w:p>
        </w:tc>
        <w:tc>
          <w:tcPr>
            <w:tcW w:w="1530" w:type="dxa"/>
          </w:tcPr>
          <w:p w14:paraId="46209AC0" w14:textId="77777777" w:rsidR="00702B3B" w:rsidRPr="00C77E63" w:rsidRDefault="00702B3B" w:rsidP="005B071B">
            <w:pPr>
              <w:rPr>
                <w:b/>
              </w:rPr>
            </w:pPr>
          </w:p>
        </w:tc>
        <w:tc>
          <w:tcPr>
            <w:tcW w:w="1515" w:type="dxa"/>
          </w:tcPr>
          <w:p w14:paraId="6BDD9363" w14:textId="77777777" w:rsidR="00702B3B" w:rsidRPr="00C77E63" w:rsidRDefault="00702B3B" w:rsidP="005B071B">
            <w:pPr>
              <w:rPr>
                <w:b/>
              </w:rPr>
            </w:pPr>
            <w:r>
              <w:rPr>
                <w:b/>
              </w:rPr>
              <w:t>11,144</w:t>
            </w:r>
          </w:p>
        </w:tc>
        <w:tc>
          <w:tcPr>
            <w:tcW w:w="1635" w:type="dxa"/>
          </w:tcPr>
          <w:p w14:paraId="2E6C1C6D" w14:textId="77777777" w:rsidR="00702B3B" w:rsidRPr="00C77E63" w:rsidRDefault="00702B3B" w:rsidP="005B071B">
            <w:pPr>
              <w:rPr>
                <w:b/>
              </w:rPr>
            </w:pPr>
          </w:p>
        </w:tc>
        <w:tc>
          <w:tcPr>
            <w:tcW w:w="1620" w:type="dxa"/>
          </w:tcPr>
          <w:p w14:paraId="048B44F6" w14:textId="77777777" w:rsidR="00702B3B" w:rsidRPr="00C77E63" w:rsidRDefault="00702B3B" w:rsidP="00CE2E44">
            <w:pPr>
              <w:rPr>
                <w:b/>
              </w:rPr>
            </w:pPr>
            <w:r>
              <w:rPr>
                <w:b/>
              </w:rPr>
              <w:t>5,469</w:t>
            </w:r>
            <w:r w:rsidRPr="00C77E63">
              <w:rPr>
                <w:b/>
              </w:rPr>
              <w:t xml:space="preserve"> hours </w:t>
            </w:r>
          </w:p>
        </w:tc>
        <w:tc>
          <w:tcPr>
            <w:tcW w:w="1800" w:type="dxa"/>
          </w:tcPr>
          <w:p w14:paraId="6DE15028" w14:textId="77777777" w:rsidR="00702B3B" w:rsidRPr="00C77E63" w:rsidRDefault="00702B3B" w:rsidP="005B071B">
            <w:pPr>
              <w:rPr>
                <w:b/>
              </w:rPr>
            </w:pPr>
          </w:p>
        </w:tc>
      </w:tr>
    </w:tbl>
    <w:p w14:paraId="0C378809" w14:textId="77777777" w:rsidR="003865CF" w:rsidRPr="00C77E63" w:rsidRDefault="003865CF" w:rsidP="003865CF"/>
    <w:p w14:paraId="496A8262" w14:textId="77777777" w:rsidR="003865CF" w:rsidRPr="00C77E63" w:rsidRDefault="003865CF" w:rsidP="003865CF">
      <w:pPr>
        <w:pStyle w:val="FootnoteText"/>
        <w:rPr>
          <w:sz w:val="24"/>
          <w:szCs w:val="24"/>
        </w:rPr>
      </w:pPr>
      <w:r w:rsidRPr="00C77E63">
        <w:rPr>
          <w:sz w:val="24"/>
          <w:szCs w:val="24"/>
        </w:rPr>
        <w:lastRenderedPageBreak/>
        <w:t xml:space="preserve">Note 1 -  The total respondent universe is estimated at </w:t>
      </w:r>
      <w:r w:rsidR="007F749A" w:rsidRPr="00C77E63">
        <w:rPr>
          <w:sz w:val="24"/>
          <w:szCs w:val="24"/>
        </w:rPr>
        <w:t>6,000</w:t>
      </w:r>
      <w:r w:rsidRPr="00C77E63">
        <w:rPr>
          <w:b/>
          <w:sz w:val="24"/>
          <w:szCs w:val="24"/>
        </w:rPr>
        <w:t xml:space="preserve"> </w:t>
      </w:r>
      <w:r w:rsidRPr="00C77E63">
        <w:rPr>
          <w:sz w:val="24"/>
          <w:szCs w:val="24"/>
        </w:rPr>
        <w:t>(</w:t>
      </w:r>
      <w:r w:rsidR="007F749A" w:rsidRPr="00C77E63">
        <w:rPr>
          <w:sz w:val="24"/>
          <w:szCs w:val="24"/>
        </w:rPr>
        <w:t>Estimated</w:t>
      </w:r>
      <w:r w:rsidRPr="00C77E63">
        <w:rPr>
          <w:sz w:val="24"/>
          <w:szCs w:val="24"/>
        </w:rPr>
        <w:t xml:space="preserve"> Total of </w:t>
      </w:r>
      <w:r w:rsidR="00DA3AE3" w:rsidRPr="00C77E63">
        <w:rPr>
          <w:sz w:val="24"/>
          <w:szCs w:val="24"/>
        </w:rPr>
        <w:t>OTIs</w:t>
      </w:r>
      <w:r w:rsidRPr="00C77E63">
        <w:rPr>
          <w:sz w:val="24"/>
          <w:szCs w:val="24"/>
        </w:rPr>
        <w:t xml:space="preserve"> at end of FY 20</w:t>
      </w:r>
      <w:r w:rsidR="007F749A" w:rsidRPr="00C77E63">
        <w:rPr>
          <w:sz w:val="24"/>
          <w:szCs w:val="24"/>
        </w:rPr>
        <w:t>14</w:t>
      </w:r>
      <w:r w:rsidRPr="00C77E63">
        <w:rPr>
          <w:sz w:val="24"/>
          <w:szCs w:val="24"/>
        </w:rPr>
        <w:t xml:space="preserve">. </w:t>
      </w:r>
    </w:p>
    <w:p w14:paraId="1618BD86" w14:textId="77777777" w:rsidR="003865CF" w:rsidRPr="00C77E63" w:rsidRDefault="003865CF" w:rsidP="003865CF"/>
    <w:p w14:paraId="4E2B81F0" w14:textId="77777777" w:rsidR="003865CF" w:rsidRPr="00C77E63" w:rsidRDefault="003865CF" w:rsidP="003865CF">
      <w:r w:rsidRPr="00C77E63">
        <w:t>Note 2 - For each entry in this column, the average industry person</w:t>
      </w:r>
      <w:r w:rsidR="00494471" w:rsidRPr="00C77E63">
        <w:t>-</w:t>
      </w:r>
      <w:r w:rsidRPr="00C77E63">
        <w:t>hours must be subdivided into 3 categories, as follows:</w:t>
      </w:r>
    </w:p>
    <w:p w14:paraId="7624C03B" w14:textId="77777777" w:rsidR="003865CF" w:rsidRPr="00C77E63" w:rsidRDefault="003865CF" w:rsidP="003865CF">
      <w:r w:rsidRPr="00C77E63">
        <w:tab/>
        <w:t>Recordkeeping (collecting documents);</w:t>
      </w:r>
    </w:p>
    <w:p w14:paraId="7AEF94C9" w14:textId="77777777" w:rsidR="003865CF" w:rsidRPr="00C77E63" w:rsidRDefault="003865CF" w:rsidP="003865CF">
      <w:r w:rsidRPr="00C77E63">
        <w:tab/>
        <w:t>Reporting (completing form); and</w:t>
      </w:r>
    </w:p>
    <w:p w14:paraId="542BDEE0" w14:textId="77777777" w:rsidR="003865CF" w:rsidRPr="00C77E63" w:rsidRDefault="003865CF" w:rsidP="003865CF">
      <w:pPr>
        <w:ind w:firstLine="720"/>
      </w:pPr>
      <w:r w:rsidRPr="00C77E63">
        <w:t>Disclosure (to 3</w:t>
      </w:r>
      <w:r w:rsidRPr="00C77E63">
        <w:rPr>
          <w:vertAlign w:val="superscript"/>
        </w:rPr>
        <w:t>rd</w:t>
      </w:r>
      <w:r w:rsidRPr="00C77E63">
        <w:t xml:space="preserve"> parties, if any).</w:t>
      </w:r>
    </w:p>
    <w:p w14:paraId="32121AF5" w14:textId="77777777" w:rsidR="003865CF" w:rsidRPr="00C77E63" w:rsidRDefault="003865CF" w:rsidP="003865CF">
      <w:pPr>
        <w:ind w:left="300"/>
      </w:pPr>
      <w:r w:rsidRPr="00C77E63">
        <w:t>Example:  FMC-18 paper form - 2 hours total consisting of: recordkeeping - 30 minutes; reporting - 1 hour 30 minutes; disclosure - 0 minutes.</w:t>
      </w:r>
    </w:p>
    <w:p w14:paraId="7BA0EBD6" w14:textId="77777777" w:rsidR="003865CF" w:rsidRPr="00C77E63" w:rsidRDefault="003865CF" w:rsidP="003865CF"/>
    <w:p w14:paraId="678471D7" w14:textId="77777777" w:rsidR="003865CF" w:rsidRPr="00C77E63" w:rsidRDefault="003865CF" w:rsidP="003865CF">
      <w:pPr>
        <w:pStyle w:val="FootnoteText"/>
        <w:rPr>
          <w:sz w:val="24"/>
          <w:szCs w:val="24"/>
        </w:rPr>
      </w:pPr>
      <w:r w:rsidRPr="00C77E63">
        <w:rPr>
          <w:sz w:val="24"/>
          <w:szCs w:val="24"/>
        </w:rPr>
        <w:t>Note 3 - Response time varies from 1 hour to a maximum of 5 hours.  On average, it is estimated that it would take 2 hours to complete an application.  The estimated average time of 2 hours is allocated as: recordkeeping - 30 minutes; reporting - 1 hour 30 minutes; and disclosure - 0 minutes.</w:t>
      </w:r>
    </w:p>
    <w:p w14:paraId="5F10441B" w14:textId="77777777" w:rsidR="003865CF" w:rsidRPr="00C77E63" w:rsidRDefault="003865CF" w:rsidP="003865CF">
      <w:pPr>
        <w:pStyle w:val="FootnoteText"/>
        <w:rPr>
          <w:sz w:val="24"/>
          <w:szCs w:val="24"/>
        </w:rPr>
      </w:pPr>
    </w:p>
    <w:p w14:paraId="0E11BB72" w14:textId="77777777" w:rsidR="003865CF" w:rsidRPr="00C77E63" w:rsidRDefault="003865CF" w:rsidP="003865CF">
      <w:pPr>
        <w:pStyle w:val="FootnoteText"/>
        <w:rPr>
          <w:sz w:val="24"/>
          <w:szCs w:val="24"/>
        </w:rPr>
      </w:pPr>
      <w:r w:rsidRPr="00C77E63">
        <w:rPr>
          <w:sz w:val="24"/>
          <w:szCs w:val="24"/>
        </w:rPr>
        <w:t>Note 4 - This figure reflects the number of annual changes made to the Proof of Financial Responsibility, including terminations, by freight forwarders and NVOCCs in FY 20</w:t>
      </w:r>
      <w:r w:rsidR="007F749A" w:rsidRPr="00C77E63">
        <w:rPr>
          <w:sz w:val="24"/>
          <w:szCs w:val="24"/>
        </w:rPr>
        <w:t>14</w:t>
      </w:r>
      <w:r w:rsidRPr="00C77E63">
        <w:rPr>
          <w:sz w:val="24"/>
          <w:szCs w:val="24"/>
        </w:rPr>
        <w:t xml:space="preserve">. </w:t>
      </w:r>
    </w:p>
    <w:p w14:paraId="5950ACA6" w14:textId="77777777" w:rsidR="003865CF" w:rsidRPr="00C77E63" w:rsidRDefault="003865CF" w:rsidP="003865CF"/>
    <w:p w14:paraId="06FC4AE7" w14:textId="77777777" w:rsidR="003865CF" w:rsidRPr="00C77E63" w:rsidRDefault="003865CF" w:rsidP="003865CF">
      <w:pPr>
        <w:pStyle w:val="FootnoteText"/>
        <w:rPr>
          <w:sz w:val="24"/>
          <w:szCs w:val="24"/>
        </w:rPr>
      </w:pPr>
      <w:r w:rsidRPr="00C77E63">
        <w:rPr>
          <w:sz w:val="24"/>
          <w:szCs w:val="24"/>
        </w:rPr>
        <w:t>Note 5 - The estimated time of 20 minutes is allocated as: recordkeeping - 10 minutes; reporting - 10 minutes; and disclosure - 0 minutes.</w:t>
      </w:r>
    </w:p>
    <w:p w14:paraId="17D2374B" w14:textId="77777777" w:rsidR="003865CF" w:rsidRPr="00C77E63" w:rsidRDefault="003865CF" w:rsidP="003865CF">
      <w:pPr>
        <w:pStyle w:val="FootnoteText"/>
        <w:rPr>
          <w:sz w:val="24"/>
          <w:szCs w:val="24"/>
        </w:rPr>
      </w:pPr>
    </w:p>
    <w:p w14:paraId="769FF4A3" w14:textId="77777777" w:rsidR="003865CF" w:rsidRPr="00C77E63" w:rsidRDefault="003865CF" w:rsidP="003865CF">
      <w:pPr>
        <w:pStyle w:val="FootnoteText"/>
        <w:rPr>
          <w:sz w:val="24"/>
          <w:szCs w:val="24"/>
        </w:rPr>
      </w:pPr>
      <w:r w:rsidRPr="00C77E63">
        <w:rPr>
          <w:sz w:val="24"/>
          <w:szCs w:val="24"/>
        </w:rPr>
        <w:t>Note 6 - Biennially, decade, monthly, once, semi-annually, annually, daily, hourly, on occasion, quarterly, or weekly</w:t>
      </w:r>
    </w:p>
    <w:p w14:paraId="7178FA7D" w14:textId="77777777" w:rsidR="003865CF" w:rsidRPr="00C77E63" w:rsidRDefault="003865CF" w:rsidP="003865CF">
      <w:pPr>
        <w:jc w:val="center"/>
        <w:rPr>
          <w:b/>
        </w:rPr>
      </w:pPr>
    </w:p>
    <w:p w14:paraId="492E6F31" w14:textId="77777777" w:rsidR="003865CF" w:rsidRDefault="003865CF" w:rsidP="003865CF">
      <w:pPr>
        <w:jc w:val="center"/>
        <w:rPr>
          <w:b/>
        </w:rPr>
      </w:pPr>
    </w:p>
    <w:p w14:paraId="156C864B" w14:textId="77777777" w:rsidR="003865CF" w:rsidRDefault="003865CF" w:rsidP="003865CF">
      <w:pPr>
        <w:jc w:val="center"/>
      </w:pPr>
      <w:r>
        <w:rPr>
          <w:b/>
        </w:rPr>
        <w:lastRenderedPageBreak/>
        <w:t>Estimated Burden and Costs, Including Overhead, to Respondents</w:t>
      </w:r>
    </w:p>
    <w:p w14:paraId="7F689667" w14:textId="77777777" w:rsidR="003865CF" w:rsidRDefault="003865CF" w:rsidP="003865CF">
      <w:pPr>
        <w:jc w:val="both"/>
      </w:pPr>
    </w:p>
    <w:p w14:paraId="6A5EDF3B" w14:textId="77777777" w:rsidR="003865CF" w:rsidRDefault="003865CF" w:rsidP="003865CF">
      <w:pPr>
        <w:jc w:val="both"/>
      </w:pPr>
      <w:r>
        <w:t>1,</w:t>
      </w:r>
      <w:r w:rsidR="005E3250">
        <w:t>250</w:t>
      </w:r>
      <w:r>
        <w:t xml:space="preserve"> person-hours (Form FMC-18) + </w:t>
      </w:r>
      <w:r w:rsidR="005E3250">
        <w:t>2330</w:t>
      </w:r>
      <w:r>
        <w:t xml:space="preserve"> person-hours (Form FMC-48) +</w:t>
      </w:r>
      <w:r w:rsidR="005E3250">
        <w:t>4</w:t>
      </w:r>
      <w:r>
        <w:t xml:space="preserve"> person-hours (Form FMC-48A) + </w:t>
      </w:r>
      <w:r w:rsidR="005E3250">
        <w:t>21</w:t>
      </w:r>
      <w:r>
        <w:t xml:space="preserve"> person-hours (Form FMC-69)</w:t>
      </w:r>
      <w:r w:rsidR="005E3250">
        <w:t xml:space="preserve"> + 3</w:t>
      </w:r>
      <w:r w:rsidR="00702B3B">
        <w:t xml:space="preserve">63 </w:t>
      </w:r>
      <w:r w:rsidR="005E3250">
        <w:t>person-hours (Form FMC 65</w:t>
      </w:r>
      <w:r w:rsidR="00702B3B">
        <w:t xml:space="preserve"> New/Renewal</w:t>
      </w:r>
      <w:r w:rsidR="005E3250">
        <w:t>)</w:t>
      </w:r>
      <w:r w:rsidR="00F44C65">
        <w:t xml:space="preserve"> + 1500 person-hours (License Renewal)</w:t>
      </w:r>
      <w:r w:rsidR="005E3250">
        <w:t xml:space="preserve"> </w:t>
      </w:r>
      <w:r>
        <w:t xml:space="preserve">= </w:t>
      </w:r>
      <w:r w:rsidR="00F44C65">
        <w:t>5,</w:t>
      </w:r>
      <w:r w:rsidR="00702B3B">
        <w:t>469</w:t>
      </w:r>
      <w:r>
        <w:t xml:space="preserve"> total person-hours</w:t>
      </w:r>
    </w:p>
    <w:p w14:paraId="54A6D757" w14:textId="77777777" w:rsidR="003865CF" w:rsidRDefault="003865CF" w:rsidP="003865CF">
      <w:pPr>
        <w:jc w:val="both"/>
      </w:pPr>
    </w:p>
    <w:p w14:paraId="1F9FF694" w14:textId="77777777" w:rsidR="003865CF" w:rsidRDefault="003865CF" w:rsidP="003865CF">
      <w:pPr>
        <w:jc w:val="both"/>
      </w:pPr>
      <w:r>
        <w:t>75% Transportation Manager (</w:t>
      </w:r>
      <w:r w:rsidR="00A2289D">
        <w:t>4,102</w:t>
      </w:r>
      <w:r>
        <w:t xml:space="preserve"> hours)</w:t>
      </w:r>
    </w:p>
    <w:p w14:paraId="56C35AAA" w14:textId="77777777" w:rsidR="003865CF" w:rsidRDefault="003865CF" w:rsidP="003865CF">
      <w:pPr>
        <w:jc w:val="both"/>
      </w:pPr>
      <w:r>
        <w:t>25% Clerical  (</w:t>
      </w:r>
      <w:r w:rsidR="00A2289D">
        <w:t xml:space="preserve">1367 </w:t>
      </w:r>
      <w:r>
        <w:t>hours)</w:t>
      </w:r>
    </w:p>
    <w:p w14:paraId="1F7A0FDD" w14:textId="77777777" w:rsidR="003865CF" w:rsidRDefault="003865CF" w:rsidP="003865CF">
      <w:pPr>
        <w:jc w:val="both"/>
      </w:pPr>
    </w:p>
    <w:p w14:paraId="28BF5E8A" w14:textId="77777777" w:rsidR="005E3250" w:rsidRDefault="005E3250" w:rsidP="005E3250">
      <w:pPr>
        <w:jc w:val="both"/>
      </w:pPr>
      <w:r>
        <w:t xml:space="preserve">The annual salary calculations have been formulated using the Federal Government’s </w:t>
      </w:r>
      <w:r w:rsidRPr="00A041F4">
        <w:t>20</w:t>
      </w:r>
      <w:r>
        <w:t xml:space="preserve">14 salary table (overhead of 109.70% has been added to the basic salary).  The salary for the transportation manager was calculated using the salary of a GS 13/5 Senior Transportation Specialist, and the salary for the clerical employee was calculated using the salary of a GS 6/5 Program Assistant. </w:t>
      </w:r>
    </w:p>
    <w:p w14:paraId="509A9206" w14:textId="77777777" w:rsidR="005E3250" w:rsidRDefault="005E3250" w:rsidP="005E3250">
      <w:pPr>
        <w:jc w:val="both"/>
      </w:pPr>
    </w:p>
    <w:p w14:paraId="54E0CB5E" w14:textId="77777777" w:rsidR="005E3250" w:rsidRDefault="005E3250" w:rsidP="005E3250">
      <w:pPr>
        <w:jc w:val="both"/>
      </w:pPr>
      <w:r>
        <w:t>Formula:  Annual salary/2087 + overhead rate = adjusted annual salary</w:t>
      </w:r>
    </w:p>
    <w:p w14:paraId="4EE6B129" w14:textId="77777777" w:rsidR="003865CF" w:rsidRDefault="003865CF" w:rsidP="003865CF">
      <w:pPr>
        <w:jc w:val="both"/>
      </w:pPr>
    </w:p>
    <w:p w14:paraId="03274DD6" w14:textId="77777777" w:rsidR="005E3250" w:rsidRPr="00A041F4" w:rsidRDefault="005E3250" w:rsidP="005E3250">
      <w:pPr>
        <w:jc w:val="both"/>
      </w:pPr>
      <w:r w:rsidRPr="00A041F4">
        <w:t>$</w:t>
      </w:r>
      <w:r>
        <w:t>101,914/2087 = $48.83</w:t>
      </w:r>
      <w:r w:rsidRPr="00A041F4">
        <w:t xml:space="preserve"> + </w:t>
      </w:r>
      <w:r>
        <w:t>109.70%</w:t>
      </w:r>
      <w:r w:rsidRPr="00A041F4">
        <w:t xml:space="preserve"> = $</w:t>
      </w:r>
      <w:r>
        <w:t>102.39 = Transportation Manager adj</w:t>
      </w:r>
      <w:r w:rsidRPr="00A041F4">
        <w:t>usted hourly salary</w:t>
      </w:r>
    </w:p>
    <w:p w14:paraId="15E1B95A" w14:textId="77777777" w:rsidR="005E3250" w:rsidRPr="00A041F4" w:rsidRDefault="005E3250" w:rsidP="005E3250">
      <w:pPr>
        <w:jc w:val="both"/>
      </w:pPr>
    </w:p>
    <w:p w14:paraId="0F90646D" w14:textId="77777777" w:rsidR="005E3250" w:rsidRPr="00A041F4" w:rsidRDefault="005E3250" w:rsidP="005E3250">
      <w:pPr>
        <w:jc w:val="both"/>
      </w:pPr>
      <w:r w:rsidRPr="00A041F4">
        <w:t>$</w:t>
      </w:r>
      <w:r>
        <w:t>43,476/2087 = $20.83</w:t>
      </w:r>
      <w:r w:rsidRPr="00A041F4">
        <w:t xml:space="preserve"> + </w:t>
      </w:r>
      <w:r>
        <w:t>109.70%</w:t>
      </w:r>
      <w:r w:rsidRPr="00A041F4">
        <w:t xml:space="preserve"> = $</w:t>
      </w:r>
      <w:r>
        <w:t>43.68</w:t>
      </w:r>
      <w:r w:rsidRPr="00A041F4">
        <w:t xml:space="preserve"> = </w:t>
      </w:r>
      <w:r>
        <w:t>Clerical</w:t>
      </w:r>
      <w:r w:rsidRPr="00A041F4">
        <w:t xml:space="preserve"> adjusted hourly salary</w:t>
      </w:r>
    </w:p>
    <w:p w14:paraId="316972F4" w14:textId="77777777" w:rsidR="003865CF" w:rsidRDefault="003865CF" w:rsidP="003865CF">
      <w:pPr>
        <w:jc w:val="both"/>
        <w:rPr>
          <w:b/>
        </w:rPr>
      </w:pPr>
    </w:p>
    <w:tbl>
      <w:tblPr>
        <w:tblStyle w:val="TableGrid"/>
        <w:tblW w:w="0" w:type="auto"/>
        <w:tblLook w:val="01E0" w:firstRow="1" w:lastRow="1" w:firstColumn="1" w:lastColumn="1" w:noHBand="0" w:noVBand="0"/>
      </w:tblPr>
      <w:tblGrid>
        <w:gridCol w:w="2358"/>
        <w:gridCol w:w="2328"/>
        <w:gridCol w:w="2331"/>
        <w:gridCol w:w="2333"/>
      </w:tblGrid>
      <w:tr w:rsidR="003865CF" w14:paraId="26CF645A" w14:textId="77777777">
        <w:tc>
          <w:tcPr>
            <w:tcW w:w="2394" w:type="dxa"/>
          </w:tcPr>
          <w:p w14:paraId="356BCDD0" w14:textId="77777777" w:rsidR="003865CF" w:rsidRDefault="003865CF" w:rsidP="005B071B">
            <w:pPr>
              <w:jc w:val="both"/>
              <w:rPr>
                <w:b/>
              </w:rPr>
            </w:pPr>
            <w:r>
              <w:rPr>
                <w:b/>
              </w:rPr>
              <w:t>Employee</w:t>
            </w:r>
          </w:p>
        </w:tc>
        <w:tc>
          <w:tcPr>
            <w:tcW w:w="2394" w:type="dxa"/>
          </w:tcPr>
          <w:p w14:paraId="03C36FDF" w14:textId="77777777" w:rsidR="003865CF" w:rsidRDefault="003865CF" w:rsidP="005B071B">
            <w:pPr>
              <w:jc w:val="both"/>
              <w:rPr>
                <w:b/>
              </w:rPr>
            </w:pPr>
            <w:r>
              <w:rPr>
                <w:b/>
              </w:rPr>
              <w:t>Hourly Salary</w:t>
            </w:r>
          </w:p>
        </w:tc>
        <w:tc>
          <w:tcPr>
            <w:tcW w:w="2394" w:type="dxa"/>
          </w:tcPr>
          <w:p w14:paraId="7BA7602D" w14:textId="77777777" w:rsidR="003865CF" w:rsidRDefault="003865CF" w:rsidP="005B071B">
            <w:pPr>
              <w:jc w:val="both"/>
              <w:rPr>
                <w:b/>
              </w:rPr>
            </w:pPr>
            <w:r>
              <w:rPr>
                <w:b/>
              </w:rPr>
              <w:t>Number of Hours</w:t>
            </w:r>
          </w:p>
        </w:tc>
        <w:tc>
          <w:tcPr>
            <w:tcW w:w="2394" w:type="dxa"/>
          </w:tcPr>
          <w:p w14:paraId="5F2197F4" w14:textId="77777777" w:rsidR="003865CF" w:rsidRDefault="003865CF" w:rsidP="005B071B">
            <w:pPr>
              <w:jc w:val="both"/>
              <w:rPr>
                <w:b/>
              </w:rPr>
            </w:pPr>
            <w:r>
              <w:rPr>
                <w:b/>
              </w:rPr>
              <w:t>Total</w:t>
            </w:r>
          </w:p>
        </w:tc>
      </w:tr>
      <w:tr w:rsidR="003865CF" w14:paraId="69B9B338" w14:textId="77777777">
        <w:tc>
          <w:tcPr>
            <w:tcW w:w="2394" w:type="dxa"/>
          </w:tcPr>
          <w:p w14:paraId="7D499C12" w14:textId="77777777" w:rsidR="003865CF" w:rsidRPr="0023396A" w:rsidRDefault="003865CF" w:rsidP="005B071B">
            <w:pPr>
              <w:jc w:val="both"/>
            </w:pPr>
            <w:r>
              <w:lastRenderedPageBreak/>
              <w:t>Transportation Manager</w:t>
            </w:r>
          </w:p>
        </w:tc>
        <w:tc>
          <w:tcPr>
            <w:tcW w:w="2394" w:type="dxa"/>
          </w:tcPr>
          <w:p w14:paraId="0BF55468" w14:textId="77777777" w:rsidR="003865CF" w:rsidRPr="0023396A" w:rsidRDefault="003865CF" w:rsidP="005E3250">
            <w:pPr>
              <w:jc w:val="both"/>
            </w:pPr>
            <w:r>
              <w:t>$</w:t>
            </w:r>
            <w:r w:rsidR="005E3250">
              <w:t>102.39</w:t>
            </w:r>
          </w:p>
        </w:tc>
        <w:tc>
          <w:tcPr>
            <w:tcW w:w="2394" w:type="dxa"/>
          </w:tcPr>
          <w:p w14:paraId="5DB3C29E" w14:textId="77777777" w:rsidR="003865CF" w:rsidRPr="0023396A" w:rsidRDefault="00A2289D" w:rsidP="005B071B">
            <w:pPr>
              <w:jc w:val="both"/>
            </w:pPr>
            <w:r>
              <w:t>4102</w:t>
            </w:r>
          </w:p>
        </w:tc>
        <w:tc>
          <w:tcPr>
            <w:tcW w:w="2394" w:type="dxa"/>
          </w:tcPr>
          <w:p w14:paraId="543E0103" w14:textId="77777777" w:rsidR="003865CF" w:rsidRPr="0023396A" w:rsidRDefault="003865CF" w:rsidP="00A2289D">
            <w:pPr>
              <w:jc w:val="both"/>
            </w:pPr>
            <w:r>
              <w:t>$</w:t>
            </w:r>
            <w:r w:rsidR="00A2289D">
              <w:t>420,004</w:t>
            </w:r>
          </w:p>
        </w:tc>
      </w:tr>
      <w:tr w:rsidR="003865CF" w14:paraId="165576BE" w14:textId="77777777">
        <w:tc>
          <w:tcPr>
            <w:tcW w:w="2394" w:type="dxa"/>
          </w:tcPr>
          <w:p w14:paraId="141D5119" w14:textId="77777777" w:rsidR="003865CF" w:rsidRPr="0023396A" w:rsidRDefault="003865CF" w:rsidP="005B071B">
            <w:pPr>
              <w:jc w:val="both"/>
            </w:pPr>
            <w:r>
              <w:t>Clerical</w:t>
            </w:r>
          </w:p>
        </w:tc>
        <w:tc>
          <w:tcPr>
            <w:tcW w:w="2394" w:type="dxa"/>
          </w:tcPr>
          <w:p w14:paraId="43BCF92F" w14:textId="77777777" w:rsidR="003865CF" w:rsidRPr="0023396A" w:rsidRDefault="003865CF" w:rsidP="005B071B">
            <w:pPr>
              <w:jc w:val="both"/>
            </w:pPr>
            <w:r>
              <w:t>$</w:t>
            </w:r>
            <w:r w:rsidR="005E3250">
              <w:t>43.68</w:t>
            </w:r>
          </w:p>
        </w:tc>
        <w:tc>
          <w:tcPr>
            <w:tcW w:w="2394" w:type="dxa"/>
          </w:tcPr>
          <w:p w14:paraId="43B05664" w14:textId="77777777" w:rsidR="003865CF" w:rsidRPr="0023396A" w:rsidRDefault="00A2289D" w:rsidP="005B071B">
            <w:pPr>
              <w:jc w:val="both"/>
            </w:pPr>
            <w:r>
              <w:t>1367</w:t>
            </w:r>
          </w:p>
        </w:tc>
        <w:tc>
          <w:tcPr>
            <w:tcW w:w="2394" w:type="dxa"/>
          </w:tcPr>
          <w:p w14:paraId="5EEF1DC2" w14:textId="77777777" w:rsidR="003865CF" w:rsidRPr="0023396A" w:rsidRDefault="003865CF" w:rsidP="00A2289D">
            <w:pPr>
              <w:jc w:val="both"/>
            </w:pPr>
            <w:r>
              <w:t xml:space="preserve">$  </w:t>
            </w:r>
            <w:r w:rsidR="00E553C4">
              <w:t>5</w:t>
            </w:r>
            <w:r w:rsidR="00A2289D">
              <w:t>9,711</w:t>
            </w:r>
          </w:p>
        </w:tc>
      </w:tr>
      <w:tr w:rsidR="003865CF" w14:paraId="7A460436" w14:textId="77777777">
        <w:tc>
          <w:tcPr>
            <w:tcW w:w="2394" w:type="dxa"/>
          </w:tcPr>
          <w:p w14:paraId="67B913A3" w14:textId="77777777" w:rsidR="003865CF" w:rsidRPr="0023396A" w:rsidRDefault="003865CF" w:rsidP="005B071B">
            <w:pPr>
              <w:jc w:val="both"/>
              <w:rPr>
                <w:b/>
              </w:rPr>
            </w:pPr>
            <w:r>
              <w:rPr>
                <w:b/>
              </w:rPr>
              <w:t>TOTALS</w:t>
            </w:r>
          </w:p>
        </w:tc>
        <w:tc>
          <w:tcPr>
            <w:tcW w:w="2394" w:type="dxa"/>
          </w:tcPr>
          <w:p w14:paraId="42335265" w14:textId="77777777" w:rsidR="003865CF" w:rsidRDefault="003865CF" w:rsidP="005B071B">
            <w:pPr>
              <w:jc w:val="both"/>
              <w:rPr>
                <w:b/>
              </w:rPr>
            </w:pPr>
          </w:p>
        </w:tc>
        <w:tc>
          <w:tcPr>
            <w:tcW w:w="2394" w:type="dxa"/>
          </w:tcPr>
          <w:p w14:paraId="45ECC209" w14:textId="77777777" w:rsidR="003865CF" w:rsidRDefault="00F44C65" w:rsidP="00A2289D">
            <w:pPr>
              <w:jc w:val="both"/>
              <w:rPr>
                <w:b/>
              </w:rPr>
            </w:pPr>
            <w:r>
              <w:rPr>
                <w:b/>
              </w:rPr>
              <w:t>5</w:t>
            </w:r>
            <w:r w:rsidR="00A2289D">
              <w:rPr>
                <w:b/>
              </w:rPr>
              <w:t>469</w:t>
            </w:r>
          </w:p>
        </w:tc>
        <w:tc>
          <w:tcPr>
            <w:tcW w:w="2394" w:type="dxa"/>
          </w:tcPr>
          <w:p w14:paraId="26DCA8D7" w14:textId="77777777" w:rsidR="003865CF" w:rsidRDefault="003865CF" w:rsidP="00A2289D">
            <w:pPr>
              <w:jc w:val="both"/>
              <w:rPr>
                <w:b/>
              </w:rPr>
            </w:pPr>
            <w:r>
              <w:rPr>
                <w:b/>
              </w:rPr>
              <w:t>$</w:t>
            </w:r>
            <w:r w:rsidR="00A2289D">
              <w:rPr>
                <w:b/>
              </w:rPr>
              <w:t>479</w:t>
            </w:r>
            <w:r w:rsidR="00E553C4">
              <w:rPr>
                <w:b/>
              </w:rPr>
              <w:t>,</w:t>
            </w:r>
            <w:r w:rsidR="00A2289D">
              <w:rPr>
                <w:b/>
              </w:rPr>
              <w:t>715</w:t>
            </w:r>
          </w:p>
        </w:tc>
      </w:tr>
    </w:tbl>
    <w:p w14:paraId="6B1C9017" w14:textId="77777777" w:rsidR="003865CF" w:rsidRDefault="003865CF" w:rsidP="003865CF">
      <w:pPr>
        <w:jc w:val="both"/>
        <w:rPr>
          <w:b/>
        </w:rPr>
      </w:pPr>
    </w:p>
    <w:p w14:paraId="41D0A197" w14:textId="77777777" w:rsidR="003865CF" w:rsidRDefault="003865CF" w:rsidP="003865CF">
      <w:pPr>
        <w:jc w:val="both"/>
      </w:pPr>
    </w:p>
    <w:sectPr w:rsidR="003865CF" w:rsidSect="00250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A3FCA" w14:textId="77777777" w:rsidR="00A734B7" w:rsidRDefault="00A734B7">
      <w:r>
        <w:separator/>
      </w:r>
    </w:p>
  </w:endnote>
  <w:endnote w:type="continuationSeparator" w:id="0">
    <w:p w14:paraId="14073EBC" w14:textId="77777777" w:rsidR="00A734B7" w:rsidRDefault="00A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C8C4D" w14:textId="77777777" w:rsidR="00A734B7" w:rsidRDefault="00A734B7">
      <w:r>
        <w:separator/>
      </w:r>
    </w:p>
  </w:footnote>
  <w:footnote w:type="continuationSeparator" w:id="0">
    <w:p w14:paraId="5CA78716" w14:textId="77777777" w:rsidR="00A734B7" w:rsidRDefault="00A73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31A"/>
    <w:multiLevelType w:val="hybridMultilevel"/>
    <w:tmpl w:val="5C7A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 w15:restartNumberingAfterBreak="0">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3A"/>
    <w:rsid w:val="000063C0"/>
    <w:rsid w:val="000140BB"/>
    <w:rsid w:val="00015813"/>
    <w:rsid w:val="0001611B"/>
    <w:rsid w:val="000220BB"/>
    <w:rsid w:val="00022F84"/>
    <w:rsid w:val="00023D8B"/>
    <w:rsid w:val="00043E4B"/>
    <w:rsid w:val="00055B38"/>
    <w:rsid w:val="00055BAB"/>
    <w:rsid w:val="00056C5B"/>
    <w:rsid w:val="00075530"/>
    <w:rsid w:val="000804EB"/>
    <w:rsid w:val="0008309C"/>
    <w:rsid w:val="00083572"/>
    <w:rsid w:val="00087398"/>
    <w:rsid w:val="00092B2D"/>
    <w:rsid w:val="00097A39"/>
    <w:rsid w:val="000B421B"/>
    <w:rsid w:val="000B5A13"/>
    <w:rsid w:val="000D1698"/>
    <w:rsid w:val="000D7265"/>
    <w:rsid w:val="000E3307"/>
    <w:rsid w:val="000E5AE6"/>
    <w:rsid w:val="000F4505"/>
    <w:rsid w:val="00101DAD"/>
    <w:rsid w:val="00103EFD"/>
    <w:rsid w:val="001138E6"/>
    <w:rsid w:val="00123569"/>
    <w:rsid w:val="0012448C"/>
    <w:rsid w:val="00127FF6"/>
    <w:rsid w:val="00130009"/>
    <w:rsid w:val="0018386A"/>
    <w:rsid w:val="00183CC1"/>
    <w:rsid w:val="00187D30"/>
    <w:rsid w:val="001962FC"/>
    <w:rsid w:val="001A16B2"/>
    <w:rsid w:val="001A695F"/>
    <w:rsid w:val="001B33A8"/>
    <w:rsid w:val="001B3710"/>
    <w:rsid w:val="001C6559"/>
    <w:rsid w:val="001C6F4F"/>
    <w:rsid w:val="001D0B23"/>
    <w:rsid w:val="001D5B6E"/>
    <w:rsid w:val="001D75FC"/>
    <w:rsid w:val="001E0F44"/>
    <w:rsid w:val="001F191B"/>
    <w:rsid w:val="00210902"/>
    <w:rsid w:val="0022150E"/>
    <w:rsid w:val="002242F1"/>
    <w:rsid w:val="00224D96"/>
    <w:rsid w:val="00242C7A"/>
    <w:rsid w:val="002433D0"/>
    <w:rsid w:val="00244CED"/>
    <w:rsid w:val="00250315"/>
    <w:rsid w:val="0025093A"/>
    <w:rsid w:val="0025300D"/>
    <w:rsid w:val="0026754A"/>
    <w:rsid w:val="00273822"/>
    <w:rsid w:val="002863D2"/>
    <w:rsid w:val="00292776"/>
    <w:rsid w:val="002B59C0"/>
    <w:rsid w:val="002B5E31"/>
    <w:rsid w:val="002C1BCB"/>
    <w:rsid w:val="002D3898"/>
    <w:rsid w:val="002F52BA"/>
    <w:rsid w:val="00311174"/>
    <w:rsid w:val="003116AF"/>
    <w:rsid w:val="00330A00"/>
    <w:rsid w:val="003469EC"/>
    <w:rsid w:val="00366378"/>
    <w:rsid w:val="003800D0"/>
    <w:rsid w:val="00380BF5"/>
    <w:rsid w:val="003821B5"/>
    <w:rsid w:val="003865CF"/>
    <w:rsid w:val="00386662"/>
    <w:rsid w:val="00392538"/>
    <w:rsid w:val="003A58E8"/>
    <w:rsid w:val="003B0F7C"/>
    <w:rsid w:val="003B26A6"/>
    <w:rsid w:val="003B520C"/>
    <w:rsid w:val="003B55AD"/>
    <w:rsid w:val="003E1A58"/>
    <w:rsid w:val="003E2AEB"/>
    <w:rsid w:val="003E3B48"/>
    <w:rsid w:val="003E40CC"/>
    <w:rsid w:val="003E5DFC"/>
    <w:rsid w:val="003E6ECE"/>
    <w:rsid w:val="003F198D"/>
    <w:rsid w:val="003F7497"/>
    <w:rsid w:val="003F75D0"/>
    <w:rsid w:val="00415949"/>
    <w:rsid w:val="00426E5C"/>
    <w:rsid w:val="0042726F"/>
    <w:rsid w:val="004369DB"/>
    <w:rsid w:val="00441F95"/>
    <w:rsid w:val="004602DB"/>
    <w:rsid w:val="004631A8"/>
    <w:rsid w:val="004641EE"/>
    <w:rsid w:val="00476DEA"/>
    <w:rsid w:val="00483B0E"/>
    <w:rsid w:val="00494471"/>
    <w:rsid w:val="004B5CF4"/>
    <w:rsid w:val="004D1791"/>
    <w:rsid w:val="004D1B5E"/>
    <w:rsid w:val="004D2715"/>
    <w:rsid w:val="004E1702"/>
    <w:rsid w:val="004F5A0D"/>
    <w:rsid w:val="00501AAB"/>
    <w:rsid w:val="00521B0F"/>
    <w:rsid w:val="0052771C"/>
    <w:rsid w:val="0053620E"/>
    <w:rsid w:val="00536780"/>
    <w:rsid w:val="00541241"/>
    <w:rsid w:val="00557DB4"/>
    <w:rsid w:val="005666EB"/>
    <w:rsid w:val="00571F81"/>
    <w:rsid w:val="00580F98"/>
    <w:rsid w:val="005920F2"/>
    <w:rsid w:val="005B071B"/>
    <w:rsid w:val="005B60FD"/>
    <w:rsid w:val="005C18D2"/>
    <w:rsid w:val="005C45AB"/>
    <w:rsid w:val="005C59FB"/>
    <w:rsid w:val="005D458D"/>
    <w:rsid w:val="005E3250"/>
    <w:rsid w:val="005E537F"/>
    <w:rsid w:val="005E7863"/>
    <w:rsid w:val="00601D5A"/>
    <w:rsid w:val="0061326C"/>
    <w:rsid w:val="00616418"/>
    <w:rsid w:val="0063039A"/>
    <w:rsid w:val="00632031"/>
    <w:rsid w:val="0063383A"/>
    <w:rsid w:val="00637F2D"/>
    <w:rsid w:val="00650CCA"/>
    <w:rsid w:val="0065678A"/>
    <w:rsid w:val="00657F19"/>
    <w:rsid w:val="00667C0B"/>
    <w:rsid w:val="00672738"/>
    <w:rsid w:val="00681467"/>
    <w:rsid w:val="00682AB8"/>
    <w:rsid w:val="00683E17"/>
    <w:rsid w:val="00685FBC"/>
    <w:rsid w:val="006B0076"/>
    <w:rsid w:val="006C2A47"/>
    <w:rsid w:val="006C36B9"/>
    <w:rsid w:val="006D225D"/>
    <w:rsid w:val="006F3672"/>
    <w:rsid w:val="00702B3B"/>
    <w:rsid w:val="00706AA5"/>
    <w:rsid w:val="00715E2E"/>
    <w:rsid w:val="00742D07"/>
    <w:rsid w:val="0074454A"/>
    <w:rsid w:val="00745DEF"/>
    <w:rsid w:val="00766B82"/>
    <w:rsid w:val="00773710"/>
    <w:rsid w:val="00777AF0"/>
    <w:rsid w:val="00790062"/>
    <w:rsid w:val="007B47A3"/>
    <w:rsid w:val="007C5FFF"/>
    <w:rsid w:val="007D2CE6"/>
    <w:rsid w:val="007D3EFB"/>
    <w:rsid w:val="007D4C91"/>
    <w:rsid w:val="007E745B"/>
    <w:rsid w:val="007F1D26"/>
    <w:rsid w:val="007F28F5"/>
    <w:rsid w:val="007F749A"/>
    <w:rsid w:val="00821C2E"/>
    <w:rsid w:val="008249F5"/>
    <w:rsid w:val="00825690"/>
    <w:rsid w:val="008317B9"/>
    <w:rsid w:val="00833071"/>
    <w:rsid w:val="0084463F"/>
    <w:rsid w:val="00862DEE"/>
    <w:rsid w:val="00865B59"/>
    <w:rsid w:val="00875692"/>
    <w:rsid w:val="00877DB5"/>
    <w:rsid w:val="008961EE"/>
    <w:rsid w:val="008B03F4"/>
    <w:rsid w:val="008B0ED5"/>
    <w:rsid w:val="008C01D4"/>
    <w:rsid w:val="008C078B"/>
    <w:rsid w:val="008F2889"/>
    <w:rsid w:val="008F7D7E"/>
    <w:rsid w:val="00901927"/>
    <w:rsid w:val="00910430"/>
    <w:rsid w:val="00923A1C"/>
    <w:rsid w:val="00924408"/>
    <w:rsid w:val="00934A2A"/>
    <w:rsid w:val="00937A5C"/>
    <w:rsid w:val="009459CA"/>
    <w:rsid w:val="00953F03"/>
    <w:rsid w:val="00960A9B"/>
    <w:rsid w:val="00962A16"/>
    <w:rsid w:val="0096462C"/>
    <w:rsid w:val="009657EF"/>
    <w:rsid w:val="00972178"/>
    <w:rsid w:val="00976AC8"/>
    <w:rsid w:val="00976CFE"/>
    <w:rsid w:val="00983417"/>
    <w:rsid w:val="00986193"/>
    <w:rsid w:val="00987017"/>
    <w:rsid w:val="00993E09"/>
    <w:rsid w:val="009A54B0"/>
    <w:rsid w:val="009A7EDA"/>
    <w:rsid w:val="009B23C5"/>
    <w:rsid w:val="009B51FF"/>
    <w:rsid w:val="009C0301"/>
    <w:rsid w:val="009D5132"/>
    <w:rsid w:val="009D58CC"/>
    <w:rsid w:val="009E09F8"/>
    <w:rsid w:val="009E58A4"/>
    <w:rsid w:val="009E79EB"/>
    <w:rsid w:val="00A06810"/>
    <w:rsid w:val="00A127E3"/>
    <w:rsid w:val="00A149E4"/>
    <w:rsid w:val="00A21842"/>
    <w:rsid w:val="00A2289D"/>
    <w:rsid w:val="00A257A0"/>
    <w:rsid w:val="00A2633F"/>
    <w:rsid w:val="00A45E35"/>
    <w:rsid w:val="00A51068"/>
    <w:rsid w:val="00A614DA"/>
    <w:rsid w:val="00A615AE"/>
    <w:rsid w:val="00A734B7"/>
    <w:rsid w:val="00A736A1"/>
    <w:rsid w:val="00A83888"/>
    <w:rsid w:val="00A9340B"/>
    <w:rsid w:val="00A94DFB"/>
    <w:rsid w:val="00AA168D"/>
    <w:rsid w:val="00AA7716"/>
    <w:rsid w:val="00AB0A67"/>
    <w:rsid w:val="00AB40C9"/>
    <w:rsid w:val="00AC7A63"/>
    <w:rsid w:val="00AD011A"/>
    <w:rsid w:val="00AE7B93"/>
    <w:rsid w:val="00B018D1"/>
    <w:rsid w:val="00B074DB"/>
    <w:rsid w:val="00B07C64"/>
    <w:rsid w:val="00B12A92"/>
    <w:rsid w:val="00B17257"/>
    <w:rsid w:val="00B313FF"/>
    <w:rsid w:val="00B34D16"/>
    <w:rsid w:val="00B36EDE"/>
    <w:rsid w:val="00B57DCC"/>
    <w:rsid w:val="00B6218D"/>
    <w:rsid w:val="00B642C0"/>
    <w:rsid w:val="00B64471"/>
    <w:rsid w:val="00B73F5D"/>
    <w:rsid w:val="00B80597"/>
    <w:rsid w:val="00B83932"/>
    <w:rsid w:val="00B92408"/>
    <w:rsid w:val="00BC3FA1"/>
    <w:rsid w:val="00BC51DF"/>
    <w:rsid w:val="00BD66B9"/>
    <w:rsid w:val="00BD6DD4"/>
    <w:rsid w:val="00BE1C88"/>
    <w:rsid w:val="00BE6AA8"/>
    <w:rsid w:val="00BE6F47"/>
    <w:rsid w:val="00C15EB8"/>
    <w:rsid w:val="00C343A8"/>
    <w:rsid w:val="00C416B5"/>
    <w:rsid w:val="00C4682B"/>
    <w:rsid w:val="00C50C9B"/>
    <w:rsid w:val="00C600BD"/>
    <w:rsid w:val="00C64691"/>
    <w:rsid w:val="00C74974"/>
    <w:rsid w:val="00C77E63"/>
    <w:rsid w:val="00C840F0"/>
    <w:rsid w:val="00C96645"/>
    <w:rsid w:val="00CA6B91"/>
    <w:rsid w:val="00CA6C8D"/>
    <w:rsid w:val="00CD0CD6"/>
    <w:rsid w:val="00CD7A1A"/>
    <w:rsid w:val="00CE2E44"/>
    <w:rsid w:val="00CF67FE"/>
    <w:rsid w:val="00CF6D2C"/>
    <w:rsid w:val="00D0134D"/>
    <w:rsid w:val="00D15247"/>
    <w:rsid w:val="00D161FA"/>
    <w:rsid w:val="00D24CBD"/>
    <w:rsid w:val="00D4417B"/>
    <w:rsid w:val="00D45D7D"/>
    <w:rsid w:val="00D460F0"/>
    <w:rsid w:val="00D503E4"/>
    <w:rsid w:val="00D53620"/>
    <w:rsid w:val="00D538F0"/>
    <w:rsid w:val="00D54A82"/>
    <w:rsid w:val="00D648B6"/>
    <w:rsid w:val="00D75679"/>
    <w:rsid w:val="00D76C8F"/>
    <w:rsid w:val="00D93624"/>
    <w:rsid w:val="00DA3AE3"/>
    <w:rsid w:val="00DC00AE"/>
    <w:rsid w:val="00DC34DF"/>
    <w:rsid w:val="00DC3AD4"/>
    <w:rsid w:val="00DC4530"/>
    <w:rsid w:val="00DD11EA"/>
    <w:rsid w:val="00DD785F"/>
    <w:rsid w:val="00DE768D"/>
    <w:rsid w:val="00DF0976"/>
    <w:rsid w:val="00DF34EE"/>
    <w:rsid w:val="00E030A0"/>
    <w:rsid w:val="00E13192"/>
    <w:rsid w:val="00E178CC"/>
    <w:rsid w:val="00E326E3"/>
    <w:rsid w:val="00E4293E"/>
    <w:rsid w:val="00E553C4"/>
    <w:rsid w:val="00E747A2"/>
    <w:rsid w:val="00E75DFA"/>
    <w:rsid w:val="00E840CE"/>
    <w:rsid w:val="00E94B93"/>
    <w:rsid w:val="00EB23E2"/>
    <w:rsid w:val="00EC23C7"/>
    <w:rsid w:val="00EC4088"/>
    <w:rsid w:val="00EE09E0"/>
    <w:rsid w:val="00F04B44"/>
    <w:rsid w:val="00F060A6"/>
    <w:rsid w:val="00F06B21"/>
    <w:rsid w:val="00F076DA"/>
    <w:rsid w:val="00F25E72"/>
    <w:rsid w:val="00F27F9B"/>
    <w:rsid w:val="00F362AD"/>
    <w:rsid w:val="00F402D5"/>
    <w:rsid w:val="00F44C65"/>
    <w:rsid w:val="00F45491"/>
    <w:rsid w:val="00F458E1"/>
    <w:rsid w:val="00F46498"/>
    <w:rsid w:val="00F5534A"/>
    <w:rsid w:val="00F559ED"/>
    <w:rsid w:val="00F74EB4"/>
    <w:rsid w:val="00F76E2D"/>
    <w:rsid w:val="00FA107F"/>
    <w:rsid w:val="00FA4440"/>
    <w:rsid w:val="00FA5243"/>
    <w:rsid w:val="00FA7E94"/>
    <w:rsid w:val="00FB333A"/>
    <w:rsid w:val="00FB527B"/>
    <w:rsid w:val="00FC0405"/>
    <w:rsid w:val="00FC2E96"/>
    <w:rsid w:val="00FD1D53"/>
    <w:rsid w:val="00FD3D72"/>
    <w:rsid w:val="00FD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F06B8"/>
  <w15:docId w15:val="{B6F08BF7-C2E4-4B93-9507-E564746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386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865CF"/>
    <w:rPr>
      <w:sz w:val="20"/>
      <w:szCs w:val="20"/>
    </w:rPr>
  </w:style>
  <w:style w:type="character" w:styleId="FootnoteReference">
    <w:name w:val="footnote reference"/>
    <w:basedOn w:val="DefaultParagraphFont"/>
    <w:semiHidden/>
    <w:rsid w:val="003865CF"/>
    <w:rPr>
      <w:vertAlign w:val="superscript"/>
    </w:rPr>
  </w:style>
  <w:style w:type="paragraph" w:styleId="Header">
    <w:name w:val="header"/>
    <w:basedOn w:val="Normal"/>
    <w:rsid w:val="003865CF"/>
    <w:pPr>
      <w:tabs>
        <w:tab w:val="center" w:pos="4320"/>
        <w:tab w:val="right" w:pos="8640"/>
      </w:tabs>
    </w:pPr>
  </w:style>
  <w:style w:type="paragraph" w:styleId="Footer">
    <w:name w:val="footer"/>
    <w:basedOn w:val="Normal"/>
    <w:rsid w:val="003865CF"/>
    <w:pPr>
      <w:tabs>
        <w:tab w:val="center" w:pos="4320"/>
        <w:tab w:val="right" w:pos="8640"/>
      </w:tabs>
    </w:pPr>
  </w:style>
  <w:style w:type="paragraph" w:styleId="ListParagraph">
    <w:name w:val="List Paragraph"/>
    <w:basedOn w:val="Normal"/>
    <w:uiPriority w:val="34"/>
    <w:qFormat/>
    <w:rsid w:val="00130009"/>
    <w:pPr>
      <w:ind w:left="720"/>
      <w:contextualSpacing/>
    </w:pPr>
  </w:style>
  <w:style w:type="character" w:styleId="CommentReference">
    <w:name w:val="annotation reference"/>
    <w:basedOn w:val="DefaultParagraphFont"/>
    <w:semiHidden/>
    <w:unhideWhenUsed/>
    <w:rsid w:val="00983417"/>
    <w:rPr>
      <w:sz w:val="16"/>
      <w:szCs w:val="16"/>
    </w:rPr>
  </w:style>
  <w:style w:type="paragraph" w:styleId="CommentText">
    <w:name w:val="annotation text"/>
    <w:basedOn w:val="Normal"/>
    <w:link w:val="CommentTextChar"/>
    <w:semiHidden/>
    <w:unhideWhenUsed/>
    <w:rsid w:val="00983417"/>
    <w:rPr>
      <w:sz w:val="20"/>
      <w:szCs w:val="20"/>
    </w:rPr>
  </w:style>
  <w:style w:type="character" w:customStyle="1" w:styleId="CommentTextChar">
    <w:name w:val="Comment Text Char"/>
    <w:basedOn w:val="DefaultParagraphFont"/>
    <w:link w:val="CommentText"/>
    <w:semiHidden/>
    <w:rsid w:val="00983417"/>
  </w:style>
  <w:style w:type="paragraph" w:styleId="CommentSubject">
    <w:name w:val="annotation subject"/>
    <w:basedOn w:val="CommentText"/>
    <w:next w:val="CommentText"/>
    <w:link w:val="CommentSubjectChar"/>
    <w:semiHidden/>
    <w:unhideWhenUsed/>
    <w:rsid w:val="00983417"/>
    <w:rPr>
      <w:b/>
      <w:bCs/>
    </w:rPr>
  </w:style>
  <w:style w:type="character" w:customStyle="1" w:styleId="CommentSubjectChar">
    <w:name w:val="Comment Subject Char"/>
    <w:basedOn w:val="CommentTextChar"/>
    <w:link w:val="CommentSubject"/>
    <w:semiHidden/>
    <w:rsid w:val="00983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2348</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15209</CharactersWithSpaces>
  <SharedDoc>false</SharedDoc>
  <HLinks>
    <vt:vector size="12" baseType="variant">
      <vt:variant>
        <vt:i4>6094867</vt:i4>
      </vt:variant>
      <vt:variant>
        <vt:i4>3</vt:i4>
      </vt:variant>
      <vt:variant>
        <vt:i4>0</vt:i4>
      </vt:variant>
      <vt:variant>
        <vt:i4>5</vt:i4>
      </vt:variant>
      <vt:variant>
        <vt:lpwstr>http://www.forms.gov/</vt:lpwstr>
      </vt:variant>
      <vt:variant>
        <vt:lpwstr/>
      </vt:variant>
      <vt:variant>
        <vt:i4>6094867</vt:i4>
      </vt:variant>
      <vt:variant>
        <vt:i4>0</vt:i4>
      </vt:variant>
      <vt:variant>
        <vt:i4>0</vt:i4>
      </vt:variant>
      <vt:variant>
        <vt:i4>5</vt:i4>
      </vt:variant>
      <vt:variant>
        <vt:lpwstr>http://www.forms.gov/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Donna Lee</cp:lastModifiedBy>
  <cp:revision>5</cp:revision>
  <cp:lastPrinted>2015-11-03T17:12:00Z</cp:lastPrinted>
  <dcterms:created xsi:type="dcterms:W3CDTF">2015-11-03T20:07:00Z</dcterms:created>
  <dcterms:modified xsi:type="dcterms:W3CDTF">2015-11-04T19:08:00Z</dcterms:modified>
</cp:coreProperties>
</file>