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0F" w:rsidRDefault="002F4D0F">
      <w:pPr>
        <w:jc w:val="center"/>
        <w:rPr>
          <w:b/>
          <w:sz w:val="24"/>
        </w:rPr>
      </w:pPr>
      <w:r>
        <w:rPr>
          <w:sz w:val="24"/>
          <w:lang w:val="en-CA"/>
        </w:rPr>
        <w:fldChar w:fldCharType="begin"/>
      </w:r>
      <w:r>
        <w:rPr>
          <w:sz w:val="24"/>
          <w:lang w:val="en-CA"/>
        </w:rPr>
        <w:instrText xml:space="preserve"> SEQ CHAPTER \h \r 1</w:instrText>
      </w:r>
      <w:r>
        <w:rPr>
          <w:sz w:val="24"/>
          <w:lang w:val="en-CA"/>
        </w:rPr>
        <w:fldChar w:fldCharType="end"/>
      </w:r>
      <w:r>
        <w:rPr>
          <w:b/>
          <w:sz w:val="24"/>
        </w:rPr>
        <w:t>SUPPORTING STATEMENT</w:t>
      </w:r>
    </w:p>
    <w:p w:rsidR="00897D36" w:rsidRDefault="00897D36">
      <w:pPr>
        <w:jc w:val="center"/>
        <w:rPr>
          <w:b/>
          <w:sz w:val="24"/>
        </w:rPr>
      </w:pPr>
      <w:r w:rsidRPr="00897D36">
        <w:rPr>
          <w:b/>
          <w:sz w:val="24"/>
        </w:rPr>
        <w:t>GREATER ATLANTIC REGION SURFCLAM</w:t>
      </w:r>
      <w:r>
        <w:rPr>
          <w:b/>
          <w:sz w:val="24"/>
        </w:rPr>
        <w:t>/</w:t>
      </w:r>
      <w:r w:rsidRPr="00897D36">
        <w:rPr>
          <w:b/>
          <w:sz w:val="24"/>
        </w:rPr>
        <w:t>OCEAN QUAHOG ITQ ADMINISTRATION</w:t>
      </w:r>
    </w:p>
    <w:p w:rsidR="002F4D0F" w:rsidRDefault="00897D36">
      <w:pPr>
        <w:jc w:val="center"/>
        <w:rPr>
          <w:sz w:val="24"/>
        </w:rPr>
      </w:pPr>
      <w:proofErr w:type="gramStart"/>
      <w:r>
        <w:rPr>
          <w:b/>
          <w:sz w:val="24"/>
        </w:rPr>
        <w:t>OMB CONTROL NO.</w:t>
      </w:r>
      <w:proofErr w:type="gramEnd"/>
      <w:r>
        <w:rPr>
          <w:b/>
          <w:sz w:val="24"/>
        </w:rPr>
        <w:t xml:space="preserve"> 0648-0240</w:t>
      </w:r>
    </w:p>
    <w:p w:rsidR="002F4D0F" w:rsidRDefault="002F4D0F">
      <w:pPr>
        <w:rPr>
          <w:sz w:val="24"/>
        </w:rPr>
      </w:pPr>
    </w:p>
    <w:p w:rsidR="002F4D0F" w:rsidRDefault="002F4D0F">
      <w:pPr>
        <w:rPr>
          <w:sz w:val="24"/>
        </w:rPr>
      </w:pPr>
    </w:p>
    <w:p w:rsidR="002F4D0F" w:rsidRDefault="00221E9E">
      <w:pPr>
        <w:tabs>
          <w:tab w:val="left" w:pos="720"/>
        </w:tabs>
        <w:ind w:left="720" w:hanging="720"/>
        <w:rPr>
          <w:sz w:val="24"/>
        </w:rPr>
      </w:pPr>
      <w:r>
        <w:rPr>
          <w:b/>
          <w:sz w:val="24"/>
        </w:rPr>
        <w:t>A.</w:t>
      </w:r>
      <w:r w:rsidR="002F4D0F">
        <w:rPr>
          <w:b/>
          <w:sz w:val="24"/>
        </w:rPr>
        <w:tab/>
        <w:t>JUSTIFICATION</w:t>
      </w:r>
    </w:p>
    <w:p w:rsidR="00221E9E" w:rsidRDefault="00221E9E">
      <w:pPr>
        <w:rPr>
          <w:sz w:val="24"/>
        </w:rPr>
      </w:pPr>
    </w:p>
    <w:p w:rsidR="002F4D0F" w:rsidRDefault="002F4D0F">
      <w:pPr>
        <w:rPr>
          <w:sz w:val="24"/>
        </w:rPr>
      </w:pPr>
      <w:r>
        <w:rPr>
          <w:b/>
          <w:sz w:val="24"/>
        </w:rPr>
        <w:t xml:space="preserve">1.  </w:t>
      </w:r>
      <w:r>
        <w:rPr>
          <w:b/>
          <w:sz w:val="24"/>
          <w:u w:val="single"/>
        </w:rPr>
        <w:t>Explain the circumstances that make the collection of information necessary.</w:t>
      </w:r>
    </w:p>
    <w:p w:rsidR="009A03B0" w:rsidRPr="00FD7BE0" w:rsidRDefault="009A03B0">
      <w:pPr>
        <w:rPr>
          <w:sz w:val="24"/>
          <w:szCs w:val="24"/>
        </w:rPr>
      </w:pPr>
    </w:p>
    <w:p w:rsidR="002F4D0F" w:rsidRPr="009A03B0" w:rsidRDefault="00221E9E">
      <w:pPr>
        <w:rPr>
          <w:sz w:val="24"/>
          <w:szCs w:val="24"/>
        </w:rPr>
      </w:pPr>
      <w:r>
        <w:rPr>
          <w:sz w:val="24"/>
          <w:szCs w:val="24"/>
        </w:rPr>
        <w:t>The National Oceanic and Atmospheric Administration’s (</w:t>
      </w:r>
      <w:r w:rsidR="00B32CCB">
        <w:rPr>
          <w:sz w:val="24"/>
          <w:szCs w:val="24"/>
        </w:rPr>
        <w:t>NOAA</w:t>
      </w:r>
      <w:r>
        <w:rPr>
          <w:sz w:val="24"/>
          <w:szCs w:val="24"/>
        </w:rPr>
        <w:t>)</w:t>
      </w:r>
      <w:r w:rsidR="00B32CCB">
        <w:rPr>
          <w:sz w:val="24"/>
          <w:szCs w:val="24"/>
        </w:rPr>
        <w:t xml:space="preserve"> </w:t>
      </w:r>
      <w:r w:rsidR="009A03B0" w:rsidRPr="009A03B0">
        <w:rPr>
          <w:sz w:val="24"/>
          <w:szCs w:val="24"/>
        </w:rPr>
        <w:t xml:space="preserve">National Marine Fisheries Service (NMFS) is requesting </w:t>
      </w:r>
      <w:r w:rsidR="002F0897">
        <w:rPr>
          <w:sz w:val="24"/>
          <w:szCs w:val="24"/>
        </w:rPr>
        <w:t>an extension</w:t>
      </w:r>
      <w:r w:rsidR="009A03B0" w:rsidRPr="009A03B0">
        <w:rPr>
          <w:sz w:val="24"/>
          <w:szCs w:val="24"/>
        </w:rPr>
        <w:t xml:space="preserve"> </w:t>
      </w:r>
      <w:r w:rsidR="00530526">
        <w:rPr>
          <w:sz w:val="24"/>
          <w:szCs w:val="24"/>
        </w:rPr>
        <w:t xml:space="preserve">of </w:t>
      </w:r>
      <w:r w:rsidR="009A03B0">
        <w:rPr>
          <w:sz w:val="24"/>
          <w:szCs w:val="24"/>
        </w:rPr>
        <w:t>OMB Control No. 0648-0240</w:t>
      </w:r>
      <w:r w:rsidR="00530526">
        <w:rPr>
          <w:sz w:val="24"/>
          <w:szCs w:val="24"/>
        </w:rPr>
        <w:t>,</w:t>
      </w:r>
      <w:r w:rsidR="009A03B0" w:rsidRPr="009A03B0">
        <w:rPr>
          <w:sz w:val="24"/>
          <w:szCs w:val="24"/>
        </w:rPr>
        <w:t xml:space="preserve"> to continue management of the </w:t>
      </w:r>
      <w:r w:rsidR="00B32CCB">
        <w:rPr>
          <w:sz w:val="24"/>
        </w:rPr>
        <w:t>Atlantic Surfclam and Ocean Q</w:t>
      </w:r>
      <w:r w:rsidR="009A03B0">
        <w:rPr>
          <w:sz w:val="24"/>
        </w:rPr>
        <w:t xml:space="preserve">uahog </w:t>
      </w:r>
      <w:r w:rsidR="009A03B0" w:rsidRPr="009A03B0">
        <w:rPr>
          <w:sz w:val="24"/>
          <w:szCs w:val="24"/>
        </w:rPr>
        <w:t>Fishery Management Plan (FMP)</w:t>
      </w:r>
      <w:r w:rsidR="00A43DD5">
        <w:rPr>
          <w:sz w:val="24"/>
          <w:szCs w:val="24"/>
        </w:rPr>
        <w:t xml:space="preserve"> developed under the authority of the </w:t>
      </w:r>
      <w:hyperlink r:id="rId9" w:history="1">
        <w:r w:rsidR="00A43DD5" w:rsidRPr="00A43DD5">
          <w:rPr>
            <w:rStyle w:val="Hyperlink"/>
            <w:sz w:val="24"/>
            <w:szCs w:val="24"/>
          </w:rPr>
          <w:t>Magnuson-Stevens Fishery Conservation and Management Act</w:t>
        </w:r>
      </w:hyperlink>
      <w:r w:rsidR="00A43DD5">
        <w:rPr>
          <w:sz w:val="24"/>
          <w:szCs w:val="24"/>
        </w:rPr>
        <w:t xml:space="preserve"> (16 U.S.C. 1801 </w:t>
      </w:r>
      <w:r w:rsidR="00A43DD5" w:rsidRPr="00A93AF6">
        <w:rPr>
          <w:i/>
          <w:sz w:val="24"/>
          <w:szCs w:val="24"/>
        </w:rPr>
        <w:t xml:space="preserve">et </w:t>
      </w:r>
      <w:proofErr w:type="spellStart"/>
      <w:r w:rsidR="00A43DD5" w:rsidRPr="00A93AF6">
        <w:rPr>
          <w:i/>
          <w:sz w:val="24"/>
          <w:szCs w:val="24"/>
        </w:rPr>
        <w:t>seq</w:t>
      </w:r>
      <w:proofErr w:type="spellEnd"/>
      <w:r w:rsidR="00A43DD5">
        <w:rPr>
          <w:sz w:val="24"/>
          <w:szCs w:val="24"/>
        </w:rPr>
        <w:t>, Section 303)</w:t>
      </w:r>
      <w:r w:rsidR="009A03B0" w:rsidRPr="009A03B0">
        <w:rPr>
          <w:sz w:val="24"/>
          <w:szCs w:val="24"/>
        </w:rPr>
        <w:t xml:space="preserve">.  </w:t>
      </w:r>
      <w:r w:rsidR="00A75781">
        <w:rPr>
          <w:sz w:val="24"/>
          <w:szCs w:val="24"/>
        </w:rPr>
        <w:t xml:space="preserve">This </w:t>
      </w:r>
      <w:r w:rsidR="002F0897">
        <w:rPr>
          <w:sz w:val="24"/>
          <w:szCs w:val="24"/>
        </w:rPr>
        <w:t>extension</w:t>
      </w:r>
      <w:r w:rsidR="00A93AF6" w:rsidRPr="009A03B0">
        <w:rPr>
          <w:sz w:val="24"/>
          <w:szCs w:val="24"/>
        </w:rPr>
        <w:t xml:space="preserve"> </w:t>
      </w:r>
      <w:r w:rsidR="009A03B0" w:rsidRPr="009A03B0">
        <w:rPr>
          <w:sz w:val="24"/>
          <w:szCs w:val="24"/>
        </w:rPr>
        <w:t xml:space="preserve">would enable NMFS to </w:t>
      </w:r>
      <w:r w:rsidR="00A93AF6">
        <w:rPr>
          <w:sz w:val="24"/>
          <w:szCs w:val="24"/>
        </w:rPr>
        <w:t xml:space="preserve">continue to </w:t>
      </w:r>
      <w:r w:rsidR="009A03B0" w:rsidRPr="009A03B0">
        <w:rPr>
          <w:sz w:val="24"/>
          <w:szCs w:val="24"/>
        </w:rPr>
        <w:t>c</w:t>
      </w:r>
      <w:r w:rsidR="00A75781">
        <w:rPr>
          <w:sz w:val="24"/>
          <w:szCs w:val="24"/>
        </w:rPr>
        <w:t>ollect</w:t>
      </w:r>
      <w:r w:rsidR="00540DA8">
        <w:rPr>
          <w:sz w:val="24"/>
          <w:szCs w:val="24"/>
        </w:rPr>
        <w:t xml:space="preserve"> information </w:t>
      </w:r>
      <w:r w:rsidR="00A93AF6">
        <w:rPr>
          <w:sz w:val="24"/>
          <w:szCs w:val="24"/>
        </w:rPr>
        <w:t xml:space="preserve">necessary for the management of the </w:t>
      </w:r>
      <w:r w:rsidR="00540DA8">
        <w:rPr>
          <w:sz w:val="24"/>
          <w:szCs w:val="24"/>
        </w:rPr>
        <w:t xml:space="preserve">individual transferable quota </w:t>
      </w:r>
      <w:r w:rsidR="00234EF1">
        <w:rPr>
          <w:sz w:val="24"/>
          <w:szCs w:val="24"/>
        </w:rPr>
        <w:t xml:space="preserve">(ITQ) </w:t>
      </w:r>
      <w:r w:rsidR="00A93AF6">
        <w:rPr>
          <w:sz w:val="24"/>
          <w:szCs w:val="24"/>
        </w:rPr>
        <w:t>program.</w:t>
      </w:r>
      <w:r w:rsidR="00E02850">
        <w:rPr>
          <w:sz w:val="24"/>
          <w:szCs w:val="24"/>
        </w:rPr>
        <w:t xml:space="preserve"> </w:t>
      </w:r>
    </w:p>
    <w:p w:rsidR="0051374E" w:rsidRDefault="0051374E" w:rsidP="00FD7BE0">
      <w:pPr>
        <w:rPr>
          <w:sz w:val="24"/>
        </w:rPr>
      </w:pPr>
    </w:p>
    <w:p w:rsidR="0051374E" w:rsidRPr="0051374E" w:rsidRDefault="0051374E" w:rsidP="00FD7BE0">
      <w:pPr>
        <w:rPr>
          <w:b/>
          <w:sz w:val="24"/>
        </w:rPr>
      </w:pPr>
      <w:r w:rsidRPr="0051374E">
        <w:rPr>
          <w:b/>
          <w:sz w:val="24"/>
        </w:rPr>
        <w:t>Individual transferable quota</w:t>
      </w:r>
      <w:r w:rsidR="002F0897">
        <w:rPr>
          <w:b/>
          <w:sz w:val="24"/>
        </w:rPr>
        <w:t xml:space="preserve"> (ITQ)</w:t>
      </w:r>
    </w:p>
    <w:p w:rsidR="0051374E" w:rsidRDefault="0051374E" w:rsidP="00FD7BE0">
      <w:pPr>
        <w:rPr>
          <w:sz w:val="24"/>
        </w:rPr>
      </w:pPr>
    </w:p>
    <w:p w:rsidR="002F4D0F" w:rsidRDefault="00564D00" w:rsidP="00FD7BE0">
      <w:pPr>
        <w:rPr>
          <w:sz w:val="24"/>
        </w:rPr>
      </w:pPr>
      <w:r>
        <w:rPr>
          <w:sz w:val="24"/>
        </w:rPr>
        <w:t xml:space="preserve">Amendment </w:t>
      </w:r>
      <w:r w:rsidR="002F4D0F">
        <w:rPr>
          <w:sz w:val="24"/>
        </w:rPr>
        <w:t xml:space="preserve">8 to the </w:t>
      </w:r>
      <w:r w:rsidR="00801266">
        <w:rPr>
          <w:sz w:val="24"/>
        </w:rPr>
        <w:t xml:space="preserve">Atlantic Surfclam and Ocean Quahog </w:t>
      </w:r>
      <w:r w:rsidR="005F704A">
        <w:rPr>
          <w:sz w:val="24"/>
        </w:rPr>
        <w:t xml:space="preserve">Fishery Management Plan </w:t>
      </w:r>
      <w:r w:rsidR="00801266">
        <w:rPr>
          <w:sz w:val="24"/>
        </w:rPr>
        <w:t>became</w:t>
      </w:r>
      <w:r w:rsidR="002F4D0F">
        <w:rPr>
          <w:sz w:val="24"/>
        </w:rPr>
        <w:t xml:space="preserve"> effective September 30, 1990.  The amendment provided for </w:t>
      </w:r>
      <w:r>
        <w:rPr>
          <w:sz w:val="24"/>
        </w:rPr>
        <w:t>ITQs by species (surf</w:t>
      </w:r>
      <w:r w:rsidR="002F4D0F">
        <w:rPr>
          <w:sz w:val="24"/>
        </w:rPr>
        <w:t>clam or ocean quahog) for individuals who were qualified to receive an ITQ for either or both species.</w:t>
      </w:r>
      <w:r w:rsidR="00B32CCB">
        <w:rPr>
          <w:sz w:val="24"/>
        </w:rPr>
        <w:t xml:space="preserve">  ITQs were issued in September</w:t>
      </w:r>
      <w:r w:rsidR="00550503">
        <w:rPr>
          <w:sz w:val="24"/>
        </w:rPr>
        <w:t xml:space="preserve"> </w:t>
      </w:r>
      <w:r w:rsidR="002F4D0F">
        <w:rPr>
          <w:sz w:val="24"/>
        </w:rPr>
        <w:t>1990</w:t>
      </w:r>
      <w:r w:rsidR="009F409A">
        <w:rPr>
          <w:sz w:val="24"/>
        </w:rPr>
        <w:t xml:space="preserve"> </w:t>
      </w:r>
      <w:r w:rsidR="002F4D0F">
        <w:rPr>
          <w:sz w:val="24"/>
        </w:rPr>
        <w:t>to individual owners</w:t>
      </w:r>
      <w:r w:rsidR="009F409A">
        <w:rPr>
          <w:sz w:val="24"/>
        </w:rPr>
        <w:t>,</w:t>
      </w:r>
      <w:r w:rsidR="002F4D0F">
        <w:rPr>
          <w:sz w:val="24"/>
        </w:rPr>
        <w:t xml:space="preserve"> based on their percentage share of the annual allowed quota for harvest.</w:t>
      </w:r>
    </w:p>
    <w:p w:rsidR="0051374E" w:rsidRDefault="0051374E" w:rsidP="00FD7BE0">
      <w:pPr>
        <w:rPr>
          <w:sz w:val="24"/>
        </w:rPr>
      </w:pPr>
    </w:p>
    <w:p w:rsidR="008E760A" w:rsidRDefault="002F4D0F" w:rsidP="00FD7BE0">
      <w:pPr>
        <w:rPr>
          <w:sz w:val="24"/>
        </w:rPr>
      </w:pPr>
      <w:r>
        <w:rPr>
          <w:sz w:val="24"/>
        </w:rPr>
        <w:t>Allocations are expressed in terms of bushels, but tracked and transferred in terms of the</w:t>
      </w:r>
      <w:r w:rsidR="00540DA8">
        <w:rPr>
          <w:sz w:val="24"/>
        </w:rPr>
        <w:t xml:space="preserve"> </w:t>
      </w:r>
      <w:r>
        <w:rPr>
          <w:sz w:val="24"/>
        </w:rPr>
        <w:t>cages in which harvested product is landed and shipped (</w:t>
      </w:r>
      <w:r w:rsidR="009F409A">
        <w:rPr>
          <w:sz w:val="24"/>
        </w:rPr>
        <w:t xml:space="preserve">a </w:t>
      </w:r>
      <w:r>
        <w:rPr>
          <w:sz w:val="24"/>
        </w:rPr>
        <w:t>cage contain</w:t>
      </w:r>
      <w:r w:rsidR="009F409A">
        <w:rPr>
          <w:sz w:val="24"/>
        </w:rPr>
        <w:t>s</w:t>
      </w:r>
      <w:r>
        <w:rPr>
          <w:sz w:val="24"/>
        </w:rPr>
        <w:t xml:space="preserve"> 32 bushels of product).  To facilitate enforcement and tracking, sequentially numbered tags are issued to each owner on</w:t>
      </w:r>
      <w:r w:rsidR="00801266">
        <w:rPr>
          <w:sz w:val="24"/>
        </w:rPr>
        <w:t xml:space="preserve"> </w:t>
      </w:r>
      <w:r>
        <w:rPr>
          <w:sz w:val="24"/>
        </w:rPr>
        <w:t xml:space="preserve">an annual basis and all cages of product must be tagged, with tag use reported by both the harvesting vessel and the purchasing dealer.  </w:t>
      </w:r>
      <w:r w:rsidR="0051374E">
        <w:rPr>
          <w:sz w:val="24"/>
        </w:rPr>
        <w:t xml:space="preserve">Each allocation </w:t>
      </w:r>
      <w:r w:rsidR="00234EF1">
        <w:rPr>
          <w:sz w:val="24"/>
        </w:rPr>
        <w:t>holder</w:t>
      </w:r>
      <w:r w:rsidR="00135F66">
        <w:rPr>
          <w:sz w:val="24"/>
        </w:rPr>
        <w:t xml:space="preserve"> </w:t>
      </w:r>
      <w:r w:rsidR="00A93AF6">
        <w:rPr>
          <w:sz w:val="24"/>
        </w:rPr>
        <w:t>must renew</w:t>
      </w:r>
      <w:r w:rsidR="00135F66">
        <w:rPr>
          <w:sz w:val="24"/>
        </w:rPr>
        <w:t xml:space="preserve"> a </w:t>
      </w:r>
      <w:r w:rsidR="00CD6EB9">
        <w:rPr>
          <w:sz w:val="24"/>
        </w:rPr>
        <w:t xml:space="preserve">surfclam/ocean quahog </w:t>
      </w:r>
      <w:r w:rsidR="00234EF1">
        <w:rPr>
          <w:sz w:val="24"/>
        </w:rPr>
        <w:t>ITQ</w:t>
      </w:r>
      <w:r w:rsidR="0051374E">
        <w:rPr>
          <w:sz w:val="24"/>
        </w:rPr>
        <w:t xml:space="preserve"> permit </w:t>
      </w:r>
      <w:r w:rsidR="00A93AF6">
        <w:rPr>
          <w:sz w:val="24"/>
        </w:rPr>
        <w:t xml:space="preserve">each year, </w:t>
      </w:r>
      <w:r w:rsidR="0051374E">
        <w:rPr>
          <w:sz w:val="24"/>
        </w:rPr>
        <w:t>which specifies the amount of their allocation and the tag n</w:t>
      </w:r>
      <w:r w:rsidR="00801266">
        <w:rPr>
          <w:sz w:val="24"/>
        </w:rPr>
        <w:t xml:space="preserve">umbers they are required to use </w:t>
      </w:r>
      <w:r w:rsidR="0051374E">
        <w:rPr>
          <w:sz w:val="24"/>
        </w:rPr>
        <w:t>during the harvest of their allocation.</w:t>
      </w:r>
      <w:r w:rsidR="00801266">
        <w:rPr>
          <w:sz w:val="24"/>
        </w:rPr>
        <w:t xml:space="preserve"> </w:t>
      </w:r>
      <w:r w:rsidR="0051374E">
        <w:rPr>
          <w:sz w:val="24"/>
        </w:rPr>
        <w:t xml:space="preserve"> </w:t>
      </w:r>
      <w:r>
        <w:rPr>
          <w:sz w:val="24"/>
        </w:rPr>
        <w:t>Individual allocations are transferable per re</w:t>
      </w:r>
      <w:r w:rsidR="00801266">
        <w:rPr>
          <w:sz w:val="24"/>
        </w:rPr>
        <w:t>gulations found at 50 CFR 648.74(b)</w:t>
      </w:r>
      <w:r>
        <w:rPr>
          <w:sz w:val="24"/>
        </w:rPr>
        <w:t>.  Owners may transfer their allocation on a permanent basis or may transfer tags to other vessel owners to use on a temporary</w:t>
      </w:r>
      <w:r w:rsidR="00564D00">
        <w:rPr>
          <w:sz w:val="24"/>
        </w:rPr>
        <w:t xml:space="preserve"> (annual)</w:t>
      </w:r>
      <w:r>
        <w:rPr>
          <w:sz w:val="24"/>
        </w:rPr>
        <w:t xml:space="preserve"> basis.  This transferability means that the allocat</w:t>
      </w:r>
      <w:r w:rsidR="00564D00">
        <w:rPr>
          <w:sz w:val="24"/>
        </w:rPr>
        <w:t xml:space="preserve">ion ownership </w:t>
      </w:r>
      <w:r w:rsidR="00A41360">
        <w:rPr>
          <w:sz w:val="24"/>
        </w:rPr>
        <w:t xml:space="preserve">frequently </w:t>
      </w:r>
      <w:r w:rsidR="00564D00">
        <w:rPr>
          <w:sz w:val="24"/>
        </w:rPr>
        <w:t>changes</w:t>
      </w:r>
      <w:r w:rsidR="00221E9E">
        <w:rPr>
          <w:sz w:val="24"/>
        </w:rPr>
        <w:t>.</w:t>
      </w:r>
      <w:r w:rsidR="00234EF1">
        <w:rPr>
          <w:sz w:val="24"/>
        </w:rPr>
        <w:t xml:space="preserve">  </w:t>
      </w:r>
    </w:p>
    <w:p w:rsidR="008E760A" w:rsidRDefault="008E760A" w:rsidP="00FD7BE0">
      <w:pPr>
        <w:rPr>
          <w:sz w:val="24"/>
        </w:rPr>
      </w:pPr>
    </w:p>
    <w:p w:rsidR="00CD6EB9" w:rsidRDefault="00135F66" w:rsidP="00FD7BE0">
      <w:pPr>
        <w:rPr>
          <w:sz w:val="24"/>
        </w:rPr>
      </w:pPr>
      <w:r>
        <w:rPr>
          <w:sz w:val="24"/>
        </w:rPr>
        <w:t>T</w:t>
      </w:r>
      <w:r w:rsidR="00C952EB">
        <w:rPr>
          <w:sz w:val="24"/>
        </w:rPr>
        <w:t>he</w:t>
      </w:r>
      <w:r>
        <w:rPr>
          <w:sz w:val="24"/>
        </w:rPr>
        <w:t xml:space="preserve"> surfclam/ocean quahog ITQ permit </w:t>
      </w:r>
      <w:r w:rsidR="00A93AF6">
        <w:rPr>
          <w:sz w:val="24"/>
        </w:rPr>
        <w:t xml:space="preserve">must </w:t>
      </w:r>
      <w:r>
        <w:rPr>
          <w:sz w:val="24"/>
        </w:rPr>
        <w:t>be renewed annually</w:t>
      </w:r>
      <w:r w:rsidR="002F0897">
        <w:rPr>
          <w:sz w:val="24"/>
        </w:rPr>
        <w:t>, along with the completion of an ITQ ownership form (see Question 2)</w:t>
      </w:r>
      <w:r>
        <w:rPr>
          <w:sz w:val="24"/>
        </w:rPr>
        <w:t xml:space="preserve">.  This is necessary to ensure that the information NMFS </w:t>
      </w:r>
      <w:r w:rsidR="001F6F13">
        <w:rPr>
          <w:sz w:val="24"/>
        </w:rPr>
        <w:t>collect</w:t>
      </w:r>
      <w:r w:rsidR="00C952EB">
        <w:rPr>
          <w:sz w:val="24"/>
        </w:rPr>
        <w:t>s</w:t>
      </w:r>
      <w:r>
        <w:rPr>
          <w:sz w:val="24"/>
        </w:rPr>
        <w:t xml:space="preserve"> about allocation holders stay</w:t>
      </w:r>
      <w:r w:rsidR="00C952EB">
        <w:rPr>
          <w:sz w:val="24"/>
        </w:rPr>
        <w:t>s up-to-date.  In addition to a</w:t>
      </w:r>
      <w:r w:rsidR="008E760A">
        <w:rPr>
          <w:sz w:val="24"/>
        </w:rPr>
        <w:t xml:space="preserve"> </w:t>
      </w:r>
      <w:r w:rsidR="00C952EB">
        <w:rPr>
          <w:sz w:val="24"/>
        </w:rPr>
        <w:t>s</w:t>
      </w:r>
      <w:r w:rsidR="008E760A">
        <w:rPr>
          <w:sz w:val="24"/>
        </w:rPr>
        <w:t>urfclam/</w:t>
      </w:r>
      <w:r w:rsidR="00C952EB">
        <w:rPr>
          <w:sz w:val="24"/>
        </w:rPr>
        <w:t>o</w:t>
      </w:r>
      <w:r w:rsidR="008E760A">
        <w:rPr>
          <w:sz w:val="24"/>
        </w:rPr>
        <w:t xml:space="preserve">cean </w:t>
      </w:r>
      <w:r w:rsidR="00C952EB">
        <w:rPr>
          <w:sz w:val="24"/>
        </w:rPr>
        <w:t>quahog ITQ p</w:t>
      </w:r>
      <w:r w:rsidR="008E760A">
        <w:rPr>
          <w:sz w:val="24"/>
        </w:rPr>
        <w:t xml:space="preserve">ermit </w:t>
      </w:r>
      <w:r w:rsidR="00C952EB">
        <w:rPr>
          <w:sz w:val="24"/>
        </w:rPr>
        <w:t xml:space="preserve">application </w:t>
      </w:r>
      <w:r w:rsidR="008E760A">
        <w:rPr>
          <w:sz w:val="24"/>
        </w:rPr>
        <w:t>form</w:t>
      </w:r>
      <w:r>
        <w:rPr>
          <w:sz w:val="24"/>
        </w:rPr>
        <w:t>, allocation holders need to submit</w:t>
      </w:r>
      <w:r w:rsidR="008E760A">
        <w:rPr>
          <w:sz w:val="24"/>
        </w:rPr>
        <w:t xml:space="preserve"> </w:t>
      </w:r>
      <w:r>
        <w:rPr>
          <w:sz w:val="24"/>
        </w:rPr>
        <w:t>a</w:t>
      </w:r>
      <w:r w:rsidR="008E760A">
        <w:rPr>
          <w:sz w:val="24"/>
        </w:rPr>
        <w:t xml:space="preserve"> </w:t>
      </w:r>
      <w:r w:rsidR="00C952EB">
        <w:rPr>
          <w:sz w:val="24"/>
        </w:rPr>
        <w:t>s</w:t>
      </w:r>
      <w:r w:rsidR="008E760A">
        <w:rPr>
          <w:sz w:val="24"/>
        </w:rPr>
        <w:t>urfclam/</w:t>
      </w:r>
      <w:r w:rsidR="00C952EB">
        <w:rPr>
          <w:sz w:val="24"/>
        </w:rPr>
        <w:t>o</w:t>
      </w:r>
      <w:r w:rsidR="008E760A">
        <w:rPr>
          <w:sz w:val="24"/>
        </w:rPr>
        <w:t xml:space="preserve">cean </w:t>
      </w:r>
      <w:r w:rsidR="00C952EB">
        <w:rPr>
          <w:sz w:val="24"/>
        </w:rPr>
        <w:t>q</w:t>
      </w:r>
      <w:r w:rsidR="008E760A">
        <w:rPr>
          <w:sz w:val="24"/>
        </w:rPr>
        <w:t xml:space="preserve">uahog ITQ </w:t>
      </w:r>
      <w:r w:rsidR="00C952EB">
        <w:rPr>
          <w:sz w:val="24"/>
        </w:rPr>
        <w:t>o</w:t>
      </w:r>
      <w:r w:rsidR="008E760A">
        <w:rPr>
          <w:sz w:val="24"/>
        </w:rPr>
        <w:t>wnership form</w:t>
      </w:r>
      <w:r w:rsidR="00CD6EB9">
        <w:rPr>
          <w:sz w:val="24"/>
        </w:rPr>
        <w:t xml:space="preserve">.  </w:t>
      </w:r>
      <w:r w:rsidR="00C952EB">
        <w:rPr>
          <w:sz w:val="24"/>
        </w:rPr>
        <w:t>Both of these forms are</w:t>
      </w:r>
      <w:r>
        <w:rPr>
          <w:sz w:val="24"/>
        </w:rPr>
        <w:t xml:space="preserve"> necessary to </w:t>
      </w:r>
      <w:r w:rsidR="00C952EB">
        <w:rPr>
          <w:sz w:val="24"/>
        </w:rPr>
        <w:t xml:space="preserve">ensure that permit holders are qualified </w:t>
      </w:r>
      <w:r w:rsidR="00A93AF6">
        <w:rPr>
          <w:sz w:val="24"/>
        </w:rPr>
        <w:t xml:space="preserve">to hold ITQ </w:t>
      </w:r>
      <w:r w:rsidR="00C952EB">
        <w:rPr>
          <w:sz w:val="24"/>
        </w:rPr>
        <w:t xml:space="preserve">and to </w:t>
      </w:r>
      <w:r>
        <w:rPr>
          <w:sz w:val="24"/>
        </w:rPr>
        <w:t>identify</w:t>
      </w:r>
      <w:r w:rsidR="001F6F13">
        <w:rPr>
          <w:sz w:val="24"/>
        </w:rPr>
        <w:t xml:space="preserve"> the individual owners of </w:t>
      </w:r>
      <w:r w:rsidR="00C952EB">
        <w:rPr>
          <w:sz w:val="24"/>
        </w:rPr>
        <w:t>entities</w:t>
      </w:r>
      <w:r w:rsidR="001F6F13">
        <w:rPr>
          <w:sz w:val="24"/>
        </w:rPr>
        <w:t xml:space="preserve"> that hold ITQ allocation</w:t>
      </w:r>
      <w:r w:rsidR="00CD6EB9">
        <w:rPr>
          <w:sz w:val="24"/>
        </w:rPr>
        <w:t>.</w:t>
      </w:r>
      <w:r w:rsidR="001F6F13">
        <w:rPr>
          <w:sz w:val="24"/>
        </w:rPr>
        <w:t xml:space="preserve">  </w:t>
      </w:r>
      <w:r w:rsidR="00C952EB">
        <w:rPr>
          <w:sz w:val="24"/>
        </w:rPr>
        <w:t xml:space="preserve">To renew an ITQ permit </w:t>
      </w:r>
      <w:r w:rsidR="00E02850">
        <w:rPr>
          <w:sz w:val="24"/>
        </w:rPr>
        <w:t>the applicant</w:t>
      </w:r>
      <w:r w:rsidR="00C952EB">
        <w:rPr>
          <w:sz w:val="24"/>
        </w:rPr>
        <w:t xml:space="preserve"> need</w:t>
      </w:r>
      <w:r w:rsidR="00A93AF6">
        <w:rPr>
          <w:sz w:val="24"/>
        </w:rPr>
        <w:t>s</w:t>
      </w:r>
      <w:r w:rsidR="00C952EB">
        <w:rPr>
          <w:sz w:val="24"/>
        </w:rPr>
        <w:t xml:space="preserve"> to review </w:t>
      </w:r>
      <w:r w:rsidR="00A93AF6">
        <w:rPr>
          <w:sz w:val="24"/>
        </w:rPr>
        <w:t xml:space="preserve">a pre-filled form, </w:t>
      </w:r>
      <w:r w:rsidR="00C952EB">
        <w:rPr>
          <w:sz w:val="24"/>
        </w:rPr>
        <w:t xml:space="preserve">and </w:t>
      </w:r>
      <w:r w:rsidR="00E02850">
        <w:rPr>
          <w:sz w:val="24"/>
        </w:rPr>
        <w:t xml:space="preserve">verify </w:t>
      </w:r>
      <w:r w:rsidR="001F6F13">
        <w:rPr>
          <w:sz w:val="24"/>
        </w:rPr>
        <w:t xml:space="preserve">the information is still accurate. </w:t>
      </w:r>
      <w:r w:rsidR="00CD6EB9">
        <w:rPr>
          <w:sz w:val="24"/>
        </w:rPr>
        <w:t xml:space="preserve">  </w:t>
      </w:r>
    </w:p>
    <w:p w:rsidR="002F4D0F" w:rsidRDefault="00A41360" w:rsidP="00FD7BE0">
      <w:pPr>
        <w:rPr>
          <w:sz w:val="24"/>
        </w:rPr>
      </w:pPr>
      <w:r>
        <w:rPr>
          <w:sz w:val="24"/>
        </w:rPr>
        <w:lastRenderedPageBreak/>
        <w:t>The</w:t>
      </w:r>
      <w:r w:rsidR="002F4D0F">
        <w:rPr>
          <w:sz w:val="24"/>
        </w:rPr>
        <w:t xml:space="preserve"> </w:t>
      </w:r>
      <w:r w:rsidR="00C952EB">
        <w:rPr>
          <w:sz w:val="24"/>
        </w:rPr>
        <w:t>a</w:t>
      </w:r>
      <w:r w:rsidR="00CD6EB9">
        <w:rPr>
          <w:sz w:val="24"/>
        </w:rPr>
        <w:t xml:space="preserve">pplication to </w:t>
      </w:r>
      <w:r w:rsidR="00C952EB">
        <w:rPr>
          <w:sz w:val="24"/>
        </w:rPr>
        <w:t>t</w:t>
      </w:r>
      <w:r w:rsidR="002F4D0F">
        <w:rPr>
          <w:sz w:val="24"/>
        </w:rPr>
        <w:t xml:space="preserve">ransfer </w:t>
      </w:r>
      <w:r w:rsidR="00CD6EB9">
        <w:rPr>
          <w:sz w:val="24"/>
        </w:rPr>
        <w:t xml:space="preserve">ITQ </w:t>
      </w:r>
      <w:r w:rsidR="008E760A">
        <w:rPr>
          <w:sz w:val="24"/>
        </w:rPr>
        <w:t>f</w:t>
      </w:r>
      <w:r w:rsidR="002F4D0F">
        <w:rPr>
          <w:sz w:val="24"/>
        </w:rPr>
        <w:t xml:space="preserve">orm is </w:t>
      </w:r>
      <w:r>
        <w:rPr>
          <w:sz w:val="24"/>
        </w:rPr>
        <w:t xml:space="preserve">required </w:t>
      </w:r>
      <w:r w:rsidR="002F4D0F">
        <w:rPr>
          <w:sz w:val="24"/>
        </w:rPr>
        <w:t xml:space="preserve">by </w:t>
      </w:r>
      <w:r>
        <w:rPr>
          <w:sz w:val="24"/>
        </w:rPr>
        <w:t xml:space="preserve">NMFS </w:t>
      </w:r>
      <w:r w:rsidR="002F4D0F">
        <w:rPr>
          <w:sz w:val="24"/>
        </w:rPr>
        <w:t xml:space="preserve">to </w:t>
      </w:r>
      <w:r>
        <w:rPr>
          <w:sz w:val="24"/>
        </w:rPr>
        <w:t xml:space="preserve">process and register </w:t>
      </w:r>
      <w:r w:rsidR="00FC75E8">
        <w:rPr>
          <w:sz w:val="24"/>
        </w:rPr>
        <w:t xml:space="preserve">all </w:t>
      </w:r>
      <w:r>
        <w:rPr>
          <w:sz w:val="24"/>
        </w:rPr>
        <w:t>ITQ transactions</w:t>
      </w:r>
      <w:r w:rsidR="00266B2C">
        <w:rPr>
          <w:sz w:val="24"/>
        </w:rPr>
        <w:t xml:space="preserve">. </w:t>
      </w:r>
      <w:r w:rsidR="002F4D0F">
        <w:rPr>
          <w:sz w:val="24"/>
        </w:rPr>
        <w:t xml:space="preserve">Information required on the transfer form includes </w:t>
      </w:r>
      <w:r w:rsidR="00FC75E8">
        <w:rPr>
          <w:sz w:val="24"/>
        </w:rPr>
        <w:t>ITQ permit</w:t>
      </w:r>
      <w:r w:rsidR="002F4D0F">
        <w:rPr>
          <w:sz w:val="24"/>
        </w:rPr>
        <w:t xml:space="preserve"> </w:t>
      </w:r>
      <w:r w:rsidR="00CD6EB9">
        <w:rPr>
          <w:sz w:val="24"/>
        </w:rPr>
        <w:t>holder</w:t>
      </w:r>
      <w:r w:rsidR="002F4D0F">
        <w:rPr>
          <w:sz w:val="24"/>
        </w:rPr>
        <w:t xml:space="preserve"> name, allocation number (assigned by NMFS for internal tracking), </w:t>
      </w:r>
      <w:r w:rsidR="00FC75E8">
        <w:rPr>
          <w:sz w:val="24"/>
        </w:rPr>
        <w:t xml:space="preserve">and </w:t>
      </w:r>
      <w:r w:rsidR="002F4D0F">
        <w:rPr>
          <w:sz w:val="24"/>
        </w:rPr>
        <w:t>the numbers of tags associated with the</w:t>
      </w:r>
      <w:r w:rsidR="0051374E">
        <w:rPr>
          <w:sz w:val="24"/>
        </w:rPr>
        <w:t xml:space="preserve"> </w:t>
      </w:r>
      <w:r w:rsidR="002F4D0F">
        <w:rPr>
          <w:sz w:val="24"/>
        </w:rPr>
        <w:t>transfer</w:t>
      </w:r>
      <w:r w:rsidR="001F6F13">
        <w:rPr>
          <w:sz w:val="24"/>
        </w:rPr>
        <w:t>.  Th</w:t>
      </w:r>
      <w:r w:rsidR="00A93AF6">
        <w:rPr>
          <w:sz w:val="24"/>
        </w:rPr>
        <w:t xml:space="preserve">e form includes </w:t>
      </w:r>
      <w:r w:rsidR="001F6F13">
        <w:rPr>
          <w:sz w:val="24"/>
        </w:rPr>
        <w:t>questions to collect</w:t>
      </w:r>
      <w:r w:rsidR="00CD6EB9">
        <w:rPr>
          <w:sz w:val="24"/>
        </w:rPr>
        <w:t xml:space="preserve"> the price paid </w:t>
      </w:r>
      <w:r w:rsidR="00FC75E8">
        <w:rPr>
          <w:sz w:val="24"/>
        </w:rPr>
        <w:t>and</w:t>
      </w:r>
      <w:r w:rsidR="00CD6EB9">
        <w:rPr>
          <w:sz w:val="24"/>
        </w:rPr>
        <w:t xml:space="preserve"> any broker fees, whether the transfer is part of a long-term contract, and any other conditions placed on the transfer</w:t>
      </w:r>
      <w:r w:rsidR="002F4D0F">
        <w:rPr>
          <w:sz w:val="24"/>
        </w:rPr>
        <w:t xml:space="preserve">. </w:t>
      </w:r>
      <w:r w:rsidR="00A93AF6">
        <w:rPr>
          <w:sz w:val="24"/>
        </w:rPr>
        <w:t xml:space="preserve"> </w:t>
      </w:r>
      <w:r w:rsidR="001F6F13">
        <w:rPr>
          <w:sz w:val="24"/>
        </w:rPr>
        <w:t>This additional information is required to understand the potential control of ITQ allocation that might be subject to an excessive shares cap.</w:t>
      </w:r>
      <w:r w:rsidR="00F03C79">
        <w:rPr>
          <w:sz w:val="24"/>
        </w:rPr>
        <w:t xml:space="preserve">  ITQ permit and ownership form requirements </w:t>
      </w:r>
      <w:r w:rsidR="00F03C79" w:rsidRPr="00F03C79">
        <w:rPr>
          <w:sz w:val="24"/>
        </w:rPr>
        <w:t xml:space="preserve">at </w:t>
      </w:r>
      <w:r w:rsidR="00F03C79">
        <w:rPr>
          <w:sz w:val="24"/>
        </w:rPr>
        <w:t xml:space="preserve">§ </w:t>
      </w:r>
      <w:r w:rsidR="00F03C79" w:rsidRPr="00F03C79">
        <w:rPr>
          <w:sz w:val="24"/>
        </w:rPr>
        <w:t>648.74(a)</w:t>
      </w:r>
      <w:r w:rsidR="00F03C79">
        <w:rPr>
          <w:sz w:val="24"/>
        </w:rPr>
        <w:t>.were implemented by a final rule published on July 20, 2015 (80 FR 42747), and will become effective on January 1, 2016.</w:t>
      </w:r>
      <w:r w:rsidR="00F03C79" w:rsidRPr="00F03C79">
        <w:t xml:space="preserve"> </w:t>
      </w:r>
    </w:p>
    <w:p w:rsidR="00F03C79" w:rsidRDefault="00F03C79" w:rsidP="00FD7BE0">
      <w:pPr>
        <w:rPr>
          <w:sz w:val="24"/>
        </w:rPr>
      </w:pPr>
    </w:p>
    <w:p w:rsidR="0051374E" w:rsidRPr="0051374E" w:rsidRDefault="0051374E" w:rsidP="00FD7BE0">
      <w:pPr>
        <w:rPr>
          <w:b/>
          <w:sz w:val="24"/>
        </w:rPr>
      </w:pPr>
      <w:r w:rsidRPr="0051374E">
        <w:rPr>
          <w:b/>
          <w:sz w:val="24"/>
        </w:rPr>
        <w:t>Shucking clams at sea</w:t>
      </w:r>
    </w:p>
    <w:p w:rsidR="0051374E" w:rsidRDefault="0051374E" w:rsidP="00FD7BE0">
      <w:pPr>
        <w:rPr>
          <w:sz w:val="24"/>
        </w:rPr>
      </w:pPr>
    </w:p>
    <w:p w:rsidR="00A41360" w:rsidRDefault="00A41360" w:rsidP="00FD7BE0">
      <w:pPr>
        <w:rPr>
          <w:sz w:val="24"/>
        </w:rPr>
      </w:pPr>
      <w:r>
        <w:rPr>
          <w:sz w:val="24"/>
        </w:rPr>
        <w:t>Because of potential difficulties in disposing of clam shells on shore</w:t>
      </w:r>
      <w:r w:rsidR="00DA74AD">
        <w:rPr>
          <w:sz w:val="24"/>
        </w:rPr>
        <w:t>,</w:t>
      </w:r>
      <w:r w:rsidR="00801266">
        <w:rPr>
          <w:sz w:val="24"/>
        </w:rPr>
        <w:t xml:space="preserve"> Amendment 8 allowed</w:t>
      </w:r>
      <w:r>
        <w:rPr>
          <w:sz w:val="24"/>
        </w:rPr>
        <w:t xml:space="preserve"> for the Regional Administrator to approve requests to shuck product at sea.  However, because of the difficulties involved in converting the volume of shucked clam meats to bushels, the regulations allow shucking at sea only if the vessel carries a NMFS-approved observer.  The observer is necess</w:t>
      </w:r>
      <w:r w:rsidR="001709D6">
        <w:rPr>
          <w:sz w:val="24"/>
        </w:rPr>
        <w:t xml:space="preserve">ary to certify the amount, in bushels, of </w:t>
      </w:r>
      <w:proofErr w:type="spellStart"/>
      <w:r w:rsidR="001709D6">
        <w:rPr>
          <w:sz w:val="24"/>
        </w:rPr>
        <w:t>unshucked</w:t>
      </w:r>
      <w:proofErr w:type="spellEnd"/>
      <w:r w:rsidR="001709D6">
        <w:rPr>
          <w:sz w:val="24"/>
        </w:rPr>
        <w:t xml:space="preserve"> product that the vessel has processed at sea.</w:t>
      </w:r>
      <w:r w:rsidR="000F0C0F">
        <w:rPr>
          <w:sz w:val="24"/>
        </w:rPr>
        <w:t xml:space="preserve">  The</w:t>
      </w:r>
      <w:r w:rsidR="000F0C0F" w:rsidRPr="000F0C0F">
        <w:rPr>
          <w:sz w:val="24"/>
        </w:rPr>
        <w:t xml:space="preserve"> </w:t>
      </w:r>
      <w:r w:rsidR="000F0C0F">
        <w:rPr>
          <w:sz w:val="24"/>
        </w:rPr>
        <w:t>regulations authorizing this colle</w:t>
      </w:r>
      <w:r w:rsidR="00801266">
        <w:rPr>
          <w:sz w:val="24"/>
        </w:rPr>
        <w:t>ction are found at 50 CFR 648.75</w:t>
      </w:r>
      <w:r w:rsidR="000F0C0F">
        <w:rPr>
          <w:sz w:val="24"/>
        </w:rPr>
        <w:t>.</w:t>
      </w:r>
    </w:p>
    <w:p w:rsidR="00A75781" w:rsidRDefault="00A75781" w:rsidP="00FD7BE0">
      <w:pPr>
        <w:rPr>
          <w:sz w:val="24"/>
        </w:rPr>
      </w:pPr>
    </w:p>
    <w:p w:rsidR="00A75781" w:rsidRDefault="00A75781" w:rsidP="00FD7BE0">
      <w:pPr>
        <w:rPr>
          <w:b/>
          <w:sz w:val="24"/>
        </w:rPr>
      </w:pPr>
      <w:r w:rsidRPr="00A75781">
        <w:rPr>
          <w:b/>
          <w:sz w:val="24"/>
        </w:rPr>
        <w:t>Reopened Portion of the G</w:t>
      </w:r>
      <w:r w:rsidR="00484F79">
        <w:rPr>
          <w:b/>
          <w:sz w:val="24"/>
        </w:rPr>
        <w:t xml:space="preserve">eorges </w:t>
      </w:r>
      <w:r w:rsidRPr="00A75781">
        <w:rPr>
          <w:b/>
          <w:sz w:val="24"/>
        </w:rPr>
        <w:t>B</w:t>
      </w:r>
      <w:r w:rsidR="00484F79">
        <w:rPr>
          <w:b/>
          <w:sz w:val="24"/>
        </w:rPr>
        <w:t>ank</w:t>
      </w:r>
      <w:r w:rsidRPr="00A75781">
        <w:rPr>
          <w:b/>
          <w:sz w:val="24"/>
        </w:rPr>
        <w:t xml:space="preserve"> </w:t>
      </w:r>
      <w:r w:rsidR="00484F79">
        <w:rPr>
          <w:b/>
          <w:sz w:val="24"/>
        </w:rPr>
        <w:t xml:space="preserve">(GB) </w:t>
      </w:r>
      <w:r w:rsidRPr="00A75781">
        <w:rPr>
          <w:b/>
          <w:sz w:val="24"/>
        </w:rPr>
        <w:t>Closed Area</w:t>
      </w:r>
      <w:r w:rsidR="002324D4">
        <w:rPr>
          <w:b/>
          <w:sz w:val="24"/>
        </w:rPr>
        <w:t xml:space="preserve"> </w:t>
      </w:r>
    </w:p>
    <w:p w:rsidR="00A75781" w:rsidRDefault="00A75781" w:rsidP="00FD7BE0">
      <w:pPr>
        <w:rPr>
          <w:b/>
          <w:sz w:val="24"/>
        </w:rPr>
      </w:pPr>
    </w:p>
    <w:p w:rsidR="009F00B8" w:rsidRPr="00714C96" w:rsidRDefault="009F00B8" w:rsidP="00FD7BE0">
      <w:pPr>
        <w:rPr>
          <w:sz w:val="24"/>
          <w:szCs w:val="24"/>
        </w:rPr>
      </w:pPr>
      <w:r w:rsidRPr="00714C96">
        <w:rPr>
          <w:sz w:val="24"/>
          <w:szCs w:val="24"/>
        </w:rPr>
        <w:t>The GB Closed Area has been closed to the harvest of surfclams and ocean quahogs since 1990 due to red tide blooms that cause paralytic shellfish poisoning (PSP).  The closure was implemented based on advice from the</w:t>
      </w:r>
      <w:r w:rsidR="0011380C">
        <w:rPr>
          <w:sz w:val="24"/>
          <w:szCs w:val="24"/>
        </w:rPr>
        <w:t xml:space="preserve"> U.S. Food and Drug Administration (</w:t>
      </w:r>
      <w:r w:rsidR="00B32CCB">
        <w:rPr>
          <w:sz w:val="24"/>
          <w:szCs w:val="24"/>
        </w:rPr>
        <w:t>FDA</w:t>
      </w:r>
      <w:r w:rsidR="0011380C">
        <w:rPr>
          <w:sz w:val="24"/>
          <w:szCs w:val="24"/>
        </w:rPr>
        <w:t>)</w:t>
      </w:r>
      <w:r w:rsidRPr="00714C96">
        <w:rPr>
          <w:sz w:val="24"/>
          <w:szCs w:val="24"/>
        </w:rPr>
        <w:t xml:space="preserve">, after samples tested positive for toxins that cause PSP.  Shellfish contaminated with the toxin, if eaten in large enough quantity, can cause illness or death in humans.  </w:t>
      </w:r>
    </w:p>
    <w:p w:rsidR="009F00B8" w:rsidRPr="00714C96" w:rsidRDefault="009F00B8" w:rsidP="00FD7BE0">
      <w:pPr>
        <w:rPr>
          <w:sz w:val="24"/>
          <w:szCs w:val="24"/>
        </w:rPr>
      </w:pPr>
    </w:p>
    <w:p w:rsidR="009F00B8" w:rsidRPr="00714C96" w:rsidRDefault="009F00B8" w:rsidP="00FD7BE0">
      <w:pPr>
        <w:rPr>
          <w:sz w:val="24"/>
          <w:szCs w:val="24"/>
        </w:rPr>
      </w:pPr>
      <w:r w:rsidRPr="00714C96">
        <w:rPr>
          <w:sz w:val="24"/>
          <w:szCs w:val="24"/>
        </w:rPr>
        <w:t>Due to inadequate testing or monitoring of this area for the presence of PSP-causing toxins, the closu</w:t>
      </w:r>
      <w:r w:rsidR="00794627" w:rsidRPr="00714C96">
        <w:rPr>
          <w:sz w:val="24"/>
          <w:szCs w:val="24"/>
        </w:rPr>
        <w:t xml:space="preserve">re was made permanent in 1999.  </w:t>
      </w:r>
      <w:r w:rsidRPr="00714C96">
        <w:rPr>
          <w:sz w:val="24"/>
          <w:szCs w:val="24"/>
        </w:rPr>
        <w:t>NMFS has issued exempted fishing permits (EFPs) since 2008 to surfclam and ocean quahog vessels to conduct research in the closure area.  Testing of clams on GB by the FDA in cooperation with NMFS and the fishing industry under the EFPs demonstrate that PSP toxin levels have been well below the regulatory limit established for public health safety.</w:t>
      </w:r>
      <w:r w:rsidR="00794627" w:rsidRPr="00714C96">
        <w:rPr>
          <w:sz w:val="24"/>
          <w:szCs w:val="24"/>
        </w:rPr>
        <w:t xml:space="preserve">  The FDA, the industry, and </w:t>
      </w:r>
      <w:r w:rsidRPr="00714C96">
        <w:rPr>
          <w:sz w:val="24"/>
          <w:szCs w:val="24"/>
        </w:rPr>
        <w:t>NMFS also developed a Protocol for Onboard Screening and Dockside Testing in Molluscan Shellfish that is designed to test and verify that clams harvested from the GB continue to be safe.  The protocol was formally adopted into the National Shellfish Sanitation Program (NSSP) at the October 2011 Interstate Shellfish Sanitation Conference (ISSC).</w:t>
      </w:r>
    </w:p>
    <w:p w:rsidR="009F00B8" w:rsidRPr="00714C96" w:rsidRDefault="009F00B8" w:rsidP="00FD7BE0">
      <w:pPr>
        <w:rPr>
          <w:b/>
          <w:sz w:val="24"/>
          <w:szCs w:val="24"/>
        </w:rPr>
      </w:pPr>
    </w:p>
    <w:p w:rsidR="009F00B8" w:rsidRDefault="00135F66" w:rsidP="00FD7BE0">
      <w:pPr>
        <w:rPr>
          <w:sz w:val="24"/>
          <w:szCs w:val="24"/>
        </w:rPr>
      </w:pPr>
      <w:r>
        <w:rPr>
          <w:sz w:val="24"/>
          <w:szCs w:val="24"/>
        </w:rPr>
        <w:t>In 2013, NMFS</w:t>
      </w:r>
      <w:r w:rsidR="009F00B8" w:rsidRPr="00714C96">
        <w:rPr>
          <w:sz w:val="24"/>
          <w:szCs w:val="24"/>
        </w:rPr>
        <w:t xml:space="preserve"> reopen</w:t>
      </w:r>
      <w:r>
        <w:rPr>
          <w:sz w:val="24"/>
          <w:szCs w:val="24"/>
        </w:rPr>
        <w:t>ed</w:t>
      </w:r>
      <w:r w:rsidR="009F00B8" w:rsidRPr="00714C96">
        <w:rPr>
          <w:sz w:val="24"/>
          <w:szCs w:val="24"/>
        </w:rPr>
        <w:t xml:space="preserve"> a portion of the existing GB Closed Area for the harvest of surfclams and ocean quahogs at the request of the Mid-Atlantic Fishery Management Council and the industry.  The reopening is based upon the recent adoption of the protocol and the regulatory authority of the NMFS </w:t>
      </w:r>
      <w:r w:rsidR="00484F79">
        <w:rPr>
          <w:sz w:val="24"/>
          <w:szCs w:val="24"/>
        </w:rPr>
        <w:t>Greater Atlantic</w:t>
      </w:r>
      <w:r w:rsidR="009F00B8" w:rsidRPr="00714C96">
        <w:rPr>
          <w:sz w:val="24"/>
          <w:szCs w:val="24"/>
        </w:rPr>
        <w:t xml:space="preserve"> Regional </w:t>
      </w:r>
      <w:r w:rsidR="00484F79">
        <w:rPr>
          <w:sz w:val="24"/>
          <w:szCs w:val="24"/>
        </w:rPr>
        <w:t xml:space="preserve">Fisheries </w:t>
      </w:r>
      <w:r w:rsidR="009F00B8" w:rsidRPr="00714C96">
        <w:rPr>
          <w:sz w:val="24"/>
          <w:szCs w:val="24"/>
        </w:rPr>
        <w:t xml:space="preserve">Office Regional Administrator to impose harvest restrictions when considering reopening PSP closures.  Now that the protocol has been formally adopted, NMFS </w:t>
      </w:r>
      <w:r w:rsidR="00794627" w:rsidRPr="00714C96">
        <w:rPr>
          <w:sz w:val="24"/>
          <w:szCs w:val="24"/>
        </w:rPr>
        <w:t>re</w:t>
      </w:r>
      <w:r w:rsidR="009F00B8" w:rsidRPr="00714C96">
        <w:rPr>
          <w:sz w:val="24"/>
          <w:szCs w:val="24"/>
        </w:rPr>
        <w:t>open</w:t>
      </w:r>
      <w:r w:rsidR="00484F79">
        <w:rPr>
          <w:sz w:val="24"/>
          <w:szCs w:val="24"/>
        </w:rPr>
        <w:t>ed</w:t>
      </w:r>
      <w:r w:rsidR="009F00B8" w:rsidRPr="00714C96">
        <w:rPr>
          <w:sz w:val="24"/>
          <w:szCs w:val="24"/>
        </w:rPr>
        <w:t xml:space="preserve"> a portion of the GB Closed Area with the requirement </w:t>
      </w:r>
      <w:r w:rsidR="009F00B8" w:rsidRPr="00714C96">
        <w:rPr>
          <w:sz w:val="24"/>
          <w:szCs w:val="24"/>
        </w:rPr>
        <w:lastRenderedPageBreak/>
        <w:t>that the protocol be used on all trips into the area.</w:t>
      </w:r>
      <w:r w:rsidR="00794627" w:rsidRPr="00714C96">
        <w:rPr>
          <w:sz w:val="24"/>
          <w:szCs w:val="24"/>
        </w:rPr>
        <w:t xml:space="preserve">  The protocol is necessary to</w:t>
      </w:r>
      <w:r w:rsidR="009F00B8" w:rsidRPr="00714C96">
        <w:rPr>
          <w:sz w:val="24"/>
          <w:szCs w:val="24"/>
        </w:rPr>
        <w:t xml:space="preserve"> ensure shellfish harvested </w:t>
      </w:r>
      <w:r w:rsidR="00714C96" w:rsidRPr="00714C96">
        <w:rPr>
          <w:sz w:val="24"/>
          <w:szCs w:val="24"/>
        </w:rPr>
        <w:t>a</w:t>
      </w:r>
      <w:r w:rsidR="009954EA">
        <w:rPr>
          <w:sz w:val="24"/>
          <w:szCs w:val="24"/>
        </w:rPr>
        <w:t>re safe for human consumption.</w:t>
      </w:r>
    </w:p>
    <w:p w:rsidR="002F4D0F" w:rsidRDefault="002F4D0F" w:rsidP="00FD7BE0">
      <w:pPr>
        <w:rPr>
          <w:b/>
          <w:sz w:val="24"/>
        </w:rPr>
      </w:pPr>
      <w:r>
        <w:rPr>
          <w:b/>
          <w:sz w:val="24"/>
        </w:rPr>
        <w:t xml:space="preserve">2.  </w:t>
      </w:r>
      <w:r>
        <w:rPr>
          <w:b/>
          <w:sz w:val="24"/>
          <w:u w:val="single"/>
        </w:rPr>
        <w:t>Explain how, by whom, how frequently, and for what purpose the information will be used</w:t>
      </w:r>
      <w:r>
        <w:rPr>
          <w:b/>
          <w:sz w:val="24"/>
        </w:rPr>
        <w:t>.</w:t>
      </w:r>
    </w:p>
    <w:p w:rsidR="00714C96" w:rsidRDefault="00714C96" w:rsidP="00FD7BE0">
      <w:pPr>
        <w:rPr>
          <w:b/>
          <w:sz w:val="24"/>
        </w:rPr>
      </w:pPr>
    </w:p>
    <w:p w:rsidR="001F6F13" w:rsidRDefault="001F6F13" w:rsidP="00FD7BE0">
      <w:pPr>
        <w:rPr>
          <w:b/>
          <w:sz w:val="24"/>
        </w:rPr>
      </w:pPr>
      <w:r>
        <w:rPr>
          <w:b/>
          <w:sz w:val="24"/>
        </w:rPr>
        <w:t>ITQ permit application form</w:t>
      </w:r>
    </w:p>
    <w:p w:rsidR="00EE1DDA" w:rsidRDefault="00EE1DDA" w:rsidP="00FD7BE0">
      <w:pPr>
        <w:rPr>
          <w:b/>
          <w:sz w:val="24"/>
        </w:rPr>
      </w:pPr>
    </w:p>
    <w:p w:rsidR="001F6F13" w:rsidRDefault="004A7703" w:rsidP="00FD7BE0">
      <w:pPr>
        <w:rPr>
          <w:b/>
          <w:sz w:val="24"/>
        </w:rPr>
      </w:pPr>
      <w:r w:rsidRPr="0066799A">
        <w:rPr>
          <w:sz w:val="24"/>
        </w:rPr>
        <w:t>In order to receive cage tags, an entity need</w:t>
      </w:r>
      <w:r w:rsidR="00F03C79">
        <w:rPr>
          <w:sz w:val="24"/>
        </w:rPr>
        <w:t>s</w:t>
      </w:r>
      <w:r w:rsidRPr="0066799A">
        <w:rPr>
          <w:sz w:val="24"/>
        </w:rPr>
        <w:t xml:space="preserve"> to have a valid ITQ permit.  This </w:t>
      </w:r>
      <w:r w:rsidR="00B21045" w:rsidRPr="0066799A">
        <w:rPr>
          <w:sz w:val="24"/>
        </w:rPr>
        <w:t xml:space="preserve">application </w:t>
      </w:r>
      <w:r w:rsidRPr="0066799A">
        <w:rPr>
          <w:sz w:val="24"/>
        </w:rPr>
        <w:t xml:space="preserve">form collects standard contact information (name, address, </w:t>
      </w:r>
      <w:r w:rsidR="00B21045" w:rsidRPr="0066799A">
        <w:rPr>
          <w:sz w:val="24"/>
        </w:rPr>
        <w:t>telephone number, email, date of birth</w:t>
      </w:r>
      <w:r w:rsidR="00227396">
        <w:rPr>
          <w:sz w:val="24"/>
        </w:rPr>
        <w:t>,</w:t>
      </w:r>
      <w:r w:rsidR="00B21045" w:rsidRPr="0066799A">
        <w:rPr>
          <w:sz w:val="24"/>
        </w:rPr>
        <w:t xml:space="preserve"> or taxpayer identification number for businesses, and fishing vessel)</w:t>
      </w:r>
      <w:r w:rsidR="00EE1DDA" w:rsidRPr="0066799A">
        <w:rPr>
          <w:sz w:val="24"/>
        </w:rPr>
        <w:t xml:space="preserve"> as well as verification that the entity is eligible to own a documented vessel under the terms of 46 U.S.C. 12103(b), </w:t>
      </w:r>
      <w:r w:rsidR="0066799A" w:rsidRPr="0066799A">
        <w:rPr>
          <w:sz w:val="24"/>
        </w:rPr>
        <w:t xml:space="preserve">General </w:t>
      </w:r>
      <w:r w:rsidR="0066799A">
        <w:rPr>
          <w:sz w:val="24"/>
        </w:rPr>
        <w:t>E</w:t>
      </w:r>
      <w:r w:rsidR="0066799A" w:rsidRPr="0066799A">
        <w:rPr>
          <w:sz w:val="24"/>
        </w:rPr>
        <w:t xml:space="preserve">ligibility </w:t>
      </w:r>
      <w:r w:rsidR="0066799A">
        <w:rPr>
          <w:sz w:val="24"/>
        </w:rPr>
        <w:t>R</w:t>
      </w:r>
      <w:r w:rsidR="0066799A" w:rsidRPr="0066799A">
        <w:rPr>
          <w:sz w:val="24"/>
        </w:rPr>
        <w:t>equirements</w:t>
      </w:r>
      <w:r w:rsidR="00EE1DDA" w:rsidRPr="0066799A">
        <w:rPr>
          <w:sz w:val="24"/>
        </w:rPr>
        <w:t xml:space="preserve">.  This section of the United States Code outlines the U.S. citizenship requirements for </w:t>
      </w:r>
      <w:r w:rsidR="0066799A">
        <w:rPr>
          <w:sz w:val="24"/>
        </w:rPr>
        <w:t xml:space="preserve">owning a vessel that </w:t>
      </w:r>
      <w:r w:rsidR="005A4B68">
        <w:rPr>
          <w:sz w:val="24"/>
        </w:rPr>
        <w:t xml:space="preserve">has been issued a certificate of </w:t>
      </w:r>
      <w:r w:rsidR="005A4B68" w:rsidRPr="0066799A">
        <w:rPr>
          <w:sz w:val="24"/>
        </w:rPr>
        <w:t>document</w:t>
      </w:r>
      <w:r w:rsidR="005A4B68">
        <w:rPr>
          <w:sz w:val="24"/>
        </w:rPr>
        <w:t>ation by</w:t>
      </w:r>
      <w:r w:rsidR="00EE1DDA" w:rsidRPr="0066799A">
        <w:rPr>
          <w:sz w:val="24"/>
        </w:rPr>
        <w:t xml:space="preserve"> the </w:t>
      </w:r>
      <w:r w:rsidR="00227396">
        <w:rPr>
          <w:sz w:val="24"/>
        </w:rPr>
        <w:t>United States</w:t>
      </w:r>
      <w:r w:rsidR="00EE1DDA" w:rsidRPr="0066799A">
        <w:rPr>
          <w:sz w:val="24"/>
        </w:rPr>
        <w:t xml:space="preserve"> Coast Guard</w:t>
      </w:r>
      <w:r w:rsidR="00227396">
        <w:rPr>
          <w:sz w:val="24"/>
        </w:rPr>
        <w:t xml:space="preserve"> (USCG)</w:t>
      </w:r>
      <w:r w:rsidR="00EE1DDA" w:rsidRPr="0066799A">
        <w:rPr>
          <w:sz w:val="24"/>
        </w:rPr>
        <w:t xml:space="preserve">.  </w:t>
      </w:r>
      <w:r w:rsidR="00484F79">
        <w:rPr>
          <w:sz w:val="24"/>
        </w:rPr>
        <w:t>Because</w:t>
      </w:r>
      <w:r w:rsidR="00EE1DDA" w:rsidRPr="0066799A">
        <w:rPr>
          <w:sz w:val="24"/>
        </w:rPr>
        <w:t xml:space="preserve"> the ITQ program conveys certain rights over a natural resource of the U.S., it is required that the allocation owner meet the same citizenship requirements as that required to document a fishing vessel.  This requirement is authorized at 50 </w:t>
      </w:r>
      <w:r w:rsidR="00B21045" w:rsidRPr="0066799A">
        <w:rPr>
          <w:sz w:val="24"/>
        </w:rPr>
        <w:t>CFR</w:t>
      </w:r>
      <w:r w:rsidR="00EE1DDA" w:rsidRPr="0066799A">
        <w:rPr>
          <w:sz w:val="24"/>
        </w:rPr>
        <w:t xml:space="preserve"> 648.74(b</w:t>
      </w:r>
      <w:proofErr w:type="gramStart"/>
      <w:r w:rsidR="00EE1DDA" w:rsidRPr="0066799A">
        <w:rPr>
          <w:sz w:val="24"/>
        </w:rPr>
        <w:t>)(</w:t>
      </w:r>
      <w:proofErr w:type="gramEnd"/>
      <w:r w:rsidR="00EE1DDA" w:rsidRPr="0066799A">
        <w:rPr>
          <w:sz w:val="24"/>
        </w:rPr>
        <w:t xml:space="preserve">1).  </w:t>
      </w:r>
      <w:r w:rsidR="0066799A">
        <w:rPr>
          <w:sz w:val="24"/>
        </w:rPr>
        <w:t xml:space="preserve">If the entity is renewing an existing ITQ permit, the form will be auto-populated with the information NMFS has on file.  The applicant will then just need to review the information to ensure it is still accurate, sign </w:t>
      </w:r>
      <w:r w:rsidR="005A4B68">
        <w:rPr>
          <w:sz w:val="24"/>
        </w:rPr>
        <w:t>the form</w:t>
      </w:r>
      <w:r w:rsidR="0066799A">
        <w:rPr>
          <w:sz w:val="24"/>
        </w:rPr>
        <w:t xml:space="preserve">, and submit </w:t>
      </w:r>
      <w:r w:rsidR="005A4B68">
        <w:rPr>
          <w:sz w:val="24"/>
        </w:rPr>
        <w:t>it to NMFS</w:t>
      </w:r>
      <w:r w:rsidR="0066799A">
        <w:rPr>
          <w:sz w:val="24"/>
        </w:rPr>
        <w:t xml:space="preserve"> in order for the permit to be renewed.</w:t>
      </w:r>
    </w:p>
    <w:p w:rsidR="00EE1DDA" w:rsidRDefault="00EE1DDA" w:rsidP="00FD7BE0">
      <w:pPr>
        <w:rPr>
          <w:b/>
          <w:sz w:val="24"/>
        </w:rPr>
      </w:pPr>
    </w:p>
    <w:p w:rsidR="001F6F13" w:rsidRDefault="001F6F13" w:rsidP="00FD7BE0">
      <w:pPr>
        <w:rPr>
          <w:b/>
          <w:sz w:val="24"/>
        </w:rPr>
      </w:pPr>
      <w:r>
        <w:rPr>
          <w:b/>
          <w:sz w:val="24"/>
        </w:rPr>
        <w:t>ITQ ownership form</w:t>
      </w:r>
    </w:p>
    <w:p w:rsidR="001F6F13" w:rsidRDefault="001F6F13" w:rsidP="00FD7BE0">
      <w:pPr>
        <w:rPr>
          <w:b/>
          <w:sz w:val="24"/>
        </w:rPr>
      </w:pPr>
    </w:p>
    <w:p w:rsidR="00EE1DDA" w:rsidRPr="00B21045" w:rsidRDefault="00B21045" w:rsidP="00FD7BE0">
      <w:pPr>
        <w:rPr>
          <w:sz w:val="24"/>
        </w:rPr>
      </w:pPr>
      <w:r w:rsidRPr="00B21045">
        <w:rPr>
          <w:sz w:val="24"/>
        </w:rPr>
        <w:t xml:space="preserve">The information on the ITQ ownership form is used by NMFS to identify </w:t>
      </w:r>
      <w:r>
        <w:rPr>
          <w:sz w:val="24"/>
        </w:rPr>
        <w:t>individuals who may hold ITQ allocation through multiple businesses</w:t>
      </w:r>
      <w:r w:rsidR="005A4B68">
        <w:rPr>
          <w:sz w:val="24"/>
        </w:rPr>
        <w:t xml:space="preserve"> or th</w:t>
      </w:r>
      <w:r w:rsidR="00227396">
        <w:rPr>
          <w:sz w:val="24"/>
        </w:rPr>
        <w:t>r</w:t>
      </w:r>
      <w:r w:rsidR="005A4B68">
        <w:rPr>
          <w:sz w:val="24"/>
        </w:rPr>
        <w:t>ough members of their immediate family</w:t>
      </w:r>
      <w:r>
        <w:rPr>
          <w:sz w:val="24"/>
        </w:rPr>
        <w:t xml:space="preserve">.  This is necessary in order to determine the current level of potential control any single person or entity </w:t>
      </w:r>
      <w:r w:rsidR="0066799A">
        <w:rPr>
          <w:sz w:val="24"/>
        </w:rPr>
        <w:t xml:space="preserve">can exert on the fishery. </w:t>
      </w:r>
      <w:r w:rsidR="00C01F7E">
        <w:rPr>
          <w:sz w:val="24"/>
        </w:rPr>
        <w:t xml:space="preserve"> </w:t>
      </w:r>
      <w:r w:rsidR="005A4B68">
        <w:rPr>
          <w:sz w:val="24"/>
        </w:rPr>
        <w:t>Some allocations are held by banks, which have taken possession of the quota share as collateral on a loan.  The form includes questions to identify when a bank holds quota share, but does not control how the cage tags are used.  In these cases, the detailed ownership information will be collected from the borrower rather than from the bank.  Like the ITQ permit application, this form need</w:t>
      </w:r>
      <w:r w:rsidR="00F03C79">
        <w:rPr>
          <w:sz w:val="24"/>
        </w:rPr>
        <w:t>s</w:t>
      </w:r>
      <w:r w:rsidR="005A4B68">
        <w:rPr>
          <w:sz w:val="24"/>
        </w:rPr>
        <w:t xml:space="preserve"> to be submitted annually, but after the first year the applicant will only have to identify changes from the information previously submitted.</w:t>
      </w:r>
      <w:r w:rsidR="00C01F7E">
        <w:rPr>
          <w:sz w:val="24"/>
        </w:rPr>
        <w:t xml:space="preserve">  Signatures are required to </w:t>
      </w:r>
      <w:r w:rsidR="00227396">
        <w:rPr>
          <w:sz w:val="24"/>
        </w:rPr>
        <w:t>e</w:t>
      </w:r>
      <w:r w:rsidR="00C01F7E">
        <w:rPr>
          <w:sz w:val="24"/>
        </w:rPr>
        <w:t xml:space="preserve">nsure that the information is complete and accurate. </w:t>
      </w:r>
      <w:r w:rsidR="00C01F7E" w:rsidRPr="00C01F7E">
        <w:t xml:space="preserve"> </w:t>
      </w:r>
      <w:r w:rsidR="00C01F7E" w:rsidRPr="00C01F7E">
        <w:rPr>
          <w:sz w:val="24"/>
        </w:rPr>
        <w:t xml:space="preserve">This information </w:t>
      </w:r>
      <w:r w:rsidR="00C01F7E">
        <w:rPr>
          <w:sz w:val="24"/>
        </w:rPr>
        <w:t>is necessary for</w:t>
      </w:r>
      <w:r w:rsidR="00C01F7E" w:rsidRPr="00C01F7E">
        <w:rPr>
          <w:sz w:val="24"/>
        </w:rPr>
        <w:t xml:space="preserve"> </w:t>
      </w:r>
      <w:r w:rsidR="00C01F7E">
        <w:rPr>
          <w:sz w:val="24"/>
        </w:rPr>
        <w:t xml:space="preserve">NMFS to identify </w:t>
      </w:r>
      <w:r w:rsidR="00FD68CB">
        <w:rPr>
          <w:sz w:val="24"/>
        </w:rPr>
        <w:t>and track individuals who hold an</w:t>
      </w:r>
      <w:r w:rsidR="00C01F7E">
        <w:rPr>
          <w:sz w:val="24"/>
        </w:rPr>
        <w:t xml:space="preserve"> </w:t>
      </w:r>
      <w:r w:rsidR="00FD68CB">
        <w:rPr>
          <w:sz w:val="24"/>
        </w:rPr>
        <w:t>exclusive</w:t>
      </w:r>
      <w:r w:rsidR="00C01F7E">
        <w:rPr>
          <w:sz w:val="24"/>
        </w:rPr>
        <w:t xml:space="preserve"> </w:t>
      </w:r>
      <w:r w:rsidR="00FD68CB">
        <w:rPr>
          <w:sz w:val="24"/>
        </w:rPr>
        <w:t>privilege to harvest a natural resource.  The information will also be</w:t>
      </w:r>
      <w:r w:rsidR="00C01F7E">
        <w:rPr>
          <w:sz w:val="24"/>
        </w:rPr>
        <w:t xml:space="preserve"> use</w:t>
      </w:r>
      <w:r w:rsidR="00FD68CB">
        <w:rPr>
          <w:sz w:val="24"/>
        </w:rPr>
        <w:t>d</w:t>
      </w:r>
      <w:r w:rsidR="00C01F7E">
        <w:rPr>
          <w:sz w:val="24"/>
        </w:rPr>
        <w:t xml:space="preserve"> by </w:t>
      </w:r>
      <w:r w:rsidR="00C01F7E" w:rsidRPr="00C01F7E">
        <w:rPr>
          <w:sz w:val="24"/>
        </w:rPr>
        <w:t xml:space="preserve">the Mid-Atlantic Fishery Management Council </w:t>
      </w:r>
      <w:r w:rsidR="00C01F7E">
        <w:rPr>
          <w:sz w:val="24"/>
        </w:rPr>
        <w:t>for the development and monitoring of</w:t>
      </w:r>
      <w:r w:rsidR="00C01F7E" w:rsidRPr="00C01F7E">
        <w:rPr>
          <w:sz w:val="24"/>
        </w:rPr>
        <w:t xml:space="preserve"> an excessive share cap in this fishery.  </w:t>
      </w:r>
      <w:r w:rsidR="00E02850">
        <w:rPr>
          <w:sz w:val="24"/>
        </w:rPr>
        <w:t>The Magnuson-Stevens Act requires the Council to set an excessive share cap.</w:t>
      </w:r>
    </w:p>
    <w:p w:rsidR="00EE1DDA" w:rsidRDefault="00EE1DDA" w:rsidP="00FD7BE0">
      <w:pPr>
        <w:rPr>
          <w:b/>
          <w:sz w:val="24"/>
        </w:rPr>
      </w:pPr>
    </w:p>
    <w:p w:rsidR="00714C96" w:rsidRDefault="00714C96" w:rsidP="00DB27DD">
      <w:pPr>
        <w:keepNext/>
        <w:rPr>
          <w:sz w:val="24"/>
        </w:rPr>
      </w:pPr>
      <w:r>
        <w:rPr>
          <w:b/>
          <w:sz w:val="24"/>
        </w:rPr>
        <w:t>ITQ transfer form</w:t>
      </w:r>
    </w:p>
    <w:p w:rsidR="00A43DD5" w:rsidRDefault="00A43DD5" w:rsidP="00DB27DD">
      <w:pPr>
        <w:keepNext/>
        <w:rPr>
          <w:sz w:val="24"/>
        </w:rPr>
      </w:pPr>
    </w:p>
    <w:p w:rsidR="00C01F7E" w:rsidRDefault="0055431E" w:rsidP="00DB27DD">
      <w:pPr>
        <w:keepNext/>
        <w:rPr>
          <w:sz w:val="24"/>
        </w:rPr>
      </w:pPr>
      <w:r w:rsidRPr="00C01F7E">
        <w:rPr>
          <w:sz w:val="24"/>
        </w:rPr>
        <w:t>The information on the ITQ transfer form is used by NMFS to maintain a proper accounting of an individual or corporation’s quota share.</w:t>
      </w:r>
      <w:r w:rsidR="00F728FD" w:rsidRPr="00C01F7E">
        <w:rPr>
          <w:sz w:val="24"/>
        </w:rPr>
        <w:t xml:space="preserve">  Specific questions on the form include the type of transfer requested (permanent or temporary), the name and ITQ allocation numbers of the transferor and the transferee, and the cage tags requested to be transferred.  These data fields are necessary in order to identify the companies or individuals and ITQ tag</w:t>
      </w:r>
      <w:r w:rsidR="00801266" w:rsidRPr="00C01F7E">
        <w:rPr>
          <w:sz w:val="24"/>
        </w:rPr>
        <w:t xml:space="preserve">s involved in the </w:t>
      </w:r>
      <w:r w:rsidR="00801266" w:rsidRPr="00C01F7E">
        <w:rPr>
          <w:sz w:val="24"/>
        </w:rPr>
        <w:lastRenderedPageBreak/>
        <w:t>transaction.</w:t>
      </w:r>
      <w:r w:rsidR="005A4B68" w:rsidRPr="00C01F7E">
        <w:rPr>
          <w:sz w:val="24"/>
        </w:rPr>
        <w:t xml:space="preserve">  </w:t>
      </w:r>
      <w:r w:rsidR="00C01F7E" w:rsidRPr="00C01F7E">
        <w:rPr>
          <w:sz w:val="24"/>
        </w:rPr>
        <w:t xml:space="preserve">Both parties involved in the transfer, or their authorized agents, are required to sign the form.  </w:t>
      </w:r>
    </w:p>
    <w:p w:rsidR="00C01F7E" w:rsidRDefault="00C01F7E" w:rsidP="00FD7BE0">
      <w:pPr>
        <w:rPr>
          <w:sz w:val="24"/>
        </w:rPr>
      </w:pPr>
    </w:p>
    <w:p w:rsidR="0051374E" w:rsidRPr="001F6F13" w:rsidRDefault="005A4B68" w:rsidP="00FD7BE0">
      <w:pPr>
        <w:rPr>
          <w:sz w:val="24"/>
          <w:highlight w:val="lightGray"/>
        </w:rPr>
      </w:pPr>
      <w:r w:rsidRPr="00C01F7E">
        <w:rPr>
          <w:sz w:val="24"/>
        </w:rPr>
        <w:t xml:space="preserve">This </w:t>
      </w:r>
      <w:r w:rsidR="00F03C79">
        <w:rPr>
          <w:sz w:val="24"/>
        </w:rPr>
        <w:t xml:space="preserve">form includes </w:t>
      </w:r>
      <w:r w:rsidRPr="00C01F7E">
        <w:rPr>
          <w:sz w:val="24"/>
        </w:rPr>
        <w:t xml:space="preserve">additional questions to determine how much was paid for the transfer, whether the transfer is part of a long-term contract, and </w:t>
      </w:r>
      <w:r w:rsidR="00C01F7E" w:rsidRPr="00C01F7E">
        <w:rPr>
          <w:sz w:val="24"/>
        </w:rPr>
        <w:t xml:space="preserve">any other conditions that have been placed on the transfer.  This information is needed to accurately track how allocation is controlled in these fisheries.  This information is necessary for use by the Mid-Atlantic Fishery Management Council for the development and monitoring of an excessive share cap in this fishery.  </w:t>
      </w:r>
    </w:p>
    <w:p w:rsidR="0055431E" w:rsidRDefault="0055431E" w:rsidP="00FD7BE0">
      <w:pPr>
        <w:rPr>
          <w:sz w:val="24"/>
        </w:rPr>
      </w:pPr>
    </w:p>
    <w:p w:rsidR="00714C96" w:rsidRPr="00714C96" w:rsidRDefault="00714C96" w:rsidP="00FD7BE0">
      <w:pPr>
        <w:rPr>
          <w:b/>
          <w:sz w:val="24"/>
        </w:rPr>
      </w:pPr>
      <w:r w:rsidRPr="00714C96">
        <w:rPr>
          <w:b/>
          <w:sz w:val="24"/>
        </w:rPr>
        <w:t>Shucking clams at sea</w:t>
      </w:r>
    </w:p>
    <w:p w:rsidR="00714C96" w:rsidRDefault="00714C96" w:rsidP="00FD7BE0">
      <w:pPr>
        <w:rPr>
          <w:sz w:val="24"/>
        </w:rPr>
      </w:pPr>
    </w:p>
    <w:p w:rsidR="0055431E" w:rsidRDefault="0055431E" w:rsidP="00FD7BE0">
      <w:pPr>
        <w:rPr>
          <w:sz w:val="24"/>
        </w:rPr>
      </w:pPr>
      <w:r>
        <w:rPr>
          <w:sz w:val="24"/>
        </w:rPr>
        <w:t xml:space="preserve">The information contained in the application to shuck product at sea is used by the NMFS to evaluate if the process used to shuck at sea allows for the proper accounting of the harvest in terms of </w:t>
      </w:r>
      <w:proofErr w:type="spellStart"/>
      <w:r>
        <w:rPr>
          <w:sz w:val="24"/>
        </w:rPr>
        <w:t>unshucked</w:t>
      </w:r>
      <w:proofErr w:type="spellEnd"/>
      <w:r>
        <w:rPr>
          <w:sz w:val="24"/>
        </w:rPr>
        <w:t xml:space="preserve"> bushels, which is the measure used to monitor the quota.  The NMFS-approved observer is necessary to certify the information reported in the vessel’s shellfish logbook.</w:t>
      </w:r>
      <w:r w:rsidR="00AA704F">
        <w:rPr>
          <w:sz w:val="24"/>
        </w:rPr>
        <w:t xml:space="preserve">  Information requested includes the applicant</w:t>
      </w:r>
      <w:r w:rsidR="0051374E">
        <w:rPr>
          <w:sz w:val="24"/>
        </w:rPr>
        <w:t>’</w:t>
      </w:r>
      <w:r w:rsidR="00AA704F">
        <w:rPr>
          <w:sz w:val="24"/>
        </w:rPr>
        <w:t>s contact information (name, address, and ITQ allocation number), specifications of the harvesting vessel, and accommodations for the observer.  Specification</w:t>
      </w:r>
      <w:r w:rsidR="0051374E">
        <w:rPr>
          <w:sz w:val="24"/>
        </w:rPr>
        <w:t>s</w:t>
      </w:r>
      <w:r w:rsidR="00AA704F">
        <w:rPr>
          <w:sz w:val="24"/>
        </w:rPr>
        <w:t xml:space="preserve"> on the harvesting vessel and the harvesting process are required in order to evaluate if the operations facilitate the proper accounting of harvested </w:t>
      </w:r>
      <w:proofErr w:type="spellStart"/>
      <w:r w:rsidR="00AA704F">
        <w:rPr>
          <w:sz w:val="24"/>
        </w:rPr>
        <w:t>unshucked</w:t>
      </w:r>
      <w:proofErr w:type="spellEnd"/>
      <w:r w:rsidR="00AA704F">
        <w:rPr>
          <w:sz w:val="24"/>
        </w:rPr>
        <w:t xml:space="preserve"> product</w:t>
      </w:r>
      <w:r w:rsidR="00157693">
        <w:rPr>
          <w:sz w:val="24"/>
        </w:rPr>
        <w:t>.  As mentioned previously</w:t>
      </w:r>
      <w:r w:rsidR="0051374E">
        <w:rPr>
          <w:sz w:val="24"/>
        </w:rPr>
        <w:t>,</w:t>
      </w:r>
      <w:r w:rsidR="00157693">
        <w:rPr>
          <w:sz w:val="24"/>
        </w:rPr>
        <w:t xml:space="preserve"> the quota</w:t>
      </w:r>
      <w:r w:rsidR="00C73E2A">
        <w:rPr>
          <w:sz w:val="24"/>
        </w:rPr>
        <w:t>s</w:t>
      </w:r>
      <w:r w:rsidR="00157693">
        <w:rPr>
          <w:sz w:val="24"/>
        </w:rPr>
        <w:t xml:space="preserve"> are monitored and enforced using </w:t>
      </w:r>
      <w:proofErr w:type="spellStart"/>
      <w:r w:rsidR="00157693">
        <w:rPr>
          <w:sz w:val="24"/>
        </w:rPr>
        <w:t>unshucked</w:t>
      </w:r>
      <w:proofErr w:type="spellEnd"/>
      <w:r w:rsidR="00157693">
        <w:rPr>
          <w:sz w:val="24"/>
        </w:rPr>
        <w:t xml:space="preserve"> bushels.  Thus any authorization to deviate from this method of accounting needs to be thoroughly evaluated.  Since a NMFS-approved observer is required to certify the vessel’s shellfish logbook</w:t>
      </w:r>
      <w:r w:rsidR="0051374E">
        <w:rPr>
          <w:sz w:val="24"/>
        </w:rPr>
        <w:t>,</w:t>
      </w:r>
      <w:r w:rsidR="00157693">
        <w:rPr>
          <w:sz w:val="24"/>
        </w:rPr>
        <w:t xml:space="preserve"> NMFS requires that suitable accommodations for the observer are available on the vessel.</w:t>
      </w:r>
    </w:p>
    <w:p w:rsidR="00714C96" w:rsidRDefault="00714C96" w:rsidP="00FD7BE0">
      <w:pPr>
        <w:rPr>
          <w:sz w:val="24"/>
        </w:rPr>
      </w:pPr>
    </w:p>
    <w:p w:rsidR="00714C96" w:rsidRDefault="00714C96" w:rsidP="00FD7BE0">
      <w:pPr>
        <w:keepNext/>
        <w:rPr>
          <w:b/>
          <w:sz w:val="24"/>
        </w:rPr>
      </w:pPr>
      <w:r w:rsidRPr="00A75781">
        <w:rPr>
          <w:b/>
          <w:sz w:val="24"/>
        </w:rPr>
        <w:t>Reopened Portion of the GB Closed Area</w:t>
      </w:r>
      <w:r>
        <w:rPr>
          <w:b/>
          <w:sz w:val="24"/>
        </w:rPr>
        <w:t xml:space="preserve"> </w:t>
      </w:r>
    </w:p>
    <w:p w:rsidR="0055431E" w:rsidRDefault="0055431E" w:rsidP="00FD7BE0">
      <w:pPr>
        <w:keepNext/>
        <w:rPr>
          <w:sz w:val="24"/>
        </w:rPr>
      </w:pPr>
    </w:p>
    <w:p w:rsidR="00F237F3" w:rsidRPr="00FD68CB" w:rsidRDefault="006256D1" w:rsidP="00FD7BE0">
      <w:pPr>
        <w:keepNext/>
        <w:rPr>
          <w:sz w:val="24"/>
        </w:rPr>
      </w:pPr>
      <w:r w:rsidRPr="00FD68CB">
        <w:rPr>
          <w:sz w:val="24"/>
        </w:rPr>
        <w:t xml:space="preserve">The results from the testing protocol will be used regularly by a number of entities including the harvesters, the </w:t>
      </w:r>
      <w:r w:rsidR="0011380C" w:rsidRPr="00FD68CB">
        <w:rPr>
          <w:sz w:val="24"/>
        </w:rPr>
        <w:t>FDA</w:t>
      </w:r>
      <w:r w:rsidRPr="00FD68CB">
        <w:rPr>
          <w:sz w:val="24"/>
        </w:rPr>
        <w:t xml:space="preserve">, </w:t>
      </w:r>
      <w:r w:rsidR="00D57E6E" w:rsidRPr="00FD68CB">
        <w:rPr>
          <w:sz w:val="24"/>
        </w:rPr>
        <w:t xml:space="preserve">laboratories, seafood </w:t>
      </w:r>
      <w:r w:rsidRPr="00FD68CB">
        <w:rPr>
          <w:sz w:val="24"/>
        </w:rPr>
        <w:t>dealers, the State Shellfish Control Authority</w:t>
      </w:r>
      <w:r w:rsidR="00752FB6" w:rsidRPr="00FD68CB">
        <w:rPr>
          <w:sz w:val="24"/>
        </w:rPr>
        <w:t xml:space="preserve"> (SSCA)</w:t>
      </w:r>
      <w:r w:rsidRPr="00FD68CB">
        <w:rPr>
          <w:sz w:val="24"/>
        </w:rPr>
        <w:t xml:space="preserve"> in the state of landing</w:t>
      </w:r>
      <w:r w:rsidR="008B2DC7" w:rsidRPr="00FD68CB">
        <w:rPr>
          <w:sz w:val="24"/>
        </w:rPr>
        <w:t>, and possibly the general public as well</w:t>
      </w:r>
      <w:r w:rsidR="00F8296F" w:rsidRPr="00FD68CB">
        <w:rPr>
          <w:sz w:val="24"/>
        </w:rPr>
        <w:t xml:space="preserve"> to assist with the coordination, testing, and monitoring of shellfish harvested from the reopened area</w:t>
      </w:r>
      <w:r w:rsidRPr="00FD68CB">
        <w:rPr>
          <w:sz w:val="24"/>
        </w:rPr>
        <w:t>.  Although a number of entities may use the information, they will all essentially be utilizin</w:t>
      </w:r>
      <w:r w:rsidR="00B32CCB" w:rsidRPr="00FD68CB">
        <w:rPr>
          <w:sz w:val="24"/>
        </w:rPr>
        <w:t>g the data for the same purpose:</w:t>
      </w:r>
      <w:r w:rsidRPr="00FD68CB">
        <w:rPr>
          <w:sz w:val="24"/>
        </w:rPr>
        <w:t xml:space="preserve"> to determine if shellfish harvested are safe for human consumption.  Seconda</w:t>
      </w:r>
      <w:r w:rsidR="008B2DC7" w:rsidRPr="00FD68CB">
        <w:rPr>
          <w:sz w:val="24"/>
        </w:rPr>
        <w:t>rily, data obtained from test</w:t>
      </w:r>
      <w:r w:rsidRPr="00FD68CB">
        <w:rPr>
          <w:sz w:val="24"/>
        </w:rPr>
        <w:t xml:space="preserve"> results may also be archived and further analyzed to assist in determining if additional areas are suitable for reopening or if there should be additional closures.</w:t>
      </w:r>
      <w:r w:rsidR="00F237F3" w:rsidRPr="00FD68CB">
        <w:rPr>
          <w:sz w:val="24"/>
        </w:rPr>
        <w:t xml:space="preserve">  The following information </w:t>
      </w:r>
      <w:r w:rsidR="00F8296F" w:rsidRPr="00FD68CB">
        <w:rPr>
          <w:sz w:val="24"/>
        </w:rPr>
        <w:t>is required under the protocol</w:t>
      </w:r>
      <w:r w:rsidR="00EE4809">
        <w:rPr>
          <w:sz w:val="24"/>
        </w:rPr>
        <w:t xml:space="preserve"> (detailed instructions available at</w:t>
      </w:r>
      <w:r w:rsidR="00EE4809" w:rsidRPr="00EE4809">
        <w:t xml:space="preserve"> </w:t>
      </w:r>
      <w:r w:rsidR="00EE4809" w:rsidRPr="00EE4809">
        <w:rPr>
          <w:sz w:val="24"/>
        </w:rPr>
        <w:t>www.greateratlantic.fisheries.noaa.gov/sfd/clams/ApprovedProtocol.pdf</w:t>
      </w:r>
      <w:proofErr w:type="gramStart"/>
      <w:r w:rsidR="00EE4809">
        <w:rPr>
          <w:sz w:val="24"/>
        </w:rPr>
        <w:t xml:space="preserve">) </w:t>
      </w:r>
      <w:r w:rsidR="00F8296F" w:rsidRPr="00FD68CB">
        <w:rPr>
          <w:sz w:val="24"/>
        </w:rPr>
        <w:t>:</w:t>
      </w:r>
      <w:proofErr w:type="gramEnd"/>
    </w:p>
    <w:p w:rsidR="00F237F3" w:rsidRPr="00FD68CB" w:rsidRDefault="00F237F3" w:rsidP="00FD7BE0">
      <w:pPr>
        <w:rPr>
          <w:sz w:val="24"/>
        </w:rPr>
      </w:pPr>
    </w:p>
    <w:p w:rsidR="00F8296F" w:rsidRPr="00FD68CB" w:rsidRDefault="00F8296F" w:rsidP="00FD7BE0">
      <w:pPr>
        <w:numPr>
          <w:ilvl w:val="0"/>
          <w:numId w:val="3"/>
        </w:numPr>
        <w:rPr>
          <w:sz w:val="24"/>
        </w:rPr>
      </w:pPr>
      <w:r w:rsidRPr="00FD68CB">
        <w:rPr>
          <w:sz w:val="24"/>
        </w:rPr>
        <w:t>Submission of concurrence from state of landing</w:t>
      </w:r>
      <w:r w:rsidR="00484F79">
        <w:rPr>
          <w:sz w:val="24"/>
        </w:rPr>
        <w:t>;</w:t>
      </w:r>
    </w:p>
    <w:p w:rsidR="00F8296F" w:rsidRPr="00FD68CB" w:rsidRDefault="00227396" w:rsidP="00FD7BE0">
      <w:pPr>
        <w:numPr>
          <w:ilvl w:val="0"/>
          <w:numId w:val="3"/>
        </w:numPr>
        <w:rPr>
          <w:sz w:val="24"/>
        </w:rPr>
      </w:pPr>
      <w:r>
        <w:rPr>
          <w:sz w:val="24"/>
        </w:rPr>
        <w:t>Maintenance and submission of</w:t>
      </w:r>
      <w:r w:rsidR="00F8296F" w:rsidRPr="00FD68CB">
        <w:rPr>
          <w:sz w:val="24"/>
        </w:rPr>
        <w:t xml:space="preserve"> harvest records</w:t>
      </w:r>
      <w:r w:rsidR="00484F79">
        <w:rPr>
          <w:sz w:val="24"/>
        </w:rPr>
        <w:t>;</w:t>
      </w:r>
    </w:p>
    <w:p w:rsidR="00F8296F" w:rsidRPr="00FD68CB" w:rsidRDefault="00227396" w:rsidP="00FD7BE0">
      <w:pPr>
        <w:numPr>
          <w:ilvl w:val="0"/>
          <w:numId w:val="3"/>
        </w:numPr>
        <w:rPr>
          <w:sz w:val="24"/>
        </w:rPr>
      </w:pPr>
      <w:r>
        <w:rPr>
          <w:sz w:val="24"/>
        </w:rPr>
        <w:t>Compilation</w:t>
      </w:r>
      <w:r w:rsidR="00F8296F" w:rsidRPr="00FD68CB">
        <w:rPr>
          <w:sz w:val="24"/>
        </w:rPr>
        <w:t xml:space="preserve"> and submi</w:t>
      </w:r>
      <w:r>
        <w:rPr>
          <w:sz w:val="24"/>
        </w:rPr>
        <w:t>ssion of</w:t>
      </w:r>
      <w:r w:rsidR="00F8296F" w:rsidRPr="00FD68CB">
        <w:rPr>
          <w:sz w:val="24"/>
        </w:rPr>
        <w:t xml:space="preserve"> laboratory test results</w:t>
      </w:r>
      <w:r w:rsidR="00484F79">
        <w:rPr>
          <w:sz w:val="24"/>
        </w:rPr>
        <w:t>;</w:t>
      </w:r>
    </w:p>
    <w:p w:rsidR="00F8296F" w:rsidRPr="00FD68CB" w:rsidRDefault="00F8296F" w:rsidP="00FD7BE0">
      <w:pPr>
        <w:numPr>
          <w:ilvl w:val="0"/>
          <w:numId w:val="3"/>
        </w:numPr>
        <w:rPr>
          <w:sz w:val="24"/>
        </w:rPr>
      </w:pPr>
      <w:r w:rsidRPr="00FD68CB">
        <w:rPr>
          <w:sz w:val="24"/>
        </w:rPr>
        <w:t>Crea</w:t>
      </w:r>
      <w:r w:rsidR="00227396">
        <w:rPr>
          <w:sz w:val="24"/>
        </w:rPr>
        <w:t>tion and maintenance of</w:t>
      </w:r>
      <w:r w:rsidRPr="00FD68CB">
        <w:rPr>
          <w:sz w:val="24"/>
        </w:rPr>
        <w:t xml:space="preserve"> a written onboard lot segregation plan</w:t>
      </w:r>
      <w:r w:rsidR="00484F79">
        <w:rPr>
          <w:sz w:val="24"/>
        </w:rPr>
        <w:t>; and</w:t>
      </w:r>
    </w:p>
    <w:p w:rsidR="00F8296F" w:rsidRPr="00FD68CB" w:rsidRDefault="00227396" w:rsidP="00FD7BE0">
      <w:pPr>
        <w:numPr>
          <w:ilvl w:val="0"/>
          <w:numId w:val="3"/>
        </w:numPr>
        <w:rPr>
          <w:sz w:val="24"/>
        </w:rPr>
      </w:pPr>
      <w:r>
        <w:rPr>
          <w:sz w:val="24"/>
        </w:rPr>
        <w:t>Provision of</w:t>
      </w:r>
      <w:r w:rsidR="00F8296F" w:rsidRPr="00FD68CB">
        <w:rPr>
          <w:sz w:val="24"/>
        </w:rPr>
        <w:t xml:space="preserve"> notification prior to unloading.  </w:t>
      </w:r>
    </w:p>
    <w:p w:rsidR="00A43DD5" w:rsidRPr="00FD68CB" w:rsidRDefault="00A43DD5" w:rsidP="00FD7BE0">
      <w:pPr>
        <w:rPr>
          <w:sz w:val="24"/>
        </w:rPr>
      </w:pPr>
    </w:p>
    <w:p w:rsidR="00A43DD5" w:rsidRPr="00A43DD5" w:rsidRDefault="00484F79" w:rsidP="00FD7BE0">
      <w:pPr>
        <w:rPr>
          <w:sz w:val="24"/>
          <w:szCs w:val="24"/>
        </w:rPr>
      </w:pPr>
      <w:r>
        <w:rPr>
          <w:sz w:val="24"/>
          <w:szCs w:val="24"/>
        </w:rPr>
        <w:t xml:space="preserve">NMFS </w:t>
      </w:r>
      <w:r w:rsidR="00A43DD5" w:rsidRPr="00FD68CB">
        <w:rPr>
          <w:sz w:val="24"/>
          <w:szCs w:val="24"/>
        </w:rPr>
        <w:t>retain</w:t>
      </w:r>
      <w:r w:rsidR="001F6F13" w:rsidRPr="00FD68CB">
        <w:rPr>
          <w:sz w:val="24"/>
          <w:szCs w:val="24"/>
        </w:rPr>
        <w:t>s</w:t>
      </w:r>
      <w:r w:rsidR="00A43DD5" w:rsidRPr="00FD68CB">
        <w:rPr>
          <w:sz w:val="24"/>
          <w:szCs w:val="24"/>
        </w:rPr>
        <w:t xml:space="preserve"> control over the information and safeguard</w:t>
      </w:r>
      <w:r w:rsidR="001F6F13" w:rsidRPr="00FD68CB">
        <w:rPr>
          <w:sz w:val="24"/>
          <w:szCs w:val="24"/>
        </w:rPr>
        <w:t>s</w:t>
      </w:r>
      <w:r w:rsidR="00A43DD5" w:rsidRPr="00FD68CB">
        <w:rPr>
          <w:sz w:val="24"/>
          <w:szCs w:val="24"/>
        </w:rPr>
        <w:t xml:space="preserve"> it from improper access, modification, and destruction, consistent with NOAA standards for confidentiality, privacy, and electronic </w:t>
      </w:r>
      <w:r w:rsidR="00A43DD5" w:rsidRPr="00FD68CB">
        <w:rPr>
          <w:sz w:val="24"/>
          <w:szCs w:val="24"/>
        </w:rPr>
        <w:lastRenderedPageBreak/>
        <w:t>information.</w:t>
      </w:r>
      <w:r w:rsidR="001F6F13" w:rsidRPr="00FD68CB">
        <w:rPr>
          <w:sz w:val="24"/>
          <w:szCs w:val="24"/>
        </w:rPr>
        <w:t xml:space="preserve"> </w:t>
      </w:r>
      <w:r w:rsidR="00A43DD5" w:rsidRPr="00FD68CB">
        <w:rPr>
          <w:sz w:val="24"/>
          <w:szCs w:val="24"/>
        </w:rPr>
        <w:t xml:space="preserve"> See response to Question 10 of this Supporting Statement for more information on confidentiality and privacy. The information collection is designed to yield data that meet all applicable information quality guidelines. </w:t>
      </w:r>
      <w:r w:rsidR="00237D20">
        <w:rPr>
          <w:sz w:val="24"/>
          <w:szCs w:val="24"/>
        </w:rPr>
        <w:t xml:space="preserve"> </w:t>
      </w:r>
      <w:r w:rsidR="00A43DD5" w:rsidRPr="00FD68CB">
        <w:rPr>
          <w:sz w:val="24"/>
          <w:szCs w:val="24"/>
        </w:rPr>
        <w:t>Although the information collected is not expected to be disseminated directly to the public, results may be used in scientific, management, technical</w:t>
      </w:r>
      <w:r>
        <w:rPr>
          <w:sz w:val="24"/>
          <w:szCs w:val="24"/>
        </w:rPr>
        <w:t>,</w:t>
      </w:r>
      <w:r w:rsidR="00A43DD5" w:rsidRPr="00FD68CB">
        <w:rPr>
          <w:sz w:val="24"/>
          <w:szCs w:val="24"/>
        </w:rPr>
        <w:t xml:space="preserve"> or general informational publications. </w:t>
      </w:r>
      <w:r w:rsidR="00DB27DD">
        <w:rPr>
          <w:sz w:val="24"/>
          <w:szCs w:val="24"/>
        </w:rPr>
        <w:t xml:space="preserve"> </w:t>
      </w:r>
      <w:r w:rsidR="00A43DD5" w:rsidRPr="00FD68CB">
        <w:rPr>
          <w:sz w:val="24"/>
          <w:szCs w:val="24"/>
        </w:rPr>
        <w:t xml:space="preserve">Should </w:t>
      </w:r>
      <w:r>
        <w:rPr>
          <w:sz w:val="24"/>
          <w:szCs w:val="24"/>
        </w:rPr>
        <w:t>NMFS</w:t>
      </w:r>
      <w:r w:rsidR="00A43DD5" w:rsidRPr="00FD68CB">
        <w:rPr>
          <w:sz w:val="24"/>
          <w:szCs w:val="24"/>
        </w:rPr>
        <w:t xml:space="preserve"> decide to disseminate the information, it will be subject to the quality control measures and pre-dissemination review pursuant to </w:t>
      </w:r>
      <w:hyperlink r:id="rId10" w:history="1">
        <w:r w:rsidR="00A43DD5" w:rsidRPr="00FD68CB">
          <w:rPr>
            <w:rStyle w:val="Hyperlink"/>
            <w:sz w:val="24"/>
            <w:szCs w:val="24"/>
          </w:rPr>
          <w:t>Section 515 of Public Law 106-554</w:t>
        </w:r>
      </w:hyperlink>
      <w:r w:rsidR="00A43DD5" w:rsidRPr="00FD68CB">
        <w:rPr>
          <w:sz w:val="24"/>
          <w:szCs w:val="24"/>
        </w:rPr>
        <w:t>.</w:t>
      </w:r>
    </w:p>
    <w:p w:rsidR="006256D1" w:rsidRDefault="006256D1" w:rsidP="00FD7BE0">
      <w:pPr>
        <w:rPr>
          <w:sz w:val="24"/>
        </w:rPr>
      </w:pPr>
    </w:p>
    <w:p w:rsidR="002F4D0F" w:rsidRDefault="002F4D0F" w:rsidP="00FD7BE0">
      <w:pPr>
        <w:rPr>
          <w:sz w:val="24"/>
        </w:rPr>
      </w:pPr>
      <w:r>
        <w:rPr>
          <w:b/>
          <w:sz w:val="24"/>
        </w:rPr>
        <w:t xml:space="preserve">3.  </w:t>
      </w:r>
      <w:r>
        <w:rPr>
          <w:b/>
          <w:sz w:val="24"/>
          <w:u w:val="single"/>
        </w:rPr>
        <w:t>Describe whether, and to what extent, the collection of information involves the use of automated, electronic, mechanical, or other technological techniques or other forms of information technology</w:t>
      </w:r>
      <w:r>
        <w:rPr>
          <w:b/>
          <w:sz w:val="24"/>
        </w:rPr>
        <w:t>.</w:t>
      </w:r>
    </w:p>
    <w:p w:rsidR="002F4D0F" w:rsidRDefault="002F4D0F" w:rsidP="00FD7BE0">
      <w:pPr>
        <w:rPr>
          <w:sz w:val="24"/>
        </w:rPr>
      </w:pPr>
    </w:p>
    <w:p w:rsidR="0010719A" w:rsidRDefault="00FD68CB" w:rsidP="00FD7BE0">
      <w:pPr>
        <w:rPr>
          <w:sz w:val="24"/>
        </w:rPr>
      </w:pPr>
      <w:r w:rsidRPr="00FD68CB">
        <w:rPr>
          <w:sz w:val="24"/>
        </w:rPr>
        <w:t>T</w:t>
      </w:r>
      <w:r w:rsidR="0010719A" w:rsidRPr="00FD68CB">
        <w:rPr>
          <w:sz w:val="24"/>
        </w:rPr>
        <w:t xml:space="preserve">he </w:t>
      </w:r>
      <w:r w:rsidRPr="00FD68CB">
        <w:rPr>
          <w:sz w:val="24"/>
        </w:rPr>
        <w:t xml:space="preserve">ITQ permit application, ITQ ownership form, </w:t>
      </w:r>
      <w:r w:rsidR="0010719A" w:rsidRPr="00FD68CB">
        <w:rPr>
          <w:sz w:val="24"/>
        </w:rPr>
        <w:t>application to shuck at sea</w:t>
      </w:r>
      <w:r w:rsidRPr="00FD68CB">
        <w:rPr>
          <w:sz w:val="24"/>
        </w:rPr>
        <w:t>,</w:t>
      </w:r>
      <w:r w:rsidR="0010719A" w:rsidRPr="00FD68CB">
        <w:rPr>
          <w:sz w:val="24"/>
        </w:rPr>
        <w:t xml:space="preserve"> and ITQ transfer form </w:t>
      </w:r>
      <w:r w:rsidRPr="00FD68CB">
        <w:rPr>
          <w:sz w:val="24"/>
        </w:rPr>
        <w:t>will all be</w:t>
      </w:r>
      <w:r w:rsidR="0010719A" w:rsidRPr="00FD68CB">
        <w:rPr>
          <w:sz w:val="24"/>
        </w:rPr>
        <w:t xml:space="preserve"> available online in a fillable and printable version through the NMFS forms portal at</w:t>
      </w:r>
      <w:r w:rsidR="00237D20" w:rsidRPr="00237D20">
        <w:t xml:space="preserve"> </w:t>
      </w:r>
      <w:hyperlink r:id="rId11" w:history="1">
        <w:r w:rsidR="001B5BD4" w:rsidRPr="00030A41">
          <w:rPr>
            <w:rStyle w:val="Hyperlink"/>
            <w:sz w:val="24"/>
          </w:rPr>
          <w:t>http://www.greateratlantic.fisheries.noaa.gov/aps/forms.html</w:t>
        </w:r>
      </w:hyperlink>
      <w:r w:rsidR="0010719A" w:rsidRPr="00FD68CB">
        <w:rPr>
          <w:sz w:val="24"/>
        </w:rPr>
        <w:t>.</w:t>
      </w:r>
    </w:p>
    <w:p w:rsidR="0010719A" w:rsidRPr="00FD68CB" w:rsidRDefault="0010719A" w:rsidP="00FD7BE0">
      <w:pPr>
        <w:rPr>
          <w:sz w:val="24"/>
        </w:rPr>
      </w:pPr>
    </w:p>
    <w:p w:rsidR="002324D4" w:rsidRPr="00FD68CB" w:rsidRDefault="0038732D" w:rsidP="00FD7BE0">
      <w:pPr>
        <w:rPr>
          <w:sz w:val="24"/>
        </w:rPr>
      </w:pPr>
      <w:r w:rsidRPr="00FD68CB">
        <w:rPr>
          <w:sz w:val="24"/>
        </w:rPr>
        <w:t>B</w:t>
      </w:r>
      <w:r w:rsidR="002F4D0F" w:rsidRPr="00FD68CB">
        <w:rPr>
          <w:sz w:val="24"/>
        </w:rPr>
        <w:t xml:space="preserve">ecause the </w:t>
      </w:r>
      <w:r w:rsidR="0010719A" w:rsidRPr="00FD68CB">
        <w:rPr>
          <w:sz w:val="24"/>
        </w:rPr>
        <w:t xml:space="preserve">ITQ transfer </w:t>
      </w:r>
      <w:r w:rsidR="002F4D0F" w:rsidRPr="00FD68CB">
        <w:rPr>
          <w:sz w:val="24"/>
        </w:rPr>
        <w:t>form is use</w:t>
      </w:r>
      <w:r w:rsidR="008A03AB" w:rsidRPr="00FD68CB">
        <w:rPr>
          <w:sz w:val="24"/>
        </w:rPr>
        <w:t xml:space="preserve">d to transfer </w:t>
      </w:r>
      <w:r w:rsidR="009F667A" w:rsidRPr="00FD68CB">
        <w:rPr>
          <w:sz w:val="24"/>
        </w:rPr>
        <w:t>a privilege</w:t>
      </w:r>
      <w:r w:rsidR="009B514C" w:rsidRPr="00FD68CB">
        <w:rPr>
          <w:sz w:val="24"/>
        </w:rPr>
        <w:t>, N</w:t>
      </w:r>
      <w:r w:rsidR="009F667A" w:rsidRPr="00FD68CB">
        <w:rPr>
          <w:sz w:val="24"/>
        </w:rPr>
        <w:t>OAA</w:t>
      </w:r>
      <w:r w:rsidR="009B514C" w:rsidRPr="00FD68CB">
        <w:rPr>
          <w:sz w:val="24"/>
        </w:rPr>
        <w:t xml:space="preserve"> General Counsel</w:t>
      </w:r>
      <w:r w:rsidRPr="00FD68CB">
        <w:rPr>
          <w:sz w:val="24"/>
        </w:rPr>
        <w:t xml:space="preserve"> </w:t>
      </w:r>
      <w:r w:rsidR="00FD68CB" w:rsidRPr="00FD68CB">
        <w:rPr>
          <w:sz w:val="24"/>
        </w:rPr>
        <w:t xml:space="preserve">has </w:t>
      </w:r>
      <w:r w:rsidR="00237D20">
        <w:rPr>
          <w:sz w:val="24"/>
        </w:rPr>
        <w:t xml:space="preserve">previously </w:t>
      </w:r>
      <w:r w:rsidR="009B514C" w:rsidRPr="00FD68CB">
        <w:rPr>
          <w:sz w:val="24"/>
        </w:rPr>
        <w:t>require</w:t>
      </w:r>
      <w:r w:rsidR="00FD68CB" w:rsidRPr="00FD68CB">
        <w:rPr>
          <w:sz w:val="24"/>
        </w:rPr>
        <w:t>d</w:t>
      </w:r>
      <w:r w:rsidR="002F4D0F" w:rsidRPr="00FD68CB">
        <w:rPr>
          <w:sz w:val="24"/>
        </w:rPr>
        <w:t xml:space="preserve"> a hard copy </w:t>
      </w:r>
      <w:r w:rsidR="008A03AB" w:rsidRPr="00FD68CB">
        <w:rPr>
          <w:sz w:val="24"/>
        </w:rPr>
        <w:t xml:space="preserve">of the ITQ Transfer </w:t>
      </w:r>
      <w:r w:rsidR="00FD68CB" w:rsidRPr="00FD68CB">
        <w:rPr>
          <w:sz w:val="24"/>
        </w:rPr>
        <w:t>f</w:t>
      </w:r>
      <w:r w:rsidR="002F4D0F" w:rsidRPr="00FD68CB">
        <w:rPr>
          <w:sz w:val="24"/>
        </w:rPr>
        <w:t>orm with an original signature.</w:t>
      </w:r>
      <w:r w:rsidR="0010719A" w:rsidRPr="00FD68CB">
        <w:rPr>
          <w:sz w:val="24"/>
        </w:rPr>
        <w:t xml:space="preserve">  However, General Counsel has </w:t>
      </w:r>
      <w:r w:rsidR="00237D20">
        <w:rPr>
          <w:sz w:val="24"/>
        </w:rPr>
        <w:t>recently</w:t>
      </w:r>
      <w:r w:rsidR="00237D20" w:rsidRPr="00FD68CB">
        <w:rPr>
          <w:sz w:val="24"/>
        </w:rPr>
        <w:t xml:space="preserve"> </w:t>
      </w:r>
      <w:r w:rsidR="005F704A" w:rsidRPr="00FD68CB">
        <w:rPr>
          <w:sz w:val="24"/>
        </w:rPr>
        <w:t>revised</w:t>
      </w:r>
      <w:r w:rsidR="009B514C" w:rsidRPr="00FD68CB">
        <w:rPr>
          <w:sz w:val="24"/>
        </w:rPr>
        <w:t xml:space="preserve"> this decision and has now </w:t>
      </w:r>
      <w:r w:rsidR="0010719A" w:rsidRPr="00FD68CB">
        <w:rPr>
          <w:sz w:val="24"/>
        </w:rPr>
        <w:t>determined that a</w:t>
      </w:r>
      <w:r w:rsidR="009B514C" w:rsidRPr="00FD68CB">
        <w:rPr>
          <w:sz w:val="24"/>
        </w:rPr>
        <w:t xml:space="preserve"> </w:t>
      </w:r>
      <w:r w:rsidR="0010719A" w:rsidRPr="00FD68CB">
        <w:rPr>
          <w:sz w:val="24"/>
        </w:rPr>
        <w:t xml:space="preserve">unique </w:t>
      </w:r>
      <w:r w:rsidR="009B514C" w:rsidRPr="00FD68CB">
        <w:rPr>
          <w:sz w:val="24"/>
        </w:rPr>
        <w:t>electronic password and pin are also</w:t>
      </w:r>
      <w:r w:rsidR="0010719A" w:rsidRPr="00FD68CB">
        <w:rPr>
          <w:sz w:val="24"/>
        </w:rPr>
        <w:t xml:space="preserve"> acceptable form</w:t>
      </w:r>
      <w:r w:rsidR="009B514C" w:rsidRPr="00FD68CB">
        <w:rPr>
          <w:sz w:val="24"/>
        </w:rPr>
        <w:t>s</w:t>
      </w:r>
      <w:r w:rsidR="0010719A" w:rsidRPr="00FD68CB">
        <w:rPr>
          <w:sz w:val="24"/>
        </w:rPr>
        <w:t xml:space="preserve"> of verification in lieu of original signatures.  NMFS is currently working to allow </w:t>
      </w:r>
      <w:r w:rsidR="00FD68CB" w:rsidRPr="00FD68CB">
        <w:rPr>
          <w:sz w:val="24"/>
        </w:rPr>
        <w:t xml:space="preserve">ITQ permit applications, ITQ ownership forms, and </w:t>
      </w:r>
      <w:r w:rsidR="0010719A" w:rsidRPr="00FD68CB">
        <w:rPr>
          <w:sz w:val="24"/>
        </w:rPr>
        <w:t xml:space="preserve">ITQ transfer forms to be completed and submitted electronically through </w:t>
      </w:r>
      <w:r w:rsidR="009B514C" w:rsidRPr="00FD68CB">
        <w:rPr>
          <w:sz w:val="24"/>
        </w:rPr>
        <w:t>our existing</w:t>
      </w:r>
      <w:r w:rsidR="00484F79">
        <w:rPr>
          <w:sz w:val="24"/>
        </w:rPr>
        <w:t xml:space="preserve"> Fish-on-L</w:t>
      </w:r>
      <w:r w:rsidR="0010719A" w:rsidRPr="00FD68CB">
        <w:rPr>
          <w:sz w:val="24"/>
        </w:rPr>
        <w:t>ine web application</w:t>
      </w:r>
      <w:r w:rsidR="00FD68CB" w:rsidRPr="00FD68CB">
        <w:rPr>
          <w:sz w:val="24"/>
        </w:rPr>
        <w:t>.  This web-based application is</w:t>
      </w:r>
      <w:r w:rsidR="0010719A" w:rsidRPr="00FD68CB">
        <w:rPr>
          <w:sz w:val="24"/>
        </w:rPr>
        <w:t xml:space="preserve"> currently used in the </w:t>
      </w:r>
      <w:r w:rsidR="00FD68CB" w:rsidRPr="00FD68CB">
        <w:rPr>
          <w:sz w:val="24"/>
        </w:rPr>
        <w:t>Greater Atlantic</w:t>
      </w:r>
      <w:r w:rsidR="0010719A" w:rsidRPr="00FD68CB">
        <w:rPr>
          <w:sz w:val="24"/>
        </w:rPr>
        <w:t xml:space="preserve"> Region for similar leasing programs in other fisheries.</w:t>
      </w:r>
    </w:p>
    <w:p w:rsidR="002324D4" w:rsidRPr="00FD68CB" w:rsidRDefault="002324D4" w:rsidP="00FD7BE0">
      <w:pPr>
        <w:rPr>
          <w:sz w:val="24"/>
        </w:rPr>
      </w:pPr>
    </w:p>
    <w:p w:rsidR="00F8296F" w:rsidRPr="00FD68CB" w:rsidRDefault="006256D1" w:rsidP="00FD7BE0">
      <w:pPr>
        <w:rPr>
          <w:sz w:val="24"/>
        </w:rPr>
      </w:pPr>
      <w:r w:rsidRPr="00FD68CB">
        <w:rPr>
          <w:sz w:val="24"/>
        </w:rPr>
        <w:t>The method of transmitting the collection of information requirements in the protocol</w:t>
      </w:r>
      <w:r w:rsidR="009954EA" w:rsidRPr="00FD68CB">
        <w:rPr>
          <w:sz w:val="24"/>
        </w:rPr>
        <w:t xml:space="preserve"> is not specifically </w:t>
      </w:r>
      <w:r w:rsidR="00752FB6" w:rsidRPr="00FD68CB">
        <w:rPr>
          <w:sz w:val="24"/>
        </w:rPr>
        <w:t>outlined</w:t>
      </w:r>
      <w:r w:rsidR="009954EA" w:rsidRPr="00FD68CB">
        <w:rPr>
          <w:sz w:val="24"/>
        </w:rPr>
        <w:t>.  The protocol was deve</w:t>
      </w:r>
      <w:r w:rsidR="00752FB6" w:rsidRPr="00FD68CB">
        <w:rPr>
          <w:sz w:val="24"/>
        </w:rPr>
        <w:t xml:space="preserve">loped primarily by the industry, the FDA, and the </w:t>
      </w:r>
      <w:r w:rsidR="009954EA" w:rsidRPr="00FD68CB">
        <w:rPr>
          <w:sz w:val="24"/>
        </w:rPr>
        <w:t>SSCA</w:t>
      </w:r>
      <w:r w:rsidR="00752FB6" w:rsidRPr="00FD68CB">
        <w:rPr>
          <w:sz w:val="24"/>
        </w:rPr>
        <w:t xml:space="preserve"> and was approved by the NSSP at the ISSC</w:t>
      </w:r>
      <w:r w:rsidR="009954EA" w:rsidRPr="00FD68CB">
        <w:rPr>
          <w:sz w:val="24"/>
        </w:rPr>
        <w:t>.</w:t>
      </w:r>
      <w:r w:rsidR="008B2DC7" w:rsidRPr="00FD68CB">
        <w:rPr>
          <w:sz w:val="24"/>
        </w:rPr>
        <w:t xml:space="preserve">  NMFS adopted the protocol as it was approved.  </w:t>
      </w:r>
      <w:r w:rsidR="009954EA" w:rsidRPr="00FD68CB">
        <w:rPr>
          <w:sz w:val="24"/>
        </w:rPr>
        <w:t>Th</w:t>
      </w:r>
      <w:r w:rsidR="008B2DC7" w:rsidRPr="00FD68CB">
        <w:rPr>
          <w:sz w:val="24"/>
        </w:rPr>
        <w:t>erefore, it is not NMFS’s</w:t>
      </w:r>
      <w:r w:rsidR="009954EA" w:rsidRPr="00FD68CB">
        <w:rPr>
          <w:sz w:val="24"/>
        </w:rPr>
        <w:t xml:space="preserve"> position to further dictate the terms and conditions of the protocol includ</w:t>
      </w:r>
      <w:r w:rsidR="00752FB6" w:rsidRPr="00FD68CB">
        <w:rPr>
          <w:sz w:val="24"/>
        </w:rPr>
        <w:t>ing the methods of transmission outside of what is in the current</w:t>
      </w:r>
      <w:r w:rsidR="008B2DC7" w:rsidRPr="00FD68CB">
        <w:rPr>
          <w:sz w:val="24"/>
        </w:rPr>
        <w:t>ly</w:t>
      </w:r>
      <w:r w:rsidR="00752FB6" w:rsidRPr="00FD68CB">
        <w:rPr>
          <w:sz w:val="24"/>
        </w:rPr>
        <w:t xml:space="preserve"> approved protocol.</w:t>
      </w:r>
      <w:r w:rsidR="00F8296F" w:rsidRPr="00FD68CB">
        <w:rPr>
          <w:sz w:val="24"/>
        </w:rPr>
        <w:t xml:space="preserve">  Therefore, the method of submission will be worked out by the industry, the FDA, and the SSCA.</w:t>
      </w:r>
      <w:r w:rsidR="00740EEF" w:rsidRPr="00FD68CB">
        <w:rPr>
          <w:sz w:val="24"/>
        </w:rPr>
        <w:t xml:space="preserve">  NMFS is only concerned that the protocol is </w:t>
      </w:r>
      <w:r w:rsidR="00FD68CB" w:rsidRPr="00FD68CB">
        <w:rPr>
          <w:sz w:val="24"/>
        </w:rPr>
        <w:t>followed;</w:t>
      </w:r>
      <w:r w:rsidR="00740EEF" w:rsidRPr="00FD68CB">
        <w:rPr>
          <w:sz w:val="24"/>
        </w:rPr>
        <w:t xml:space="preserve"> hence the method of submission wil</w:t>
      </w:r>
      <w:r w:rsidR="00484F79">
        <w:rPr>
          <w:sz w:val="24"/>
        </w:rPr>
        <w:t>l be largely up to the industry’</w:t>
      </w:r>
      <w:r w:rsidR="00740EEF" w:rsidRPr="00FD68CB">
        <w:rPr>
          <w:sz w:val="24"/>
        </w:rPr>
        <w:t>s discretion.</w:t>
      </w:r>
      <w:r w:rsidR="00F8296F" w:rsidRPr="00FD68CB">
        <w:rPr>
          <w:sz w:val="24"/>
        </w:rPr>
        <w:t xml:space="preserve">  </w:t>
      </w:r>
      <w:r w:rsidR="00740EEF" w:rsidRPr="00FD68CB">
        <w:rPr>
          <w:sz w:val="24"/>
        </w:rPr>
        <w:t xml:space="preserve">Due to the nature of the requirements in the protocol, it is likely that the majority of the requirements will need to be completed in writing and submitted as such, however it is not required to be hand written and, therefore, could be hand written </w:t>
      </w:r>
      <w:r w:rsidR="00237D20">
        <w:rPr>
          <w:sz w:val="24"/>
        </w:rPr>
        <w:t>or</w:t>
      </w:r>
      <w:r w:rsidR="00237D20" w:rsidRPr="00FD68CB">
        <w:rPr>
          <w:sz w:val="24"/>
        </w:rPr>
        <w:t xml:space="preserve"> </w:t>
      </w:r>
      <w:r w:rsidR="00740EEF" w:rsidRPr="00FD68CB">
        <w:rPr>
          <w:sz w:val="24"/>
        </w:rPr>
        <w:t xml:space="preserve">could be completed and submitted through a computer.  </w:t>
      </w:r>
      <w:r w:rsidR="00237D20">
        <w:rPr>
          <w:sz w:val="24"/>
        </w:rPr>
        <w:t>T</w:t>
      </w:r>
      <w:r w:rsidR="00740EEF" w:rsidRPr="00FD68CB">
        <w:rPr>
          <w:sz w:val="24"/>
        </w:rPr>
        <w:t>he notification requirement only requires</w:t>
      </w:r>
      <w:r w:rsidR="00484F79">
        <w:rPr>
          <w:sz w:val="24"/>
        </w:rPr>
        <w:t xml:space="preserve"> that</w:t>
      </w:r>
      <w:r w:rsidR="00740EEF" w:rsidRPr="00FD68CB">
        <w:rPr>
          <w:sz w:val="24"/>
        </w:rPr>
        <w:t xml:space="preserve"> a notification be made, and, therefore, it is likely electronic means will be used such as cellular phone or via shipboard electronic equipment such as VHF radio, email, or the vessel’s vessel monitoring system.  </w:t>
      </w:r>
      <w:r w:rsidR="00F8296F" w:rsidRPr="00FD68CB">
        <w:rPr>
          <w:sz w:val="24"/>
        </w:rPr>
        <w:t xml:space="preserve"> </w:t>
      </w:r>
    </w:p>
    <w:p w:rsidR="00F8296F" w:rsidRPr="00FD68CB" w:rsidRDefault="00F8296F" w:rsidP="00FD7BE0">
      <w:pPr>
        <w:rPr>
          <w:sz w:val="24"/>
        </w:rPr>
      </w:pPr>
    </w:p>
    <w:p w:rsidR="001B5BD4" w:rsidRDefault="00FD68CB" w:rsidP="00FD7BE0">
      <w:pPr>
        <w:rPr>
          <w:sz w:val="24"/>
        </w:rPr>
      </w:pPr>
      <w:r w:rsidRPr="00FD68CB">
        <w:rPr>
          <w:sz w:val="24"/>
        </w:rPr>
        <w:t>A</w:t>
      </w:r>
      <w:r w:rsidR="00F8296F" w:rsidRPr="00FD68CB">
        <w:rPr>
          <w:sz w:val="24"/>
        </w:rPr>
        <w:t xml:space="preserve"> copy of the protocol </w:t>
      </w:r>
      <w:r w:rsidRPr="00FD68CB">
        <w:rPr>
          <w:sz w:val="24"/>
        </w:rPr>
        <w:t>was</w:t>
      </w:r>
      <w:r w:rsidR="00F8296F" w:rsidRPr="00FD68CB">
        <w:rPr>
          <w:sz w:val="24"/>
        </w:rPr>
        <w:t xml:space="preserve"> mailed to all Atlantic surfclam and ocean quahog permit holders.  A copy of the protocol is also available online at</w:t>
      </w:r>
      <w:r w:rsidRPr="00FD68CB">
        <w:rPr>
          <w:sz w:val="24"/>
        </w:rPr>
        <w:t xml:space="preserve"> </w:t>
      </w:r>
      <w:hyperlink r:id="rId12" w:history="1">
        <w:r w:rsidR="001B5BD4" w:rsidRPr="00030A41">
          <w:rPr>
            <w:rStyle w:val="Hyperlink"/>
            <w:sz w:val="24"/>
          </w:rPr>
          <w:t>http://www.greateratlantic.fisheries.noaa.gov/sfd/clams/ApprovedProtocol.pdf</w:t>
        </w:r>
      </w:hyperlink>
      <w:r w:rsidR="004B21FF">
        <w:rPr>
          <w:sz w:val="24"/>
        </w:rPr>
        <w:t>.</w:t>
      </w:r>
    </w:p>
    <w:p w:rsidR="00A43DD5" w:rsidRDefault="00A43DD5" w:rsidP="00FD7BE0">
      <w:pPr>
        <w:rPr>
          <w:b/>
          <w:sz w:val="24"/>
        </w:rPr>
      </w:pPr>
    </w:p>
    <w:p w:rsidR="002F4D0F" w:rsidRDefault="002F4D0F" w:rsidP="00FD7BE0">
      <w:pPr>
        <w:rPr>
          <w:sz w:val="24"/>
        </w:rPr>
      </w:pPr>
      <w:r>
        <w:rPr>
          <w:b/>
          <w:sz w:val="24"/>
        </w:rPr>
        <w:t xml:space="preserve">4.  </w:t>
      </w:r>
      <w:r>
        <w:rPr>
          <w:b/>
          <w:sz w:val="24"/>
          <w:u w:val="single"/>
        </w:rPr>
        <w:t>Describe efforts to identify duplication</w:t>
      </w:r>
      <w:r>
        <w:rPr>
          <w:b/>
          <w:sz w:val="24"/>
        </w:rPr>
        <w:t>.</w:t>
      </w:r>
    </w:p>
    <w:p w:rsidR="002F4D0F" w:rsidRDefault="002F4D0F" w:rsidP="00FD7BE0">
      <w:pPr>
        <w:rPr>
          <w:sz w:val="24"/>
        </w:rPr>
      </w:pPr>
    </w:p>
    <w:p w:rsidR="002F4D0F" w:rsidRDefault="002F4D0F" w:rsidP="00FD7BE0">
      <w:pPr>
        <w:rPr>
          <w:sz w:val="24"/>
        </w:rPr>
      </w:pPr>
      <w:r>
        <w:rPr>
          <w:sz w:val="24"/>
        </w:rPr>
        <w:lastRenderedPageBreak/>
        <w:t xml:space="preserve">The information requested is unique </w:t>
      </w:r>
      <w:r w:rsidR="008A03AB">
        <w:rPr>
          <w:sz w:val="24"/>
        </w:rPr>
        <w:t>to this fishery</w:t>
      </w:r>
      <w:r w:rsidR="001B1FCE">
        <w:rPr>
          <w:sz w:val="24"/>
        </w:rPr>
        <w:t>; thus,</w:t>
      </w:r>
      <w:r>
        <w:rPr>
          <w:sz w:val="24"/>
        </w:rPr>
        <w:t xml:space="preserve"> t</w:t>
      </w:r>
      <w:r w:rsidR="008A03AB">
        <w:rPr>
          <w:sz w:val="24"/>
        </w:rPr>
        <w:t>here is no duplication of items in this collection with other collections</w:t>
      </w:r>
      <w:r>
        <w:rPr>
          <w:sz w:val="24"/>
        </w:rPr>
        <w:t>.</w:t>
      </w:r>
      <w:r w:rsidR="008A03AB">
        <w:rPr>
          <w:sz w:val="24"/>
        </w:rPr>
        <w:t xml:space="preserve">  </w:t>
      </w:r>
      <w:r w:rsidR="00484F79">
        <w:rPr>
          <w:sz w:val="24"/>
        </w:rPr>
        <w:t>Because</w:t>
      </w:r>
      <w:r w:rsidR="008A03AB">
        <w:rPr>
          <w:sz w:val="24"/>
        </w:rPr>
        <w:t xml:space="preserve"> NMFS is the lead agency implementing the Magnuson-Stevens Act, NMFS is very aware of all information collections required from fishermen.</w:t>
      </w:r>
    </w:p>
    <w:p w:rsidR="002F4D0F" w:rsidRDefault="002F4D0F" w:rsidP="00FD7BE0">
      <w:pPr>
        <w:rPr>
          <w:sz w:val="24"/>
        </w:rPr>
      </w:pPr>
    </w:p>
    <w:p w:rsidR="002F4D0F" w:rsidRDefault="002F4D0F" w:rsidP="00FD7BE0">
      <w:pPr>
        <w:rPr>
          <w:sz w:val="24"/>
        </w:rPr>
      </w:pPr>
      <w:r>
        <w:rPr>
          <w:b/>
          <w:sz w:val="24"/>
        </w:rPr>
        <w:t xml:space="preserve">5.  </w:t>
      </w:r>
      <w:r>
        <w:rPr>
          <w:b/>
          <w:sz w:val="24"/>
          <w:u w:val="single"/>
        </w:rPr>
        <w:t>If the collection of information involves small businesses or other small entities, describe the methods used to minimize burden</w:t>
      </w:r>
      <w:r>
        <w:rPr>
          <w:b/>
          <w:sz w:val="24"/>
        </w:rPr>
        <w:t>.</w:t>
      </w:r>
      <w:r>
        <w:rPr>
          <w:sz w:val="24"/>
        </w:rPr>
        <w:t xml:space="preserve"> </w:t>
      </w:r>
    </w:p>
    <w:p w:rsidR="002F4D0F" w:rsidRDefault="002F4D0F" w:rsidP="00FD7BE0">
      <w:pPr>
        <w:rPr>
          <w:sz w:val="24"/>
        </w:rPr>
      </w:pPr>
    </w:p>
    <w:p w:rsidR="00B573D0" w:rsidRDefault="002F4D0F" w:rsidP="00FD7BE0">
      <w:pPr>
        <w:rPr>
          <w:sz w:val="24"/>
        </w:rPr>
      </w:pPr>
      <w:r>
        <w:rPr>
          <w:sz w:val="24"/>
        </w:rPr>
        <w:t>Small businesses are the primary respondents of the data collection.  The form</w:t>
      </w:r>
      <w:r w:rsidR="00B573D0">
        <w:rPr>
          <w:sz w:val="24"/>
        </w:rPr>
        <w:t>s</w:t>
      </w:r>
      <w:r>
        <w:rPr>
          <w:sz w:val="24"/>
        </w:rPr>
        <w:t xml:space="preserve"> used to gather </w:t>
      </w:r>
      <w:r w:rsidR="00B573D0">
        <w:rPr>
          <w:sz w:val="24"/>
        </w:rPr>
        <w:t>the required information are</w:t>
      </w:r>
      <w:r>
        <w:rPr>
          <w:sz w:val="24"/>
        </w:rPr>
        <w:t xml:space="preserve"> designed to be simple and easy to complete, thus</w:t>
      </w:r>
      <w:r w:rsidR="001B1FCE">
        <w:rPr>
          <w:sz w:val="24"/>
        </w:rPr>
        <w:t xml:space="preserve"> </w:t>
      </w:r>
      <w:r>
        <w:rPr>
          <w:sz w:val="24"/>
        </w:rPr>
        <w:t>saving time for</w:t>
      </w:r>
      <w:r w:rsidR="0010719A">
        <w:rPr>
          <w:sz w:val="24"/>
        </w:rPr>
        <w:t xml:space="preserve"> </w:t>
      </w:r>
      <w:r w:rsidR="00550503">
        <w:rPr>
          <w:sz w:val="24"/>
        </w:rPr>
        <w:t>both the respondents and manager</w:t>
      </w:r>
      <w:r>
        <w:rPr>
          <w:sz w:val="24"/>
        </w:rPr>
        <w:t>s of the system.  The ability to make timely transfers gives these businesses the flexibility to make rational business decisions.</w:t>
      </w:r>
      <w:r w:rsidR="008A03AB">
        <w:rPr>
          <w:sz w:val="24"/>
        </w:rPr>
        <w:t xml:space="preserve">  </w:t>
      </w:r>
      <w:r w:rsidR="00B573D0">
        <w:rPr>
          <w:sz w:val="24"/>
        </w:rPr>
        <w:t>Once the ITQ permit application and the ITQ ownership form have been completed, the allocation holder will only need to verify that the information is still accurate in order to renew their ITQ permit.  This will save the applicants time and effort in completing the forms.</w:t>
      </w:r>
    </w:p>
    <w:p w:rsidR="00B573D0" w:rsidRDefault="00B573D0" w:rsidP="00FD7BE0">
      <w:pPr>
        <w:rPr>
          <w:sz w:val="24"/>
        </w:rPr>
      </w:pPr>
    </w:p>
    <w:p w:rsidR="00530526" w:rsidRDefault="008A03AB" w:rsidP="00FD7BE0">
      <w:pPr>
        <w:rPr>
          <w:sz w:val="24"/>
        </w:rPr>
      </w:pPr>
      <w:r>
        <w:rPr>
          <w:sz w:val="24"/>
        </w:rPr>
        <w:t xml:space="preserve">The application to shuck </w:t>
      </w:r>
      <w:r w:rsidR="00F16A4A">
        <w:rPr>
          <w:sz w:val="24"/>
        </w:rPr>
        <w:t xml:space="preserve">product at sea is required </w:t>
      </w:r>
      <w:r w:rsidR="001B1FCE">
        <w:rPr>
          <w:sz w:val="24"/>
        </w:rPr>
        <w:t xml:space="preserve">only </w:t>
      </w:r>
      <w:r w:rsidR="00F16A4A">
        <w:rPr>
          <w:sz w:val="24"/>
        </w:rPr>
        <w:t>if the entity wishes to shuck product at sea.  The authorization to shuck at sea is valid for one year.</w:t>
      </w:r>
      <w:r w:rsidR="00A75781">
        <w:rPr>
          <w:sz w:val="24"/>
        </w:rPr>
        <w:t xml:space="preserve">  </w:t>
      </w:r>
    </w:p>
    <w:p w:rsidR="00B573D0" w:rsidRDefault="00B573D0" w:rsidP="00FD7BE0">
      <w:pPr>
        <w:rPr>
          <w:sz w:val="24"/>
        </w:rPr>
      </w:pPr>
    </w:p>
    <w:p w:rsidR="002F4D0F" w:rsidRDefault="00A75781" w:rsidP="00FD7BE0">
      <w:pPr>
        <w:rPr>
          <w:sz w:val="24"/>
        </w:rPr>
      </w:pPr>
      <w:r>
        <w:rPr>
          <w:sz w:val="24"/>
        </w:rPr>
        <w:t xml:space="preserve">Vessels are required </w:t>
      </w:r>
      <w:r w:rsidR="008921C7">
        <w:rPr>
          <w:sz w:val="24"/>
        </w:rPr>
        <w:t xml:space="preserve">to </w:t>
      </w:r>
      <w:r>
        <w:rPr>
          <w:sz w:val="24"/>
        </w:rPr>
        <w:t>follow the protocol</w:t>
      </w:r>
      <w:r w:rsidR="005D54A0">
        <w:rPr>
          <w:sz w:val="24"/>
        </w:rPr>
        <w:t xml:space="preserve"> only</w:t>
      </w:r>
      <w:r>
        <w:rPr>
          <w:sz w:val="24"/>
        </w:rPr>
        <w:t xml:space="preserve"> if they wish to fish in the reopened portion of the GB Closed Area.  The protocol was developed by the industry and NMFS did not </w:t>
      </w:r>
      <w:r w:rsidR="00B32CCB">
        <w:rPr>
          <w:sz w:val="24"/>
        </w:rPr>
        <w:t xml:space="preserve">add </w:t>
      </w:r>
      <w:r>
        <w:rPr>
          <w:sz w:val="24"/>
        </w:rPr>
        <w:t xml:space="preserve">any additional reporting requirements that </w:t>
      </w:r>
      <w:r w:rsidR="008921C7">
        <w:rPr>
          <w:sz w:val="24"/>
        </w:rPr>
        <w:t>would further increase burden.</w:t>
      </w:r>
    </w:p>
    <w:p w:rsidR="002F4D0F" w:rsidRDefault="002F4D0F" w:rsidP="00FD7BE0">
      <w:pPr>
        <w:rPr>
          <w:sz w:val="24"/>
        </w:rPr>
      </w:pPr>
    </w:p>
    <w:p w:rsidR="002F4D0F" w:rsidRDefault="002F4D0F" w:rsidP="00FD7BE0">
      <w:pPr>
        <w:rPr>
          <w:sz w:val="24"/>
        </w:rPr>
      </w:pPr>
      <w:r>
        <w:rPr>
          <w:b/>
          <w:sz w:val="24"/>
        </w:rPr>
        <w:t xml:space="preserve">6.  </w:t>
      </w:r>
      <w:r>
        <w:rPr>
          <w:b/>
          <w:sz w:val="24"/>
          <w:u w:val="single"/>
        </w:rPr>
        <w:t>Describe the consequences to the Federal program or policy activities if the collection is not conducted or is conducted less frequently</w:t>
      </w:r>
      <w:r>
        <w:rPr>
          <w:b/>
          <w:sz w:val="24"/>
        </w:rPr>
        <w:t>.</w:t>
      </w:r>
      <w:r>
        <w:rPr>
          <w:sz w:val="24"/>
        </w:rPr>
        <w:t xml:space="preserve"> </w:t>
      </w:r>
    </w:p>
    <w:p w:rsidR="002F4D0F" w:rsidRDefault="002F4D0F" w:rsidP="00FD7BE0">
      <w:pPr>
        <w:rPr>
          <w:sz w:val="24"/>
        </w:rPr>
      </w:pPr>
    </w:p>
    <w:p w:rsidR="008921C7" w:rsidRDefault="00B573D0" w:rsidP="00FD7BE0">
      <w:pPr>
        <w:rPr>
          <w:sz w:val="24"/>
        </w:rPr>
      </w:pPr>
      <w:r>
        <w:rPr>
          <w:sz w:val="24"/>
        </w:rPr>
        <w:t>The ITQ permit application and ownership form must be submitted annually to issue the ITQ permit.  For the ITQ transfer form, t</w:t>
      </w:r>
      <w:r w:rsidR="002F4D0F">
        <w:rPr>
          <w:sz w:val="24"/>
        </w:rPr>
        <w:t>he frequency of su</w:t>
      </w:r>
      <w:r w:rsidR="00D17894">
        <w:rPr>
          <w:sz w:val="24"/>
        </w:rPr>
        <w:t xml:space="preserve">bmission is </w:t>
      </w:r>
      <w:r w:rsidR="003A7609">
        <w:rPr>
          <w:sz w:val="24"/>
        </w:rPr>
        <w:t>dependent</w:t>
      </w:r>
      <w:r w:rsidR="00D17894">
        <w:rPr>
          <w:sz w:val="24"/>
        </w:rPr>
        <w:t xml:space="preserve"> upon how often the </w:t>
      </w:r>
      <w:r w:rsidR="002F4D0F">
        <w:rPr>
          <w:sz w:val="24"/>
        </w:rPr>
        <w:t>allocation holder</w:t>
      </w:r>
      <w:r w:rsidR="00D17894">
        <w:rPr>
          <w:sz w:val="24"/>
        </w:rPr>
        <w:t xml:space="preserve"> desires to transfer quota</w:t>
      </w:r>
      <w:r w:rsidR="002F4D0F">
        <w:rPr>
          <w:sz w:val="24"/>
        </w:rPr>
        <w:t>.  If the</w:t>
      </w:r>
      <w:r>
        <w:rPr>
          <w:sz w:val="24"/>
        </w:rPr>
        <w:t>se</w:t>
      </w:r>
      <w:r w:rsidR="002F4D0F">
        <w:rPr>
          <w:sz w:val="24"/>
        </w:rPr>
        <w:t xml:space="preserve"> </w:t>
      </w:r>
      <w:r w:rsidR="00BC5780">
        <w:rPr>
          <w:sz w:val="24"/>
        </w:rPr>
        <w:t xml:space="preserve">information </w:t>
      </w:r>
      <w:r w:rsidR="002F4D0F">
        <w:rPr>
          <w:sz w:val="24"/>
        </w:rPr>
        <w:t>collection</w:t>
      </w:r>
      <w:r>
        <w:rPr>
          <w:sz w:val="24"/>
        </w:rPr>
        <w:t>s</w:t>
      </w:r>
      <w:r w:rsidR="002F4D0F">
        <w:rPr>
          <w:sz w:val="24"/>
        </w:rPr>
        <w:t xml:space="preserve"> w</w:t>
      </w:r>
      <w:r>
        <w:rPr>
          <w:sz w:val="24"/>
        </w:rPr>
        <w:t>ere</w:t>
      </w:r>
      <w:r w:rsidR="002F4D0F">
        <w:rPr>
          <w:sz w:val="24"/>
        </w:rPr>
        <w:t xml:space="preserve"> not conducted, NMFS could not properly </w:t>
      </w:r>
      <w:r w:rsidR="00BC5780">
        <w:rPr>
          <w:sz w:val="24"/>
        </w:rPr>
        <w:t>monitor and enforce the quota restrictions in the Atlantic surfclam and ocean quahog ITQ program</w:t>
      </w:r>
      <w:r w:rsidR="002F4D0F">
        <w:rPr>
          <w:sz w:val="24"/>
        </w:rPr>
        <w:t>.</w:t>
      </w:r>
      <w:r>
        <w:rPr>
          <w:sz w:val="24"/>
        </w:rPr>
        <w:t xml:space="preserve">  If the additional ownership </w:t>
      </w:r>
      <w:r w:rsidR="00E02850">
        <w:rPr>
          <w:sz w:val="24"/>
        </w:rPr>
        <w:t>data</w:t>
      </w:r>
      <w:r>
        <w:rPr>
          <w:sz w:val="24"/>
        </w:rPr>
        <w:t xml:space="preserve"> collected through the ITQ ownership form and the ITQ transfer form w</w:t>
      </w:r>
      <w:r w:rsidR="00E02850">
        <w:rPr>
          <w:sz w:val="24"/>
        </w:rPr>
        <w:t>ere</w:t>
      </w:r>
      <w:r>
        <w:rPr>
          <w:sz w:val="24"/>
        </w:rPr>
        <w:t xml:space="preserve"> not collected the Mid-Atla</w:t>
      </w:r>
      <w:r w:rsidR="00E02850">
        <w:rPr>
          <w:sz w:val="24"/>
        </w:rPr>
        <w:t xml:space="preserve">ntic </w:t>
      </w:r>
      <w:r w:rsidR="00484F79">
        <w:rPr>
          <w:sz w:val="24"/>
        </w:rPr>
        <w:t xml:space="preserve">Fishery Management </w:t>
      </w:r>
      <w:r w:rsidR="00E02850">
        <w:rPr>
          <w:sz w:val="24"/>
        </w:rPr>
        <w:t>Council would not be able to properly assess the need and impact o</w:t>
      </w:r>
      <w:r w:rsidR="00484F79">
        <w:rPr>
          <w:sz w:val="24"/>
        </w:rPr>
        <w:t>f a future excessive shares cap</w:t>
      </w:r>
      <w:r w:rsidR="00E02850">
        <w:rPr>
          <w:sz w:val="24"/>
        </w:rPr>
        <w:t xml:space="preserve"> that is required by law.</w:t>
      </w:r>
      <w:r w:rsidR="00BC5780">
        <w:rPr>
          <w:sz w:val="24"/>
        </w:rPr>
        <w:t xml:space="preserve">  If the application </w:t>
      </w:r>
      <w:r w:rsidR="009B514C">
        <w:rPr>
          <w:sz w:val="24"/>
        </w:rPr>
        <w:t>and the requirement to carry an</w:t>
      </w:r>
      <w:r w:rsidR="00BC5780">
        <w:rPr>
          <w:sz w:val="24"/>
        </w:rPr>
        <w:t xml:space="preserve"> observer for operations where product is shucked at sea were removed</w:t>
      </w:r>
      <w:r w:rsidR="002B08EA">
        <w:rPr>
          <w:sz w:val="24"/>
        </w:rPr>
        <w:t>,</w:t>
      </w:r>
      <w:r w:rsidR="00BC5780">
        <w:rPr>
          <w:sz w:val="24"/>
        </w:rPr>
        <w:t xml:space="preserve"> then </w:t>
      </w:r>
      <w:r w:rsidR="009B514C">
        <w:rPr>
          <w:sz w:val="24"/>
        </w:rPr>
        <w:t xml:space="preserve">a </w:t>
      </w:r>
      <w:r w:rsidR="00BC5780">
        <w:rPr>
          <w:sz w:val="24"/>
        </w:rPr>
        <w:t>means to verify the quantity of product harvested by the vessel</w:t>
      </w:r>
      <w:r w:rsidR="009B514C">
        <w:rPr>
          <w:sz w:val="24"/>
        </w:rPr>
        <w:t xml:space="preserve"> would not exist</w:t>
      </w:r>
      <w:r w:rsidR="00BC5780">
        <w:rPr>
          <w:sz w:val="24"/>
        </w:rPr>
        <w:t>.</w:t>
      </w:r>
      <w:r w:rsidR="008921C7">
        <w:rPr>
          <w:sz w:val="24"/>
        </w:rPr>
        <w:t xml:space="preserve">  The consequences from the removal of </w:t>
      </w:r>
      <w:r>
        <w:rPr>
          <w:sz w:val="24"/>
        </w:rPr>
        <w:t xml:space="preserve">any </w:t>
      </w:r>
      <w:r w:rsidR="008921C7">
        <w:rPr>
          <w:sz w:val="24"/>
        </w:rPr>
        <w:t xml:space="preserve">of these information collections would compromise the ability of NMFS to conserve and manage the resource. </w:t>
      </w:r>
    </w:p>
    <w:p w:rsidR="008921C7" w:rsidRDefault="008921C7" w:rsidP="00FD7BE0">
      <w:pPr>
        <w:rPr>
          <w:sz w:val="24"/>
        </w:rPr>
      </w:pPr>
    </w:p>
    <w:p w:rsidR="008921C7" w:rsidRDefault="008921C7" w:rsidP="00FD7BE0">
      <w:pPr>
        <w:rPr>
          <w:sz w:val="24"/>
        </w:rPr>
      </w:pPr>
      <w:r>
        <w:rPr>
          <w:sz w:val="24"/>
        </w:rPr>
        <w:t xml:space="preserve">If the collection is not conducted under the protocol, shellfish harvested from the reopened portion of the GB Closed Area would not be adequately monitored and screened for PSP.  This could potentially result in toxic shellfish being released to the public for human consumption.  This </w:t>
      </w:r>
      <w:r w:rsidR="00D57E6E">
        <w:rPr>
          <w:sz w:val="24"/>
        </w:rPr>
        <w:t>could be harmful to</w:t>
      </w:r>
      <w:r>
        <w:rPr>
          <w:sz w:val="24"/>
        </w:rPr>
        <w:t xml:space="preserve"> public</w:t>
      </w:r>
      <w:r w:rsidR="00D57E6E">
        <w:rPr>
          <w:sz w:val="24"/>
        </w:rPr>
        <w:t xml:space="preserve"> health</w:t>
      </w:r>
      <w:r>
        <w:rPr>
          <w:sz w:val="24"/>
        </w:rPr>
        <w:t xml:space="preserve"> as well as it would likely result in long term damage to the industry as the public may purchase and consume </w:t>
      </w:r>
      <w:r w:rsidR="00D57E6E">
        <w:rPr>
          <w:sz w:val="24"/>
        </w:rPr>
        <w:t>less shellfish products if incidences of illness increase as a result of consuming shellfish.</w:t>
      </w:r>
      <w:r w:rsidR="00FD7BE0">
        <w:rPr>
          <w:sz w:val="24"/>
        </w:rPr>
        <w:t xml:space="preserve"> </w:t>
      </w:r>
    </w:p>
    <w:p w:rsidR="002F4D0F" w:rsidRDefault="002F4D0F" w:rsidP="00FD7BE0">
      <w:pPr>
        <w:rPr>
          <w:sz w:val="24"/>
        </w:rPr>
      </w:pPr>
    </w:p>
    <w:p w:rsidR="002F4D0F" w:rsidRDefault="002F4D0F" w:rsidP="00FD7BE0">
      <w:pPr>
        <w:rPr>
          <w:sz w:val="24"/>
        </w:rPr>
      </w:pPr>
      <w:r>
        <w:rPr>
          <w:b/>
          <w:sz w:val="24"/>
        </w:rPr>
        <w:lastRenderedPageBreak/>
        <w:t xml:space="preserve">7.  </w:t>
      </w:r>
      <w:r>
        <w:rPr>
          <w:b/>
          <w:sz w:val="24"/>
          <w:u w:val="single"/>
        </w:rPr>
        <w:t>Explain any special circumstances that require the collection to be conducted in a manner inconsistent with OMB guidelines</w:t>
      </w:r>
      <w:r>
        <w:rPr>
          <w:b/>
          <w:sz w:val="24"/>
        </w:rPr>
        <w:t xml:space="preserve">. </w:t>
      </w:r>
    </w:p>
    <w:p w:rsidR="002F4D0F" w:rsidRDefault="00FF1B1E" w:rsidP="00FD7BE0">
      <w:pPr>
        <w:rPr>
          <w:sz w:val="24"/>
        </w:rPr>
      </w:pPr>
      <w:r>
        <w:rPr>
          <w:sz w:val="24"/>
        </w:rPr>
        <w:t>This information</w:t>
      </w:r>
      <w:r w:rsidR="002F4D0F">
        <w:rPr>
          <w:sz w:val="24"/>
        </w:rPr>
        <w:t xml:space="preserve"> collection is consistent with OMB guidelines.</w:t>
      </w:r>
    </w:p>
    <w:p w:rsidR="002F4D0F" w:rsidRDefault="002F4D0F" w:rsidP="00FD7BE0">
      <w:pPr>
        <w:rPr>
          <w:sz w:val="24"/>
        </w:rPr>
      </w:pPr>
    </w:p>
    <w:p w:rsidR="002F4D0F" w:rsidRDefault="002F4D0F" w:rsidP="00FD7BE0">
      <w:pPr>
        <w:rPr>
          <w:sz w:val="24"/>
        </w:rPr>
      </w:pPr>
      <w:r>
        <w:rPr>
          <w:b/>
          <w:sz w:val="24"/>
        </w:rPr>
        <w:t xml:space="preserve">8.  </w:t>
      </w:r>
      <w:r>
        <w:rPr>
          <w:b/>
          <w:sz w:val="24"/>
          <w:u w:val="single"/>
        </w:rPr>
        <w:t xml:space="preserve">Provide </w:t>
      </w:r>
      <w:r w:rsidR="00570F5F">
        <w:rPr>
          <w:b/>
          <w:sz w:val="24"/>
          <w:u w:val="single"/>
        </w:rPr>
        <w:t xml:space="preserve">information on </w:t>
      </w:r>
      <w:r>
        <w:rPr>
          <w:b/>
          <w:sz w:val="24"/>
          <w:u w:val="single"/>
        </w:rPr>
        <w:t xml:space="preserve">the PRA Federal Register </w:t>
      </w:r>
      <w:r w:rsidR="001B1FCE">
        <w:rPr>
          <w:b/>
          <w:sz w:val="24"/>
          <w:u w:val="single"/>
        </w:rPr>
        <w:t xml:space="preserve">Notice </w:t>
      </w:r>
      <w:r>
        <w:rPr>
          <w:b/>
          <w:sz w:val="24"/>
          <w:u w:val="single"/>
        </w:rPr>
        <w:t>that solicited public comments on the information collection prior to this submission.  Summarize the public comments received in response to that notice and describe the actions taken by the agency in response to those comments</w:t>
      </w:r>
      <w:r>
        <w:rPr>
          <w:b/>
          <w:sz w:val="24"/>
        </w:rPr>
        <w:t>.</w:t>
      </w:r>
      <w:r>
        <w:rPr>
          <w:sz w:val="24"/>
        </w:rPr>
        <w:t xml:space="preserve">  </w:t>
      </w:r>
      <w:r>
        <w:rPr>
          <w:b/>
          <w:sz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sz w:val="24"/>
        </w:rPr>
        <w:t>.</w:t>
      </w:r>
    </w:p>
    <w:p w:rsidR="002F4D0F" w:rsidRDefault="002F4D0F" w:rsidP="0000759E">
      <w:pPr>
        <w:spacing w:before="100" w:beforeAutospacing="1" w:after="100" w:afterAutospacing="1"/>
        <w:rPr>
          <w:sz w:val="24"/>
        </w:rPr>
      </w:pPr>
      <w:r w:rsidRPr="007622DC" w:rsidDel="00F51302">
        <w:rPr>
          <w:sz w:val="24"/>
        </w:rPr>
        <w:t>The ITQ management system was developed under the Magnuson-Stevens Act, and was the subject of extensive public hearing and public comment.  As the ITQ management system has evolved operationally, comment has been obtained on a</w:t>
      </w:r>
      <w:r w:rsidR="004B1F20" w:rsidRPr="007622DC" w:rsidDel="00F51302">
        <w:rPr>
          <w:sz w:val="24"/>
        </w:rPr>
        <w:t>n</w:t>
      </w:r>
      <w:r w:rsidRPr="007622DC" w:rsidDel="00F51302">
        <w:rPr>
          <w:sz w:val="24"/>
        </w:rPr>
        <w:t xml:space="preserve"> ongoing basis through the Mid-Atlantic Fishery Management Council's Industry Advisors and Su</w:t>
      </w:r>
      <w:r w:rsidR="004B1F20" w:rsidRPr="007622DC" w:rsidDel="00F51302">
        <w:rPr>
          <w:sz w:val="24"/>
        </w:rPr>
        <w:t>rfc</w:t>
      </w:r>
      <w:r w:rsidRPr="007622DC" w:rsidDel="00F51302">
        <w:rPr>
          <w:sz w:val="24"/>
        </w:rPr>
        <w:t>lam/Ocean Quahog Subcommittee.</w:t>
      </w:r>
    </w:p>
    <w:p w:rsidR="004B21FF" w:rsidRPr="00311E6A" w:rsidRDefault="004B21FF" w:rsidP="004B21FF">
      <w:pPr>
        <w:spacing w:before="100" w:beforeAutospacing="1" w:after="100" w:afterAutospacing="1"/>
        <w:rPr>
          <w:sz w:val="24"/>
          <w:highlight w:val="lightGray"/>
        </w:rPr>
      </w:pPr>
      <w:r>
        <w:rPr>
          <w:sz w:val="24"/>
        </w:rPr>
        <w:t xml:space="preserve">Prior to this </w:t>
      </w:r>
      <w:r w:rsidR="005D54A0">
        <w:rPr>
          <w:sz w:val="24"/>
        </w:rPr>
        <w:t>extension</w:t>
      </w:r>
      <w:r>
        <w:rPr>
          <w:sz w:val="24"/>
        </w:rPr>
        <w:t>, the most recent revision to</w:t>
      </w:r>
      <w:r w:rsidR="0000759E">
        <w:rPr>
          <w:sz w:val="24"/>
        </w:rPr>
        <w:t xml:space="preserve"> th</w:t>
      </w:r>
      <w:r>
        <w:rPr>
          <w:sz w:val="24"/>
        </w:rPr>
        <w:t xml:space="preserve">is collection was </w:t>
      </w:r>
      <w:r w:rsidR="005D54A0">
        <w:rPr>
          <w:sz w:val="24"/>
        </w:rPr>
        <w:t>associated with</w:t>
      </w:r>
      <w:r>
        <w:rPr>
          <w:sz w:val="24"/>
        </w:rPr>
        <w:t xml:space="preserve"> </w:t>
      </w:r>
      <w:r w:rsidR="0098468F" w:rsidRPr="0098468F">
        <w:rPr>
          <w:sz w:val="24"/>
        </w:rPr>
        <w:t xml:space="preserve">a proposed rule in the </w:t>
      </w:r>
      <w:r w:rsidR="0098468F" w:rsidRPr="005D54A0">
        <w:rPr>
          <w:sz w:val="24"/>
          <w:u w:val="single"/>
        </w:rPr>
        <w:t>Federal Register</w:t>
      </w:r>
      <w:r w:rsidR="0098468F" w:rsidRPr="0098468F">
        <w:rPr>
          <w:sz w:val="24"/>
        </w:rPr>
        <w:t xml:space="preserve"> on August 7, 2014, and accepted public comments until September 8, 2014.  After the comment period closed, the </w:t>
      </w:r>
      <w:r w:rsidR="0000759E">
        <w:rPr>
          <w:sz w:val="24"/>
        </w:rPr>
        <w:t xml:space="preserve">Mid-Atlantic Fishery Management </w:t>
      </w:r>
      <w:r w:rsidR="0098468F" w:rsidRPr="0098468F">
        <w:rPr>
          <w:sz w:val="24"/>
        </w:rPr>
        <w:t xml:space="preserve">Council requested that we reopen the comment period to allow for additional public comment to be submitted after the proposed action was discussed at a Council meeting.  In response, we published an announcement in the </w:t>
      </w:r>
      <w:r w:rsidR="0098468F" w:rsidRPr="0098468F">
        <w:rPr>
          <w:i/>
          <w:sz w:val="24"/>
        </w:rPr>
        <w:t>Federal Register</w:t>
      </w:r>
      <w:r w:rsidR="0098468F" w:rsidRPr="0098468F">
        <w:rPr>
          <w:sz w:val="24"/>
        </w:rPr>
        <w:t xml:space="preserve"> on October 2, 2014, that the comment period was reopened until October 17, 2014.  </w:t>
      </w:r>
      <w:r w:rsidRPr="007A7E30">
        <w:rPr>
          <w:sz w:val="24"/>
        </w:rPr>
        <w:t xml:space="preserve">Altogether, we received comments from 23 individuals.  Nearly all of the comments received were from the surfclam and ocean quahog industry including dealers, processors, harvesters, and surfclam and ocean quahog consumer product producers and manufacturers.  </w:t>
      </w:r>
      <w:r w:rsidR="007A7E30">
        <w:rPr>
          <w:sz w:val="24"/>
        </w:rPr>
        <w:t>Th</w:t>
      </w:r>
      <w:r w:rsidR="00EA105B">
        <w:rPr>
          <w:sz w:val="24"/>
        </w:rPr>
        <w:t xml:space="preserve">ose comments were addressed in the </w:t>
      </w:r>
      <w:r w:rsidR="00EA105B" w:rsidRPr="007A7E30">
        <w:rPr>
          <w:sz w:val="24"/>
        </w:rPr>
        <w:t>final rule published on July 20, 2015 (80 FR 42747)</w:t>
      </w:r>
      <w:r w:rsidR="00EA105B">
        <w:rPr>
          <w:sz w:val="24"/>
        </w:rPr>
        <w:t>, and in the associated PRA approval submission.</w:t>
      </w:r>
      <w:r w:rsidRPr="007A7E30">
        <w:rPr>
          <w:sz w:val="24"/>
        </w:rPr>
        <w:t xml:space="preserve">    </w:t>
      </w:r>
    </w:p>
    <w:p w:rsidR="004B21FF" w:rsidRPr="00162D27" w:rsidRDefault="004B21FF" w:rsidP="004B21FF">
      <w:pPr>
        <w:spacing w:before="100" w:beforeAutospacing="1" w:after="100" w:afterAutospacing="1"/>
        <w:rPr>
          <w:sz w:val="24"/>
        </w:rPr>
      </w:pPr>
      <w:r>
        <w:rPr>
          <w:sz w:val="24"/>
        </w:rPr>
        <w:t xml:space="preserve">A </w:t>
      </w:r>
      <w:r w:rsidR="007A7E30">
        <w:rPr>
          <w:sz w:val="24"/>
        </w:rPr>
        <w:t>n</w:t>
      </w:r>
      <w:r>
        <w:rPr>
          <w:sz w:val="24"/>
        </w:rPr>
        <w:t>otice was published</w:t>
      </w:r>
      <w:r w:rsidR="007A7E30">
        <w:rPr>
          <w:sz w:val="24"/>
        </w:rPr>
        <w:t xml:space="preserve"> in the</w:t>
      </w:r>
      <w:r>
        <w:rPr>
          <w:sz w:val="24"/>
        </w:rPr>
        <w:t xml:space="preserve"> </w:t>
      </w:r>
      <w:r w:rsidR="007A7E30" w:rsidRPr="004B21FF">
        <w:rPr>
          <w:i/>
          <w:sz w:val="24"/>
        </w:rPr>
        <w:t>Federal Register</w:t>
      </w:r>
      <w:r w:rsidR="007A7E30">
        <w:rPr>
          <w:sz w:val="24"/>
        </w:rPr>
        <w:t xml:space="preserve"> </w:t>
      </w:r>
      <w:r>
        <w:rPr>
          <w:sz w:val="24"/>
        </w:rPr>
        <w:t>on August 10, 2015 (80 FR 47910)</w:t>
      </w:r>
      <w:r w:rsidR="007A7E30">
        <w:rPr>
          <w:sz w:val="24"/>
        </w:rPr>
        <w:t>,</w:t>
      </w:r>
      <w:r>
        <w:rPr>
          <w:sz w:val="24"/>
        </w:rPr>
        <w:t xml:space="preserve"> to solicit public comment on the </w:t>
      </w:r>
      <w:r w:rsidR="005D54A0">
        <w:rPr>
          <w:sz w:val="24"/>
        </w:rPr>
        <w:t>extension</w:t>
      </w:r>
      <w:r>
        <w:rPr>
          <w:sz w:val="24"/>
        </w:rPr>
        <w:t xml:space="preserve"> of this information collection.  </w:t>
      </w:r>
      <w:r w:rsidR="007A7E30">
        <w:rPr>
          <w:sz w:val="24"/>
        </w:rPr>
        <w:t>Announcements of this</w:t>
      </w:r>
      <w:r w:rsidR="000E1F67">
        <w:rPr>
          <w:sz w:val="24"/>
        </w:rPr>
        <w:t xml:space="preserve"> public comment period were widely distributed through the Regional Office’s constituent email list, an online</w:t>
      </w:r>
      <w:r w:rsidR="000E1F67" w:rsidRPr="000E1F67">
        <w:rPr>
          <w:sz w:val="24"/>
        </w:rPr>
        <w:t xml:space="preserve"> </w:t>
      </w:r>
      <w:r w:rsidR="000E1F67">
        <w:rPr>
          <w:sz w:val="24"/>
        </w:rPr>
        <w:t>posting</w:t>
      </w:r>
      <w:r w:rsidR="00EA105B">
        <w:rPr>
          <w:sz w:val="24"/>
        </w:rPr>
        <w:t xml:space="preserve"> on the regional office’s website</w:t>
      </w:r>
      <w:r w:rsidR="0067578C">
        <w:rPr>
          <w:sz w:val="24"/>
        </w:rPr>
        <w:t xml:space="preserve"> (</w:t>
      </w:r>
      <w:hyperlink r:id="rId13" w:history="1">
        <w:r w:rsidR="0067578C" w:rsidRPr="002B0073">
          <w:rPr>
            <w:rStyle w:val="Hyperlink"/>
            <w:sz w:val="24"/>
          </w:rPr>
          <w:t>http://www.greateratlantic.fisheries.noaa.gov/regs/2015/August/15clamitqpranotice.pdf</w:t>
        </w:r>
      </w:hyperlink>
      <w:r w:rsidR="0067578C">
        <w:rPr>
          <w:sz w:val="24"/>
        </w:rPr>
        <w:t>)</w:t>
      </w:r>
      <w:r w:rsidR="000E1F67">
        <w:rPr>
          <w:sz w:val="24"/>
        </w:rPr>
        <w:t>,</w:t>
      </w:r>
      <w:r w:rsidR="007A7E30">
        <w:rPr>
          <w:sz w:val="24"/>
        </w:rPr>
        <w:t xml:space="preserve"> </w:t>
      </w:r>
      <w:r w:rsidR="000E1F67">
        <w:rPr>
          <w:sz w:val="24"/>
        </w:rPr>
        <w:t xml:space="preserve">and at the August </w:t>
      </w:r>
      <w:r w:rsidR="003E5D3B">
        <w:rPr>
          <w:sz w:val="24"/>
        </w:rPr>
        <w:t>(</w:t>
      </w:r>
      <w:hyperlink r:id="rId14" w:history="1">
        <w:r w:rsidR="003E5D3B" w:rsidRPr="002B0073">
          <w:rPr>
            <w:rStyle w:val="Hyperlink"/>
            <w:sz w:val="24"/>
          </w:rPr>
          <w:t>http://www.mafmc.org/briefing/august-2015</w:t>
        </w:r>
      </w:hyperlink>
      <w:r w:rsidR="0067578C">
        <w:rPr>
          <w:sz w:val="24"/>
        </w:rPr>
        <w:t>,</w:t>
      </w:r>
      <w:r w:rsidR="0067578C" w:rsidRPr="0067578C">
        <w:rPr>
          <w:sz w:val="24"/>
        </w:rPr>
        <w:t xml:space="preserve"> </w:t>
      </w:r>
      <w:r w:rsidR="0067578C">
        <w:rPr>
          <w:sz w:val="24"/>
        </w:rPr>
        <w:t xml:space="preserve">audio </w:t>
      </w:r>
      <w:r w:rsidR="003E5D3B">
        <w:rPr>
          <w:sz w:val="24"/>
        </w:rPr>
        <w:t xml:space="preserve">at </w:t>
      </w:r>
      <w:r w:rsidR="0067578C">
        <w:rPr>
          <w:sz w:val="24"/>
        </w:rPr>
        <w:t>00:</w:t>
      </w:r>
      <w:r w:rsidR="003E5D3B">
        <w:rPr>
          <w:sz w:val="24"/>
        </w:rPr>
        <w:t>04:13</w:t>
      </w:r>
      <w:r w:rsidR="003E5D3B" w:rsidRPr="003E5D3B">
        <w:rPr>
          <w:sz w:val="24"/>
        </w:rPr>
        <w:t xml:space="preserve"> </w:t>
      </w:r>
      <w:r w:rsidR="003E5D3B">
        <w:rPr>
          <w:sz w:val="24"/>
        </w:rPr>
        <w:t>of organizational reports webinar</w:t>
      </w:r>
      <w:r w:rsidR="0067578C">
        <w:rPr>
          <w:sz w:val="24"/>
        </w:rPr>
        <w:t xml:space="preserve"> recording</w:t>
      </w:r>
      <w:r w:rsidR="003E5D3B">
        <w:rPr>
          <w:sz w:val="24"/>
        </w:rPr>
        <w:t xml:space="preserve">) </w:t>
      </w:r>
      <w:r w:rsidR="000E1F67">
        <w:rPr>
          <w:sz w:val="24"/>
        </w:rPr>
        <w:t xml:space="preserve">and October </w:t>
      </w:r>
      <w:r w:rsidR="003E5D3B">
        <w:rPr>
          <w:sz w:val="24"/>
        </w:rPr>
        <w:t>(</w:t>
      </w:r>
      <w:hyperlink r:id="rId15" w:history="1">
        <w:r w:rsidR="003E5D3B" w:rsidRPr="002B0073">
          <w:rPr>
            <w:rStyle w:val="Hyperlink"/>
            <w:sz w:val="24"/>
          </w:rPr>
          <w:t>http://www.mafmc.org/briefing/october-2015</w:t>
        </w:r>
      </w:hyperlink>
      <w:r w:rsidR="003E5D3B">
        <w:rPr>
          <w:sz w:val="24"/>
        </w:rPr>
        <w:t xml:space="preserve">, </w:t>
      </w:r>
      <w:r w:rsidR="0067578C">
        <w:rPr>
          <w:sz w:val="24"/>
        </w:rPr>
        <w:t>audio at 00:02:10 of organizational reports webinar recording</w:t>
      </w:r>
      <w:r w:rsidR="003E5D3B">
        <w:rPr>
          <w:sz w:val="24"/>
        </w:rPr>
        <w:t xml:space="preserve">) </w:t>
      </w:r>
      <w:r w:rsidR="000E1F67">
        <w:rPr>
          <w:sz w:val="24"/>
        </w:rPr>
        <w:t xml:space="preserve">meetings of the Mid-Atlantic Fishery Management Council.  </w:t>
      </w:r>
      <w:r w:rsidR="00666CCC">
        <w:rPr>
          <w:sz w:val="24"/>
        </w:rPr>
        <w:t>Eight comments were submitted, of which four were identical save for the signature</w:t>
      </w:r>
      <w:r w:rsidR="00EA105B">
        <w:rPr>
          <w:sz w:val="24"/>
        </w:rPr>
        <w:t>s</w:t>
      </w:r>
      <w:r w:rsidR="00666CCC">
        <w:rPr>
          <w:sz w:val="24"/>
        </w:rPr>
        <w:t xml:space="preserve">.  All of the comments </w:t>
      </w:r>
      <w:r w:rsidR="007A7E30">
        <w:rPr>
          <w:sz w:val="24"/>
        </w:rPr>
        <w:t xml:space="preserve">received were from representatives of the clam industry, and </w:t>
      </w:r>
      <w:r w:rsidR="00666CCC">
        <w:rPr>
          <w:sz w:val="24"/>
        </w:rPr>
        <w:t>made th</w:t>
      </w:r>
      <w:r w:rsidR="007A7E30">
        <w:rPr>
          <w:sz w:val="24"/>
        </w:rPr>
        <w:t xml:space="preserve">e same points based on their </w:t>
      </w:r>
      <w:r w:rsidR="00EA105B">
        <w:rPr>
          <w:sz w:val="24"/>
        </w:rPr>
        <w:t xml:space="preserve">continued </w:t>
      </w:r>
      <w:r w:rsidR="007A7E30">
        <w:rPr>
          <w:sz w:val="24"/>
        </w:rPr>
        <w:t xml:space="preserve">opposition to the changes implemented by the July 20, </w:t>
      </w:r>
      <w:r w:rsidR="007A7E30" w:rsidRPr="00162D27">
        <w:rPr>
          <w:sz w:val="24"/>
        </w:rPr>
        <w:t>2015</w:t>
      </w:r>
      <w:r w:rsidR="00162D27" w:rsidRPr="00162D27">
        <w:rPr>
          <w:sz w:val="24"/>
        </w:rPr>
        <w:t>,</w:t>
      </w:r>
      <w:r w:rsidR="007A7E30" w:rsidRPr="00162D27">
        <w:rPr>
          <w:sz w:val="24"/>
        </w:rPr>
        <w:t xml:space="preserve"> final rule.  The public comments and our responses are summarized below.</w:t>
      </w:r>
    </w:p>
    <w:p w:rsidR="0098468F" w:rsidRPr="00162D27" w:rsidRDefault="0098468F" w:rsidP="0000759E">
      <w:pPr>
        <w:spacing w:before="100" w:beforeAutospacing="1" w:after="100" w:afterAutospacing="1"/>
        <w:rPr>
          <w:sz w:val="24"/>
        </w:rPr>
      </w:pPr>
      <w:r w:rsidRPr="00162D27">
        <w:rPr>
          <w:i/>
          <w:sz w:val="24"/>
        </w:rPr>
        <w:t>Comment 1</w:t>
      </w:r>
      <w:r w:rsidRPr="00162D27">
        <w:rPr>
          <w:sz w:val="24"/>
        </w:rPr>
        <w:t xml:space="preserve">:  </w:t>
      </w:r>
      <w:r w:rsidR="007A7E30" w:rsidRPr="00162D27">
        <w:rPr>
          <w:sz w:val="24"/>
        </w:rPr>
        <w:t>Commenters</w:t>
      </w:r>
      <w:r w:rsidRPr="00162D27">
        <w:rPr>
          <w:sz w:val="24"/>
        </w:rPr>
        <w:t xml:space="preserve"> expressed concern that an excessive share cap is not necessary </w:t>
      </w:r>
      <w:r w:rsidR="0000759E" w:rsidRPr="00162D27">
        <w:rPr>
          <w:sz w:val="24"/>
        </w:rPr>
        <w:t>for these fisheries</w:t>
      </w:r>
      <w:r w:rsidRPr="00162D27">
        <w:rPr>
          <w:sz w:val="24"/>
        </w:rPr>
        <w:t xml:space="preserve">, and, therefore, there is no reason to collect additional information </w:t>
      </w:r>
      <w:r w:rsidR="00E92E92" w:rsidRPr="00162D27">
        <w:rPr>
          <w:sz w:val="24"/>
        </w:rPr>
        <w:t xml:space="preserve">to help determine such caps. </w:t>
      </w:r>
    </w:p>
    <w:p w:rsidR="0000759E" w:rsidRPr="00162D27" w:rsidRDefault="0000759E" w:rsidP="00E92E92">
      <w:pPr>
        <w:spacing w:before="100" w:beforeAutospacing="1" w:after="100" w:afterAutospacing="1"/>
        <w:rPr>
          <w:sz w:val="24"/>
        </w:rPr>
      </w:pPr>
      <w:r w:rsidRPr="00162D27">
        <w:rPr>
          <w:i/>
          <w:sz w:val="24"/>
        </w:rPr>
        <w:lastRenderedPageBreak/>
        <w:t>Response</w:t>
      </w:r>
      <w:r w:rsidRPr="00162D27">
        <w:rPr>
          <w:sz w:val="24"/>
        </w:rPr>
        <w:t xml:space="preserve">:  Two sections of the Magnuson-Stevens Act address the need to prevent an individual or corporation from acquiring an excessive share of fishing privileges, National Standard 4 and Section 303A(c)(5)(D).  Amendment 8 to the Atlantic Surfclam and Ocean Quahog FMP, which established the ITQ fishery in 1990, cited existing anti-trust laws as being sufficient to meet the requirements of National Standard 4, “that no particular individual, corporation, or other entity acquires an excessive share of such privileges.”  Section 303A was added to the </w:t>
      </w:r>
      <w:r w:rsidR="00E92E92" w:rsidRPr="00162D27">
        <w:rPr>
          <w:sz w:val="24"/>
        </w:rPr>
        <w:t xml:space="preserve">Magnuson-Stevens </w:t>
      </w:r>
      <w:r w:rsidRPr="00162D27">
        <w:rPr>
          <w:sz w:val="24"/>
        </w:rPr>
        <w:t>Act by the Magnuson</w:t>
      </w:r>
      <w:r w:rsidRPr="00162D27">
        <w:rPr>
          <w:rFonts w:ascii="Cambria Math" w:hAnsi="Cambria Math" w:cs="Cambria Math"/>
          <w:sz w:val="24"/>
        </w:rPr>
        <w:t>‐</w:t>
      </w:r>
      <w:r w:rsidRPr="00162D27">
        <w:rPr>
          <w:sz w:val="24"/>
        </w:rPr>
        <w:t>Stevens Fishery Conservation and Management Reauthorization Act of 2006.  This section contains provisions and requirements for Limited Access Privilege Programs (LAPPS), which include ITQ programs.  These added provisions include § 303A(c</w:t>
      </w:r>
      <w:proofErr w:type="gramStart"/>
      <w:r w:rsidRPr="00162D27">
        <w:rPr>
          <w:sz w:val="24"/>
        </w:rPr>
        <w:t>)(</w:t>
      </w:r>
      <w:proofErr w:type="gramEnd"/>
      <w:r w:rsidRPr="00162D27">
        <w:rPr>
          <w:sz w:val="24"/>
        </w:rPr>
        <w:t>5)(D)(</w:t>
      </w:r>
      <w:proofErr w:type="spellStart"/>
      <w:r w:rsidRPr="00162D27">
        <w:rPr>
          <w:sz w:val="24"/>
        </w:rPr>
        <w:t>i</w:t>
      </w:r>
      <w:proofErr w:type="spellEnd"/>
      <w:r w:rsidRPr="00162D27">
        <w:rPr>
          <w:sz w:val="24"/>
        </w:rPr>
        <w:t xml:space="preserve">), which requires LAPPs </w:t>
      </w:r>
      <w:r w:rsidR="00D4534D" w:rsidRPr="00162D27">
        <w:rPr>
          <w:sz w:val="24"/>
        </w:rPr>
        <w:t xml:space="preserve">to </w:t>
      </w:r>
      <w:r w:rsidRPr="00162D27">
        <w:rPr>
          <w:sz w:val="24"/>
        </w:rPr>
        <w:t>ensure limited access privilege holders do not acquire an excessive share of the total limited access privileges in the program</w:t>
      </w:r>
      <w:r w:rsidR="00D4534D" w:rsidRPr="00162D27">
        <w:rPr>
          <w:sz w:val="24"/>
        </w:rPr>
        <w:t>,</w:t>
      </w:r>
      <w:r w:rsidRPr="00162D27">
        <w:rPr>
          <w:sz w:val="24"/>
        </w:rPr>
        <w:t xml:space="preserve"> by “establishing a maximum share, expressed as a percentage of the total limited access privileges, that a limited access privilege holder is permitted to hold, acquire, or use.”  Because the FMP does not currently include an excessive share cap expressed as a percentage of th</w:t>
      </w:r>
      <w:r w:rsidR="00D4534D" w:rsidRPr="00162D27">
        <w:rPr>
          <w:sz w:val="24"/>
        </w:rPr>
        <w:t xml:space="preserve">e total allocated quota, it is </w:t>
      </w:r>
      <w:r w:rsidRPr="00162D27">
        <w:rPr>
          <w:sz w:val="24"/>
        </w:rPr>
        <w:t xml:space="preserve">out of compliance with this provision of the Magnuson-Stevens Act.  </w:t>
      </w:r>
    </w:p>
    <w:p w:rsidR="0000759E" w:rsidRPr="00162D27" w:rsidRDefault="0000759E" w:rsidP="00E92E92">
      <w:pPr>
        <w:spacing w:before="100" w:beforeAutospacing="1" w:after="100" w:afterAutospacing="1"/>
        <w:rPr>
          <w:sz w:val="24"/>
        </w:rPr>
      </w:pPr>
      <w:r w:rsidRPr="00162D27">
        <w:rPr>
          <w:sz w:val="24"/>
        </w:rPr>
        <w:t>This information collection program is an important part of the Council’s efforts to establish a cap that meets this requirement.  See the response to Comment 2 for additional rationale for why this information collection is necessary.</w:t>
      </w:r>
    </w:p>
    <w:p w:rsidR="0000759E" w:rsidRPr="00162D27" w:rsidRDefault="0000759E" w:rsidP="00E92E92">
      <w:pPr>
        <w:spacing w:before="100" w:beforeAutospacing="1" w:after="100" w:afterAutospacing="1"/>
        <w:rPr>
          <w:sz w:val="24"/>
        </w:rPr>
      </w:pPr>
      <w:r w:rsidRPr="00162D27">
        <w:rPr>
          <w:i/>
          <w:sz w:val="24"/>
        </w:rPr>
        <w:t>Comment 2</w:t>
      </w:r>
      <w:r w:rsidRPr="00162D27">
        <w:rPr>
          <w:sz w:val="24"/>
        </w:rPr>
        <w:t xml:space="preserve">:  </w:t>
      </w:r>
      <w:r w:rsidR="00162D27" w:rsidRPr="00162D27">
        <w:rPr>
          <w:sz w:val="24"/>
        </w:rPr>
        <w:t>C</w:t>
      </w:r>
      <w:r w:rsidRPr="00162D27">
        <w:rPr>
          <w:sz w:val="24"/>
        </w:rPr>
        <w:t>omment</w:t>
      </w:r>
      <w:r w:rsidR="00162D27" w:rsidRPr="00162D27">
        <w:rPr>
          <w:sz w:val="24"/>
        </w:rPr>
        <w:t>ers</w:t>
      </w:r>
      <w:r w:rsidRPr="00162D27">
        <w:rPr>
          <w:sz w:val="24"/>
        </w:rPr>
        <w:t xml:space="preserve"> expressed concern that we are generally collecting too much information and that it is not necessary or applicable in helping determine excessive shares.  These comments expressed concern that we should not collect this information because it involves business transactions that should be confidential.  </w:t>
      </w:r>
    </w:p>
    <w:p w:rsidR="0000759E" w:rsidRPr="00162D27" w:rsidRDefault="0000759E" w:rsidP="00E92E92">
      <w:pPr>
        <w:spacing w:before="100" w:beforeAutospacing="1" w:after="100" w:afterAutospacing="1"/>
        <w:rPr>
          <w:sz w:val="24"/>
        </w:rPr>
      </w:pPr>
      <w:r w:rsidRPr="00162D27">
        <w:rPr>
          <w:i/>
          <w:sz w:val="24"/>
        </w:rPr>
        <w:t>Response</w:t>
      </w:r>
      <w:r w:rsidRPr="00162D27">
        <w:rPr>
          <w:sz w:val="24"/>
        </w:rPr>
        <w:t>:  We understand that this information collection includes more specific detail than is collected in other fisheries in the region.  However, prior reports and analyses for these fisheries suggest this information is necessary and appropriate to determine current ownership and control of allocations in the</w:t>
      </w:r>
      <w:r w:rsidR="00E92E92" w:rsidRPr="00162D27">
        <w:rPr>
          <w:sz w:val="24"/>
        </w:rPr>
        <w:t>se</w:t>
      </w:r>
      <w:r w:rsidRPr="00162D27">
        <w:rPr>
          <w:sz w:val="24"/>
        </w:rPr>
        <w:t xml:space="preserve"> fisher</w:t>
      </w:r>
      <w:r w:rsidR="00E92E92" w:rsidRPr="00162D27">
        <w:rPr>
          <w:sz w:val="24"/>
        </w:rPr>
        <w:t>ies</w:t>
      </w:r>
      <w:r w:rsidRPr="00162D27">
        <w:rPr>
          <w:sz w:val="24"/>
        </w:rPr>
        <w:t xml:space="preserve">.  In the surfclam and ocean quahog fisheries there is a series of complex corporate and business relationships involving control of quota shares.  A 2002 GAO report on this ITQ program suggested that NMFS did not gather sufficient ownership information to appropriately characterize the amount of consolidation in the fishery.  In 2011, NMFS and the MAFMC contracted an economic consulting firm to examine and report on potential excessive share caps in this fishery (Mitchell, Peterson and </w:t>
      </w:r>
      <w:proofErr w:type="spellStart"/>
      <w:r w:rsidRPr="00162D27">
        <w:rPr>
          <w:sz w:val="24"/>
        </w:rPr>
        <w:t>Willig</w:t>
      </w:r>
      <w:proofErr w:type="spellEnd"/>
      <w:r w:rsidRPr="00162D27">
        <w:rPr>
          <w:sz w:val="24"/>
        </w:rPr>
        <w:t xml:space="preserve">. </w:t>
      </w:r>
      <w:proofErr w:type="gramStart"/>
      <w:r w:rsidRPr="00162D27">
        <w:rPr>
          <w:i/>
          <w:sz w:val="24"/>
        </w:rPr>
        <w:t>Recommendations for Excessive Share Limits in the SCOQ Fisheries.</w:t>
      </w:r>
      <w:proofErr w:type="gramEnd"/>
      <w:r w:rsidRPr="00162D27">
        <w:rPr>
          <w:i/>
          <w:sz w:val="24"/>
        </w:rPr>
        <w:t xml:space="preserve"> </w:t>
      </w:r>
      <w:r w:rsidRPr="00162D27">
        <w:rPr>
          <w:sz w:val="24"/>
        </w:rPr>
        <w:t>May 3, 2011), and subsequently convened a panel of independent reviewers to evaluate the report (</w:t>
      </w:r>
      <w:r w:rsidRPr="00162D27">
        <w:rPr>
          <w:i/>
          <w:sz w:val="24"/>
        </w:rPr>
        <w:t>Summary of Findings by the Center for Independent Experts Regarding Setting Excessive Share Limits for ITQ Fisheries</w:t>
      </w:r>
      <w:r w:rsidRPr="00162D27">
        <w:rPr>
          <w:sz w:val="24"/>
        </w:rPr>
        <w:t xml:space="preserve">; </w:t>
      </w:r>
      <w:r w:rsidR="00E92E92" w:rsidRPr="00162D27">
        <w:rPr>
          <w:sz w:val="24"/>
        </w:rPr>
        <w:t>www.</w:t>
      </w:r>
      <w:r w:rsidRPr="00162D27">
        <w:rPr>
          <w:sz w:val="24"/>
        </w:rPr>
        <w:t xml:space="preserve">nefsc.noaa.gov/publications/crd/crd1122/).  </w:t>
      </w:r>
      <w:r w:rsidR="00D4534D" w:rsidRPr="00162D27">
        <w:rPr>
          <w:sz w:val="24"/>
        </w:rPr>
        <w:t>In</w:t>
      </w:r>
      <w:r w:rsidRPr="00162D27">
        <w:rPr>
          <w:sz w:val="24"/>
        </w:rPr>
        <w:t xml:space="preserve"> a series of public meetings, a special Council workgroup met and considered the recommendations of these reports, reviewed how ownership information is collected in other fisheries around the country, reviewed the information currently collected in this fishery, and then devised a suite of data elements that would provide the information the Council would need when developing an excessive shares cap.  These recommendations were detailed in a white paper that was considered and approved by the Council.  Without the additional information this action will collect, the Council may not have the information necessary to make informed decisions on excessive share caps.  When the Council ultimately establishes an excessive shares cap, it is possible that not all of these data </w:t>
      </w:r>
      <w:r w:rsidRPr="00162D27">
        <w:rPr>
          <w:sz w:val="24"/>
        </w:rPr>
        <w:lastRenderedPageBreak/>
        <w:t xml:space="preserve">elements will be necessary to effectively monitor the cap.  At that time, this collection will be reevaluated, and data elements may be added, removed, or modified to address the specific information needed to monitor the cap. </w:t>
      </w:r>
    </w:p>
    <w:p w:rsidR="0000759E" w:rsidRPr="00162D27" w:rsidRDefault="0000759E" w:rsidP="00E92E92">
      <w:pPr>
        <w:spacing w:before="100" w:beforeAutospacing="1" w:after="100" w:afterAutospacing="1"/>
        <w:rPr>
          <w:sz w:val="24"/>
        </w:rPr>
      </w:pPr>
      <w:r w:rsidRPr="00162D27">
        <w:rPr>
          <w:sz w:val="24"/>
        </w:rPr>
        <w:t xml:space="preserve">We agree </w:t>
      </w:r>
      <w:r w:rsidR="00D4534D" w:rsidRPr="00162D27">
        <w:rPr>
          <w:sz w:val="24"/>
        </w:rPr>
        <w:t xml:space="preserve">that some </w:t>
      </w:r>
      <w:r w:rsidRPr="00162D27">
        <w:rPr>
          <w:sz w:val="24"/>
        </w:rPr>
        <w:t xml:space="preserve">business transactions are confidential.  Pursuant to section 402(b) of the Magnuson-Stevens Act, information submitted in compliance with the Act is confidential, and would not be distributed or made publicly available.  These confidentiality requirements of the Magnuson-Stevens Act apply to information collected as a result of this action.  Therefore, the collected information may be used to conduct analysis by NMFS, or Council staff </w:t>
      </w:r>
      <w:r w:rsidR="00162D27">
        <w:rPr>
          <w:sz w:val="24"/>
        </w:rPr>
        <w:t xml:space="preserve">members </w:t>
      </w:r>
      <w:r w:rsidRPr="00162D27">
        <w:rPr>
          <w:sz w:val="24"/>
        </w:rPr>
        <w:t xml:space="preserve">who are subject to confidentiality agreements.  Results of this analysis could only be presented in an aggregate form, which </w:t>
      </w:r>
      <w:r w:rsidR="00D4534D" w:rsidRPr="00162D27">
        <w:rPr>
          <w:sz w:val="24"/>
        </w:rPr>
        <w:t>protects</w:t>
      </w:r>
      <w:r w:rsidRPr="00162D27">
        <w:rPr>
          <w:sz w:val="24"/>
        </w:rPr>
        <w:t xml:space="preserve"> any confidential information.</w:t>
      </w:r>
    </w:p>
    <w:p w:rsidR="0000759E" w:rsidRPr="00162D27" w:rsidRDefault="0000759E" w:rsidP="00E92E92">
      <w:pPr>
        <w:spacing w:before="100" w:beforeAutospacing="1" w:after="100" w:afterAutospacing="1"/>
        <w:rPr>
          <w:sz w:val="24"/>
        </w:rPr>
      </w:pPr>
      <w:r w:rsidRPr="00162D27">
        <w:rPr>
          <w:i/>
          <w:sz w:val="24"/>
        </w:rPr>
        <w:t>Comment 4</w:t>
      </w:r>
      <w:r w:rsidRPr="00162D27">
        <w:rPr>
          <w:sz w:val="24"/>
        </w:rPr>
        <w:t xml:space="preserve">:  </w:t>
      </w:r>
      <w:r w:rsidR="00162D27" w:rsidRPr="00162D27">
        <w:rPr>
          <w:sz w:val="24"/>
        </w:rPr>
        <w:t xml:space="preserve">The commenters opposed the fact that we did not heed </w:t>
      </w:r>
      <w:r w:rsidRPr="00162D27">
        <w:rPr>
          <w:sz w:val="24"/>
        </w:rPr>
        <w:t xml:space="preserve">a motion approved at the October 2014 Council meeting to request we remove much of the information to be collected on the ITQ transfer form.  </w:t>
      </w:r>
    </w:p>
    <w:p w:rsidR="0000759E" w:rsidRPr="004F7366" w:rsidRDefault="0000759E" w:rsidP="00E92E92">
      <w:pPr>
        <w:spacing w:before="100" w:beforeAutospacing="1" w:after="100" w:afterAutospacing="1"/>
        <w:rPr>
          <w:sz w:val="24"/>
        </w:rPr>
      </w:pPr>
      <w:r w:rsidRPr="004F7366">
        <w:rPr>
          <w:i/>
          <w:sz w:val="24"/>
        </w:rPr>
        <w:t>Response</w:t>
      </w:r>
      <w:r w:rsidRPr="004F7366">
        <w:rPr>
          <w:sz w:val="24"/>
        </w:rPr>
        <w:t xml:space="preserve">:  </w:t>
      </w:r>
      <w:r w:rsidR="00162D27" w:rsidRPr="004F7366">
        <w:rPr>
          <w:sz w:val="24"/>
        </w:rPr>
        <w:t xml:space="preserve">In the July 20, 2015, final rule we explained that while </w:t>
      </w:r>
      <w:r w:rsidRPr="004F7366">
        <w:rPr>
          <w:sz w:val="24"/>
        </w:rPr>
        <w:t>the motion was supported by a majority of the Council members present, the vote was not unanimous and there were members who expressed a strong interest in having this information available when they consider an excessive shares cap.</w:t>
      </w:r>
      <w:r w:rsidR="00162D27" w:rsidRPr="004F7366">
        <w:rPr>
          <w:sz w:val="24"/>
        </w:rPr>
        <w:t xml:space="preserve">  </w:t>
      </w:r>
      <w:r w:rsidRPr="004F7366">
        <w:rPr>
          <w:sz w:val="24"/>
        </w:rPr>
        <w:t xml:space="preserve">Removing these fields from the ITQ transfer form would be contrary to the recommendations in the white paper prepared by the Council’s special workgroup and the 2011 report </w:t>
      </w:r>
      <w:r w:rsidRPr="004F7366">
        <w:rPr>
          <w:i/>
          <w:sz w:val="24"/>
        </w:rPr>
        <w:t>Economic Guidelines for Excessive Share Limits in the Surfclam and Ocean Quahog Fisheries</w:t>
      </w:r>
      <w:r w:rsidRPr="004F7366">
        <w:rPr>
          <w:sz w:val="24"/>
        </w:rPr>
        <w:t xml:space="preserve">.  Currently, no information is collected on the financial aspects of allocation transfers in the surfclam and ocean quahog ITQ fishery.  Similar programs around the country routinely collect </w:t>
      </w:r>
      <w:r w:rsidR="00D4534D" w:rsidRPr="004F7366">
        <w:rPr>
          <w:sz w:val="24"/>
        </w:rPr>
        <w:t xml:space="preserve">information about </w:t>
      </w:r>
      <w:r w:rsidRPr="004F7366">
        <w:rPr>
          <w:sz w:val="24"/>
        </w:rPr>
        <w:t xml:space="preserve">the price paid for allocation.  This information can provide valuable insight into the market for quota or long-term contracts and agreements that would not otherwise be apparent.  These additional details about transfers can illuminate situations where individuals or companies exert effective control over ITQ allocation, even if they do not directly hold the quota share. </w:t>
      </w:r>
      <w:r w:rsidR="00162D27">
        <w:rPr>
          <w:sz w:val="24"/>
        </w:rPr>
        <w:t>Under section 402(a) of the M</w:t>
      </w:r>
      <w:r w:rsidR="00162D27" w:rsidRPr="00162D27">
        <w:rPr>
          <w:sz w:val="24"/>
        </w:rPr>
        <w:t>agnuson-Stevens Act</w:t>
      </w:r>
      <w:r w:rsidR="00162D27">
        <w:rPr>
          <w:sz w:val="24"/>
        </w:rPr>
        <w:t>, t</w:t>
      </w:r>
      <w:r w:rsidR="00162D27" w:rsidRPr="00162D27">
        <w:rPr>
          <w:sz w:val="24"/>
        </w:rPr>
        <w:t>he Secretary</w:t>
      </w:r>
      <w:r w:rsidR="00162D27">
        <w:rPr>
          <w:sz w:val="24"/>
        </w:rPr>
        <w:t xml:space="preserve"> of Commerce</w:t>
      </w:r>
      <w:r w:rsidR="00162D27" w:rsidRPr="00162D27">
        <w:rPr>
          <w:sz w:val="24"/>
        </w:rPr>
        <w:t xml:space="preserve"> has the authority</w:t>
      </w:r>
      <w:r w:rsidR="004F7366">
        <w:rPr>
          <w:sz w:val="24"/>
        </w:rPr>
        <w:t xml:space="preserve"> to implement an information collection program that she deems necessary for </w:t>
      </w:r>
      <w:r w:rsidR="004F7366" w:rsidRPr="004F7366">
        <w:rPr>
          <w:sz w:val="24"/>
        </w:rPr>
        <w:t xml:space="preserve">developing, implementing, </w:t>
      </w:r>
      <w:r w:rsidR="004F7366">
        <w:rPr>
          <w:sz w:val="24"/>
        </w:rPr>
        <w:t xml:space="preserve">or </w:t>
      </w:r>
      <w:r w:rsidR="004F7366" w:rsidRPr="004F7366">
        <w:rPr>
          <w:sz w:val="24"/>
        </w:rPr>
        <w:t xml:space="preserve">revising </w:t>
      </w:r>
      <w:r w:rsidR="004F7366">
        <w:rPr>
          <w:sz w:val="24"/>
        </w:rPr>
        <w:t xml:space="preserve">a fishery management plan, either at the recommendation </w:t>
      </w:r>
      <w:r w:rsidR="004F7366" w:rsidRPr="004F7366">
        <w:rPr>
          <w:sz w:val="24"/>
        </w:rPr>
        <w:t>of a council or under her own volition.</w:t>
      </w:r>
    </w:p>
    <w:p w:rsidR="0000759E" w:rsidRPr="0000759E" w:rsidRDefault="0000759E" w:rsidP="00E92E92">
      <w:pPr>
        <w:spacing w:before="100" w:beforeAutospacing="1" w:after="100" w:afterAutospacing="1"/>
        <w:rPr>
          <w:sz w:val="24"/>
        </w:rPr>
      </w:pPr>
      <w:r w:rsidRPr="004F7366">
        <w:rPr>
          <w:sz w:val="24"/>
        </w:rPr>
        <w:t>As mentioned above in the response to Comment 2, we anticipate that the specific data elements will be reevaluated and revised when an excessive share cap is implemented.  For these reasons, we continue to support the inclusion of all of the proposed elements of this information collection program, at least for the short term.  Therefore, this action implements the ITQ transfer form as described in the proposed rule.</w:t>
      </w:r>
    </w:p>
    <w:p w:rsidR="002F4D0F" w:rsidRPr="00E02850" w:rsidRDefault="002F4D0F" w:rsidP="00FD7BE0">
      <w:pPr>
        <w:rPr>
          <w:sz w:val="24"/>
        </w:rPr>
      </w:pPr>
      <w:r w:rsidRPr="00E02850">
        <w:rPr>
          <w:b/>
          <w:sz w:val="24"/>
        </w:rPr>
        <w:t xml:space="preserve">9.  </w:t>
      </w:r>
      <w:r w:rsidRPr="00E02850">
        <w:rPr>
          <w:b/>
          <w:sz w:val="24"/>
          <w:u w:val="single"/>
        </w:rPr>
        <w:t>Explain any decisions to provide payments or gifts to respondents, other than remuneration of contractors or grantees</w:t>
      </w:r>
      <w:r w:rsidRPr="00E02850">
        <w:rPr>
          <w:b/>
          <w:sz w:val="24"/>
        </w:rPr>
        <w:t>.</w:t>
      </w:r>
    </w:p>
    <w:p w:rsidR="002F4D0F" w:rsidRPr="00E02850" w:rsidRDefault="002F4D0F" w:rsidP="00FD7BE0">
      <w:pPr>
        <w:rPr>
          <w:sz w:val="24"/>
        </w:rPr>
      </w:pPr>
    </w:p>
    <w:p w:rsidR="002F4D0F" w:rsidRPr="00E02850" w:rsidRDefault="002F4D0F" w:rsidP="00FD7BE0">
      <w:pPr>
        <w:rPr>
          <w:rFonts w:ascii="Tms Rmn 12pt" w:hAnsi="Tms Rmn 12pt"/>
          <w:sz w:val="24"/>
        </w:rPr>
      </w:pPr>
      <w:r w:rsidRPr="00E02850">
        <w:rPr>
          <w:rFonts w:ascii="Tms Rmn 12pt" w:hAnsi="Tms Rmn 12pt"/>
          <w:sz w:val="24"/>
        </w:rPr>
        <w:t>No payments or gifts are made.</w:t>
      </w:r>
    </w:p>
    <w:p w:rsidR="002B08EA" w:rsidRDefault="002B08EA" w:rsidP="00FD7BE0">
      <w:pPr>
        <w:rPr>
          <w:b/>
          <w:sz w:val="24"/>
        </w:rPr>
      </w:pPr>
    </w:p>
    <w:p w:rsidR="002F4D0F" w:rsidRPr="00E02850" w:rsidRDefault="002F4D0F" w:rsidP="00DB27DD">
      <w:pPr>
        <w:keepNext/>
        <w:rPr>
          <w:sz w:val="24"/>
        </w:rPr>
      </w:pPr>
      <w:r w:rsidRPr="00E02850">
        <w:rPr>
          <w:b/>
          <w:sz w:val="24"/>
        </w:rPr>
        <w:lastRenderedPageBreak/>
        <w:t xml:space="preserve">10.  </w:t>
      </w:r>
      <w:r w:rsidRPr="00E02850">
        <w:rPr>
          <w:b/>
          <w:sz w:val="24"/>
          <w:u w:val="single"/>
        </w:rPr>
        <w:t>Describe any assurance or confidentiality provided to respondents and the basis for assurance in statute, regulation, or agency policy</w:t>
      </w:r>
      <w:r w:rsidRPr="00E02850">
        <w:rPr>
          <w:b/>
          <w:sz w:val="24"/>
        </w:rPr>
        <w:t>.</w:t>
      </w:r>
    </w:p>
    <w:p w:rsidR="002F4D0F" w:rsidRPr="007622DC" w:rsidRDefault="002F4D0F" w:rsidP="00DB27DD">
      <w:pPr>
        <w:keepNext/>
        <w:rPr>
          <w:sz w:val="24"/>
        </w:rPr>
      </w:pPr>
    </w:p>
    <w:p w:rsidR="002F4D0F" w:rsidRDefault="002F4D0F" w:rsidP="00DB27DD">
      <w:pPr>
        <w:keepNext/>
        <w:rPr>
          <w:sz w:val="24"/>
        </w:rPr>
      </w:pPr>
      <w:r w:rsidRPr="007622DC">
        <w:rPr>
          <w:sz w:val="24"/>
        </w:rPr>
        <w:t>The NMFS General Counsel has ruled that allocation information is public information because the ITQ system assigns shares of a public resource to the allocation holders.  Industry participants</w:t>
      </w:r>
      <w:r w:rsidR="004B1F20" w:rsidRPr="007622DC">
        <w:rPr>
          <w:sz w:val="24"/>
        </w:rPr>
        <w:t xml:space="preserve"> </w:t>
      </w:r>
      <w:r w:rsidRPr="007622DC">
        <w:rPr>
          <w:sz w:val="24"/>
        </w:rPr>
        <w:t>are well aware of this fact, and they are among the primary requesters of this information as they seek to transfer or obtain allocation.</w:t>
      </w:r>
    </w:p>
    <w:p w:rsidR="008921C7" w:rsidRPr="00E02850" w:rsidRDefault="008921C7" w:rsidP="00FD7BE0">
      <w:pPr>
        <w:rPr>
          <w:sz w:val="24"/>
          <w:highlight w:val="lightGray"/>
        </w:rPr>
      </w:pPr>
    </w:p>
    <w:p w:rsidR="008921C7" w:rsidRPr="007622DC" w:rsidRDefault="008921C7" w:rsidP="00FD7BE0">
      <w:pPr>
        <w:rPr>
          <w:sz w:val="24"/>
        </w:rPr>
      </w:pPr>
      <w:r w:rsidRPr="007622DC">
        <w:rPr>
          <w:sz w:val="24"/>
        </w:rPr>
        <w:t>The information submitted under the</w:t>
      </w:r>
      <w:r w:rsidR="007622DC" w:rsidRPr="007622DC">
        <w:rPr>
          <w:sz w:val="24"/>
        </w:rPr>
        <w:t xml:space="preserve"> PSP testing</w:t>
      </w:r>
      <w:r w:rsidRPr="007622DC">
        <w:rPr>
          <w:sz w:val="24"/>
        </w:rPr>
        <w:t xml:space="preserve"> protocol is also public as it is distributed to state and other Federal agencies with the intent of making it publicly available for analysis.  It is in fact beneficial to make this information available to the public as it displays that the product being harvested is safe for human consumption and could potentially lead to other areas being reopened for shellfish harvesting.  </w:t>
      </w:r>
    </w:p>
    <w:p w:rsidR="00D62405" w:rsidRPr="00E02850" w:rsidRDefault="00D62405" w:rsidP="00FD7BE0">
      <w:pPr>
        <w:rPr>
          <w:sz w:val="24"/>
          <w:highlight w:val="lightGray"/>
        </w:rPr>
      </w:pPr>
    </w:p>
    <w:p w:rsidR="002F4D0F" w:rsidRDefault="00627791" w:rsidP="00FD7BE0">
      <w:pPr>
        <w:rPr>
          <w:color w:val="222222"/>
          <w:sz w:val="24"/>
          <w:szCs w:val="24"/>
          <w:shd w:val="clear" w:color="auto" w:fill="FFFFFF"/>
        </w:rPr>
      </w:pPr>
      <w:r w:rsidRPr="007622DC">
        <w:rPr>
          <w:color w:val="222222"/>
          <w:sz w:val="24"/>
          <w:szCs w:val="24"/>
          <w:shd w:val="clear" w:color="auto" w:fill="FFFFFF"/>
        </w:rPr>
        <w:t>The respondents are aware that the data collected with the testing</w:t>
      </w:r>
      <w:r w:rsidRPr="007622DC">
        <w:rPr>
          <w:color w:val="222222"/>
          <w:sz w:val="24"/>
          <w:szCs w:val="24"/>
        </w:rPr>
        <w:t xml:space="preserve"> </w:t>
      </w:r>
      <w:r w:rsidRPr="007622DC">
        <w:rPr>
          <w:color w:val="222222"/>
          <w:sz w:val="24"/>
          <w:szCs w:val="24"/>
          <w:shd w:val="clear" w:color="auto" w:fill="FFFFFF"/>
        </w:rPr>
        <w:t>protocol is not confidential, and is available to the public.  The</w:t>
      </w:r>
      <w:r w:rsidRPr="007622DC">
        <w:rPr>
          <w:color w:val="222222"/>
          <w:sz w:val="24"/>
          <w:szCs w:val="24"/>
        </w:rPr>
        <w:t xml:space="preserve"> </w:t>
      </w:r>
      <w:r w:rsidRPr="007622DC">
        <w:rPr>
          <w:color w:val="222222"/>
          <w:sz w:val="24"/>
          <w:szCs w:val="24"/>
          <w:shd w:val="clear" w:color="auto" w:fill="FFFFFF"/>
        </w:rPr>
        <w:t>industry was involved in developing the protocol, and they know that having the</w:t>
      </w:r>
      <w:r w:rsidRPr="007622DC">
        <w:rPr>
          <w:color w:val="222222"/>
          <w:sz w:val="24"/>
          <w:szCs w:val="24"/>
        </w:rPr>
        <w:t xml:space="preserve"> </w:t>
      </w:r>
      <w:r w:rsidRPr="007622DC">
        <w:rPr>
          <w:color w:val="222222"/>
          <w:sz w:val="24"/>
          <w:szCs w:val="24"/>
          <w:shd w:val="clear" w:color="auto" w:fill="FFFFFF"/>
        </w:rPr>
        <w:t>information publicly available for use by the FDA is essential to continuing to monitor the area, in order to</w:t>
      </w:r>
      <w:r w:rsidRPr="007622DC">
        <w:rPr>
          <w:color w:val="222222"/>
          <w:sz w:val="24"/>
          <w:szCs w:val="24"/>
        </w:rPr>
        <w:t xml:space="preserve"> </w:t>
      </w:r>
      <w:r w:rsidRPr="007622DC">
        <w:rPr>
          <w:color w:val="222222"/>
          <w:sz w:val="24"/>
          <w:szCs w:val="24"/>
          <w:shd w:val="clear" w:color="auto" w:fill="FFFFFF"/>
        </w:rPr>
        <w:t>ensure shellfish harvested are safe for human consumption.  It is in</w:t>
      </w:r>
      <w:r w:rsidRPr="007622DC">
        <w:rPr>
          <w:color w:val="222222"/>
          <w:sz w:val="24"/>
          <w:szCs w:val="24"/>
        </w:rPr>
        <w:t xml:space="preserve"> </w:t>
      </w:r>
      <w:r w:rsidRPr="007622DC">
        <w:rPr>
          <w:color w:val="222222"/>
          <w:sz w:val="24"/>
          <w:szCs w:val="24"/>
          <w:shd w:val="clear" w:color="auto" w:fill="FFFFFF"/>
        </w:rPr>
        <w:t>fact advantageous for the industry to make this information publicly</w:t>
      </w:r>
      <w:r w:rsidRPr="007622DC">
        <w:rPr>
          <w:color w:val="222222"/>
          <w:sz w:val="24"/>
          <w:szCs w:val="24"/>
        </w:rPr>
        <w:t xml:space="preserve"> </w:t>
      </w:r>
      <w:r w:rsidRPr="007622DC">
        <w:rPr>
          <w:color w:val="222222"/>
          <w:sz w:val="24"/>
          <w:szCs w:val="24"/>
          <w:shd w:val="clear" w:color="auto" w:fill="FFFFFF"/>
        </w:rPr>
        <w:t>available so the public is informed that shellfish harvested are safe</w:t>
      </w:r>
      <w:r w:rsidRPr="007622DC">
        <w:rPr>
          <w:color w:val="222222"/>
          <w:sz w:val="24"/>
          <w:szCs w:val="24"/>
        </w:rPr>
        <w:t xml:space="preserve"> </w:t>
      </w:r>
      <w:r w:rsidRPr="007622DC">
        <w:rPr>
          <w:color w:val="222222"/>
          <w:sz w:val="24"/>
          <w:szCs w:val="24"/>
          <w:shd w:val="clear" w:color="auto" w:fill="FFFFFF"/>
        </w:rPr>
        <w:t>for consumption, allowing the industry to maintain the Atlantic</w:t>
      </w:r>
      <w:r w:rsidRPr="007622DC">
        <w:rPr>
          <w:color w:val="222222"/>
          <w:sz w:val="24"/>
          <w:szCs w:val="24"/>
        </w:rPr>
        <w:t xml:space="preserve"> </w:t>
      </w:r>
      <w:r w:rsidRPr="007622DC">
        <w:rPr>
          <w:color w:val="222222"/>
          <w:sz w:val="24"/>
          <w:szCs w:val="24"/>
          <w:shd w:val="clear" w:color="auto" w:fill="FFFFFF"/>
        </w:rPr>
        <w:t>surfclam and ocean quahog markets.</w:t>
      </w:r>
    </w:p>
    <w:p w:rsidR="00B438C8" w:rsidRDefault="00B438C8" w:rsidP="00FD7BE0">
      <w:pPr>
        <w:rPr>
          <w:color w:val="222222"/>
          <w:sz w:val="24"/>
          <w:szCs w:val="24"/>
          <w:shd w:val="clear" w:color="auto" w:fill="FFFFFF"/>
        </w:rPr>
      </w:pPr>
    </w:p>
    <w:p w:rsidR="00B438C8" w:rsidRPr="007622DC" w:rsidRDefault="00B438C8" w:rsidP="00FD7BE0">
      <w:pPr>
        <w:rPr>
          <w:color w:val="222222"/>
          <w:sz w:val="24"/>
          <w:szCs w:val="24"/>
          <w:shd w:val="clear" w:color="auto" w:fill="FFFFFF"/>
        </w:rPr>
      </w:pPr>
      <w:r w:rsidRPr="00B438C8">
        <w:rPr>
          <w:color w:val="222222"/>
          <w:sz w:val="24"/>
          <w:szCs w:val="24"/>
          <w:shd w:val="clear" w:color="auto" w:fill="FFFFFF"/>
        </w:rPr>
        <w:t>Otherwise</w:t>
      </w:r>
      <w:r w:rsidR="002B08EA">
        <w:rPr>
          <w:color w:val="222222"/>
          <w:sz w:val="24"/>
          <w:szCs w:val="24"/>
          <w:shd w:val="clear" w:color="auto" w:fill="FFFFFF"/>
        </w:rPr>
        <w:t xml:space="preserve">, as stated on the forms, </w:t>
      </w:r>
      <w:r w:rsidRPr="00B438C8">
        <w:rPr>
          <w:color w:val="222222"/>
          <w:sz w:val="24"/>
          <w:szCs w:val="24"/>
          <w:shd w:val="clear" w:color="auto" w:fill="FFFFFF"/>
        </w:rPr>
        <w:t>information submitted to NMFS</w:t>
      </w:r>
      <w:r>
        <w:rPr>
          <w:color w:val="222222"/>
          <w:sz w:val="24"/>
          <w:szCs w:val="24"/>
          <w:shd w:val="clear" w:color="auto" w:fill="FFFFFF"/>
        </w:rPr>
        <w:t xml:space="preserve"> by any person</w:t>
      </w:r>
      <w:r w:rsidRPr="00B438C8">
        <w:rPr>
          <w:color w:val="222222"/>
          <w:sz w:val="24"/>
          <w:szCs w:val="24"/>
          <w:shd w:val="clear" w:color="auto" w:fill="FFFFFF"/>
        </w:rPr>
        <w:t xml:space="preserve"> in compliance</w:t>
      </w:r>
      <w:r>
        <w:rPr>
          <w:color w:val="222222"/>
          <w:sz w:val="24"/>
          <w:szCs w:val="24"/>
          <w:shd w:val="clear" w:color="auto" w:fill="FFFFFF"/>
        </w:rPr>
        <w:t xml:space="preserve"> with this information collection</w:t>
      </w:r>
      <w:r w:rsidRPr="00B438C8">
        <w:rPr>
          <w:color w:val="222222"/>
          <w:sz w:val="24"/>
          <w:szCs w:val="24"/>
          <w:shd w:val="clear" w:color="auto" w:fill="FFFFFF"/>
        </w:rPr>
        <w:t xml:space="preserve"> is confidential pursuant to 16 U.S.C. 1881a.</w:t>
      </w:r>
    </w:p>
    <w:p w:rsidR="00627791" w:rsidRPr="00E02850" w:rsidRDefault="00627791" w:rsidP="00FD7BE0">
      <w:pPr>
        <w:rPr>
          <w:sz w:val="24"/>
          <w:szCs w:val="24"/>
          <w:highlight w:val="lightGray"/>
        </w:rPr>
      </w:pPr>
    </w:p>
    <w:p w:rsidR="002F4D0F" w:rsidRPr="00E02850" w:rsidRDefault="002F4D0F" w:rsidP="00FD7BE0">
      <w:pPr>
        <w:rPr>
          <w:sz w:val="24"/>
        </w:rPr>
      </w:pPr>
      <w:r w:rsidRPr="00E02850">
        <w:rPr>
          <w:b/>
          <w:sz w:val="24"/>
        </w:rPr>
        <w:t xml:space="preserve">11.  </w:t>
      </w:r>
      <w:r w:rsidRPr="00E02850">
        <w:rPr>
          <w:b/>
          <w:sz w:val="24"/>
          <w:u w:val="single"/>
        </w:rPr>
        <w:t>Provide additional justification for any questions of a sensitive nature, such as sexual behavior and attitudes, religious beliefs, and other matters that are commonly considered private</w:t>
      </w:r>
      <w:r w:rsidRPr="00E02850">
        <w:rPr>
          <w:b/>
          <w:sz w:val="24"/>
        </w:rPr>
        <w:t>.</w:t>
      </w:r>
    </w:p>
    <w:p w:rsidR="002F4D0F" w:rsidRPr="00E02850" w:rsidRDefault="002F4D0F" w:rsidP="00FD7BE0">
      <w:pPr>
        <w:rPr>
          <w:sz w:val="24"/>
        </w:rPr>
      </w:pPr>
    </w:p>
    <w:p w:rsidR="002F4D0F" w:rsidRDefault="002F4D0F" w:rsidP="00FD7BE0">
      <w:pPr>
        <w:rPr>
          <w:rFonts w:ascii="Tms Rmn 12pt" w:hAnsi="Tms Rmn 12pt"/>
          <w:sz w:val="24"/>
        </w:rPr>
      </w:pPr>
      <w:r w:rsidRPr="00E02850">
        <w:rPr>
          <w:rFonts w:ascii="Tms Rmn 12pt" w:hAnsi="Tms Rmn 12pt"/>
          <w:sz w:val="24"/>
        </w:rPr>
        <w:t>No sensitive questions are asked.</w:t>
      </w:r>
    </w:p>
    <w:p w:rsidR="00484F79" w:rsidRPr="00E02850" w:rsidRDefault="00484F79" w:rsidP="00FD7BE0">
      <w:pPr>
        <w:rPr>
          <w:rFonts w:ascii="Tms Rmn 12pt" w:hAnsi="Tms Rmn 12pt"/>
          <w:sz w:val="24"/>
        </w:rPr>
      </w:pPr>
    </w:p>
    <w:p w:rsidR="002F4D0F" w:rsidRPr="00E02850" w:rsidRDefault="002F4D0F" w:rsidP="00FD7BE0">
      <w:pPr>
        <w:rPr>
          <w:sz w:val="24"/>
          <w:highlight w:val="lightGray"/>
        </w:rPr>
      </w:pPr>
      <w:r w:rsidRPr="00E02850">
        <w:rPr>
          <w:b/>
          <w:sz w:val="24"/>
        </w:rPr>
        <w:t xml:space="preserve">12.  </w:t>
      </w:r>
      <w:r w:rsidRPr="00E02850">
        <w:rPr>
          <w:b/>
          <w:sz w:val="24"/>
          <w:u w:val="single"/>
        </w:rPr>
        <w:t>Provide an estimate in hours of the burden of the collection of information</w:t>
      </w:r>
      <w:r w:rsidRPr="00E02850">
        <w:rPr>
          <w:b/>
          <w:sz w:val="24"/>
        </w:rPr>
        <w:t>.</w:t>
      </w:r>
    </w:p>
    <w:p w:rsidR="002F4D0F" w:rsidRPr="00E02850" w:rsidRDefault="002F4D0F" w:rsidP="00FD7BE0">
      <w:pPr>
        <w:rPr>
          <w:sz w:val="24"/>
          <w:highlight w:val="lightGray"/>
        </w:rPr>
      </w:pPr>
    </w:p>
    <w:p w:rsidR="00A66490" w:rsidRDefault="004024C7" w:rsidP="00484F79">
      <w:pPr>
        <w:rPr>
          <w:b/>
          <w:sz w:val="24"/>
        </w:rPr>
      </w:pPr>
      <w:r w:rsidRPr="00E02850">
        <w:rPr>
          <w:sz w:val="24"/>
        </w:rPr>
        <w:t xml:space="preserve">Table 1 below summarizes the </w:t>
      </w:r>
      <w:r w:rsidR="005B55FA" w:rsidRPr="00E02850">
        <w:rPr>
          <w:sz w:val="24"/>
        </w:rPr>
        <w:t>burden hours estimated for this collection.</w:t>
      </w:r>
      <w:r w:rsidR="00775670" w:rsidRPr="00E02850">
        <w:rPr>
          <w:sz w:val="24"/>
        </w:rPr>
        <w:t xml:space="preserve">  </w:t>
      </w:r>
      <w:r w:rsidR="00E02850">
        <w:rPr>
          <w:sz w:val="24"/>
        </w:rPr>
        <w:t xml:space="preserve">From </w:t>
      </w:r>
      <w:r w:rsidR="00E02850" w:rsidRPr="00BD51BC">
        <w:rPr>
          <w:sz w:val="24"/>
        </w:rPr>
        <w:t>2011</w:t>
      </w:r>
      <w:r w:rsidR="008F4638">
        <w:rPr>
          <w:sz w:val="24"/>
        </w:rPr>
        <w:t xml:space="preserve"> to </w:t>
      </w:r>
      <w:r w:rsidR="00484F79">
        <w:rPr>
          <w:sz w:val="24"/>
        </w:rPr>
        <w:t>20</w:t>
      </w:r>
      <w:r w:rsidR="00E02850" w:rsidRPr="00BD51BC">
        <w:rPr>
          <w:sz w:val="24"/>
        </w:rPr>
        <w:t xml:space="preserve">13, </w:t>
      </w:r>
      <w:r w:rsidR="00BD51BC" w:rsidRPr="00BD51BC">
        <w:rPr>
          <w:sz w:val="24"/>
        </w:rPr>
        <w:t xml:space="preserve">the average annual number of </w:t>
      </w:r>
      <w:r w:rsidR="00BD51BC">
        <w:rPr>
          <w:sz w:val="24"/>
        </w:rPr>
        <w:t xml:space="preserve">ITQ allocation holders that either held ITQ quota share or participated in an ITQ transfer was </w:t>
      </w:r>
      <w:r w:rsidR="00FC5095">
        <w:rPr>
          <w:sz w:val="24"/>
        </w:rPr>
        <w:t>189</w:t>
      </w:r>
      <w:r w:rsidR="00BD51BC">
        <w:rPr>
          <w:sz w:val="24"/>
        </w:rPr>
        <w:t xml:space="preserve">.  Each ITQ permit application form is estimated to take </w:t>
      </w:r>
      <w:r w:rsidR="00BD51BC" w:rsidRPr="00412876">
        <w:rPr>
          <w:sz w:val="24"/>
        </w:rPr>
        <w:t xml:space="preserve">5 minutes to complete.  </w:t>
      </w:r>
      <w:r w:rsidR="007622DC" w:rsidRPr="00A66490">
        <w:rPr>
          <w:b/>
          <w:sz w:val="24"/>
        </w:rPr>
        <w:t xml:space="preserve">Therefore, the annual burden for the ITQ permit application is 16 hours.  </w:t>
      </w:r>
      <w:r w:rsidR="00BD51BC">
        <w:rPr>
          <w:sz w:val="24"/>
        </w:rPr>
        <w:t xml:space="preserve">Each ITQ ownership form is estimates to </w:t>
      </w:r>
      <w:r w:rsidR="00BD51BC" w:rsidRPr="00412876">
        <w:rPr>
          <w:sz w:val="24"/>
        </w:rPr>
        <w:t xml:space="preserve">take </w:t>
      </w:r>
      <w:r w:rsidR="00FC5095" w:rsidRPr="00412876">
        <w:rPr>
          <w:sz w:val="24"/>
        </w:rPr>
        <w:t>1</w:t>
      </w:r>
      <w:r w:rsidR="007622DC" w:rsidRPr="00412876">
        <w:rPr>
          <w:sz w:val="24"/>
        </w:rPr>
        <w:t xml:space="preserve"> </w:t>
      </w:r>
      <w:r w:rsidR="00FC5095" w:rsidRPr="00412876">
        <w:rPr>
          <w:sz w:val="24"/>
        </w:rPr>
        <w:t>hour</w:t>
      </w:r>
      <w:r w:rsidR="00BD51BC" w:rsidRPr="00412876">
        <w:rPr>
          <w:sz w:val="24"/>
        </w:rPr>
        <w:t xml:space="preserve"> to</w:t>
      </w:r>
      <w:r w:rsidR="00BD51BC">
        <w:rPr>
          <w:sz w:val="24"/>
        </w:rPr>
        <w:t xml:space="preserve"> complete</w:t>
      </w:r>
      <w:r w:rsidR="00FC5095">
        <w:rPr>
          <w:sz w:val="24"/>
        </w:rPr>
        <w:t xml:space="preserve"> for new entrants and </w:t>
      </w:r>
      <w:r w:rsidR="00FC5095" w:rsidRPr="00412876">
        <w:rPr>
          <w:sz w:val="24"/>
        </w:rPr>
        <w:t>5</w:t>
      </w:r>
      <w:r w:rsidR="00FC5095">
        <w:rPr>
          <w:sz w:val="24"/>
        </w:rPr>
        <w:t xml:space="preserve"> minutes when pre-filled in for renewing entities</w:t>
      </w:r>
      <w:r w:rsidR="00BD51BC">
        <w:rPr>
          <w:sz w:val="24"/>
        </w:rPr>
        <w:t xml:space="preserve">.  </w:t>
      </w:r>
      <w:r w:rsidR="007622DC">
        <w:rPr>
          <w:sz w:val="24"/>
        </w:rPr>
        <w:t xml:space="preserve">All </w:t>
      </w:r>
      <w:r w:rsidR="008473C8">
        <w:rPr>
          <w:sz w:val="24"/>
        </w:rPr>
        <w:t xml:space="preserve">189 </w:t>
      </w:r>
      <w:r w:rsidR="007622DC">
        <w:rPr>
          <w:sz w:val="24"/>
        </w:rPr>
        <w:t>ITQ permit holders will need to fill out the ownership form the first year</w:t>
      </w:r>
      <w:r w:rsidR="008473C8">
        <w:rPr>
          <w:sz w:val="24"/>
        </w:rPr>
        <w:t xml:space="preserve"> this form is used</w:t>
      </w:r>
      <w:r w:rsidR="007622DC">
        <w:rPr>
          <w:sz w:val="24"/>
        </w:rPr>
        <w:t xml:space="preserve">.  </w:t>
      </w:r>
      <w:r w:rsidR="008473C8">
        <w:rPr>
          <w:sz w:val="24"/>
        </w:rPr>
        <w:t>A</w:t>
      </w:r>
      <w:r w:rsidR="00412876">
        <w:rPr>
          <w:sz w:val="24"/>
        </w:rPr>
        <w:t>fter the first year, mos</w:t>
      </w:r>
      <w:r w:rsidR="00130D4B">
        <w:rPr>
          <w:sz w:val="24"/>
        </w:rPr>
        <w:t>t respondents are expected to renew</w:t>
      </w:r>
      <w:r w:rsidR="00C24034">
        <w:rPr>
          <w:sz w:val="24"/>
        </w:rPr>
        <w:t xml:space="preserve"> </w:t>
      </w:r>
      <w:r w:rsidR="00BA1993">
        <w:rPr>
          <w:sz w:val="24"/>
        </w:rPr>
        <w:t xml:space="preserve">an </w:t>
      </w:r>
      <w:r w:rsidR="00130D4B">
        <w:rPr>
          <w:sz w:val="24"/>
        </w:rPr>
        <w:t xml:space="preserve">existing </w:t>
      </w:r>
      <w:r w:rsidR="00BA1993">
        <w:rPr>
          <w:sz w:val="24"/>
        </w:rPr>
        <w:t>ITQ permit and will not need to complete the full ownership form.</w:t>
      </w:r>
      <w:r w:rsidR="00412876">
        <w:rPr>
          <w:sz w:val="24"/>
        </w:rPr>
        <w:t xml:space="preserve"> </w:t>
      </w:r>
      <w:r w:rsidR="00C24034">
        <w:rPr>
          <w:sz w:val="24"/>
        </w:rPr>
        <w:t xml:space="preserve"> </w:t>
      </w:r>
      <w:r w:rsidR="008473C8">
        <w:rPr>
          <w:sz w:val="24"/>
        </w:rPr>
        <w:t xml:space="preserve">Between 2011 and 2013, </w:t>
      </w:r>
      <w:r w:rsidR="007B1918">
        <w:rPr>
          <w:sz w:val="24"/>
        </w:rPr>
        <w:t>a</w:t>
      </w:r>
      <w:r w:rsidR="008473C8">
        <w:rPr>
          <w:sz w:val="24"/>
        </w:rPr>
        <w:t xml:space="preserve">n average </w:t>
      </w:r>
      <w:r w:rsidR="007B1918">
        <w:rPr>
          <w:sz w:val="24"/>
        </w:rPr>
        <w:t xml:space="preserve">of </w:t>
      </w:r>
      <w:r w:rsidR="008473C8">
        <w:rPr>
          <w:sz w:val="24"/>
        </w:rPr>
        <w:t xml:space="preserve">12 new entities obtained an ITQ permit each year.  Factoring in </w:t>
      </w:r>
      <w:r w:rsidR="007B1918">
        <w:rPr>
          <w:sz w:val="24"/>
        </w:rPr>
        <w:t xml:space="preserve">the higher initial reporting </w:t>
      </w:r>
      <w:r w:rsidR="008473C8">
        <w:rPr>
          <w:sz w:val="24"/>
        </w:rPr>
        <w:t xml:space="preserve">burden in the first year, </w:t>
      </w:r>
      <w:r w:rsidR="007B1918">
        <w:rPr>
          <w:sz w:val="24"/>
        </w:rPr>
        <w:t>with</w:t>
      </w:r>
      <w:r w:rsidR="008473C8">
        <w:rPr>
          <w:sz w:val="24"/>
        </w:rPr>
        <w:t xml:space="preserve"> </w:t>
      </w:r>
      <w:r w:rsidR="007B1918">
        <w:rPr>
          <w:sz w:val="24"/>
        </w:rPr>
        <w:t xml:space="preserve">subsequent renewals for most entities and 12 new entrants each year </w:t>
      </w:r>
      <w:r w:rsidR="00C24034" w:rsidRPr="00A66490">
        <w:rPr>
          <w:b/>
          <w:sz w:val="24"/>
        </w:rPr>
        <w:t xml:space="preserve">, </w:t>
      </w:r>
      <w:r w:rsidR="008F4638" w:rsidRPr="00A66490">
        <w:rPr>
          <w:b/>
          <w:sz w:val="24"/>
        </w:rPr>
        <w:t xml:space="preserve">the </w:t>
      </w:r>
      <w:r w:rsidR="007B1918">
        <w:rPr>
          <w:b/>
          <w:sz w:val="24"/>
        </w:rPr>
        <w:t xml:space="preserve">estimated </w:t>
      </w:r>
      <w:r w:rsidR="00C24034" w:rsidRPr="00A66490">
        <w:rPr>
          <w:b/>
          <w:sz w:val="24"/>
        </w:rPr>
        <w:t xml:space="preserve">average </w:t>
      </w:r>
      <w:r w:rsidR="008F4638" w:rsidRPr="00A66490">
        <w:rPr>
          <w:b/>
          <w:sz w:val="24"/>
        </w:rPr>
        <w:t xml:space="preserve">annual burden </w:t>
      </w:r>
      <w:r w:rsidR="00472B5B" w:rsidRPr="00A66490">
        <w:rPr>
          <w:b/>
          <w:sz w:val="24"/>
        </w:rPr>
        <w:t xml:space="preserve">over three years </w:t>
      </w:r>
      <w:r w:rsidR="00BD51BC" w:rsidRPr="00A66490">
        <w:rPr>
          <w:b/>
          <w:sz w:val="24"/>
        </w:rPr>
        <w:t xml:space="preserve">for the ITQ ownership form is </w:t>
      </w:r>
      <w:r w:rsidR="00BA1993" w:rsidRPr="00A66490">
        <w:rPr>
          <w:b/>
          <w:sz w:val="24"/>
        </w:rPr>
        <w:t>81</w:t>
      </w:r>
      <w:r w:rsidR="00BD51BC" w:rsidRPr="00A66490">
        <w:rPr>
          <w:b/>
          <w:sz w:val="24"/>
        </w:rPr>
        <w:t xml:space="preserve"> hours</w:t>
      </w:r>
      <w:r w:rsidR="00A66490" w:rsidRPr="00A66490">
        <w:rPr>
          <w:b/>
          <w:sz w:val="24"/>
        </w:rPr>
        <w:t xml:space="preserve"> (71 hours for initial form, 10 hours for renewals)</w:t>
      </w:r>
      <w:r w:rsidR="00BD51BC" w:rsidRPr="00A66490">
        <w:rPr>
          <w:b/>
          <w:sz w:val="24"/>
        </w:rPr>
        <w:t xml:space="preserve">. </w:t>
      </w:r>
      <w:r w:rsidR="00BD51BC">
        <w:rPr>
          <w:sz w:val="24"/>
        </w:rPr>
        <w:t xml:space="preserve"> </w:t>
      </w:r>
      <w:r w:rsidR="00D84AE1" w:rsidRPr="00E02850">
        <w:rPr>
          <w:sz w:val="24"/>
        </w:rPr>
        <w:t xml:space="preserve">The </w:t>
      </w:r>
      <w:r w:rsidR="00E765CC" w:rsidRPr="00E02850">
        <w:rPr>
          <w:sz w:val="24"/>
        </w:rPr>
        <w:t xml:space="preserve">average </w:t>
      </w:r>
      <w:r w:rsidR="00D84AE1" w:rsidRPr="00E02850">
        <w:rPr>
          <w:sz w:val="24"/>
        </w:rPr>
        <w:t xml:space="preserve">annual number of ITQ transfer requests processed by NMFS from </w:t>
      </w:r>
      <w:r w:rsidR="00D84AE1" w:rsidRPr="00BD51BC">
        <w:rPr>
          <w:sz w:val="24"/>
        </w:rPr>
        <w:t>20</w:t>
      </w:r>
      <w:r w:rsidR="00BD51BC" w:rsidRPr="00BD51BC">
        <w:rPr>
          <w:sz w:val="24"/>
        </w:rPr>
        <w:t>11</w:t>
      </w:r>
      <w:r w:rsidR="00DB25AC" w:rsidRPr="00BD51BC">
        <w:rPr>
          <w:sz w:val="24"/>
        </w:rPr>
        <w:t xml:space="preserve"> </w:t>
      </w:r>
      <w:r w:rsidR="00DB25AC" w:rsidRPr="00BD51BC">
        <w:rPr>
          <w:sz w:val="24"/>
        </w:rPr>
        <w:lastRenderedPageBreak/>
        <w:t>to 201</w:t>
      </w:r>
      <w:r w:rsidR="00BD51BC" w:rsidRPr="00BD51BC">
        <w:rPr>
          <w:sz w:val="24"/>
        </w:rPr>
        <w:t>3</w:t>
      </w:r>
      <w:r w:rsidR="008C70FE" w:rsidRPr="00BD51BC">
        <w:rPr>
          <w:sz w:val="24"/>
        </w:rPr>
        <w:t xml:space="preserve"> </w:t>
      </w:r>
      <w:r w:rsidR="001B1FCE" w:rsidRPr="00BD51BC">
        <w:rPr>
          <w:sz w:val="24"/>
        </w:rPr>
        <w:t xml:space="preserve">was </w:t>
      </w:r>
      <w:r w:rsidR="00FC5095">
        <w:rPr>
          <w:sz w:val="24"/>
        </w:rPr>
        <w:t>47</w:t>
      </w:r>
      <w:r w:rsidR="00C24034">
        <w:rPr>
          <w:sz w:val="24"/>
        </w:rPr>
        <w:t>2</w:t>
      </w:r>
      <w:r w:rsidR="00D84AE1" w:rsidRPr="00BD51BC">
        <w:rPr>
          <w:sz w:val="24"/>
        </w:rPr>
        <w:t xml:space="preserve">.  It is estimated that each </w:t>
      </w:r>
      <w:r w:rsidR="00E02850" w:rsidRPr="00BD51BC">
        <w:rPr>
          <w:sz w:val="24"/>
        </w:rPr>
        <w:t xml:space="preserve">ITQ transfer </w:t>
      </w:r>
      <w:r w:rsidR="00D84AE1" w:rsidRPr="00BD51BC">
        <w:rPr>
          <w:sz w:val="24"/>
        </w:rPr>
        <w:t xml:space="preserve">form takes approximately </w:t>
      </w:r>
      <w:r w:rsidR="00640E1D" w:rsidRPr="00BD51BC">
        <w:rPr>
          <w:sz w:val="24"/>
        </w:rPr>
        <w:t>5</w:t>
      </w:r>
      <w:r w:rsidR="00D84AE1" w:rsidRPr="00BD51BC">
        <w:rPr>
          <w:sz w:val="24"/>
        </w:rPr>
        <w:t xml:space="preserve"> minutes to complete</w:t>
      </w:r>
      <w:r w:rsidR="004C5123">
        <w:rPr>
          <w:sz w:val="24"/>
        </w:rPr>
        <w:t xml:space="preserve">, with a </w:t>
      </w:r>
      <w:r w:rsidR="004C5123" w:rsidRPr="004C5123">
        <w:rPr>
          <w:b/>
          <w:sz w:val="24"/>
        </w:rPr>
        <w:t>total a</w:t>
      </w:r>
      <w:r w:rsidR="00D84AE1" w:rsidRPr="00E41691">
        <w:rPr>
          <w:b/>
          <w:sz w:val="24"/>
        </w:rPr>
        <w:t xml:space="preserve">nnual burden </w:t>
      </w:r>
      <w:r w:rsidR="004C5123">
        <w:rPr>
          <w:b/>
          <w:sz w:val="24"/>
        </w:rPr>
        <w:t>of</w:t>
      </w:r>
      <w:r w:rsidR="00D84AE1" w:rsidRPr="00E41691">
        <w:rPr>
          <w:b/>
          <w:sz w:val="24"/>
        </w:rPr>
        <w:t xml:space="preserve"> approximately </w:t>
      </w:r>
      <w:r w:rsidR="00FC5095" w:rsidRPr="00E41691">
        <w:rPr>
          <w:b/>
          <w:sz w:val="24"/>
        </w:rPr>
        <w:t>40</w:t>
      </w:r>
      <w:r w:rsidR="00D84AE1" w:rsidRPr="00E41691">
        <w:rPr>
          <w:b/>
          <w:sz w:val="24"/>
        </w:rPr>
        <w:t xml:space="preserve"> hours.</w:t>
      </w:r>
      <w:r w:rsidR="00D84AE1" w:rsidRPr="00BD51BC">
        <w:rPr>
          <w:sz w:val="24"/>
        </w:rPr>
        <w:t xml:space="preserve">  N</w:t>
      </w:r>
      <w:r w:rsidR="00130579" w:rsidRPr="00BD51BC">
        <w:rPr>
          <w:sz w:val="24"/>
        </w:rPr>
        <w:t xml:space="preserve">MFS did not receive any </w:t>
      </w:r>
      <w:r w:rsidR="00811ABA" w:rsidRPr="00BD51BC">
        <w:rPr>
          <w:sz w:val="24"/>
        </w:rPr>
        <w:t>application</w:t>
      </w:r>
      <w:r w:rsidR="00292880" w:rsidRPr="00BD51BC">
        <w:rPr>
          <w:sz w:val="24"/>
        </w:rPr>
        <w:t>s</w:t>
      </w:r>
      <w:r w:rsidR="004C5123">
        <w:rPr>
          <w:sz w:val="24"/>
        </w:rPr>
        <w:t xml:space="preserve"> (30 minutes per application)</w:t>
      </w:r>
      <w:r w:rsidR="00D84AE1" w:rsidRPr="00BD51BC">
        <w:rPr>
          <w:sz w:val="24"/>
        </w:rPr>
        <w:t xml:space="preserve"> </w:t>
      </w:r>
      <w:r w:rsidR="00130579" w:rsidRPr="00BD51BC">
        <w:rPr>
          <w:sz w:val="24"/>
        </w:rPr>
        <w:t>to</w:t>
      </w:r>
      <w:r w:rsidR="00D84AE1" w:rsidRPr="00BD51BC">
        <w:rPr>
          <w:sz w:val="24"/>
        </w:rPr>
        <w:t xml:space="preserve"> shuck at sea</w:t>
      </w:r>
      <w:r w:rsidR="00292880" w:rsidRPr="00BD51BC">
        <w:rPr>
          <w:sz w:val="24"/>
        </w:rPr>
        <w:t xml:space="preserve"> </w:t>
      </w:r>
      <w:r w:rsidR="00130579" w:rsidRPr="00BD51BC">
        <w:rPr>
          <w:sz w:val="24"/>
        </w:rPr>
        <w:t>from 20</w:t>
      </w:r>
      <w:r w:rsidR="00BD51BC" w:rsidRPr="00BD51BC">
        <w:rPr>
          <w:sz w:val="24"/>
        </w:rPr>
        <w:t>11</w:t>
      </w:r>
      <w:r w:rsidR="00130579" w:rsidRPr="00BD51BC">
        <w:rPr>
          <w:sz w:val="24"/>
        </w:rPr>
        <w:t xml:space="preserve"> to 201</w:t>
      </w:r>
      <w:r w:rsidR="00BD51BC" w:rsidRPr="00BD51BC">
        <w:rPr>
          <w:sz w:val="24"/>
        </w:rPr>
        <w:t>3</w:t>
      </w:r>
      <w:r w:rsidR="00130579" w:rsidRPr="00BD51BC">
        <w:rPr>
          <w:sz w:val="24"/>
        </w:rPr>
        <w:t>.</w:t>
      </w:r>
      <w:r w:rsidR="004C5123">
        <w:rPr>
          <w:sz w:val="24"/>
        </w:rPr>
        <w:t xml:space="preserve"> </w:t>
      </w:r>
      <w:r w:rsidR="00897D36">
        <w:rPr>
          <w:sz w:val="24"/>
        </w:rPr>
        <w:t xml:space="preserve"> </w:t>
      </w:r>
      <w:r w:rsidR="00D760F8" w:rsidRPr="00BD51BC">
        <w:rPr>
          <w:sz w:val="24"/>
        </w:rPr>
        <w:t>The requirements under the protocol are based on the number of vessels that landed surfclams or ocean</w:t>
      </w:r>
      <w:r w:rsidR="00B32CCB" w:rsidRPr="00BD51BC">
        <w:rPr>
          <w:sz w:val="24"/>
        </w:rPr>
        <w:t xml:space="preserve"> </w:t>
      </w:r>
      <w:r w:rsidR="00D760F8" w:rsidRPr="00BD51BC">
        <w:rPr>
          <w:sz w:val="24"/>
        </w:rPr>
        <w:t>quahogs and the number of trips taken into the area in 2011</w:t>
      </w:r>
      <w:r w:rsidR="004C5123">
        <w:rPr>
          <w:sz w:val="24"/>
        </w:rPr>
        <w:t xml:space="preserve">, </w:t>
      </w:r>
      <w:r w:rsidR="004C5123" w:rsidRPr="004C5123">
        <w:rPr>
          <w:b/>
          <w:sz w:val="24"/>
        </w:rPr>
        <w:t xml:space="preserve">with a total </w:t>
      </w:r>
      <w:r w:rsidR="00D760F8" w:rsidRPr="004C5123">
        <w:rPr>
          <w:b/>
          <w:sz w:val="24"/>
        </w:rPr>
        <w:t>annual burden of 2</w:t>
      </w:r>
      <w:r w:rsidR="00B32CCB" w:rsidRPr="004C5123">
        <w:rPr>
          <w:b/>
          <w:sz w:val="24"/>
        </w:rPr>
        <w:t>,</w:t>
      </w:r>
      <w:r w:rsidR="00D760F8" w:rsidRPr="004C5123">
        <w:rPr>
          <w:b/>
          <w:sz w:val="24"/>
        </w:rPr>
        <w:t>400 hours</w:t>
      </w:r>
      <w:r w:rsidR="00D760F8" w:rsidRPr="00BD51BC">
        <w:rPr>
          <w:sz w:val="24"/>
        </w:rPr>
        <w:t xml:space="preserve">.  </w:t>
      </w:r>
      <w:r w:rsidR="00D84AE1" w:rsidRPr="00BD51BC">
        <w:rPr>
          <w:b/>
          <w:sz w:val="24"/>
        </w:rPr>
        <w:t>The total burden for thi</w:t>
      </w:r>
      <w:r w:rsidR="00292880" w:rsidRPr="00BD51BC">
        <w:rPr>
          <w:b/>
          <w:sz w:val="24"/>
        </w:rPr>
        <w:t>s</w:t>
      </w:r>
      <w:r w:rsidR="00BE14A8" w:rsidRPr="00BD51BC">
        <w:rPr>
          <w:b/>
          <w:sz w:val="24"/>
        </w:rPr>
        <w:t xml:space="preserve"> collection of information </w:t>
      </w:r>
      <w:r w:rsidR="00BE14A8" w:rsidRPr="005717F8">
        <w:rPr>
          <w:b/>
          <w:sz w:val="24"/>
        </w:rPr>
        <w:t xml:space="preserve">is </w:t>
      </w:r>
      <w:r w:rsidR="00D760F8" w:rsidRPr="00BA1993">
        <w:rPr>
          <w:b/>
          <w:sz w:val="24"/>
        </w:rPr>
        <w:t>2</w:t>
      </w:r>
      <w:r w:rsidR="00B32CCB" w:rsidRPr="00BA1993">
        <w:rPr>
          <w:b/>
          <w:sz w:val="24"/>
        </w:rPr>
        <w:t>,</w:t>
      </w:r>
      <w:r w:rsidR="005717F8" w:rsidRPr="00BA1993">
        <w:rPr>
          <w:b/>
          <w:sz w:val="24"/>
        </w:rPr>
        <w:t>5</w:t>
      </w:r>
      <w:r w:rsidR="00130D4B">
        <w:rPr>
          <w:b/>
          <w:sz w:val="24"/>
        </w:rPr>
        <w:t>38</w:t>
      </w:r>
      <w:r w:rsidR="00D84AE1" w:rsidRPr="005717F8">
        <w:rPr>
          <w:b/>
          <w:sz w:val="24"/>
        </w:rPr>
        <w:t xml:space="preserve"> hours.</w:t>
      </w:r>
    </w:p>
    <w:p w:rsidR="00114B89" w:rsidRPr="00D47291" w:rsidRDefault="00114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highlight w:val="lightGray"/>
        </w:rPr>
      </w:pPr>
    </w:p>
    <w:p w:rsidR="00BA1993" w:rsidRDefault="00BA1993" w:rsidP="00143509">
      <w:pPr>
        <w:pStyle w:val="Caption"/>
        <w:keepNext/>
        <w:widowControl w:val="0"/>
        <w:jc w:val="center"/>
      </w:pPr>
      <w:proofErr w:type="gramStart"/>
      <w:r>
        <w:t xml:space="preserve">Table </w:t>
      </w:r>
      <w:proofErr w:type="gramEnd"/>
      <w:r w:rsidR="00F213FE">
        <w:fldChar w:fldCharType="begin"/>
      </w:r>
      <w:r w:rsidR="00F213FE">
        <w:instrText xml:space="preserve"> SEQ Table \* ARABIC </w:instrText>
      </w:r>
      <w:r w:rsidR="00F213FE">
        <w:fldChar w:fldCharType="separate"/>
      </w:r>
      <w:r w:rsidR="00897D36">
        <w:rPr>
          <w:noProof/>
        </w:rPr>
        <w:t>1</w:t>
      </w:r>
      <w:r w:rsidR="00F213FE">
        <w:rPr>
          <w:noProof/>
        </w:rPr>
        <w:fldChar w:fldCharType="end"/>
      </w:r>
      <w:proofErr w:type="gramStart"/>
      <w:r>
        <w:t>.</w:t>
      </w:r>
      <w:proofErr w:type="gramEnd"/>
      <w:r>
        <w:t xml:space="preserve"> </w:t>
      </w:r>
      <w:r w:rsidRPr="00DC14B0">
        <w:t xml:space="preserve">Cost and </w:t>
      </w:r>
      <w:r w:rsidR="008845B9">
        <w:t>B</w:t>
      </w:r>
      <w:r w:rsidRPr="00DC14B0">
        <w:t xml:space="preserve">urden </w:t>
      </w:r>
      <w:r w:rsidR="008845B9">
        <w:t>H</w:t>
      </w:r>
      <w:r w:rsidRPr="00DC14B0">
        <w:t>ours</w:t>
      </w:r>
    </w:p>
    <w:tbl>
      <w:tblPr>
        <w:tblW w:w="0" w:type="auto"/>
        <w:jc w:val="center"/>
        <w:tblLayout w:type="fixed"/>
        <w:tblCellMar>
          <w:left w:w="100" w:type="dxa"/>
          <w:right w:w="100" w:type="dxa"/>
        </w:tblCellMar>
        <w:tblLook w:val="0000" w:firstRow="0" w:lastRow="0" w:firstColumn="0" w:lastColumn="0" w:noHBand="0" w:noVBand="0"/>
      </w:tblPr>
      <w:tblGrid>
        <w:gridCol w:w="1622"/>
        <w:gridCol w:w="1253"/>
        <w:gridCol w:w="1157"/>
        <w:gridCol w:w="1049"/>
        <w:gridCol w:w="1049"/>
        <w:gridCol w:w="1260"/>
        <w:gridCol w:w="1080"/>
        <w:gridCol w:w="1090"/>
      </w:tblGrid>
      <w:tr w:rsidR="00A04DA2" w:rsidRPr="00643BF9" w:rsidTr="009B7EE9">
        <w:trPr>
          <w:cantSplit/>
          <w:jc w:val="center"/>
        </w:trPr>
        <w:tc>
          <w:tcPr>
            <w:tcW w:w="1622" w:type="dxa"/>
            <w:tcBorders>
              <w:top w:val="single" w:sz="4" w:space="0" w:color="auto"/>
              <w:left w:val="single" w:sz="4" w:space="0" w:color="auto"/>
              <w:bottom w:val="single" w:sz="4" w:space="0" w:color="auto"/>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Information Collection</w:t>
            </w:r>
          </w:p>
        </w:tc>
        <w:tc>
          <w:tcPr>
            <w:tcW w:w="1253" w:type="dxa"/>
            <w:tcBorders>
              <w:top w:val="single" w:sz="4" w:space="0" w:color="auto"/>
              <w:left w:val="single" w:sz="6" w:space="0" w:color="000000"/>
              <w:bottom w:val="single" w:sz="4" w:space="0" w:color="auto"/>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Number of Respondents</w:t>
            </w:r>
          </w:p>
        </w:tc>
        <w:tc>
          <w:tcPr>
            <w:tcW w:w="1157" w:type="dxa"/>
            <w:tcBorders>
              <w:top w:val="single" w:sz="4" w:space="0" w:color="auto"/>
              <w:left w:val="single" w:sz="6" w:space="0" w:color="000000"/>
              <w:bottom w:val="single" w:sz="4" w:space="0" w:color="auto"/>
            </w:tcBorders>
          </w:tcPr>
          <w:p w:rsidR="00A04DA2" w:rsidRPr="004C5123" w:rsidRDefault="00A04DA2" w:rsidP="00143509">
            <w:pPr>
              <w:keepNext/>
              <w:widowControl w:val="0"/>
              <w:tabs>
                <w:tab w:val="left" w:pos="0"/>
                <w:tab w:val="left" w:pos="720"/>
              </w:tabs>
              <w:spacing w:before="100" w:after="48"/>
              <w:jc w:val="center"/>
              <w:rPr>
                <w:sz w:val="18"/>
                <w:szCs w:val="18"/>
                <w:vertAlign w:val="superscript"/>
              </w:rPr>
            </w:pPr>
            <w:r w:rsidRPr="004C5123">
              <w:rPr>
                <w:b/>
                <w:sz w:val="18"/>
                <w:szCs w:val="18"/>
              </w:rPr>
              <w:t>Frequency of Responses</w:t>
            </w:r>
          </w:p>
        </w:tc>
        <w:tc>
          <w:tcPr>
            <w:tcW w:w="1049" w:type="dxa"/>
            <w:tcBorders>
              <w:top w:val="single" w:sz="4" w:space="0" w:color="auto"/>
              <w:left w:val="single" w:sz="6" w:space="0" w:color="000000"/>
              <w:bottom w:val="single" w:sz="4" w:space="0" w:color="auto"/>
              <w:right w:val="single" w:sz="6" w:space="0" w:color="000000"/>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Number of Responses</w:t>
            </w:r>
          </w:p>
        </w:tc>
        <w:tc>
          <w:tcPr>
            <w:tcW w:w="1049" w:type="dxa"/>
            <w:tcBorders>
              <w:top w:val="single" w:sz="4" w:space="0" w:color="auto"/>
              <w:left w:val="single" w:sz="6" w:space="0" w:color="000000"/>
              <w:bottom w:val="single" w:sz="4" w:space="0" w:color="auto"/>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Average Time per Response</w:t>
            </w:r>
          </w:p>
        </w:tc>
        <w:tc>
          <w:tcPr>
            <w:tcW w:w="1260" w:type="dxa"/>
            <w:tcBorders>
              <w:top w:val="single" w:sz="4" w:space="0" w:color="auto"/>
              <w:left w:val="single" w:sz="6" w:space="0" w:color="000000"/>
              <w:bottom w:val="single" w:sz="4" w:space="0" w:color="auto"/>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Total Response Time</w:t>
            </w:r>
          </w:p>
        </w:tc>
        <w:tc>
          <w:tcPr>
            <w:tcW w:w="1080" w:type="dxa"/>
            <w:tcBorders>
              <w:top w:val="single" w:sz="4" w:space="0" w:color="auto"/>
              <w:left w:val="single" w:sz="6" w:space="0" w:color="000000"/>
              <w:bottom w:val="single" w:sz="4" w:space="0" w:color="auto"/>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Cost to Public</w:t>
            </w:r>
          </w:p>
        </w:tc>
        <w:tc>
          <w:tcPr>
            <w:tcW w:w="1090" w:type="dxa"/>
            <w:tcBorders>
              <w:top w:val="single" w:sz="4" w:space="0" w:color="auto"/>
              <w:left w:val="single" w:sz="6" w:space="0" w:color="000000"/>
              <w:bottom w:val="single" w:sz="4" w:space="0" w:color="auto"/>
              <w:right w:val="single" w:sz="4" w:space="0" w:color="auto"/>
            </w:tcBorders>
          </w:tcPr>
          <w:p w:rsidR="00A04DA2" w:rsidRPr="004C5123" w:rsidRDefault="00A04DA2" w:rsidP="00143509">
            <w:pPr>
              <w:keepNext/>
              <w:widowControl w:val="0"/>
              <w:tabs>
                <w:tab w:val="left" w:pos="0"/>
                <w:tab w:val="left" w:pos="720"/>
              </w:tabs>
              <w:spacing w:before="100"/>
              <w:jc w:val="center"/>
              <w:rPr>
                <w:b/>
                <w:sz w:val="18"/>
                <w:szCs w:val="18"/>
              </w:rPr>
            </w:pPr>
            <w:r w:rsidRPr="004C5123">
              <w:rPr>
                <w:b/>
                <w:sz w:val="18"/>
                <w:szCs w:val="18"/>
              </w:rPr>
              <w:t>Cost to Gov</w:t>
            </w:r>
            <w:r w:rsidR="004C5123">
              <w:rPr>
                <w:b/>
                <w:sz w:val="18"/>
                <w:szCs w:val="18"/>
              </w:rPr>
              <w:t>t.</w:t>
            </w:r>
          </w:p>
        </w:tc>
      </w:tr>
      <w:tr w:rsidR="00162219" w:rsidRPr="00643BF9" w:rsidTr="00897D36">
        <w:trPr>
          <w:cantSplit/>
          <w:jc w:val="center"/>
        </w:trPr>
        <w:tc>
          <w:tcPr>
            <w:tcW w:w="1622" w:type="dxa"/>
            <w:tcBorders>
              <w:top w:val="single" w:sz="4" w:space="0" w:color="auto"/>
              <w:left w:val="single" w:sz="6" w:space="0" w:color="000000"/>
              <w:bottom w:val="single" w:sz="6" w:space="0" w:color="000000"/>
            </w:tcBorders>
          </w:tcPr>
          <w:p w:rsidR="00162219" w:rsidRPr="004C5123" w:rsidRDefault="00162219" w:rsidP="00143509">
            <w:pPr>
              <w:keepNext/>
              <w:widowControl w:val="0"/>
              <w:tabs>
                <w:tab w:val="left" w:pos="0"/>
                <w:tab w:val="left" w:pos="720"/>
              </w:tabs>
              <w:spacing w:before="100" w:after="48"/>
              <w:rPr>
                <w:sz w:val="18"/>
                <w:szCs w:val="18"/>
                <w:vertAlign w:val="superscript"/>
              </w:rPr>
            </w:pPr>
            <w:r w:rsidRPr="004C5123">
              <w:rPr>
                <w:sz w:val="18"/>
                <w:szCs w:val="18"/>
              </w:rPr>
              <w:t>ITQ Permit Application</w:t>
            </w:r>
            <w:r w:rsidR="00172DF3" w:rsidRPr="004C5123">
              <w:rPr>
                <w:sz w:val="18"/>
                <w:szCs w:val="18"/>
                <w:vertAlign w:val="superscript"/>
              </w:rPr>
              <w:t>1</w:t>
            </w:r>
            <w:r w:rsidR="005717F8" w:rsidRPr="004C5123">
              <w:rPr>
                <w:sz w:val="18"/>
                <w:szCs w:val="18"/>
                <w:vertAlign w:val="superscript"/>
              </w:rPr>
              <w:t>,</w:t>
            </w:r>
            <w:r w:rsidR="00172DF3" w:rsidRPr="004C5123">
              <w:rPr>
                <w:sz w:val="18"/>
                <w:szCs w:val="18"/>
                <w:vertAlign w:val="superscript"/>
              </w:rPr>
              <w:t>2</w:t>
            </w:r>
          </w:p>
        </w:tc>
        <w:tc>
          <w:tcPr>
            <w:tcW w:w="1253" w:type="dxa"/>
            <w:tcBorders>
              <w:top w:val="single" w:sz="4" w:space="0" w:color="auto"/>
              <w:left w:val="single" w:sz="6" w:space="0" w:color="000000"/>
              <w:bottom w:val="single" w:sz="6" w:space="0" w:color="000000"/>
            </w:tcBorders>
            <w:vAlign w:val="center"/>
          </w:tcPr>
          <w:p w:rsidR="00162219" w:rsidRPr="004C5123" w:rsidRDefault="005717F8" w:rsidP="00897D36">
            <w:pPr>
              <w:keepNext/>
              <w:widowControl w:val="0"/>
              <w:tabs>
                <w:tab w:val="left" w:pos="0"/>
                <w:tab w:val="left" w:pos="720"/>
              </w:tabs>
              <w:spacing w:before="100" w:after="48"/>
              <w:jc w:val="center"/>
              <w:rPr>
                <w:sz w:val="18"/>
                <w:szCs w:val="18"/>
                <w:vertAlign w:val="superscript"/>
              </w:rPr>
            </w:pPr>
            <w:r w:rsidRPr="004C5123">
              <w:rPr>
                <w:sz w:val="18"/>
                <w:szCs w:val="18"/>
              </w:rPr>
              <w:t>189</w:t>
            </w:r>
            <w:r w:rsidR="00172DF3" w:rsidRPr="004C5123">
              <w:rPr>
                <w:sz w:val="18"/>
                <w:szCs w:val="18"/>
                <w:vertAlign w:val="superscript"/>
              </w:rPr>
              <w:t>2</w:t>
            </w:r>
          </w:p>
        </w:tc>
        <w:tc>
          <w:tcPr>
            <w:tcW w:w="1157" w:type="dxa"/>
            <w:tcBorders>
              <w:top w:val="single" w:sz="4" w:space="0" w:color="auto"/>
              <w:left w:val="single" w:sz="6" w:space="0" w:color="000000"/>
              <w:bottom w:val="single" w:sz="6" w:space="0" w:color="000000"/>
            </w:tcBorders>
            <w:vAlign w:val="center"/>
          </w:tcPr>
          <w:p w:rsidR="00162219" w:rsidRPr="004C5123" w:rsidRDefault="005717F8" w:rsidP="00897D36">
            <w:pPr>
              <w:keepNext/>
              <w:widowControl w:val="0"/>
              <w:tabs>
                <w:tab w:val="left" w:pos="0"/>
                <w:tab w:val="left" w:pos="720"/>
              </w:tabs>
              <w:spacing w:before="100" w:after="48"/>
              <w:jc w:val="center"/>
              <w:rPr>
                <w:sz w:val="18"/>
                <w:szCs w:val="18"/>
                <w:vertAlign w:val="superscript"/>
              </w:rPr>
            </w:pPr>
            <w:r w:rsidRPr="004C5123">
              <w:rPr>
                <w:sz w:val="18"/>
                <w:szCs w:val="18"/>
              </w:rPr>
              <w:t>1</w:t>
            </w:r>
            <w:r w:rsidR="00172DF3" w:rsidRPr="004C5123">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vAlign w:val="center"/>
          </w:tcPr>
          <w:p w:rsidR="00162219" w:rsidRPr="004C5123" w:rsidRDefault="00172DF3" w:rsidP="00897D36">
            <w:pPr>
              <w:keepNext/>
              <w:widowControl w:val="0"/>
              <w:tabs>
                <w:tab w:val="left" w:pos="0"/>
                <w:tab w:val="left" w:pos="720"/>
              </w:tabs>
              <w:spacing w:before="100" w:after="48"/>
              <w:jc w:val="center"/>
              <w:rPr>
                <w:sz w:val="18"/>
                <w:szCs w:val="18"/>
              </w:rPr>
            </w:pPr>
            <w:r w:rsidRPr="004C5123">
              <w:rPr>
                <w:sz w:val="18"/>
                <w:szCs w:val="18"/>
              </w:rPr>
              <w:t>189</w:t>
            </w:r>
          </w:p>
        </w:tc>
        <w:tc>
          <w:tcPr>
            <w:tcW w:w="1049" w:type="dxa"/>
            <w:tcBorders>
              <w:top w:val="single" w:sz="4" w:space="0" w:color="auto"/>
              <w:left w:val="single" w:sz="6" w:space="0" w:color="000000"/>
              <w:bottom w:val="single" w:sz="6" w:space="0" w:color="000000"/>
            </w:tcBorders>
            <w:vAlign w:val="center"/>
          </w:tcPr>
          <w:p w:rsidR="00162219" w:rsidRPr="004C5123" w:rsidRDefault="0023004F" w:rsidP="00897D36">
            <w:pPr>
              <w:keepNext/>
              <w:widowControl w:val="0"/>
              <w:tabs>
                <w:tab w:val="left" w:pos="0"/>
                <w:tab w:val="left" w:pos="720"/>
              </w:tabs>
              <w:spacing w:before="100" w:after="48"/>
              <w:jc w:val="center"/>
              <w:rPr>
                <w:sz w:val="18"/>
                <w:szCs w:val="18"/>
              </w:rPr>
            </w:pPr>
            <w:r w:rsidRPr="004C5123">
              <w:rPr>
                <w:sz w:val="18"/>
                <w:szCs w:val="18"/>
              </w:rPr>
              <w:t>5 minutes</w:t>
            </w:r>
          </w:p>
        </w:tc>
        <w:tc>
          <w:tcPr>
            <w:tcW w:w="1260" w:type="dxa"/>
            <w:tcBorders>
              <w:top w:val="single" w:sz="4" w:space="0" w:color="auto"/>
              <w:left w:val="single" w:sz="6" w:space="0" w:color="000000"/>
              <w:bottom w:val="single" w:sz="6" w:space="0" w:color="000000"/>
            </w:tcBorders>
            <w:vAlign w:val="center"/>
          </w:tcPr>
          <w:p w:rsidR="00162219" w:rsidRPr="004C5123" w:rsidRDefault="007539A1" w:rsidP="00897D36">
            <w:pPr>
              <w:keepNext/>
              <w:widowControl w:val="0"/>
              <w:tabs>
                <w:tab w:val="left" w:pos="0"/>
                <w:tab w:val="left" w:pos="720"/>
              </w:tabs>
              <w:spacing w:before="100" w:after="48"/>
              <w:jc w:val="center"/>
              <w:rPr>
                <w:sz w:val="18"/>
                <w:szCs w:val="18"/>
              </w:rPr>
            </w:pPr>
            <w:r w:rsidRPr="004C5123">
              <w:rPr>
                <w:sz w:val="18"/>
                <w:szCs w:val="18"/>
              </w:rPr>
              <w:t>16 hours</w:t>
            </w:r>
          </w:p>
        </w:tc>
        <w:tc>
          <w:tcPr>
            <w:tcW w:w="1080" w:type="dxa"/>
            <w:tcBorders>
              <w:top w:val="single" w:sz="4" w:space="0" w:color="auto"/>
              <w:left w:val="single" w:sz="6" w:space="0" w:color="000000"/>
              <w:bottom w:val="single" w:sz="6" w:space="0" w:color="000000"/>
            </w:tcBorders>
            <w:vAlign w:val="center"/>
          </w:tcPr>
          <w:p w:rsidR="00162219" w:rsidRPr="004C5123" w:rsidRDefault="007539A1" w:rsidP="00897D36">
            <w:pPr>
              <w:keepNext/>
              <w:widowControl w:val="0"/>
              <w:tabs>
                <w:tab w:val="left" w:pos="0"/>
                <w:tab w:val="left" w:pos="720"/>
              </w:tabs>
              <w:spacing w:before="100" w:after="48"/>
              <w:jc w:val="center"/>
              <w:rPr>
                <w:sz w:val="18"/>
                <w:szCs w:val="18"/>
              </w:rPr>
            </w:pPr>
            <w:r w:rsidRPr="004C5123">
              <w:rPr>
                <w:sz w:val="18"/>
                <w:szCs w:val="18"/>
              </w:rPr>
              <w:t>$93</w:t>
            </w:r>
          </w:p>
        </w:tc>
        <w:tc>
          <w:tcPr>
            <w:tcW w:w="1090" w:type="dxa"/>
            <w:tcBorders>
              <w:top w:val="single" w:sz="4" w:space="0" w:color="auto"/>
              <w:left w:val="single" w:sz="6" w:space="0" w:color="000000"/>
              <w:bottom w:val="single" w:sz="6" w:space="0" w:color="000000"/>
              <w:right w:val="single" w:sz="6" w:space="0" w:color="000000"/>
            </w:tcBorders>
            <w:vAlign w:val="center"/>
          </w:tcPr>
          <w:p w:rsidR="00162219" w:rsidRPr="004C5123" w:rsidRDefault="00DD3905" w:rsidP="00897D36">
            <w:pPr>
              <w:keepNext/>
              <w:widowControl w:val="0"/>
              <w:tabs>
                <w:tab w:val="left" w:pos="0"/>
                <w:tab w:val="left" w:pos="720"/>
              </w:tabs>
              <w:spacing w:before="100" w:after="48"/>
              <w:jc w:val="center"/>
              <w:rPr>
                <w:sz w:val="18"/>
                <w:szCs w:val="18"/>
              </w:rPr>
            </w:pPr>
            <w:r w:rsidRPr="004C5123">
              <w:rPr>
                <w:sz w:val="18"/>
                <w:szCs w:val="18"/>
              </w:rPr>
              <w:t>$</w:t>
            </w:r>
            <w:r w:rsidR="00D22408" w:rsidRPr="004C5123">
              <w:rPr>
                <w:sz w:val="18"/>
                <w:szCs w:val="18"/>
              </w:rPr>
              <w:t>400</w:t>
            </w:r>
          </w:p>
        </w:tc>
      </w:tr>
      <w:tr w:rsidR="00162219" w:rsidRPr="00643BF9" w:rsidTr="00897D36">
        <w:trPr>
          <w:cantSplit/>
          <w:jc w:val="center"/>
        </w:trPr>
        <w:tc>
          <w:tcPr>
            <w:tcW w:w="1622" w:type="dxa"/>
            <w:tcBorders>
              <w:top w:val="single" w:sz="4" w:space="0" w:color="auto"/>
              <w:left w:val="single" w:sz="6" w:space="0" w:color="000000"/>
              <w:bottom w:val="single" w:sz="6" w:space="0" w:color="000000"/>
            </w:tcBorders>
          </w:tcPr>
          <w:p w:rsidR="00162219" w:rsidRPr="004C5123" w:rsidRDefault="00162219" w:rsidP="00143509">
            <w:pPr>
              <w:keepNext/>
              <w:widowControl w:val="0"/>
              <w:tabs>
                <w:tab w:val="left" w:pos="0"/>
                <w:tab w:val="left" w:pos="720"/>
              </w:tabs>
              <w:spacing w:before="100" w:after="48"/>
              <w:rPr>
                <w:sz w:val="18"/>
                <w:szCs w:val="18"/>
                <w:vertAlign w:val="superscript"/>
              </w:rPr>
            </w:pPr>
            <w:r w:rsidRPr="004C5123">
              <w:rPr>
                <w:sz w:val="18"/>
                <w:szCs w:val="18"/>
              </w:rPr>
              <w:t>ITQ Ownership Form</w:t>
            </w:r>
            <w:r w:rsidR="007539A1" w:rsidRPr="004C5123">
              <w:rPr>
                <w:sz w:val="18"/>
                <w:szCs w:val="18"/>
              </w:rPr>
              <w:t>-</w:t>
            </w:r>
            <w:r w:rsidR="0023004F" w:rsidRPr="004C5123">
              <w:rPr>
                <w:sz w:val="18"/>
                <w:szCs w:val="18"/>
              </w:rPr>
              <w:t>New Entrant</w:t>
            </w:r>
            <w:r w:rsidR="00172DF3" w:rsidRPr="004C5123">
              <w:rPr>
                <w:sz w:val="18"/>
                <w:szCs w:val="18"/>
                <w:vertAlign w:val="superscript"/>
              </w:rPr>
              <w:t>,2</w:t>
            </w:r>
          </w:p>
        </w:tc>
        <w:tc>
          <w:tcPr>
            <w:tcW w:w="1253" w:type="dxa"/>
            <w:tcBorders>
              <w:top w:val="single" w:sz="4" w:space="0" w:color="auto"/>
              <w:left w:val="single" w:sz="6" w:space="0" w:color="000000"/>
              <w:bottom w:val="single" w:sz="6" w:space="0" w:color="000000"/>
            </w:tcBorders>
            <w:vAlign w:val="center"/>
          </w:tcPr>
          <w:p w:rsidR="00162219" w:rsidRPr="004C5123" w:rsidRDefault="00BA1993" w:rsidP="00897D36">
            <w:pPr>
              <w:keepNext/>
              <w:widowControl w:val="0"/>
              <w:tabs>
                <w:tab w:val="left" w:pos="0"/>
                <w:tab w:val="left" w:pos="720"/>
              </w:tabs>
              <w:spacing w:before="100" w:after="48"/>
              <w:jc w:val="center"/>
              <w:rPr>
                <w:sz w:val="18"/>
                <w:szCs w:val="18"/>
                <w:vertAlign w:val="superscript"/>
              </w:rPr>
            </w:pPr>
            <w:r w:rsidRPr="004C5123">
              <w:rPr>
                <w:sz w:val="18"/>
                <w:szCs w:val="18"/>
              </w:rPr>
              <w:t>71</w:t>
            </w:r>
            <w:r w:rsidR="00172DF3" w:rsidRPr="004C5123">
              <w:rPr>
                <w:sz w:val="18"/>
                <w:szCs w:val="18"/>
                <w:vertAlign w:val="superscript"/>
              </w:rPr>
              <w:t>2</w:t>
            </w:r>
          </w:p>
        </w:tc>
        <w:tc>
          <w:tcPr>
            <w:tcW w:w="1157" w:type="dxa"/>
            <w:tcBorders>
              <w:top w:val="single" w:sz="4" w:space="0" w:color="auto"/>
              <w:left w:val="single" w:sz="6" w:space="0" w:color="000000"/>
              <w:bottom w:val="single" w:sz="6" w:space="0" w:color="000000"/>
            </w:tcBorders>
            <w:vAlign w:val="center"/>
          </w:tcPr>
          <w:p w:rsidR="00162219" w:rsidRPr="004C5123" w:rsidRDefault="005717F8" w:rsidP="00897D36">
            <w:pPr>
              <w:keepNext/>
              <w:widowControl w:val="0"/>
              <w:tabs>
                <w:tab w:val="left" w:pos="0"/>
                <w:tab w:val="left" w:pos="720"/>
              </w:tabs>
              <w:spacing w:before="100" w:after="48"/>
              <w:jc w:val="center"/>
              <w:rPr>
                <w:sz w:val="18"/>
                <w:szCs w:val="18"/>
                <w:vertAlign w:val="superscript"/>
              </w:rPr>
            </w:pPr>
            <w:r w:rsidRPr="004C5123">
              <w:rPr>
                <w:sz w:val="18"/>
                <w:szCs w:val="18"/>
              </w:rPr>
              <w:t>1</w:t>
            </w:r>
            <w:r w:rsidR="00172DF3" w:rsidRPr="004C5123">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vAlign w:val="center"/>
          </w:tcPr>
          <w:p w:rsidR="00162219" w:rsidRPr="004C5123" w:rsidRDefault="00172DF3" w:rsidP="00897D36">
            <w:pPr>
              <w:keepNext/>
              <w:widowControl w:val="0"/>
              <w:tabs>
                <w:tab w:val="left" w:pos="0"/>
                <w:tab w:val="left" w:pos="720"/>
              </w:tabs>
              <w:spacing w:before="100" w:after="48"/>
              <w:jc w:val="center"/>
              <w:rPr>
                <w:sz w:val="18"/>
                <w:szCs w:val="18"/>
              </w:rPr>
            </w:pPr>
            <w:r w:rsidRPr="004C5123">
              <w:rPr>
                <w:sz w:val="18"/>
                <w:szCs w:val="18"/>
              </w:rPr>
              <w:t>71</w:t>
            </w:r>
          </w:p>
        </w:tc>
        <w:tc>
          <w:tcPr>
            <w:tcW w:w="1049" w:type="dxa"/>
            <w:tcBorders>
              <w:top w:val="single" w:sz="4" w:space="0" w:color="auto"/>
              <w:left w:val="single" w:sz="6" w:space="0" w:color="000000"/>
              <w:bottom w:val="single" w:sz="6" w:space="0" w:color="000000"/>
            </w:tcBorders>
            <w:vAlign w:val="center"/>
          </w:tcPr>
          <w:p w:rsidR="007539A1" w:rsidRPr="004C5123" w:rsidRDefault="007539A1" w:rsidP="00897D36">
            <w:pPr>
              <w:keepNext/>
              <w:widowControl w:val="0"/>
              <w:tabs>
                <w:tab w:val="left" w:pos="0"/>
                <w:tab w:val="left" w:pos="720"/>
              </w:tabs>
              <w:spacing w:before="100" w:after="48"/>
              <w:jc w:val="center"/>
              <w:rPr>
                <w:sz w:val="18"/>
                <w:szCs w:val="18"/>
              </w:rPr>
            </w:pPr>
            <w:r w:rsidRPr="004C5123">
              <w:rPr>
                <w:sz w:val="18"/>
                <w:szCs w:val="18"/>
              </w:rPr>
              <w:t>60 minutes</w:t>
            </w:r>
          </w:p>
        </w:tc>
        <w:tc>
          <w:tcPr>
            <w:tcW w:w="1260" w:type="dxa"/>
            <w:tcBorders>
              <w:top w:val="single" w:sz="4" w:space="0" w:color="auto"/>
              <w:left w:val="single" w:sz="6" w:space="0" w:color="000000"/>
              <w:bottom w:val="single" w:sz="6" w:space="0" w:color="000000"/>
            </w:tcBorders>
            <w:vAlign w:val="center"/>
          </w:tcPr>
          <w:p w:rsidR="00162219" w:rsidRPr="004C5123" w:rsidRDefault="00BA1993" w:rsidP="00897D36">
            <w:pPr>
              <w:keepNext/>
              <w:widowControl w:val="0"/>
              <w:tabs>
                <w:tab w:val="left" w:pos="0"/>
                <w:tab w:val="left" w:pos="720"/>
              </w:tabs>
              <w:spacing w:before="100" w:after="48"/>
              <w:jc w:val="center"/>
              <w:rPr>
                <w:sz w:val="18"/>
                <w:szCs w:val="18"/>
              </w:rPr>
            </w:pPr>
            <w:r w:rsidRPr="004C5123">
              <w:rPr>
                <w:sz w:val="18"/>
                <w:szCs w:val="18"/>
              </w:rPr>
              <w:t>71 hours</w:t>
            </w:r>
          </w:p>
        </w:tc>
        <w:tc>
          <w:tcPr>
            <w:tcW w:w="1080" w:type="dxa"/>
            <w:tcBorders>
              <w:top w:val="single" w:sz="4" w:space="0" w:color="auto"/>
              <w:left w:val="single" w:sz="6" w:space="0" w:color="000000"/>
              <w:bottom w:val="single" w:sz="6" w:space="0" w:color="000000"/>
            </w:tcBorders>
            <w:vAlign w:val="center"/>
          </w:tcPr>
          <w:p w:rsidR="00162219" w:rsidRPr="004C5123" w:rsidRDefault="007539A1" w:rsidP="00897D36">
            <w:pPr>
              <w:keepNext/>
              <w:widowControl w:val="0"/>
              <w:tabs>
                <w:tab w:val="left" w:pos="0"/>
                <w:tab w:val="left" w:pos="720"/>
              </w:tabs>
              <w:spacing w:before="100" w:after="48"/>
              <w:jc w:val="center"/>
              <w:rPr>
                <w:sz w:val="18"/>
                <w:szCs w:val="18"/>
              </w:rPr>
            </w:pPr>
            <w:r w:rsidRPr="004C5123">
              <w:rPr>
                <w:sz w:val="18"/>
                <w:szCs w:val="18"/>
              </w:rPr>
              <w:t>$3</w:t>
            </w:r>
            <w:r w:rsidR="00BA1993" w:rsidRPr="004C5123">
              <w:rPr>
                <w:sz w:val="18"/>
                <w:szCs w:val="18"/>
              </w:rPr>
              <w:t>5</w:t>
            </w:r>
          </w:p>
        </w:tc>
        <w:tc>
          <w:tcPr>
            <w:tcW w:w="1090" w:type="dxa"/>
            <w:tcBorders>
              <w:top w:val="single" w:sz="4" w:space="0" w:color="auto"/>
              <w:left w:val="single" w:sz="6" w:space="0" w:color="000000"/>
              <w:bottom w:val="single" w:sz="6" w:space="0" w:color="000000"/>
              <w:right w:val="single" w:sz="6" w:space="0" w:color="000000"/>
            </w:tcBorders>
            <w:vAlign w:val="center"/>
          </w:tcPr>
          <w:p w:rsidR="00162219" w:rsidRPr="004C5123" w:rsidRDefault="00DD3905" w:rsidP="00897D36">
            <w:pPr>
              <w:keepNext/>
              <w:widowControl w:val="0"/>
              <w:tabs>
                <w:tab w:val="left" w:pos="0"/>
                <w:tab w:val="left" w:pos="720"/>
              </w:tabs>
              <w:spacing w:before="100" w:after="48"/>
              <w:jc w:val="center"/>
              <w:rPr>
                <w:sz w:val="18"/>
                <w:szCs w:val="18"/>
              </w:rPr>
            </w:pPr>
            <w:r w:rsidRPr="004C5123">
              <w:rPr>
                <w:sz w:val="18"/>
                <w:szCs w:val="18"/>
              </w:rPr>
              <w:t>$</w:t>
            </w:r>
            <w:r w:rsidR="00D22408" w:rsidRPr="004C5123">
              <w:rPr>
                <w:sz w:val="18"/>
                <w:szCs w:val="18"/>
              </w:rPr>
              <w:t>1,775</w:t>
            </w:r>
          </w:p>
        </w:tc>
      </w:tr>
      <w:tr w:rsidR="007539A1" w:rsidRPr="00643BF9" w:rsidTr="00897D36">
        <w:trPr>
          <w:cantSplit/>
          <w:jc w:val="center"/>
        </w:trPr>
        <w:tc>
          <w:tcPr>
            <w:tcW w:w="1622" w:type="dxa"/>
            <w:tcBorders>
              <w:top w:val="single" w:sz="4" w:space="0" w:color="auto"/>
              <w:left w:val="single" w:sz="6" w:space="0" w:color="000000"/>
              <w:bottom w:val="single" w:sz="6" w:space="0" w:color="000000"/>
            </w:tcBorders>
          </w:tcPr>
          <w:p w:rsidR="007539A1" w:rsidRPr="004C5123" w:rsidRDefault="007539A1" w:rsidP="00143509">
            <w:pPr>
              <w:keepNext/>
              <w:widowControl w:val="0"/>
              <w:tabs>
                <w:tab w:val="left" w:pos="0"/>
                <w:tab w:val="left" w:pos="720"/>
              </w:tabs>
              <w:spacing w:before="100" w:after="48"/>
              <w:rPr>
                <w:sz w:val="18"/>
                <w:szCs w:val="18"/>
              </w:rPr>
            </w:pPr>
            <w:r w:rsidRPr="004C5123">
              <w:rPr>
                <w:sz w:val="18"/>
                <w:szCs w:val="18"/>
              </w:rPr>
              <w:t>ITQ Ownership Form-Renewa</w:t>
            </w:r>
            <w:r w:rsidR="0023004F" w:rsidRPr="004C5123">
              <w:rPr>
                <w:sz w:val="18"/>
                <w:szCs w:val="18"/>
              </w:rPr>
              <w:t>l</w:t>
            </w:r>
            <w:r w:rsidRPr="004C5123">
              <w:rPr>
                <w:sz w:val="18"/>
                <w:szCs w:val="18"/>
                <w:vertAlign w:val="superscript"/>
              </w:rPr>
              <w:t>1</w:t>
            </w:r>
            <w:r w:rsidR="00172DF3" w:rsidRPr="004C5123">
              <w:rPr>
                <w:sz w:val="18"/>
                <w:szCs w:val="18"/>
                <w:vertAlign w:val="superscript"/>
              </w:rPr>
              <w:t>,2</w:t>
            </w:r>
          </w:p>
        </w:tc>
        <w:tc>
          <w:tcPr>
            <w:tcW w:w="1253" w:type="dxa"/>
            <w:tcBorders>
              <w:top w:val="single" w:sz="4" w:space="0" w:color="auto"/>
              <w:left w:val="single" w:sz="6" w:space="0" w:color="000000"/>
              <w:bottom w:val="single" w:sz="6" w:space="0" w:color="000000"/>
            </w:tcBorders>
            <w:vAlign w:val="center"/>
          </w:tcPr>
          <w:p w:rsidR="007539A1" w:rsidRPr="004C5123" w:rsidRDefault="007539A1" w:rsidP="00897D36">
            <w:pPr>
              <w:keepNext/>
              <w:widowControl w:val="0"/>
              <w:tabs>
                <w:tab w:val="left" w:pos="0"/>
                <w:tab w:val="left" w:pos="720"/>
              </w:tabs>
              <w:spacing w:before="100" w:after="48"/>
              <w:jc w:val="center"/>
              <w:rPr>
                <w:sz w:val="18"/>
                <w:szCs w:val="18"/>
                <w:vertAlign w:val="superscript"/>
              </w:rPr>
            </w:pPr>
            <w:r w:rsidRPr="004C5123">
              <w:rPr>
                <w:sz w:val="18"/>
                <w:szCs w:val="18"/>
              </w:rPr>
              <w:t>1</w:t>
            </w:r>
            <w:r w:rsidR="00BA1993" w:rsidRPr="004C5123">
              <w:rPr>
                <w:sz w:val="18"/>
                <w:szCs w:val="18"/>
              </w:rPr>
              <w:t>18</w:t>
            </w:r>
            <w:r w:rsidR="00172DF3" w:rsidRPr="004C5123">
              <w:rPr>
                <w:sz w:val="18"/>
                <w:szCs w:val="18"/>
                <w:vertAlign w:val="superscript"/>
              </w:rPr>
              <w:t>2</w:t>
            </w:r>
          </w:p>
        </w:tc>
        <w:tc>
          <w:tcPr>
            <w:tcW w:w="1157" w:type="dxa"/>
            <w:tcBorders>
              <w:top w:val="single" w:sz="4" w:space="0" w:color="auto"/>
              <w:left w:val="single" w:sz="6" w:space="0" w:color="000000"/>
              <w:bottom w:val="single" w:sz="6" w:space="0" w:color="000000"/>
            </w:tcBorders>
            <w:vAlign w:val="center"/>
          </w:tcPr>
          <w:p w:rsidR="007539A1" w:rsidRPr="004C5123" w:rsidRDefault="007539A1" w:rsidP="00897D36">
            <w:pPr>
              <w:keepNext/>
              <w:widowControl w:val="0"/>
              <w:tabs>
                <w:tab w:val="left" w:pos="0"/>
                <w:tab w:val="left" w:pos="720"/>
              </w:tabs>
              <w:spacing w:before="100" w:after="48"/>
              <w:jc w:val="center"/>
              <w:rPr>
                <w:sz w:val="18"/>
                <w:szCs w:val="18"/>
                <w:vertAlign w:val="superscript"/>
              </w:rPr>
            </w:pPr>
            <w:r w:rsidRPr="004C5123">
              <w:rPr>
                <w:sz w:val="18"/>
                <w:szCs w:val="18"/>
              </w:rPr>
              <w:t>1</w:t>
            </w:r>
            <w:r w:rsidR="00172DF3" w:rsidRPr="004C5123">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vAlign w:val="center"/>
          </w:tcPr>
          <w:p w:rsidR="007539A1" w:rsidRPr="004C5123" w:rsidRDefault="00172DF3" w:rsidP="00897D36">
            <w:pPr>
              <w:keepNext/>
              <w:widowControl w:val="0"/>
              <w:tabs>
                <w:tab w:val="left" w:pos="0"/>
                <w:tab w:val="left" w:pos="720"/>
              </w:tabs>
              <w:spacing w:before="100" w:after="48"/>
              <w:jc w:val="center"/>
              <w:rPr>
                <w:sz w:val="18"/>
                <w:szCs w:val="18"/>
              </w:rPr>
            </w:pPr>
            <w:r w:rsidRPr="004C5123">
              <w:rPr>
                <w:sz w:val="18"/>
                <w:szCs w:val="18"/>
              </w:rPr>
              <w:t>118</w:t>
            </w:r>
          </w:p>
        </w:tc>
        <w:tc>
          <w:tcPr>
            <w:tcW w:w="1049" w:type="dxa"/>
            <w:tcBorders>
              <w:top w:val="single" w:sz="4" w:space="0" w:color="auto"/>
              <w:left w:val="single" w:sz="6" w:space="0" w:color="000000"/>
              <w:bottom w:val="single" w:sz="6" w:space="0" w:color="000000"/>
            </w:tcBorders>
            <w:vAlign w:val="center"/>
          </w:tcPr>
          <w:p w:rsidR="007539A1" w:rsidRPr="004C5123" w:rsidRDefault="007539A1" w:rsidP="00897D36">
            <w:pPr>
              <w:keepNext/>
              <w:widowControl w:val="0"/>
              <w:tabs>
                <w:tab w:val="left" w:pos="0"/>
                <w:tab w:val="left" w:pos="720"/>
              </w:tabs>
              <w:spacing w:before="100" w:after="48"/>
              <w:jc w:val="center"/>
              <w:rPr>
                <w:sz w:val="18"/>
                <w:szCs w:val="18"/>
              </w:rPr>
            </w:pPr>
            <w:r w:rsidRPr="004C5123">
              <w:rPr>
                <w:sz w:val="18"/>
                <w:szCs w:val="18"/>
              </w:rPr>
              <w:t>5 minutes</w:t>
            </w:r>
          </w:p>
        </w:tc>
        <w:tc>
          <w:tcPr>
            <w:tcW w:w="1260" w:type="dxa"/>
            <w:tcBorders>
              <w:top w:val="single" w:sz="4" w:space="0" w:color="auto"/>
              <w:left w:val="single" w:sz="6" w:space="0" w:color="000000"/>
              <w:bottom w:val="single" w:sz="6" w:space="0" w:color="000000"/>
            </w:tcBorders>
            <w:vAlign w:val="center"/>
          </w:tcPr>
          <w:p w:rsidR="007539A1" w:rsidRPr="004C5123" w:rsidRDefault="007539A1" w:rsidP="00897D36">
            <w:pPr>
              <w:keepNext/>
              <w:widowControl w:val="0"/>
              <w:tabs>
                <w:tab w:val="left" w:pos="0"/>
                <w:tab w:val="left" w:pos="720"/>
              </w:tabs>
              <w:spacing w:before="100" w:after="48"/>
              <w:jc w:val="center"/>
              <w:rPr>
                <w:sz w:val="18"/>
                <w:szCs w:val="18"/>
              </w:rPr>
            </w:pPr>
            <w:r w:rsidRPr="004C5123">
              <w:rPr>
                <w:sz w:val="18"/>
                <w:szCs w:val="18"/>
              </w:rPr>
              <w:t>1</w:t>
            </w:r>
            <w:r w:rsidR="00BA1993" w:rsidRPr="004C5123">
              <w:rPr>
                <w:sz w:val="18"/>
                <w:szCs w:val="18"/>
              </w:rPr>
              <w:t>0</w:t>
            </w:r>
            <w:r w:rsidRPr="004C5123">
              <w:rPr>
                <w:sz w:val="18"/>
                <w:szCs w:val="18"/>
              </w:rPr>
              <w:t xml:space="preserve"> hours</w:t>
            </w:r>
          </w:p>
        </w:tc>
        <w:tc>
          <w:tcPr>
            <w:tcW w:w="1080" w:type="dxa"/>
            <w:tcBorders>
              <w:top w:val="single" w:sz="4" w:space="0" w:color="auto"/>
              <w:left w:val="single" w:sz="6" w:space="0" w:color="000000"/>
              <w:bottom w:val="single" w:sz="6" w:space="0" w:color="000000"/>
            </w:tcBorders>
            <w:vAlign w:val="center"/>
          </w:tcPr>
          <w:p w:rsidR="007539A1" w:rsidRPr="004C5123" w:rsidRDefault="007539A1" w:rsidP="00897D36">
            <w:pPr>
              <w:keepNext/>
              <w:widowControl w:val="0"/>
              <w:tabs>
                <w:tab w:val="left" w:pos="0"/>
                <w:tab w:val="left" w:pos="720"/>
              </w:tabs>
              <w:spacing w:before="100" w:after="48"/>
              <w:jc w:val="center"/>
              <w:rPr>
                <w:sz w:val="18"/>
                <w:szCs w:val="18"/>
              </w:rPr>
            </w:pPr>
            <w:r w:rsidRPr="004C5123">
              <w:rPr>
                <w:sz w:val="18"/>
                <w:szCs w:val="18"/>
              </w:rPr>
              <w:t>$</w:t>
            </w:r>
            <w:r w:rsidR="00BA1993" w:rsidRPr="004C5123">
              <w:rPr>
                <w:sz w:val="18"/>
                <w:szCs w:val="18"/>
              </w:rPr>
              <w:t>58</w:t>
            </w:r>
          </w:p>
        </w:tc>
        <w:tc>
          <w:tcPr>
            <w:tcW w:w="1090" w:type="dxa"/>
            <w:tcBorders>
              <w:top w:val="single" w:sz="4" w:space="0" w:color="auto"/>
              <w:left w:val="single" w:sz="6" w:space="0" w:color="000000"/>
              <w:bottom w:val="single" w:sz="6" w:space="0" w:color="000000"/>
              <w:right w:val="single" w:sz="6" w:space="0" w:color="000000"/>
            </w:tcBorders>
            <w:vAlign w:val="center"/>
          </w:tcPr>
          <w:p w:rsidR="007539A1" w:rsidRPr="004C5123" w:rsidRDefault="00DD3905" w:rsidP="00897D36">
            <w:pPr>
              <w:keepNext/>
              <w:widowControl w:val="0"/>
              <w:tabs>
                <w:tab w:val="left" w:pos="0"/>
                <w:tab w:val="left" w:pos="720"/>
              </w:tabs>
              <w:spacing w:before="100" w:after="48"/>
              <w:jc w:val="center"/>
              <w:rPr>
                <w:sz w:val="18"/>
                <w:szCs w:val="18"/>
              </w:rPr>
            </w:pPr>
            <w:r w:rsidRPr="004C5123">
              <w:rPr>
                <w:sz w:val="18"/>
                <w:szCs w:val="18"/>
              </w:rPr>
              <w:t>$</w:t>
            </w:r>
            <w:r w:rsidR="00D22408" w:rsidRPr="004C5123">
              <w:rPr>
                <w:sz w:val="18"/>
                <w:szCs w:val="18"/>
              </w:rPr>
              <w:t>250</w:t>
            </w:r>
          </w:p>
        </w:tc>
      </w:tr>
      <w:tr w:rsidR="00A04DA2" w:rsidRPr="00643BF9" w:rsidTr="00897D36">
        <w:trPr>
          <w:cantSplit/>
          <w:jc w:val="center"/>
        </w:trPr>
        <w:tc>
          <w:tcPr>
            <w:tcW w:w="1622" w:type="dxa"/>
            <w:tcBorders>
              <w:top w:val="single" w:sz="4" w:space="0" w:color="auto"/>
              <w:left w:val="single" w:sz="6" w:space="0" w:color="000000"/>
              <w:bottom w:val="single" w:sz="6" w:space="0" w:color="000000"/>
            </w:tcBorders>
          </w:tcPr>
          <w:p w:rsidR="00A04DA2" w:rsidRPr="00C14ADD" w:rsidRDefault="00A04DA2" w:rsidP="00143509">
            <w:pPr>
              <w:keepNext/>
              <w:widowControl w:val="0"/>
              <w:tabs>
                <w:tab w:val="left" w:pos="0"/>
                <w:tab w:val="left" w:pos="720"/>
              </w:tabs>
              <w:spacing w:before="100" w:after="48"/>
              <w:rPr>
                <w:sz w:val="18"/>
                <w:szCs w:val="18"/>
                <w:vertAlign w:val="superscript"/>
              </w:rPr>
            </w:pPr>
            <w:r w:rsidRPr="00C14ADD">
              <w:rPr>
                <w:sz w:val="18"/>
                <w:szCs w:val="18"/>
              </w:rPr>
              <w:t>ITQ Transfer Form</w:t>
            </w:r>
            <w:r w:rsidR="00F70506" w:rsidRPr="00C14ADD">
              <w:rPr>
                <w:sz w:val="18"/>
                <w:szCs w:val="18"/>
                <w:vertAlign w:val="superscript"/>
              </w:rPr>
              <w:t>1,</w:t>
            </w:r>
            <w:r w:rsidR="00C00123" w:rsidRPr="00C14ADD">
              <w:rPr>
                <w:sz w:val="18"/>
                <w:szCs w:val="18"/>
                <w:vertAlign w:val="superscript"/>
              </w:rPr>
              <w:t>2,</w:t>
            </w:r>
            <w:r w:rsidR="007E7139" w:rsidRPr="00C14ADD">
              <w:rPr>
                <w:sz w:val="18"/>
                <w:szCs w:val="18"/>
                <w:vertAlign w:val="superscript"/>
              </w:rPr>
              <w:t>3</w:t>
            </w:r>
          </w:p>
        </w:tc>
        <w:tc>
          <w:tcPr>
            <w:tcW w:w="1253" w:type="dxa"/>
            <w:tcBorders>
              <w:top w:val="single" w:sz="4" w:space="0" w:color="auto"/>
              <w:left w:val="single" w:sz="6" w:space="0" w:color="000000"/>
              <w:bottom w:val="single" w:sz="6" w:space="0" w:color="000000"/>
            </w:tcBorders>
            <w:vAlign w:val="center"/>
          </w:tcPr>
          <w:p w:rsidR="00A04DA2" w:rsidRPr="00C14ADD" w:rsidRDefault="007E7139" w:rsidP="00897D36">
            <w:pPr>
              <w:keepNext/>
              <w:widowControl w:val="0"/>
              <w:tabs>
                <w:tab w:val="left" w:pos="0"/>
                <w:tab w:val="left" w:pos="720"/>
              </w:tabs>
              <w:spacing w:before="100" w:after="48"/>
              <w:jc w:val="center"/>
              <w:rPr>
                <w:sz w:val="18"/>
                <w:szCs w:val="18"/>
              </w:rPr>
            </w:pPr>
            <w:r w:rsidRPr="00C14ADD">
              <w:rPr>
                <w:sz w:val="18"/>
                <w:szCs w:val="18"/>
              </w:rPr>
              <w:t>1</w:t>
            </w:r>
            <w:r w:rsidR="00DD3905" w:rsidRPr="00C14ADD">
              <w:rPr>
                <w:sz w:val="18"/>
                <w:szCs w:val="18"/>
              </w:rPr>
              <w:t>74</w:t>
            </w:r>
            <w:r w:rsidR="00587CDE" w:rsidRPr="00C14ADD">
              <w:rPr>
                <w:sz w:val="18"/>
                <w:szCs w:val="18"/>
                <w:vertAlign w:val="superscript"/>
              </w:rPr>
              <w:t>2</w:t>
            </w:r>
          </w:p>
        </w:tc>
        <w:tc>
          <w:tcPr>
            <w:tcW w:w="1157" w:type="dxa"/>
            <w:tcBorders>
              <w:top w:val="single" w:sz="4" w:space="0" w:color="auto"/>
              <w:left w:val="single" w:sz="6" w:space="0" w:color="000000"/>
              <w:bottom w:val="single" w:sz="6" w:space="0" w:color="000000"/>
            </w:tcBorders>
            <w:vAlign w:val="center"/>
          </w:tcPr>
          <w:p w:rsidR="00A04DA2" w:rsidRPr="00C14ADD" w:rsidRDefault="00172DF3" w:rsidP="00897D36">
            <w:pPr>
              <w:keepNext/>
              <w:widowControl w:val="0"/>
              <w:tabs>
                <w:tab w:val="left" w:pos="0"/>
                <w:tab w:val="left" w:pos="720"/>
              </w:tabs>
              <w:spacing w:before="100" w:after="48"/>
              <w:jc w:val="center"/>
              <w:rPr>
                <w:sz w:val="18"/>
                <w:szCs w:val="18"/>
                <w:vertAlign w:val="superscript"/>
              </w:rPr>
            </w:pPr>
            <w:r w:rsidRPr="00C14ADD">
              <w:rPr>
                <w:sz w:val="18"/>
                <w:szCs w:val="18"/>
              </w:rPr>
              <w:t>5</w:t>
            </w:r>
            <w:r w:rsidR="00C00123" w:rsidRPr="00C14ADD">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vAlign w:val="center"/>
          </w:tcPr>
          <w:p w:rsidR="00A04DA2" w:rsidRPr="00C14ADD" w:rsidRDefault="00DD3905" w:rsidP="00897D36">
            <w:pPr>
              <w:keepNext/>
              <w:widowControl w:val="0"/>
              <w:tabs>
                <w:tab w:val="left" w:pos="0"/>
                <w:tab w:val="left" w:pos="720"/>
              </w:tabs>
              <w:spacing w:before="100" w:after="48"/>
              <w:jc w:val="center"/>
              <w:rPr>
                <w:sz w:val="18"/>
                <w:szCs w:val="18"/>
              </w:rPr>
            </w:pPr>
            <w:r w:rsidRPr="00C14ADD">
              <w:rPr>
                <w:sz w:val="18"/>
                <w:szCs w:val="18"/>
              </w:rPr>
              <w:t>472</w:t>
            </w:r>
          </w:p>
        </w:tc>
        <w:tc>
          <w:tcPr>
            <w:tcW w:w="1049" w:type="dxa"/>
            <w:tcBorders>
              <w:top w:val="single" w:sz="4" w:space="0" w:color="auto"/>
              <w:left w:val="single" w:sz="6" w:space="0" w:color="000000"/>
              <w:bottom w:val="single" w:sz="6" w:space="0" w:color="000000"/>
            </w:tcBorders>
            <w:vAlign w:val="center"/>
          </w:tcPr>
          <w:p w:rsidR="00A04DA2" w:rsidRPr="00C14ADD" w:rsidRDefault="00A04DA2" w:rsidP="00897D36">
            <w:pPr>
              <w:keepNext/>
              <w:widowControl w:val="0"/>
              <w:tabs>
                <w:tab w:val="left" w:pos="0"/>
                <w:tab w:val="left" w:pos="720"/>
              </w:tabs>
              <w:spacing w:before="100" w:after="48"/>
              <w:jc w:val="center"/>
              <w:rPr>
                <w:sz w:val="18"/>
                <w:szCs w:val="18"/>
              </w:rPr>
            </w:pPr>
            <w:r w:rsidRPr="00C14ADD">
              <w:rPr>
                <w:sz w:val="18"/>
                <w:szCs w:val="18"/>
              </w:rPr>
              <w:t>5 minutes</w:t>
            </w:r>
          </w:p>
        </w:tc>
        <w:tc>
          <w:tcPr>
            <w:tcW w:w="1260" w:type="dxa"/>
            <w:tcBorders>
              <w:top w:val="single" w:sz="4" w:space="0" w:color="auto"/>
              <w:left w:val="single" w:sz="6" w:space="0" w:color="000000"/>
              <w:bottom w:val="single" w:sz="6" w:space="0" w:color="000000"/>
            </w:tcBorders>
            <w:vAlign w:val="center"/>
          </w:tcPr>
          <w:p w:rsidR="00255F54" w:rsidRPr="00C14ADD" w:rsidRDefault="00DD3905" w:rsidP="00897D36">
            <w:pPr>
              <w:keepNext/>
              <w:widowControl w:val="0"/>
              <w:tabs>
                <w:tab w:val="left" w:pos="0"/>
                <w:tab w:val="left" w:pos="720"/>
              </w:tabs>
              <w:spacing w:before="100" w:after="48"/>
              <w:jc w:val="center"/>
              <w:rPr>
                <w:sz w:val="18"/>
                <w:szCs w:val="18"/>
              </w:rPr>
            </w:pPr>
            <w:r w:rsidRPr="00C14ADD">
              <w:rPr>
                <w:sz w:val="18"/>
                <w:szCs w:val="18"/>
              </w:rPr>
              <w:t>40</w:t>
            </w:r>
            <w:r w:rsidR="00A04DA2" w:rsidRPr="00C14ADD">
              <w:rPr>
                <w:sz w:val="18"/>
                <w:szCs w:val="18"/>
              </w:rPr>
              <w:t xml:space="preserve"> hours</w:t>
            </w:r>
          </w:p>
        </w:tc>
        <w:tc>
          <w:tcPr>
            <w:tcW w:w="1080" w:type="dxa"/>
            <w:tcBorders>
              <w:top w:val="single" w:sz="4" w:space="0" w:color="auto"/>
              <w:left w:val="single" w:sz="6" w:space="0" w:color="000000"/>
              <w:bottom w:val="single" w:sz="6" w:space="0" w:color="000000"/>
            </w:tcBorders>
            <w:vAlign w:val="center"/>
          </w:tcPr>
          <w:p w:rsidR="00255F54" w:rsidRPr="00C14ADD" w:rsidRDefault="009620D3" w:rsidP="00897D36">
            <w:pPr>
              <w:keepNext/>
              <w:widowControl w:val="0"/>
              <w:tabs>
                <w:tab w:val="left" w:pos="0"/>
                <w:tab w:val="left" w:pos="720"/>
              </w:tabs>
              <w:spacing w:before="100" w:after="48"/>
              <w:jc w:val="center"/>
              <w:rPr>
                <w:sz w:val="18"/>
                <w:szCs w:val="18"/>
              </w:rPr>
            </w:pPr>
            <w:r w:rsidRPr="00C14ADD">
              <w:rPr>
                <w:sz w:val="18"/>
                <w:szCs w:val="18"/>
              </w:rPr>
              <w:t>$</w:t>
            </w:r>
            <w:r w:rsidR="00DD3905" w:rsidRPr="00C14ADD">
              <w:rPr>
                <w:sz w:val="18"/>
                <w:szCs w:val="18"/>
              </w:rPr>
              <w:t>23</w:t>
            </w:r>
            <w:r w:rsidR="00172DF3" w:rsidRPr="00C14ADD">
              <w:rPr>
                <w:sz w:val="18"/>
                <w:szCs w:val="18"/>
              </w:rPr>
              <w:t>1</w:t>
            </w:r>
          </w:p>
        </w:tc>
        <w:tc>
          <w:tcPr>
            <w:tcW w:w="1090" w:type="dxa"/>
            <w:tcBorders>
              <w:top w:val="single" w:sz="4" w:space="0" w:color="auto"/>
              <w:left w:val="single" w:sz="6" w:space="0" w:color="000000"/>
              <w:bottom w:val="single" w:sz="6" w:space="0" w:color="000000"/>
              <w:right w:val="single" w:sz="6" w:space="0" w:color="000000"/>
            </w:tcBorders>
            <w:vAlign w:val="center"/>
          </w:tcPr>
          <w:p w:rsidR="00A04DA2" w:rsidRPr="00C14ADD" w:rsidRDefault="00A04DA2" w:rsidP="00897D36">
            <w:pPr>
              <w:keepNext/>
              <w:widowControl w:val="0"/>
              <w:tabs>
                <w:tab w:val="left" w:pos="0"/>
                <w:tab w:val="left" w:pos="720"/>
              </w:tabs>
              <w:spacing w:before="100" w:after="48"/>
              <w:jc w:val="center"/>
              <w:rPr>
                <w:sz w:val="18"/>
                <w:szCs w:val="18"/>
              </w:rPr>
            </w:pPr>
            <w:r w:rsidRPr="00C14ADD">
              <w:rPr>
                <w:sz w:val="18"/>
                <w:szCs w:val="18"/>
              </w:rPr>
              <w:t>$</w:t>
            </w:r>
            <w:r w:rsidR="00D22408" w:rsidRPr="00C14ADD">
              <w:rPr>
                <w:sz w:val="18"/>
                <w:szCs w:val="18"/>
              </w:rPr>
              <w:t>1,000</w:t>
            </w:r>
          </w:p>
        </w:tc>
      </w:tr>
      <w:tr w:rsidR="00A04DA2" w:rsidRPr="00643BF9" w:rsidTr="00897D36">
        <w:trPr>
          <w:cantSplit/>
          <w:jc w:val="center"/>
        </w:trPr>
        <w:tc>
          <w:tcPr>
            <w:tcW w:w="1622" w:type="dxa"/>
            <w:tcBorders>
              <w:top w:val="single" w:sz="6" w:space="0" w:color="000000"/>
              <w:left w:val="single" w:sz="6" w:space="0" w:color="000000"/>
              <w:bottom w:val="single" w:sz="6" w:space="0" w:color="000000"/>
            </w:tcBorders>
          </w:tcPr>
          <w:p w:rsidR="00A04DA2" w:rsidRPr="004C5123" w:rsidRDefault="00A04DA2" w:rsidP="00143509">
            <w:pPr>
              <w:keepNext/>
              <w:widowControl w:val="0"/>
              <w:tabs>
                <w:tab w:val="left" w:pos="0"/>
                <w:tab w:val="left" w:pos="720"/>
              </w:tabs>
              <w:spacing w:before="100" w:after="48"/>
              <w:rPr>
                <w:sz w:val="18"/>
                <w:szCs w:val="18"/>
                <w:vertAlign w:val="superscript"/>
              </w:rPr>
            </w:pPr>
            <w:r w:rsidRPr="004C5123">
              <w:rPr>
                <w:sz w:val="18"/>
                <w:szCs w:val="18"/>
              </w:rPr>
              <w:t>Shuck-at-Sea Application</w:t>
            </w:r>
            <w:r w:rsidR="00F70506" w:rsidRPr="004C5123">
              <w:rPr>
                <w:sz w:val="18"/>
                <w:szCs w:val="18"/>
                <w:vertAlign w:val="superscript"/>
              </w:rPr>
              <w:t>1</w:t>
            </w:r>
          </w:p>
        </w:tc>
        <w:tc>
          <w:tcPr>
            <w:tcW w:w="1253" w:type="dxa"/>
            <w:tcBorders>
              <w:top w:val="single" w:sz="6" w:space="0" w:color="000000"/>
              <w:left w:val="single" w:sz="6" w:space="0" w:color="000000"/>
              <w:bottom w:val="single" w:sz="6" w:space="0" w:color="000000"/>
            </w:tcBorders>
            <w:vAlign w:val="center"/>
          </w:tcPr>
          <w:p w:rsidR="00A04DA2" w:rsidRPr="004C5123" w:rsidRDefault="00A04DA2" w:rsidP="00897D36">
            <w:pPr>
              <w:keepNext/>
              <w:widowControl w:val="0"/>
              <w:tabs>
                <w:tab w:val="left" w:pos="0"/>
                <w:tab w:val="left" w:pos="720"/>
              </w:tabs>
              <w:spacing w:before="100" w:after="48"/>
              <w:jc w:val="center"/>
              <w:rPr>
                <w:sz w:val="18"/>
                <w:szCs w:val="18"/>
              </w:rPr>
            </w:pPr>
            <w:r w:rsidRPr="004C5123">
              <w:rPr>
                <w:sz w:val="18"/>
                <w:szCs w:val="18"/>
              </w:rPr>
              <w:t>1</w:t>
            </w:r>
          </w:p>
        </w:tc>
        <w:tc>
          <w:tcPr>
            <w:tcW w:w="1157" w:type="dxa"/>
            <w:tcBorders>
              <w:top w:val="single" w:sz="6" w:space="0" w:color="000000"/>
              <w:left w:val="single" w:sz="6" w:space="0" w:color="000000"/>
              <w:bottom w:val="single" w:sz="6" w:space="0" w:color="000000"/>
            </w:tcBorders>
            <w:vAlign w:val="center"/>
          </w:tcPr>
          <w:p w:rsidR="00A04DA2" w:rsidRPr="004C5123" w:rsidRDefault="00A04DA2" w:rsidP="00897D36">
            <w:pPr>
              <w:keepNext/>
              <w:widowControl w:val="0"/>
              <w:tabs>
                <w:tab w:val="left" w:pos="0"/>
                <w:tab w:val="left" w:pos="720"/>
              </w:tabs>
              <w:spacing w:before="100" w:after="48"/>
              <w:jc w:val="center"/>
              <w:rPr>
                <w:sz w:val="18"/>
                <w:szCs w:val="18"/>
              </w:rPr>
            </w:pPr>
            <w:r w:rsidRPr="004C5123">
              <w:rPr>
                <w:sz w:val="18"/>
                <w:szCs w:val="18"/>
              </w:rPr>
              <w:t>1</w:t>
            </w:r>
          </w:p>
        </w:tc>
        <w:tc>
          <w:tcPr>
            <w:tcW w:w="1049" w:type="dxa"/>
            <w:tcBorders>
              <w:top w:val="single" w:sz="6" w:space="0" w:color="000000"/>
              <w:left w:val="single" w:sz="6" w:space="0" w:color="000000"/>
              <w:bottom w:val="single" w:sz="6" w:space="0" w:color="000000"/>
              <w:right w:val="single" w:sz="6" w:space="0" w:color="000000"/>
            </w:tcBorders>
            <w:vAlign w:val="center"/>
          </w:tcPr>
          <w:p w:rsidR="00A04DA2" w:rsidRPr="004C5123" w:rsidRDefault="00A04DA2" w:rsidP="00897D36">
            <w:pPr>
              <w:keepNext/>
              <w:widowControl w:val="0"/>
              <w:tabs>
                <w:tab w:val="left" w:pos="0"/>
                <w:tab w:val="left" w:pos="720"/>
              </w:tabs>
              <w:spacing w:before="100" w:after="48"/>
              <w:jc w:val="center"/>
              <w:rPr>
                <w:sz w:val="18"/>
                <w:szCs w:val="18"/>
              </w:rPr>
            </w:pPr>
            <w:r w:rsidRPr="004C5123">
              <w:rPr>
                <w:sz w:val="18"/>
                <w:szCs w:val="18"/>
              </w:rPr>
              <w:t>1</w:t>
            </w:r>
          </w:p>
        </w:tc>
        <w:tc>
          <w:tcPr>
            <w:tcW w:w="1049" w:type="dxa"/>
            <w:tcBorders>
              <w:top w:val="single" w:sz="6" w:space="0" w:color="000000"/>
              <w:left w:val="single" w:sz="6" w:space="0" w:color="000000"/>
              <w:bottom w:val="single" w:sz="6" w:space="0" w:color="000000"/>
            </w:tcBorders>
            <w:vAlign w:val="center"/>
          </w:tcPr>
          <w:p w:rsidR="00A04DA2" w:rsidRPr="004C5123" w:rsidRDefault="00A04DA2" w:rsidP="00897D36">
            <w:pPr>
              <w:keepNext/>
              <w:widowControl w:val="0"/>
              <w:tabs>
                <w:tab w:val="left" w:pos="0"/>
                <w:tab w:val="left" w:pos="720"/>
              </w:tabs>
              <w:spacing w:before="100" w:after="48"/>
              <w:jc w:val="center"/>
              <w:rPr>
                <w:sz w:val="18"/>
                <w:szCs w:val="18"/>
              </w:rPr>
            </w:pPr>
            <w:r w:rsidRPr="004C5123">
              <w:rPr>
                <w:sz w:val="18"/>
                <w:szCs w:val="18"/>
              </w:rPr>
              <w:t>30 minutes</w:t>
            </w:r>
          </w:p>
        </w:tc>
        <w:tc>
          <w:tcPr>
            <w:tcW w:w="1260" w:type="dxa"/>
            <w:tcBorders>
              <w:top w:val="single" w:sz="6" w:space="0" w:color="000000"/>
              <w:left w:val="single" w:sz="6" w:space="0" w:color="000000"/>
              <w:bottom w:val="single" w:sz="6" w:space="0" w:color="000000"/>
            </w:tcBorders>
            <w:vAlign w:val="center"/>
          </w:tcPr>
          <w:p w:rsidR="00A04DA2" w:rsidRPr="004C5123" w:rsidRDefault="00570F5F" w:rsidP="00897D36">
            <w:pPr>
              <w:keepNext/>
              <w:widowControl w:val="0"/>
              <w:tabs>
                <w:tab w:val="left" w:pos="0"/>
                <w:tab w:val="left" w:pos="720"/>
              </w:tabs>
              <w:spacing w:before="100" w:after="48"/>
              <w:jc w:val="center"/>
              <w:rPr>
                <w:sz w:val="18"/>
                <w:szCs w:val="18"/>
              </w:rPr>
            </w:pPr>
            <w:r w:rsidRPr="004C5123">
              <w:rPr>
                <w:sz w:val="18"/>
                <w:szCs w:val="18"/>
              </w:rPr>
              <w:t xml:space="preserve">30 minutes </w:t>
            </w:r>
            <w:r w:rsidR="004C5123">
              <w:rPr>
                <w:sz w:val="18"/>
                <w:szCs w:val="18"/>
              </w:rPr>
              <w:t>(1 hr)</w:t>
            </w:r>
          </w:p>
        </w:tc>
        <w:tc>
          <w:tcPr>
            <w:tcW w:w="1080" w:type="dxa"/>
            <w:tcBorders>
              <w:top w:val="single" w:sz="6" w:space="0" w:color="000000"/>
              <w:left w:val="single" w:sz="6" w:space="0" w:color="000000"/>
              <w:bottom w:val="single" w:sz="6" w:space="0" w:color="000000"/>
            </w:tcBorders>
            <w:vAlign w:val="center"/>
          </w:tcPr>
          <w:p w:rsidR="00A04DA2" w:rsidRPr="004C5123" w:rsidRDefault="00A04DA2" w:rsidP="00897D36">
            <w:pPr>
              <w:keepNext/>
              <w:widowControl w:val="0"/>
              <w:tabs>
                <w:tab w:val="left" w:pos="0"/>
                <w:tab w:val="left" w:pos="720"/>
              </w:tabs>
              <w:spacing w:before="100" w:after="48"/>
              <w:jc w:val="center"/>
              <w:rPr>
                <w:sz w:val="18"/>
                <w:szCs w:val="18"/>
                <w:vertAlign w:val="superscript"/>
              </w:rPr>
            </w:pPr>
            <w:r w:rsidRPr="004C5123">
              <w:rPr>
                <w:sz w:val="18"/>
                <w:szCs w:val="18"/>
              </w:rPr>
              <w:t>$109,200</w:t>
            </w:r>
          </w:p>
        </w:tc>
        <w:tc>
          <w:tcPr>
            <w:tcW w:w="1090" w:type="dxa"/>
            <w:tcBorders>
              <w:top w:val="single" w:sz="6" w:space="0" w:color="000000"/>
              <w:left w:val="single" w:sz="6" w:space="0" w:color="000000"/>
              <w:bottom w:val="single" w:sz="6" w:space="0" w:color="000000"/>
              <w:right w:val="single" w:sz="6" w:space="0" w:color="000000"/>
            </w:tcBorders>
            <w:vAlign w:val="center"/>
          </w:tcPr>
          <w:p w:rsidR="00A04DA2" w:rsidRPr="004C5123" w:rsidRDefault="00A04DA2" w:rsidP="00897D36">
            <w:pPr>
              <w:keepNext/>
              <w:widowControl w:val="0"/>
              <w:tabs>
                <w:tab w:val="left" w:pos="0"/>
                <w:tab w:val="left" w:pos="720"/>
              </w:tabs>
              <w:spacing w:before="100" w:after="48"/>
              <w:jc w:val="center"/>
              <w:rPr>
                <w:sz w:val="18"/>
                <w:szCs w:val="18"/>
              </w:rPr>
            </w:pPr>
            <w:r w:rsidRPr="004C5123">
              <w:rPr>
                <w:sz w:val="18"/>
                <w:szCs w:val="18"/>
              </w:rPr>
              <w:t>$25</w:t>
            </w:r>
          </w:p>
        </w:tc>
      </w:tr>
      <w:tr w:rsidR="009954EA" w:rsidRPr="00643BF9" w:rsidTr="00897D36">
        <w:trPr>
          <w:cantSplit/>
          <w:jc w:val="center"/>
        </w:trPr>
        <w:tc>
          <w:tcPr>
            <w:tcW w:w="1622" w:type="dxa"/>
            <w:tcBorders>
              <w:top w:val="single" w:sz="6" w:space="0" w:color="000000"/>
              <w:left w:val="single" w:sz="6" w:space="0" w:color="000000"/>
              <w:bottom w:val="single" w:sz="6" w:space="0" w:color="000000"/>
            </w:tcBorders>
          </w:tcPr>
          <w:p w:rsidR="009954EA" w:rsidRPr="004C5123" w:rsidRDefault="00D57E6E" w:rsidP="009954EA">
            <w:pPr>
              <w:rPr>
                <w:bCs/>
                <w:sz w:val="18"/>
                <w:szCs w:val="18"/>
              </w:rPr>
            </w:pPr>
            <w:r w:rsidRPr="004C5123">
              <w:rPr>
                <w:bCs/>
                <w:sz w:val="18"/>
                <w:szCs w:val="18"/>
              </w:rPr>
              <w:t xml:space="preserve">Protocol - </w:t>
            </w:r>
            <w:r w:rsidR="009954EA" w:rsidRPr="004C5123">
              <w:rPr>
                <w:bCs/>
                <w:sz w:val="18"/>
                <w:szCs w:val="18"/>
              </w:rPr>
              <w:t>Submission of concurrence from state of landing</w:t>
            </w:r>
          </w:p>
        </w:tc>
        <w:tc>
          <w:tcPr>
            <w:tcW w:w="1253" w:type="dxa"/>
            <w:tcBorders>
              <w:top w:val="single" w:sz="6" w:space="0" w:color="000000"/>
              <w:left w:val="single" w:sz="6" w:space="0" w:color="000000"/>
              <w:bottom w:val="single" w:sz="6" w:space="0" w:color="000000"/>
            </w:tcBorders>
            <w:vAlign w:val="center"/>
          </w:tcPr>
          <w:p w:rsidR="009954EA" w:rsidRPr="004C5123" w:rsidRDefault="009954EA" w:rsidP="00897D36">
            <w:pPr>
              <w:spacing w:before="100" w:after="48"/>
              <w:jc w:val="center"/>
              <w:rPr>
                <w:sz w:val="18"/>
                <w:szCs w:val="18"/>
              </w:rPr>
            </w:pPr>
            <w:r w:rsidRPr="004C5123">
              <w:rPr>
                <w:sz w:val="18"/>
                <w:szCs w:val="18"/>
              </w:rPr>
              <w:t>11</w:t>
            </w:r>
          </w:p>
        </w:tc>
        <w:tc>
          <w:tcPr>
            <w:tcW w:w="1157" w:type="dxa"/>
            <w:tcBorders>
              <w:top w:val="single" w:sz="6" w:space="0" w:color="000000"/>
              <w:left w:val="single" w:sz="6" w:space="0" w:color="000000"/>
              <w:bottom w:val="single" w:sz="6" w:space="0" w:color="000000"/>
            </w:tcBorders>
            <w:vAlign w:val="center"/>
          </w:tcPr>
          <w:p w:rsidR="009954EA" w:rsidRPr="004C5123" w:rsidRDefault="009954EA" w:rsidP="00897D36">
            <w:pPr>
              <w:spacing w:before="100" w:after="48"/>
              <w:jc w:val="center"/>
              <w:rPr>
                <w:sz w:val="18"/>
                <w:szCs w:val="18"/>
              </w:rPr>
            </w:pPr>
            <w:r w:rsidRPr="004C5123">
              <w:rPr>
                <w:sz w:val="18"/>
                <w:szCs w:val="18"/>
              </w:rPr>
              <w:t>1</w:t>
            </w:r>
          </w:p>
        </w:tc>
        <w:tc>
          <w:tcPr>
            <w:tcW w:w="1049" w:type="dxa"/>
            <w:tcBorders>
              <w:top w:val="single" w:sz="6" w:space="0" w:color="000000"/>
              <w:left w:val="single" w:sz="6" w:space="0" w:color="000000"/>
              <w:bottom w:val="single" w:sz="6" w:space="0" w:color="000000"/>
              <w:right w:val="single" w:sz="6" w:space="0" w:color="000000"/>
            </w:tcBorders>
            <w:vAlign w:val="center"/>
          </w:tcPr>
          <w:p w:rsidR="009954EA" w:rsidRPr="004C5123" w:rsidRDefault="009954EA" w:rsidP="00897D36">
            <w:pPr>
              <w:spacing w:before="100" w:after="48"/>
              <w:jc w:val="center"/>
              <w:rPr>
                <w:sz w:val="18"/>
                <w:szCs w:val="18"/>
              </w:rPr>
            </w:pPr>
            <w:r w:rsidRPr="004C5123">
              <w:rPr>
                <w:sz w:val="18"/>
                <w:szCs w:val="18"/>
              </w:rPr>
              <w:t>11</w:t>
            </w:r>
          </w:p>
        </w:tc>
        <w:tc>
          <w:tcPr>
            <w:tcW w:w="1049" w:type="dxa"/>
            <w:tcBorders>
              <w:top w:val="single" w:sz="6" w:space="0" w:color="000000"/>
              <w:left w:val="single" w:sz="6" w:space="0" w:color="000000"/>
              <w:bottom w:val="single" w:sz="6" w:space="0" w:color="000000"/>
            </w:tcBorders>
            <w:vAlign w:val="center"/>
          </w:tcPr>
          <w:p w:rsidR="009954EA" w:rsidRPr="004C5123" w:rsidRDefault="009954EA" w:rsidP="00897D36">
            <w:pPr>
              <w:spacing w:before="100" w:after="48"/>
              <w:jc w:val="center"/>
              <w:rPr>
                <w:sz w:val="18"/>
                <w:szCs w:val="18"/>
              </w:rPr>
            </w:pPr>
            <w:r w:rsidRPr="004C5123">
              <w:rPr>
                <w:sz w:val="18"/>
                <w:szCs w:val="18"/>
              </w:rPr>
              <w:t>60 minutes</w:t>
            </w:r>
          </w:p>
        </w:tc>
        <w:tc>
          <w:tcPr>
            <w:tcW w:w="1260" w:type="dxa"/>
            <w:tcBorders>
              <w:top w:val="single" w:sz="6" w:space="0" w:color="000000"/>
              <w:left w:val="single" w:sz="6" w:space="0" w:color="000000"/>
              <w:bottom w:val="single" w:sz="6" w:space="0" w:color="000000"/>
            </w:tcBorders>
            <w:vAlign w:val="center"/>
          </w:tcPr>
          <w:p w:rsidR="009954EA" w:rsidRPr="004C5123" w:rsidRDefault="009954EA" w:rsidP="00897D36">
            <w:pPr>
              <w:spacing w:before="100" w:after="48"/>
              <w:jc w:val="center"/>
              <w:rPr>
                <w:sz w:val="18"/>
                <w:szCs w:val="18"/>
              </w:rPr>
            </w:pPr>
            <w:r w:rsidRPr="004C5123">
              <w:rPr>
                <w:sz w:val="18"/>
                <w:szCs w:val="18"/>
              </w:rPr>
              <w:t>11 hours</w:t>
            </w:r>
          </w:p>
        </w:tc>
        <w:tc>
          <w:tcPr>
            <w:tcW w:w="1080" w:type="dxa"/>
            <w:tcBorders>
              <w:top w:val="single" w:sz="6" w:space="0" w:color="000000"/>
              <w:left w:val="single" w:sz="6" w:space="0" w:color="000000"/>
              <w:bottom w:val="single" w:sz="6" w:space="0" w:color="000000"/>
            </w:tcBorders>
            <w:vAlign w:val="center"/>
          </w:tcPr>
          <w:p w:rsidR="009954EA" w:rsidRPr="004C5123" w:rsidRDefault="009954EA" w:rsidP="00897D36">
            <w:pPr>
              <w:spacing w:before="100" w:after="48"/>
              <w:jc w:val="center"/>
              <w:rPr>
                <w:sz w:val="18"/>
                <w:szCs w:val="18"/>
              </w:rPr>
            </w:pPr>
            <w:r w:rsidRPr="004C5123">
              <w:rPr>
                <w:sz w:val="18"/>
                <w:szCs w:val="18"/>
              </w:rPr>
              <w:t>$</w:t>
            </w:r>
            <w:r w:rsidR="00B168E6" w:rsidRPr="004C5123">
              <w:rPr>
                <w:sz w:val="18"/>
                <w:szCs w:val="18"/>
              </w:rPr>
              <w:t>6</w:t>
            </w:r>
          </w:p>
        </w:tc>
        <w:tc>
          <w:tcPr>
            <w:tcW w:w="1090" w:type="dxa"/>
            <w:tcBorders>
              <w:top w:val="single" w:sz="6" w:space="0" w:color="000000"/>
              <w:left w:val="single" w:sz="6" w:space="0" w:color="000000"/>
              <w:bottom w:val="single" w:sz="6" w:space="0" w:color="000000"/>
              <w:right w:val="single" w:sz="6" w:space="0" w:color="000000"/>
            </w:tcBorders>
            <w:vAlign w:val="center"/>
          </w:tcPr>
          <w:p w:rsidR="009954EA" w:rsidRPr="004C5123" w:rsidRDefault="009954EA" w:rsidP="00897D36">
            <w:pPr>
              <w:spacing w:before="100" w:after="48"/>
              <w:jc w:val="center"/>
              <w:rPr>
                <w:sz w:val="18"/>
                <w:szCs w:val="18"/>
              </w:rPr>
            </w:pPr>
            <w:r w:rsidRPr="004C5123">
              <w:rPr>
                <w:sz w:val="18"/>
                <w:szCs w:val="18"/>
              </w:rPr>
              <w:t>$25</w:t>
            </w:r>
          </w:p>
        </w:tc>
      </w:tr>
      <w:tr w:rsidR="009F5A1E" w:rsidRPr="00643BF9" w:rsidTr="00897D36">
        <w:trPr>
          <w:cantSplit/>
          <w:jc w:val="center"/>
        </w:trPr>
        <w:tc>
          <w:tcPr>
            <w:tcW w:w="1622" w:type="dxa"/>
            <w:tcBorders>
              <w:top w:val="single" w:sz="6" w:space="0" w:color="000000"/>
              <w:left w:val="single" w:sz="6" w:space="0" w:color="000000"/>
              <w:bottom w:val="single" w:sz="6" w:space="0" w:color="000000"/>
            </w:tcBorders>
          </w:tcPr>
          <w:p w:rsidR="009F5A1E" w:rsidRPr="004C5123" w:rsidRDefault="00D57E6E" w:rsidP="008921C7">
            <w:pPr>
              <w:rPr>
                <w:b/>
                <w:bCs/>
                <w:sz w:val="18"/>
                <w:szCs w:val="18"/>
              </w:rPr>
            </w:pPr>
            <w:r w:rsidRPr="004C5123">
              <w:rPr>
                <w:bCs/>
                <w:sz w:val="18"/>
                <w:szCs w:val="18"/>
              </w:rPr>
              <w:t xml:space="preserve">Protocol - </w:t>
            </w:r>
            <w:r w:rsidR="009F5A1E" w:rsidRPr="004C5123">
              <w:rPr>
                <w:bCs/>
                <w:sz w:val="18"/>
                <w:szCs w:val="18"/>
              </w:rPr>
              <w:t>Maintain and submit harvest records</w:t>
            </w:r>
          </w:p>
        </w:tc>
        <w:tc>
          <w:tcPr>
            <w:tcW w:w="1253"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47</w:t>
            </w:r>
          </w:p>
        </w:tc>
        <w:tc>
          <w:tcPr>
            <w:tcW w:w="1157"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vertAlign w:val="superscript"/>
              </w:rPr>
            </w:pPr>
            <w:r w:rsidRPr="004C5123">
              <w:rPr>
                <w:sz w:val="18"/>
                <w:szCs w:val="18"/>
              </w:rPr>
              <w:t>46</w:t>
            </w:r>
            <w:r w:rsidR="0034245D" w:rsidRPr="004C5123">
              <w:rPr>
                <w:sz w:val="18"/>
                <w:szCs w:val="18"/>
                <w:vertAlign w:val="superscript"/>
              </w:rPr>
              <w:t>5</w:t>
            </w:r>
          </w:p>
        </w:tc>
        <w:tc>
          <w:tcPr>
            <w:tcW w:w="1049" w:type="dxa"/>
            <w:tcBorders>
              <w:top w:val="single" w:sz="6" w:space="0" w:color="000000"/>
              <w:left w:val="single" w:sz="6" w:space="0" w:color="000000"/>
              <w:bottom w:val="single" w:sz="6" w:space="0" w:color="000000"/>
              <w:right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2,162</w:t>
            </w:r>
          </w:p>
        </w:tc>
        <w:tc>
          <w:tcPr>
            <w:tcW w:w="1049"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30 minutes</w:t>
            </w:r>
          </w:p>
        </w:tc>
        <w:tc>
          <w:tcPr>
            <w:tcW w:w="1260"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1</w:t>
            </w:r>
            <w:r w:rsidR="00B32CCB" w:rsidRPr="004C5123">
              <w:rPr>
                <w:sz w:val="18"/>
                <w:szCs w:val="18"/>
              </w:rPr>
              <w:t>,</w:t>
            </w:r>
            <w:r w:rsidRPr="004C5123">
              <w:rPr>
                <w:sz w:val="18"/>
                <w:szCs w:val="18"/>
              </w:rPr>
              <w:t>081 hours</w:t>
            </w:r>
          </w:p>
        </w:tc>
        <w:tc>
          <w:tcPr>
            <w:tcW w:w="1080" w:type="dxa"/>
            <w:tcBorders>
              <w:top w:val="single" w:sz="6" w:space="0" w:color="000000"/>
              <w:left w:val="single" w:sz="6" w:space="0" w:color="000000"/>
              <w:bottom w:val="single" w:sz="6" w:space="0" w:color="000000"/>
            </w:tcBorders>
            <w:vAlign w:val="center"/>
          </w:tcPr>
          <w:p w:rsidR="009F5A1E" w:rsidRPr="004C5123" w:rsidRDefault="00B45FEA" w:rsidP="00897D36">
            <w:pPr>
              <w:spacing w:before="100" w:after="48"/>
              <w:jc w:val="center"/>
              <w:rPr>
                <w:sz w:val="18"/>
                <w:szCs w:val="18"/>
              </w:rPr>
            </w:pPr>
            <w:r w:rsidRPr="004C5123">
              <w:rPr>
                <w:sz w:val="18"/>
                <w:szCs w:val="18"/>
              </w:rPr>
              <w:t>$</w:t>
            </w:r>
            <w:r w:rsidR="00B168E6" w:rsidRPr="004C5123">
              <w:rPr>
                <w:sz w:val="18"/>
                <w:szCs w:val="18"/>
              </w:rPr>
              <w:t>1,059</w:t>
            </w:r>
          </w:p>
        </w:tc>
        <w:tc>
          <w:tcPr>
            <w:tcW w:w="1090" w:type="dxa"/>
            <w:tcBorders>
              <w:top w:val="single" w:sz="6" w:space="0" w:color="000000"/>
              <w:left w:val="single" w:sz="6" w:space="0" w:color="000000"/>
              <w:bottom w:val="single" w:sz="6" w:space="0" w:color="000000"/>
              <w:right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0</w:t>
            </w:r>
          </w:p>
        </w:tc>
      </w:tr>
      <w:tr w:rsidR="009F5A1E" w:rsidRPr="00643BF9" w:rsidTr="00897D36">
        <w:trPr>
          <w:cantSplit/>
          <w:jc w:val="center"/>
        </w:trPr>
        <w:tc>
          <w:tcPr>
            <w:tcW w:w="1622" w:type="dxa"/>
            <w:tcBorders>
              <w:top w:val="single" w:sz="6" w:space="0" w:color="000000"/>
              <w:left w:val="single" w:sz="6" w:space="0" w:color="000000"/>
              <w:bottom w:val="single" w:sz="6" w:space="0" w:color="000000"/>
            </w:tcBorders>
          </w:tcPr>
          <w:p w:rsidR="009F5A1E" w:rsidRPr="004C5123" w:rsidRDefault="00D57E6E" w:rsidP="008921C7">
            <w:pPr>
              <w:rPr>
                <w:bCs/>
                <w:sz w:val="18"/>
                <w:szCs w:val="18"/>
              </w:rPr>
            </w:pPr>
            <w:r w:rsidRPr="004C5123">
              <w:rPr>
                <w:bCs/>
                <w:sz w:val="18"/>
                <w:szCs w:val="18"/>
              </w:rPr>
              <w:t xml:space="preserve">Protocol - </w:t>
            </w:r>
            <w:r w:rsidR="009F5A1E" w:rsidRPr="004C5123">
              <w:rPr>
                <w:bCs/>
                <w:sz w:val="18"/>
                <w:szCs w:val="18"/>
              </w:rPr>
              <w:t>Compile and submit laboratory test results</w:t>
            </w:r>
          </w:p>
        </w:tc>
        <w:tc>
          <w:tcPr>
            <w:tcW w:w="1253"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47</w:t>
            </w:r>
          </w:p>
        </w:tc>
        <w:tc>
          <w:tcPr>
            <w:tcW w:w="1157"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vertAlign w:val="superscript"/>
              </w:rPr>
            </w:pPr>
            <w:r w:rsidRPr="004C5123">
              <w:rPr>
                <w:sz w:val="18"/>
                <w:szCs w:val="18"/>
              </w:rPr>
              <w:t>46</w:t>
            </w:r>
            <w:r w:rsidR="0034245D" w:rsidRPr="004C5123">
              <w:rPr>
                <w:sz w:val="18"/>
                <w:szCs w:val="18"/>
                <w:vertAlign w:val="superscript"/>
              </w:rPr>
              <w:t>5</w:t>
            </w:r>
          </w:p>
        </w:tc>
        <w:tc>
          <w:tcPr>
            <w:tcW w:w="1049" w:type="dxa"/>
            <w:tcBorders>
              <w:top w:val="single" w:sz="6" w:space="0" w:color="000000"/>
              <w:left w:val="single" w:sz="6" w:space="0" w:color="000000"/>
              <w:bottom w:val="single" w:sz="6" w:space="0" w:color="000000"/>
              <w:right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2,162</w:t>
            </w:r>
          </w:p>
        </w:tc>
        <w:tc>
          <w:tcPr>
            <w:tcW w:w="1049"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30 minutes</w:t>
            </w:r>
          </w:p>
        </w:tc>
        <w:tc>
          <w:tcPr>
            <w:tcW w:w="1260"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1</w:t>
            </w:r>
            <w:r w:rsidR="00B32CCB" w:rsidRPr="004C5123">
              <w:rPr>
                <w:sz w:val="18"/>
                <w:szCs w:val="18"/>
              </w:rPr>
              <w:t>,</w:t>
            </w:r>
            <w:r w:rsidRPr="004C5123">
              <w:rPr>
                <w:sz w:val="18"/>
                <w:szCs w:val="18"/>
              </w:rPr>
              <w:t>081 hours</w:t>
            </w:r>
          </w:p>
        </w:tc>
        <w:tc>
          <w:tcPr>
            <w:tcW w:w="1080" w:type="dxa"/>
            <w:tcBorders>
              <w:top w:val="single" w:sz="6" w:space="0" w:color="000000"/>
              <w:left w:val="single" w:sz="6" w:space="0" w:color="000000"/>
              <w:bottom w:val="single" w:sz="6" w:space="0" w:color="000000"/>
            </w:tcBorders>
            <w:vAlign w:val="center"/>
          </w:tcPr>
          <w:p w:rsidR="009F5A1E" w:rsidRPr="004C5123" w:rsidRDefault="00B45FEA" w:rsidP="00897D36">
            <w:pPr>
              <w:spacing w:before="100" w:after="48"/>
              <w:jc w:val="center"/>
              <w:rPr>
                <w:sz w:val="18"/>
                <w:szCs w:val="18"/>
              </w:rPr>
            </w:pPr>
            <w:r w:rsidRPr="004C5123">
              <w:rPr>
                <w:sz w:val="18"/>
                <w:szCs w:val="18"/>
              </w:rPr>
              <w:t>$</w:t>
            </w:r>
            <w:r w:rsidR="00B168E6" w:rsidRPr="004C5123">
              <w:rPr>
                <w:sz w:val="18"/>
                <w:szCs w:val="18"/>
              </w:rPr>
              <w:t>1,059</w:t>
            </w:r>
          </w:p>
        </w:tc>
        <w:tc>
          <w:tcPr>
            <w:tcW w:w="1090" w:type="dxa"/>
            <w:tcBorders>
              <w:top w:val="single" w:sz="6" w:space="0" w:color="000000"/>
              <w:left w:val="single" w:sz="6" w:space="0" w:color="000000"/>
              <w:bottom w:val="single" w:sz="6" w:space="0" w:color="000000"/>
              <w:right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0</w:t>
            </w:r>
          </w:p>
        </w:tc>
      </w:tr>
      <w:tr w:rsidR="009F5A1E" w:rsidRPr="00643BF9" w:rsidTr="00897D36">
        <w:trPr>
          <w:cantSplit/>
          <w:jc w:val="center"/>
        </w:trPr>
        <w:tc>
          <w:tcPr>
            <w:tcW w:w="1622" w:type="dxa"/>
            <w:tcBorders>
              <w:top w:val="single" w:sz="6" w:space="0" w:color="000000"/>
              <w:left w:val="single" w:sz="6" w:space="0" w:color="000000"/>
              <w:bottom w:val="single" w:sz="6" w:space="0" w:color="000000"/>
            </w:tcBorders>
          </w:tcPr>
          <w:p w:rsidR="009F5A1E" w:rsidRPr="004C5123" w:rsidRDefault="00D57E6E" w:rsidP="008921C7">
            <w:pPr>
              <w:rPr>
                <w:bCs/>
                <w:sz w:val="18"/>
                <w:szCs w:val="18"/>
              </w:rPr>
            </w:pPr>
            <w:r w:rsidRPr="004C5123">
              <w:rPr>
                <w:bCs/>
                <w:sz w:val="18"/>
                <w:szCs w:val="18"/>
              </w:rPr>
              <w:t xml:space="preserve">Protocol - </w:t>
            </w:r>
            <w:r w:rsidR="009F5A1E" w:rsidRPr="004C5123">
              <w:rPr>
                <w:bCs/>
                <w:sz w:val="18"/>
                <w:szCs w:val="18"/>
              </w:rPr>
              <w:t>Create and maintain a written onboard lot segregation plan</w:t>
            </w:r>
          </w:p>
        </w:tc>
        <w:tc>
          <w:tcPr>
            <w:tcW w:w="1253"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47</w:t>
            </w:r>
          </w:p>
        </w:tc>
        <w:tc>
          <w:tcPr>
            <w:tcW w:w="1157"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1</w:t>
            </w:r>
          </w:p>
        </w:tc>
        <w:tc>
          <w:tcPr>
            <w:tcW w:w="1049" w:type="dxa"/>
            <w:tcBorders>
              <w:top w:val="single" w:sz="6" w:space="0" w:color="000000"/>
              <w:left w:val="single" w:sz="6" w:space="0" w:color="000000"/>
              <w:bottom w:val="single" w:sz="6" w:space="0" w:color="000000"/>
              <w:right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47</w:t>
            </w:r>
          </w:p>
        </w:tc>
        <w:tc>
          <w:tcPr>
            <w:tcW w:w="1049"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60 minutes</w:t>
            </w:r>
          </w:p>
        </w:tc>
        <w:tc>
          <w:tcPr>
            <w:tcW w:w="1260"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47 hours</w:t>
            </w:r>
          </w:p>
        </w:tc>
        <w:tc>
          <w:tcPr>
            <w:tcW w:w="1080"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w:t>
            </w:r>
            <w:r w:rsidR="00B168E6" w:rsidRPr="004C5123">
              <w:rPr>
                <w:sz w:val="18"/>
                <w:szCs w:val="18"/>
              </w:rPr>
              <w:t>23</w:t>
            </w:r>
          </w:p>
        </w:tc>
        <w:tc>
          <w:tcPr>
            <w:tcW w:w="1090" w:type="dxa"/>
            <w:tcBorders>
              <w:top w:val="single" w:sz="6" w:space="0" w:color="000000"/>
              <w:left w:val="single" w:sz="6" w:space="0" w:color="000000"/>
              <w:bottom w:val="single" w:sz="6" w:space="0" w:color="000000"/>
              <w:right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$100</w:t>
            </w:r>
          </w:p>
        </w:tc>
      </w:tr>
      <w:tr w:rsidR="009F5A1E" w:rsidRPr="00643BF9" w:rsidTr="00897D36">
        <w:trPr>
          <w:cantSplit/>
          <w:jc w:val="center"/>
        </w:trPr>
        <w:tc>
          <w:tcPr>
            <w:tcW w:w="1622" w:type="dxa"/>
            <w:tcBorders>
              <w:top w:val="single" w:sz="6" w:space="0" w:color="000000"/>
              <w:left w:val="single" w:sz="6" w:space="0" w:color="000000"/>
              <w:bottom w:val="single" w:sz="6" w:space="0" w:color="000000"/>
            </w:tcBorders>
          </w:tcPr>
          <w:p w:rsidR="009F5A1E" w:rsidRPr="004C5123" w:rsidRDefault="00D57E6E" w:rsidP="008921C7">
            <w:pPr>
              <w:rPr>
                <w:bCs/>
                <w:sz w:val="18"/>
                <w:szCs w:val="18"/>
              </w:rPr>
            </w:pPr>
            <w:r w:rsidRPr="004C5123">
              <w:rPr>
                <w:bCs/>
                <w:sz w:val="18"/>
                <w:szCs w:val="18"/>
              </w:rPr>
              <w:t xml:space="preserve">Protocol - </w:t>
            </w:r>
            <w:r w:rsidR="009F5A1E" w:rsidRPr="004C5123">
              <w:rPr>
                <w:bCs/>
                <w:sz w:val="18"/>
                <w:szCs w:val="18"/>
              </w:rPr>
              <w:t>Provide notification prior to unloading</w:t>
            </w:r>
          </w:p>
        </w:tc>
        <w:tc>
          <w:tcPr>
            <w:tcW w:w="1253"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47</w:t>
            </w:r>
          </w:p>
        </w:tc>
        <w:tc>
          <w:tcPr>
            <w:tcW w:w="1157"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vertAlign w:val="superscript"/>
              </w:rPr>
            </w:pPr>
            <w:r w:rsidRPr="004C5123">
              <w:rPr>
                <w:sz w:val="18"/>
                <w:szCs w:val="18"/>
              </w:rPr>
              <w:t>46</w:t>
            </w:r>
            <w:r w:rsidR="0034245D" w:rsidRPr="004C5123">
              <w:rPr>
                <w:sz w:val="18"/>
                <w:szCs w:val="18"/>
                <w:vertAlign w:val="superscript"/>
              </w:rPr>
              <w:t>5</w:t>
            </w:r>
          </w:p>
        </w:tc>
        <w:tc>
          <w:tcPr>
            <w:tcW w:w="1049" w:type="dxa"/>
            <w:tcBorders>
              <w:top w:val="single" w:sz="6" w:space="0" w:color="000000"/>
              <w:left w:val="single" w:sz="6" w:space="0" w:color="000000"/>
              <w:bottom w:val="single" w:sz="6" w:space="0" w:color="000000"/>
              <w:right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2,162</w:t>
            </w:r>
          </w:p>
        </w:tc>
        <w:tc>
          <w:tcPr>
            <w:tcW w:w="1049"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5 minutes</w:t>
            </w:r>
          </w:p>
        </w:tc>
        <w:tc>
          <w:tcPr>
            <w:tcW w:w="1260"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180 hours</w:t>
            </w:r>
          </w:p>
        </w:tc>
        <w:tc>
          <w:tcPr>
            <w:tcW w:w="1080" w:type="dxa"/>
            <w:tcBorders>
              <w:top w:val="single" w:sz="6" w:space="0" w:color="000000"/>
              <w:left w:val="single" w:sz="6" w:space="0" w:color="000000"/>
              <w:bottom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$0</w:t>
            </w:r>
          </w:p>
        </w:tc>
        <w:tc>
          <w:tcPr>
            <w:tcW w:w="1090" w:type="dxa"/>
            <w:tcBorders>
              <w:top w:val="single" w:sz="6" w:space="0" w:color="000000"/>
              <w:left w:val="single" w:sz="6" w:space="0" w:color="000000"/>
              <w:bottom w:val="single" w:sz="6" w:space="0" w:color="000000"/>
              <w:right w:val="single" w:sz="6" w:space="0" w:color="000000"/>
            </w:tcBorders>
            <w:vAlign w:val="center"/>
          </w:tcPr>
          <w:p w:rsidR="009F5A1E" w:rsidRPr="004C5123" w:rsidRDefault="009F5A1E" w:rsidP="00897D36">
            <w:pPr>
              <w:spacing w:before="100" w:after="48"/>
              <w:jc w:val="center"/>
              <w:rPr>
                <w:sz w:val="18"/>
                <w:szCs w:val="18"/>
              </w:rPr>
            </w:pPr>
            <w:r w:rsidRPr="004C5123">
              <w:rPr>
                <w:sz w:val="18"/>
                <w:szCs w:val="18"/>
              </w:rPr>
              <w:t>$0</w:t>
            </w:r>
          </w:p>
        </w:tc>
      </w:tr>
      <w:tr w:rsidR="009F5A1E" w:rsidRPr="00643BF9" w:rsidTr="00897D36">
        <w:trPr>
          <w:cantSplit/>
          <w:jc w:val="center"/>
        </w:trPr>
        <w:tc>
          <w:tcPr>
            <w:tcW w:w="1622" w:type="dxa"/>
            <w:tcBorders>
              <w:top w:val="single" w:sz="6" w:space="0" w:color="000000"/>
              <w:left w:val="single" w:sz="6" w:space="0" w:color="000000"/>
              <w:bottom w:val="single" w:sz="6" w:space="0" w:color="000000"/>
            </w:tcBorders>
          </w:tcPr>
          <w:p w:rsidR="009F5A1E" w:rsidRPr="004C5123" w:rsidRDefault="009F5A1E" w:rsidP="00775670">
            <w:pPr>
              <w:tabs>
                <w:tab w:val="left" w:pos="0"/>
                <w:tab w:val="left" w:pos="720"/>
              </w:tabs>
              <w:spacing w:before="100" w:after="48"/>
              <w:rPr>
                <w:b/>
                <w:sz w:val="18"/>
                <w:szCs w:val="18"/>
              </w:rPr>
            </w:pPr>
            <w:r w:rsidRPr="004C5123">
              <w:rPr>
                <w:b/>
                <w:sz w:val="18"/>
                <w:szCs w:val="18"/>
              </w:rPr>
              <w:t>TOTAL</w:t>
            </w:r>
          </w:p>
        </w:tc>
        <w:tc>
          <w:tcPr>
            <w:tcW w:w="1253" w:type="dxa"/>
            <w:tcBorders>
              <w:top w:val="single" w:sz="6" w:space="0" w:color="000000"/>
              <w:left w:val="single" w:sz="6" w:space="0" w:color="000000"/>
              <w:bottom w:val="single" w:sz="6" w:space="0" w:color="000000"/>
            </w:tcBorders>
            <w:vAlign w:val="center"/>
          </w:tcPr>
          <w:p w:rsidR="009F5A1E" w:rsidRPr="004C5123" w:rsidRDefault="005B0DE7" w:rsidP="00897D36">
            <w:pPr>
              <w:tabs>
                <w:tab w:val="left" w:pos="0"/>
                <w:tab w:val="left" w:pos="720"/>
              </w:tabs>
              <w:spacing w:before="100" w:after="48"/>
              <w:jc w:val="center"/>
              <w:rPr>
                <w:b/>
                <w:sz w:val="18"/>
                <w:szCs w:val="18"/>
              </w:rPr>
            </w:pPr>
            <w:r>
              <w:rPr>
                <w:b/>
                <w:sz w:val="18"/>
                <w:szCs w:val="18"/>
              </w:rPr>
              <w:t>189</w:t>
            </w:r>
          </w:p>
        </w:tc>
        <w:tc>
          <w:tcPr>
            <w:tcW w:w="1157" w:type="dxa"/>
            <w:tcBorders>
              <w:top w:val="single" w:sz="6" w:space="0" w:color="000000"/>
              <w:left w:val="single" w:sz="6" w:space="0" w:color="000000"/>
              <w:bottom w:val="single" w:sz="6" w:space="0" w:color="000000"/>
            </w:tcBorders>
            <w:vAlign w:val="center"/>
          </w:tcPr>
          <w:p w:rsidR="009F5A1E" w:rsidRPr="004C5123" w:rsidRDefault="009F5A1E" w:rsidP="00897D36">
            <w:pPr>
              <w:tabs>
                <w:tab w:val="left" w:pos="0"/>
                <w:tab w:val="left" w:pos="720"/>
              </w:tabs>
              <w:spacing w:before="100" w:after="48"/>
              <w:jc w:val="center"/>
              <w:rPr>
                <w:b/>
                <w:sz w:val="18"/>
                <w:szCs w:val="18"/>
              </w:rPr>
            </w:pPr>
          </w:p>
        </w:tc>
        <w:tc>
          <w:tcPr>
            <w:tcW w:w="1049" w:type="dxa"/>
            <w:tcBorders>
              <w:top w:val="single" w:sz="6" w:space="0" w:color="000000"/>
              <w:left w:val="single" w:sz="6" w:space="0" w:color="000000"/>
              <w:bottom w:val="single" w:sz="6" w:space="0" w:color="000000"/>
              <w:right w:val="single" w:sz="6" w:space="0" w:color="000000"/>
            </w:tcBorders>
            <w:vAlign w:val="center"/>
          </w:tcPr>
          <w:p w:rsidR="009F5A1E" w:rsidRPr="004C5123" w:rsidRDefault="0023004F" w:rsidP="00897D36">
            <w:pPr>
              <w:tabs>
                <w:tab w:val="left" w:pos="0"/>
                <w:tab w:val="left" w:pos="720"/>
              </w:tabs>
              <w:spacing w:before="100" w:after="48"/>
              <w:jc w:val="center"/>
              <w:rPr>
                <w:b/>
                <w:sz w:val="18"/>
                <w:szCs w:val="18"/>
              </w:rPr>
            </w:pPr>
            <w:r w:rsidRPr="004C5123">
              <w:rPr>
                <w:b/>
                <w:sz w:val="18"/>
                <w:szCs w:val="18"/>
              </w:rPr>
              <w:t>7,395</w:t>
            </w:r>
          </w:p>
        </w:tc>
        <w:tc>
          <w:tcPr>
            <w:tcW w:w="1049" w:type="dxa"/>
            <w:tcBorders>
              <w:top w:val="single" w:sz="6" w:space="0" w:color="000000"/>
              <w:left w:val="single" w:sz="6" w:space="0" w:color="000000"/>
              <w:bottom w:val="single" w:sz="6" w:space="0" w:color="000000"/>
            </w:tcBorders>
            <w:vAlign w:val="center"/>
          </w:tcPr>
          <w:p w:rsidR="009F5A1E" w:rsidRPr="004C5123" w:rsidRDefault="009F5A1E" w:rsidP="00897D36">
            <w:pPr>
              <w:tabs>
                <w:tab w:val="left" w:pos="0"/>
                <w:tab w:val="left" w:pos="720"/>
              </w:tabs>
              <w:spacing w:before="100" w:after="48"/>
              <w:jc w:val="center"/>
              <w:rPr>
                <w:b/>
                <w:sz w:val="18"/>
                <w:szCs w:val="18"/>
              </w:rPr>
            </w:pPr>
          </w:p>
        </w:tc>
        <w:tc>
          <w:tcPr>
            <w:tcW w:w="1260" w:type="dxa"/>
            <w:tcBorders>
              <w:top w:val="single" w:sz="6" w:space="0" w:color="000000"/>
              <w:left w:val="single" w:sz="6" w:space="0" w:color="000000"/>
              <w:bottom w:val="single" w:sz="6" w:space="0" w:color="000000"/>
            </w:tcBorders>
            <w:vAlign w:val="center"/>
          </w:tcPr>
          <w:p w:rsidR="009F5A1E" w:rsidRPr="004C5123" w:rsidRDefault="0023004F" w:rsidP="00897D36">
            <w:pPr>
              <w:tabs>
                <w:tab w:val="left" w:pos="0"/>
                <w:tab w:val="left" w:pos="720"/>
              </w:tabs>
              <w:spacing w:before="100" w:after="48"/>
              <w:jc w:val="center"/>
              <w:rPr>
                <w:b/>
                <w:sz w:val="18"/>
                <w:szCs w:val="18"/>
              </w:rPr>
            </w:pPr>
            <w:r w:rsidRPr="004C5123">
              <w:rPr>
                <w:b/>
                <w:sz w:val="18"/>
                <w:szCs w:val="18"/>
              </w:rPr>
              <w:t xml:space="preserve">2,538 </w:t>
            </w:r>
            <w:r w:rsidR="009F5A1E" w:rsidRPr="004C5123">
              <w:rPr>
                <w:b/>
                <w:sz w:val="18"/>
                <w:szCs w:val="18"/>
              </w:rPr>
              <w:t>hours</w:t>
            </w:r>
          </w:p>
        </w:tc>
        <w:tc>
          <w:tcPr>
            <w:tcW w:w="1080" w:type="dxa"/>
            <w:tcBorders>
              <w:top w:val="single" w:sz="6" w:space="0" w:color="000000"/>
              <w:left w:val="single" w:sz="6" w:space="0" w:color="000000"/>
              <w:bottom w:val="single" w:sz="6" w:space="0" w:color="000000"/>
            </w:tcBorders>
            <w:vAlign w:val="center"/>
          </w:tcPr>
          <w:p w:rsidR="009F5A1E" w:rsidRPr="004C5123" w:rsidRDefault="00172DF3" w:rsidP="00897D36">
            <w:pPr>
              <w:tabs>
                <w:tab w:val="left" w:pos="0"/>
                <w:tab w:val="left" w:pos="720"/>
              </w:tabs>
              <w:spacing w:before="100" w:after="48"/>
              <w:jc w:val="center"/>
              <w:rPr>
                <w:b/>
                <w:sz w:val="18"/>
                <w:szCs w:val="18"/>
                <w:vertAlign w:val="superscript"/>
              </w:rPr>
            </w:pPr>
            <w:r w:rsidRPr="004C5123">
              <w:rPr>
                <w:b/>
                <w:sz w:val="18"/>
                <w:szCs w:val="18"/>
              </w:rPr>
              <w:t>$111,</w:t>
            </w:r>
            <w:r w:rsidR="008C0632" w:rsidRPr="004C5123">
              <w:rPr>
                <w:b/>
                <w:sz w:val="18"/>
                <w:szCs w:val="18"/>
              </w:rPr>
              <w:t>764</w:t>
            </w:r>
            <w:r w:rsidR="008C0632" w:rsidRPr="004C5123">
              <w:rPr>
                <w:b/>
                <w:sz w:val="18"/>
                <w:szCs w:val="18"/>
                <w:vertAlign w:val="superscript"/>
              </w:rPr>
              <w:t>4</w:t>
            </w:r>
            <w:r w:rsidR="009B7EE9">
              <w:rPr>
                <w:b/>
                <w:sz w:val="18"/>
                <w:szCs w:val="18"/>
                <w:vertAlign w:val="superscript"/>
              </w:rPr>
              <w:t>*</w:t>
            </w:r>
          </w:p>
        </w:tc>
        <w:tc>
          <w:tcPr>
            <w:tcW w:w="1090" w:type="dxa"/>
            <w:tcBorders>
              <w:top w:val="single" w:sz="6" w:space="0" w:color="000000"/>
              <w:left w:val="single" w:sz="6" w:space="0" w:color="000000"/>
              <w:bottom w:val="single" w:sz="6" w:space="0" w:color="000000"/>
              <w:right w:val="single" w:sz="6" w:space="0" w:color="000000"/>
            </w:tcBorders>
            <w:vAlign w:val="center"/>
          </w:tcPr>
          <w:p w:rsidR="009F5A1E" w:rsidRPr="004C5123" w:rsidRDefault="0082688B" w:rsidP="00897D36">
            <w:pPr>
              <w:tabs>
                <w:tab w:val="left" w:pos="0"/>
                <w:tab w:val="left" w:pos="720"/>
              </w:tabs>
              <w:spacing w:before="100" w:after="48"/>
              <w:jc w:val="center"/>
              <w:rPr>
                <w:b/>
                <w:sz w:val="18"/>
                <w:szCs w:val="18"/>
              </w:rPr>
            </w:pPr>
            <w:r w:rsidRPr="004C5123">
              <w:rPr>
                <w:b/>
                <w:sz w:val="18"/>
                <w:szCs w:val="18"/>
              </w:rPr>
              <w:t>$3,575</w:t>
            </w:r>
          </w:p>
        </w:tc>
      </w:tr>
      <w:tr w:rsidR="00A04DA2" w:rsidRPr="00643BF9" w:rsidTr="00897D36">
        <w:trPr>
          <w:cantSplit/>
          <w:jc w:val="center"/>
        </w:trPr>
        <w:tc>
          <w:tcPr>
            <w:tcW w:w="1622" w:type="dxa"/>
            <w:tcBorders>
              <w:top w:val="single" w:sz="6" w:space="0" w:color="000000"/>
              <w:left w:val="single" w:sz="6" w:space="0" w:color="000000"/>
              <w:bottom w:val="single" w:sz="6" w:space="0" w:color="000000"/>
            </w:tcBorders>
          </w:tcPr>
          <w:p w:rsidR="00A04DA2" w:rsidRPr="004C5123" w:rsidRDefault="005B0DE7" w:rsidP="008A76D0">
            <w:pPr>
              <w:tabs>
                <w:tab w:val="left" w:pos="0"/>
                <w:tab w:val="left" w:pos="720"/>
              </w:tabs>
              <w:spacing w:before="100" w:after="48"/>
              <w:rPr>
                <w:b/>
                <w:sz w:val="18"/>
                <w:szCs w:val="18"/>
              </w:rPr>
            </w:pPr>
            <w:r>
              <w:rPr>
                <w:b/>
                <w:sz w:val="18"/>
                <w:szCs w:val="18"/>
              </w:rPr>
              <w:t>PRE</w:t>
            </w:r>
            <w:r w:rsidR="009F5A1E" w:rsidRPr="004C5123">
              <w:rPr>
                <w:b/>
                <w:sz w:val="18"/>
                <w:szCs w:val="18"/>
              </w:rPr>
              <w:t xml:space="preserve">VIOUS APPROVAL </w:t>
            </w:r>
            <w:r w:rsidR="00A04DA2" w:rsidRPr="004C5123">
              <w:rPr>
                <w:b/>
                <w:sz w:val="18"/>
                <w:szCs w:val="18"/>
              </w:rPr>
              <w:t>TOTAL</w:t>
            </w:r>
          </w:p>
        </w:tc>
        <w:tc>
          <w:tcPr>
            <w:tcW w:w="1253" w:type="dxa"/>
            <w:tcBorders>
              <w:top w:val="single" w:sz="6" w:space="0" w:color="000000"/>
              <w:left w:val="single" w:sz="6" w:space="0" w:color="000000"/>
              <w:bottom w:val="single" w:sz="6" w:space="0" w:color="000000"/>
            </w:tcBorders>
            <w:vAlign w:val="center"/>
          </w:tcPr>
          <w:p w:rsidR="00A04DA2" w:rsidRPr="004C5123" w:rsidRDefault="005B0DE7" w:rsidP="00897D36">
            <w:pPr>
              <w:tabs>
                <w:tab w:val="left" w:pos="0"/>
                <w:tab w:val="left" w:pos="720"/>
              </w:tabs>
              <w:spacing w:before="100" w:after="48"/>
              <w:jc w:val="center"/>
              <w:rPr>
                <w:b/>
                <w:sz w:val="18"/>
                <w:szCs w:val="18"/>
              </w:rPr>
            </w:pPr>
            <w:r>
              <w:rPr>
                <w:b/>
                <w:sz w:val="18"/>
                <w:szCs w:val="18"/>
              </w:rPr>
              <w:t>1</w:t>
            </w:r>
            <w:r w:rsidR="00BB20AA">
              <w:rPr>
                <w:b/>
                <w:sz w:val="18"/>
                <w:szCs w:val="18"/>
              </w:rPr>
              <w:t>89</w:t>
            </w:r>
          </w:p>
        </w:tc>
        <w:tc>
          <w:tcPr>
            <w:tcW w:w="1157" w:type="dxa"/>
            <w:tcBorders>
              <w:top w:val="single" w:sz="6" w:space="0" w:color="000000"/>
              <w:left w:val="single" w:sz="6" w:space="0" w:color="000000"/>
              <w:bottom w:val="single" w:sz="6" w:space="0" w:color="000000"/>
            </w:tcBorders>
            <w:vAlign w:val="center"/>
          </w:tcPr>
          <w:p w:rsidR="00A04DA2" w:rsidRPr="004C5123" w:rsidRDefault="00A04DA2" w:rsidP="00897D36">
            <w:pPr>
              <w:tabs>
                <w:tab w:val="left" w:pos="0"/>
                <w:tab w:val="left" w:pos="720"/>
              </w:tabs>
              <w:spacing w:before="100" w:after="48"/>
              <w:jc w:val="center"/>
              <w:rPr>
                <w:b/>
                <w:sz w:val="18"/>
                <w:szCs w:val="18"/>
              </w:rPr>
            </w:pPr>
          </w:p>
        </w:tc>
        <w:tc>
          <w:tcPr>
            <w:tcW w:w="1049" w:type="dxa"/>
            <w:tcBorders>
              <w:top w:val="single" w:sz="6" w:space="0" w:color="000000"/>
              <w:left w:val="single" w:sz="6" w:space="0" w:color="000000"/>
              <w:bottom w:val="single" w:sz="6" w:space="0" w:color="000000"/>
              <w:right w:val="single" w:sz="6" w:space="0" w:color="000000"/>
            </w:tcBorders>
            <w:vAlign w:val="center"/>
          </w:tcPr>
          <w:p w:rsidR="00A04DA2" w:rsidRPr="004C5123" w:rsidRDefault="00BB20AA" w:rsidP="00897D36">
            <w:pPr>
              <w:tabs>
                <w:tab w:val="left" w:pos="0"/>
                <w:tab w:val="left" w:pos="720"/>
              </w:tabs>
              <w:spacing w:before="100" w:after="48"/>
              <w:jc w:val="center"/>
              <w:rPr>
                <w:b/>
                <w:sz w:val="18"/>
                <w:szCs w:val="18"/>
              </w:rPr>
            </w:pPr>
            <w:r>
              <w:rPr>
                <w:b/>
                <w:sz w:val="18"/>
                <w:szCs w:val="18"/>
              </w:rPr>
              <w:t>7,395</w:t>
            </w:r>
          </w:p>
        </w:tc>
        <w:tc>
          <w:tcPr>
            <w:tcW w:w="1049" w:type="dxa"/>
            <w:tcBorders>
              <w:top w:val="single" w:sz="6" w:space="0" w:color="000000"/>
              <w:left w:val="single" w:sz="6" w:space="0" w:color="000000"/>
              <w:bottom w:val="single" w:sz="6" w:space="0" w:color="000000"/>
            </w:tcBorders>
            <w:vAlign w:val="center"/>
          </w:tcPr>
          <w:p w:rsidR="00A04DA2" w:rsidRPr="004C5123" w:rsidRDefault="00A04DA2" w:rsidP="00897D36">
            <w:pPr>
              <w:tabs>
                <w:tab w:val="left" w:pos="0"/>
                <w:tab w:val="left" w:pos="720"/>
              </w:tabs>
              <w:spacing w:before="100" w:after="48"/>
              <w:jc w:val="center"/>
              <w:rPr>
                <w:b/>
                <w:sz w:val="18"/>
                <w:szCs w:val="18"/>
              </w:rPr>
            </w:pPr>
          </w:p>
        </w:tc>
        <w:tc>
          <w:tcPr>
            <w:tcW w:w="1260" w:type="dxa"/>
            <w:tcBorders>
              <w:top w:val="single" w:sz="6" w:space="0" w:color="000000"/>
              <w:left w:val="single" w:sz="6" w:space="0" w:color="000000"/>
              <w:bottom w:val="single" w:sz="6" w:space="0" w:color="000000"/>
            </w:tcBorders>
            <w:vAlign w:val="center"/>
          </w:tcPr>
          <w:p w:rsidR="00A04DA2" w:rsidRPr="004C5123" w:rsidRDefault="00162219" w:rsidP="00897D36">
            <w:pPr>
              <w:tabs>
                <w:tab w:val="left" w:pos="0"/>
                <w:tab w:val="left" w:pos="720"/>
              </w:tabs>
              <w:spacing w:before="100" w:after="48"/>
              <w:jc w:val="center"/>
              <w:rPr>
                <w:b/>
                <w:sz w:val="18"/>
                <w:szCs w:val="18"/>
              </w:rPr>
            </w:pPr>
            <w:r w:rsidRPr="004C5123">
              <w:rPr>
                <w:b/>
                <w:sz w:val="18"/>
                <w:szCs w:val="18"/>
              </w:rPr>
              <w:t>2,</w:t>
            </w:r>
            <w:r w:rsidR="00BB20AA">
              <w:rPr>
                <w:b/>
                <w:sz w:val="18"/>
                <w:szCs w:val="18"/>
              </w:rPr>
              <w:t>538</w:t>
            </w:r>
            <w:r w:rsidRPr="004C5123">
              <w:rPr>
                <w:b/>
                <w:sz w:val="18"/>
                <w:szCs w:val="18"/>
              </w:rPr>
              <w:t xml:space="preserve"> </w:t>
            </w:r>
            <w:r w:rsidR="00A04DA2" w:rsidRPr="004C5123">
              <w:rPr>
                <w:b/>
                <w:sz w:val="18"/>
                <w:szCs w:val="18"/>
              </w:rPr>
              <w:t>hours</w:t>
            </w:r>
          </w:p>
        </w:tc>
        <w:tc>
          <w:tcPr>
            <w:tcW w:w="1080" w:type="dxa"/>
            <w:tcBorders>
              <w:top w:val="single" w:sz="6" w:space="0" w:color="000000"/>
              <w:left w:val="single" w:sz="6" w:space="0" w:color="000000"/>
              <w:bottom w:val="single" w:sz="6" w:space="0" w:color="000000"/>
            </w:tcBorders>
            <w:vAlign w:val="center"/>
          </w:tcPr>
          <w:p w:rsidR="00A04DA2" w:rsidRPr="004C5123" w:rsidRDefault="00162219" w:rsidP="00897D36">
            <w:pPr>
              <w:tabs>
                <w:tab w:val="left" w:pos="0"/>
                <w:tab w:val="left" w:pos="720"/>
              </w:tabs>
              <w:spacing w:before="100" w:after="48"/>
              <w:jc w:val="center"/>
              <w:rPr>
                <w:b/>
                <w:sz w:val="18"/>
                <w:szCs w:val="18"/>
                <w:vertAlign w:val="superscript"/>
              </w:rPr>
            </w:pPr>
            <w:r w:rsidRPr="004C5123">
              <w:rPr>
                <w:b/>
                <w:sz w:val="18"/>
                <w:szCs w:val="18"/>
              </w:rPr>
              <w:t>$111,</w:t>
            </w:r>
            <w:r w:rsidR="00BB20AA">
              <w:rPr>
                <w:b/>
                <w:sz w:val="18"/>
                <w:szCs w:val="18"/>
              </w:rPr>
              <w:t>764</w:t>
            </w:r>
            <w:r w:rsidRPr="004C5123">
              <w:rPr>
                <w:b/>
                <w:sz w:val="18"/>
                <w:szCs w:val="18"/>
                <w:vertAlign w:val="superscript"/>
              </w:rPr>
              <w:t>4</w:t>
            </w:r>
          </w:p>
        </w:tc>
        <w:tc>
          <w:tcPr>
            <w:tcW w:w="1090" w:type="dxa"/>
            <w:tcBorders>
              <w:top w:val="single" w:sz="6" w:space="0" w:color="000000"/>
              <w:left w:val="single" w:sz="6" w:space="0" w:color="000000"/>
              <w:bottom w:val="single" w:sz="6" w:space="0" w:color="000000"/>
              <w:right w:val="single" w:sz="6" w:space="0" w:color="000000"/>
            </w:tcBorders>
            <w:vAlign w:val="center"/>
          </w:tcPr>
          <w:p w:rsidR="00A04DA2" w:rsidRPr="004C5123" w:rsidRDefault="00162219" w:rsidP="00897D36">
            <w:pPr>
              <w:tabs>
                <w:tab w:val="left" w:pos="0"/>
                <w:tab w:val="left" w:pos="720"/>
              </w:tabs>
              <w:spacing w:before="100" w:after="48"/>
              <w:jc w:val="center"/>
              <w:rPr>
                <w:b/>
                <w:sz w:val="18"/>
                <w:szCs w:val="18"/>
              </w:rPr>
            </w:pPr>
            <w:r w:rsidRPr="004C5123">
              <w:rPr>
                <w:b/>
                <w:sz w:val="18"/>
                <w:szCs w:val="18"/>
              </w:rPr>
              <w:t>$</w:t>
            </w:r>
            <w:r w:rsidR="00BB20AA">
              <w:rPr>
                <w:b/>
                <w:sz w:val="18"/>
                <w:szCs w:val="18"/>
              </w:rPr>
              <w:t>3,575</w:t>
            </w:r>
          </w:p>
        </w:tc>
      </w:tr>
      <w:tr w:rsidR="00A04DA2" w:rsidRPr="00643BF9" w:rsidTr="00897D36">
        <w:trPr>
          <w:cantSplit/>
          <w:jc w:val="center"/>
        </w:trPr>
        <w:tc>
          <w:tcPr>
            <w:tcW w:w="1622" w:type="dxa"/>
            <w:tcBorders>
              <w:top w:val="single" w:sz="6" w:space="0" w:color="000000"/>
              <w:left w:val="single" w:sz="6" w:space="0" w:color="000000"/>
              <w:bottom w:val="single" w:sz="6" w:space="0" w:color="000000"/>
            </w:tcBorders>
          </w:tcPr>
          <w:p w:rsidR="00A04DA2" w:rsidRPr="004C5123" w:rsidRDefault="00A04DA2" w:rsidP="00775670">
            <w:pPr>
              <w:tabs>
                <w:tab w:val="left" w:pos="0"/>
                <w:tab w:val="left" w:pos="720"/>
              </w:tabs>
              <w:spacing w:before="100" w:after="48"/>
              <w:rPr>
                <w:b/>
                <w:sz w:val="18"/>
                <w:szCs w:val="18"/>
              </w:rPr>
            </w:pPr>
            <w:r w:rsidRPr="004C5123">
              <w:rPr>
                <w:b/>
                <w:sz w:val="18"/>
                <w:szCs w:val="18"/>
              </w:rPr>
              <w:t>NET CHANGE</w:t>
            </w:r>
          </w:p>
        </w:tc>
        <w:tc>
          <w:tcPr>
            <w:tcW w:w="1253" w:type="dxa"/>
            <w:tcBorders>
              <w:top w:val="single" w:sz="6" w:space="0" w:color="000000"/>
              <w:left w:val="single" w:sz="6" w:space="0" w:color="000000"/>
              <w:bottom w:val="single" w:sz="6" w:space="0" w:color="000000"/>
            </w:tcBorders>
            <w:vAlign w:val="center"/>
          </w:tcPr>
          <w:p w:rsidR="00A04DA2" w:rsidRPr="004C5123" w:rsidRDefault="00BB20AA" w:rsidP="00897D36">
            <w:pPr>
              <w:tabs>
                <w:tab w:val="left" w:pos="0"/>
                <w:tab w:val="left" w:pos="720"/>
              </w:tabs>
              <w:spacing w:before="100" w:after="48"/>
              <w:jc w:val="center"/>
              <w:rPr>
                <w:b/>
                <w:sz w:val="18"/>
                <w:szCs w:val="18"/>
              </w:rPr>
            </w:pPr>
            <w:r>
              <w:rPr>
                <w:b/>
                <w:sz w:val="18"/>
                <w:szCs w:val="18"/>
              </w:rPr>
              <w:t>0</w:t>
            </w:r>
          </w:p>
        </w:tc>
        <w:tc>
          <w:tcPr>
            <w:tcW w:w="1157" w:type="dxa"/>
            <w:tcBorders>
              <w:top w:val="single" w:sz="6" w:space="0" w:color="000000"/>
              <w:left w:val="single" w:sz="6" w:space="0" w:color="000000"/>
              <w:bottom w:val="single" w:sz="6" w:space="0" w:color="000000"/>
            </w:tcBorders>
            <w:vAlign w:val="center"/>
          </w:tcPr>
          <w:p w:rsidR="00A04DA2" w:rsidRPr="004C5123" w:rsidRDefault="00A04DA2" w:rsidP="00897D36">
            <w:pPr>
              <w:tabs>
                <w:tab w:val="left" w:pos="0"/>
                <w:tab w:val="left" w:pos="720"/>
              </w:tabs>
              <w:spacing w:before="100" w:after="48"/>
              <w:jc w:val="center"/>
              <w:rPr>
                <w:b/>
                <w:sz w:val="18"/>
                <w:szCs w:val="18"/>
              </w:rPr>
            </w:pPr>
          </w:p>
        </w:tc>
        <w:tc>
          <w:tcPr>
            <w:tcW w:w="1049" w:type="dxa"/>
            <w:tcBorders>
              <w:top w:val="single" w:sz="6" w:space="0" w:color="000000"/>
              <w:left w:val="single" w:sz="6" w:space="0" w:color="000000"/>
              <w:bottom w:val="single" w:sz="6" w:space="0" w:color="000000"/>
              <w:right w:val="single" w:sz="6" w:space="0" w:color="000000"/>
            </w:tcBorders>
            <w:vAlign w:val="center"/>
          </w:tcPr>
          <w:p w:rsidR="00A04DA2" w:rsidRPr="004C5123" w:rsidRDefault="00BB20AA" w:rsidP="00897D36">
            <w:pPr>
              <w:tabs>
                <w:tab w:val="left" w:pos="0"/>
                <w:tab w:val="left" w:pos="720"/>
              </w:tabs>
              <w:spacing w:before="100" w:after="48"/>
              <w:jc w:val="center"/>
              <w:rPr>
                <w:b/>
                <w:sz w:val="18"/>
                <w:szCs w:val="18"/>
              </w:rPr>
            </w:pPr>
            <w:r>
              <w:rPr>
                <w:b/>
                <w:sz w:val="18"/>
                <w:szCs w:val="18"/>
              </w:rPr>
              <w:t>0</w:t>
            </w:r>
          </w:p>
        </w:tc>
        <w:tc>
          <w:tcPr>
            <w:tcW w:w="1049" w:type="dxa"/>
            <w:tcBorders>
              <w:top w:val="single" w:sz="6" w:space="0" w:color="000000"/>
              <w:left w:val="single" w:sz="6" w:space="0" w:color="000000"/>
              <w:bottom w:val="single" w:sz="6" w:space="0" w:color="000000"/>
            </w:tcBorders>
            <w:vAlign w:val="center"/>
          </w:tcPr>
          <w:p w:rsidR="00A04DA2" w:rsidRPr="004C5123" w:rsidRDefault="00A04DA2" w:rsidP="00897D36">
            <w:pPr>
              <w:tabs>
                <w:tab w:val="left" w:pos="0"/>
                <w:tab w:val="left" w:pos="720"/>
              </w:tabs>
              <w:spacing w:before="100" w:after="48"/>
              <w:jc w:val="center"/>
              <w:rPr>
                <w:b/>
                <w:sz w:val="18"/>
                <w:szCs w:val="18"/>
              </w:rPr>
            </w:pPr>
          </w:p>
        </w:tc>
        <w:tc>
          <w:tcPr>
            <w:tcW w:w="1260" w:type="dxa"/>
            <w:tcBorders>
              <w:top w:val="single" w:sz="6" w:space="0" w:color="000000"/>
              <w:left w:val="single" w:sz="6" w:space="0" w:color="000000"/>
              <w:bottom w:val="single" w:sz="6" w:space="0" w:color="000000"/>
            </w:tcBorders>
            <w:vAlign w:val="center"/>
          </w:tcPr>
          <w:p w:rsidR="00A04DA2" w:rsidRPr="004C5123" w:rsidRDefault="00BB20AA" w:rsidP="00897D36">
            <w:pPr>
              <w:tabs>
                <w:tab w:val="left" w:pos="0"/>
                <w:tab w:val="left" w:pos="720"/>
              </w:tabs>
              <w:spacing w:before="100" w:after="48"/>
              <w:jc w:val="center"/>
              <w:rPr>
                <w:b/>
                <w:sz w:val="18"/>
                <w:szCs w:val="18"/>
              </w:rPr>
            </w:pPr>
            <w:r>
              <w:rPr>
                <w:b/>
                <w:sz w:val="18"/>
                <w:szCs w:val="18"/>
              </w:rPr>
              <w:t>0</w:t>
            </w:r>
          </w:p>
        </w:tc>
        <w:tc>
          <w:tcPr>
            <w:tcW w:w="1080" w:type="dxa"/>
            <w:tcBorders>
              <w:top w:val="single" w:sz="6" w:space="0" w:color="000000"/>
              <w:left w:val="single" w:sz="6" w:space="0" w:color="000000"/>
              <w:bottom w:val="single" w:sz="6" w:space="0" w:color="000000"/>
            </w:tcBorders>
            <w:vAlign w:val="center"/>
          </w:tcPr>
          <w:p w:rsidR="00A04DA2" w:rsidRPr="004C5123" w:rsidRDefault="00BB20AA" w:rsidP="00897D36">
            <w:pPr>
              <w:tabs>
                <w:tab w:val="left" w:pos="0"/>
                <w:tab w:val="left" w:pos="720"/>
              </w:tabs>
              <w:spacing w:before="100" w:after="48"/>
              <w:jc w:val="center"/>
              <w:rPr>
                <w:b/>
                <w:sz w:val="18"/>
                <w:szCs w:val="18"/>
                <w:vertAlign w:val="superscript"/>
              </w:rPr>
            </w:pPr>
            <w:r>
              <w:rPr>
                <w:b/>
                <w:sz w:val="18"/>
                <w:szCs w:val="18"/>
              </w:rPr>
              <w:t>0</w:t>
            </w:r>
          </w:p>
        </w:tc>
        <w:tc>
          <w:tcPr>
            <w:tcW w:w="1090" w:type="dxa"/>
            <w:tcBorders>
              <w:top w:val="single" w:sz="6" w:space="0" w:color="000000"/>
              <w:left w:val="single" w:sz="6" w:space="0" w:color="000000"/>
              <w:bottom w:val="single" w:sz="6" w:space="0" w:color="000000"/>
              <w:right w:val="single" w:sz="6" w:space="0" w:color="000000"/>
            </w:tcBorders>
            <w:vAlign w:val="center"/>
          </w:tcPr>
          <w:p w:rsidR="00A04DA2" w:rsidRPr="004C5123" w:rsidRDefault="00BB20AA" w:rsidP="00897D36">
            <w:pPr>
              <w:tabs>
                <w:tab w:val="left" w:pos="0"/>
                <w:tab w:val="left" w:pos="720"/>
              </w:tabs>
              <w:spacing w:before="100" w:after="48"/>
              <w:jc w:val="center"/>
              <w:rPr>
                <w:b/>
                <w:sz w:val="18"/>
                <w:szCs w:val="18"/>
              </w:rPr>
            </w:pPr>
            <w:r>
              <w:rPr>
                <w:b/>
                <w:sz w:val="18"/>
                <w:szCs w:val="18"/>
              </w:rPr>
              <w:t>0</w:t>
            </w:r>
          </w:p>
        </w:tc>
      </w:tr>
    </w:tbl>
    <w:p w:rsidR="00143509" w:rsidRPr="00C14ADD" w:rsidRDefault="00143509" w:rsidP="00143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C14ADD">
        <w:rPr>
          <w:sz w:val="16"/>
          <w:szCs w:val="16"/>
          <w:vertAlign w:val="superscript"/>
        </w:rPr>
        <w:t xml:space="preserve">1 </w:t>
      </w:r>
      <w:r w:rsidRPr="00C14ADD">
        <w:rPr>
          <w:sz w:val="16"/>
          <w:szCs w:val="16"/>
        </w:rPr>
        <w:t>Based on 2011 to 2013 annual averages.</w:t>
      </w:r>
    </w:p>
    <w:p w:rsidR="00143509" w:rsidRPr="00C14ADD" w:rsidRDefault="00143509" w:rsidP="00143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C14ADD">
        <w:rPr>
          <w:sz w:val="16"/>
          <w:szCs w:val="16"/>
          <w:vertAlign w:val="superscript"/>
        </w:rPr>
        <w:t xml:space="preserve">2 </w:t>
      </w:r>
      <w:r w:rsidRPr="00C14ADD">
        <w:rPr>
          <w:sz w:val="16"/>
          <w:szCs w:val="16"/>
        </w:rPr>
        <w:t xml:space="preserve">The “Number of Respondents” and “Frequency of Responses” treats each surfclam and ocean quahog ITQ allocation permit as separate and distinct entity.  This creates a numerical inconsistency because a single entity can hold both types of ITQ permits.  </w:t>
      </w:r>
    </w:p>
    <w:p w:rsidR="00143509" w:rsidRPr="00C14ADD" w:rsidRDefault="00143509" w:rsidP="00143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C14ADD">
        <w:rPr>
          <w:sz w:val="16"/>
          <w:szCs w:val="16"/>
          <w:vertAlign w:val="superscript"/>
        </w:rPr>
        <w:t>3</w:t>
      </w:r>
      <w:r w:rsidRPr="00C14ADD">
        <w:rPr>
          <w:sz w:val="16"/>
          <w:szCs w:val="16"/>
        </w:rPr>
        <w:t xml:space="preserve"> The total number of entities using the ITQ Transfer Request Forms will always be two, a transferor and a transferee.  This causes a numerical inconsistency between the “Number of Respondents” “Frequency of Responses” and “Number of Responses” because entities frequently submit multiple forms as either transferors or transferees.</w:t>
      </w:r>
    </w:p>
    <w:p w:rsidR="00143509" w:rsidRPr="00C14ADD" w:rsidRDefault="00143509" w:rsidP="00143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C14ADD">
        <w:rPr>
          <w:sz w:val="16"/>
          <w:szCs w:val="16"/>
          <w:vertAlign w:val="superscript"/>
        </w:rPr>
        <w:t xml:space="preserve">4 </w:t>
      </w:r>
      <w:r w:rsidRPr="00C14ADD">
        <w:rPr>
          <w:sz w:val="16"/>
          <w:szCs w:val="16"/>
        </w:rPr>
        <w:t>This cost includes the cost to carry a NMFS-approved observer on board the vessel during trips where product is shucked at sea.</w:t>
      </w:r>
    </w:p>
    <w:p w:rsidR="00143509" w:rsidRDefault="00143509" w:rsidP="00143509">
      <w:pPr>
        <w:rPr>
          <w:bCs/>
          <w:sz w:val="16"/>
          <w:szCs w:val="16"/>
        </w:rPr>
      </w:pPr>
      <w:r w:rsidRPr="00C14ADD">
        <w:rPr>
          <w:bCs/>
          <w:sz w:val="16"/>
          <w:szCs w:val="16"/>
          <w:vertAlign w:val="superscript"/>
        </w:rPr>
        <w:t>5</w:t>
      </w:r>
      <w:r w:rsidRPr="00C14ADD">
        <w:rPr>
          <w:bCs/>
          <w:sz w:val="16"/>
          <w:szCs w:val="16"/>
        </w:rPr>
        <w:t>Number of total items based on maximum number of trips per vessel that occurred in the area in 2011.</w:t>
      </w:r>
    </w:p>
    <w:p w:rsidR="00143509" w:rsidRDefault="00143509" w:rsidP="00143509">
      <w:pPr>
        <w:rPr>
          <w:bCs/>
          <w:sz w:val="16"/>
          <w:szCs w:val="16"/>
        </w:rPr>
      </w:pPr>
    </w:p>
    <w:p w:rsidR="009B7EE9" w:rsidRPr="009B7EE9" w:rsidRDefault="009B7EE9" w:rsidP="00143509">
      <w:pPr>
        <w:rPr>
          <w:b/>
          <w:bCs/>
          <w:sz w:val="16"/>
          <w:szCs w:val="16"/>
        </w:rPr>
      </w:pPr>
      <w:r w:rsidRPr="009B7EE9">
        <w:rPr>
          <w:b/>
          <w:bCs/>
          <w:sz w:val="16"/>
          <w:szCs w:val="16"/>
        </w:rPr>
        <w:t>*Rounded down to $111,763 in ROCIS.</w:t>
      </w:r>
    </w:p>
    <w:p w:rsidR="00143509" w:rsidRPr="00C14ADD" w:rsidRDefault="00143509" w:rsidP="00143509">
      <w:pPr>
        <w:rPr>
          <w:bCs/>
          <w:sz w:val="16"/>
          <w:szCs w:val="16"/>
        </w:rPr>
      </w:pPr>
    </w:p>
    <w:p w:rsidR="002F4D0F" w:rsidRPr="00A2088A" w:rsidRDefault="002F4D0F" w:rsidP="00C14ADD">
      <w:pPr>
        <w:keepNext/>
        <w:rPr>
          <w:sz w:val="24"/>
        </w:rPr>
      </w:pPr>
      <w:r w:rsidRPr="00A2088A">
        <w:rPr>
          <w:b/>
          <w:sz w:val="24"/>
        </w:rPr>
        <w:t xml:space="preserve">13.  </w:t>
      </w:r>
      <w:r w:rsidRPr="00A2088A">
        <w:rPr>
          <w:b/>
          <w:sz w:val="24"/>
          <w:u w:val="single"/>
        </w:rPr>
        <w:t>Provide an estimate of the total annual cost burden to the respondents or record-keepers resulting from the collectio</w:t>
      </w:r>
      <w:r w:rsidR="00897D36">
        <w:rPr>
          <w:b/>
          <w:sz w:val="24"/>
          <w:u w:val="single"/>
        </w:rPr>
        <w:t>n (excluding the value of the burden hours in Question 12 above)</w:t>
      </w:r>
      <w:r w:rsidR="00897D36" w:rsidRPr="00897D36">
        <w:rPr>
          <w:b/>
          <w:sz w:val="24"/>
        </w:rPr>
        <w:t>.</w:t>
      </w:r>
      <w:bookmarkStart w:id="0" w:name="_GoBack"/>
      <w:bookmarkEnd w:id="0"/>
    </w:p>
    <w:p w:rsidR="002F4D0F" w:rsidRPr="00A2088A" w:rsidRDefault="002F4D0F" w:rsidP="00C14ADD">
      <w:pPr>
        <w:keepNext/>
        <w:rPr>
          <w:sz w:val="24"/>
        </w:rPr>
      </w:pPr>
    </w:p>
    <w:p w:rsidR="00D84AE1" w:rsidRPr="007539A1" w:rsidRDefault="00D84AE1" w:rsidP="00C14ADD">
      <w:pPr>
        <w:keepNext/>
        <w:rPr>
          <w:sz w:val="24"/>
        </w:rPr>
      </w:pPr>
      <w:r w:rsidRPr="007539A1">
        <w:rPr>
          <w:sz w:val="24"/>
        </w:rPr>
        <w:t>The annual cost burden of this collection of information is summarized in Table 1.</w:t>
      </w:r>
    </w:p>
    <w:p w:rsidR="00D84AE1" w:rsidRPr="007539A1" w:rsidRDefault="00D84AE1" w:rsidP="00D22408">
      <w:pPr>
        <w:rPr>
          <w:sz w:val="24"/>
        </w:rPr>
      </w:pPr>
    </w:p>
    <w:p w:rsidR="004B504B" w:rsidRPr="007539A1" w:rsidRDefault="00D84AE1" w:rsidP="00D22408">
      <w:pPr>
        <w:rPr>
          <w:sz w:val="24"/>
        </w:rPr>
      </w:pPr>
      <w:r w:rsidRPr="007539A1">
        <w:rPr>
          <w:sz w:val="24"/>
        </w:rPr>
        <w:t>The</w:t>
      </w:r>
      <w:r w:rsidR="004847BB" w:rsidRPr="007539A1">
        <w:rPr>
          <w:sz w:val="24"/>
        </w:rPr>
        <w:t xml:space="preserve"> </w:t>
      </w:r>
      <w:r w:rsidRPr="007539A1">
        <w:rPr>
          <w:sz w:val="24"/>
        </w:rPr>
        <w:t xml:space="preserve">cost burden for the </w:t>
      </w:r>
      <w:r w:rsidR="007539A1" w:rsidRPr="007539A1">
        <w:rPr>
          <w:sz w:val="24"/>
        </w:rPr>
        <w:t xml:space="preserve">ITQ Permit Application, ITQ Ownership Form, </w:t>
      </w:r>
      <w:r w:rsidRPr="007539A1">
        <w:rPr>
          <w:sz w:val="24"/>
        </w:rPr>
        <w:t>ITQ Transfer Form</w:t>
      </w:r>
      <w:r w:rsidR="007539A1" w:rsidRPr="007539A1">
        <w:rPr>
          <w:sz w:val="24"/>
        </w:rPr>
        <w:t>,</w:t>
      </w:r>
      <w:r w:rsidR="00CA7E7E" w:rsidRPr="007539A1">
        <w:rPr>
          <w:sz w:val="24"/>
        </w:rPr>
        <w:t xml:space="preserve"> </w:t>
      </w:r>
      <w:r w:rsidR="00130D4B">
        <w:rPr>
          <w:sz w:val="24"/>
        </w:rPr>
        <w:t>and</w:t>
      </w:r>
      <w:r w:rsidR="00CA7E7E" w:rsidRPr="007539A1">
        <w:rPr>
          <w:sz w:val="24"/>
        </w:rPr>
        <w:t xml:space="preserve"> the Shuck-at-Sea Application</w:t>
      </w:r>
      <w:r w:rsidRPr="007539A1">
        <w:rPr>
          <w:sz w:val="24"/>
        </w:rPr>
        <w:t xml:space="preserve"> </w:t>
      </w:r>
      <w:r w:rsidR="004847BB" w:rsidRPr="007539A1">
        <w:rPr>
          <w:sz w:val="24"/>
        </w:rPr>
        <w:t xml:space="preserve">is based on </w:t>
      </w:r>
      <w:r w:rsidRPr="007539A1">
        <w:rPr>
          <w:sz w:val="24"/>
        </w:rPr>
        <w:t xml:space="preserve">the postage of </w:t>
      </w:r>
      <w:r w:rsidR="004847BB" w:rsidRPr="007539A1">
        <w:rPr>
          <w:sz w:val="24"/>
        </w:rPr>
        <w:t>$0.</w:t>
      </w:r>
      <w:r w:rsidR="00B82D11" w:rsidRPr="007539A1">
        <w:rPr>
          <w:sz w:val="24"/>
        </w:rPr>
        <w:t>4</w:t>
      </w:r>
      <w:r w:rsidR="007539A1" w:rsidRPr="007539A1">
        <w:rPr>
          <w:sz w:val="24"/>
        </w:rPr>
        <w:t>9</w:t>
      </w:r>
      <w:r w:rsidR="00CA7E7E" w:rsidRPr="007539A1">
        <w:rPr>
          <w:sz w:val="24"/>
        </w:rPr>
        <w:t xml:space="preserve"> </w:t>
      </w:r>
      <w:r w:rsidR="004847BB" w:rsidRPr="007539A1">
        <w:rPr>
          <w:sz w:val="24"/>
        </w:rPr>
        <w:t>per</w:t>
      </w:r>
      <w:r w:rsidR="002C4737" w:rsidRPr="007539A1">
        <w:rPr>
          <w:sz w:val="24"/>
        </w:rPr>
        <w:t xml:space="preserve"> first-class</w:t>
      </w:r>
      <w:r w:rsidR="004847BB" w:rsidRPr="007539A1">
        <w:rPr>
          <w:sz w:val="24"/>
        </w:rPr>
        <w:t xml:space="preserve"> stamp</w:t>
      </w:r>
      <w:r w:rsidR="00CA7E7E" w:rsidRPr="007539A1">
        <w:rPr>
          <w:sz w:val="24"/>
        </w:rPr>
        <w:t xml:space="preserve">.  </w:t>
      </w:r>
      <w:r w:rsidR="00AD4B75">
        <w:rPr>
          <w:sz w:val="24"/>
        </w:rPr>
        <w:t>For these 851 responses, the total cost is $416.99.</w:t>
      </w:r>
    </w:p>
    <w:p w:rsidR="004B504B" w:rsidRPr="00162219" w:rsidRDefault="004B504B" w:rsidP="00D22408">
      <w:pPr>
        <w:rPr>
          <w:sz w:val="24"/>
          <w:highlight w:val="lightGray"/>
        </w:rPr>
      </w:pPr>
    </w:p>
    <w:p w:rsidR="00AD4B75" w:rsidRPr="00172DF3" w:rsidRDefault="004847BB" w:rsidP="00AD4B75">
      <w:pPr>
        <w:rPr>
          <w:bCs/>
          <w:sz w:val="24"/>
          <w:szCs w:val="24"/>
        </w:rPr>
      </w:pPr>
      <w:r w:rsidRPr="00172DF3">
        <w:rPr>
          <w:sz w:val="24"/>
        </w:rPr>
        <w:t xml:space="preserve">The cost to carry an observer </w:t>
      </w:r>
      <w:r w:rsidR="00D84AE1" w:rsidRPr="00172DF3">
        <w:rPr>
          <w:sz w:val="24"/>
        </w:rPr>
        <w:t xml:space="preserve">as part of the authorization to shuck product at sea </w:t>
      </w:r>
      <w:r w:rsidRPr="00172DF3">
        <w:rPr>
          <w:sz w:val="24"/>
        </w:rPr>
        <w:t>is based upon a rate of $700 per day at sea</w:t>
      </w:r>
      <w:r w:rsidR="002C548E" w:rsidRPr="00172DF3">
        <w:rPr>
          <w:sz w:val="24"/>
        </w:rPr>
        <w:t xml:space="preserve"> to carry the</w:t>
      </w:r>
      <w:r w:rsidR="00D84AE1" w:rsidRPr="00172DF3">
        <w:rPr>
          <w:sz w:val="24"/>
        </w:rPr>
        <w:t xml:space="preserve"> observer</w:t>
      </w:r>
      <w:r w:rsidR="002C548E" w:rsidRPr="00172DF3">
        <w:rPr>
          <w:sz w:val="24"/>
        </w:rPr>
        <w:t>, for</w:t>
      </w:r>
      <w:r w:rsidR="00D84AE1" w:rsidRPr="00172DF3">
        <w:rPr>
          <w:sz w:val="24"/>
        </w:rPr>
        <w:t xml:space="preserve"> an</w:t>
      </w:r>
      <w:r w:rsidRPr="00172DF3">
        <w:rPr>
          <w:sz w:val="24"/>
        </w:rPr>
        <w:t xml:space="preserve"> average of 156 sea days</w:t>
      </w:r>
      <w:r w:rsidR="00D84AE1" w:rsidRPr="00172DF3">
        <w:rPr>
          <w:sz w:val="24"/>
        </w:rPr>
        <w:t xml:space="preserve"> per vessel</w:t>
      </w:r>
      <w:r w:rsidR="00AD4B75">
        <w:rPr>
          <w:sz w:val="24"/>
        </w:rPr>
        <w:t>, or $109,200</w:t>
      </w:r>
      <w:r w:rsidR="00AD4B75" w:rsidRPr="00172DF3">
        <w:rPr>
          <w:sz w:val="24"/>
        </w:rPr>
        <w:t>.</w:t>
      </w:r>
      <w:r w:rsidR="00AD4B75" w:rsidRPr="00172DF3">
        <w:rPr>
          <w:bCs/>
          <w:sz w:val="24"/>
          <w:szCs w:val="24"/>
        </w:rPr>
        <w:t xml:space="preserve">  </w:t>
      </w:r>
    </w:p>
    <w:p w:rsidR="004B504B" w:rsidRPr="00172DF3" w:rsidRDefault="004B504B" w:rsidP="00D22408">
      <w:pPr>
        <w:rPr>
          <w:bCs/>
          <w:sz w:val="24"/>
          <w:szCs w:val="24"/>
        </w:rPr>
      </w:pPr>
    </w:p>
    <w:p w:rsidR="006A5EA5" w:rsidRDefault="00D836E8" w:rsidP="00D22408">
      <w:pPr>
        <w:rPr>
          <w:bCs/>
          <w:sz w:val="24"/>
          <w:szCs w:val="24"/>
        </w:rPr>
      </w:pPr>
      <w:r w:rsidRPr="00172DF3">
        <w:rPr>
          <w:bCs/>
          <w:sz w:val="24"/>
          <w:szCs w:val="24"/>
        </w:rPr>
        <w:t>In</w:t>
      </w:r>
      <w:r w:rsidR="004B504B" w:rsidRPr="00172DF3">
        <w:rPr>
          <w:bCs/>
          <w:sz w:val="24"/>
          <w:szCs w:val="24"/>
        </w:rPr>
        <w:t xml:space="preserve"> regard</w:t>
      </w:r>
      <w:r w:rsidR="009620D3" w:rsidRPr="00172DF3">
        <w:rPr>
          <w:bCs/>
          <w:sz w:val="24"/>
          <w:szCs w:val="24"/>
        </w:rPr>
        <w:t xml:space="preserve"> to the protocol, four</w:t>
      </w:r>
      <w:r w:rsidRPr="00172DF3">
        <w:rPr>
          <w:bCs/>
          <w:sz w:val="24"/>
          <w:szCs w:val="24"/>
        </w:rPr>
        <w:t xml:space="preserve"> of the </w:t>
      </w:r>
      <w:r w:rsidR="009620D3" w:rsidRPr="00172DF3">
        <w:rPr>
          <w:bCs/>
          <w:sz w:val="24"/>
          <w:szCs w:val="24"/>
        </w:rPr>
        <w:t xml:space="preserve">five </w:t>
      </w:r>
      <w:r w:rsidRPr="00172DF3">
        <w:rPr>
          <w:bCs/>
          <w:sz w:val="24"/>
          <w:szCs w:val="24"/>
        </w:rPr>
        <w:t xml:space="preserve">elements require document submission, </w:t>
      </w:r>
      <w:r w:rsidR="009620D3" w:rsidRPr="00172DF3">
        <w:rPr>
          <w:bCs/>
          <w:sz w:val="24"/>
          <w:szCs w:val="24"/>
        </w:rPr>
        <w:t xml:space="preserve">two </w:t>
      </w:r>
      <w:r w:rsidRPr="00172DF3">
        <w:rPr>
          <w:bCs/>
          <w:sz w:val="24"/>
          <w:szCs w:val="24"/>
        </w:rPr>
        <w:t xml:space="preserve">of which </w:t>
      </w:r>
      <w:r w:rsidR="009620D3" w:rsidRPr="00172DF3">
        <w:rPr>
          <w:bCs/>
          <w:sz w:val="24"/>
          <w:szCs w:val="24"/>
        </w:rPr>
        <w:t>are</w:t>
      </w:r>
      <w:r w:rsidRPr="00172DF3">
        <w:rPr>
          <w:bCs/>
          <w:sz w:val="24"/>
          <w:szCs w:val="24"/>
        </w:rPr>
        <w:t xml:space="preserve"> annual submission</w:t>
      </w:r>
      <w:r w:rsidR="009620D3" w:rsidRPr="00172DF3">
        <w:rPr>
          <w:bCs/>
          <w:sz w:val="24"/>
          <w:szCs w:val="24"/>
        </w:rPr>
        <w:t>s</w:t>
      </w:r>
      <w:r w:rsidRPr="00172DF3">
        <w:rPr>
          <w:bCs/>
          <w:sz w:val="24"/>
          <w:szCs w:val="24"/>
        </w:rPr>
        <w:t xml:space="preserve"> and the other </w:t>
      </w:r>
      <w:r w:rsidR="009620D3" w:rsidRPr="00172DF3">
        <w:rPr>
          <w:bCs/>
          <w:sz w:val="24"/>
          <w:szCs w:val="24"/>
        </w:rPr>
        <w:t>two</w:t>
      </w:r>
      <w:r w:rsidRPr="00172DF3">
        <w:rPr>
          <w:bCs/>
          <w:sz w:val="24"/>
          <w:szCs w:val="24"/>
        </w:rPr>
        <w:t xml:space="preserve"> are required on each trip</w:t>
      </w:r>
      <w:r w:rsidR="00D46BC1" w:rsidRPr="00172DF3">
        <w:rPr>
          <w:bCs/>
          <w:sz w:val="24"/>
          <w:szCs w:val="24"/>
        </w:rPr>
        <w:t>; the fifth requires no document submission</w:t>
      </w:r>
      <w:r w:rsidRPr="00172DF3">
        <w:rPr>
          <w:bCs/>
          <w:sz w:val="24"/>
          <w:szCs w:val="24"/>
        </w:rPr>
        <w:t xml:space="preserve">.  </w:t>
      </w:r>
      <w:r w:rsidR="00D46BC1" w:rsidRPr="00AD4B75">
        <w:rPr>
          <w:b/>
          <w:bCs/>
          <w:sz w:val="24"/>
          <w:szCs w:val="24"/>
        </w:rPr>
        <w:t xml:space="preserve">Of the </w:t>
      </w:r>
      <w:r w:rsidR="009620D3" w:rsidRPr="00AD4B75">
        <w:rPr>
          <w:b/>
          <w:bCs/>
          <w:sz w:val="24"/>
          <w:szCs w:val="24"/>
        </w:rPr>
        <w:t>6,544</w:t>
      </w:r>
      <w:r w:rsidR="00D46BC1" w:rsidRPr="00AD4B75">
        <w:rPr>
          <w:b/>
          <w:bCs/>
          <w:sz w:val="24"/>
          <w:szCs w:val="24"/>
        </w:rPr>
        <w:t xml:space="preserve"> responses,</w:t>
      </w:r>
      <w:r w:rsidR="006A5EA5" w:rsidRPr="00AD4B75">
        <w:rPr>
          <w:b/>
          <w:bCs/>
          <w:sz w:val="24"/>
          <w:szCs w:val="24"/>
        </w:rPr>
        <w:t xml:space="preserve"> </w:t>
      </w:r>
      <w:r w:rsidR="00D46BC1" w:rsidRPr="00AD4B75">
        <w:rPr>
          <w:b/>
          <w:bCs/>
          <w:sz w:val="24"/>
          <w:szCs w:val="24"/>
        </w:rPr>
        <w:t xml:space="preserve">4,382 have postage costs in total of </w:t>
      </w:r>
      <w:r w:rsidR="00B168E6" w:rsidRPr="00AD4B75">
        <w:rPr>
          <w:b/>
          <w:bCs/>
          <w:sz w:val="24"/>
          <w:szCs w:val="24"/>
        </w:rPr>
        <w:t xml:space="preserve">$2,147 </w:t>
      </w:r>
      <w:r w:rsidRPr="00AD4B75">
        <w:rPr>
          <w:b/>
          <w:bCs/>
          <w:sz w:val="24"/>
          <w:szCs w:val="24"/>
        </w:rPr>
        <w:t>(</w:t>
      </w:r>
      <w:r w:rsidR="00D46BC1" w:rsidRPr="00AD4B75">
        <w:rPr>
          <w:b/>
          <w:bCs/>
          <w:sz w:val="24"/>
          <w:szCs w:val="24"/>
        </w:rPr>
        <w:t xml:space="preserve">4,382 </w:t>
      </w:r>
      <w:r w:rsidR="009620D3" w:rsidRPr="00AD4B75">
        <w:rPr>
          <w:b/>
          <w:bCs/>
          <w:sz w:val="24"/>
          <w:szCs w:val="24"/>
        </w:rPr>
        <w:t>x $0.4</w:t>
      </w:r>
      <w:r w:rsidR="00484F79" w:rsidRPr="00AD4B75">
        <w:rPr>
          <w:b/>
          <w:bCs/>
          <w:sz w:val="24"/>
          <w:szCs w:val="24"/>
        </w:rPr>
        <w:t>9</w:t>
      </w:r>
      <w:r w:rsidR="009620D3" w:rsidRPr="00AD4B75">
        <w:rPr>
          <w:b/>
          <w:bCs/>
          <w:sz w:val="24"/>
          <w:szCs w:val="24"/>
        </w:rPr>
        <w:t xml:space="preserve">).  </w:t>
      </w:r>
      <w:r w:rsidR="009620D3" w:rsidRPr="00172DF3">
        <w:rPr>
          <w:bCs/>
          <w:sz w:val="24"/>
          <w:szCs w:val="24"/>
        </w:rPr>
        <w:t>The fifth</w:t>
      </w:r>
      <w:r w:rsidRPr="00172DF3">
        <w:rPr>
          <w:bCs/>
          <w:sz w:val="24"/>
          <w:szCs w:val="24"/>
        </w:rPr>
        <w:t xml:space="preserve"> element, the offload notification requirement, does not impose any additional costs as the notification would be completed through a pre-existing email or cellular phone account and is not required to be submitted in writing.</w:t>
      </w:r>
      <w:r>
        <w:rPr>
          <w:bCs/>
          <w:sz w:val="24"/>
          <w:szCs w:val="24"/>
        </w:rPr>
        <w:t xml:space="preserve">  </w:t>
      </w:r>
    </w:p>
    <w:p w:rsidR="006A5EA5" w:rsidRDefault="006A5EA5" w:rsidP="00D22408">
      <w:pPr>
        <w:rPr>
          <w:bCs/>
          <w:sz w:val="24"/>
          <w:szCs w:val="24"/>
        </w:rPr>
      </w:pPr>
    </w:p>
    <w:p w:rsidR="002F4D0F" w:rsidRPr="006A5EA5" w:rsidRDefault="002C548E" w:rsidP="00D22408">
      <w:pPr>
        <w:rPr>
          <w:b/>
          <w:sz w:val="24"/>
        </w:rPr>
      </w:pPr>
      <w:r w:rsidRPr="006A5EA5">
        <w:rPr>
          <w:b/>
          <w:sz w:val="24"/>
        </w:rPr>
        <w:t>This yields an a</w:t>
      </w:r>
      <w:r w:rsidR="00D836E8" w:rsidRPr="006A5EA5">
        <w:rPr>
          <w:b/>
          <w:sz w:val="24"/>
        </w:rPr>
        <w:t>nnual cost of approximately $111,</w:t>
      </w:r>
      <w:r w:rsidR="008C0632">
        <w:rPr>
          <w:b/>
          <w:sz w:val="24"/>
        </w:rPr>
        <w:t>764</w:t>
      </w:r>
      <w:r w:rsidR="008C0632" w:rsidRPr="006A5EA5">
        <w:rPr>
          <w:b/>
          <w:sz w:val="24"/>
        </w:rPr>
        <w:t xml:space="preserve"> </w:t>
      </w:r>
      <w:r w:rsidRPr="006A5EA5">
        <w:rPr>
          <w:b/>
          <w:sz w:val="24"/>
        </w:rPr>
        <w:t>for this collection of information.</w:t>
      </w:r>
    </w:p>
    <w:p w:rsidR="002F4D0F" w:rsidRPr="00A2088A" w:rsidRDefault="002F4D0F" w:rsidP="00D22408">
      <w:pPr>
        <w:rPr>
          <w:b/>
          <w:sz w:val="24"/>
        </w:rPr>
      </w:pPr>
    </w:p>
    <w:p w:rsidR="002F4D0F" w:rsidRPr="0023004F" w:rsidRDefault="002F4D0F" w:rsidP="00D22408">
      <w:pPr>
        <w:rPr>
          <w:sz w:val="24"/>
        </w:rPr>
      </w:pPr>
      <w:r w:rsidRPr="0023004F">
        <w:rPr>
          <w:b/>
          <w:sz w:val="24"/>
        </w:rPr>
        <w:t xml:space="preserve">14.  </w:t>
      </w:r>
      <w:r w:rsidRPr="0023004F">
        <w:rPr>
          <w:b/>
          <w:sz w:val="24"/>
          <w:u w:val="single"/>
        </w:rPr>
        <w:t>Provide estimates of annualized cost to the Federal government</w:t>
      </w:r>
      <w:r w:rsidRPr="0023004F">
        <w:rPr>
          <w:b/>
          <w:sz w:val="24"/>
        </w:rPr>
        <w:t>.</w:t>
      </w:r>
    </w:p>
    <w:p w:rsidR="002F4D0F" w:rsidRPr="0023004F" w:rsidRDefault="002F4D0F" w:rsidP="00D22408">
      <w:pPr>
        <w:rPr>
          <w:sz w:val="24"/>
        </w:rPr>
      </w:pPr>
    </w:p>
    <w:p w:rsidR="002C548E" w:rsidRPr="0023004F" w:rsidRDefault="002C548E" w:rsidP="00D22408">
      <w:pPr>
        <w:rPr>
          <w:sz w:val="24"/>
        </w:rPr>
      </w:pPr>
      <w:r w:rsidRPr="0023004F">
        <w:rPr>
          <w:sz w:val="24"/>
        </w:rPr>
        <w:t>The annual cost to the Federal government is summarized in Table 1.</w:t>
      </w:r>
    </w:p>
    <w:p w:rsidR="002C548E" w:rsidRPr="00162219" w:rsidRDefault="002C548E" w:rsidP="00D22408">
      <w:pPr>
        <w:rPr>
          <w:sz w:val="24"/>
          <w:highlight w:val="lightGray"/>
        </w:rPr>
      </w:pPr>
    </w:p>
    <w:p w:rsidR="002F4D0F" w:rsidRDefault="002C548E" w:rsidP="0082688B">
      <w:pPr>
        <w:rPr>
          <w:sz w:val="24"/>
        </w:rPr>
      </w:pPr>
      <w:r w:rsidRPr="00D22408">
        <w:rPr>
          <w:sz w:val="24"/>
        </w:rPr>
        <w:t>The cost to the Federal government to process an ITQ Transfer Form is b</w:t>
      </w:r>
      <w:r w:rsidR="004847BB" w:rsidRPr="00D22408">
        <w:rPr>
          <w:sz w:val="24"/>
        </w:rPr>
        <w:t>ased on</w:t>
      </w:r>
      <w:r w:rsidRPr="00D22408">
        <w:rPr>
          <w:sz w:val="24"/>
        </w:rPr>
        <w:t xml:space="preserve"> a rate of</w:t>
      </w:r>
      <w:r w:rsidR="004847BB" w:rsidRPr="00D22408">
        <w:rPr>
          <w:sz w:val="24"/>
        </w:rPr>
        <w:t xml:space="preserve"> $25 per hour and a processing time of </w:t>
      </w:r>
      <w:r w:rsidR="00E765CC" w:rsidRPr="00D22408">
        <w:rPr>
          <w:sz w:val="24"/>
        </w:rPr>
        <w:t>12</w:t>
      </w:r>
      <w:r w:rsidR="004847BB" w:rsidRPr="00D22408">
        <w:rPr>
          <w:sz w:val="24"/>
        </w:rPr>
        <w:t xml:space="preserve"> transfers per hou</w:t>
      </w:r>
      <w:r w:rsidRPr="00D22408">
        <w:rPr>
          <w:sz w:val="24"/>
        </w:rPr>
        <w:t xml:space="preserve">r.  This gives an annual cost of </w:t>
      </w:r>
      <w:r w:rsidR="004847BB" w:rsidRPr="00D22408">
        <w:rPr>
          <w:sz w:val="24"/>
        </w:rPr>
        <w:t>$</w:t>
      </w:r>
      <w:r w:rsidR="0082688B">
        <w:rPr>
          <w:sz w:val="24"/>
        </w:rPr>
        <w:t>1,000</w:t>
      </w:r>
      <w:r w:rsidR="002F4D0F" w:rsidRPr="00D22408">
        <w:rPr>
          <w:sz w:val="24"/>
        </w:rPr>
        <w:t>.</w:t>
      </w:r>
      <w:r w:rsidRPr="00D22408">
        <w:rPr>
          <w:sz w:val="24"/>
        </w:rPr>
        <w:t xml:space="preserve">  </w:t>
      </w:r>
      <w:r w:rsidR="00D22408">
        <w:rPr>
          <w:sz w:val="24"/>
        </w:rPr>
        <w:t>The ITQ permit application is expected to take approximately 5 minutes to process</w:t>
      </w:r>
      <w:r w:rsidR="00D22408" w:rsidRPr="00D22408">
        <w:t xml:space="preserve"> </w:t>
      </w:r>
      <w:r w:rsidR="00D22408" w:rsidRPr="00D22408">
        <w:rPr>
          <w:sz w:val="24"/>
        </w:rPr>
        <w:t>at a rate of $25 per hour</w:t>
      </w:r>
      <w:r w:rsidR="00D22408">
        <w:rPr>
          <w:sz w:val="24"/>
        </w:rPr>
        <w:t xml:space="preserve"> for an annual cost of $400</w:t>
      </w:r>
      <w:r w:rsidR="00D22408" w:rsidRPr="00D22408">
        <w:rPr>
          <w:sz w:val="24"/>
        </w:rPr>
        <w:t>.</w:t>
      </w:r>
      <w:r w:rsidR="00D22408">
        <w:rPr>
          <w:sz w:val="24"/>
        </w:rPr>
        <w:t xml:space="preserve">  The ITQ Ownership form for new entrants is expected to take approximately 20 minutes to process, while processing this form for a renewing applicant is expected to take just 5 minutes.  Therefore, at a rate of $25 per hour, the expected annual cost to the Federal government will be $2,025.</w:t>
      </w:r>
      <w:r w:rsidR="0082688B">
        <w:rPr>
          <w:sz w:val="24"/>
        </w:rPr>
        <w:t xml:space="preserve">  </w:t>
      </w:r>
      <w:r w:rsidRPr="00D22408">
        <w:rPr>
          <w:sz w:val="24"/>
        </w:rPr>
        <w:t>T</w:t>
      </w:r>
      <w:r w:rsidR="004847BB" w:rsidRPr="00D22408">
        <w:rPr>
          <w:sz w:val="24"/>
        </w:rPr>
        <w:t xml:space="preserve">he application to shuck </w:t>
      </w:r>
      <w:r w:rsidRPr="00D22408">
        <w:rPr>
          <w:sz w:val="24"/>
        </w:rPr>
        <w:t xml:space="preserve">product </w:t>
      </w:r>
      <w:r w:rsidR="004847BB" w:rsidRPr="00D22408">
        <w:rPr>
          <w:sz w:val="24"/>
        </w:rPr>
        <w:t xml:space="preserve">at sea </w:t>
      </w:r>
      <w:r w:rsidRPr="00D22408">
        <w:rPr>
          <w:sz w:val="24"/>
        </w:rPr>
        <w:t xml:space="preserve">takes approximately </w:t>
      </w:r>
      <w:r w:rsidR="00640E1D" w:rsidRPr="00D22408">
        <w:rPr>
          <w:sz w:val="24"/>
        </w:rPr>
        <w:t>30 minutes</w:t>
      </w:r>
      <w:r w:rsidR="004847BB" w:rsidRPr="00D22408">
        <w:rPr>
          <w:sz w:val="24"/>
        </w:rPr>
        <w:t xml:space="preserve"> per application </w:t>
      </w:r>
      <w:r w:rsidRPr="00D22408">
        <w:rPr>
          <w:sz w:val="24"/>
        </w:rPr>
        <w:t xml:space="preserve">to process at a rate of $25 per hour.  This gives an annual cost of </w:t>
      </w:r>
      <w:r w:rsidR="004847BB" w:rsidRPr="00D22408">
        <w:rPr>
          <w:sz w:val="24"/>
        </w:rPr>
        <w:t>$</w:t>
      </w:r>
      <w:r w:rsidR="00344541" w:rsidRPr="00D22408">
        <w:rPr>
          <w:sz w:val="24"/>
        </w:rPr>
        <w:t>25</w:t>
      </w:r>
      <w:r w:rsidRPr="00D22408">
        <w:rPr>
          <w:sz w:val="24"/>
        </w:rPr>
        <w:t>.</w:t>
      </w:r>
      <w:r w:rsidR="00D836E8" w:rsidRPr="00D22408">
        <w:rPr>
          <w:sz w:val="24"/>
        </w:rPr>
        <w:t xml:space="preserve">  Receiving, reviewing, and filing the written onboard lot segregation plan takes 5 minutes </w:t>
      </w:r>
      <w:r w:rsidR="002B461F" w:rsidRPr="00D22408">
        <w:rPr>
          <w:sz w:val="24"/>
        </w:rPr>
        <w:t>per plan received, for a total of 4 hours of burden to the Federal government, at $25 an hour for a total of $100.</w:t>
      </w:r>
      <w:r w:rsidR="00D57E6E" w:rsidRPr="00D22408">
        <w:rPr>
          <w:sz w:val="24"/>
        </w:rPr>
        <w:t xml:space="preserve">  Receiving and processing the concurrence from the state of landing letter will take 5 minutes, at $25 hour for a total of $25.</w:t>
      </w:r>
      <w:r w:rsidR="002B461F" w:rsidRPr="00D22408">
        <w:rPr>
          <w:sz w:val="24"/>
        </w:rPr>
        <w:t xml:space="preserve">  </w:t>
      </w:r>
      <w:r w:rsidRPr="00D22408">
        <w:rPr>
          <w:sz w:val="24"/>
        </w:rPr>
        <w:t>Thus</w:t>
      </w:r>
      <w:r w:rsidR="008C70FE" w:rsidRPr="00D22408">
        <w:rPr>
          <w:sz w:val="24"/>
        </w:rPr>
        <w:t>,</w:t>
      </w:r>
      <w:r w:rsidRPr="00D22408">
        <w:rPr>
          <w:sz w:val="24"/>
        </w:rPr>
        <w:t xml:space="preserve"> the total cost to the Federal government for this collection of information is estimated to $</w:t>
      </w:r>
      <w:r w:rsidR="0082688B" w:rsidRPr="0082688B">
        <w:rPr>
          <w:sz w:val="24"/>
        </w:rPr>
        <w:t>3,575</w:t>
      </w:r>
      <w:r w:rsidRPr="00D22408">
        <w:rPr>
          <w:sz w:val="24"/>
        </w:rPr>
        <w:t>.</w:t>
      </w:r>
    </w:p>
    <w:p w:rsidR="00143509" w:rsidRPr="00A2088A" w:rsidRDefault="00143509" w:rsidP="0082688B">
      <w:pPr>
        <w:rPr>
          <w:sz w:val="24"/>
        </w:rPr>
      </w:pPr>
    </w:p>
    <w:p w:rsidR="002F4D0F" w:rsidRPr="00A2088A" w:rsidRDefault="002F4D0F" w:rsidP="0082688B">
      <w:pPr>
        <w:rPr>
          <w:sz w:val="24"/>
        </w:rPr>
      </w:pPr>
      <w:r w:rsidRPr="00A2088A">
        <w:rPr>
          <w:b/>
          <w:sz w:val="24"/>
        </w:rPr>
        <w:t xml:space="preserve">15.  </w:t>
      </w:r>
      <w:r w:rsidRPr="00A2088A">
        <w:rPr>
          <w:b/>
          <w:sz w:val="24"/>
          <w:u w:val="single"/>
        </w:rPr>
        <w:t>Explain the reasons for any program changes or adjustments</w:t>
      </w:r>
      <w:r w:rsidRPr="00A2088A">
        <w:rPr>
          <w:b/>
          <w:sz w:val="24"/>
        </w:rPr>
        <w:t>.</w:t>
      </w:r>
    </w:p>
    <w:p w:rsidR="00897D36" w:rsidRDefault="00897D36" w:rsidP="0082688B">
      <w:pPr>
        <w:rPr>
          <w:b/>
          <w:sz w:val="24"/>
        </w:rPr>
      </w:pPr>
    </w:p>
    <w:p w:rsidR="001A0EAF" w:rsidRPr="00292262" w:rsidRDefault="001A0EAF" w:rsidP="0082688B">
      <w:pPr>
        <w:rPr>
          <w:b/>
          <w:sz w:val="24"/>
        </w:rPr>
      </w:pPr>
      <w:r w:rsidRPr="00292262">
        <w:rPr>
          <w:b/>
          <w:sz w:val="24"/>
        </w:rPr>
        <w:t>Program Changes</w:t>
      </w:r>
    </w:p>
    <w:p w:rsidR="001A0EAF" w:rsidRDefault="001A0EAF" w:rsidP="0082688B">
      <w:pPr>
        <w:rPr>
          <w:sz w:val="24"/>
        </w:rPr>
      </w:pPr>
    </w:p>
    <w:p w:rsidR="001A0EAF" w:rsidRDefault="00BB20AA" w:rsidP="0082688B">
      <w:pPr>
        <w:rPr>
          <w:sz w:val="24"/>
        </w:rPr>
      </w:pPr>
      <w:r>
        <w:rPr>
          <w:sz w:val="24"/>
        </w:rPr>
        <w:t xml:space="preserve">There have been no program changes since the approval of the revision in July 2015.  </w:t>
      </w:r>
    </w:p>
    <w:p w:rsidR="00143509" w:rsidRDefault="00143509" w:rsidP="0082688B">
      <w:pPr>
        <w:rPr>
          <w:b/>
          <w:sz w:val="24"/>
        </w:rPr>
      </w:pPr>
    </w:p>
    <w:p w:rsidR="001A0EAF" w:rsidRPr="00292262" w:rsidRDefault="001A0EAF" w:rsidP="0082688B">
      <w:pPr>
        <w:rPr>
          <w:b/>
          <w:sz w:val="24"/>
        </w:rPr>
      </w:pPr>
      <w:r w:rsidRPr="00292262">
        <w:rPr>
          <w:b/>
          <w:sz w:val="24"/>
        </w:rPr>
        <w:t>Adjustments</w:t>
      </w:r>
    </w:p>
    <w:p w:rsidR="001A0EAF" w:rsidRDefault="001A0EAF" w:rsidP="0082688B">
      <w:pPr>
        <w:rPr>
          <w:sz w:val="24"/>
        </w:rPr>
      </w:pPr>
    </w:p>
    <w:p w:rsidR="00627791" w:rsidRDefault="00BB20AA" w:rsidP="0082688B">
      <w:pPr>
        <w:rPr>
          <w:sz w:val="24"/>
        </w:rPr>
      </w:pPr>
      <w:r w:rsidRPr="00BB20AA">
        <w:rPr>
          <w:sz w:val="24"/>
        </w:rPr>
        <w:t xml:space="preserve">There have been no </w:t>
      </w:r>
      <w:r>
        <w:rPr>
          <w:sz w:val="24"/>
        </w:rPr>
        <w:t>adjustments</w:t>
      </w:r>
      <w:r w:rsidRPr="00BB20AA">
        <w:rPr>
          <w:sz w:val="24"/>
        </w:rPr>
        <w:t xml:space="preserve"> since the approval of the revision in July 2015.  </w:t>
      </w:r>
    </w:p>
    <w:p w:rsidR="001B5BD4" w:rsidRDefault="001B5BD4" w:rsidP="0082688B">
      <w:pPr>
        <w:rPr>
          <w:b/>
          <w:sz w:val="24"/>
        </w:rPr>
      </w:pPr>
    </w:p>
    <w:p w:rsidR="002F4D0F" w:rsidRPr="00A2088A" w:rsidRDefault="002F4D0F" w:rsidP="0082688B">
      <w:pPr>
        <w:rPr>
          <w:sz w:val="24"/>
        </w:rPr>
      </w:pPr>
      <w:r w:rsidRPr="00A2088A">
        <w:rPr>
          <w:b/>
          <w:sz w:val="24"/>
        </w:rPr>
        <w:t xml:space="preserve">16.  </w:t>
      </w:r>
      <w:r w:rsidRPr="00A2088A">
        <w:rPr>
          <w:b/>
          <w:sz w:val="24"/>
          <w:u w:val="single"/>
        </w:rPr>
        <w:t>For collections whose results will be published, outline the plans for tabulation and publication</w:t>
      </w:r>
      <w:r w:rsidRPr="00A2088A">
        <w:rPr>
          <w:b/>
          <w:sz w:val="24"/>
        </w:rPr>
        <w:t>.</w:t>
      </w:r>
    </w:p>
    <w:p w:rsidR="002F4D0F" w:rsidRDefault="002F4D0F" w:rsidP="0082688B">
      <w:pPr>
        <w:rPr>
          <w:sz w:val="24"/>
        </w:rPr>
      </w:pPr>
    </w:p>
    <w:p w:rsidR="0082688B" w:rsidRDefault="0082688B" w:rsidP="0082688B">
      <w:pPr>
        <w:rPr>
          <w:sz w:val="24"/>
        </w:rPr>
      </w:pPr>
      <w:r>
        <w:rPr>
          <w:sz w:val="24"/>
        </w:rPr>
        <w:t xml:space="preserve">The list of quota </w:t>
      </w:r>
      <w:proofErr w:type="spellStart"/>
      <w:r>
        <w:rPr>
          <w:sz w:val="24"/>
        </w:rPr>
        <w:t>share holders</w:t>
      </w:r>
      <w:proofErr w:type="spellEnd"/>
      <w:r>
        <w:rPr>
          <w:sz w:val="24"/>
        </w:rPr>
        <w:t xml:space="preserve"> is posted each year on line.  </w:t>
      </w:r>
      <w:r w:rsidR="00E2217F">
        <w:rPr>
          <w:sz w:val="24"/>
        </w:rPr>
        <w:t xml:space="preserve">This listing will not contain date of birth or tax identification number, or the information collected through the ITQ Ownership form.  The results of this collection will be available to the Mid-Atlantic Fishery Management Council staff for the technical analysis needed to assess the impacts of an excessive shares cap.  However, this information will only be available to the public in an aggregated form that preserves confidentiality.  A list of permanent and temporary transfers has been posted online in the past for use by the public and may be made available in the future, </w:t>
      </w:r>
      <w:r w:rsidR="00BB20AA">
        <w:rPr>
          <w:sz w:val="24"/>
        </w:rPr>
        <w:t>upon request</w:t>
      </w:r>
      <w:r w:rsidR="00E2217F">
        <w:rPr>
          <w:sz w:val="24"/>
        </w:rPr>
        <w:t xml:space="preserve">.  </w:t>
      </w:r>
    </w:p>
    <w:p w:rsidR="0082688B" w:rsidRPr="00A2088A" w:rsidRDefault="0082688B" w:rsidP="0082688B">
      <w:pPr>
        <w:rPr>
          <w:sz w:val="24"/>
        </w:rPr>
      </w:pPr>
    </w:p>
    <w:p w:rsidR="002F4D0F" w:rsidRPr="00A2088A" w:rsidRDefault="00D93367" w:rsidP="0082688B">
      <w:pPr>
        <w:rPr>
          <w:sz w:val="24"/>
        </w:rPr>
      </w:pPr>
      <w:r w:rsidRPr="00E2217F">
        <w:rPr>
          <w:sz w:val="24"/>
        </w:rPr>
        <w:t>The results collected under the prot</w:t>
      </w:r>
      <w:r w:rsidR="00B32CCB" w:rsidRPr="00E2217F">
        <w:rPr>
          <w:sz w:val="24"/>
        </w:rPr>
        <w:t>ocol are not planned for publication;</w:t>
      </w:r>
      <w:r w:rsidRPr="00E2217F">
        <w:rPr>
          <w:sz w:val="24"/>
        </w:rPr>
        <w:t xml:space="preserve"> however</w:t>
      </w:r>
      <w:r w:rsidR="00B32CCB" w:rsidRPr="00E2217F">
        <w:rPr>
          <w:sz w:val="24"/>
        </w:rPr>
        <w:t>,</w:t>
      </w:r>
      <w:r w:rsidRPr="00E2217F">
        <w:rPr>
          <w:sz w:val="24"/>
        </w:rPr>
        <w:t xml:space="preserve"> it is possible that the data may be published in the future in support of scientific research to reopen or close additional areas on GB.  Further, NMFS does not own the information collected under the protocol, so </w:t>
      </w:r>
      <w:r w:rsidR="00B32CCB" w:rsidRPr="00E2217F">
        <w:rPr>
          <w:sz w:val="24"/>
        </w:rPr>
        <w:t xml:space="preserve">we </w:t>
      </w:r>
      <w:r w:rsidRPr="00E2217F">
        <w:rPr>
          <w:sz w:val="24"/>
        </w:rPr>
        <w:t>do not have control over how and if information collected under t</w:t>
      </w:r>
      <w:r w:rsidR="00221E9E" w:rsidRPr="00E2217F">
        <w:rPr>
          <w:sz w:val="24"/>
        </w:rPr>
        <w:t>he protocol will be published.</w:t>
      </w:r>
    </w:p>
    <w:p w:rsidR="002F4D0F" w:rsidRPr="00A2088A" w:rsidRDefault="002F4D0F" w:rsidP="0082688B">
      <w:pPr>
        <w:rPr>
          <w:sz w:val="24"/>
        </w:rPr>
      </w:pPr>
    </w:p>
    <w:p w:rsidR="002F4D0F" w:rsidRPr="0082688B" w:rsidRDefault="002F4D0F" w:rsidP="0082688B">
      <w:pPr>
        <w:rPr>
          <w:b/>
          <w:sz w:val="24"/>
        </w:rPr>
      </w:pPr>
      <w:r w:rsidRPr="0082688B">
        <w:rPr>
          <w:b/>
          <w:sz w:val="24"/>
        </w:rPr>
        <w:t xml:space="preserve">17.  </w:t>
      </w:r>
      <w:r w:rsidRPr="0082688B">
        <w:rPr>
          <w:b/>
          <w:sz w:val="24"/>
          <w:u w:val="single"/>
        </w:rPr>
        <w:t>If seeking approval to not display the expiration date for OMB approval of the information collection, explain the reasons why display would be inappropriate</w:t>
      </w:r>
      <w:r w:rsidRPr="0082688B">
        <w:rPr>
          <w:b/>
          <w:sz w:val="24"/>
        </w:rPr>
        <w:t>.</w:t>
      </w:r>
    </w:p>
    <w:p w:rsidR="003D518C" w:rsidRPr="0082688B" w:rsidRDefault="003D518C" w:rsidP="0082688B">
      <w:pPr>
        <w:rPr>
          <w:sz w:val="24"/>
        </w:rPr>
      </w:pPr>
    </w:p>
    <w:p w:rsidR="00DA1289" w:rsidRPr="0082688B" w:rsidRDefault="002F4D0F" w:rsidP="0082688B">
      <w:pPr>
        <w:rPr>
          <w:sz w:val="24"/>
          <w:szCs w:val="24"/>
          <w:shd w:val="clear" w:color="auto" w:fill="FFFFFF"/>
        </w:rPr>
      </w:pPr>
      <w:r w:rsidRPr="0082688B">
        <w:rPr>
          <w:rFonts w:ascii="Tms Rmn 12pt" w:hAnsi="Tms Rmn 12pt"/>
          <w:sz w:val="24"/>
        </w:rPr>
        <w:t>The ex</w:t>
      </w:r>
      <w:r w:rsidR="002B461F" w:rsidRPr="0082688B">
        <w:rPr>
          <w:rFonts w:ascii="Tms Rmn 12pt" w:hAnsi="Tms Rmn 12pt"/>
          <w:sz w:val="24"/>
        </w:rPr>
        <w:t>piration date will be displayed</w:t>
      </w:r>
      <w:r w:rsidR="008B2DC7" w:rsidRPr="0082688B">
        <w:rPr>
          <w:rFonts w:ascii="Tms Rmn 12pt" w:hAnsi="Tms Rmn 12pt"/>
          <w:sz w:val="24"/>
        </w:rPr>
        <w:t xml:space="preserve"> for the </w:t>
      </w:r>
      <w:r w:rsidR="002D2DCF" w:rsidRPr="0082688B">
        <w:rPr>
          <w:rFonts w:ascii="Tms Rmn 12pt" w:hAnsi="Tms Rmn 12pt"/>
          <w:sz w:val="24"/>
        </w:rPr>
        <w:t>forms</w:t>
      </w:r>
      <w:r w:rsidR="008B2DC7" w:rsidRPr="0082688B">
        <w:rPr>
          <w:rFonts w:ascii="Tms Rmn 12pt" w:hAnsi="Tms Rmn 12pt"/>
          <w:sz w:val="24"/>
        </w:rPr>
        <w:t xml:space="preserve"> under this collection</w:t>
      </w:r>
      <w:r w:rsidR="002D2DCF" w:rsidRPr="0082688B">
        <w:rPr>
          <w:rFonts w:ascii="Tms Rmn 12pt" w:hAnsi="Tms Rmn 12pt"/>
          <w:sz w:val="24"/>
          <w:szCs w:val="24"/>
        </w:rPr>
        <w:t>, with the exception of the protocol.  The requirements in the protocol do not include any forms for the information submitted under this requirement.  Further, NMFS is also not able to display the expiration number on the protocol itself.</w:t>
      </w:r>
      <w:r w:rsidR="002B461F" w:rsidRPr="0082688B">
        <w:rPr>
          <w:rFonts w:ascii="Tms Rmn 12pt" w:hAnsi="Tms Rmn 12pt"/>
          <w:sz w:val="24"/>
          <w:szCs w:val="24"/>
        </w:rPr>
        <w:t xml:space="preserve">  The testing protocol was developed by industry and was </w:t>
      </w:r>
      <w:r w:rsidR="002B461F" w:rsidRPr="0082688B">
        <w:rPr>
          <w:sz w:val="24"/>
          <w:szCs w:val="24"/>
        </w:rPr>
        <w:t xml:space="preserve">formally adopted into the </w:t>
      </w:r>
      <w:r w:rsidR="008B2DC7" w:rsidRPr="0082688B">
        <w:rPr>
          <w:sz w:val="24"/>
          <w:szCs w:val="24"/>
        </w:rPr>
        <w:t>NSSP</w:t>
      </w:r>
      <w:r w:rsidR="002B461F" w:rsidRPr="0082688B">
        <w:rPr>
          <w:sz w:val="24"/>
          <w:szCs w:val="24"/>
        </w:rPr>
        <w:t xml:space="preserve"> at the I</w:t>
      </w:r>
      <w:r w:rsidR="008B2DC7" w:rsidRPr="0082688B">
        <w:rPr>
          <w:sz w:val="24"/>
          <w:szCs w:val="24"/>
        </w:rPr>
        <w:t>SSC</w:t>
      </w:r>
      <w:r w:rsidR="002B461F" w:rsidRPr="0082688B">
        <w:rPr>
          <w:sz w:val="24"/>
          <w:szCs w:val="24"/>
        </w:rPr>
        <w:t xml:space="preserve">.  Therefore, although NMFS requires vessels to follow the terms and conditions of the protocol, the protocol itself and the requirements within it are not maintained by NMFS and </w:t>
      </w:r>
      <w:r w:rsidR="008B2DC7" w:rsidRPr="0082688B">
        <w:rPr>
          <w:sz w:val="24"/>
          <w:szCs w:val="24"/>
        </w:rPr>
        <w:t xml:space="preserve">it is not NMFS’s position to modify the document.  Therefore, NMFS will </w:t>
      </w:r>
      <w:r w:rsidR="002D2DCF" w:rsidRPr="0082688B">
        <w:rPr>
          <w:sz w:val="24"/>
          <w:szCs w:val="24"/>
        </w:rPr>
        <w:t xml:space="preserve">also </w:t>
      </w:r>
      <w:r w:rsidR="008B2DC7" w:rsidRPr="0082688B">
        <w:rPr>
          <w:sz w:val="24"/>
          <w:szCs w:val="24"/>
        </w:rPr>
        <w:t>not be able to display the expiration date on the te</w:t>
      </w:r>
      <w:r w:rsidR="002D2DCF" w:rsidRPr="0082688B">
        <w:rPr>
          <w:sz w:val="24"/>
          <w:szCs w:val="24"/>
        </w:rPr>
        <w:t xml:space="preserve">sting protocol itself.  </w:t>
      </w:r>
      <w:r w:rsidR="002D2DCF" w:rsidRPr="0082688B">
        <w:rPr>
          <w:sz w:val="24"/>
          <w:szCs w:val="24"/>
          <w:shd w:val="clear" w:color="auto" w:fill="FFFFFF"/>
        </w:rPr>
        <w:t>However, an expiration date will be displayed in the bulletin that will be mailed to each permit holder who may be required to report under the terms and conditions of the protocol</w:t>
      </w:r>
      <w:r w:rsidR="00B32CCB" w:rsidRPr="0082688B">
        <w:rPr>
          <w:sz w:val="24"/>
          <w:szCs w:val="24"/>
          <w:shd w:val="clear" w:color="auto" w:fill="FFFFFF"/>
        </w:rPr>
        <w:t xml:space="preserve">.  </w:t>
      </w:r>
    </w:p>
    <w:p w:rsidR="00DA1289" w:rsidRPr="00162219" w:rsidRDefault="00DA1289" w:rsidP="0082688B">
      <w:pPr>
        <w:rPr>
          <w:sz w:val="24"/>
          <w:szCs w:val="24"/>
          <w:highlight w:val="lightGray"/>
          <w:shd w:val="clear" w:color="auto" w:fill="FFFFFF"/>
        </w:rPr>
      </w:pPr>
    </w:p>
    <w:p w:rsidR="002F4D0F" w:rsidRPr="00A2088A" w:rsidRDefault="00B32CCB" w:rsidP="0082688B">
      <w:pPr>
        <w:rPr>
          <w:rFonts w:ascii="Tms Rmn 12pt" w:hAnsi="Tms Rmn 12pt"/>
          <w:sz w:val="24"/>
        </w:rPr>
      </w:pPr>
      <w:r w:rsidRPr="0082688B">
        <w:rPr>
          <w:sz w:val="24"/>
          <w:szCs w:val="24"/>
          <w:shd w:val="clear" w:color="auto" w:fill="FFFFFF"/>
        </w:rPr>
        <w:t>Further, vessels harvesting under the protocol obtain a letter of authorization (L</w:t>
      </w:r>
      <w:r w:rsidR="00DA1289" w:rsidRPr="0082688B">
        <w:rPr>
          <w:sz w:val="24"/>
          <w:szCs w:val="24"/>
          <w:shd w:val="clear" w:color="auto" w:fill="FFFFFF"/>
        </w:rPr>
        <w:t xml:space="preserve">OA) from NMFS.  The LOA outlines the harvesting requirements for the reopened area, including the protocol, and by obtaining the </w:t>
      </w:r>
      <w:proofErr w:type="gramStart"/>
      <w:r w:rsidR="00DA1289" w:rsidRPr="0082688B">
        <w:rPr>
          <w:sz w:val="24"/>
          <w:szCs w:val="24"/>
          <w:shd w:val="clear" w:color="auto" w:fill="FFFFFF"/>
        </w:rPr>
        <w:t>LOA,</w:t>
      </w:r>
      <w:proofErr w:type="gramEnd"/>
      <w:r w:rsidR="00DA1289" w:rsidRPr="0082688B">
        <w:rPr>
          <w:sz w:val="24"/>
          <w:szCs w:val="24"/>
          <w:shd w:val="clear" w:color="auto" w:fill="FFFFFF"/>
        </w:rPr>
        <w:t xml:space="preserve"> a vessel is acknowledging and agreeing to the terms and conditions of the protocol and the LOA.  The LOA is </w:t>
      </w:r>
      <w:r w:rsidR="009F667A" w:rsidRPr="0082688B">
        <w:rPr>
          <w:sz w:val="24"/>
          <w:szCs w:val="24"/>
          <w:shd w:val="clear" w:color="auto" w:fill="FFFFFF"/>
        </w:rPr>
        <w:t>created</w:t>
      </w:r>
      <w:r w:rsidR="00DA1289" w:rsidRPr="0082688B">
        <w:rPr>
          <w:sz w:val="24"/>
          <w:szCs w:val="24"/>
          <w:shd w:val="clear" w:color="auto" w:fill="FFFFFF"/>
        </w:rPr>
        <w:t xml:space="preserve"> and issued by NMFS and will therefore include an OMB expiration date.  The collection of information requirements for the LOA is </w:t>
      </w:r>
      <w:r w:rsidR="00297E0D">
        <w:rPr>
          <w:sz w:val="24"/>
          <w:szCs w:val="24"/>
          <w:shd w:val="clear" w:color="auto" w:fill="FFFFFF"/>
        </w:rPr>
        <w:t>part of</w:t>
      </w:r>
      <w:r w:rsidR="00DA1289" w:rsidRPr="0082688B">
        <w:rPr>
          <w:sz w:val="24"/>
          <w:szCs w:val="24"/>
          <w:shd w:val="clear" w:color="auto" w:fill="FFFFFF"/>
        </w:rPr>
        <w:t xml:space="preserve"> the 0202 family of forms</w:t>
      </w:r>
      <w:r w:rsidR="002D2DCF">
        <w:rPr>
          <w:rFonts w:ascii="Arial" w:hAnsi="Arial" w:cs="Arial"/>
          <w:color w:val="222222"/>
          <w:shd w:val="clear" w:color="auto" w:fill="FFFFFF"/>
        </w:rPr>
        <w:t xml:space="preserve"> </w:t>
      </w:r>
    </w:p>
    <w:p w:rsidR="002F4D0F" w:rsidRPr="00A2088A" w:rsidRDefault="002F4D0F" w:rsidP="0082688B">
      <w:pPr>
        <w:rPr>
          <w:rFonts w:ascii="Tms Rmn 12pt" w:hAnsi="Tms Rmn 12pt"/>
          <w:sz w:val="24"/>
        </w:rPr>
      </w:pPr>
    </w:p>
    <w:p w:rsidR="002F4D0F" w:rsidRPr="00570F5F" w:rsidRDefault="002F4D0F" w:rsidP="00897D36">
      <w:pPr>
        <w:keepNext/>
        <w:rPr>
          <w:b/>
          <w:sz w:val="24"/>
          <w:u w:val="single"/>
        </w:rPr>
      </w:pPr>
      <w:r w:rsidRPr="00A2088A">
        <w:rPr>
          <w:b/>
          <w:sz w:val="24"/>
        </w:rPr>
        <w:t xml:space="preserve">18.  </w:t>
      </w:r>
      <w:r w:rsidRPr="00A2088A">
        <w:rPr>
          <w:b/>
          <w:sz w:val="24"/>
          <w:u w:val="single"/>
        </w:rPr>
        <w:t>Explain each exception to the certification statement</w:t>
      </w:r>
      <w:r w:rsidRPr="00A2088A">
        <w:rPr>
          <w:b/>
          <w:sz w:val="24"/>
        </w:rPr>
        <w:t>.</w:t>
      </w:r>
    </w:p>
    <w:p w:rsidR="002F4D0F" w:rsidRPr="00A2088A" w:rsidRDefault="002F4D0F" w:rsidP="00897D36">
      <w:pPr>
        <w:keepNext/>
        <w:rPr>
          <w:rFonts w:ascii="Tms Rmn 12pt" w:hAnsi="Tms Rmn 12pt"/>
          <w:sz w:val="24"/>
        </w:rPr>
      </w:pPr>
    </w:p>
    <w:p w:rsidR="002F4D0F" w:rsidRDefault="002F4D0F" w:rsidP="00897D36">
      <w:pPr>
        <w:keepNext/>
        <w:rPr>
          <w:sz w:val="24"/>
        </w:rPr>
      </w:pPr>
      <w:r w:rsidRPr="00A2088A">
        <w:rPr>
          <w:sz w:val="24"/>
        </w:rPr>
        <w:t>There are no exceptions.</w:t>
      </w:r>
    </w:p>
    <w:p w:rsidR="00897D36" w:rsidRDefault="00897D36" w:rsidP="0082688B">
      <w:pPr>
        <w:rPr>
          <w:sz w:val="24"/>
        </w:rPr>
      </w:pPr>
    </w:p>
    <w:p w:rsidR="00897D36" w:rsidRPr="00A2088A" w:rsidRDefault="00897D36" w:rsidP="0082688B">
      <w:pPr>
        <w:rPr>
          <w:sz w:val="24"/>
        </w:rPr>
      </w:pPr>
    </w:p>
    <w:p w:rsidR="002F4D0F" w:rsidRPr="00A2088A" w:rsidRDefault="002F4D0F" w:rsidP="00143509">
      <w:pPr>
        <w:keepNext/>
        <w:rPr>
          <w:sz w:val="24"/>
        </w:rPr>
      </w:pPr>
      <w:r w:rsidRPr="00A2088A">
        <w:rPr>
          <w:b/>
          <w:sz w:val="24"/>
        </w:rPr>
        <w:lastRenderedPageBreak/>
        <w:t>B.  COLLECTIONS OF INFORMATION EMPLOYING STATISTICAL METHODS</w:t>
      </w:r>
    </w:p>
    <w:p w:rsidR="002F4D0F" w:rsidRPr="00A2088A" w:rsidRDefault="002F4D0F" w:rsidP="00143509">
      <w:pPr>
        <w:keepNext/>
        <w:rPr>
          <w:sz w:val="24"/>
        </w:rPr>
      </w:pPr>
    </w:p>
    <w:p w:rsidR="002F4D0F" w:rsidRDefault="002F4D0F" w:rsidP="00143509">
      <w:pPr>
        <w:keepNext/>
        <w:rPr>
          <w:sz w:val="24"/>
        </w:rPr>
      </w:pPr>
      <w:r w:rsidRPr="00A2088A">
        <w:rPr>
          <w:sz w:val="24"/>
        </w:rPr>
        <w:t>This collection does not employ statistical methods.</w:t>
      </w:r>
    </w:p>
    <w:p w:rsidR="002F4D0F" w:rsidRDefault="002F4D0F" w:rsidP="0082688B"/>
    <w:sectPr w:rsidR="002F4D0F" w:rsidSect="00143509">
      <w:footerReference w:type="default" r:id="rId16"/>
      <w:footnotePr>
        <w:pos w:val="beneathText"/>
      </w:footnotePr>
      <w:type w:val="continuous"/>
      <w:pgSz w:w="12240" w:h="15840" w:code="1"/>
      <w:pgMar w:top="1440" w:right="1440" w:bottom="1440" w:left="1440" w:header="144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3FE" w:rsidRDefault="00F213FE" w:rsidP="00221E9E">
      <w:r>
        <w:separator/>
      </w:r>
    </w:p>
  </w:endnote>
  <w:endnote w:type="continuationSeparator" w:id="0">
    <w:p w:rsidR="00F213FE" w:rsidRDefault="00F213FE" w:rsidP="0022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ms Rmn 12pt">
    <w:altName w:val="Times New Roman"/>
    <w:panose1 w:val="00000000000000000000"/>
    <w:charset w:val="00"/>
    <w:family w:val="swiss"/>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E9E" w:rsidRDefault="00221E9E">
    <w:pPr>
      <w:pStyle w:val="Footer"/>
      <w:jc w:val="center"/>
    </w:pPr>
    <w:r>
      <w:fldChar w:fldCharType="begin"/>
    </w:r>
    <w:r>
      <w:instrText xml:space="preserve"> PAGE   \* MERGEFORMAT </w:instrText>
    </w:r>
    <w:r>
      <w:fldChar w:fldCharType="separate"/>
    </w:r>
    <w:r w:rsidR="00897D36">
      <w:rPr>
        <w:noProof/>
      </w:rPr>
      <w:t>1</w:t>
    </w:r>
    <w:r>
      <w:rPr>
        <w:noProof/>
      </w:rPr>
      <w:fldChar w:fldCharType="end"/>
    </w:r>
  </w:p>
  <w:p w:rsidR="00221E9E" w:rsidRDefault="00221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3FE" w:rsidRDefault="00F213FE" w:rsidP="00221E9E">
      <w:r>
        <w:separator/>
      </w:r>
    </w:p>
  </w:footnote>
  <w:footnote w:type="continuationSeparator" w:id="0">
    <w:p w:rsidR="00F213FE" w:rsidRDefault="00F213FE" w:rsidP="00221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5339"/>
    <w:multiLevelType w:val="hybridMultilevel"/>
    <w:tmpl w:val="8514C048"/>
    <w:lvl w:ilvl="0" w:tplc="FFEED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235AC"/>
    <w:multiLevelType w:val="hybridMultilevel"/>
    <w:tmpl w:val="C56A23AA"/>
    <w:lvl w:ilvl="0" w:tplc="A8DCA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5A2016"/>
    <w:multiLevelType w:val="hybridMultilevel"/>
    <w:tmpl w:val="34EA53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5C"/>
    <w:rsid w:val="0000759E"/>
    <w:rsid w:val="00027CD6"/>
    <w:rsid w:val="00036A5C"/>
    <w:rsid w:val="00061483"/>
    <w:rsid w:val="00061EFD"/>
    <w:rsid w:val="00063441"/>
    <w:rsid w:val="00095C82"/>
    <w:rsid w:val="000A6056"/>
    <w:rsid w:val="000B1B76"/>
    <w:rsid w:val="000B5190"/>
    <w:rsid w:val="000D449F"/>
    <w:rsid w:val="000E007C"/>
    <w:rsid w:val="000E1F67"/>
    <w:rsid w:val="000F0C0F"/>
    <w:rsid w:val="0010719A"/>
    <w:rsid w:val="0011380C"/>
    <w:rsid w:val="00114B89"/>
    <w:rsid w:val="00114FD3"/>
    <w:rsid w:val="00130579"/>
    <w:rsid w:val="00130D4B"/>
    <w:rsid w:val="00135F66"/>
    <w:rsid w:val="00143509"/>
    <w:rsid w:val="00152597"/>
    <w:rsid w:val="00157693"/>
    <w:rsid w:val="00162219"/>
    <w:rsid w:val="00162D27"/>
    <w:rsid w:val="001677D9"/>
    <w:rsid w:val="001709D6"/>
    <w:rsid w:val="00172DF3"/>
    <w:rsid w:val="001A0EAF"/>
    <w:rsid w:val="001B1FCE"/>
    <w:rsid w:val="001B4704"/>
    <w:rsid w:val="001B5BD4"/>
    <w:rsid w:val="001B61CA"/>
    <w:rsid w:val="001F6F13"/>
    <w:rsid w:val="00221E9E"/>
    <w:rsid w:val="00227396"/>
    <w:rsid w:val="0023004F"/>
    <w:rsid w:val="00231B74"/>
    <w:rsid w:val="002324D4"/>
    <w:rsid w:val="00234EF1"/>
    <w:rsid w:val="00237D20"/>
    <w:rsid w:val="00255F54"/>
    <w:rsid w:val="00260DC0"/>
    <w:rsid w:val="00266B2C"/>
    <w:rsid w:val="002877B5"/>
    <w:rsid w:val="00290DBD"/>
    <w:rsid w:val="00292262"/>
    <w:rsid w:val="00292880"/>
    <w:rsid w:val="00297E0D"/>
    <w:rsid w:val="002A4C89"/>
    <w:rsid w:val="002B08EA"/>
    <w:rsid w:val="002B461F"/>
    <w:rsid w:val="002C4737"/>
    <w:rsid w:val="002C548E"/>
    <w:rsid w:val="002D2DCF"/>
    <w:rsid w:val="002E17FE"/>
    <w:rsid w:val="002E5BD5"/>
    <w:rsid w:val="002F0897"/>
    <w:rsid w:val="002F4D0F"/>
    <w:rsid w:val="00305CD2"/>
    <w:rsid w:val="00334557"/>
    <w:rsid w:val="003366ED"/>
    <w:rsid w:val="0034245D"/>
    <w:rsid w:val="00344541"/>
    <w:rsid w:val="0036469D"/>
    <w:rsid w:val="00376B33"/>
    <w:rsid w:val="0038262A"/>
    <w:rsid w:val="0038732D"/>
    <w:rsid w:val="00394E8C"/>
    <w:rsid w:val="003A7609"/>
    <w:rsid w:val="003B6C7C"/>
    <w:rsid w:val="003D373D"/>
    <w:rsid w:val="003D518C"/>
    <w:rsid w:val="003E05DE"/>
    <w:rsid w:val="003E5D3B"/>
    <w:rsid w:val="003F574E"/>
    <w:rsid w:val="003F676A"/>
    <w:rsid w:val="004024C7"/>
    <w:rsid w:val="00412876"/>
    <w:rsid w:val="00452A45"/>
    <w:rsid w:val="004631EC"/>
    <w:rsid w:val="004669F7"/>
    <w:rsid w:val="00472B5B"/>
    <w:rsid w:val="004802DF"/>
    <w:rsid w:val="004847BB"/>
    <w:rsid w:val="00484F79"/>
    <w:rsid w:val="00492803"/>
    <w:rsid w:val="00497ABC"/>
    <w:rsid w:val="004A7703"/>
    <w:rsid w:val="004B1F20"/>
    <w:rsid w:val="004B21FF"/>
    <w:rsid w:val="004B504B"/>
    <w:rsid w:val="004C5123"/>
    <w:rsid w:val="004F4559"/>
    <w:rsid w:val="004F7366"/>
    <w:rsid w:val="0051374E"/>
    <w:rsid w:val="00520619"/>
    <w:rsid w:val="00526230"/>
    <w:rsid w:val="00530526"/>
    <w:rsid w:val="00540DA8"/>
    <w:rsid w:val="00550503"/>
    <w:rsid w:val="0055431E"/>
    <w:rsid w:val="005563E7"/>
    <w:rsid w:val="005611CE"/>
    <w:rsid w:val="00564D00"/>
    <w:rsid w:val="005669E8"/>
    <w:rsid w:val="00570F5F"/>
    <w:rsid w:val="005717F8"/>
    <w:rsid w:val="005850EC"/>
    <w:rsid w:val="00587CDE"/>
    <w:rsid w:val="00591A60"/>
    <w:rsid w:val="00595F64"/>
    <w:rsid w:val="00596C93"/>
    <w:rsid w:val="00597A47"/>
    <w:rsid w:val="005A4B68"/>
    <w:rsid w:val="005B0DE7"/>
    <w:rsid w:val="005B55FA"/>
    <w:rsid w:val="005C18EA"/>
    <w:rsid w:val="005C7F04"/>
    <w:rsid w:val="005D2834"/>
    <w:rsid w:val="005D41DC"/>
    <w:rsid w:val="005D54A0"/>
    <w:rsid w:val="005F25E0"/>
    <w:rsid w:val="005F704A"/>
    <w:rsid w:val="006060D6"/>
    <w:rsid w:val="00622134"/>
    <w:rsid w:val="006256D1"/>
    <w:rsid w:val="00627791"/>
    <w:rsid w:val="00640E1D"/>
    <w:rsid w:val="00643BF9"/>
    <w:rsid w:val="00652CA2"/>
    <w:rsid w:val="00654562"/>
    <w:rsid w:val="00663512"/>
    <w:rsid w:val="00666CCC"/>
    <w:rsid w:val="0066799A"/>
    <w:rsid w:val="0067578C"/>
    <w:rsid w:val="006765FE"/>
    <w:rsid w:val="00685BE1"/>
    <w:rsid w:val="006A3BD3"/>
    <w:rsid w:val="006A5EA5"/>
    <w:rsid w:val="006B1CE6"/>
    <w:rsid w:val="006B4CA5"/>
    <w:rsid w:val="006F673D"/>
    <w:rsid w:val="007102D7"/>
    <w:rsid w:val="00714C96"/>
    <w:rsid w:val="00724372"/>
    <w:rsid w:val="00740EEF"/>
    <w:rsid w:val="00752FB6"/>
    <w:rsid w:val="007539A1"/>
    <w:rsid w:val="007622DC"/>
    <w:rsid w:val="00775670"/>
    <w:rsid w:val="007875E9"/>
    <w:rsid w:val="00794627"/>
    <w:rsid w:val="007A7E30"/>
    <w:rsid w:val="007B1918"/>
    <w:rsid w:val="007C1218"/>
    <w:rsid w:val="007D0B06"/>
    <w:rsid w:val="007D4A49"/>
    <w:rsid w:val="007E1D17"/>
    <w:rsid w:val="007E6373"/>
    <w:rsid w:val="007E7139"/>
    <w:rsid w:val="007F0454"/>
    <w:rsid w:val="007F139F"/>
    <w:rsid w:val="007F6075"/>
    <w:rsid w:val="00801266"/>
    <w:rsid w:val="00811ABA"/>
    <w:rsid w:val="0082688B"/>
    <w:rsid w:val="0084221F"/>
    <w:rsid w:val="008462DC"/>
    <w:rsid w:val="008473C8"/>
    <w:rsid w:val="00853547"/>
    <w:rsid w:val="008845B9"/>
    <w:rsid w:val="00887F62"/>
    <w:rsid w:val="008921C7"/>
    <w:rsid w:val="00893448"/>
    <w:rsid w:val="00897D36"/>
    <w:rsid w:val="008A03AB"/>
    <w:rsid w:val="008A6A80"/>
    <w:rsid w:val="008A7347"/>
    <w:rsid w:val="008A76D0"/>
    <w:rsid w:val="008B2DC7"/>
    <w:rsid w:val="008C0632"/>
    <w:rsid w:val="008C681B"/>
    <w:rsid w:val="008C70FE"/>
    <w:rsid w:val="008E760A"/>
    <w:rsid w:val="008F4638"/>
    <w:rsid w:val="009218A9"/>
    <w:rsid w:val="00941F6F"/>
    <w:rsid w:val="00945334"/>
    <w:rsid w:val="00945E64"/>
    <w:rsid w:val="009620D3"/>
    <w:rsid w:val="0098468F"/>
    <w:rsid w:val="00992537"/>
    <w:rsid w:val="009954EA"/>
    <w:rsid w:val="009A03B0"/>
    <w:rsid w:val="009B514C"/>
    <w:rsid w:val="009B7EE9"/>
    <w:rsid w:val="009C1CDA"/>
    <w:rsid w:val="009C5307"/>
    <w:rsid w:val="009F00B8"/>
    <w:rsid w:val="009F409A"/>
    <w:rsid w:val="009F5A1E"/>
    <w:rsid w:val="009F667A"/>
    <w:rsid w:val="00A01012"/>
    <w:rsid w:val="00A04DA2"/>
    <w:rsid w:val="00A2088A"/>
    <w:rsid w:val="00A24334"/>
    <w:rsid w:val="00A41360"/>
    <w:rsid w:val="00A43DD5"/>
    <w:rsid w:val="00A66490"/>
    <w:rsid w:val="00A75781"/>
    <w:rsid w:val="00A83A5D"/>
    <w:rsid w:val="00A93AF6"/>
    <w:rsid w:val="00AA433D"/>
    <w:rsid w:val="00AA704F"/>
    <w:rsid w:val="00AB1A76"/>
    <w:rsid w:val="00AB4752"/>
    <w:rsid w:val="00AD4B75"/>
    <w:rsid w:val="00AD516E"/>
    <w:rsid w:val="00AD674A"/>
    <w:rsid w:val="00B168E6"/>
    <w:rsid w:val="00B21045"/>
    <w:rsid w:val="00B32CCB"/>
    <w:rsid w:val="00B34EF4"/>
    <w:rsid w:val="00B438C8"/>
    <w:rsid w:val="00B45FEA"/>
    <w:rsid w:val="00B51793"/>
    <w:rsid w:val="00B52415"/>
    <w:rsid w:val="00B540EE"/>
    <w:rsid w:val="00B573D0"/>
    <w:rsid w:val="00B61305"/>
    <w:rsid w:val="00B66F50"/>
    <w:rsid w:val="00B77E49"/>
    <w:rsid w:val="00B82D11"/>
    <w:rsid w:val="00BA037A"/>
    <w:rsid w:val="00BA179F"/>
    <w:rsid w:val="00BA1993"/>
    <w:rsid w:val="00BA7700"/>
    <w:rsid w:val="00BB0646"/>
    <w:rsid w:val="00BB20AA"/>
    <w:rsid w:val="00BC2050"/>
    <w:rsid w:val="00BC5780"/>
    <w:rsid w:val="00BD51BC"/>
    <w:rsid w:val="00BE14A8"/>
    <w:rsid w:val="00C00123"/>
    <w:rsid w:val="00C01F7E"/>
    <w:rsid w:val="00C04248"/>
    <w:rsid w:val="00C11FBA"/>
    <w:rsid w:val="00C14ADD"/>
    <w:rsid w:val="00C24034"/>
    <w:rsid w:val="00C65A79"/>
    <w:rsid w:val="00C67F66"/>
    <w:rsid w:val="00C73E2A"/>
    <w:rsid w:val="00C776F2"/>
    <w:rsid w:val="00C952EB"/>
    <w:rsid w:val="00CA69C1"/>
    <w:rsid w:val="00CA7E7E"/>
    <w:rsid w:val="00CD2640"/>
    <w:rsid w:val="00CD6EB9"/>
    <w:rsid w:val="00CE179D"/>
    <w:rsid w:val="00CE2059"/>
    <w:rsid w:val="00CE6046"/>
    <w:rsid w:val="00D00680"/>
    <w:rsid w:val="00D10566"/>
    <w:rsid w:val="00D17894"/>
    <w:rsid w:val="00D22408"/>
    <w:rsid w:val="00D362AD"/>
    <w:rsid w:val="00D4534D"/>
    <w:rsid w:val="00D464CA"/>
    <w:rsid w:val="00D46BC1"/>
    <w:rsid w:val="00D47291"/>
    <w:rsid w:val="00D560A9"/>
    <w:rsid w:val="00D57E6E"/>
    <w:rsid w:val="00D62405"/>
    <w:rsid w:val="00D760F8"/>
    <w:rsid w:val="00D836E8"/>
    <w:rsid w:val="00D84AE1"/>
    <w:rsid w:val="00D90A0E"/>
    <w:rsid w:val="00D93367"/>
    <w:rsid w:val="00DA1289"/>
    <w:rsid w:val="00DA3457"/>
    <w:rsid w:val="00DA6041"/>
    <w:rsid w:val="00DA74AD"/>
    <w:rsid w:val="00DB25AC"/>
    <w:rsid w:val="00DB27DD"/>
    <w:rsid w:val="00DC4D3F"/>
    <w:rsid w:val="00DD08CD"/>
    <w:rsid w:val="00DD3905"/>
    <w:rsid w:val="00DD7017"/>
    <w:rsid w:val="00E02850"/>
    <w:rsid w:val="00E143E6"/>
    <w:rsid w:val="00E2217F"/>
    <w:rsid w:val="00E41691"/>
    <w:rsid w:val="00E42241"/>
    <w:rsid w:val="00E429CA"/>
    <w:rsid w:val="00E7385D"/>
    <w:rsid w:val="00E765CC"/>
    <w:rsid w:val="00E805E8"/>
    <w:rsid w:val="00E87E3F"/>
    <w:rsid w:val="00E905D3"/>
    <w:rsid w:val="00E92E92"/>
    <w:rsid w:val="00EA105B"/>
    <w:rsid w:val="00ED3AF5"/>
    <w:rsid w:val="00EE12A5"/>
    <w:rsid w:val="00EE1DDA"/>
    <w:rsid w:val="00EE4809"/>
    <w:rsid w:val="00EF5FF0"/>
    <w:rsid w:val="00F01CFE"/>
    <w:rsid w:val="00F03C79"/>
    <w:rsid w:val="00F16A4A"/>
    <w:rsid w:val="00F173F8"/>
    <w:rsid w:val="00F213FE"/>
    <w:rsid w:val="00F237F3"/>
    <w:rsid w:val="00F456D4"/>
    <w:rsid w:val="00F51302"/>
    <w:rsid w:val="00F55C48"/>
    <w:rsid w:val="00F70506"/>
    <w:rsid w:val="00F728FD"/>
    <w:rsid w:val="00F8296F"/>
    <w:rsid w:val="00F948EC"/>
    <w:rsid w:val="00FC5095"/>
    <w:rsid w:val="00FC75E8"/>
    <w:rsid w:val="00FD25ED"/>
    <w:rsid w:val="00FD2F51"/>
    <w:rsid w:val="00FD68CB"/>
    <w:rsid w:val="00FD7BE0"/>
    <w:rsid w:val="00FF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09A"/>
    <w:rPr>
      <w:rFonts w:ascii="Tahoma" w:hAnsi="Tahoma" w:cs="Tahoma"/>
      <w:sz w:val="16"/>
      <w:szCs w:val="16"/>
    </w:rPr>
  </w:style>
  <w:style w:type="character" w:customStyle="1" w:styleId="BalloonTextChar">
    <w:name w:val="Balloon Text Char"/>
    <w:link w:val="BalloonText"/>
    <w:uiPriority w:val="99"/>
    <w:semiHidden/>
    <w:rsid w:val="009F409A"/>
    <w:rPr>
      <w:rFonts w:ascii="Tahoma" w:hAnsi="Tahoma" w:cs="Tahoma"/>
      <w:sz w:val="16"/>
      <w:szCs w:val="16"/>
    </w:rPr>
  </w:style>
  <w:style w:type="character" w:styleId="CommentReference">
    <w:name w:val="annotation reference"/>
    <w:uiPriority w:val="99"/>
    <w:semiHidden/>
    <w:unhideWhenUsed/>
    <w:rsid w:val="0051374E"/>
    <w:rPr>
      <w:sz w:val="16"/>
      <w:szCs w:val="16"/>
    </w:rPr>
  </w:style>
  <w:style w:type="paragraph" w:styleId="CommentText">
    <w:name w:val="annotation text"/>
    <w:basedOn w:val="Normal"/>
    <w:link w:val="CommentTextChar"/>
    <w:uiPriority w:val="99"/>
    <w:unhideWhenUsed/>
    <w:rsid w:val="0051374E"/>
  </w:style>
  <w:style w:type="character" w:customStyle="1" w:styleId="CommentTextChar">
    <w:name w:val="Comment Text Char"/>
    <w:basedOn w:val="DefaultParagraphFont"/>
    <w:link w:val="CommentText"/>
    <w:uiPriority w:val="99"/>
    <w:rsid w:val="0051374E"/>
  </w:style>
  <w:style w:type="paragraph" w:styleId="CommentSubject">
    <w:name w:val="annotation subject"/>
    <w:basedOn w:val="CommentText"/>
    <w:next w:val="CommentText"/>
    <w:link w:val="CommentSubjectChar"/>
    <w:uiPriority w:val="99"/>
    <w:semiHidden/>
    <w:unhideWhenUsed/>
    <w:rsid w:val="0051374E"/>
    <w:rPr>
      <w:b/>
      <w:bCs/>
    </w:rPr>
  </w:style>
  <w:style w:type="character" w:customStyle="1" w:styleId="CommentSubjectChar">
    <w:name w:val="Comment Subject Char"/>
    <w:link w:val="CommentSubject"/>
    <w:uiPriority w:val="99"/>
    <w:semiHidden/>
    <w:rsid w:val="0051374E"/>
    <w:rPr>
      <w:b/>
      <w:bCs/>
    </w:rPr>
  </w:style>
  <w:style w:type="paragraph" w:styleId="FootnoteText">
    <w:name w:val="footnote text"/>
    <w:basedOn w:val="Normal"/>
    <w:semiHidden/>
    <w:rsid w:val="00CD2640"/>
  </w:style>
  <w:style w:type="character" w:styleId="FootnoteReference">
    <w:name w:val="footnote reference"/>
    <w:semiHidden/>
    <w:rsid w:val="00CD2640"/>
    <w:rPr>
      <w:vertAlign w:val="superscript"/>
    </w:rPr>
  </w:style>
  <w:style w:type="character" w:styleId="Hyperlink">
    <w:name w:val="Hyperlink"/>
    <w:uiPriority w:val="99"/>
    <w:unhideWhenUsed/>
    <w:rsid w:val="0010719A"/>
    <w:rPr>
      <w:color w:val="0000FF"/>
      <w:u w:val="single"/>
    </w:rPr>
  </w:style>
  <w:style w:type="paragraph" w:styleId="ListParagraph">
    <w:name w:val="List Paragraph"/>
    <w:basedOn w:val="Normal"/>
    <w:uiPriority w:val="34"/>
    <w:qFormat/>
    <w:rsid w:val="00114B89"/>
    <w:pPr>
      <w:ind w:left="720"/>
    </w:pPr>
  </w:style>
  <w:style w:type="paragraph" w:styleId="Header">
    <w:name w:val="header"/>
    <w:basedOn w:val="Normal"/>
    <w:link w:val="HeaderChar"/>
    <w:uiPriority w:val="99"/>
    <w:unhideWhenUsed/>
    <w:rsid w:val="00221E9E"/>
    <w:pPr>
      <w:tabs>
        <w:tab w:val="center" w:pos="4680"/>
        <w:tab w:val="right" w:pos="9360"/>
      </w:tabs>
    </w:pPr>
  </w:style>
  <w:style w:type="character" w:customStyle="1" w:styleId="HeaderChar">
    <w:name w:val="Header Char"/>
    <w:basedOn w:val="DefaultParagraphFont"/>
    <w:link w:val="Header"/>
    <w:uiPriority w:val="99"/>
    <w:rsid w:val="00221E9E"/>
  </w:style>
  <w:style w:type="paragraph" w:styleId="Footer">
    <w:name w:val="footer"/>
    <w:basedOn w:val="Normal"/>
    <w:link w:val="FooterChar"/>
    <w:uiPriority w:val="99"/>
    <w:unhideWhenUsed/>
    <w:rsid w:val="00221E9E"/>
    <w:pPr>
      <w:tabs>
        <w:tab w:val="center" w:pos="4680"/>
        <w:tab w:val="right" w:pos="9360"/>
      </w:tabs>
    </w:pPr>
  </w:style>
  <w:style w:type="character" w:customStyle="1" w:styleId="FooterChar">
    <w:name w:val="Footer Char"/>
    <w:basedOn w:val="DefaultParagraphFont"/>
    <w:link w:val="Footer"/>
    <w:uiPriority w:val="99"/>
    <w:rsid w:val="00221E9E"/>
  </w:style>
  <w:style w:type="character" w:styleId="FollowedHyperlink">
    <w:name w:val="FollowedHyperlink"/>
    <w:uiPriority w:val="99"/>
    <w:semiHidden/>
    <w:unhideWhenUsed/>
    <w:rsid w:val="00540DA8"/>
    <w:rPr>
      <w:color w:val="800080"/>
      <w:u w:val="single"/>
    </w:rPr>
  </w:style>
  <w:style w:type="paragraph" w:styleId="Caption">
    <w:name w:val="caption"/>
    <w:basedOn w:val="Normal"/>
    <w:next w:val="Normal"/>
    <w:uiPriority w:val="35"/>
    <w:unhideWhenUsed/>
    <w:qFormat/>
    <w:rsid w:val="00BA1993"/>
    <w:rPr>
      <w:b/>
      <w:bCs/>
    </w:rPr>
  </w:style>
  <w:style w:type="paragraph" w:styleId="EndnoteText">
    <w:name w:val="endnote text"/>
    <w:basedOn w:val="Normal"/>
    <w:link w:val="EndnoteTextChar"/>
    <w:uiPriority w:val="99"/>
    <w:semiHidden/>
    <w:unhideWhenUsed/>
    <w:rsid w:val="00143509"/>
  </w:style>
  <w:style w:type="character" w:customStyle="1" w:styleId="EndnoteTextChar">
    <w:name w:val="Endnote Text Char"/>
    <w:basedOn w:val="DefaultParagraphFont"/>
    <w:link w:val="EndnoteText"/>
    <w:uiPriority w:val="99"/>
    <w:semiHidden/>
    <w:rsid w:val="00143509"/>
  </w:style>
  <w:style w:type="character" w:styleId="EndnoteReference">
    <w:name w:val="endnote reference"/>
    <w:basedOn w:val="DefaultParagraphFont"/>
    <w:uiPriority w:val="99"/>
    <w:semiHidden/>
    <w:unhideWhenUsed/>
    <w:rsid w:val="001435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09A"/>
    <w:rPr>
      <w:rFonts w:ascii="Tahoma" w:hAnsi="Tahoma" w:cs="Tahoma"/>
      <w:sz w:val="16"/>
      <w:szCs w:val="16"/>
    </w:rPr>
  </w:style>
  <w:style w:type="character" w:customStyle="1" w:styleId="BalloonTextChar">
    <w:name w:val="Balloon Text Char"/>
    <w:link w:val="BalloonText"/>
    <w:uiPriority w:val="99"/>
    <w:semiHidden/>
    <w:rsid w:val="009F409A"/>
    <w:rPr>
      <w:rFonts w:ascii="Tahoma" w:hAnsi="Tahoma" w:cs="Tahoma"/>
      <w:sz w:val="16"/>
      <w:szCs w:val="16"/>
    </w:rPr>
  </w:style>
  <w:style w:type="character" w:styleId="CommentReference">
    <w:name w:val="annotation reference"/>
    <w:uiPriority w:val="99"/>
    <w:semiHidden/>
    <w:unhideWhenUsed/>
    <w:rsid w:val="0051374E"/>
    <w:rPr>
      <w:sz w:val="16"/>
      <w:szCs w:val="16"/>
    </w:rPr>
  </w:style>
  <w:style w:type="paragraph" w:styleId="CommentText">
    <w:name w:val="annotation text"/>
    <w:basedOn w:val="Normal"/>
    <w:link w:val="CommentTextChar"/>
    <w:uiPriority w:val="99"/>
    <w:unhideWhenUsed/>
    <w:rsid w:val="0051374E"/>
  </w:style>
  <w:style w:type="character" w:customStyle="1" w:styleId="CommentTextChar">
    <w:name w:val="Comment Text Char"/>
    <w:basedOn w:val="DefaultParagraphFont"/>
    <w:link w:val="CommentText"/>
    <w:uiPriority w:val="99"/>
    <w:rsid w:val="0051374E"/>
  </w:style>
  <w:style w:type="paragraph" w:styleId="CommentSubject">
    <w:name w:val="annotation subject"/>
    <w:basedOn w:val="CommentText"/>
    <w:next w:val="CommentText"/>
    <w:link w:val="CommentSubjectChar"/>
    <w:uiPriority w:val="99"/>
    <w:semiHidden/>
    <w:unhideWhenUsed/>
    <w:rsid w:val="0051374E"/>
    <w:rPr>
      <w:b/>
      <w:bCs/>
    </w:rPr>
  </w:style>
  <w:style w:type="character" w:customStyle="1" w:styleId="CommentSubjectChar">
    <w:name w:val="Comment Subject Char"/>
    <w:link w:val="CommentSubject"/>
    <w:uiPriority w:val="99"/>
    <w:semiHidden/>
    <w:rsid w:val="0051374E"/>
    <w:rPr>
      <w:b/>
      <w:bCs/>
    </w:rPr>
  </w:style>
  <w:style w:type="paragraph" w:styleId="FootnoteText">
    <w:name w:val="footnote text"/>
    <w:basedOn w:val="Normal"/>
    <w:semiHidden/>
    <w:rsid w:val="00CD2640"/>
  </w:style>
  <w:style w:type="character" w:styleId="FootnoteReference">
    <w:name w:val="footnote reference"/>
    <w:semiHidden/>
    <w:rsid w:val="00CD2640"/>
    <w:rPr>
      <w:vertAlign w:val="superscript"/>
    </w:rPr>
  </w:style>
  <w:style w:type="character" w:styleId="Hyperlink">
    <w:name w:val="Hyperlink"/>
    <w:uiPriority w:val="99"/>
    <w:unhideWhenUsed/>
    <w:rsid w:val="0010719A"/>
    <w:rPr>
      <w:color w:val="0000FF"/>
      <w:u w:val="single"/>
    </w:rPr>
  </w:style>
  <w:style w:type="paragraph" w:styleId="ListParagraph">
    <w:name w:val="List Paragraph"/>
    <w:basedOn w:val="Normal"/>
    <w:uiPriority w:val="34"/>
    <w:qFormat/>
    <w:rsid w:val="00114B89"/>
    <w:pPr>
      <w:ind w:left="720"/>
    </w:pPr>
  </w:style>
  <w:style w:type="paragraph" w:styleId="Header">
    <w:name w:val="header"/>
    <w:basedOn w:val="Normal"/>
    <w:link w:val="HeaderChar"/>
    <w:uiPriority w:val="99"/>
    <w:unhideWhenUsed/>
    <w:rsid w:val="00221E9E"/>
    <w:pPr>
      <w:tabs>
        <w:tab w:val="center" w:pos="4680"/>
        <w:tab w:val="right" w:pos="9360"/>
      </w:tabs>
    </w:pPr>
  </w:style>
  <w:style w:type="character" w:customStyle="1" w:styleId="HeaderChar">
    <w:name w:val="Header Char"/>
    <w:basedOn w:val="DefaultParagraphFont"/>
    <w:link w:val="Header"/>
    <w:uiPriority w:val="99"/>
    <w:rsid w:val="00221E9E"/>
  </w:style>
  <w:style w:type="paragraph" w:styleId="Footer">
    <w:name w:val="footer"/>
    <w:basedOn w:val="Normal"/>
    <w:link w:val="FooterChar"/>
    <w:uiPriority w:val="99"/>
    <w:unhideWhenUsed/>
    <w:rsid w:val="00221E9E"/>
    <w:pPr>
      <w:tabs>
        <w:tab w:val="center" w:pos="4680"/>
        <w:tab w:val="right" w:pos="9360"/>
      </w:tabs>
    </w:pPr>
  </w:style>
  <w:style w:type="character" w:customStyle="1" w:styleId="FooterChar">
    <w:name w:val="Footer Char"/>
    <w:basedOn w:val="DefaultParagraphFont"/>
    <w:link w:val="Footer"/>
    <w:uiPriority w:val="99"/>
    <w:rsid w:val="00221E9E"/>
  </w:style>
  <w:style w:type="character" w:styleId="FollowedHyperlink">
    <w:name w:val="FollowedHyperlink"/>
    <w:uiPriority w:val="99"/>
    <w:semiHidden/>
    <w:unhideWhenUsed/>
    <w:rsid w:val="00540DA8"/>
    <w:rPr>
      <w:color w:val="800080"/>
      <w:u w:val="single"/>
    </w:rPr>
  </w:style>
  <w:style w:type="paragraph" w:styleId="Caption">
    <w:name w:val="caption"/>
    <w:basedOn w:val="Normal"/>
    <w:next w:val="Normal"/>
    <w:uiPriority w:val="35"/>
    <w:unhideWhenUsed/>
    <w:qFormat/>
    <w:rsid w:val="00BA1993"/>
    <w:rPr>
      <w:b/>
      <w:bCs/>
    </w:rPr>
  </w:style>
  <w:style w:type="paragraph" w:styleId="EndnoteText">
    <w:name w:val="endnote text"/>
    <w:basedOn w:val="Normal"/>
    <w:link w:val="EndnoteTextChar"/>
    <w:uiPriority w:val="99"/>
    <w:semiHidden/>
    <w:unhideWhenUsed/>
    <w:rsid w:val="00143509"/>
  </w:style>
  <w:style w:type="character" w:customStyle="1" w:styleId="EndnoteTextChar">
    <w:name w:val="Endnote Text Char"/>
    <w:basedOn w:val="DefaultParagraphFont"/>
    <w:link w:val="EndnoteText"/>
    <w:uiPriority w:val="99"/>
    <w:semiHidden/>
    <w:rsid w:val="00143509"/>
  </w:style>
  <w:style w:type="character" w:styleId="EndnoteReference">
    <w:name w:val="endnote reference"/>
    <w:basedOn w:val="DefaultParagraphFont"/>
    <w:uiPriority w:val="99"/>
    <w:semiHidden/>
    <w:unhideWhenUsed/>
    <w:rsid w:val="00143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eateratlantic.fisheries.noaa.gov/regs/2015/August/15clamitqpranotic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eateratlantic.fisheries.noaa.gov/sfd/clams/ApprovedProtoco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eateratlantic.fisheries.noaa.gov/aps/forms.html" TargetMode="External"/><Relationship Id="rId5" Type="http://schemas.openxmlformats.org/officeDocument/2006/relationships/settings" Target="settings.xml"/><Relationship Id="rId15" Type="http://schemas.openxmlformats.org/officeDocument/2006/relationships/hyperlink" Target="http://www.mafmc.org/briefing/october-2015" TargetMode="Externa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mafmc.org/briefing/august-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AC2BD-FFEC-4284-8ADD-412613E0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6394</Words>
  <Characters>35333</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41644</CharactersWithSpaces>
  <SharedDoc>false</SharedDoc>
  <HLinks>
    <vt:vector size="18" baseType="variant">
      <vt:variant>
        <vt:i4>3014709</vt:i4>
      </vt:variant>
      <vt:variant>
        <vt:i4>8</vt:i4>
      </vt:variant>
      <vt:variant>
        <vt:i4>0</vt:i4>
      </vt:variant>
      <vt:variant>
        <vt:i4>5</vt:i4>
      </vt:variant>
      <vt:variant>
        <vt:lpwstr>http://www.nero.noaa.gov/sfd/clams/ApprovedProtocol.pdf</vt:lpwstr>
      </vt:variant>
      <vt:variant>
        <vt:lpwstr/>
      </vt:variant>
      <vt:variant>
        <vt:i4>852034</vt:i4>
      </vt:variant>
      <vt:variant>
        <vt:i4>5</vt:i4>
      </vt:variant>
      <vt:variant>
        <vt:i4>0</vt:i4>
      </vt:variant>
      <vt:variant>
        <vt:i4>5</vt:i4>
      </vt:variant>
      <vt:variant>
        <vt:lpwstr>http://www.fws.gov/informationquality/section515.html</vt:lpwstr>
      </vt:variant>
      <vt:variant>
        <vt:lpwstr/>
      </vt:variant>
      <vt:variant>
        <vt:i4>7012390</vt:i4>
      </vt:variant>
      <vt:variant>
        <vt:i4>2</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BHOOKER</dc:creator>
  <cp:lastModifiedBy>Karilyn_Smith</cp:lastModifiedBy>
  <cp:revision>5</cp:revision>
  <cp:lastPrinted>2015-12-02T15:44:00Z</cp:lastPrinted>
  <dcterms:created xsi:type="dcterms:W3CDTF">2015-12-01T18:37:00Z</dcterms:created>
  <dcterms:modified xsi:type="dcterms:W3CDTF">2015-12-02T15:45:00Z</dcterms:modified>
</cp:coreProperties>
</file>