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FFE" w:rsidRPr="00470AA7" w:rsidRDefault="00CF57BA" w:rsidP="006D7C9B">
      <w:pPr>
        <w:ind w:left="-360"/>
        <w:rPr>
          <w:rFonts w:ascii="Arial" w:hAnsi="Arial" w:cs="Arial"/>
          <w:b/>
          <w:sz w:val="28"/>
        </w:rPr>
      </w:pPr>
      <w:bookmarkStart w:id="0" w:name="_GoBack"/>
      <w:bookmarkEnd w:id="0"/>
      <w:r>
        <w:rPr>
          <w:rFonts w:ascii="Arial" w:hAnsi="Arial" w:cs="Arial"/>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315pt;margin-top:-13.8pt;width:183.4pt;height:107.05pt;z-index:251657728;mso-wrap-style:none" filled="f" stroked="f">
            <v:textbox style="mso-next-textbox:#_x0000_s1026;mso-fit-shape-to-text:t">
              <w:txbxContent>
                <w:p w:rsidR="002C653D" w:rsidRPr="003930F9" w:rsidRDefault="002C653D" w:rsidP="005E1FFE">
                  <w:pPr>
                    <w:ind w:left="360"/>
                    <w:jc w:val="right"/>
                    <w:rPr>
                      <w:rFonts w:ascii="Arial" w:hAnsi="Arial" w:cs="Arial"/>
                    </w:rPr>
                  </w:pPr>
                  <w:r>
                    <w:rPr>
                      <w:rFonts w:ascii="Arial" w:hAnsi="Arial" w:cs="Arial"/>
                      <w:noProof/>
                    </w:rPr>
                    <w:drawing>
                      <wp:inline distT="0" distB="0" distL="0" distR="0">
                        <wp:extent cx="1914525" cy="1266825"/>
                        <wp:effectExtent l="19050" t="0" r="9525" b="0"/>
                        <wp:docPr id="1" name="Picture 1" descr="Fact she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t sheet logo"/>
                                <pic:cNvPicPr>
                                  <a:picLocks noChangeAspect="1" noChangeArrowheads="1"/>
                                </pic:cNvPicPr>
                              </pic:nvPicPr>
                              <pic:blipFill>
                                <a:blip r:embed="rId7"/>
                                <a:srcRect/>
                                <a:stretch>
                                  <a:fillRect/>
                                </a:stretch>
                              </pic:blipFill>
                              <pic:spPr bwMode="auto">
                                <a:xfrm>
                                  <a:off x="0" y="0"/>
                                  <a:ext cx="1914525" cy="1266825"/>
                                </a:xfrm>
                                <a:prstGeom prst="rect">
                                  <a:avLst/>
                                </a:prstGeom>
                                <a:noFill/>
                                <a:ln w="9525">
                                  <a:noFill/>
                                  <a:miter lim="800000"/>
                                  <a:headEnd/>
                                  <a:tailEnd/>
                                </a:ln>
                              </pic:spPr>
                            </pic:pic>
                          </a:graphicData>
                        </a:graphic>
                      </wp:inline>
                    </w:drawing>
                  </w:r>
                </w:p>
              </w:txbxContent>
            </v:textbox>
            <w10:wrap type="square"/>
          </v:shape>
        </w:pict>
      </w:r>
      <w:r w:rsidR="005E1FFE" w:rsidRPr="00470AA7">
        <w:rPr>
          <w:rFonts w:ascii="Arial" w:hAnsi="Arial" w:cs="Arial"/>
          <w:b/>
          <w:sz w:val="28"/>
        </w:rPr>
        <w:t>The Millennium Cohort Study</w:t>
      </w:r>
    </w:p>
    <w:p w:rsidR="004B2C6A" w:rsidRPr="00470AA7" w:rsidRDefault="004B2C6A" w:rsidP="004B2C6A">
      <w:pPr>
        <w:ind w:left="-360"/>
        <w:rPr>
          <w:rFonts w:ascii="Arial" w:hAnsi="Arial" w:cs="Arial"/>
          <w:sz w:val="22"/>
          <w:szCs w:val="22"/>
        </w:rPr>
      </w:pPr>
      <w:smartTag w:uri="urn:schemas-microsoft-com:office:smarttags" w:element="place">
        <w:smartTag w:uri="urn:schemas-microsoft-com:office:smarttags" w:element="PlaceName">
          <w:r w:rsidRPr="00470AA7">
            <w:rPr>
              <w:rFonts w:ascii="Arial" w:hAnsi="Arial" w:cs="Arial"/>
              <w:sz w:val="22"/>
              <w:szCs w:val="22"/>
            </w:rPr>
            <w:t>DoD</w:t>
          </w:r>
        </w:smartTag>
        <w:r w:rsidRPr="00470AA7">
          <w:rPr>
            <w:rFonts w:ascii="Arial" w:hAnsi="Arial" w:cs="Arial"/>
            <w:sz w:val="22"/>
            <w:szCs w:val="22"/>
          </w:rPr>
          <w:t xml:space="preserve"> </w:t>
        </w:r>
        <w:smartTag w:uri="urn:schemas-microsoft-com:office:smarttags" w:element="PlaceType">
          <w:r w:rsidRPr="00470AA7">
            <w:rPr>
              <w:rFonts w:ascii="Arial" w:hAnsi="Arial" w:cs="Arial"/>
              <w:sz w:val="22"/>
              <w:szCs w:val="22"/>
            </w:rPr>
            <w:t>Center</w:t>
          </w:r>
        </w:smartTag>
      </w:smartTag>
      <w:r w:rsidRPr="00470AA7">
        <w:rPr>
          <w:rFonts w:ascii="Arial" w:hAnsi="Arial" w:cs="Arial"/>
          <w:sz w:val="22"/>
          <w:szCs w:val="22"/>
        </w:rPr>
        <w:t xml:space="preserve"> for Deployment Health Research</w:t>
      </w:r>
    </w:p>
    <w:p w:rsidR="005E1FFE" w:rsidRPr="00470AA7" w:rsidRDefault="005E1FFE" w:rsidP="006D7C9B">
      <w:pPr>
        <w:ind w:left="-360"/>
        <w:rPr>
          <w:rFonts w:ascii="Arial" w:hAnsi="Arial" w:cs="Arial"/>
          <w:sz w:val="22"/>
          <w:szCs w:val="22"/>
          <w:lang w:val="it-IT"/>
        </w:rPr>
      </w:pPr>
      <w:r w:rsidRPr="00470AA7">
        <w:rPr>
          <w:rFonts w:ascii="Arial" w:hAnsi="Arial" w:cs="Arial"/>
          <w:sz w:val="22"/>
          <w:szCs w:val="22"/>
          <w:lang w:val="it-IT"/>
        </w:rPr>
        <w:t>P.O. Box 85777, San Diego, CA 92186-5777</w:t>
      </w:r>
    </w:p>
    <w:p w:rsidR="005E1FFE" w:rsidRPr="00470AA7" w:rsidRDefault="005E1FFE" w:rsidP="006D7C9B">
      <w:pPr>
        <w:ind w:left="-360"/>
        <w:rPr>
          <w:rFonts w:ascii="Arial" w:hAnsi="Arial" w:cs="Arial"/>
          <w:sz w:val="22"/>
          <w:szCs w:val="22"/>
        </w:rPr>
      </w:pPr>
      <w:r w:rsidRPr="00470AA7">
        <w:rPr>
          <w:rFonts w:ascii="Arial" w:hAnsi="Arial" w:cs="Arial"/>
          <w:sz w:val="22"/>
          <w:szCs w:val="22"/>
        </w:rPr>
        <w:t>(888) 942-5222</w:t>
      </w:r>
    </w:p>
    <w:p w:rsidR="005E1FFE" w:rsidRPr="00470AA7" w:rsidRDefault="00CF57BA" w:rsidP="006D7C9B">
      <w:pPr>
        <w:ind w:left="-360"/>
        <w:rPr>
          <w:rFonts w:ascii="Arial" w:hAnsi="Arial" w:cs="Arial"/>
        </w:rPr>
      </w:pPr>
      <w:hyperlink r:id="rId8" w:history="1">
        <w:r w:rsidR="005E1FFE" w:rsidRPr="00470AA7">
          <w:rPr>
            <w:rStyle w:val="Hyperlink"/>
            <w:rFonts w:ascii="Arial" w:hAnsi="Arial" w:cs="Arial"/>
            <w:b/>
          </w:rPr>
          <w:t>www.millenniumcohort.org</w:t>
        </w:r>
      </w:hyperlink>
      <w:r w:rsidR="005E1FFE" w:rsidRPr="00470AA7">
        <w:rPr>
          <w:rFonts w:ascii="Arial" w:hAnsi="Arial" w:cs="Arial"/>
          <w:b/>
        </w:rPr>
        <w:t xml:space="preserve"> </w:t>
      </w:r>
    </w:p>
    <w:p w:rsidR="00221363" w:rsidRPr="00470AA7" w:rsidRDefault="00221363" w:rsidP="006D7C9B">
      <w:pPr>
        <w:ind w:left="1440" w:hanging="1800"/>
        <w:rPr>
          <w:rFonts w:ascii="Arial" w:hAnsi="Arial" w:cs="Arial"/>
          <w:sz w:val="22"/>
          <w:szCs w:val="22"/>
        </w:rPr>
      </w:pPr>
    </w:p>
    <w:p w:rsidR="005E1FFE" w:rsidRPr="00470AA7" w:rsidRDefault="005E1FFE" w:rsidP="006D7C9B">
      <w:pPr>
        <w:ind w:left="1440" w:hanging="1800"/>
        <w:rPr>
          <w:rFonts w:ascii="Arial" w:hAnsi="Arial" w:cs="Arial"/>
          <w:b/>
          <w:sz w:val="22"/>
          <w:szCs w:val="22"/>
        </w:rPr>
      </w:pPr>
    </w:p>
    <w:p w:rsidR="005E1FFE" w:rsidRPr="00470AA7" w:rsidRDefault="005E1FFE" w:rsidP="006D7C9B">
      <w:pPr>
        <w:rPr>
          <w:rFonts w:ascii="Arial" w:hAnsi="Arial" w:cs="Arial"/>
          <w:b/>
          <w:sz w:val="22"/>
          <w:szCs w:val="22"/>
        </w:rPr>
      </w:pPr>
    </w:p>
    <w:p w:rsidR="00696184" w:rsidRPr="00470AA7" w:rsidRDefault="00696184" w:rsidP="006D7C9B">
      <w:pPr>
        <w:ind w:left="1440" w:hanging="1800"/>
        <w:rPr>
          <w:rFonts w:ascii="Arial" w:hAnsi="Arial" w:cs="Arial"/>
          <w:sz w:val="22"/>
          <w:szCs w:val="22"/>
        </w:rPr>
      </w:pPr>
      <w:r w:rsidRPr="00470AA7">
        <w:rPr>
          <w:rFonts w:ascii="Arial" w:hAnsi="Arial" w:cs="Arial"/>
          <w:b/>
          <w:sz w:val="22"/>
          <w:szCs w:val="22"/>
        </w:rPr>
        <w:t xml:space="preserve">Background: </w:t>
      </w:r>
      <w:r w:rsidRPr="00470AA7">
        <w:rPr>
          <w:rFonts w:ascii="Arial" w:hAnsi="Arial" w:cs="Arial"/>
          <w:b/>
          <w:sz w:val="22"/>
          <w:szCs w:val="22"/>
        </w:rPr>
        <w:tab/>
      </w:r>
      <w:r w:rsidRPr="00470AA7">
        <w:rPr>
          <w:rFonts w:ascii="Arial" w:hAnsi="Arial" w:cs="Arial"/>
          <w:sz w:val="22"/>
          <w:szCs w:val="22"/>
        </w:rPr>
        <w:t xml:space="preserve">In the late 1990s, the US Department of Defense and Congress identified the need for coordinated epidemiological research to determine how military occupational exposures, including deployment-related exposures, affect long-term health.  The </w:t>
      </w:r>
      <w:smartTag w:uri="urn:schemas-microsoft-com:office:smarttags" w:element="place">
        <w:smartTag w:uri="urn:schemas-microsoft-com:office:smarttags" w:element="PlaceType">
          <w:r w:rsidRPr="00470AA7">
            <w:rPr>
              <w:rFonts w:ascii="Arial" w:hAnsi="Arial" w:cs="Arial"/>
              <w:sz w:val="22"/>
              <w:szCs w:val="22"/>
            </w:rPr>
            <w:t>Institute</w:t>
          </w:r>
        </w:smartTag>
        <w:r w:rsidRPr="00470AA7">
          <w:rPr>
            <w:rFonts w:ascii="Arial" w:hAnsi="Arial" w:cs="Arial"/>
            <w:sz w:val="22"/>
            <w:szCs w:val="22"/>
          </w:rPr>
          <w:t xml:space="preserve"> of </w:t>
        </w:r>
        <w:smartTag w:uri="urn:schemas-microsoft-com:office:smarttags" w:element="PlaceName">
          <w:r w:rsidRPr="00470AA7">
            <w:rPr>
              <w:rFonts w:ascii="Arial" w:hAnsi="Arial" w:cs="Arial"/>
              <w:sz w:val="22"/>
              <w:szCs w:val="22"/>
            </w:rPr>
            <w:t>Medicine</w:t>
          </w:r>
        </w:smartTag>
      </w:smartTag>
      <w:r w:rsidRPr="00470AA7">
        <w:rPr>
          <w:rFonts w:ascii="Arial" w:hAnsi="Arial" w:cs="Arial"/>
          <w:sz w:val="22"/>
          <w:szCs w:val="22"/>
        </w:rPr>
        <w:t xml:space="preserve"> more specifically defined the importance of a large, prospective study for evaluating exposures and a broad spectrum of important health outcomes.  The Millennium Cohort Study was designed, in collaboration with all military services and the Department of Veterans Affairs, to meet these research challenges.</w:t>
      </w:r>
    </w:p>
    <w:p w:rsidR="00696184" w:rsidRPr="00470AA7" w:rsidRDefault="00696184" w:rsidP="006D7C9B">
      <w:pPr>
        <w:ind w:left="1440" w:hanging="1800"/>
        <w:rPr>
          <w:rFonts w:ascii="Arial" w:hAnsi="Arial" w:cs="Arial"/>
          <w:b/>
          <w:sz w:val="22"/>
          <w:szCs w:val="22"/>
        </w:rPr>
      </w:pPr>
    </w:p>
    <w:p w:rsidR="00696184" w:rsidRPr="00470AA7" w:rsidRDefault="00696184" w:rsidP="006D7C9B">
      <w:pPr>
        <w:ind w:left="1440" w:hanging="1800"/>
        <w:rPr>
          <w:rFonts w:ascii="Arial" w:hAnsi="Arial" w:cs="Arial"/>
          <w:b/>
          <w:sz w:val="22"/>
          <w:szCs w:val="22"/>
        </w:rPr>
      </w:pPr>
      <w:r w:rsidRPr="00470AA7">
        <w:rPr>
          <w:rFonts w:ascii="Arial" w:hAnsi="Arial" w:cs="Arial"/>
          <w:b/>
          <w:sz w:val="22"/>
          <w:szCs w:val="22"/>
        </w:rPr>
        <w:t>Objective:</w:t>
      </w:r>
      <w:r w:rsidRPr="00470AA7">
        <w:rPr>
          <w:rFonts w:ascii="Arial" w:hAnsi="Arial" w:cs="Arial"/>
          <w:b/>
          <w:sz w:val="22"/>
          <w:szCs w:val="22"/>
        </w:rPr>
        <w:tab/>
      </w:r>
      <w:r w:rsidRPr="00470AA7">
        <w:rPr>
          <w:rFonts w:ascii="Arial" w:hAnsi="Arial" w:cs="Arial"/>
          <w:sz w:val="22"/>
          <w:szCs w:val="22"/>
        </w:rPr>
        <w:t>The primary study objective is to evaluate the impact of military service, including deployments and other occupational exposures, on long-term health.  Important health outcomes include all objective diagnoses, as well as subjective measures of symptoms and functional health.</w:t>
      </w:r>
    </w:p>
    <w:p w:rsidR="00696184" w:rsidRPr="00470AA7" w:rsidRDefault="00696184" w:rsidP="006D7C9B">
      <w:pPr>
        <w:ind w:left="1440" w:hanging="1800"/>
        <w:rPr>
          <w:rFonts w:ascii="Arial" w:hAnsi="Arial" w:cs="Arial"/>
          <w:b/>
          <w:sz w:val="22"/>
          <w:szCs w:val="22"/>
        </w:rPr>
      </w:pPr>
    </w:p>
    <w:p w:rsidR="00696184" w:rsidRPr="00470AA7" w:rsidRDefault="00696184" w:rsidP="006D7C9B">
      <w:pPr>
        <w:ind w:left="1440" w:hanging="1800"/>
        <w:rPr>
          <w:rFonts w:ascii="Arial" w:hAnsi="Arial" w:cs="Arial"/>
          <w:b/>
          <w:sz w:val="22"/>
          <w:szCs w:val="22"/>
        </w:rPr>
      </w:pPr>
      <w:r w:rsidRPr="00470AA7">
        <w:rPr>
          <w:rFonts w:ascii="Arial" w:hAnsi="Arial" w:cs="Arial"/>
          <w:b/>
          <w:sz w:val="22"/>
          <w:szCs w:val="22"/>
        </w:rPr>
        <w:t>Approach:</w:t>
      </w:r>
      <w:r w:rsidRPr="00470AA7">
        <w:rPr>
          <w:rFonts w:ascii="Arial" w:hAnsi="Arial" w:cs="Arial"/>
          <w:b/>
          <w:sz w:val="22"/>
          <w:szCs w:val="22"/>
        </w:rPr>
        <w:tab/>
      </w:r>
      <w:r w:rsidRPr="00470AA7">
        <w:rPr>
          <w:rFonts w:ascii="Arial" w:hAnsi="Arial" w:cs="Arial"/>
          <w:sz w:val="22"/>
          <w:szCs w:val="22"/>
        </w:rPr>
        <w:t>Launched in the summer of 2001, the Millennium Cohort Study began enrolling a representative sample of US military personnel, both active duty and Reserve/Guard members, who agreed to participate in follow-up well past their time in service, for up to 21 years.  Curre</w:t>
      </w:r>
      <w:r w:rsidR="00750E54" w:rsidRPr="00470AA7">
        <w:rPr>
          <w:rFonts w:ascii="Arial" w:hAnsi="Arial" w:cs="Arial"/>
          <w:sz w:val="22"/>
          <w:szCs w:val="22"/>
        </w:rPr>
        <w:t>ntly, Panel 1 includes over</w:t>
      </w:r>
      <w:r w:rsidRPr="00470AA7">
        <w:rPr>
          <w:rFonts w:ascii="Arial" w:hAnsi="Arial" w:cs="Arial"/>
          <w:sz w:val="22"/>
          <w:szCs w:val="22"/>
        </w:rPr>
        <w:t xml:space="preserve"> 77,000 participants, Panel 2 inc</w:t>
      </w:r>
      <w:r w:rsidR="00356AF8">
        <w:rPr>
          <w:rFonts w:ascii="Arial" w:hAnsi="Arial" w:cs="Arial"/>
          <w:sz w:val="22"/>
          <w:szCs w:val="22"/>
        </w:rPr>
        <w:t xml:space="preserve">ludes an additional 31,100, </w:t>
      </w:r>
      <w:r w:rsidR="00356AF8" w:rsidRPr="00470AA7">
        <w:rPr>
          <w:rFonts w:ascii="Arial" w:hAnsi="Arial" w:cs="Arial"/>
          <w:sz w:val="22"/>
          <w:szCs w:val="22"/>
        </w:rPr>
        <w:t>Panel</w:t>
      </w:r>
      <w:r w:rsidR="00484E41" w:rsidRPr="00470AA7">
        <w:rPr>
          <w:rFonts w:ascii="Arial" w:hAnsi="Arial" w:cs="Arial"/>
          <w:sz w:val="22"/>
          <w:szCs w:val="22"/>
        </w:rPr>
        <w:t xml:space="preserve"> 3 includes 43,4</w:t>
      </w:r>
      <w:r w:rsidRPr="00470AA7">
        <w:rPr>
          <w:rFonts w:ascii="Arial" w:hAnsi="Arial" w:cs="Arial"/>
          <w:sz w:val="22"/>
          <w:szCs w:val="22"/>
        </w:rPr>
        <w:t>00 participants</w:t>
      </w:r>
      <w:r w:rsidR="00356AF8">
        <w:rPr>
          <w:rFonts w:ascii="Arial" w:hAnsi="Arial" w:cs="Arial"/>
          <w:sz w:val="22"/>
          <w:szCs w:val="22"/>
        </w:rPr>
        <w:t>, and Panel 4 includes approximately 50,000 participants</w:t>
      </w:r>
      <w:r w:rsidRPr="00470AA7">
        <w:rPr>
          <w:rFonts w:ascii="Arial" w:hAnsi="Arial" w:cs="Arial"/>
          <w:sz w:val="22"/>
          <w:szCs w:val="22"/>
        </w:rPr>
        <w:t xml:space="preserve">.  All participants provide important information on exposures and health through and beyond their time in service.  Information is maintained confidentially and securely.  The Millennium Cohort Study </w:t>
      </w:r>
      <w:r w:rsidR="003800F1" w:rsidRPr="00470AA7">
        <w:rPr>
          <w:rFonts w:ascii="Arial" w:hAnsi="Arial" w:cs="Arial"/>
          <w:sz w:val="22"/>
          <w:szCs w:val="22"/>
        </w:rPr>
        <w:t xml:space="preserve">will follow participants until at least </w:t>
      </w:r>
      <w:r w:rsidRPr="00470AA7">
        <w:rPr>
          <w:rFonts w:ascii="Arial" w:hAnsi="Arial" w:cs="Arial"/>
          <w:sz w:val="22"/>
          <w:szCs w:val="22"/>
        </w:rPr>
        <w:t>2022.</w:t>
      </w:r>
    </w:p>
    <w:p w:rsidR="00696184" w:rsidRPr="00470AA7" w:rsidRDefault="00696184" w:rsidP="006D7C9B">
      <w:pPr>
        <w:ind w:left="1440" w:hanging="1800"/>
        <w:rPr>
          <w:rFonts w:ascii="Arial" w:hAnsi="Arial" w:cs="Arial"/>
          <w:b/>
          <w:sz w:val="22"/>
          <w:szCs w:val="22"/>
        </w:rPr>
      </w:pPr>
    </w:p>
    <w:p w:rsidR="00D53F52" w:rsidRPr="00470AA7" w:rsidRDefault="00D53F52" w:rsidP="006D7C9B">
      <w:pPr>
        <w:ind w:left="1440" w:hanging="1800"/>
        <w:rPr>
          <w:rFonts w:ascii="Arial" w:hAnsi="Arial" w:cs="Arial"/>
          <w:b/>
          <w:sz w:val="22"/>
          <w:szCs w:val="22"/>
        </w:rPr>
      </w:pPr>
      <w:r w:rsidRPr="00470AA7">
        <w:rPr>
          <w:rFonts w:ascii="Arial" w:hAnsi="Arial" w:cs="Arial"/>
          <w:b/>
          <w:sz w:val="22"/>
          <w:szCs w:val="22"/>
        </w:rPr>
        <w:t>Value:</w:t>
      </w:r>
      <w:r w:rsidRPr="00470AA7">
        <w:rPr>
          <w:rFonts w:ascii="Arial" w:hAnsi="Arial" w:cs="Arial"/>
          <w:b/>
          <w:sz w:val="22"/>
          <w:szCs w:val="22"/>
        </w:rPr>
        <w:tab/>
      </w:r>
      <w:r w:rsidRPr="00470AA7">
        <w:rPr>
          <w:rFonts w:ascii="Arial" w:hAnsi="Arial" w:cs="Arial"/>
          <w:sz w:val="22"/>
          <w:szCs w:val="22"/>
        </w:rPr>
        <w:t>Although the original designers of the Millennium Cohort Study could not foresee the post-2001 military conflicts, the project is perfectly positioned to address health outcomes related t</w:t>
      </w:r>
      <w:r w:rsidR="003800F1" w:rsidRPr="00470AA7">
        <w:rPr>
          <w:rFonts w:ascii="Arial" w:hAnsi="Arial" w:cs="Arial"/>
          <w:sz w:val="22"/>
          <w:szCs w:val="22"/>
        </w:rPr>
        <w:t>o these operations.  More than 5</w:t>
      </w:r>
      <w:r w:rsidRPr="00470AA7">
        <w:rPr>
          <w:rFonts w:ascii="Arial" w:hAnsi="Arial" w:cs="Arial"/>
          <w:sz w:val="22"/>
          <w:szCs w:val="22"/>
        </w:rPr>
        <w:t>0% of Millennium Cohort participants have deployed in support of the Global War on Terrorism.  Millennium Cohort investigators are able to evaluate, prospectively, detailed data from before, during, and long after these deployments.</w:t>
      </w:r>
    </w:p>
    <w:p w:rsidR="00696184" w:rsidRPr="00470AA7" w:rsidRDefault="00696184" w:rsidP="006D7C9B">
      <w:pPr>
        <w:ind w:left="1440" w:hanging="1800"/>
        <w:rPr>
          <w:rFonts w:ascii="Arial" w:hAnsi="Arial" w:cs="Arial"/>
          <w:b/>
          <w:sz w:val="22"/>
          <w:szCs w:val="22"/>
        </w:rPr>
      </w:pPr>
    </w:p>
    <w:p w:rsidR="00D53F52" w:rsidRPr="00470AA7" w:rsidRDefault="00D53F52" w:rsidP="006D7C9B">
      <w:pPr>
        <w:ind w:left="1440" w:hanging="1800"/>
        <w:rPr>
          <w:rFonts w:ascii="Arial" w:hAnsi="Arial" w:cs="Arial"/>
          <w:sz w:val="22"/>
          <w:szCs w:val="22"/>
        </w:rPr>
      </w:pPr>
      <w:r w:rsidRPr="00470AA7">
        <w:rPr>
          <w:rFonts w:ascii="Arial" w:hAnsi="Arial" w:cs="Arial"/>
          <w:b/>
          <w:sz w:val="22"/>
          <w:szCs w:val="22"/>
        </w:rPr>
        <w:t>Collaboration:</w:t>
      </w:r>
      <w:r w:rsidRPr="00470AA7">
        <w:rPr>
          <w:rFonts w:ascii="Arial" w:hAnsi="Arial" w:cs="Arial"/>
          <w:b/>
          <w:sz w:val="22"/>
          <w:szCs w:val="22"/>
        </w:rPr>
        <w:tab/>
      </w:r>
      <w:r w:rsidRPr="00470AA7">
        <w:rPr>
          <w:rFonts w:ascii="Arial" w:hAnsi="Arial" w:cs="Arial"/>
          <w:sz w:val="22"/>
          <w:szCs w:val="22"/>
        </w:rPr>
        <w:t xml:space="preserve">Investigators include scientists from the Army, Navy, Air Force, Department of Veterans Affairs, and leading academic institutions.  The Millennium Cohort </w:t>
      </w:r>
      <w:r w:rsidR="003800F1" w:rsidRPr="00470AA7">
        <w:rPr>
          <w:rFonts w:ascii="Arial" w:hAnsi="Arial" w:cs="Arial"/>
          <w:sz w:val="22"/>
          <w:szCs w:val="22"/>
        </w:rPr>
        <w:t>External Advisory Board includes many distinguished external scientific researchers and subject matter experts from academia, the DoD, and Veterans Affairs as well as leading Veteran Service Organizations</w:t>
      </w:r>
      <w:r w:rsidRPr="00470AA7">
        <w:rPr>
          <w:rFonts w:ascii="Arial" w:hAnsi="Arial" w:cs="Arial"/>
          <w:sz w:val="22"/>
          <w:szCs w:val="22"/>
        </w:rPr>
        <w:t xml:space="preserve">.  </w:t>
      </w:r>
    </w:p>
    <w:p w:rsidR="00D53F52" w:rsidRPr="00470AA7" w:rsidRDefault="00D53F52" w:rsidP="006D7C9B">
      <w:pPr>
        <w:ind w:left="1440" w:hanging="1800"/>
        <w:rPr>
          <w:rFonts w:ascii="Arial" w:hAnsi="Arial" w:cs="Arial"/>
          <w:b/>
          <w:sz w:val="22"/>
          <w:szCs w:val="22"/>
        </w:rPr>
      </w:pPr>
    </w:p>
    <w:p w:rsidR="00D53F52" w:rsidRPr="00470AA7" w:rsidRDefault="00D53F52" w:rsidP="006D7C9B">
      <w:pPr>
        <w:ind w:left="1440" w:hanging="1800"/>
        <w:rPr>
          <w:rFonts w:ascii="Arial" w:hAnsi="Arial" w:cs="Arial"/>
          <w:b/>
          <w:sz w:val="22"/>
          <w:szCs w:val="22"/>
        </w:rPr>
      </w:pPr>
      <w:r w:rsidRPr="00470AA7">
        <w:rPr>
          <w:rFonts w:ascii="Arial" w:hAnsi="Arial" w:cs="Arial"/>
          <w:b/>
          <w:sz w:val="22"/>
          <w:szCs w:val="22"/>
        </w:rPr>
        <w:t>Support:</w:t>
      </w:r>
      <w:r w:rsidRPr="00470AA7">
        <w:rPr>
          <w:rFonts w:ascii="Arial" w:hAnsi="Arial" w:cs="Arial"/>
          <w:b/>
          <w:sz w:val="22"/>
          <w:szCs w:val="22"/>
        </w:rPr>
        <w:tab/>
      </w:r>
      <w:r w:rsidRPr="00470AA7">
        <w:rPr>
          <w:rFonts w:ascii="Arial" w:hAnsi="Arial" w:cs="Arial"/>
          <w:sz w:val="22"/>
          <w:szCs w:val="22"/>
        </w:rPr>
        <w:t>The project is supported by the US Department of Defense, Military Operational Medicine Research Program.  DMDC Reference #00-0019.  RCS #DD-HA(AR)2106.  OMB approval #0720-0029.</w:t>
      </w:r>
    </w:p>
    <w:p w:rsidR="00D53F52" w:rsidRPr="00470AA7" w:rsidRDefault="00D53F52" w:rsidP="006D7C9B">
      <w:pPr>
        <w:ind w:left="1440" w:hanging="1800"/>
        <w:rPr>
          <w:rFonts w:ascii="Arial" w:hAnsi="Arial" w:cs="Arial"/>
          <w:b/>
          <w:sz w:val="22"/>
          <w:szCs w:val="22"/>
        </w:rPr>
      </w:pPr>
    </w:p>
    <w:p w:rsidR="005E1FFE" w:rsidRPr="00470AA7" w:rsidRDefault="00D53F52" w:rsidP="006D7C9B">
      <w:pPr>
        <w:ind w:left="1440" w:hanging="1800"/>
        <w:rPr>
          <w:rFonts w:ascii="Arial" w:hAnsi="Arial" w:cs="Arial"/>
          <w:sz w:val="22"/>
          <w:szCs w:val="22"/>
        </w:rPr>
      </w:pPr>
      <w:r w:rsidRPr="00470AA7">
        <w:rPr>
          <w:rFonts w:ascii="Arial" w:hAnsi="Arial" w:cs="Arial"/>
          <w:b/>
          <w:sz w:val="22"/>
          <w:szCs w:val="22"/>
        </w:rPr>
        <w:t>Contacts:</w:t>
      </w:r>
      <w:r w:rsidRPr="00470AA7">
        <w:rPr>
          <w:rFonts w:ascii="Arial" w:hAnsi="Arial" w:cs="Arial"/>
          <w:b/>
          <w:sz w:val="22"/>
          <w:szCs w:val="22"/>
        </w:rPr>
        <w:tab/>
      </w:r>
      <w:r w:rsidRPr="00470AA7">
        <w:rPr>
          <w:rFonts w:ascii="Arial" w:hAnsi="Arial" w:cs="Arial"/>
          <w:sz w:val="22"/>
          <w:szCs w:val="22"/>
        </w:rPr>
        <w:t>The Principal Investigator of the Millennium</w:t>
      </w:r>
      <w:r w:rsidR="006709E7" w:rsidRPr="00470AA7">
        <w:rPr>
          <w:rFonts w:ascii="Arial" w:hAnsi="Arial" w:cs="Arial"/>
          <w:sz w:val="22"/>
          <w:szCs w:val="22"/>
        </w:rPr>
        <w:t xml:space="preserve"> Cohort Study is </w:t>
      </w:r>
      <w:r w:rsidR="0064354A">
        <w:rPr>
          <w:rFonts w:ascii="Arial" w:hAnsi="Arial" w:cs="Arial"/>
          <w:sz w:val="22"/>
          <w:szCs w:val="22"/>
        </w:rPr>
        <w:t>Mr</w:t>
      </w:r>
      <w:r w:rsidR="006709E7" w:rsidRPr="00470AA7">
        <w:rPr>
          <w:rFonts w:ascii="Arial" w:hAnsi="Arial" w:cs="Arial"/>
          <w:sz w:val="22"/>
          <w:szCs w:val="22"/>
        </w:rPr>
        <w:t xml:space="preserve">. </w:t>
      </w:r>
      <w:r w:rsidR="0064354A">
        <w:rPr>
          <w:rFonts w:ascii="Arial" w:hAnsi="Arial" w:cs="Arial"/>
          <w:sz w:val="22"/>
          <w:szCs w:val="22"/>
        </w:rPr>
        <w:t>Martin White</w:t>
      </w:r>
      <w:r w:rsidRPr="00470AA7">
        <w:rPr>
          <w:rFonts w:ascii="Arial" w:hAnsi="Arial" w:cs="Arial"/>
          <w:sz w:val="22"/>
          <w:szCs w:val="22"/>
        </w:rPr>
        <w:t xml:space="preserve">, and the primary performing site is the Deployment Health Research </w:t>
      </w:r>
      <w:r w:rsidR="0064354A">
        <w:rPr>
          <w:rFonts w:ascii="Arial" w:hAnsi="Arial" w:cs="Arial"/>
          <w:sz w:val="22"/>
          <w:szCs w:val="22"/>
        </w:rPr>
        <w:t xml:space="preserve">Department </w:t>
      </w:r>
      <w:r w:rsidRPr="00470AA7">
        <w:rPr>
          <w:rFonts w:ascii="Arial" w:hAnsi="Arial" w:cs="Arial"/>
          <w:sz w:val="22"/>
          <w:szCs w:val="22"/>
        </w:rPr>
        <w:t>in San Diego, CA.  The study team can be contacte</w:t>
      </w:r>
      <w:r w:rsidR="00961A58" w:rsidRPr="00470AA7">
        <w:rPr>
          <w:rFonts w:ascii="Arial" w:hAnsi="Arial" w:cs="Arial"/>
          <w:sz w:val="22"/>
          <w:szCs w:val="22"/>
        </w:rPr>
        <w:t xml:space="preserve">d (toll-free) at 1-888-942-5222 </w:t>
      </w:r>
      <w:r w:rsidRPr="00470AA7">
        <w:rPr>
          <w:rFonts w:ascii="Arial" w:hAnsi="Arial" w:cs="Arial"/>
          <w:sz w:val="22"/>
          <w:szCs w:val="22"/>
        </w:rPr>
        <w:t xml:space="preserve">or email </w:t>
      </w:r>
      <w:hyperlink r:id="rId9" w:history="1">
        <w:r w:rsidRPr="00470AA7">
          <w:rPr>
            <w:rStyle w:val="Hyperlink"/>
            <w:rFonts w:ascii="Arial" w:hAnsi="Arial" w:cs="Arial"/>
            <w:sz w:val="22"/>
            <w:szCs w:val="22"/>
          </w:rPr>
          <w:t>milcohortinfo@med.navy.mil</w:t>
        </w:r>
      </w:hyperlink>
      <w:r w:rsidRPr="00470AA7">
        <w:rPr>
          <w:rFonts w:ascii="Arial" w:hAnsi="Arial" w:cs="Arial"/>
          <w:sz w:val="22"/>
          <w:szCs w:val="22"/>
        </w:rPr>
        <w:t xml:space="preserve">  More information is also available on the website, </w:t>
      </w:r>
      <w:hyperlink r:id="rId10" w:history="1">
        <w:r w:rsidRPr="00470AA7">
          <w:rPr>
            <w:rStyle w:val="Hyperlink"/>
            <w:rFonts w:ascii="Arial" w:hAnsi="Arial" w:cs="Arial"/>
            <w:sz w:val="22"/>
            <w:szCs w:val="22"/>
          </w:rPr>
          <w:t>www.millenniumcohort.org</w:t>
        </w:r>
      </w:hyperlink>
    </w:p>
    <w:p w:rsidR="0011701E" w:rsidRPr="00470AA7" w:rsidRDefault="0011701E" w:rsidP="006D7C9B">
      <w:pPr>
        <w:ind w:left="1440" w:hanging="1800"/>
        <w:rPr>
          <w:rFonts w:ascii="Arial" w:hAnsi="Arial" w:cs="Arial"/>
          <w:sz w:val="20"/>
          <w:szCs w:val="20"/>
        </w:rPr>
      </w:pPr>
    </w:p>
    <w:p w:rsidR="0011701E" w:rsidRPr="00470AA7" w:rsidRDefault="0011701E" w:rsidP="006D7C9B">
      <w:pPr>
        <w:ind w:left="1440" w:hanging="1800"/>
        <w:rPr>
          <w:rFonts w:ascii="Arial" w:hAnsi="Arial" w:cs="Arial"/>
          <w:sz w:val="20"/>
          <w:szCs w:val="20"/>
        </w:rPr>
      </w:pPr>
    </w:p>
    <w:p w:rsidR="00DF2B6E" w:rsidRPr="00470AA7" w:rsidRDefault="00DF2B6E" w:rsidP="006D7C9B">
      <w:pPr>
        <w:ind w:left="-360" w:right="-180"/>
        <w:rPr>
          <w:rFonts w:ascii="Arial" w:hAnsi="Arial" w:cs="Arial"/>
          <w:sz w:val="20"/>
          <w:szCs w:val="20"/>
        </w:rPr>
      </w:pPr>
    </w:p>
    <w:p w:rsidR="0011701E" w:rsidRPr="00470AA7" w:rsidRDefault="0011701E" w:rsidP="006D7C9B">
      <w:pPr>
        <w:ind w:left="-360" w:right="-180"/>
        <w:rPr>
          <w:rFonts w:ascii="Arial" w:hAnsi="Arial" w:cs="Arial"/>
          <w:b/>
          <w:sz w:val="22"/>
          <w:szCs w:val="22"/>
          <w:u w:val="single"/>
        </w:rPr>
      </w:pPr>
      <w:r w:rsidRPr="00470AA7">
        <w:rPr>
          <w:rFonts w:ascii="Arial" w:hAnsi="Arial" w:cs="Arial"/>
          <w:b/>
          <w:sz w:val="22"/>
          <w:szCs w:val="22"/>
          <w:u w:val="single"/>
        </w:rPr>
        <w:t>Millennium Cohort Study Products</w:t>
      </w:r>
    </w:p>
    <w:p w:rsidR="00D8783C" w:rsidRPr="00470AA7" w:rsidRDefault="00D8783C" w:rsidP="006D7C9B">
      <w:pPr>
        <w:ind w:right="-180"/>
        <w:rPr>
          <w:rFonts w:ascii="Arial" w:hAnsi="Arial" w:cs="Arial"/>
          <w:b/>
          <w:sz w:val="22"/>
          <w:szCs w:val="22"/>
          <w:u w:val="single"/>
        </w:rPr>
      </w:pPr>
    </w:p>
    <w:p w:rsidR="008E4CF7" w:rsidRDefault="00D8783C" w:rsidP="006D7C9B">
      <w:pPr>
        <w:ind w:left="-360" w:right="-180"/>
        <w:rPr>
          <w:rFonts w:ascii="Arial" w:hAnsi="Arial" w:cs="Arial"/>
          <w:i/>
          <w:sz w:val="20"/>
          <w:szCs w:val="20"/>
        </w:rPr>
      </w:pPr>
      <w:r w:rsidRPr="00470AA7">
        <w:rPr>
          <w:rFonts w:ascii="Arial" w:hAnsi="Arial" w:cs="Arial"/>
          <w:i/>
          <w:sz w:val="22"/>
          <w:szCs w:val="22"/>
        </w:rPr>
        <w:t>The investigative team has shared more than 1</w:t>
      </w:r>
      <w:r w:rsidR="00B35714" w:rsidRPr="00470AA7">
        <w:rPr>
          <w:rFonts w:ascii="Arial" w:hAnsi="Arial" w:cs="Arial"/>
          <w:i/>
          <w:sz w:val="22"/>
          <w:szCs w:val="22"/>
        </w:rPr>
        <w:t>5</w:t>
      </w:r>
      <w:r w:rsidRPr="00470AA7">
        <w:rPr>
          <w:rFonts w:ascii="Arial" w:hAnsi="Arial" w:cs="Arial"/>
          <w:i/>
          <w:sz w:val="22"/>
          <w:szCs w:val="22"/>
        </w:rPr>
        <w:t>0 presentations at scientific conferences since 2001, and received multiple research awards.  Below represents a chronologic list of publications in the medical literature.  Many additional products are under development and review</w:t>
      </w:r>
      <w:r w:rsidRPr="00470AA7">
        <w:rPr>
          <w:rFonts w:ascii="Arial" w:hAnsi="Arial" w:cs="Arial"/>
          <w:i/>
          <w:sz w:val="20"/>
          <w:szCs w:val="20"/>
        </w:rPr>
        <w:t>.</w:t>
      </w:r>
    </w:p>
    <w:p w:rsidR="009B06DD" w:rsidRDefault="009B06DD" w:rsidP="006D7C9B">
      <w:pPr>
        <w:ind w:left="-360" w:right="-180"/>
        <w:rPr>
          <w:rFonts w:ascii="Arial" w:hAnsi="Arial" w:cs="Arial"/>
          <w:i/>
          <w:sz w:val="20"/>
          <w:szCs w:val="20"/>
        </w:rPr>
      </w:pPr>
    </w:p>
    <w:p w:rsidR="001E626B" w:rsidRDefault="001E626B" w:rsidP="001E626B">
      <w:pPr>
        <w:ind w:left="-360" w:right="-180"/>
        <w:rPr>
          <w:rFonts w:ascii="Arial" w:hAnsi="Arial" w:cs="Arial"/>
          <w:sz w:val="22"/>
          <w:szCs w:val="22"/>
        </w:rPr>
      </w:pPr>
      <w:r>
        <w:rPr>
          <w:rFonts w:ascii="Arial" w:hAnsi="Arial" w:cs="Arial"/>
          <w:sz w:val="22"/>
          <w:szCs w:val="22"/>
        </w:rPr>
        <w:t xml:space="preserve">Wells TS, </w:t>
      </w:r>
      <w:r w:rsidRPr="001E626B">
        <w:rPr>
          <w:rFonts w:ascii="Arial" w:hAnsi="Arial" w:cs="Arial"/>
          <w:sz w:val="22"/>
          <w:szCs w:val="22"/>
        </w:rPr>
        <w:t xml:space="preserve">Bagnell ME, Miller SC, Smith TC, Gackstetter GD and Boyko EJ </w:t>
      </w:r>
      <w:r w:rsidR="0028536B">
        <w:rPr>
          <w:rFonts w:ascii="Arial" w:hAnsi="Arial" w:cs="Arial"/>
          <w:sz w:val="22"/>
          <w:szCs w:val="22"/>
        </w:rPr>
        <w:t>for</w:t>
      </w:r>
      <w:r w:rsidRPr="001E626B">
        <w:rPr>
          <w:rFonts w:ascii="Arial" w:hAnsi="Arial" w:cs="Arial"/>
          <w:sz w:val="22"/>
          <w:szCs w:val="22"/>
        </w:rPr>
        <w:t xml:space="preserve"> the Millennium Cohort Study Team. </w:t>
      </w:r>
      <w:r w:rsidR="00D70A61">
        <w:rPr>
          <w:rFonts w:ascii="Arial" w:hAnsi="Arial" w:cs="Arial"/>
          <w:b/>
          <w:sz w:val="22"/>
          <w:szCs w:val="22"/>
        </w:rPr>
        <w:t>US Naval and Marine Corps o</w:t>
      </w:r>
      <w:r w:rsidRPr="001E626B">
        <w:rPr>
          <w:rFonts w:ascii="Arial" w:hAnsi="Arial" w:cs="Arial"/>
          <w:b/>
          <w:sz w:val="22"/>
          <w:szCs w:val="22"/>
        </w:rPr>
        <w:t>ccupations,</w:t>
      </w:r>
      <w:r>
        <w:rPr>
          <w:rFonts w:ascii="Arial" w:hAnsi="Arial" w:cs="Arial"/>
          <w:b/>
          <w:sz w:val="22"/>
          <w:szCs w:val="22"/>
        </w:rPr>
        <w:t xml:space="preserve"> </w:t>
      </w:r>
      <w:r w:rsidR="00D70A61">
        <w:rPr>
          <w:rFonts w:ascii="Arial" w:hAnsi="Arial" w:cs="Arial"/>
          <w:b/>
          <w:sz w:val="22"/>
          <w:szCs w:val="22"/>
        </w:rPr>
        <w:t>PTSD and depression risk and a</w:t>
      </w:r>
      <w:r w:rsidRPr="001E626B">
        <w:rPr>
          <w:rFonts w:ascii="Arial" w:hAnsi="Arial" w:cs="Arial"/>
          <w:b/>
          <w:sz w:val="22"/>
          <w:szCs w:val="22"/>
        </w:rPr>
        <w:t>bsenteeism</w:t>
      </w:r>
      <w:r w:rsidRPr="00D70A61">
        <w:rPr>
          <w:rFonts w:ascii="Arial" w:hAnsi="Arial" w:cs="Arial"/>
          <w:b/>
          <w:sz w:val="22"/>
          <w:szCs w:val="22"/>
        </w:rPr>
        <w:t>.</w:t>
      </w:r>
      <w:r w:rsidRPr="001E626B">
        <w:rPr>
          <w:rFonts w:ascii="Arial" w:hAnsi="Arial" w:cs="Arial"/>
          <w:sz w:val="22"/>
          <w:szCs w:val="22"/>
        </w:rPr>
        <w:t xml:space="preserve"> Journal of Workplace Behavioral Health; In</w:t>
      </w:r>
      <w:r>
        <w:rPr>
          <w:rFonts w:ascii="Arial" w:hAnsi="Arial" w:cs="Arial"/>
          <w:b/>
          <w:sz w:val="22"/>
          <w:szCs w:val="22"/>
        </w:rPr>
        <w:t xml:space="preserve"> </w:t>
      </w:r>
      <w:r w:rsidRPr="001E626B">
        <w:rPr>
          <w:rFonts w:ascii="Arial" w:hAnsi="Arial" w:cs="Arial"/>
          <w:sz w:val="22"/>
          <w:szCs w:val="22"/>
        </w:rPr>
        <w:t>press.</w:t>
      </w:r>
    </w:p>
    <w:p w:rsidR="0028536B" w:rsidRDefault="0028536B" w:rsidP="001E626B">
      <w:pPr>
        <w:ind w:left="-360" w:right="-180"/>
        <w:rPr>
          <w:rFonts w:ascii="Arial" w:hAnsi="Arial" w:cs="Arial"/>
          <w:sz w:val="22"/>
          <w:szCs w:val="22"/>
        </w:rPr>
      </w:pPr>
    </w:p>
    <w:p w:rsidR="001E626B" w:rsidRDefault="0028536B" w:rsidP="001E626B">
      <w:pPr>
        <w:ind w:left="-360" w:right="-180"/>
        <w:rPr>
          <w:rFonts w:ascii="Arial" w:hAnsi="Arial" w:cs="Arial"/>
          <w:sz w:val="22"/>
          <w:szCs w:val="22"/>
        </w:rPr>
      </w:pPr>
      <w:r w:rsidRPr="0028536B">
        <w:rPr>
          <w:rFonts w:ascii="Arial" w:hAnsi="Arial" w:cs="Arial"/>
          <w:i/>
          <w:color w:val="0000FF"/>
          <w:sz w:val="22"/>
          <w:szCs w:val="22"/>
        </w:rPr>
        <w:t>This study investigated whether military occupation was associated with PTSD</w:t>
      </w:r>
      <w:r>
        <w:rPr>
          <w:rFonts w:ascii="Arial" w:hAnsi="Arial" w:cs="Arial"/>
          <w:i/>
          <w:color w:val="0000FF"/>
          <w:sz w:val="22"/>
          <w:szCs w:val="22"/>
        </w:rPr>
        <w:t xml:space="preserve"> or depression, and if </w:t>
      </w:r>
      <w:r w:rsidRPr="0028536B">
        <w:rPr>
          <w:rFonts w:ascii="Arial" w:hAnsi="Arial" w:cs="Arial"/>
          <w:i/>
          <w:color w:val="0000FF"/>
          <w:sz w:val="22"/>
          <w:szCs w:val="22"/>
        </w:rPr>
        <w:t>PTSD or depression was associated with lost workday</w:t>
      </w:r>
      <w:r>
        <w:rPr>
          <w:rFonts w:ascii="Arial" w:hAnsi="Arial" w:cs="Arial"/>
          <w:i/>
          <w:color w:val="0000FF"/>
          <w:sz w:val="22"/>
          <w:szCs w:val="22"/>
        </w:rPr>
        <w:t xml:space="preserve">s </w:t>
      </w:r>
      <w:r w:rsidRPr="0028536B">
        <w:rPr>
          <w:rFonts w:ascii="Arial" w:hAnsi="Arial" w:cs="Arial"/>
          <w:i/>
          <w:color w:val="0000FF"/>
          <w:sz w:val="22"/>
          <w:szCs w:val="22"/>
        </w:rPr>
        <w:t>among US Navy and US Marine personnel. Navy personnel in service and suppl</w:t>
      </w:r>
      <w:r>
        <w:rPr>
          <w:rFonts w:ascii="Arial" w:hAnsi="Arial" w:cs="Arial"/>
          <w:i/>
          <w:color w:val="0000FF"/>
          <w:sz w:val="22"/>
          <w:szCs w:val="22"/>
        </w:rPr>
        <w:t xml:space="preserve">y </w:t>
      </w:r>
      <w:r w:rsidRPr="0028536B">
        <w:rPr>
          <w:rFonts w:ascii="Arial" w:hAnsi="Arial" w:cs="Arial"/>
          <w:i/>
          <w:color w:val="0000FF"/>
          <w:sz w:val="22"/>
          <w:szCs w:val="22"/>
        </w:rPr>
        <w:t>occupations were 85% more likely to screen positive for new-onset PTSD,</w:t>
      </w:r>
      <w:r>
        <w:rPr>
          <w:rFonts w:ascii="Arial" w:hAnsi="Arial" w:cs="Arial"/>
          <w:i/>
          <w:color w:val="0000FF"/>
          <w:sz w:val="22"/>
          <w:szCs w:val="22"/>
        </w:rPr>
        <w:t xml:space="preserve"> </w:t>
      </w:r>
      <w:r w:rsidRPr="0028536B">
        <w:rPr>
          <w:rFonts w:ascii="Arial" w:hAnsi="Arial" w:cs="Arial"/>
          <w:i/>
          <w:color w:val="0000FF"/>
          <w:sz w:val="22"/>
          <w:szCs w:val="22"/>
        </w:rPr>
        <w:t>while those serving in health care were 58% more likely to screen positive</w:t>
      </w:r>
      <w:r>
        <w:rPr>
          <w:rFonts w:ascii="Arial" w:hAnsi="Arial" w:cs="Arial"/>
          <w:i/>
          <w:color w:val="0000FF"/>
          <w:sz w:val="22"/>
          <w:szCs w:val="22"/>
        </w:rPr>
        <w:t xml:space="preserve"> </w:t>
      </w:r>
      <w:r w:rsidRPr="0028536B">
        <w:rPr>
          <w:rFonts w:ascii="Arial" w:hAnsi="Arial" w:cs="Arial"/>
          <w:i/>
          <w:color w:val="0000FF"/>
          <w:sz w:val="22"/>
          <w:szCs w:val="22"/>
        </w:rPr>
        <w:t>for new-onset depression compared to other occupations. In addition, those</w:t>
      </w:r>
      <w:r>
        <w:rPr>
          <w:rFonts w:ascii="Arial" w:hAnsi="Arial" w:cs="Arial"/>
          <w:i/>
          <w:color w:val="0000FF"/>
          <w:sz w:val="22"/>
          <w:szCs w:val="22"/>
        </w:rPr>
        <w:t xml:space="preserve"> </w:t>
      </w:r>
      <w:r w:rsidRPr="0028536B">
        <w:rPr>
          <w:rFonts w:ascii="Arial" w:hAnsi="Arial" w:cs="Arial"/>
          <w:i/>
          <w:color w:val="0000FF"/>
          <w:sz w:val="22"/>
          <w:szCs w:val="22"/>
        </w:rPr>
        <w:t>with new-onset and persiste</w:t>
      </w:r>
      <w:r>
        <w:rPr>
          <w:rFonts w:ascii="Arial" w:hAnsi="Arial" w:cs="Arial"/>
          <w:i/>
          <w:color w:val="0000FF"/>
          <w:sz w:val="22"/>
          <w:szCs w:val="22"/>
        </w:rPr>
        <w:t xml:space="preserve">nt PTSD were </w:t>
      </w:r>
      <w:r w:rsidRPr="0028536B">
        <w:rPr>
          <w:rFonts w:ascii="Arial" w:hAnsi="Arial" w:cs="Arial"/>
          <w:i/>
          <w:color w:val="0000FF"/>
          <w:sz w:val="22"/>
          <w:szCs w:val="22"/>
        </w:rPr>
        <w:t>twice as likely to miss one or more</w:t>
      </w:r>
      <w:r>
        <w:rPr>
          <w:rFonts w:ascii="Arial" w:hAnsi="Arial" w:cs="Arial"/>
          <w:i/>
          <w:color w:val="0000FF"/>
          <w:sz w:val="22"/>
          <w:szCs w:val="22"/>
        </w:rPr>
        <w:t xml:space="preserve"> </w:t>
      </w:r>
      <w:r w:rsidRPr="0028536B">
        <w:rPr>
          <w:rFonts w:ascii="Arial" w:hAnsi="Arial" w:cs="Arial"/>
          <w:i/>
          <w:color w:val="0000FF"/>
          <w:sz w:val="22"/>
          <w:szCs w:val="22"/>
        </w:rPr>
        <w:t>days of work. This suggests that earl</w:t>
      </w:r>
      <w:r>
        <w:rPr>
          <w:rFonts w:ascii="Arial" w:hAnsi="Arial" w:cs="Arial"/>
          <w:i/>
          <w:color w:val="0000FF"/>
          <w:sz w:val="22"/>
          <w:szCs w:val="22"/>
        </w:rPr>
        <w:t xml:space="preserve">y identification and management </w:t>
      </w:r>
      <w:r w:rsidRPr="0028536B">
        <w:rPr>
          <w:rFonts w:ascii="Arial" w:hAnsi="Arial" w:cs="Arial"/>
          <w:i/>
          <w:color w:val="0000FF"/>
          <w:sz w:val="22"/>
          <w:szCs w:val="22"/>
        </w:rPr>
        <w:t>of</w:t>
      </w:r>
      <w:r>
        <w:rPr>
          <w:rFonts w:ascii="Arial" w:hAnsi="Arial" w:cs="Arial"/>
          <w:i/>
          <w:color w:val="0000FF"/>
          <w:sz w:val="22"/>
          <w:szCs w:val="22"/>
        </w:rPr>
        <w:t xml:space="preserve"> </w:t>
      </w:r>
      <w:r w:rsidRPr="0028536B">
        <w:rPr>
          <w:rFonts w:ascii="Arial" w:hAnsi="Arial" w:cs="Arial"/>
          <w:i/>
          <w:color w:val="0000FF"/>
          <w:sz w:val="22"/>
          <w:szCs w:val="22"/>
        </w:rPr>
        <w:t>these conditions may improve force readiness.</w:t>
      </w:r>
    </w:p>
    <w:p w:rsidR="001E626B" w:rsidRDefault="001E626B" w:rsidP="00785793">
      <w:pPr>
        <w:ind w:right="-180"/>
        <w:rPr>
          <w:rFonts w:ascii="Arial" w:hAnsi="Arial" w:cs="Arial"/>
          <w:i/>
          <w:color w:val="0000FF"/>
          <w:sz w:val="22"/>
          <w:szCs w:val="22"/>
        </w:rPr>
      </w:pPr>
    </w:p>
    <w:p w:rsidR="009B06DD" w:rsidRPr="009B06DD" w:rsidRDefault="009B06DD" w:rsidP="001E626B">
      <w:pPr>
        <w:ind w:left="-360" w:right="-180"/>
        <w:rPr>
          <w:rFonts w:ascii="Arial" w:hAnsi="Arial" w:cs="Arial"/>
          <w:sz w:val="22"/>
          <w:szCs w:val="22"/>
        </w:rPr>
      </w:pPr>
      <w:r w:rsidRPr="009B06DD">
        <w:rPr>
          <w:rFonts w:ascii="Arial" w:hAnsi="Arial" w:cs="Arial"/>
          <w:sz w:val="22"/>
          <w:szCs w:val="22"/>
        </w:rPr>
        <w:t xml:space="preserve">Crum-Cianflone N, Bagnell ME, Schaller E, Boyko EJ, Smith B, Maynard C, Ulmer CS, </w:t>
      </w:r>
      <w:proofErr w:type="spellStart"/>
      <w:r w:rsidRPr="009B06DD">
        <w:rPr>
          <w:rFonts w:ascii="Arial" w:hAnsi="Arial" w:cs="Arial"/>
          <w:sz w:val="22"/>
          <w:szCs w:val="22"/>
        </w:rPr>
        <w:t>Vernalis</w:t>
      </w:r>
      <w:proofErr w:type="spellEnd"/>
      <w:r w:rsidRPr="009B06DD">
        <w:rPr>
          <w:rFonts w:ascii="Arial" w:hAnsi="Arial" w:cs="Arial"/>
          <w:sz w:val="22"/>
          <w:szCs w:val="22"/>
        </w:rPr>
        <w:t xml:space="preserve"> M and Smith TC</w:t>
      </w:r>
      <w:r w:rsidRPr="0028536B">
        <w:rPr>
          <w:rFonts w:ascii="Arial" w:hAnsi="Arial" w:cs="Arial"/>
          <w:sz w:val="22"/>
          <w:szCs w:val="22"/>
        </w:rPr>
        <w:t xml:space="preserve">. </w:t>
      </w:r>
      <w:r w:rsidRPr="009B06DD">
        <w:rPr>
          <w:rFonts w:ascii="Arial" w:hAnsi="Arial" w:cs="Arial"/>
          <w:b/>
          <w:sz w:val="22"/>
          <w:szCs w:val="22"/>
        </w:rPr>
        <w:t>Impact of combat deployment and Posttraumatic Stress Disorder on newly reported coronary heart disease among US Active Duty and Reserve force</w:t>
      </w:r>
      <w:r w:rsidRPr="0028536B">
        <w:rPr>
          <w:rFonts w:ascii="Arial" w:hAnsi="Arial" w:cs="Arial"/>
          <w:b/>
          <w:sz w:val="22"/>
          <w:szCs w:val="22"/>
        </w:rPr>
        <w:t>s.</w:t>
      </w:r>
      <w:r>
        <w:rPr>
          <w:rFonts w:ascii="Arial" w:hAnsi="Arial" w:cs="Arial"/>
          <w:sz w:val="22"/>
          <w:szCs w:val="22"/>
        </w:rPr>
        <w:t xml:space="preserve"> Circulation;</w:t>
      </w:r>
      <w:r w:rsidRPr="009B06DD">
        <w:rPr>
          <w:rFonts w:ascii="Arial" w:hAnsi="Arial" w:cs="Arial"/>
          <w:sz w:val="22"/>
          <w:szCs w:val="22"/>
        </w:rPr>
        <w:t xml:space="preserve"> In press.</w:t>
      </w:r>
    </w:p>
    <w:p w:rsidR="009B06DD" w:rsidRPr="009B06DD" w:rsidRDefault="009B06DD" w:rsidP="009B06DD">
      <w:pPr>
        <w:ind w:left="-360" w:right="-180"/>
        <w:rPr>
          <w:rFonts w:ascii="Arial" w:hAnsi="Arial" w:cs="Arial"/>
          <w:i/>
          <w:sz w:val="20"/>
          <w:szCs w:val="20"/>
        </w:rPr>
      </w:pPr>
    </w:p>
    <w:p w:rsidR="009B06DD" w:rsidRPr="009B06DD" w:rsidRDefault="009B06DD" w:rsidP="009B06DD">
      <w:pPr>
        <w:ind w:left="-360" w:right="-180"/>
        <w:rPr>
          <w:rFonts w:ascii="Arial" w:hAnsi="Arial" w:cs="Arial"/>
          <w:i/>
          <w:color w:val="0000FF"/>
          <w:sz w:val="22"/>
          <w:szCs w:val="22"/>
        </w:rPr>
      </w:pPr>
      <w:r w:rsidRPr="009B06DD">
        <w:rPr>
          <w:rFonts w:ascii="Arial" w:hAnsi="Arial" w:cs="Arial"/>
          <w:i/>
          <w:color w:val="0000FF"/>
          <w:sz w:val="22"/>
          <w:szCs w:val="22"/>
        </w:rPr>
        <w:t>This study evaluated the association of combat deployments and posttraumatic stress disorder (PTSD) on coronary heart disease among a young cohort of US service members. Experiencing combat deployment was associated with an increased odds of coronary heart disease by both self-report and medical record diagnosis after adjustment for demographic, military, and mental health characteristics. Screening positive for PTSD was not associated with CHD after adjustment. This study demonstrates that intense and acute stressful life experiences may increase the risk for coronary heart disease over a relatively short period among young adults.</w:t>
      </w:r>
    </w:p>
    <w:p w:rsidR="0064354A" w:rsidRDefault="0064354A" w:rsidP="009B06DD">
      <w:pPr>
        <w:ind w:right="-180"/>
        <w:rPr>
          <w:rFonts w:ascii="Arial" w:hAnsi="Arial" w:cs="Arial"/>
          <w:i/>
          <w:sz w:val="20"/>
          <w:szCs w:val="20"/>
        </w:rPr>
      </w:pPr>
    </w:p>
    <w:p w:rsidR="0064354A" w:rsidRPr="0064354A" w:rsidRDefault="0064354A" w:rsidP="0064354A">
      <w:pPr>
        <w:ind w:left="-360" w:right="-180"/>
        <w:rPr>
          <w:rFonts w:ascii="Arial" w:hAnsi="Arial" w:cs="Arial"/>
          <w:sz w:val="22"/>
          <w:szCs w:val="22"/>
        </w:rPr>
      </w:pPr>
      <w:r w:rsidRPr="0064354A">
        <w:rPr>
          <w:rFonts w:ascii="Arial" w:hAnsi="Arial" w:cs="Arial"/>
          <w:sz w:val="22"/>
          <w:szCs w:val="22"/>
        </w:rPr>
        <w:t xml:space="preserve">Woodall KA, Jacobson IG, Crum-Cianflone NF. </w:t>
      </w:r>
      <w:r w:rsidRPr="0064354A">
        <w:rPr>
          <w:rFonts w:ascii="Arial" w:hAnsi="Arial" w:cs="Arial"/>
          <w:b/>
          <w:sz w:val="22"/>
          <w:szCs w:val="22"/>
        </w:rPr>
        <w:t>Deployment experiences and motor vehicle crashes among U.S. service members.</w:t>
      </w:r>
      <w:r w:rsidRPr="0064354A">
        <w:rPr>
          <w:rFonts w:ascii="Arial" w:hAnsi="Arial" w:cs="Arial"/>
          <w:sz w:val="22"/>
          <w:szCs w:val="22"/>
        </w:rPr>
        <w:t xml:space="preserve"> American</w:t>
      </w:r>
      <w:r>
        <w:rPr>
          <w:rFonts w:ascii="Arial" w:hAnsi="Arial" w:cs="Arial"/>
          <w:sz w:val="22"/>
          <w:szCs w:val="22"/>
        </w:rPr>
        <w:t xml:space="preserve"> Journal of Preventive Medicine; </w:t>
      </w:r>
      <w:r w:rsidRPr="0064354A">
        <w:rPr>
          <w:rFonts w:ascii="Arial" w:hAnsi="Arial" w:cs="Arial"/>
          <w:sz w:val="22"/>
          <w:szCs w:val="22"/>
        </w:rPr>
        <w:t>In press.</w:t>
      </w:r>
    </w:p>
    <w:p w:rsidR="0064354A" w:rsidRPr="0064354A" w:rsidRDefault="0064354A" w:rsidP="0064354A">
      <w:pPr>
        <w:ind w:left="-360" w:right="-180"/>
        <w:rPr>
          <w:rFonts w:ascii="Arial" w:hAnsi="Arial" w:cs="Arial"/>
          <w:i/>
          <w:sz w:val="20"/>
          <w:szCs w:val="20"/>
        </w:rPr>
      </w:pPr>
    </w:p>
    <w:p w:rsidR="00B34B9D" w:rsidRDefault="0064354A" w:rsidP="00B34B9D">
      <w:pPr>
        <w:ind w:left="-360" w:right="-180"/>
        <w:rPr>
          <w:rFonts w:ascii="Arial" w:hAnsi="Arial" w:cs="Arial"/>
          <w:i/>
          <w:color w:val="0000FF"/>
          <w:sz w:val="22"/>
          <w:szCs w:val="22"/>
        </w:rPr>
      </w:pPr>
      <w:r w:rsidRPr="0064354A">
        <w:rPr>
          <w:rFonts w:ascii="Arial" w:hAnsi="Arial" w:cs="Arial"/>
          <w:i/>
          <w:color w:val="0000FF"/>
          <w:sz w:val="22"/>
          <w:szCs w:val="22"/>
        </w:rPr>
        <w:t xml:space="preserve">Findings indicate experiencing combat during deployment and multiple deployments are strong predictors for a motor vehicle crash (MVC) within the first six months of returning home from deployments in support of Iraq and Afghanistan among U.S. military members. These data provide critical information for targeting prevention strategies to decrease MVCs among personnel </w:t>
      </w:r>
      <w:proofErr w:type="spellStart"/>
      <w:r w:rsidRPr="0064354A">
        <w:rPr>
          <w:rFonts w:ascii="Arial" w:hAnsi="Arial" w:cs="Arial"/>
          <w:i/>
          <w:color w:val="0000FF"/>
          <w:sz w:val="22"/>
          <w:szCs w:val="22"/>
        </w:rPr>
        <w:t>postdeployment</w:t>
      </w:r>
      <w:proofErr w:type="spellEnd"/>
      <w:r w:rsidRPr="0064354A">
        <w:rPr>
          <w:rFonts w:ascii="Arial" w:hAnsi="Arial" w:cs="Arial"/>
          <w:i/>
          <w:color w:val="0000FF"/>
          <w:sz w:val="22"/>
          <w:szCs w:val="22"/>
        </w:rPr>
        <w:t>.</w:t>
      </w:r>
    </w:p>
    <w:p w:rsidR="00B34B9D" w:rsidRDefault="00B34B9D" w:rsidP="00B34B9D">
      <w:pPr>
        <w:ind w:left="-360" w:right="-180"/>
        <w:rPr>
          <w:rFonts w:ascii="Arial" w:hAnsi="Arial" w:cs="Arial"/>
          <w:i/>
          <w:color w:val="0000FF"/>
          <w:sz w:val="22"/>
          <w:szCs w:val="22"/>
        </w:rPr>
      </w:pPr>
    </w:p>
    <w:p w:rsidR="007B4CE1" w:rsidRPr="00B34B9D" w:rsidRDefault="007B4CE1" w:rsidP="00B34B9D">
      <w:pPr>
        <w:ind w:left="-360" w:right="-180"/>
        <w:rPr>
          <w:rFonts w:ascii="Arial" w:hAnsi="Arial" w:cs="Arial"/>
          <w:i/>
          <w:color w:val="0000FF"/>
          <w:sz w:val="22"/>
          <w:szCs w:val="22"/>
        </w:rPr>
      </w:pPr>
      <w:r w:rsidRPr="007B4CE1">
        <w:rPr>
          <w:rFonts w:ascii="Arial" w:hAnsi="Arial" w:cs="Arial"/>
          <w:sz w:val="22"/>
          <w:szCs w:val="22"/>
        </w:rPr>
        <w:t>Owens BD, Wolf JM, Seelig AD, Jacobson IG, Boyko EJ, Smith B, Ryan MAK,</w:t>
      </w:r>
      <w:r>
        <w:rPr>
          <w:rFonts w:ascii="Arial" w:hAnsi="Arial" w:cs="Arial"/>
          <w:sz w:val="22"/>
          <w:szCs w:val="22"/>
        </w:rPr>
        <w:t xml:space="preserve"> Gackstetter GD, Smith TC. </w:t>
      </w:r>
      <w:r w:rsidRPr="007B4CE1">
        <w:rPr>
          <w:rFonts w:ascii="Arial" w:hAnsi="Arial" w:cs="Arial"/>
          <w:b/>
          <w:sz w:val="22"/>
          <w:szCs w:val="22"/>
        </w:rPr>
        <w:t xml:space="preserve">Risk factors for lower extremity </w:t>
      </w:r>
      <w:proofErr w:type="spellStart"/>
      <w:r w:rsidRPr="007B4CE1">
        <w:rPr>
          <w:rFonts w:ascii="Arial" w:hAnsi="Arial" w:cs="Arial"/>
          <w:b/>
          <w:sz w:val="22"/>
          <w:szCs w:val="22"/>
        </w:rPr>
        <w:t>tendinopathies</w:t>
      </w:r>
      <w:proofErr w:type="spellEnd"/>
      <w:r w:rsidRPr="007B4CE1">
        <w:rPr>
          <w:rFonts w:ascii="Arial" w:hAnsi="Arial" w:cs="Arial"/>
          <w:b/>
          <w:sz w:val="22"/>
          <w:szCs w:val="22"/>
        </w:rPr>
        <w:t xml:space="preserve"> in military personnel</w:t>
      </w:r>
      <w:r w:rsidRPr="007B4CE1">
        <w:rPr>
          <w:rFonts w:ascii="Arial" w:hAnsi="Arial" w:cs="Arial"/>
          <w:sz w:val="22"/>
          <w:szCs w:val="22"/>
        </w:rPr>
        <w:t xml:space="preserve">. The </w:t>
      </w:r>
      <w:proofErr w:type="spellStart"/>
      <w:r w:rsidRPr="007B4CE1">
        <w:rPr>
          <w:rFonts w:ascii="Arial" w:hAnsi="Arial" w:cs="Arial"/>
          <w:sz w:val="22"/>
          <w:szCs w:val="22"/>
        </w:rPr>
        <w:t>Orthopa</w:t>
      </w:r>
      <w:r w:rsidR="00624BE9">
        <w:rPr>
          <w:rFonts w:ascii="Arial" w:hAnsi="Arial" w:cs="Arial"/>
          <w:sz w:val="22"/>
          <w:szCs w:val="22"/>
        </w:rPr>
        <w:t>edic</w:t>
      </w:r>
      <w:proofErr w:type="spellEnd"/>
      <w:r w:rsidR="00624BE9">
        <w:rPr>
          <w:rFonts w:ascii="Arial" w:hAnsi="Arial" w:cs="Arial"/>
          <w:sz w:val="22"/>
          <w:szCs w:val="22"/>
        </w:rPr>
        <w:t xml:space="preserve"> Journal of Sports Medicine; </w:t>
      </w:r>
      <w:r w:rsidR="00624BE9" w:rsidRPr="007B4CE1">
        <w:rPr>
          <w:rFonts w:ascii="Arial" w:hAnsi="Arial" w:cs="Arial"/>
          <w:sz w:val="22"/>
          <w:szCs w:val="22"/>
        </w:rPr>
        <w:t>In</w:t>
      </w:r>
      <w:r w:rsidRPr="007B4CE1">
        <w:rPr>
          <w:rFonts w:ascii="Arial" w:hAnsi="Arial" w:cs="Arial"/>
          <w:sz w:val="22"/>
          <w:szCs w:val="22"/>
        </w:rPr>
        <w:t xml:space="preserve"> press.</w:t>
      </w:r>
    </w:p>
    <w:p w:rsidR="007B4CE1" w:rsidRPr="007B4CE1" w:rsidRDefault="007B4CE1" w:rsidP="007B4CE1">
      <w:pPr>
        <w:ind w:left="-360" w:right="-180"/>
        <w:rPr>
          <w:rFonts w:ascii="Arial" w:hAnsi="Arial" w:cs="Arial"/>
          <w:i/>
          <w:color w:val="0000FF"/>
          <w:sz w:val="22"/>
          <w:szCs w:val="22"/>
        </w:rPr>
      </w:pPr>
    </w:p>
    <w:p w:rsidR="001D6C02" w:rsidRDefault="007B4CE1" w:rsidP="001D6C02">
      <w:pPr>
        <w:ind w:left="-360" w:right="-180"/>
        <w:rPr>
          <w:rFonts w:ascii="Arial" w:hAnsi="Arial" w:cs="Arial"/>
          <w:i/>
          <w:color w:val="0000FF"/>
          <w:sz w:val="22"/>
          <w:szCs w:val="22"/>
        </w:rPr>
      </w:pPr>
      <w:r w:rsidRPr="007B4CE1">
        <w:rPr>
          <w:rFonts w:ascii="Arial" w:hAnsi="Arial" w:cs="Arial"/>
          <w:i/>
          <w:color w:val="0000FF"/>
          <w:sz w:val="22"/>
          <w:szCs w:val="22"/>
        </w:rPr>
        <w:t xml:space="preserve">This study found that deployment was associated with the development of plantar fasciitis. Modifiable risk factors including being overweight or obese were associated with both Achilles </w:t>
      </w:r>
      <w:proofErr w:type="spellStart"/>
      <w:r w:rsidRPr="007B4CE1">
        <w:rPr>
          <w:rFonts w:ascii="Arial" w:hAnsi="Arial" w:cs="Arial"/>
          <w:i/>
          <w:color w:val="0000FF"/>
          <w:sz w:val="22"/>
          <w:szCs w:val="22"/>
        </w:rPr>
        <w:t>tendinopathy</w:t>
      </w:r>
      <w:proofErr w:type="spellEnd"/>
      <w:r w:rsidRPr="007B4CE1">
        <w:rPr>
          <w:rFonts w:ascii="Arial" w:hAnsi="Arial" w:cs="Arial"/>
          <w:i/>
          <w:color w:val="0000FF"/>
          <w:sz w:val="22"/>
          <w:szCs w:val="22"/>
        </w:rPr>
        <w:t xml:space="preserve"> and plantar fasciitis, with a marginal relationship between moderate alcohol use and Achilles</w:t>
      </w:r>
      <w:r>
        <w:rPr>
          <w:rFonts w:ascii="Arial" w:hAnsi="Arial" w:cs="Arial"/>
          <w:i/>
          <w:color w:val="0000FF"/>
          <w:sz w:val="22"/>
          <w:szCs w:val="22"/>
        </w:rPr>
        <w:t xml:space="preserve"> </w:t>
      </w:r>
      <w:proofErr w:type="spellStart"/>
      <w:r w:rsidRPr="007B4CE1">
        <w:rPr>
          <w:rFonts w:ascii="Arial" w:hAnsi="Arial" w:cs="Arial"/>
          <w:i/>
          <w:color w:val="0000FF"/>
          <w:sz w:val="22"/>
          <w:szCs w:val="22"/>
        </w:rPr>
        <w:t>tendinopathy</w:t>
      </w:r>
      <w:proofErr w:type="spellEnd"/>
      <w:r w:rsidRPr="007B4CE1">
        <w:rPr>
          <w:rFonts w:ascii="Arial" w:hAnsi="Arial" w:cs="Arial"/>
          <w:i/>
          <w:color w:val="0000FF"/>
          <w:sz w:val="22"/>
          <w:szCs w:val="22"/>
        </w:rPr>
        <w:t>.  Identification of potential risk factors for musculoskeletal injuries among service members could serve as the focus for future prevention and intervention efforts.</w:t>
      </w:r>
    </w:p>
    <w:p w:rsidR="001D6C02" w:rsidRPr="001D6C02" w:rsidRDefault="001D6C02" w:rsidP="001D6C02">
      <w:pPr>
        <w:ind w:left="-360" w:right="-180"/>
        <w:rPr>
          <w:rFonts w:ascii="Arial" w:hAnsi="Arial" w:cs="Arial"/>
          <w:sz w:val="22"/>
          <w:szCs w:val="22"/>
        </w:rPr>
      </w:pPr>
    </w:p>
    <w:p w:rsidR="001D6C02" w:rsidRPr="001D6C02" w:rsidRDefault="001D6C02" w:rsidP="001D6C02">
      <w:pPr>
        <w:ind w:left="-360" w:right="-180"/>
        <w:rPr>
          <w:rFonts w:ascii="Arial" w:hAnsi="Arial" w:cs="Arial"/>
          <w:sz w:val="22"/>
          <w:szCs w:val="22"/>
        </w:rPr>
      </w:pPr>
      <w:proofErr w:type="spellStart"/>
      <w:r w:rsidRPr="001D6C02">
        <w:rPr>
          <w:rFonts w:ascii="Arial" w:hAnsi="Arial" w:cs="Arial"/>
          <w:sz w:val="22"/>
          <w:szCs w:val="22"/>
        </w:rPr>
        <w:t>Hoge</w:t>
      </w:r>
      <w:proofErr w:type="spellEnd"/>
      <w:r w:rsidRPr="001D6C02">
        <w:rPr>
          <w:rFonts w:ascii="Arial" w:hAnsi="Arial" w:cs="Arial"/>
          <w:sz w:val="22"/>
          <w:szCs w:val="22"/>
        </w:rPr>
        <w:t xml:space="preserve"> CW, </w:t>
      </w:r>
      <w:proofErr w:type="spellStart"/>
      <w:r w:rsidRPr="001D6C02">
        <w:rPr>
          <w:rFonts w:ascii="Arial" w:hAnsi="Arial" w:cs="Arial"/>
          <w:sz w:val="22"/>
          <w:szCs w:val="22"/>
        </w:rPr>
        <w:t>LeardMann</w:t>
      </w:r>
      <w:proofErr w:type="spellEnd"/>
      <w:r w:rsidRPr="001D6C02">
        <w:rPr>
          <w:rFonts w:ascii="Arial" w:hAnsi="Arial" w:cs="Arial"/>
          <w:sz w:val="22"/>
          <w:szCs w:val="22"/>
        </w:rPr>
        <w:t xml:space="preserve"> CA, Boyko EJ. </w:t>
      </w:r>
      <w:r w:rsidRPr="001D6C02">
        <w:rPr>
          <w:rFonts w:ascii="Arial" w:hAnsi="Arial" w:cs="Arial"/>
          <w:b/>
          <w:sz w:val="22"/>
          <w:szCs w:val="22"/>
        </w:rPr>
        <w:t>Suicides Among Military Personnel Reply</w:t>
      </w:r>
      <w:r w:rsidRPr="001D6C02">
        <w:rPr>
          <w:rFonts w:ascii="Arial" w:hAnsi="Arial" w:cs="Arial"/>
          <w:sz w:val="22"/>
          <w:szCs w:val="22"/>
        </w:rPr>
        <w:t>. Journal of the American Medical Association. 2013 Dec;310(23):2565-2566.</w:t>
      </w:r>
    </w:p>
    <w:p w:rsidR="001D6C02" w:rsidRDefault="001D6C02" w:rsidP="001D6C02">
      <w:pPr>
        <w:ind w:left="-360" w:right="-180"/>
      </w:pPr>
    </w:p>
    <w:p w:rsidR="001D6C02" w:rsidRPr="001D6C02" w:rsidRDefault="001D6C02" w:rsidP="001D6C02">
      <w:pPr>
        <w:ind w:left="-360" w:right="-180"/>
        <w:rPr>
          <w:rFonts w:ascii="Arial" w:hAnsi="Arial" w:cs="Arial"/>
          <w:i/>
          <w:color w:val="0000FF"/>
          <w:sz w:val="22"/>
          <w:szCs w:val="22"/>
        </w:rPr>
      </w:pPr>
      <w:r w:rsidRPr="001D6C02">
        <w:rPr>
          <w:rFonts w:ascii="Arial" w:hAnsi="Arial" w:cs="Arial"/>
          <w:i/>
          <w:color w:val="0000FF"/>
          <w:sz w:val="22"/>
          <w:szCs w:val="22"/>
        </w:rPr>
        <w:t>Discusses the complexity of suicidal behaviors and some challenges related to this type of research, while highlighting the strengths of using data from the Millennium Cohort to study suicide.</w:t>
      </w:r>
    </w:p>
    <w:p w:rsidR="00D41E37" w:rsidRPr="00D41E37" w:rsidRDefault="00D41E37" w:rsidP="00D41E37">
      <w:pPr>
        <w:ind w:right="-180"/>
        <w:rPr>
          <w:rFonts w:ascii="Arial" w:hAnsi="Arial" w:cs="Arial"/>
          <w:sz w:val="22"/>
          <w:szCs w:val="22"/>
        </w:rPr>
      </w:pPr>
    </w:p>
    <w:p w:rsidR="00866D3C" w:rsidRDefault="00567CB7" w:rsidP="006D7C9B">
      <w:pPr>
        <w:ind w:left="-360" w:right="-180"/>
        <w:rPr>
          <w:rFonts w:ascii="Arial" w:hAnsi="Arial" w:cs="Arial"/>
          <w:sz w:val="22"/>
          <w:szCs w:val="22"/>
        </w:rPr>
      </w:pPr>
      <w:r>
        <w:rPr>
          <w:rFonts w:ascii="Arial" w:hAnsi="Arial" w:cs="Arial"/>
          <w:sz w:val="22"/>
          <w:szCs w:val="22"/>
        </w:rPr>
        <w:lastRenderedPageBreak/>
        <w:t>Bagnell ME</w:t>
      </w:r>
      <w:r w:rsidR="00866D3C" w:rsidRPr="00866D3C">
        <w:rPr>
          <w:rFonts w:ascii="Arial" w:hAnsi="Arial" w:cs="Arial"/>
          <w:sz w:val="22"/>
          <w:szCs w:val="22"/>
        </w:rPr>
        <w:t xml:space="preserve">, LeardMann CA, McMaster HS, Boyko EJ, Smith B, Granado, NS, and Smith TC. </w:t>
      </w:r>
      <w:r w:rsidR="00866D3C" w:rsidRPr="00866D3C">
        <w:rPr>
          <w:rFonts w:ascii="Arial" w:hAnsi="Arial" w:cs="Arial"/>
          <w:b/>
          <w:sz w:val="22"/>
          <w:szCs w:val="22"/>
        </w:rPr>
        <w:t xml:space="preserve">The association of </w:t>
      </w:r>
      <w:proofErr w:type="spellStart"/>
      <w:r w:rsidR="00866D3C" w:rsidRPr="00866D3C">
        <w:rPr>
          <w:rFonts w:ascii="Arial" w:hAnsi="Arial" w:cs="Arial"/>
          <w:b/>
          <w:sz w:val="22"/>
          <w:szCs w:val="22"/>
        </w:rPr>
        <w:t>predeployment</w:t>
      </w:r>
      <w:proofErr w:type="spellEnd"/>
      <w:r w:rsidR="00866D3C" w:rsidRPr="00866D3C">
        <w:rPr>
          <w:rFonts w:ascii="Arial" w:hAnsi="Arial" w:cs="Arial"/>
          <w:b/>
          <w:sz w:val="22"/>
          <w:szCs w:val="22"/>
        </w:rPr>
        <w:t xml:space="preserve"> and deployment-related factors on dimensions of </w:t>
      </w:r>
      <w:proofErr w:type="spellStart"/>
      <w:r w:rsidR="00866D3C" w:rsidRPr="00866D3C">
        <w:rPr>
          <w:rFonts w:ascii="Arial" w:hAnsi="Arial" w:cs="Arial"/>
          <w:b/>
          <w:sz w:val="22"/>
          <w:szCs w:val="22"/>
        </w:rPr>
        <w:t>postdeployment</w:t>
      </w:r>
      <w:proofErr w:type="spellEnd"/>
      <w:r w:rsidR="00866D3C" w:rsidRPr="00866D3C">
        <w:rPr>
          <w:rFonts w:ascii="Arial" w:hAnsi="Arial" w:cs="Arial"/>
          <w:b/>
          <w:sz w:val="22"/>
          <w:szCs w:val="22"/>
        </w:rPr>
        <w:t xml:space="preserve"> wellness in US military service members</w:t>
      </w:r>
      <w:r w:rsidR="00866D3C" w:rsidRPr="00866D3C">
        <w:rPr>
          <w:rFonts w:ascii="Arial" w:hAnsi="Arial" w:cs="Arial"/>
          <w:sz w:val="22"/>
          <w:szCs w:val="22"/>
        </w:rPr>
        <w:t>. The American Journal of Health Promotion</w:t>
      </w:r>
      <w:r w:rsidR="00EF4A73">
        <w:rPr>
          <w:rFonts w:ascii="Arial" w:hAnsi="Arial" w:cs="Arial"/>
          <w:sz w:val="22"/>
          <w:szCs w:val="22"/>
        </w:rPr>
        <w:t xml:space="preserve">.  </w:t>
      </w:r>
      <w:r w:rsidR="00EF4A73" w:rsidRPr="00EF4A73">
        <w:rPr>
          <w:rFonts w:ascii="Arial" w:hAnsi="Arial" w:cs="Arial"/>
          <w:sz w:val="22"/>
          <w:szCs w:val="22"/>
        </w:rPr>
        <w:t>2013 28:2, 56-66</w:t>
      </w:r>
    </w:p>
    <w:p w:rsidR="00866D3C" w:rsidRDefault="00866D3C" w:rsidP="006D7C9B">
      <w:pPr>
        <w:ind w:left="-360" w:right="-180"/>
        <w:rPr>
          <w:rFonts w:ascii="Arial" w:hAnsi="Arial" w:cs="Arial"/>
          <w:sz w:val="22"/>
          <w:szCs w:val="22"/>
        </w:rPr>
      </w:pPr>
    </w:p>
    <w:p w:rsidR="00542082" w:rsidRDefault="00866D3C" w:rsidP="00542082">
      <w:pPr>
        <w:ind w:left="-360" w:right="-180"/>
        <w:rPr>
          <w:rFonts w:ascii="Arial" w:hAnsi="Arial" w:cs="Arial"/>
          <w:i/>
          <w:color w:val="0000FF"/>
          <w:sz w:val="22"/>
          <w:szCs w:val="22"/>
        </w:rPr>
      </w:pPr>
      <w:r w:rsidRPr="00866D3C">
        <w:rPr>
          <w:rFonts w:ascii="Arial" w:hAnsi="Arial" w:cs="Arial"/>
          <w:i/>
          <w:color w:val="0000FF"/>
          <w:sz w:val="22"/>
          <w:szCs w:val="22"/>
        </w:rPr>
        <w:t>This study found that the majority of participants were well post-deployment, and military factors associated with post-deployment wellness included not experiencing combat and being trained as a combat specialist. Modifiable factors significantly associated with post-deployment wellness were also detected, including normal BMI, not smoking, and being physically active.</w:t>
      </w:r>
    </w:p>
    <w:p w:rsidR="009B06DD" w:rsidRDefault="009B06DD" w:rsidP="00542082">
      <w:pPr>
        <w:ind w:left="-360" w:right="-180"/>
        <w:rPr>
          <w:rFonts w:ascii="Arial" w:hAnsi="Arial" w:cs="Arial"/>
          <w:i/>
          <w:color w:val="0000FF"/>
          <w:sz w:val="22"/>
          <w:szCs w:val="22"/>
        </w:rPr>
      </w:pPr>
    </w:p>
    <w:p w:rsidR="00542082" w:rsidRDefault="00542082" w:rsidP="00542082">
      <w:pPr>
        <w:ind w:left="-360" w:right="-180"/>
        <w:rPr>
          <w:rFonts w:ascii="Arial" w:hAnsi="Arial" w:cs="Arial"/>
          <w:sz w:val="22"/>
          <w:szCs w:val="22"/>
        </w:rPr>
      </w:pPr>
      <w:r w:rsidRPr="00542082">
        <w:rPr>
          <w:rFonts w:ascii="Arial" w:hAnsi="Arial" w:cs="Arial"/>
          <w:sz w:val="22"/>
          <w:szCs w:val="22"/>
        </w:rPr>
        <w:t xml:space="preserve">LeardMann CA, Powell TM, Smith TC, Bell MR, Smith B, Boyko EJ, Hooper TI, </w:t>
      </w:r>
      <w:proofErr w:type="spellStart"/>
      <w:r w:rsidRPr="00542082">
        <w:rPr>
          <w:rFonts w:ascii="Arial" w:hAnsi="Arial" w:cs="Arial"/>
          <w:sz w:val="22"/>
          <w:szCs w:val="22"/>
        </w:rPr>
        <w:t>Gackstetter</w:t>
      </w:r>
      <w:proofErr w:type="spellEnd"/>
      <w:r w:rsidRPr="00542082">
        <w:rPr>
          <w:rFonts w:ascii="Arial" w:hAnsi="Arial" w:cs="Arial"/>
          <w:sz w:val="22"/>
          <w:szCs w:val="22"/>
        </w:rPr>
        <w:t xml:space="preserve"> GD, </w:t>
      </w:r>
      <w:proofErr w:type="spellStart"/>
      <w:r w:rsidRPr="00542082">
        <w:rPr>
          <w:rFonts w:ascii="Arial" w:hAnsi="Arial" w:cs="Arial"/>
          <w:sz w:val="22"/>
          <w:szCs w:val="22"/>
        </w:rPr>
        <w:t>Ghamsary</w:t>
      </w:r>
      <w:proofErr w:type="spellEnd"/>
      <w:r w:rsidRPr="00542082">
        <w:rPr>
          <w:rFonts w:ascii="Arial" w:hAnsi="Arial" w:cs="Arial"/>
          <w:sz w:val="22"/>
          <w:szCs w:val="22"/>
        </w:rPr>
        <w:t xml:space="preserve"> M, </w:t>
      </w:r>
      <w:proofErr w:type="spellStart"/>
      <w:r w:rsidRPr="00542082">
        <w:rPr>
          <w:rFonts w:ascii="Arial" w:hAnsi="Arial" w:cs="Arial"/>
          <w:sz w:val="22"/>
          <w:szCs w:val="22"/>
        </w:rPr>
        <w:t>Hoge</w:t>
      </w:r>
      <w:proofErr w:type="spellEnd"/>
      <w:r w:rsidRPr="00542082">
        <w:rPr>
          <w:rFonts w:ascii="Arial" w:hAnsi="Arial" w:cs="Arial"/>
          <w:sz w:val="22"/>
          <w:szCs w:val="22"/>
        </w:rPr>
        <w:t xml:space="preserve"> CW. </w:t>
      </w:r>
      <w:r w:rsidRPr="00542082">
        <w:rPr>
          <w:rFonts w:ascii="Arial" w:hAnsi="Arial" w:cs="Arial"/>
          <w:b/>
          <w:bCs/>
          <w:sz w:val="22"/>
          <w:szCs w:val="22"/>
        </w:rPr>
        <w:t>Risk factors associated with suicide in current and former US military personnel</w:t>
      </w:r>
      <w:r w:rsidRPr="00542082">
        <w:rPr>
          <w:rFonts w:ascii="Arial" w:hAnsi="Arial" w:cs="Arial"/>
          <w:sz w:val="22"/>
          <w:szCs w:val="22"/>
        </w:rPr>
        <w:t>. Journal of the American Medical Association. 2013;310(5):496-506.</w:t>
      </w:r>
    </w:p>
    <w:p w:rsidR="00542082" w:rsidRDefault="00542082" w:rsidP="00542082">
      <w:pPr>
        <w:ind w:left="-360" w:right="-180"/>
        <w:rPr>
          <w:rFonts w:ascii="Arial" w:hAnsi="Arial" w:cs="Arial"/>
          <w:sz w:val="22"/>
          <w:szCs w:val="22"/>
        </w:rPr>
      </w:pPr>
    </w:p>
    <w:p w:rsidR="00EF4A73" w:rsidRPr="009B06DD" w:rsidRDefault="00542082" w:rsidP="009B06DD">
      <w:pPr>
        <w:ind w:left="-360" w:right="-180"/>
        <w:rPr>
          <w:rFonts w:ascii="Arial" w:hAnsi="Arial" w:cs="Arial"/>
          <w:i/>
          <w:color w:val="0000FF"/>
          <w:sz w:val="22"/>
          <w:szCs w:val="22"/>
        </w:rPr>
      </w:pPr>
      <w:r w:rsidRPr="00542082">
        <w:rPr>
          <w:rFonts w:ascii="Arial" w:hAnsi="Arial" w:cs="Arial"/>
          <w:i/>
          <w:color w:val="0000FF"/>
          <w:sz w:val="22"/>
          <w:szCs w:val="22"/>
        </w:rPr>
        <w:t>Based on data from over 150,000 current and former service members from all service branches, 83 suicide deaths occurred in 707,493 person-years from</w:t>
      </w:r>
      <w:r>
        <w:rPr>
          <w:rFonts w:ascii="Arial" w:hAnsi="Arial" w:cs="Arial"/>
          <w:i/>
          <w:color w:val="0000FF"/>
          <w:sz w:val="22"/>
          <w:szCs w:val="22"/>
        </w:rPr>
        <w:t xml:space="preserve"> </w:t>
      </w:r>
      <w:r w:rsidRPr="00542082">
        <w:rPr>
          <w:rFonts w:ascii="Arial" w:hAnsi="Arial" w:cs="Arial"/>
          <w:i/>
          <w:color w:val="0000FF"/>
          <w:sz w:val="22"/>
          <w:szCs w:val="22"/>
        </w:rPr>
        <w:t>2001 through 2008 (11.73/100,000 person-years). Suicide risk was independently associated with depression, manic-depressive disorder, alcohol-related problems, and male gender. None of the deployment or military-related factors were associated with an increased risk for suicide.</w:t>
      </w:r>
      <w:r>
        <w:rPr>
          <w:rFonts w:ascii="Arial" w:hAnsi="Arial" w:cs="Arial"/>
          <w:i/>
          <w:color w:val="0000FF"/>
          <w:sz w:val="22"/>
          <w:szCs w:val="22"/>
        </w:rPr>
        <w:t xml:space="preserve"> </w:t>
      </w:r>
      <w:r w:rsidRPr="00542082">
        <w:rPr>
          <w:rFonts w:ascii="Arial" w:hAnsi="Arial" w:cs="Arial"/>
          <w:i/>
          <w:color w:val="0000FF"/>
          <w:sz w:val="22"/>
          <w:szCs w:val="22"/>
        </w:rPr>
        <w:t>Assessing service members' prior psychiatric history as well as screening for and treating mental and substance abuse disorders may provide the best potential for mitigating suicide risk.</w:t>
      </w:r>
    </w:p>
    <w:p w:rsidR="00646815" w:rsidRDefault="00646815" w:rsidP="00EF4A73">
      <w:pPr>
        <w:ind w:left="-360" w:right="-180"/>
        <w:rPr>
          <w:rFonts w:ascii="Arial" w:hAnsi="Arial" w:cs="Arial"/>
          <w:sz w:val="22"/>
          <w:szCs w:val="22"/>
        </w:rPr>
      </w:pPr>
    </w:p>
    <w:p w:rsidR="00EF4A73" w:rsidRPr="000E3A76" w:rsidRDefault="00EF4A73" w:rsidP="00EF4A73">
      <w:pPr>
        <w:ind w:left="-360" w:right="-180"/>
        <w:rPr>
          <w:rFonts w:ascii="Arial" w:hAnsi="Arial" w:cs="Arial"/>
          <w:sz w:val="22"/>
          <w:szCs w:val="22"/>
        </w:rPr>
      </w:pPr>
      <w:r w:rsidRPr="000E3A76">
        <w:rPr>
          <w:rFonts w:ascii="Arial" w:hAnsi="Arial" w:cs="Arial"/>
          <w:sz w:val="22"/>
          <w:szCs w:val="22"/>
        </w:rPr>
        <w:t xml:space="preserve">Boyko EJ, Seelig AD, Jacobson IG, Hooper TI, Smith B, Smith TC, Crum-Cianflone NF. </w:t>
      </w:r>
      <w:r w:rsidRPr="000E3A76">
        <w:rPr>
          <w:rFonts w:ascii="Arial" w:hAnsi="Arial" w:cs="Arial"/>
          <w:b/>
          <w:sz w:val="22"/>
          <w:szCs w:val="22"/>
        </w:rPr>
        <w:t>Sleep characteristics, mental health, and diabetes risk: a prospective study of U.S. military service members in the Millennium Cohort Study</w:t>
      </w:r>
      <w:r>
        <w:rPr>
          <w:rFonts w:ascii="Arial" w:hAnsi="Arial" w:cs="Arial"/>
          <w:sz w:val="22"/>
          <w:szCs w:val="22"/>
        </w:rPr>
        <w:t xml:space="preserve">. Diabetes Care.  </w:t>
      </w:r>
      <w:r w:rsidRPr="00EF4A73">
        <w:rPr>
          <w:rFonts w:ascii="Arial" w:hAnsi="Arial" w:cs="Arial"/>
          <w:sz w:val="22"/>
          <w:szCs w:val="22"/>
        </w:rPr>
        <w:t>2013 Oct;36(10):3154-61</w:t>
      </w:r>
      <w:r>
        <w:rPr>
          <w:rFonts w:ascii="Arial" w:hAnsi="Arial" w:cs="Arial"/>
          <w:sz w:val="22"/>
          <w:szCs w:val="22"/>
        </w:rPr>
        <w:t>.</w:t>
      </w:r>
    </w:p>
    <w:p w:rsidR="00EF4A73" w:rsidRDefault="00EF4A73" w:rsidP="00EF4A73">
      <w:pPr>
        <w:ind w:left="-360" w:right="-180"/>
        <w:rPr>
          <w:rFonts w:ascii="Arial" w:hAnsi="Arial" w:cs="Arial"/>
          <w:i/>
          <w:sz w:val="20"/>
          <w:szCs w:val="20"/>
        </w:rPr>
      </w:pPr>
    </w:p>
    <w:p w:rsidR="0014202F" w:rsidRDefault="00EF4A73" w:rsidP="00EF4A73">
      <w:pPr>
        <w:ind w:left="-360" w:right="-180"/>
        <w:rPr>
          <w:rFonts w:ascii="Arial" w:hAnsi="Arial" w:cs="Arial"/>
          <w:i/>
          <w:color w:val="0000FF"/>
          <w:sz w:val="22"/>
          <w:szCs w:val="22"/>
        </w:rPr>
      </w:pPr>
      <w:r w:rsidRPr="000E3A76">
        <w:rPr>
          <w:rFonts w:ascii="Arial" w:hAnsi="Arial" w:cs="Arial"/>
          <w:i/>
          <w:color w:val="0000FF"/>
          <w:sz w:val="22"/>
          <w:szCs w:val="22"/>
        </w:rPr>
        <w:t>We investigated whether poor sleep and mental health symptoms were independently related to diabetes risk. During 6 years of follow-up, the annual incidence rate for type 2 diabetes was 3.6/1,000 person years. After adjusting for covariates including mental health disorders like posttraumatic stress disorder and depression, both trouble sleeping and sleep apnea significantly predicted diabetes risk independent of these mental health conditions and other diabetes risk factors.</w:t>
      </w:r>
    </w:p>
    <w:p w:rsidR="00646815" w:rsidRPr="00EF4A73" w:rsidRDefault="00646815" w:rsidP="00EF4A73">
      <w:pPr>
        <w:ind w:left="-360" w:right="-180"/>
        <w:rPr>
          <w:rFonts w:ascii="Arial" w:hAnsi="Arial" w:cs="Arial"/>
          <w:i/>
          <w:color w:val="0000FF"/>
          <w:sz w:val="22"/>
          <w:szCs w:val="22"/>
        </w:rPr>
      </w:pPr>
    </w:p>
    <w:p w:rsidR="00B46751" w:rsidRPr="00B46751" w:rsidRDefault="00B46751" w:rsidP="003B1425">
      <w:pPr>
        <w:ind w:left="-360" w:right="-180"/>
        <w:rPr>
          <w:rFonts w:ascii="Arial" w:hAnsi="Arial" w:cs="Arial"/>
          <w:sz w:val="22"/>
          <w:szCs w:val="22"/>
        </w:rPr>
      </w:pPr>
      <w:r w:rsidRPr="00B46751">
        <w:rPr>
          <w:rFonts w:ascii="Arial" w:hAnsi="Arial" w:cs="Arial"/>
          <w:sz w:val="22"/>
          <w:szCs w:val="22"/>
        </w:rPr>
        <w:t xml:space="preserve">Horton JL, Jacobson IJ, Littman AJ, </w:t>
      </w:r>
      <w:proofErr w:type="spellStart"/>
      <w:r w:rsidRPr="00B46751">
        <w:rPr>
          <w:rFonts w:ascii="Arial" w:hAnsi="Arial" w:cs="Arial"/>
          <w:sz w:val="22"/>
          <w:szCs w:val="22"/>
        </w:rPr>
        <w:t>Alcaraz</w:t>
      </w:r>
      <w:proofErr w:type="spellEnd"/>
      <w:r w:rsidRPr="00B46751">
        <w:rPr>
          <w:rFonts w:ascii="Arial" w:hAnsi="Arial" w:cs="Arial"/>
          <w:sz w:val="22"/>
          <w:szCs w:val="22"/>
        </w:rPr>
        <w:t xml:space="preserve"> JE, Smith B, and Crum-Cianflone NF. </w:t>
      </w:r>
      <w:r w:rsidRPr="00B46751">
        <w:rPr>
          <w:rFonts w:ascii="Arial" w:hAnsi="Arial" w:cs="Arial"/>
          <w:b/>
          <w:sz w:val="22"/>
          <w:szCs w:val="22"/>
        </w:rPr>
        <w:t>The impact of deployment experience and prior healthcare utilization on enrollment in a large military cohort study</w:t>
      </w:r>
      <w:r w:rsidRPr="00B46751">
        <w:rPr>
          <w:rFonts w:ascii="Arial" w:hAnsi="Arial" w:cs="Arial"/>
          <w:sz w:val="22"/>
          <w:szCs w:val="22"/>
        </w:rPr>
        <w:t>. BMC Med</w:t>
      </w:r>
      <w:r>
        <w:rPr>
          <w:rFonts w:ascii="Arial" w:hAnsi="Arial" w:cs="Arial"/>
          <w:sz w:val="22"/>
          <w:szCs w:val="22"/>
        </w:rPr>
        <w:t>ical</w:t>
      </w:r>
      <w:r w:rsidRPr="00B46751">
        <w:rPr>
          <w:rFonts w:ascii="Arial" w:hAnsi="Arial" w:cs="Arial"/>
          <w:sz w:val="22"/>
          <w:szCs w:val="22"/>
        </w:rPr>
        <w:t xml:space="preserve"> Res</w:t>
      </w:r>
      <w:r>
        <w:rPr>
          <w:rFonts w:ascii="Arial" w:hAnsi="Arial" w:cs="Arial"/>
          <w:sz w:val="22"/>
          <w:szCs w:val="22"/>
        </w:rPr>
        <w:t>earch</w:t>
      </w:r>
      <w:r w:rsidRPr="00B46751">
        <w:rPr>
          <w:rFonts w:ascii="Arial" w:hAnsi="Arial" w:cs="Arial"/>
          <w:sz w:val="22"/>
          <w:szCs w:val="22"/>
        </w:rPr>
        <w:t xml:space="preserve"> Methodol</w:t>
      </w:r>
      <w:r>
        <w:rPr>
          <w:rFonts w:ascii="Arial" w:hAnsi="Arial" w:cs="Arial"/>
          <w:sz w:val="22"/>
          <w:szCs w:val="22"/>
        </w:rPr>
        <w:t>ogy.</w:t>
      </w:r>
      <w:r w:rsidRPr="00B46751">
        <w:rPr>
          <w:rFonts w:ascii="Arial" w:hAnsi="Arial" w:cs="Arial"/>
          <w:sz w:val="22"/>
          <w:szCs w:val="22"/>
        </w:rPr>
        <w:t xml:space="preserve"> 2013 Jul 11;13:90</w:t>
      </w:r>
    </w:p>
    <w:p w:rsidR="00B46751" w:rsidRDefault="00B46751" w:rsidP="003B1425">
      <w:pPr>
        <w:ind w:left="-360" w:right="-180"/>
        <w:rPr>
          <w:rFonts w:ascii="Arial" w:hAnsi="Arial" w:cs="Arial"/>
          <w:i/>
          <w:color w:val="0000FF"/>
          <w:sz w:val="22"/>
          <w:szCs w:val="22"/>
        </w:rPr>
      </w:pPr>
    </w:p>
    <w:p w:rsidR="00B46751" w:rsidRDefault="00B46751" w:rsidP="00B46751">
      <w:pPr>
        <w:ind w:left="-360" w:right="-180"/>
        <w:rPr>
          <w:rFonts w:ascii="Arial" w:hAnsi="Arial" w:cs="Arial"/>
          <w:i/>
          <w:color w:val="0000FF"/>
          <w:sz w:val="22"/>
          <w:szCs w:val="22"/>
        </w:rPr>
      </w:pPr>
      <w:r w:rsidRPr="00B46751">
        <w:rPr>
          <w:rFonts w:ascii="Arial" w:hAnsi="Arial" w:cs="Arial"/>
          <w:i/>
          <w:color w:val="0000FF"/>
          <w:sz w:val="22"/>
          <w:szCs w:val="22"/>
        </w:rPr>
        <w:t>This study compared the characteristics of invited subjects (responders and</w:t>
      </w:r>
      <w:r>
        <w:rPr>
          <w:rFonts w:ascii="Arial" w:hAnsi="Arial" w:cs="Arial"/>
          <w:i/>
          <w:color w:val="0000FF"/>
          <w:sz w:val="22"/>
          <w:szCs w:val="22"/>
        </w:rPr>
        <w:t xml:space="preserve"> </w:t>
      </w:r>
      <w:proofErr w:type="spellStart"/>
      <w:r w:rsidRPr="00B46751">
        <w:rPr>
          <w:rFonts w:ascii="Arial" w:hAnsi="Arial" w:cs="Arial"/>
          <w:i/>
          <w:color w:val="0000FF"/>
          <w:sz w:val="22"/>
          <w:szCs w:val="22"/>
        </w:rPr>
        <w:t>nonresponders</w:t>
      </w:r>
      <w:proofErr w:type="spellEnd"/>
      <w:r w:rsidRPr="00B46751">
        <w:rPr>
          <w:rFonts w:ascii="Arial" w:hAnsi="Arial" w:cs="Arial"/>
          <w:i/>
          <w:color w:val="0000FF"/>
          <w:sz w:val="22"/>
          <w:szCs w:val="22"/>
        </w:rPr>
        <w:t>) prior to the enrollment cycle.  Military personnel who deployed in support of OIF/OEF and those who presented for routine outpatient care were significantly more likely to enroll in a longitudinal cohort study examining their health and military experiences, while those with baseline mental disorders or longer hospital stays were less likely to enroll. These findings, which controlled for demographic and other potential confounders, suggest differential enrollment by deployment experience and health status, and may help guide recruitment efforts in future studies.</w:t>
      </w:r>
    </w:p>
    <w:p w:rsidR="00784C1B" w:rsidRDefault="00784C1B" w:rsidP="00B46751">
      <w:pPr>
        <w:ind w:left="-360" w:right="-180"/>
        <w:rPr>
          <w:rFonts w:ascii="Arial" w:hAnsi="Arial" w:cs="Arial"/>
          <w:i/>
          <w:color w:val="0000FF"/>
          <w:sz w:val="22"/>
          <w:szCs w:val="22"/>
        </w:rPr>
      </w:pPr>
    </w:p>
    <w:p w:rsidR="00784C1B" w:rsidRPr="00624BE9" w:rsidRDefault="00784C1B" w:rsidP="00784C1B">
      <w:pPr>
        <w:ind w:left="-360" w:right="-180"/>
        <w:rPr>
          <w:rFonts w:ascii="Arial" w:hAnsi="Arial" w:cs="Arial"/>
          <w:sz w:val="22"/>
          <w:szCs w:val="22"/>
        </w:rPr>
      </w:pPr>
      <w:proofErr w:type="spellStart"/>
      <w:r w:rsidRPr="00624BE9">
        <w:rPr>
          <w:rFonts w:ascii="Arial" w:hAnsi="Arial" w:cs="Arial"/>
          <w:sz w:val="22"/>
          <w:szCs w:val="22"/>
        </w:rPr>
        <w:t>Gehrman</w:t>
      </w:r>
      <w:proofErr w:type="spellEnd"/>
      <w:r w:rsidRPr="00624BE9">
        <w:rPr>
          <w:rFonts w:ascii="Arial" w:hAnsi="Arial" w:cs="Arial"/>
          <w:sz w:val="22"/>
          <w:szCs w:val="22"/>
        </w:rPr>
        <w:t xml:space="preserve"> P, </w:t>
      </w:r>
      <w:proofErr w:type="spellStart"/>
      <w:r w:rsidRPr="00624BE9">
        <w:rPr>
          <w:rFonts w:ascii="Arial" w:hAnsi="Arial" w:cs="Arial"/>
          <w:sz w:val="22"/>
          <w:szCs w:val="22"/>
        </w:rPr>
        <w:t>Seelig</w:t>
      </w:r>
      <w:proofErr w:type="spellEnd"/>
      <w:r w:rsidRPr="00624BE9">
        <w:rPr>
          <w:rFonts w:ascii="Arial" w:hAnsi="Arial" w:cs="Arial"/>
          <w:sz w:val="22"/>
          <w:szCs w:val="22"/>
        </w:rPr>
        <w:t xml:space="preserve"> AD, Jacobson IG, Boyko EJ, Hooper TI, Gackstetter GD, Ulmer CS, Smith TC. </w:t>
      </w:r>
      <w:proofErr w:type="spellStart"/>
      <w:r>
        <w:rPr>
          <w:rFonts w:ascii="Arial" w:hAnsi="Arial" w:cs="Arial"/>
          <w:b/>
          <w:sz w:val="22"/>
          <w:szCs w:val="22"/>
        </w:rPr>
        <w:t>Predeployment</w:t>
      </w:r>
      <w:proofErr w:type="spellEnd"/>
      <w:r>
        <w:rPr>
          <w:rFonts w:ascii="Arial" w:hAnsi="Arial" w:cs="Arial"/>
          <w:b/>
          <w:sz w:val="22"/>
          <w:szCs w:val="22"/>
        </w:rPr>
        <w:t xml:space="preserve"> sleep duration and insomnia symptoms as risk factors for new-onset mental health disorders following military d</w:t>
      </w:r>
      <w:r w:rsidRPr="00624BE9">
        <w:rPr>
          <w:rFonts w:ascii="Arial" w:hAnsi="Arial" w:cs="Arial"/>
          <w:b/>
          <w:sz w:val="22"/>
          <w:szCs w:val="22"/>
        </w:rPr>
        <w:t>eployment</w:t>
      </w:r>
      <w:r>
        <w:rPr>
          <w:rFonts w:ascii="Arial" w:hAnsi="Arial" w:cs="Arial"/>
          <w:sz w:val="22"/>
          <w:szCs w:val="22"/>
        </w:rPr>
        <w:t xml:space="preserve">.  Sleep. </w:t>
      </w:r>
      <w:r w:rsidRPr="00784C1B">
        <w:rPr>
          <w:rFonts w:ascii="Arial" w:hAnsi="Arial" w:cs="Arial"/>
          <w:sz w:val="22"/>
          <w:szCs w:val="22"/>
        </w:rPr>
        <w:t>2013 Jul 1;36(7):1009-1018.</w:t>
      </w:r>
    </w:p>
    <w:p w:rsidR="00784C1B" w:rsidRDefault="00784C1B" w:rsidP="00784C1B">
      <w:pPr>
        <w:ind w:left="-360" w:right="-180"/>
        <w:rPr>
          <w:rFonts w:ascii="Arial" w:hAnsi="Arial" w:cs="Arial"/>
          <w:i/>
          <w:sz w:val="20"/>
          <w:szCs w:val="20"/>
        </w:rPr>
      </w:pPr>
    </w:p>
    <w:p w:rsidR="00784C1B" w:rsidRPr="00624BE9" w:rsidRDefault="00784C1B" w:rsidP="00784C1B">
      <w:pPr>
        <w:ind w:left="-360" w:right="-180"/>
        <w:rPr>
          <w:rFonts w:ascii="Arial" w:hAnsi="Arial" w:cs="Arial"/>
          <w:i/>
          <w:color w:val="0000FF"/>
          <w:sz w:val="22"/>
          <w:szCs w:val="22"/>
        </w:rPr>
      </w:pPr>
      <w:r w:rsidRPr="00624BE9">
        <w:rPr>
          <w:rFonts w:ascii="Arial" w:hAnsi="Arial" w:cs="Arial"/>
          <w:i/>
          <w:color w:val="0000FF"/>
          <w:sz w:val="22"/>
          <w:szCs w:val="22"/>
        </w:rPr>
        <w:t xml:space="preserve">This study showed that combat-related trauma and </w:t>
      </w:r>
      <w:proofErr w:type="spellStart"/>
      <w:r w:rsidRPr="00624BE9">
        <w:rPr>
          <w:rFonts w:ascii="Arial" w:hAnsi="Arial" w:cs="Arial"/>
          <w:i/>
          <w:color w:val="0000FF"/>
          <w:sz w:val="22"/>
          <w:szCs w:val="22"/>
        </w:rPr>
        <w:t>predeployment</w:t>
      </w:r>
      <w:proofErr w:type="spellEnd"/>
      <w:r w:rsidRPr="00624BE9">
        <w:rPr>
          <w:rFonts w:ascii="Arial" w:hAnsi="Arial" w:cs="Arial"/>
          <w:i/>
          <w:color w:val="0000FF"/>
          <w:sz w:val="22"/>
          <w:szCs w:val="22"/>
        </w:rPr>
        <w:t xml:space="preserve"> insomnia symptoms were significantly associated with developing posttraumatic stress disorder, depression, and anxiety following deployment.</w:t>
      </w:r>
    </w:p>
    <w:p w:rsidR="00784C1B" w:rsidRPr="00624BE9" w:rsidRDefault="00784C1B" w:rsidP="00784C1B">
      <w:pPr>
        <w:ind w:left="-360" w:right="-180"/>
        <w:rPr>
          <w:rFonts w:ascii="Arial" w:hAnsi="Arial" w:cs="Arial"/>
          <w:i/>
          <w:color w:val="0000FF"/>
          <w:sz w:val="22"/>
          <w:szCs w:val="22"/>
        </w:rPr>
      </w:pPr>
      <w:r w:rsidRPr="00624BE9">
        <w:rPr>
          <w:rFonts w:ascii="Arial" w:hAnsi="Arial" w:cs="Arial"/>
          <w:i/>
          <w:color w:val="0000FF"/>
          <w:sz w:val="22"/>
          <w:szCs w:val="22"/>
        </w:rPr>
        <w:t xml:space="preserve">Assessment of insomnia symptoms </w:t>
      </w:r>
      <w:proofErr w:type="spellStart"/>
      <w:r w:rsidRPr="00624BE9">
        <w:rPr>
          <w:rFonts w:ascii="Arial" w:hAnsi="Arial" w:cs="Arial"/>
          <w:i/>
          <w:color w:val="0000FF"/>
          <w:sz w:val="22"/>
          <w:szCs w:val="22"/>
        </w:rPr>
        <w:t>predeployment</w:t>
      </w:r>
      <w:proofErr w:type="spellEnd"/>
      <w:r w:rsidRPr="00624BE9">
        <w:rPr>
          <w:rFonts w:ascii="Arial" w:hAnsi="Arial" w:cs="Arial"/>
          <w:i/>
          <w:color w:val="0000FF"/>
          <w:sz w:val="22"/>
          <w:szCs w:val="22"/>
        </w:rPr>
        <w:t xml:space="preserve"> may help to better identify those at highest risk for subsequent adverse mental health outcomes.</w:t>
      </w:r>
    </w:p>
    <w:p w:rsidR="00784C1B" w:rsidRDefault="00784C1B" w:rsidP="00B46751">
      <w:pPr>
        <w:ind w:left="-360" w:right="-180"/>
        <w:rPr>
          <w:rFonts w:ascii="Arial" w:hAnsi="Arial" w:cs="Arial"/>
          <w:i/>
          <w:color w:val="0000FF"/>
          <w:sz w:val="22"/>
          <w:szCs w:val="22"/>
        </w:rPr>
      </w:pPr>
    </w:p>
    <w:p w:rsidR="00B34B9D" w:rsidRDefault="00B34B9D" w:rsidP="00B46751">
      <w:pPr>
        <w:ind w:left="-360" w:right="-180"/>
        <w:rPr>
          <w:rFonts w:ascii="Arial" w:hAnsi="Arial" w:cs="Arial"/>
          <w:sz w:val="22"/>
          <w:szCs w:val="22"/>
        </w:rPr>
      </w:pPr>
    </w:p>
    <w:p w:rsidR="00B46751" w:rsidRDefault="00B46751" w:rsidP="00B46751">
      <w:pPr>
        <w:ind w:left="-360" w:right="-180"/>
        <w:rPr>
          <w:rFonts w:ascii="Arial" w:hAnsi="Arial" w:cs="Arial"/>
          <w:sz w:val="22"/>
          <w:szCs w:val="22"/>
        </w:rPr>
      </w:pPr>
      <w:r w:rsidRPr="00FA34C1">
        <w:rPr>
          <w:rFonts w:ascii="Arial" w:hAnsi="Arial" w:cs="Arial"/>
          <w:sz w:val="22"/>
          <w:szCs w:val="22"/>
        </w:rPr>
        <w:lastRenderedPageBreak/>
        <w:t xml:space="preserve">LeardMann CA, </w:t>
      </w:r>
      <w:proofErr w:type="spellStart"/>
      <w:r w:rsidRPr="00FA34C1">
        <w:rPr>
          <w:rFonts w:ascii="Arial" w:hAnsi="Arial" w:cs="Arial"/>
          <w:sz w:val="22"/>
          <w:szCs w:val="22"/>
        </w:rPr>
        <w:t>Pietrucha</w:t>
      </w:r>
      <w:proofErr w:type="spellEnd"/>
      <w:r w:rsidRPr="00FA34C1">
        <w:rPr>
          <w:rFonts w:ascii="Arial" w:hAnsi="Arial" w:cs="Arial"/>
          <w:sz w:val="22"/>
          <w:szCs w:val="22"/>
        </w:rPr>
        <w:t xml:space="preserve"> A, </w:t>
      </w:r>
      <w:proofErr w:type="spellStart"/>
      <w:r w:rsidRPr="00FA34C1">
        <w:rPr>
          <w:rFonts w:ascii="Arial" w:hAnsi="Arial" w:cs="Arial"/>
          <w:sz w:val="22"/>
          <w:szCs w:val="22"/>
        </w:rPr>
        <w:t>Magruder</w:t>
      </w:r>
      <w:proofErr w:type="spellEnd"/>
      <w:r w:rsidRPr="00FA34C1">
        <w:rPr>
          <w:rFonts w:ascii="Arial" w:hAnsi="Arial" w:cs="Arial"/>
          <w:sz w:val="22"/>
          <w:szCs w:val="22"/>
        </w:rPr>
        <w:t xml:space="preserve"> KM, Smith B, Murdoch M, Jacobson IG, Ryan MAK, Gackstetter G, Smith TC, for the Millennium Cohort Study Team. </w:t>
      </w:r>
      <w:r>
        <w:rPr>
          <w:rFonts w:ascii="Arial" w:hAnsi="Arial" w:cs="Arial"/>
          <w:b/>
          <w:sz w:val="22"/>
          <w:szCs w:val="22"/>
        </w:rPr>
        <w:t>Combat deployment is associated with sexual h</w:t>
      </w:r>
      <w:r w:rsidRPr="007B4CE1">
        <w:rPr>
          <w:rFonts w:ascii="Arial" w:hAnsi="Arial" w:cs="Arial"/>
          <w:b/>
          <w:sz w:val="22"/>
          <w:szCs w:val="22"/>
        </w:rPr>
        <w:t xml:space="preserve">arassment </w:t>
      </w:r>
      <w:r>
        <w:rPr>
          <w:rFonts w:ascii="Arial" w:hAnsi="Arial" w:cs="Arial"/>
          <w:b/>
          <w:sz w:val="22"/>
          <w:szCs w:val="22"/>
        </w:rPr>
        <w:t>or sexual assault in a large, female military c</w:t>
      </w:r>
      <w:r w:rsidRPr="007B4CE1">
        <w:rPr>
          <w:rFonts w:ascii="Arial" w:hAnsi="Arial" w:cs="Arial"/>
          <w:b/>
          <w:sz w:val="22"/>
          <w:szCs w:val="22"/>
        </w:rPr>
        <w:t>ohort</w:t>
      </w:r>
      <w:r w:rsidRPr="007B4CE1">
        <w:rPr>
          <w:rFonts w:ascii="Arial" w:hAnsi="Arial" w:cs="Arial"/>
          <w:sz w:val="22"/>
          <w:szCs w:val="22"/>
        </w:rPr>
        <w:t>.</w:t>
      </w:r>
      <w:r>
        <w:rPr>
          <w:rFonts w:ascii="Arial" w:hAnsi="Arial" w:cs="Arial"/>
          <w:sz w:val="22"/>
          <w:szCs w:val="22"/>
        </w:rPr>
        <w:t xml:space="preserve"> Women's Health Issues.</w:t>
      </w:r>
      <w:r w:rsidRPr="00FA34C1">
        <w:rPr>
          <w:rFonts w:ascii="Arial" w:hAnsi="Arial" w:cs="Arial"/>
          <w:sz w:val="22"/>
          <w:szCs w:val="22"/>
        </w:rPr>
        <w:t xml:space="preserve"> </w:t>
      </w:r>
      <w:r w:rsidRPr="00B46751">
        <w:rPr>
          <w:rFonts w:ascii="Arial" w:hAnsi="Arial" w:cs="Arial"/>
          <w:sz w:val="22"/>
          <w:szCs w:val="22"/>
        </w:rPr>
        <w:t>2013 Jul-Aug;23(4):e215-23.</w:t>
      </w:r>
    </w:p>
    <w:p w:rsidR="00B46751" w:rsidRDefault="00B46751" w:rsidP="00B46751">
      <w:pPr>
        <w:ind w:left="-360" w:right="-180"/>
        <w:rPr>
          <w:rFonts w:ascii="Arial" w:hAnsi="Arial" w:cs="Arial"/>
          <w:sz w:val="22"/>
          <w:szCs w:val="22"/>
        </w:rPr>
      </w:pPr>
    </w:p>
    <w:p w:rsidR="00B46751" w:rsidRPr="005C61AF" w:rsidRDefault="00B46751" w:rsidP="00B46751">
      <w:pPr>
        <w:ind w:left="-360" w:right="-180"/>
        <w:rPr>
          <w:rFonts w:ascii="Arial" w:hAnsi="Arial" w:cs="Arial"/>
          <w:i/>
          <w:color w:val="0000FF"/>
          <w:sz w:val="22"/>
          <w:szCs w:val="22"/>
        </w:rPr>
      </w:pPr>
      <w:r w:rsidRPr="00FA34C1">
        <w:rPr>
          <w:rFonts w:ascii="Arial" w:hAnsi="Arial" w:cs="Arial"/>
          <w:i/>
          <w:color w:val="0000FF"/>
          <w:sz w:val="22"/>
          <w:szCs w:val="22"/>
        </w:rPr>
        <w:t>Among female service members, the 3-year cumulative incidence of sexual harassment was 9.4% and sexual assault was 2.1%. Significant risk factors for sexual trauma included prior deployment with combat experience, serving as a Marine, younger age, recent marital separation or divorce, positive screen for a prior mental health condition, moderate/severe life stress, and prior sexual trauma experiences. Understanding the factors associated with sexual harassment and assault can inform future policy and prevention efforts in order to eliminate sexual trauma.</w:t>
      </w:r>
    </w:p>
    <w:p w:rsidR="005C61AF" w:rsidRDefault="005C61AF" w:rsidP="000E3A76">
      <w:pPr>
        <w:ind w:right="-180"/>
        <w:rPr>
          <w:rFonts w:ascii="Arial" w:hAnsi="Arial" w:cs="Arial"/>
          <w:i/>
          <w:color w:val="0000FF"/>
          <w:sz w:val="22"/>
          <w:szCs w:val="22"/>
        </w:rPr>
      </w:pPr>
    </w:p>
    <w:p w:rsidR="00181C14" w:rsidRDefault="00181C14" w:rsidP="005C61AF">
      <w:pPr>
        <w:ind w:left="-360" w:right="-180"/>
        <w:rPr>
          <w:rFonts w:ascii="Arial" w:hAnsi="Arial" w:cs="Arial"/>
          <w:sz w:val="22"/>
          <w:szCs w:val="22"/>
        </w:rPr>
      </w:pPr>
      <w:r>
        <w:rPr>
          <w:rFonts w:ascii="Arial" w:hAnsi="Arial" w:cs="Arial"/>
          <w:sz w:val="22"/>
          <w:szCs w:val="22"/>
        </w:rPr>
        <w:t xml:space="preserve">Crum-Cianflone N.  </w:t>
      </w:r>
      <w:r w:rsidRPr="00275801">
        <w:rPr>
          <w:rFonts w:ascii="Arial" w:hAnsi="Arial" w:cs="Arial"/>
          <w:b/>
          <w:sz w:val="22"/>
          <w:szCs w:val="22"/>
        </w:rPr>
        <w:t>The Millennium Cohort Study: answering long-term health concerns of US military service members by integrating longitudinal survey data with military health system records.</w:t>
      </w:r>
      <w:r>
        <w:rPr>
          <w:rFonts w:ascii="Arial" w:hAnsi="Arial" w:cs="Arial"/>
          <w:sz w:val="22"/>
          <w:szCs w:val="22"/>
        </w:rPr>
        <w:t xml:space="preserve">  In: Amara J, Hendricks A, eds.  </w:t>
      </w:r>
      <w:r w:rsidRPr="00275801">
        <w:rPr>
          <w:rFonts w:ascii="Arial" w:hAnsi="Arial" w:cs="Arial"/>
          <w:sz w:val="22"/>
          <w:szCs w:val="22"/>
        </w:rPr>
        <w:t xml:space="preserve">Military Health Care From </w:t>
      </w:r>
      <w:proofErr w:type="spellStart"/>
      <w:r w:rsidRPr="00275801">
        <w:rPr>
          <w:rFonts w:ascii="Arial" w:hAnsi="Arial" w:cs="Arial"/>
          <w:sz w:val="22"/>
          <w:szCs w:val="22"/>
        </w:rPr>
        <w:t>predeployment</w:t>
      </w:r>
      <w:proofErr w:type="spellEnd"/>
      <w:r w:rsidRPr="00275801">
        <w:rPr>
          <w:rFonts w:ascii="Arial" w:hAnsi="Arial" w:cs="Arial"/>
          <w:sz w:val="22"/>
          <w:szCs w:val="22"/>
        </w:rPr>
        <w:t xml:space="preserve"> to post-separation</w:t>
      </w:r>
      <w:r w:rsidRPr="00181C14">
        <w:rPr>
          <w:rFonts w:ascii="Arial" w:hAnsi="Arial" w:cs="Arial"/>
          <w:b/>
          <w:sz w:val="22"/>
          <w:szCs w:val="22"/>
        </w:rPr>
        <w:t>.</w:t>
      </w:r>
      <w:r>
        <w:rPr>
          <w:rFonts w:ascii="Arial" w:hAnsi="Arial" w:cs="Arial"/>
          <w:sz w:val="22"/>
          <w:szCs w:val="22"/>
        </w:rPr>
        <w:t xml:space="preserve">   1</w:t>
      </w:r>
      <w:r w:rsidRPr="00181C14">
        <w:rPr>
          <w:rFonts w:ascii="Arial" w:hAnsi="Arial" w:cs="Arial"/>
          <w:sz w:val="22"/>
          <w:szCs w:val="22"/>
          <w:vertAlign w:val="superscript"/>
        </w:rPr>
        <w:t>st</w:t>
      </w:r>
      <w:r>
        <w:rPr>
          <w:rFonts w:ascii="Arial" w:hAnsi="Arial" w:cs="Arial"/>
          <w:sz w:val="22"/>
          <w:szCs w:val="22"/>
        </w:rPr>
        <w:t xml:space="preserve"> ed. New York, NY: Routledge;2013: 55-77.</w:t>
      </w:r>
    </w:p>
    <w:p w:rsidR="00843711" w:rsidRDefault="00843711" w:rsidP="005C61AF">
      <w:pPr>
        <w:ind w:left="-360" w:right="-180"/>
        <w:rPr>
          <w:rFonts w:ascii="Arial" w:hAnsi="Arial" w:cs="Arial"/>
          <w:sz w:val="22"/>
          <w:szCs w:val="22"/>
        </w:rPr>
      </w:pPr>
    </w:p>
    <w:p w:rsidR="00843711" w:rsidRPr="00843711" w:rsidRDefault="00843711" w:rsidP="00843711">
      <w:pPr>
        <w:ind w:left="-360" w:right="-180"/>
        <w:rPr>
          <w:rFonts w:ascii="Arial" w:hAnsi="Arial" w:cs="Arial"/>
          <w:i/>
          <w:color w:val="0000FF"/>
          <w:sz w:val="22"/>
          <w:szCs w:val="22"/>
        </w:rPr>
      </w:pPr>
      <w:r w:rsidRPr="00843711">
        <w:rPr>
          <w:rFonts w:ascii="Arial" w:hAnsi="Arial" w:cs="Arial"/>
          <w:i/>
          <w:color w:val="0000FF"/>
          <w:sz w:val="22"/>
          <w:szCs w:val="22"/>
        </w:rPr>
        <w:t>This textbook chapter provides a detailed summary of the first decade of the Millennium Cohort Study.   The chapter includes an overview of the study methodology and key publications including a review of foundational papers and epidemiologic studies examining the associations of military service experiences with mental, behavioral, and physical health outcomes.</w:t>
      </w:r>
    </w:p>
    <w:p w:rsidR="00181C14" w:rsidRDefault="00181C14" w:rsidP="00843711">
      <w:pPr>
        <w:ind w:right="-180"/>
        <w:rPr>
          <w:rFonts w:ascii="Arial" w:hAnsi="Arial" w:cs="Arial"/>
          <w:sz w:val="22"/>
          <w:szCs w:val="22"/>
        </w:rPr>
      </w:pPr>
    </w:p>
    <w:p w:rsidR="005C61AF" w:rsidRDefault="005C61AF" w:rsidP="005C61AF">
      <w:pPr>
        <w:ind w:left="-360" w:right="-180"/>
        <w:rPr>
          <w:rFonts w:ascii="Arial" w:hAnsi="Arial" w:cs="Arial"/>
          <w:sz w:val="22"/>
          <w:szCs w:val="22"/>
        </w:rPr>
      </w:pPr>
      <w:r w:rsidRPr="005C61AF">
        <w:rPr>
          <w:rFonts w:ascii="Arial" w:hAnsi="Arial" w:cs="Arial"/>
          <w:sz w:val="22"/>
          <w:szCs w:val="22"/>
        </w:rPr>
        <w:t xml:space="preserve">Horton JL, Jacobson IG, Wong CA, Wells TS, Boyko EJ, Smith B, Ryan MAK, and Smith TC. </w:t>
      </w:r>
      <w:r w:rsidRPr="005C61AF">
        <w:rPr>
          <w:rFonts w:ascii="Arial" w:hAnsi="Arial" w:cs="Arial"/>
          <w:b/>
          <w:sz w:val="22"/>
          <w:szCs w:val="22"/>
        </w:rPr>
        <w:t>The impact of prior deployment experience on civilian employment after military service.</w:t>
      </w:r>
      <w:r w:rsidRPr="005C61AF">
        <w:rPr>
          <w:rFonts w:ascii="Arial" w:hAnsi="Arial" w:cs="Arial"/>
          <w:sz w:val="22"/>
          <w:szCs w:val="22"/>
        </w:rPr>
        <w:t xml:space="preserve"> Occup</w:t>
      </w:r>
      <w:r>
        <w:rPr>
          <w:rFonts w:ascii="Arial" w:hAnsi="Arial" w:cs="Arial"/>
          <w:sz w:val="22"/>
          <w:szCs w:val="22"/>
        </w:rPr>
        <w:t xml:space="preserve">ational </w:t>
      </w:r>
      <w:r w:rsidR="00A530BA">
        <w:rPr>
          <w:rFonts w:ascii="Arial" w:hAnsi="Arial" w:cs="Arial"/>
          <w:sz w:val="22"/>
          <w:szCs w:val="22"/>
        </w:rPr>
        <w:t xml:space="preserve">and </w:t>
      </w:r>
      <w:r>
        <w:rPr>
          <w:rFonts w:ascii="Arial" w:hAnsi="Arial" w:cs="Arial"/>
          <w:sz w:val="22"/>
          <w:szCs w:val="22"/>
        </w:rPr>
        <w:t xml:space="preserve">Environmental </w:t>
      </w:r>
      <w:r w:rsidRPr="005C61AF">
        <w:rPr>
          <w:rFonts w:ascii="Arial" w:hAnsi="Arial" w:cs="Arial"/>
          <w:sz w:val="22"/>
          <w:szCs w:val="22"/>
        </w:rPr>
        <w:t>Med</w:t>
      </w:r>
      <w:r>
        <w:rPr>
          <w:rFonts w:ascii="Arial" w:hAnsi="Arial" w:cs="Arial"/>
          <w:sz w:val="22"/>
          <w:szCs w:val="22"/>
        </w:rPr>
        <w:t>icine</w:t>
      </w:r>
      <w:r w:rsidR="00B46751">
        <w:rPr>
          <w:rFonts w:ascii="Arial" w:hAnsi="Arial" w:cs="Arial"/>
          <w:sz w:val="22"/>
          <w:szCs w:val="22"/>
        </w:rPr>
        <w:t>.</w:t>
      </w:r>
      <w:r w:rsidRPr="005C61AF">
        <w:rPr>
          <w:rFonts w:ascii="Arial" w:hAnsi="Arial" w:cs="Arial"/>
          <w:sz w:val="22"/>
          <w:szCs w:val="22"/>
        </w:rPr>
        <w:t xml:space="preserve"> 2013; 70: 408-417.</w:t>
      </w:r>
    </w:p>
    <w:p w:rsidR="005C61AF" w:rsidRDefault="005C61AF" w:rsidP="005C61AF">
      <w:pPr>
        <w:ind w:left="-360" w:right="-180"/>
        <w:rPr>
          <w:rFonts w:ascii="Arial" w:hAnsi="Arial" w:cs="Arial"/>
          <w:sz w:val="22"/>
          <w:szCs w:val="22"/>
        </w:rPr>
      </w:pPr>
    </w:p>
    <w:p w:rsidR="005C61AF" w:rsidRDefault="005C61AF" w:rsidP="005C61AF">
      <w:pPr>
        <w:ind w:left="-360" w:right="-180"/>
        <w:rPr>
          <w:rFonts w:ascii="Arial" w:hAnsi="Arial" w:cs="Arial"/>
          <w:i/>
          <w:color w:val="0000FF"/>
          <w:sz w:val="22"/>
          <w:szCs w:val="22"/>
        </w:rPr>
      </w:pPr>
      <w:r w:rsidRPr="00D41E37">
        <w:rPr>
          <w:rFonts w:ascii="Arial" w:hAnsi="Arial" w:cs="Arial"/>
          <w:i/>
          <w:color w:val="0000FF"/>
          <w:sz w:val="22"/>
          <w:szCs w:val="22"/>
        </w:rPr>
        <w:t>Employment after military service, in particular after stressful deployment experiences, is a concern for many veterans and policymakers.  Among this large cohort of veterans, we found that prior deployment and PTSD were not significantly associated with job status post-service; in contrast, depression, panic/anxiety disorder, and poor physical health increased the risk of unemployment among certain groups.  These findings may guide policy for veterans most in need of post-military employment support</w:t>
      </w:r>
      <w:r>
        <w:rPr>
          <w:rFonts w:ascii="Arial" w:hAnsi="Arial" w:cs="Arial"/>
          <w:i/>
          <w:color w:val="0000FF"/>
          <w:sz w:val="22"/>
          <w:szCs w:val="22"/>
        </w:rPr>
        <w:t>.</w:t>
      </w:r>
    </w:p>
    <w:p w:rsidR="007B4CE1" w:rsidRDefault="007B4CE1" w:rsidP="005C61AF">
      <w:pPr>
        <w:ind w:left="-360" w:right="-180"/>
        <w:rPr>
          <w:rFonts w:ascii="Arial" w:hAnsi="Arial" w:cs="Arial"/>
          <w:i/>
          <w:color w:val="0000FF"/>
          <w:sz w:val="22"/>
          <w:szCs w:val="22"/>
        </w:rPr>
      </w:pPr>
    </w:p>
    <w:p w:rsidR="005F352D" w:rsidRDefault="005C61AF" w:rsidP="00843711">
      <w:pPr>
        <w:ind w:left="-360" w:right="-180"/>
        <w:rPr>
          <w:rFonts w:ascii="Arial" w:hAnsi="Arial" w:cs="Arial"/>
          <w:sz w:val="22"/>
          <w:szCs w:val="22"/>
        </w:rPr>
      </w:pPr>
      <w:r w:rsidRPr="005C61AF">
        <w:rPr>
          <w:rFonts w:ascii="Arial" w:hAnsi="Arial" w:cs="Arial"/>
          <w:sz w:val="22"/>
          <w:szCs w:val="22"/>
        </w:rPr>
        <w:t xml:space="preserve">Wells TS, Horton JL, LeardMann CA, Jacobson IG, and Boyko EJ. </w:t>
      </w:r>
      <w:r w:rsidRPr="005C61AF">
        <w:rPr>
          <w:rFonts w:ascii="Arial" w:hAnsi="Arial" w:cs="Arial"/>
          <w:b/>
          <w:sz w:val="22"/>
          <w:szCs w:val="22"/>
        </w:rPr>
        <w:t>A comparison of the PRIME-MD PHQ-9 and PHQ-8 in a large military prospective study, the Millennium Cohort Study.</w:t>
      </w:r>
      <w:r w:rsidRPr="005C61AF">
        <w:rPr>
          <w:rFonts w:ascii="Arial" w:hAnsi="Arial" w:cs="Arial"/>
          <w:sz w:val="22"/>
          <w:szCs w:val="22"/>
        </w:rPr>
        <w:t xml:space="preserve"> J</w:t>
      </w:r>
      <w:r>
        <w:rPr>
          <w:rFonts w:ascii="Arial" w:hAnsi="Arial" w:cs="Arial"/>
          <w:sz w:val="22"/>
          <w:szCs w:val="22"/>
        </w:rPr>
        <w:t>ournal of Affective Disorders</w:t>
      </w:r>
      <w:r w:rsidRPr="005C61AF">
        <w:rPr>
          <w:rFonts w:ascii="Arial" w:hAnsi="Arial" w:cs="Arial"/>
          <w:sz w:val="22"/>
          <w:szCs w:val="22"/>
        </w:rPr>
        <w:t>. May 2013; 148(1): 77-83.</w:t>
      </w:r>
    </w:p>
    <w:p w:rsidR="005C61AF" w:rsidRDefault="005C61AF" w:rsidP="005F352D">
      <w:pPr>
        <w:ind w:left="-360" w:right="-180"/>
        <w:rPr>
          <w:rFonts w:ascii="Arial" w:hAnsi="Arial" w:cs="Arial"/>
          <w:sz w:val="22"/>
          <w:szCs w:val="22"/>
        </w:rPr>
      </w:pPr>
    </w:p>
    <w:p w:rsidR="00963515" w:rsidRDefault="005F352D" w:rsidP="005F352D">
      <w:pPr>
        <w:ind w:left="-360" w:right="-180"/>
        <w:rPr>
          <w:rFonts w:ascii="Arial" w:hAnsi="Arial" w:cs="Arial"/>
          <w:i/>
          <w:color w:val="0000FF"/>
          <w:sz w:val="22"/>
          <w:szCs w:val="22"/>
        </w:rPr>
      </w:pPr>
      <w:r w:rsidRPr="00A768A8">
        <w:rPr>
          <w:rFonts w:ascii="Arial" w:hAnsi="Arial" w:cs="Arial"/>
          <w:i/>
          <w:color w:val="0000FF"/>
          <w:sz w:val="22"/>
          <w:szCs w:val="22"/>
        </w:rPr>
        <w:t>The PHQ-9 is a validated tool for depression screening, however recently an abbreviated version (PHQ-8) is increasingly being used in survey research that excludes the last and most sensitive item.  This study compared the performance of the PHQ-8 with the PHQ-9 in a large, population-based sample of current and former military service members. Excellent agreement was detected between the two instruments, suggesting that the PHQ-8 performs well when screening for depression in similar populations.</w:t>
      </w:r>
    </w:p>
    <w:p w:rsidR="00B86E86" w:rsidRDefault="00B86E86" w:rsidP="005F352D">
      <w:pPr>
        <w:ind w:left="-360" w:right="-180"/>
        <w:rPr>
          <w:rFonts w:ascii="Arial" w:hAnsi="Arial" w:cs="Arial"/>
          <w:i/>
          <w:color w:val="0000FF"/>
          <w:sz w:val="22"/>
          <w:szCs w:val="22"/>
        </w:rPr>
      </w:pPr>
    </w:p>
    <w:p w:rsidR="00963515" w:rsidRDefault="00963515" w:rsidP="00963515">
      <w:pPr>
        <w:ind w:left="-360" w:right="-180"/>
        <w:rPr>
          <w:rFonts w:ascii="Arial" w:hAnsi="Arial" w:cs="Arial"/>
          <w:sz w:val="22"/>
          <w:szCs w:val="22"/>
        </w:rPr>
      </w:pPr>
      <w:r w:rsidRPr="00963515">
        <w:rPr>
          <w:rFonts w:ascii="Arial" w:hAnsi="Arial" w:cs="Arial"/>
          <w:sz w:val="22"/>
          <w:szCs w:val="22"/>
        </w:rPr>
        <w:t xml:space="preserve">Littman AJ, Jacobson IG, Boyko EJ, Powell TM, Smith TC, for the Millennium Cohort Study Team. </w:t>
      </w:r>
      <w:r w:rsidRPr="00963515">
        <w:rPr>
          <w:rFonts w:ascii="Arial" w:hAnsi="Arial" w:cs="Arial"/>
          <w:b/>
          <w:sz w:val="22"/>
          <w:szCs w:val="22"/>
        </w:rPr>
        <w:t>Weight change following US Military service.</w:t>
      </w:r>
      <w:r w:rsidRPr="00963515">
        <w:rPr>
          <w:rFonts w:ascii="Arial" w:hAnsi="Arial" w:cs="Arial"/>
          <w:sz w:val="22"/>
          <w:szCs w:val="22"/>
        </w:rPr>
        <w:t xml:space="preserve"> Int</w:t>
      </w:r>
      <w:r w:rsidR="00D5604B">
        <w:rPr>
          <w:rFonts w:ascii="Arial" w:hAnsi="Arial" w:cs="Arial"/>
          <w:sz w:val="22"/>
          <w:szCs w:val="22"/>
        </w:rPr>
        <w:t>ernational</w:t>
      </w:r>
      <w:r w:rsidRPr="00963515">
        <w:rPr>
          <w:rFonts w:ascii="Arial" w:hAnsi="Arial" w:cs="Arial"/>
          <w:sz w:val="22"/>
          <w:szCs w:val="22"/>
        </w:rPr>
        <w:t xml:space="preserve"> J</w:t>
      </w:r>
      <w:r w:rsidR="00D5604B">
        <w:rPr>
          <w:rFonts w:ascii="Arial" w:hAnsi="Arial" w:cs="Arial"/>
          <w:sz w:val="22"/>
          <w:szCs w:val="22"/>
        </w:rPr>
        <w:t>ournal of</w:t>
      </w:r>
      <w:r w:rsidRPr="00963515">
        <w:rPr>
          <w:rFonts w:ascii="Arial" w:hAnsi="Arial" w:cs="Arial"/>
          <w:sz w:val="22"/>
          <w:szCs w:val="22"/>
        </w:rPr>
        <w:t xml:space="preserve"> Obes</w:t>
      </w:r>
      <w:r w:rsidR="00D5604B">
        <w:rPr>
          <w:rFonts w:ascii="Arial" w:hAnsi="Arial" w:cs="Arial"/>
          <w:sz w:val="22"/>
          <w:szCs w:val="22"/>
        </w:rPr>
        <w:t>ity</w:t>
      </w:r>
      <w:r w:rsidRPr="00963515">
        <w:rPr>
          <w:rFonts w:ascii="Arial" w:hAnsi="Arial" w:cs="Arial"/>
          <w:sz w:val="22"/>
          <w:szCs w:val="22"/>
        </w:rPr>
        <w:t xml:space="preserve"> (</w:t>
      </w:r>
      <w:proofErr w:type="spellStart"/>
      <w:r w:rsidRPr="00963515">
        <w:rPr>
          <w:rFonts w:ascii="Arial" w:hAnsi="Arial" w:cs="Arial"/>
          <w:sz w:val="22"/>
          <w:szCs w:val="22"/>
        </w:rPr>
        <w:t>Lond</w:t>
      </w:r>
      <w:proofErr w:type="spellEnd"/>
      <w:r w:rsidRPr="00963515">
        <w:rPr>
          <w:rFonts w:ascii="Arial" w:hAnsi="Arial" w:cs="Arial"/>
          <w:sz w:val="22"/>
          <w:szCs w:val="22"/>
        </w:rPr>
        <w:t>). 2013 Feb;37(2):244-53.</w:t>
      </w:r>
    </w:p>
    <w:p w:rsidR="00FA34C1" w:rsidRDefault="00FA34C1" w:rsidP="00963515">
      <w:pPr>
        <w:ind w:left="-360" w:right="-180"/>
        <w:rPr>
          <w:rFonts w:ascii="Arial" w:hAnsi="Arial" w:cs="Arial"/>
          <w:sz w:val="22"/>
          <w:szCs w:val="22"/>
        </w:rPr>
      </w:pPr>
    </w:p>
    <w:p w:rsidR="00963515" w:rsidRPr="00470AA7" w:rsidRDefault="00963515" w:rsidP="00FA34C1">
      <w:pPr>
        <w:ind w:left="-360" w:right="-180"/>
        <w:rPr>
          <w:rFonts w:ascii="Arial" w:hAnsi="Arial" w:cs="Arial"/>
          <w:i/>
          <w:color w:val="0000FF"/>
          <w:sz w:val="22"/>
          <w:szCs w:val="22"/>
        </w:rPr>
      </w:pPr>
      <w:r w:rsidRPr="00470AA7">
        <w:rPr>
          <w:rFonts w:ascii="Arial" w:hAnsi="Arial" w:cs="Arial"/>
          <w:i/>
          <w:color w:val="0000FF"/>
          <w:sz w:val="22"/>
          <w:szCs w:val="22"/>
        </w:rPr>
        <w:t>This study provides the first prospectively collected evidence for an increased rate of weight gain around the time of military discharge that may explain previously reported higher rates of obesity in veterans, and identifies characteristics of higher–risk groups. Discharge from military service presents a window of risk and opportunity to prevent unhealthy weight gain in military personnel and veterans.</w:t>
      </w:r>
    </w:p>
    <w:p w:rsidR="00FA34C1" w:rsidRDefault="00FA34C1" w:rsidP="005F352D">
      <w:pPr>
        <w:ind w:right="-180"/>
        <w:rPr>
          <w:rFonts w:ascii="Arial" w:hAnsi="Arial" w:cs="Arial"/>
          <w:sz w:val="22"/>
          <w:szCs w:val="22"/>
        </w:rPr>
      </w:pPr>
    </w:p>
    <w:p w:rsidR="00B34B9D" w:rsidRDefault="00B34B9D" w:rsidP="00866D3C">
      <w:pPr>
        <w:ind w:left="-360" w:right="-180"/>
        <w:rPr>
          <w:rFonts w:ascii="Arial" w:hAnsi="Arial" w:cs="Arial"/>
          <w:sz w:val="22"/>
          <w:szCs w:val="22"/>
        </w:rPr>
      </w:pPr>
    </w:p>
    <w:p w:rsidR="00866D3C" w:rsidRDefault="00866D3C" w:rsidP="00866D3C">
      <w:pPr>
        <w:ind w:left="-360" w:right="-180"/>
        <w:rPr>
          <w:rFonts w:ascii="Arial" w:hAnsi="Arial" w:cs="Arial"/>
          <w:sz w:val="22"/>
          <w:szCs w:val="22"/>
        </w:rPr>
      </w:pPr>
      <w:r w:rsidRPr="006D7C9B">
        <w:rPr>
          <w:rFonts w:ascii="Arial" w:hAnsi="Arial" w:cs="Arial"/>
          <w:sz w:val="22"/>
          <w:szCs w:val="22"/>
        </w:rPr>
        <w:lastRenderedPageBreak/>
        <w:t xml:space="preserve">Nguyen S, LeardMann CA, Smith B, Conlin AMS, Slymen DJ, Hooper TI, Ryan MAK, Smith TC, for the Millennium Cohort Study Team. </w:t>
      </w:r>
      <w:r w:rsidRPr="006D7C9B">
        <w:rPr>
          <w:rFonts w:ascii="Arial" w:hAnsi="Arial" w:cs="Arial"/>
          <w:b/>
          <w:sz w:val="22"/>
          <w:szCs w:val="22"/>
        </w:rPr>
        <w:t>Is Military Deployment a Risk Factor for Maternal Depression?</w:t>
      </w:r>
      <w:r w:rsidR="00B46751">
        <w:rPr>
          <w:rFonts w:ascii="Arial" w:hAnsi="Arial" w:cs="Arial"/>
          <w:sz w:val="22"/>
          <w:szCs w:val="22"/>
        </w:rPr>
        <w:t xml:space="preserve"> Journal of Women's Health.</w:t>
      </w:r>
      <w:r w:rsidRPr="006D7C9B">
        <w:rPr>
          <w:rFonts w:ascii="Arial" w:hAnsi="Arial" w:cs="Arial"/>
          <w:sz w:val="22"/>
          <w:szCs w:val="22"/>
        </w:rPr>
        <w:t xml:space="preserve"> </w:t>
      </w:r>
      <w:r w:rsidRPr="00866D3C">
        <w:rPr>
          <w:rFonts w:ascii="Arial" w:hAnsi="Arial" w:cs="Arial"/>
          <w:sz w:val="22"/>
          <w:szCs w:val="22"/>
        </w:rPr>
        <w:t>2013 Jan; 22(1):9-18.</w:t>
      </w:r>
    </w:p>
    <w:p w:rsidR="00866D3C" w:rsidRDefault="00866D3C" w:rsidP="00866D3C">
      <w:pPr>
        <w:ind w:left="-360" w:right="-180"/>
        <w:rPr>
          <w:rFonts w:ascii="Arial" w:hAnsi="Arial" w:cs="Arial"/>
          <w:sz w:val="22"/>
          <w:szCs w:val="22"/>
        </w:rPr>
      </w:pPr>
    </w:p>
    <w:p w:rsidR="002341DD" w:rsidRDefault="00866D3C" w:rsidP="002341DD">
      <w:pPr>
        <w:ind w:left="-360" w:right="-180"/>
        <w:rPr>
          <w:rFonts w:ascii="Arial" w:hAnsi="Arial" w:cs="Arial"/>
          <w:i/>
          <w:color w:val="0000FF"/>
          <w:sz w:val="22"/>
          <w:szCs w:val="22"/>
        </w:rPr>
      </w:pPr>
      <w:r w:rsidRPr="006D7C9B">
        <w:rPr>
          <w:rFonts w:ascii="Arial" w:hAnsi="Arial" w:cs="Arial"/>
          <w:i/>
          <w:color w:val="0000FF"/>
          <w:sz w:val="22"/>
          <w:szCs w:val="22"/>
        </w:rPr>
        <w:t>This study found that military women who recently gave birth and then deployed with combat experience had an increased risk for depression. Combat experience primarily increased the risk for depression, rather than childbirth itself. In addition, deployment without combat experience was not significantly associated with maternal depression among women who recently gave birth.</w:t>
      </w:r>
    </w:p>
    <w:p w:rsidR="009B06DD" w:rsidRDefault="009B06DD" w:rsidP="002341DD">
      <w:pPr>
        <w:ind w:left="-360" w:right="-180"/>
        <w:rPr>
          <w:rFonts w:ascii="Arial" w:hAnsi="Arial" w:cs="Arial"/>
          <w:sz w:val="22"/>
          <w:szCs w:val="22"/>
        </w:rPr>
      </w:pPr>
    </w:p>
    <w:p w:rsidR="00A33138" w:rsidRPr="002341DD" w:rsidRDefault="00A33138" w:rsidP="002341DD">
      <w:pPr>
        <w:ind w:left="-360" w:right="-180"/>
        <w:rPr>
          <w:rFonts w:ascii="Arial" w:hAnsi="Arial" w:cs="Arial"/>
          <w:i/>
          <w:color w:val="0000FF"/>
          <w:sz w:val="22"/>
          <w:szCs w:val="22"/>
        </w:rPr>
      </w:pPr>
      <w:r w:rsidRPr="00470AA7">
        <w:rPr>
          <w:rFonts w:ascii="Arial" w:hAnsi="Arial" w:cs="Arial"/>
          <w:sz w:val="22"/>
          <w:szCs w:val="22"/>
        </w:rPr>
        <w:t xml:space="preserve">Jacobson IG, Horton JL, LeardMann CA, Ryan MAK, Boyko EJ, Wells TS, Smith B, Smith TC, for the Millennium Cohort Study Team. </w:t>
      </w:r>
      <w:r w:rsidRPr="00470AA7">
        <w:rPr>
          <w:rFonts w:ascii="Arial" w:hAnsi="Arial" w:cs="Arial"/>
          <w:b/>
          <w:sz w:val="22"/>
          <w:szCs w:val="22"/>
        </w:rPr>
        <w:t>Posttraumatic stress disorder and depression among US military health care professionals deployed in support of the operations in Iraq and Afghanistan.</w:t>
      </w:r>
      <w:r w:rsidRPr="00470AA7">
        <w:rPr>
          <w:rFonts w:ascii="Arial" w:hAnsi="Arial" w:cs="Arial"/>
          <w:sz w:val="22"/>
          <w:szCs w:val="22"/>
        </w:rPr>
        <w:t xml:space="preserve"> Journa</w:t>
      </w:r>
      <w:r>
        <w:rPr>
          <w:rFonts w:ascii="Arial" w:hAnsi="Arial" w:cs="Arial"/>
          <w:sz w:val="22"/>
          <w:szCs w:val="22"/>
        </w:rPr>
        <w:t xml:space="preserve">l of Traumatic Stress.  </w:t>
      </w:r>
      <w:r w:rsidRPr="00A33138">
        <w:rPr>
          <w:rFonts w:ascii="Arial" w:hAnsi="Arial" w:cs="Arial"/>
          <w:sz w:val="22"/>
          <w:szCs w:val="22"/>
        </w:rPr>
        <w:t>2012 Dec;25(6):616-23.</w:t>
      </w:r>
    </w:p>
    <w:p w:rsidR="00A33138" w:rsidRDefault="00A33138" w:rsidP="00A33138">
      <w:pPr>
        <w:ind w:left="-360" w:right="-180"/>
        <w:rPr>
          <w:rFonts w:ascii="Arial" w:hAnsi="Arial" w:cs="Arial"/>
          <w:i/>
          <w:color w:val="0000FF"/>
          <w:sz w:val="22"/>
          <w:szCs w:val="22"/>
        </w:rPr>
      </w:pPr>
      <w:r w:rsidRPr="00470AA7">
        <w:rPr>
          <w:rFonts w:ascii="Arial" w:hAnsi="Arial" w:cs="Arial"/>
          <w:color w:val="333333"/>
          <w:sz w:val="21"/>
          <w:szCs w:val="21"/>
        </w:rPr>
        <w:br/>
      </w:r>
      <w:r w:rsidRPr="00470AA7">
        <w:rPr>
          <w:rFonts w:ascii="Arial" w:hAnsi="Arial" w:cs="Arial"/>
          <w:i/>
          <w:color w:val="0000FF"/>
          <w:sz w:val="22"/>
          <w:szCs w:val="22"/>
        </w:rPr>
        <w:t>Among military personnel deployed with combat experience, health care professionals did not have increased odds for new-onset PTSD or depression over time compared to individuals in other occupations. Combat experience significantly increased the odds for new-onset PTSD or depression among deployed health care professionals, suggesting that combat experience, not features specific to being a health care professional, was the key exposure explaining development of these outcomes.</w:t>
      </w:r>
    </w:p>
    <w:p w:rsidR="00B46751" w:rsidRDefault="00B46751" w:rsidP="00A33138">
      <w:pPr>
        <w:ind w:left="-360" w:right="-180"/>
        <w:rPr>
          <w:rFonts w:ascii="Arial" w:hAnsi="Arial" w:cs="Arial"/>
          <w:i/>
          <w:color w:val="0000FF"/>
          <w:sz w:val="22"/>
          <w:szCs w:val="22"/>
        </w:rPr>
      </w:pPr>
    </w:p>
    <w:p w:rsidR="00B46751" w:rsidRPr="00470AA7" w:rsidRDefault="00B46751" w:rsidP="00B46751">
      <w:pPr>
        <w:ind w:left="-360" w:right="-180"/>
        <w:rPr>
          <w:rFonts w:ascii="Arial" w:hAnsi="Arial" w:cs="Arial"/>
          <w:sz w:val="22"/>
          <w:szCs w:val="22"/>
        </w:rPr>
      </w:pPr>
      <w:proofErr w:type="spellStart"/>
      <w:r w:rsidRPr="00470AA7">
        <w:rPr>
          <w:rFonts w:ascii="Arial" w:hAnsi="Arial" w:cs="Arial"/>
          <w:sz w:val="22"/>
          <w:szCs w:val="22"/>
        </w:rPr>
        <w:t>Pinder</w:t>
      </w:r>
      <w:proofErr w:type="spellEnd"/>
      <w:r w:rsidRPr="00470AA7">
        <w:rPr>
          <w:rFonts w:ascii="Arial" w:hAnsi="Arial" w:cs="Arial"/>
          <w:sz w:val="22"/>
          <w:szCs w:val="22"/>
        </w:rPr>
        <w:t xml:space="preserve"> RJ, Greenberg N, Boyko EJ, Gackstetter GD, Hooper TI, Murphy D, Ryan MA, Smith B, Smith TC, Wells TS, </w:t>
      </w:r>
      <w:proofErr w:type="spellStart"/>
      <w:r w:rsidRPr="00470AA7">
        <w:rPr>
          <w:rFonts w:ascii="Arial" w:hAnsi="Arial" w:cs="Arial"/>
          <w:sz w:val="22"/>
          <w:szCs w:val="22"/>
        </w:rPr>
        <w:t>Wessely</w:t>
      </w:r>
      <w:proofErr w:type="spellEnd"/>
      <w:r w:rsidRPr="00470AA7">
        <w:rPr>
          <w:rFonts w:ascii="Arial" w:hAnsi="Arial" w:cs="Arial"/>
          <w:sz w:val="22"/>
          <w:szCs w:val="22"/>
        </w:rPr>
        <w:t xml:space="preserve"> S, for the Millennium Cohort Study Team. </w:t>
      </w:r>
      <w:r w:rsidRPr="00470AA7">
        <w:rPr>
          <w:rFonts w:ascii="Arial" w:hAnsi="Arial" w:cs="Arial"/>
          <w:b/>
          <w:sz w:val="22"/>
          <w:szCs w:val="22"/>
        </w:rPr>
        <w:t>Profile of two cohorts: UK and US prospective studies of military health.</w:t>
      </w:r>
      <w:r w:rsidRPr="00470AA7">
        <w:rPr>
          <w:rFonts w:ascii="Arial" w:hAnsi="Arial" w:cs="Arial"/>
          <w:sz w:val="22"/>
          <w:szCs w:val="22"/>
        </w:rPr>
        <w:t xml:space="preserve"> International Journal of Epidemiology; </w:t>
      </w:r>
      <w:r w:rsidRPr="00B46751">
        <w:rPr>
          <w:rFonts w:ascii="Arial" w:hAnsi="Arial" w:cs="Arial"/>
          <w:sz w:val="22"/>
          <w:szCs w:val="22"/>
        </w:rPr>
        <w:t>2012 Oct;41(5):1272-82.</w:t>
      </w:r>
    </w:p>
    <w:p w:rsidR="00B46751" w:rsidRPr="00470AA7" w:rsidRDefault="00B46751" w:rsidP="00B46751">
      <w:pPr>
        <w:ind w:left="-360" w:right="-180"/>
        <w:rPr>
          <w:rFonts w:ascii="Arial" w:hAnsi="Arial" w:cs="Arial"/>
          <w:i/>
          <w:sz w:val="20"/>
          <w:szCs w:val="20"/>
        </w:rPr>
      </w:pPr>
    </w:p>
    <w:p w:rsidR="00B46751" w:rsidRDefault="00B46751" w:rsidP="00B46751">
      <w:pPr>
        <w:ind w:left="-360" w:right="-180"/>
        <w:rPr>
          <w:rFonts w:ascii="Arial" w:hAnsi="Arial" w:cs="Arial"/>
          <w:i/>
          <w:color w:val="0000FF"/>
          <w:sz w:val="22"/>
          <w:szCs w:val="22"/>
        </w:rPr>
      </w:pPr>
      <w:r w:rsidRPr="00470AA7">
        <w:rPr>
          <w:rFonts w:ascii="Arial" w:hAnsi="Arial" w:cs="Arial"/>
          <w:i/>
          <w:color w:val="0000FF"/>
          <w:sz w:val="22"/>
          <w:szCs w:val="22"/>
        </w:rPr>
        <w:t>Despite differences and limitations in methodologies, analyses of these two cohorts provide the prospect of driving improvement and innovation in military health and extending findings to other occupational populations.</w:t>
      </w:r>
    </w:p>
    <w:p w:rsidR="003B1425" w:rsidRDefault="003B1425" w:rsidP="00866D3C">
      <w:pPr>
        <w:ind w:right="-180"/>
        <w:rPr>
          <w:rFonts w:ascii="Arial" w:hAnsi="Arial" w:cs="Arial"/>
          <w:sz w:val="22"/>
          <w:szCs w:val="22"/>
        </w:rPr>
      </w:pPr>
    </w:p>
    <w:p w:rsidR="00310920" w:rsidRPr="00CB69F6" w:rsidRDefault="00310920" w:rsidP="00310920">
      <w:pPr>
        <w:ind w:left="-360" w:right="-180"/>
        <w:rPr>
          <w:rFonts w:ascii="Arial" w:hAnsi="Arial" w:cs="Arial"/>
          <w:sz w:val="22"/>
          <w:szCs w:val="22"/>
        </w:rPr>
      </w:pPr>
      <w:r w:rsidRPr="00CB69F6">
        <w:rPr>
          <w:rFonts w:ascii="Arial" w:hAnsi="Arial" w:cs="Arial"/>
          <w:sz w:val="22"/>
          <w:szCs w:val="22"/>
        </w:rPr>
        <w:t xml:space="preserve">Seelig AD, Jacobson IG, Smith B, Hooper TI, Gackstetter GG, Ryan MAK, Wells TS, MacDermid Wadsworth S, Smith TC, for the Millennium Cohort Study Team. </w:t>
      </w:r>
      <w:r w:rsidRPr="00CB69F6">
        <w:rPr>
          <w:rFonts w:ascii="Arial" w:hAnsi="Arial" w:cs="Arial"/>
          <w:b/>
          <w:sz w:val="22"/>
          <w:szCs w:val="22"/>
        </w:rPr>
        <w:t>Prospective evaluation of mental health and deployment experience among women in the US military.</w:t>
      </w:r>
      <w:r w:rsidRPr="00CB69F6">
        <w:rPr>
          <w:rFonts w:ascii="Arial" w:hAnsi="Arial" w:cs="Arial"/>
          <w:sz w:val="22"/>
          <w:szCs w:val="22"/>
        </w:rPr>
        <w:t xml:space="preserve"> American Journal of Epidemiology. 2012;176(2):135-45.</w:t>
      </w:r>
    </w:p>
    <w:p w:rsidR="00310920" w:rsidRPr="00470AA7" w:rsidRDefault="00310920" w:rsidP="00310920">
      <w:pPr>
        <w:ind w:left="-360" w:right="-180"/>
        <w:rPr>
          <w:rFonts w:ascii="Arial" w:hAnsi="Arial" w:cs="Arial"/>
          <w:sz w:val="22"/>
          <w:szCs w:val="22"/>
        </w:rPr>
      </w:pPr>
    </w:p>
    <w:p w:rsidR="006A2478" w:rsidRDefault="00310920" w:rsidP="006A2478">
      <w:pPr>
        <w:ind w:left="-360" w:right="-180"/>
        <w:rPr>
          <w:rFonts w:ascii="Arial" w:hAnsi="Arial" w:cs="Arial"/>
          <w:i/>
          <w:color w:val="0000FF"/>
          <w:sz w:val="22"/>
          <w:szCs w:val="22"/>
        </w:rPr>
      </w:pPr>
      <w:r w:rsidRPr="00470AA7">
        <w:rPr>
          <w:rFonts w:ascii="Arial" w:hAnsi="Arial" w:cs="Arial"/>
          <w:i/>
          <w:color w:val="0000FF"/>
          <w:sz w:val="22"/>
          <w:szCs w:val="22"/>
        </w:rPr>
        <w:t>Women with reported combat exposures were more likely to have mental health symptoms than women who deployed without combat associated exposures and women who never deployed.</w:t>
      </w:r>
    </w:p>
    <w:p w:rsidR="0013581B" w:rsidRDefault="0013581B" w:rsidP="006A2478">
      <w:pPr>
        <w:ind w:left="-360" w:right="-180"/>
        <w:rPr>
          <w:rFonts w:ascii="Arial" w:hAnsi="Arial" w:cs="Arial"/>
          <w:i/>
          <w:color w:val="0000FF"/>
          <w:sz w:val="22"/>
          <w:szCs w:val="22"/>
        </w:rPr>
      </w:pPr>
    </w:p>
    <w:p w:rsidR="00310920" w:rsidRPr="006A2478" w:rsidRDefault="00F97E10" w:rsidP="006A2478">
      <w:pPr>
        <w:ind w:left="-360" w:right="-180"/>
        <w:rPr>
          <w:rFonts w:ascii="Arial" w:hAnsi="Arial" w:cs="Arial"/>
          <w:i/>
          <w:color w:val="0000FF"/>
          <w:sz w:val="22"/>
          <w:szCs w:val="22"/>
        </w:rPr>
      </w:pPr>
      <w:r w:rsidRPr="00470AA7">
        <w:rPr>
          <w:rFonts w:ascii="Arial" w:hAnsi="Arial" w:cs="Arial"/>
          <w:sz w:val="22"/>
          <w:szCs w:val="22"/>
        </w:rPr>
        <w:t xml:space="preserve">Jacobson IG, Horton JL, Smith B, Wells TS, Boyko EJ, Lieberman HR, Ryan MAK, </w:t>
      </w:r>
      <w:r w:rsidR="00310920">
        <w:rPr>
          <w:rFonts w:ascii="Arial" w:hAnsi="Arial" w:cs="Arial"/>
          <w:sz w:val="22"/>
          <w:szCs w:val="22"/>
        </w:rPr>
        <w:t>Smith TC, for the</w:t>
      </w:r>
    </w:p>
    <w:p w:rsidR="00F97E10" w:rsidRPr="00470AA7" w:rsidRDefault="00F97E10" w:rsidP="00310920">
      <w:pPr>
        <w:ind w:left="-360" w:right="-180"/>
        <w:rPr>
          <w:rFonts w:ascii="Arial" w:hAnsi="Arial" w:cs="Arial"/>
          <w:sz w:val="22"/>
          <w:szCs w:val="22"/>
        </w:rPr>
      </w:pPr>
      <w:r w:rsidRPr="00470AA7">
        <w:rPr>
          <w:rFonts w:ascii="Arial" w:hAnsi="Arial" w:cs="Arial"/>
          <w:sz w:val="22"/>
          <w:szCs w:val="22"/>
        </w:rPr>
        <w:t xml:space="preserve">Millennium Cohort Study Team. </w:t>
      </w:r>
      <w:r w:rsidRPr="00470AA7">
        <w:rPr>
          <w:rFonts w:ascii="Arial" w:hAnsi="Arial" w:cs="Arial"/>
          <w:b/>
          <w:sz w:val="22"/>
          <w:szCs w:val="22"/>
        </w:rPr>
        <w:t>Body building, energy, and weight loss supplements are associated with deployment and physical activity in U.S. Military personnel.</w:t>
      </w:r>
      <w:r w:rsidRPr="00470AA7">
        <w:rPr>
          <w:rFonts w:ascii="Arial" w:hAnsi="Arial" w:cs="Arial"/>
          <w:sz w:val="22"/>
          <w:szCs w:val="22"/>
        </w:rPr>
        <w:t xml:space="preserve"> Annals of Epidemiology. 2012;22:318-330.</w:t>
      </w:r>
    </w:p>
    <w:p w:rsidR="00F97E10" w:rsidRPr="00470AA7" w:rsidRDefault="00F97E10" w:rsidP="006D7C9B">
      <w:pPr>
        <w:ind w:left="-360" w:right="-180"/>
        <w:rPr>
          <w:rFonts w:ascii="Arial" w:hAnsi="Arial" w:cs="Arial"/>
          <w:i/>
          <w:sz w:val="20"/>
          <w:szCs w:val="20"/>
        </w:rPr>
      </w:pPr>
    </w:p>
    <w:p w:rsidR="00F97E10" w:rsidRPr="00470AA7" w:rsidRDefault="00F97E10" w:rsidP="006D7C9B">
      <w:pPr>
        <w:ind w:left="-360" w:right="-180"/>
        <w:rPr>
          <w:rFonts w:ascii="Arial" w:hAnsi="Arial" w:cs="Arial"/>
          <w:i/>
          <w:color w:val="0000FF"/>
          <w:sz w:val="22"/>
          <w:szCs w:val="22"/>
        </w:rPr>
      </w:pPr>
      <w:r w:rsidRPr="00470AA7">
        <w:rPr>
          <w:rFonts w:ascii="Arial" w:hAnsi="Arial" w:cs="Arial"/>
          <w:i/>
          <w:color w:val="0000FF"/>
          <w:sz w:val="22"/>
          <w:szCs w:val="22"/>
        </w:rPr>
        <w:t>Nearly half of the population studied reported use of energy, body building, or weight loss supplements, with energy supplements being the most highly endorsed (38%) supplement type.  Deployment experience, physical activity, problem drinking, and suboptimal sleep emerged as important characteristics associated with supplement use, which may be of importance to medical planners and military policy makers in targeting adverse event monitoring and for future research determining how supplements affect performance and health over time.</w:t>
      </w:r>
    </w:p>
    <w:p w:rsidR="00A51656" w:rsidRDefault="00A51656" w:rsidP="006D7C9B">
      <w:pPr>
        <w:ind w:right="-180"/>
        <w:rPr>
          <w:rFonts w:ascii="Arial" w:hAnsi="Arial" w:cs="Arial"/>
          <w:sz w:val="22"/>
          <w:szCs w:val="22"/>
        </w:rPr>
      </w:pPr>
    </w:p>
    <w:p w:rsidR="00B34B9D" w:rsidRDefault="00B34B9D"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38427F" w:rsidRPr="00470AA7" w:rsidRDefault="0038427F" w:rsidP="006D7C9B">
      <w:pPr>
        <w:ind w:left="-360" w:right="-180"/>
        <w:rPr>
          <w:rFonts w:ascii="Arial" w:hAnsi="Arial" w:cs="Arial"/>
          <w:sz w:val="22"/>
          <w:szCs w:val="22"/>
        </w:rPr>
      </w:pPr>
      <w:r w:rsidRPr="00470AA7">
        <w:rPr>
          <w:rFonts w:ascii="Arial" w:hAnsi="Arial" w:cs="Arial"/>
          <w:sz w:val="22"/>
          <w:szCs w:val="22"/>
        </w:rPr>
        <w:lastRenderedPageBreak/>
        <w:t xml:space="preserve">Powell TM, Smith TC, Jacobson IG, Boyko EJ, Hooper TI, Gackstetter GD, Phillips CJ, Smith B, for the Millennium Cohort Study Team. </w:t>
      </w:r>
      <w:r w:rsidRPr="00470AA7">
        <w:rPr>
          <w:rFonts w:ascii="Arial" w:hAnsi="Arial" w:cs="Arial"/>
          <w:b/>
          <w:sz w:val="22"/>
          <w:szCs w:val="22"/>
        </w:rPr>
        <w:t xml:space="preserve">Prospective assessment of chronic </w:t>
      </w:r>
      <w:proofErr w:type="spellStart"/>
      <w:r w:rsidRPr="00470AA7">
        <w:rPr>
          <w:rFonts w:ascii="Arial" w:hAnsi="Arial" w:cs="Arial"/>
          <w:b/>
          <w:sz w:val="22"/>
          <w:szCs w:val="22"/>
        </w:rPr>
        <w:t>multisymptom</w:t>
      </w:r>
      <w:proofErr w:type="spellEnd"/>
      <w:r w:rsidRPr="00470AA7">
        <w:rPr>
          <w:rFonts w:ascii="Arial" w:hAnsi="Arial" w:cs="Arial"/>
          <w:b/>
          <w:sz w:val="22"/>
          <w:szCs w:val="22"/>
        </w:rPr>
        <w:t xml:space="preserve"> illness reporting possibly associated with open-Air burn pit smoke exposure in Iraq</w:t>
      </w:r>
      <w:r w:rsidRPr="00470AA7">
        <w:rPr>
          <w:rFonts w:ascii="Arial" w:hAnsi="Arial" w:cs="Arial"/>
          <w:sz w:val="22"/>
          <w:szCs w:val="22"/>
        </w:rPr>
        <w:t>.  Journal of Occupati</w:t>
      </w:r>
      <w:r w:rsidR="00FD02E5" w:rsidRPr="00470AA7">
        <w:rPr>
          <w:rFonts w:ascii="Arial" w:hAnsi="Arial" w:cs="Arial"/>
          <w:sz w:val="22"/>
          <w:szCs w:val="22"/>
        </w:rPr>
        <w:t>onal and Environmental Medicine.</w:t>
      </w:r>
      <w:r w:rsidRPr="00470AA7">
        <w:rPr>
          <w:rFonts w:ascii="Arial" w:hAnsi="Arial" w:cs="Arial"/>
          <w:sz w:val="22"/>
          <w:szCs w:val="22"/>
        </w:rPr>
        <w:t xml:space="preserve"> </w:t>
      </w:r>
      <w:r w:rsidR="00FD02E5" w:rsidRPr="00470AA7">
        <w:rPr>
          <w:rFonts w:ascii="Arial" w:hAnsi="Arial" w:cs="Arial"/>
          <w:sz w:val="22"/>
          <w:szCs w:val="22"/>
        </w:rPr>
        <w:t xml:space="preserve">2012 </w:t>
      </w:r>
      <w:r w:rsidRPr="00470AA7">
        <w:rPr>
          <w:rFonts w:ascii="Arial" w:hAnsi="Arial" w:cs="Arial"/>
          <w:sz w:val="22"/>
          <w:szCs w:val="22"/>
        </w:rPr>
        <w:t>June;54(6):682-688.</w:t>
      </w:r>
    </w:p>
    <w:p w:rsidR="0038427F" w:rsidRPr="00470AA7" w:rsidRDefault="0038427F" w:rsidP="006D7C9B">
      <w:pPr>
        <w:ind w:left="-360" w:right="-180"/>
        <w:rPr>
          <w:rFonts w:ascii="Arial" w:hAnsi="Arial" w:cs="Arial"/>
          <w:i/>
          <w:sz w:val="20"/>
          <w:szCs w:val="20"/>
        </w:rPr>
      </w:pPr>
    </w:p>
    <w:p w:rsidR="0038427F" w:rsidRPr="00470AA7" w:rsidRDefault="0038427F" w:rsidP="006D7C9B">
      <w:pPr>
        <w:ind w:left="-360" w:right="-180"/>
        <w:rPr>
          <w:rFonts w:ascii="Arial" w:hAnsi="Arial" w:cs="Arial"/>
          <w:i/>
          <w:color w:val="0000FF"/>
          <w:sz w:val="22"/>
          <w:szCs w:val="22"/>
        </w:rPr>
      </w:pPr>
      <w:r w:rsidRPr="00470AA7">
        <w:rPr>
          <w:rFonts w:ascii="Arial" w:hAnsi="Arial" w:cs="Arial"/>
          <w:i/>
          <w:color w:val="0000FF"/>
          <w:sz w:val="22"/>
          <w:szCs w:val="22"/>
        </w:rPr>
        <w:t xml:space="preserve">There was no increase in chronic </w:t>
      </w:r>
      <w:proofErr w:type="spellStart"/>
      <w:r w:rsidRPr="00470AA7">
        <w:rPr>
          <w:rFonts w:ascii="Arial" w:hAnsi="Arial" w:cs="Arial"/>
          <w:i/>
          <w:color w:val="0000FF"/>
          <w:sz w:val="22"/>
          <w:szCs w:val="22"/>
        </w:rPr>
        <w:t>multisymptom</w:t>
      </w:r>
      <w:proofErr w:type="spellEnd"/>
      <w:r w:rsidRPr="00470AA7">
        <w:rPr>
          <w:rFonts w:ascii="Arial" w:hAnsi="Arial" w:cs="Arial"/>
          <w:i/>
          <w:color w:val="0000FF"/>
          <w:sz w:val="22"/>
          <w:szCs w:val="22"/>
        </w:rPr>
        <w:t xml:space="preserve"> illness (CMI) symptom reporting in Army and Air Force personnel deployed within a 2-, 3-, or</w:t>
      </w:r>
      <w:r w:rsidR="00624BE9">
        <w:rPr>
          <w:rFonts w:ascii="Arial" w:hAnsi="Arial" w:cs="Arial"/>
          <w:i/>
          <w:color w:val="0000FF"/>
          <w:sz w:val="22"/>
          <w:szCs w:val="22"/>
        </w:rPr>
        <w:t xml:space="preserve"> </w:t>
      </w:r>
      <w:r w:rsidRPr="00470AA7">
        <w:rPr>
          <w:rFonts w:ascii="Arial" w:hAnsi="Arial" w:cs="Arial"/>
          <w:i/>
          <w:color w:val="0000FF"/>
          <w:sz w:val="22"/>
          <w:szCs w:val="22"/>
        </w:rPr>
        <w:t xml:space="preserve">5-mile radius of documented open-air burn pits located in Iraq at Joint Base </w:t>
      </w:r>
      <w:proofErr w:type="spellStart"/>
      <w:r w:rsidRPr="00470AA7">
        <w:rPr>
          <w:rFonts w:ascii="Arial" w:hAnsi="Arial" w:cs="Arial"/>
          <w:i/>
          <w:color w:val="0000FF"/>
          <w:sz w:val="22"/>
          <w:szCs w:val="22"/>
        </w:rPr>
        <w:t>Balad</w:t>
      </w:r>
      <w:proofErr w:type="spellEnd"/>
      <w:r w:rsidRPr="00470AA7">
        <w:rPr>
          <w:rFonts w:ascii="Arial" w:hAnsi="Arial" w:cs="Arial"/>
          <w:i/>
          <w:color w:val="0000FF"/>
          <w:sz w:val="22"/>
          <w:szCs w:val="22"/>
        </w:rPr>
        <w:t xml:space="preserve">, Camp </w:t>
      </w:r>
      <w:proofErr w:type="spellStart"/>
      <w:r w:rsidRPr="00470AA7">
        <w:rPr>
          <w:rFonts w:ascii="Arial" w:hAnsi="Arial" w:cs="Arial"/>
          <w:i/>
          <w:color w:val="0000FF"/>
          <w:sz w:val="22"/>
          <w:szCs w:val="22"/>
        </w:rPr>
        <w:t>Taji</w:t>
      </w:r>
      <w:proofErr w:type="spellEnd"/>
      <w:r w:rsidRPr="00470AA7">
        <w:rPr>
          <w:rFonts w:ascii="Arial" w:hAnsi="Arial" w:cs="Arial"/>
          <w:i/>
          <w:color w:val="0000FF"/>
          <w:sz w:val="22"/>
          <w:szCs w:val="22"/>
        </w:rPr>
        <w:t xml:space="preserve">, and Camp </w:t>
      </w:r>
      <w:proofErr w:type="spellStart"/>
      <w:r w:rsidRPr="00470AA7">
        <w:rPr>
          <w:rFonts w:ascii="Arial" w:hAnsi="Arial" w:cs="Arial"/>
          <w:i/>
          <w:color w:val="0000FF"/>
          <w:sz w:val="22"/>
          <w:szCs w:val="22"/>
        </w:rPr>
        <w:t>Speicher</w:t>
      </w:r>
      <w:proofErr w:type="spellEnd"/>
      <w:r w:rsidRPr="00470AA7">
        <w:rPr>
          <w:rFonts w:ascii="Arial" w:hAnsi="Arial" w:cs="Arial"/>
          <w:i/>
          <w:color w:val="0000FF"/>
          <w:sz w:val="22"/>
          <w:szCs w:val="22"/>
        </w:rPr>
        <w:t xml:space="preserve"> compared with other deployed personnel. This initial report on possible burn pit exposure associated with CMI at </w:t>
      </w:r>
      <w:proofErr w:type="spellStart"/>
      <w:r w:rsidRPr="00470AA7">
        <w:rPr>
          <w:rFonts w:ascii="Arial" w:hAnsi="Arial" w:cs="Arial"/>
          <w:i/>
          <w:color w:val="0000FF"/>
          <w:sz w:val="22"/>
          <w:szCs w:val="22"/>
        </w:rPr>
        <w:t>apopulation</w:t>
      </w:r>
      <w:proofErr w:type="spellEnd"/>
      <w:r w:rsidRPr="00470AA7">
        <w:rPr>
          <w:rFonts w:ascii="Arial" w:hAnsi="Arial" w:cs="Arial"/>
          <w:i/>
          <w:color w:val="0000FF"/>
          <w:sz w:val="22"/>
          <w:szCs w:val="22"/>
        </w:rPr>
        <w:t>-level is reassuring, but future research evaluating the potential association of burn pit smoke and CMI should utilize individual exposure data when possible.</w:t>
      </w:r>
    </w:p>
    <w:p w:rsidR="009B06DD" w:rsidRDefault="009B06DD" w:rsidP="006D7C9B">
      <w:pPr>
        <w:ind w:left="-360" w:right="-180"/>
        <w:rPr>
          <w:rFonts w:ascii="Arial" w:hAnsi="Arial" w:cs="Arial"/>
          <w:sz w:val="22"/>
          <w:szCs w:val="22"/>
        </w:rPr>
      </w:pPr>
    </w:p>
    <w:p w:rsidR="008D3C33" w:rsidRPr="00470AA7" w:rsidRDefault="008D3C33" w:rsidP="006D7C9B">
      <w:pPr>
        <w:ind w:left="-360" w:right="-180"/>
        <w:rPr>
          <w:rFonts w:ascii="Arial" w:hAnsi="Arial" w:cs="Arial"/>
          <w:sz w:val="22"/>
          <w:szCs w:val="22"/>
        </w:rPr>
      </w:pPr>
      <w:r w:rsidRPr="00470AA7">
        <w:rPr>
          <w:rFonts w:ascii="Arial" w:hAnsi="Arial" w:cs="Arial"/>
          <w:sz w:val="22"/>
          <w:szCs w:val="22"/>
        </w:rPr>
        <w:t xml:space="preserve">Jones KA, Smith B, Granado NS, Boyko EJ, Gackstetter GD, Ryan MAK, Phillips CJ, Smith TC, for the Millennium Cohort Study Team. </w:t>
      </w:r>
      <w:r w:rsidRPr="00470AA7">
        <w:rPr>
          <w:rFonts w:ascii="Arial" w:hAnsi="Arial" w:cs="Arial"/>
          <w:b/>
          <w:sz w:val="22"/>
          <w:szCs w:val="22"/>
        </w:rPr>
        <w:t>Newly reported lupus and rheumatoid arthritis in relation to deployment within proximity to a documented open-air burn pit in Iraq</w:t>
      </w:r>
      <w:r w:rsidRPr="00470AA7">
        <w:rPr>
          <w:rFonts w:ascii="Arial" w:hAnsi="Arial" w:cs="Arial"/>
          <w:sz w:val="22"/>
          <w:szCs w:val="22"/>
        </w:rPr>
        <w:t>. Journal of Occupati</w:t>
      </w:r>
      <w:r w:rsidR="00FD02E5" w:rsidRPr="00470AA7">
        <w:rPr>
          <w:rFonts w:ascii="Arial" w:hAnsi="Arial" w:cs="Arial"/>
          <w:sz w:val="22"/>
          <w:szCs w:val="22"/>
        </w:rPr>
        <w:t>onal and Environmental Medicine.</w:t>
      </w:r>
      <w:r w:rsidRPr="00470AA7">
        <w:rPr>
          <w:rFonts w:ascii="Arial" w:hAnsi="Arial" w:cs="Arial"/>
          <w:sz w:val="22"/>
          <w:szCs w:val="22"/>
        </w:rPr>
        <w:t xml:space="preserve"> 2012 June;54(6):698-707.</w:t>
      </w:r>
    </w:p>
    <w:p w:rsidR="008D3C33" w:rsidRPr="00470AA7" w:rsidRDefault="008D3C33" w:rsidP="006D7C9B">
      <w:pPr>
        <w:ind w:left="-360" w:right="-180"/>
        <w:rPr>
          <w:rFonts w:ascii="Arial" w:hAnsi="Arial" w:cs="Arial"/>
          <w:i/>
          <w:sz w:val="22"/>
          <w:szCs w:val="22"/>
        </w:rPr>
      </w:pPr>
    </w:p>
    <w:p w:rsidR="00866D3C" w:rsidRDefault="008D3C33" w:rsidP="00866D3C">
      <w:pPr>
        <w:ind w:left="-360" w:right="-180"/>
        <w:rPr>
          <w:rFonts w:ascii="Arial" w:hAnsi="Arial" w:cs="Arial"/>
          <w:i/>
          <w:color w:val="0000FF"/>
          <w:sz w:val="22"/>
          <w:szCs w:val="22"/>
        </w:rPr>
      </w:pPr>
      <w:r w:rsidRPr="00470AA7">
        <w:rPr>
          <w:rFonts w:ascii="Arial" w:hAnsi="Arial" w:cs="Arial"/>
          <w:i/>
          <w:color w:val="0000FF"/>
          <w:sz w:val="22"/>
          <w:szCs w:val="22"/>
        </w:rPr>
        <w:t xml:space="preserve">This study examined the incidence lupus and rheumatoid arthritis in relation to Army and Air Force personnel deployed within a 3- and 5-mile radius of documented open-air burn pits located in Iraq at Joint Base </w:t>
      </w:r>
      <w:proofErr w:type="spellStart"/>
      <w:r w:rsidRPr="00470AA7">
        <w:rPr>
          <w:rFonts w:ascii="Arial" w:hAnsi="Arial" w:cs="Arial"/>
          <w:i/>
          <w:color w:val="0000FF"/>
          <w:sz w:val="22"/>
          <w:szCs w:val="22"/>
        </w:rPr>
        <w:t>Balad</w:t>
      </w:r>
      <w:proofErr w:type="spellEnd"/>
      <w:r w:rsidRPr="00470AA7">
        <w:rPr>
          <w:rFonts w:ascii="Arial" w:hAnsi="Arial" w:cs="Arial"/>
          <w:i/>
          <w:color w:val="0000FF"/>
          <w:sz w:val="22"/>
          <w:szCs w:val="22"/>
        </w:rPr>
        <w:t xml:space="preserve">, Camp </w:t>
      </w:r>
      <w:proofErr w:type="spellStart"/>
      <w:r w:rsidRPr="00470AA7">
        <w:rPr>
          <w:rFonts w:ascii="Arial" w:hAnsi="Arial" w:cs="Arial"/>
          <w:i/>
          <w:color w:val="0000FF"/>
          <w:sz w:val="22"/>
          <w:szCs w:val="22"/>
        </w:rPr>
        <w:t>Speicher</w:t>
      </w:r>
      <w:proofErr w:type="spellEnd"/>
      <w:r w:rsidRPr="00470AA7">
        <w:rPr>
          <w:rFonts w:ascii="Arial" w:hAnsi="Arial" w:cs="Arial"/>
          <w:i/>
          <w:color w:val="0000FF"/>
          <w:sz w:val="22"/>
          <w:szCs w:val="22"/>
        </w:rPr>
        <w:t xml:space="preserve">, and Camp </w:t>
      </w:r>
      <w:proofErr w:type="spellStart"/>
      <w:r w:rsidRPr="00470AA7">
        <w:rPr>
          <w:rFonts w:ascii="Arial" w:hAnsi="Arial" w:cs="Arial"/>
          <w:i/>
          <w:color w:val="0000FF"/>
          <w:sz w:val="22"/>
          <w:szCs w:val="22"/>
        </w:rPr>
        <w:t>Taji</w:t>
      </w:r>
      <w:proofErr w:type="spellEnd"/>
      <w:r w:rsidRPr="00470AA7">
        <w:rPr>
          <w:rFonts w:ascii="Arial" w:hAnsi="Arial" w:cs="Arial"/>
          <w:i/>
          <w:color w:val="0000FF"/>
          <w:sz w:val="22"/>
          <w:szCs w:val="22"/>
        </w:rPr>
        <w:t xml:space="preserve">. Overall, the results indicate no elevated risk of newly reported lupus or rheumatoid arthritis in the combined three-camp analysis.  However, possible exposure at </w:t>
      </w:r>
      <w:proofErr w:type="spellStart"/>
      <w:r w:rsidRPr="00470AA7">
        <w:rPr>
          <w:rFonts w:ascii="Arial" w:hAnsi="Arial" w:cs="Arial"/>
          <w:i/>
          <w:color w:val="0000FF"/>
          <w:sz w:val="22"/>
          <w:szCs w:val="22"/>
        </w:rPr>
        <w:t>Balad</w:t>
      </w:r>
      <w:proofErr w:type="spellEnd"/>
      <w:r w:rsidRPr="00470AA7">
        <w:rPr>
          <w:rFonts w:ascii="Arial" w:hAnsi="Arial" w:cs="Arial"/>
          <w:i/>
          <w:color w:val="0000FF"/>
          <w:sz w:val="22"/>
          <w:szCs w:val="22"/>
        </w:rPr>
        <w:t xml:space="preserve"> was individually associated with newly reported lupus, although only two cases were at this site. Additional studies, including individual exposure data, are needed to further investigate these associations.</w:t>
      </w:r>
    </w:p>
    <w:p w:rsidR="009B06DD" w:rsidRDefault="009B06DD" w:rsidP="00866D3C">
      <w:pPr>
        <w:ind w:left="-360" w:right="-180"/>
        <w:rPr>
          <w:rFonts w:ascii="Arial" w:hAnsi="Arial" w:cs="Arial"/>
          <w:i/>
          <w:color w:val="0000FF"/>
          <w:sz w:val="22"/>
          <w:szCs w:val="22"/>
        </w:rPr>
      </w:pPr>
    </w:p>
    <w:p w:rsidR="0038427F" w:rsidRPr="00866D3C" w:rsidRDefault="0038427F" w:rsidP="00866D3C">
      <w:pPr>
        <w:ind w:left="-360" w:right="-180"/>
        <w:rPr>
          <w:rFonts w:ascii="Arial" w:hAnsi="Arial" w:cs="Arial"/>
          <w:i/>
          <w:color w:val="0000FF"/>
          <w:sz w:val="22"/>
          <w:szCs w:val="22"/>
        </w:rPr>
      </w:pPr>
      <w:r w:rsidRPr="00470AA7">
        <w:rPr>
          <w:rFonts w:ascii="Arial" w:hAnsi="Arial" w:cs="Arial"/>
          <w:sz w:val="22"/>
          <w:szCs w:val="22"/>
        </w:rPr>
        <w:t xml:space="preserve">Smith B, Wong CA, Boyko EJ, Phillips CJ, Gackstetter GD, Ryan MAK, Smith TC, for the Millennium Cohort Study Team. </w:t>
      </w:r>
      <w:r w:rsidRPr="006A29A5">
        <w:rPr>
          <w:rFonts w:ascii="Arial" w:hAnsi="Arial" w:cs="Arial"/>
          <w:b/>
          <w:sz w:val="22"/>
          <w:szCs w:val="22"/>
        </w:rPr>
        <w:t xml:space="preserve">The effects of exposure to documented open-air burn pits on respiratory health among </w:t>
      </w:r>
      <w:proofErr w:type="spellStart"/>
      <w:r w:rsidRPr="006A29A5">
        <w:rPr>
          <w:rFonts w:ascii="Arial" w:hAnsi="Arial" w:cs="Arial"/>
          <w:b/>
          <w:sz w:val="22"/>
          <w:szCs w:val="22"/>
        </w:rPr>
        <w:t>deployers</w:t>
      </w:r>
      <w:proofErr w:type="spellEnd"/>
      <w:r w:rsidRPr="006A29A5">
        <w:rPr>
          <w:rFonts w:ascii="Arial" w:hAnsi="Arial" w:cs="Arial"/>
          <w:b/>
          <w:sz w:val="22"/>
          <w:szCs w:val="22"/>
        </w:rPr>
        <w:t xml:space="preserve"> of the Millennium Cohort Study.</w:t>
      </w:r>
      <w:r w:rsidRPr="00470AA7">
        <w:rPr>
          <w:rFonts w:ascii="Arial" w:hAnsi="Arial" w:cs="Arial"/>
          <w:sz w:val="22"/>
          <w:szCs w:val="22"/>
        </w:rPr>
        <w:t xml:space="preserve"> Journal of Occupational and Environmental Medicine</w:t>
      </w:r>
      <w:r w:rsidR="00FD02E5" w:rsidRPr="00470AA7">
        <w:rPr>
          <w:rFonts w:ascii="Arial" w:hAnsi="Arial" w:cs="Arial"/>
          <w:sz w:val="22"/>
          <w:szCs w:val="22"/>
        </w:rPr>
        <w:t xml:space="preserve">. 2012 </w:t>
      </w:r>
      <w:r w:rsidRPr="00470AA7">
        <w:rPr>
          <w:rFonts w:ascii="Arial" w:hAnsi="Arial" w:cs="Arial"/>
          <w:sz w:val="22"/>
          <w:szCs w:val="22"/>
        </w:rPr>
        <w:t>June;54(6):708-716.</w:t>
      </w:r>
    </w:p>
    <w:p w:rsidR="0038427F" w:rsidRPr="00470AA7" w:rsidRDefault="0038427F" w:rsidP="006D7C9B">
      <w:pPr>
        <w:ind w:left="-360" w:right="-180"/>
        <w:rPr>
          <w:rFonts w:ascii="Arial" w:hAnsi="Arial" w:cs="Arial"/>
          <w:sz w:val="22"/>
          <w:szCs w:val="22"/>
        </w:rPr>
      </w:pPr>
    </w:p>
    <w:p w:rsidR="001D6C02" w:rsidRDefault="0038427F" w:rsidP="001D6C02">
      <w:pPr>
        <w:ind w:left="-360" w:right="-180"/>
        <w:rPr>
          <w:rFonts w:ascii="Arial" w:hAnsi="Arial" w:cs="Arial"/>
          <w:i/>
          <w:color w:val="0000FF"/>
          <w:sz w:val="22"/>
          <w:szCs w:val="22"/>
        </w:rPr>
      </w:pPr>
      <w:r w:rsidRPr="00470AA7">
        <w:rPr>
          <w:rFonts w:ascii="Arial" w:hAnsi="Arial" w:cs="Arial"/>
          <w:i/>
          <w:color w:val="0000FF"/>
          <w:sz w:val="22"/>
          <w:szCs w:val="22"/>
        </w:rPr>
        <w:t xml:space="preserve">Burn pit exposure within 3 or 5 miles was not associated with newly reported asthma, chronic bronchitis or emphysema, or self-reported respiratory symptoms. In general, these findings do not support an elevated risk for respiratory outcomes among personnel deployed within proximity of documented burn pits in Iraq. Increased symptom reporting, however, was observed among Air Force </w:t>
      </w:r>
      <w:proofErr w:type="spellStart"/>
      <w:r w:rsidRPr="00470AA7">
        <w:rPr>
          <w:rFonts w:ascii="Arial" w:hAnsi="Arial" w:cs="Arial"/>
          <w:i/>
          <w:color w:val="0000FF"/>
          <w:sz w:val="22"/>
          <w:szCs w:val="22"/>
        </w:rPr>
        <w:t>deployers</w:t>
      </w:r>
      <w:proofErr w:type="spellEnd"/>
      <w:r w:rsidRPr="00470AA7">
        <w:rPr>
          <w:rFonts w:ascii="Arial" w:hAnsi="Arial" w:cs="Arial"/>
          <w:i/>
          <w:color w:val="0000FF"/>
          <w:sz w:val="22"/>
          <w:szCs w:val="22"/>
        </w:rPr>
        <w:t xml:space="preserve"> located within 2 miles of Joint Base </w:t>
      </w:r>
      <w:proofErr w:type="spellStart"/>
      <w:r w:rsidRPr="00470AA7">
        <w:rPr>
          <w:rFonts w:ascii="Arial" w:hAnsi="Arial" w:cs="Arial"/>
          <w:i/>
          <w:color w:val="0000FF"/>
          <w:sz w:val="22"/>
          <w:szCs w:val="22"/>
        </w:rPr>
        <w:t>Balad</w:t>
      </w:r>
      <w:proofErr w:type="spellEnd"/>
      <w:r w:rsidRPr="00470AA7">
        <w:rPr>
          <w:rFonts w:ascii="Arial" w:hAnsi="Arial" w:cs="Arial"/>
          <w:i/>
          <w:color w:val="0000FF"/>
          <w:sz w:val="22"/>
          <w:szCs w:val="22"/>
        </w:rPr>
        <w:t>, though this finding was marginally significant with no evidence of trend.</w:t>
      </w:r>
    </w:p>
    <w:p w:rsidR="00666FBD" w:rsidRDefault="00666FBD" w:rsidP="001D6C02">
      <w:pPr>
        <w:ind w:left="-360" w:right="-180"/>
        <w:rPr>
          <w:rFonts w:ascii="Arial" w:hAnsi="Arial" w:cs="Arial"/>
          <w:i/>
          <w:color w:val="0000FF"/>
          <w:sz w:val="22"/>
          <w:szCs w:val="22"/>
        </w:rPr>
      </w:pPr>
    </w:p>
    <w:p w:rsidR="007C791D" w:rsidRPr="001D6C02" w:rsidRDefault="00061CD1" w:rsidP="001D6C02">
      <w:pPr>
        <w:ind w:left="-360" w:right="-180"/>
        <w:rPr>
          <w:rFonts w:ascii="Arial" w:hAnsi="Arial" w:cs="Arial"/>
          <w:i/>
          <w:color w:val="0000FF"/>
          <w:sz w:val="22"/>
          <w:szCs w:val="22"/>
        </w:rPr>
      </w:pPr>
      <w:r w:rsidRPr="00470AA7">
        <w:rPr>
          <w:rFonts w:ascii="Arial" w:hAnsi="Arial" w:cs="Arial"/>
          <w:sz w:val="22"/>
          <w:szCs w:val="22"/>
        </w:rPr>
        <w:t>Granado NS, Zimmermann L, Smith B, Jones KA, Wells TS, Ryan MA</w:t>
      </w:r>
      <w:r w:rsidR="007C791D">
        <w:rPr>
          <w:rFonts w:ascii="Arial" w:hAnsi="Arial" w:cs="Arial"/>
          <w:sz w:val="22"/>
          <w:szCs w:val="22"/>
        </w:rPr>
        <w:t xml:space="preserve">K, Slymen DL, Koffman RL, Smith </w:t>
      </w:r>
    </w:p>
    <w:p w:rsidR="00061CD1" w:rsidRPr="00470AA7" w:rsidRDefault="00061CD1" w:rsidP="007C791D">
      <w:pPr>
        <w:ind w:left="-360" w:right="-180"/>
        <w:rPr>
          <w:rFonts w:ascii="Arial" w:hAnsi="Arial" w:cs="Arial"/>
          <w:sz w:val="22"/>
          <w:szCs w:val="22"/>
        </w:rPr>
      </w:pPr>
      <w:r w:rsidRPr="00470AA7">
        <w:rPr>
          <w:rFonts w:ascii="Arial" w:hAnsi="Arial" w:cs="Arial"/>
          <w:sz w:val="22"/>
          <w:szCs w:val="22"/>
        </w:rPr>
        <w:t>TC, for the Millennium Cohort Study Team</w:t>
      </w:r>
      <w:r w:rsidRPr="00470AA7">
        <w:rPr>
          <w:rFonts w:ascii="Arial" w:hAnsi="Arial" w:cs="Arial"/>
          <w:b/>
          <w:sz w:val="22"/>
          <w:szCs w:val="22"/>
        </w:rPr>
        <w:t xml:space="preserve">.  Individual </w:t>
      </w:r>
      <w:proofErr w:type="spellStart"/>
      <w:r w:rsidRPr="00470AA7">
        <w:rPr>
          <w:rFonts w:ascii="Arial" w:hAnsi="Arial" w:cs="Arial"/>
          <w:b/>
          <w:sz w:val="22"/>
          <w:szCs w:val="22"/>
        </w:rPr>
        <w:t>augmentee</w:t>
      </w:r>
      <w:proofErr w:type="spellEnd"/>
      <w:r w:rsidRPr="00470AA7">
        <w:rPr>
          <w:rFonts w:ascii="Arial" w:hAnsi="Arial" w:cs="Arial"/>
          <w:b/>
          <w:sz w:val="22"/>
          <w:szCs w:val="22"/>
        </w:rPr>
        <w:t xml:space="preserve"> deployment and newly reported mental health morbidity</w:t>
      </w:r>
      <w:r w:rsidRPr="00470AA7">
        <w:rPr>
          <w:rFonts w:ascii="Arial" w:hAnsi="Arial" w:cs="Arial"/>
          <w:sz w:val="22"/>
          <w:szCs w:val="22"/>
        </w:rPr>
        <w:t>. Journal of Occupational and Environmental Medicine. 2012 May;54(5):615-620.</w:t>
      </w:r>
    </w:p>
    <w:p w:rsidR="00061CD1" w:rsidRPr="00470AA7" w:rsidRDefault="00061CD1" w:rsidP="006D7C9B">
      <w:pPr>
        <w:ind w:left="-360" w:right="-180"/>
        <w:rPr>
          <w:rFonts w:ascii="Arial" w:hAnsi="Arial" w:cs="Arial"/>
          <w:i/>
          <w:sz w:val="20"/>
          <w:szCs w:val="20"/>
        </w:rPr>
      </w:pPr>
    </w:p>
    <w:p w:rsidR="00061CD1" w:rsidRPr="00470AA7" w:rsidRDefault="00061CD1" w:rsidP="006D7C9B">
      <w:pPr>
        <w:ind w:left="-360" w:right="-180"/>
        <w:rPr>
          <w:rFonts w:ascii="Arial" w:hAnsi="Arial" w:cs="Arial"/>
          <w:i/>
          <w:color w:val="0000FF"/>
          <w:sz w:val="22"/>
          <w:szCs w:val="22"/>
        </w:rPr>
      </w:pPr>
      <w:r w:rsidRPr="00470AA7">
        <w:rPr>
          <w:rFonts w:ascii="Arial" w:hAnsi="Arial" w:cs="Arial"/>
          <w:i/>
          <w:color w:val="0000FF"/>
          <w:sz w:val="22"/>
          <w:szCs w:val="22"/>
        </w:rPr>
        <w:t xml:space="preserve">Individual </w:t>
      </w:r>
      <w:proofErr w:type="spellStart"/>
      <w:r w:rsidRPr="00470AA7">
        <w:rPr>
          <w:rFonts w:ascii="Arial" w:hAnsi="Arial" w:cs="Arial"/>
          <w:i/>
          <w:color w:val="0000FF"/>
          <w:sz w:val="22"/>
          <w:szCs w:val="22"/>
        </w:rPr>
        <w:t>augmentees</w:t>
      </w:r>
      <w:proofErr w:type="spellEnd"/>
      <w:r w:rsidRPr="00470AA7">
        <w:rPr>
          <w:rFonts w:ascii="Arial" w:hAnsi="Arial" w:cs="Arial"/>
          <w:i/>
          <w:color w:val="0000FF"/>
          <w:sz w:val="22"/>
          <w:szCs w:val="22"/>
        </w:rPr>
        <w:t xml:space="preserve"> (IAs), who presumably have lower social support or unit cohesion, were not at increased risk for PTSD or mental health symptoms following deployment compared with non-IA </w:t>
      </w:r>
      <w:proofErr w:type="spellStart"/>
      <w:r w:rsidRPr="00470AA7">
        <w:rPr>
          <w:rFonts w:ascii="Arial" w:hAnsi="Arial" w:cs="Arial"/>
          <w:i/>
          <w:color w:val="0000FF"/>
          <w:sz w:val="22"/>
          <w:szCs w:val="22"/>
        </w:rPr>
        <w:t>deployers</w:t>
      </w:r>
      <w:proofErr w:type="spellEnd"/>
      <w:r w:rsidRPr="00470AA7">
        <w:rPr>
          <w:rFonts w:ascii="Arial" w:hAnsi="Arial" w:cs="Arial"/>
          <w:i/>
          <w:color w:val="0000FF"/>
          <w:sz w:val="22"/>
          <w:szCs w:val="22"/>
        </w:rPr>
        <w:t>.  It is likely that social isolation was not highly influential among Navy IAs in this study.</w:t>
      </w:r>
    </w:p>
    <w:p w:rsidR="005F352D" w:rsidRDefault="005F352D" w:rsidP="005F352D">
      <w:pPr>
        <w:ind w:right="-180"/>
        <w:rPr>
          <w:rFonts w:ascii="Arial" w:hAnsi="Arial" w:cs="Arial"/>
          <w:sz w:val="22"/>
          <w:szCs w:val="22"/>
        </w:rPr>
      </w:pPr>
    </w:p>
    <w:p w:rsidR="00B34B9D" w:rsidRDefault="00B34B9D" w:rsidP="005F352D">
      <w:pPr>
        <w:ind w:left="-360" w:right="-180"/>
        <w:rPr>
          <w:rFonts w:ascii="Arial" w:hAnsi="Arial" w:cs="Arial"/>
          <w:sz w:val="22"/>
          <w:szCs w:val="22"/>
        </w:rPr>
      </w:pPr>
    </w:p>
    <w:p w:rsidR="00B34B9D" w:rsidRDefault="00B34B9D" w:rsidP="005F352D">
      <w:pPr>
        <w:ind w:left="-360" w:right="-180"/>
        <w:rPr>
          <w:rFonts w:ascii="Arial" w:hAnsi="Arial" w:cs="Arial"/>
          <w:sz w:val="22"/>
          <w:szCs w:val="22"/>
        </w:rPr>
      </w:pPr>
    </w:p>
    <w:p w:rsidR="00B34B9D" w:rsidRDefault="00B34B9D" w:rsidP="005F352D">
      <w:pPr>
        <w:ind w:left="-360" w:right="-180"/>
        <w:rPr>
          <w:rFonts w:ascii="Arial" w:hAnsi="Arial" w:cs="Arial"/>
          <w:sz w:val="22"/>
          <w:szCs w:val="22"/>
        </w:rPr>
      </w:pPr>
    </w:p>
    <w:p w:rsidR="00B34B9D" w:rsidRDefault="00B34B9D" w:rsidP="005F352D">
      <w:pPr>
        <w:ind w:left="-360" w:right="-180"/>
        <w:rPr>
          <w:rFonts w:ascii="Arial" w:hAnsi="Arial" w:cs="Arial"/>
          <w:sz w:val="22"/>
          <w:szCs w:val="22"/>
        </w:rPr>
      </w:pPr>
    </w:p>
    <w:p w:rsidR="00B34B9D" w:rsidRDefault="00B34B9D" w:rsidP="005F352D">
      <w:pPr>
        <w:ind w:left="-360" w:right="-180"/>
        <w:rPr>
          <w:rFonts w:ascii="Arial" w:hAnsi="Arial" w:cs="Arial"/>
          <w:sz w:val="22"/>
          <w:szCs w:val="22"/>
        </w:rPr>
      </w:pPr>
    </w:p>
    <w:p w:rsidR="00B34B9D" w:rsidRDefault="00B34B9D" w:rsidP="005F352D">
      <w:pPr>
        <w:ind w:left="-360" w:right="-180"/>
        <w:rPr>
          <w:rFonts w:ascii="Arial" w:hAnsi="Arial" w:cs="Arial"/>
          <w:sz w:val="22"/>
          <w:szCs w:val="22"/>
        </w:rPr>
      </w:pPr>
    </w:p>
    <w:p w:rsidR="00B34B9D" w:rsidRDefault="00B34B9D" w:rsidP="005F352D">
      <w:pPr>
        <w:ind w:left="-360" w:right="-180"/>
        <w:rPr>
          <w:rFonts w:ascii="Arial" w:hAnsi="Arial" w:cs="Arial"/>
          <w:sz w:val="22"/>
          <w:szCs w:val="22"/>
        </w:rPr>
      </w:pPr>
    </w:p>
    <w:p w:rsidR="00B34B9D" w:rsidRDefault="00B34B9D" w:rsidP="005F352D">
      <w:pPr>
        <w:ind w:left="-360" w:right="-180"/>
        <w:rPr>
          <w:rFonts w:ascii="Arial" w:hAnsi="Arial" w:cs="Arial"/>
          <w:sz w:val="22"/>
          <w:szCs w:val="22"/>
        </w:rPr>
      </w:pPr>
    </w:p>
    <w:p w:rsidR="00233B61" w:rsidRPr="00470AA7" w:rsidRDefault="00233B61" w:rsidP="005F352D">
      <w:pPr>
        <w:ind w:left="-360" w:right="-180"/>
        <w:rPr>
          <w:rFonts w:ascii="Arial" w:hAnsi="Arial" w:cs="Arial"/>
          <w:sz w:val="22"/>
          <w:szCs w:val="22"/>
        </w:rPr>
      </w:pPr>
      <w:r w:rsidRPr="00470AA7">
        <w:rPr>
          <w:rFonts w:ascii="Arial" w:hAnsi="Arial" w:cs="Arial"/>
          <w:sz w:val="22"/>
          <w:szCs w:val="22"/>
        </w:rPr>
        <w:lastRenderedPageBreak/>
        <w:t xml:space="preserve">Hermes ED, Wells TS, Smith B, Boyko EJ, Gackstetter GD, Miller SC, Smith TC, for the Millennium Cohort Study Team. </w:t>
      </w:r>
      <w:r w:rsidRPr="00470AA7">
        <w:rPr>
          <w:rFonts w:ascii="Arial" w:hAnsi="Arial" w:cs="Arial"/>
          <w:b/>
          <w:sz w:val="22"/>
          <w:szCs w:val="22"/>
        </w:rPr>
        <w:t>Smokeless tobacco use related to military deployment, cigarettes, and mental health symptoms in a large, prospective cohort study among US service members</w:t>
      </w:r>
      <w:r w:rsidRPr="00470AA7">
        <w:rPr>
          <w:rFonts w:ascii="Arial" w:hAnsi="Arial" w:cs="Arial"/>
          <w:sz w:val="22"/>
          <w:szCs w:val="22"/>
        </w:rPr>
        <w:t xml:space="preserve">. </w:t>
      </w:r>
      <w:hyperlink r:id="rId11" w:tooltip="Addiction (Abingdon, England)." w:history="1">
        <w:r w:rsidRPr="00470AA7">
          <w:rPr>
            <w:rFonts w:ascii="Arial" w:hAnsi="Arial" w:cs="Arial"/>
            <w:sz w:val="22"/>
            <w:szCs w:val="22"/>
          </w:rPr>
          <w:t>Addiction.</w:t>
        </w:r>
      </w:hyperlink>
      <w:r w:rsidRPr="00470AA7">
        <w:rPr>
          <w:rFonts w:ascii="Arial" w:hAnsi="Arial" w:cs="Arial"/>
          <w:sz w:val="22"/>
          <w:szCs w:val="22"/>
        </w:rPr>
        <w:t xml:space="preserve"> 2012 May;107(5):983-994.</w:t>
      </w:r>
    </w:p>
    <w:p w:rsidR="00233B61" w:rsidRPr="00470AA7" w:rsidRDefault="00233B61" w:rsidP="006D7C9B">
      <w:pPr>
        <w:ind w:left="-360" w:right="-180"/>
        <w:rPr>
          <w:rFonts w:ascii="Arial" w:hAnsi="Arial" w:cs="Arial"/>
          <w:sz w:val="22"/>
          <w:szCs w:val="22"/>
        </w:rPr>
      </w:pPr>
    </w:p>
    <w:p w:rsidR="00233B61" w:rsidRPr="00470AA7" w:rsidRDefault="00233B61" w:rsidP="006D7C9B">
      <w:pPr>
        <w:ind w:left="-360" w:right="-180"/>
        <w:rPr>
          <w:rFonts w:ascii="Arial" w:hAnsi="Arial" w:cs="Arial"/>
          <w:i/>
          <w:color w:val="0000FF"/>
          <w:sz w:val="22"/>
          <w:szCs w:val="22"/>
        </w:rPr>
      </w:pPr>
      <w:r w:rsidRPr="00470AA7">
        <w:rPr>
          <w:rFonts w:ascii="Arial" w:hAnsi="Arial" w:cs="Arial"/>
          <w:i/>
          <w:color w:val="0000FF"/>
          <w:sz w:val="22"/>
          <w:szCs w:val="22"/>
        </w:rPr>
        <w:t>Chronic use of smokeless tobacco has been linked to poor military training performance, early discharge, and a host of medical problems from cancer to heart disease.  Smokeless tobacco initiation occurred in 1.9% and persistent use in 8.9% of Millennium Cohort participants. The study showed that deployment, combat exposure, smoking, and symptoms of posttraumatic stress disorder increased the risk for smokeless tobacco initiation, while deployment and combat exposure increased the risk for persistent use.</w:t>
      </w:r>
    </w:p>
    <w:p w:rsidR="00D41E37" w:rsidRDefault="00D41E37" w:rsidP="005F352D">
      <w:pPr>
        <w:ind w:right="-180"/>
        <w:rPr>
          <w:rFonts w:ascii="Arial" w:hAnsi="Arial" w:cs="Arial"/>
          <w:sz w:val="22"/>
          <w:szCs w:val="22"/>
        </w:rPr>
      </w:pPr>
    </w:p>
    <w:p w:rsidR="00692E5F" w:rsidRPr="00470AA7" w:rsidRDefault="00692E5F" w:rsidP="006D7C9B">
      <w:pPr>
        <w:ind w:left="-360" w:right="-180"/>
        <w:rPr>
          <w:rFonts w:ascii="Arial" w:hAnsi="Arial" w:cs="Arial"/>
          <w:sz w:val="22"/>
          <w:szCs w:val="22"/>
        </w:rPr>
      </w:pPr>
      <w:proofErr w:type="spellStart"/>
      <w:r w:rsidRPr="00470AA7">
        <w:rPr>
          <w:rFonts w:ascii="Arial" w:hAnsi="Arial" w:cs="Arial"/>
          <w:sz w:val="22"/>
          <w:szCs w:val="22"/>
        </w:rPr>
        <w:t>Bonanno</w:t>
      </w:r>
      <w:proofErr w:type="spellEnd"/>
      <w:r w:rsidRPr="00470AA7">
        <w:rPr>
          <w:rFonts w:ascii="Arial" w:hAnsi="Arial" w:cs="Arial"/>
          <w:sz w:val="22"/>
          <w:szCs w:val="22"/>
        </w:rPr>
        <w:t xml:space="preserve"> GA, Mancini AD, Horton JL, Powell TM, LeardMann CA, Boyko EJ, Wells TS, Hooper TI, Gackstetter GD, Smith TC, for the Millennium Cohort Study Team. </w:t>
      </w:r>
      <w:r w:rsidRPr="00470AA7">
        <w:rPr>
          <w:rFonts w:ascii="Arial" w:hAnsi="Arial" w:cs="Arial"/>
          <w:b/>
          <w:sz w:val="22"/>
          <w:szCs w:val="22"/>
        </w:rPr>
        <w:t>Trajectories of trauma symptoms and resilience in deployed U.S. military service members: a prospective cohort study</w:t>
      </w:r>
      <w:r w:rsidRPr="00470AA7">
        <w:rPr>
          <w:rFonts w:ascii="Arial" w:hAnsi="Arial" w:cs="Arial"/>
          <w:sz w:val="22"/>
          <w:szCs w:val="22"/>
        </w:rPr>
        <w:t>. British Journal of Psychiatry</w:t>
      </w:r>
      <w:r w:rsidRPr="00470AA7">
        <w:rPr>
          <w:rFonts w:ascii="Arial" w:hAnsi="Arial" w:cs="Arial"/>
          <w:sz w:val="20"/>
          <w:szCs w:val="20"/>
        </w:rPr>
        <w:t xml:space="preserve">. </w:t>
      </w:r>
      <w:r w:rsidRPr="00470AA7">
        <w:rPr>
          <w:rFonts w:ascii="Arial" w:hAnsi="Arial" w:cs="Arial"/>
          <w:sz w:val="22"/>
          <w:szCs w:val="22"/>
        </w:rPr>
        <w:t>2012 Apr;200(4):317-23.</w:t>
      </w:r>
    </w:p>
    <w:p w:rsidR="00692E5F" w:rsidRPr="00470AA7" w:rsidRDefault="00692E5F" w:rsidP="006D7C9B">
      <w:pPr>
        <w:ind w:left="-360" w:right="-180"/>
        <w:rPr>
          <w:rFonts w:ascii="Arial" w:hAnsi="Arial" w:cs="Arial"/>
          <w:sz w:val="22"/>
          <w:szCs w:val="22"/>
        </w:rPr>
      </w:pPr>
    </w:p>
    <w:p w:rsidR="00692E5F" w:rsidRPr="00470AA7" w:rsidRDefault="00692E5F" w:rsidP="006D7C9B">
      <w:pPr>
        <w:ind w:left="-360" w:right="-180"/>
        <w:rPr>
          <w:rFonts w:ascii="Arial" w:hAnsi="Arial" w:cs="Arial"/>
          <w:i/>
          <w:color w:val="0000FF"/>
          <w:sz w:val="22"/>
          <w:szCs w:val="22"/>
        </w:rPr>
      </w:pPr>
      <w:r w:rsidRPr="00470AA7">
        <w:rPr>
          <w:rFonts w:ascii="Arial" w:hAnsi="Arial" w:cs="Arial"/>
          <w:i/>
          <w:color w:val="0000FF"/>
          <w:sz w:val="22"/>
          <w:szCs w:val="22"/>
        </w:rPr>
        <w:t xml:space="preserve">Symptoms of posttraumatic stress (PTS) were examined over time in relation to deployment. Four classes of PTS trajectories were identified for both single and multiple </w:t>
      </w:r>
      <w:proofErr w:type="spellStart"/>
      <w:r w:rsidRPr="00470AA7">
        <w:rPr>
          <w:rFonts w:ascii="Arial" w:hAnsi="Arial" w:cs="Arial"/>
          <w:i/>
          <w:color w:val="0000FF"/>
          <w:sz w:val="22"/>
          <w:szCs w:val="22"/>
        </w:rPr>
        <w:t>deployers</w:t>
      </w:r>
      <w:proofErr w:type="spellEnd"/>
      <w:r w:rsidRPr="00470AA7">
        <w:rPr>
          <w:rFonts w:ascii="Arial" w:hAnsi="Arial" w:cs="Arial"/>
          <w:i/>
          <w:color w:val="0000FF"/>
          <w:sz w:val="22"/>
          <w:szCs w:val="22"/>
        </w:rPr>
        <w:t xml:space="preserve">, with over 80% of the </w:t>
      </w:r>
      <w:proofErr w:type="spellStart"/>
      <w:r w:rsidRPr="00470AA7">
        <w:rPr>
          <w:rFonts w:ascii="Arial" w:hAnsi="Arial" w:cs="Arial"/>
          <w:i/>
          <w:color w:val="0000FF"/>
          <w:sz w:val="22"/>
          <w:szCs w:val="22"/>
        </w:rPr>
        <w:t>deployers</w:t>
      </w:r>
      <w:proofErr w:type="spellEnd"/>
      <w:r w:rsidRPr="00470AA7">
        <w:rPr>
          <w:rFonts w:ascii="Arial" w:hAnsi="Arial" w:cs="Arial"/>
          <w:i/>
          <w:color w:val="0000FF"/>
          <w:sz w:val="22"/>
          <w:szCs w:val="22"/>
        </w:rPr>
        <w:t xml:space="preserve"> exhibiting a stable trajectory of low symptoms (i.e., resilience) pre- to post-deployment. Several factors predicting PTS trajectories were identified, which may direct future research aimed at decreasing the risk of posttraumatic stress disorder among </w:t>
      </w:r>
      <w:proofErr w:type="spellStart"/>
      <w:r w:rsidRPr="00470AA7">
        <w:rPr>
          <w:rFonts w:ascii="Arial" w:hAnsi="Arial" w:cs="Arial"/>
          <w:i/>
          <w:color w:val="0000FF"/>
          <w:sz w:val="22"/>
          <w:szCs w:val="22"/>
        </w:rPr>
        <w:t>deployers</w:t>
      </w:r>
      <w:proofErr w:type="spellEnd"/>
      <w:r w:rsidRPr="00470AA7">
        <w:rPr>
          <w:rFonts w:ascii="Arial" w:hAnsi="Arial" w:cs="Arial"/>
          <w:i/>
          <w:color w:val="0000FF"/>
          <w:sz w:val="22"/>
          <w:szCs w:val="22"/>
        </w:rPr>
        <w:t xml:space="preserve">. </w:t>
      </w:r>
    </w:p>
    <w:p w:rsidR="00F37D71" w:rsidRPr="00470AA7" w:rsidRDefault="00F37D71" w:rsidP="006D7C9B">
      <w:pPr>
        <w:ind w:left="-360" w:right="-180"/>
        <w:rPr>
          <w:rFonts w:ascii="Arial" w:hAnsi="Arial" w:cs="Arial"/>
          <w:sz w:val="22"/>
          <w:szCs w:val="22"/>
        </w:rPr>
      </w:pPr>
    </w:p>
    <w:p w:rsidR="00DF2B6E" w:rsidRPr="00470AA7" w:rsidRDefault="00DF2B6E" w:rsidP="006D7C9B">
      <w:pPr>
        <w:ind w:left="-360" w:right="-180"/>
        <w:rPr>
          <w:rFonts w:ascii="Arial" w:hAnsi="Arial" w:cs="Arial"/>
          <w:sz w:val="22"/>
          <w:szCs w:val="22"/>
        </w:rPr>
      </w:pPr>
      <w:r w:rsidRPr="00470AA7">
        <w:rPr>
          <w:rFonts w:ascii="Arial" w:hAnsi="Arial" w:cs="Arial"/>
          <w:sz w:val="22"/>
          <w:szCs w:val="22"/>
        </w:rPr>
        <w:t xml:space="preserve">Wells TS, Ryan MAK, Jones KA, Hooper TI, Boyko EJ, Jacobson IG, Smith TC, Gackstetter GD, for the Millennium Cohort Study Team. </w:t>
      </w:r>
      <w:r w:rsidRPr="00470AA7">
        <w:rPr>
          <w:rFonts w:ascii="Arial" w:hAnsi="Arial" w:cs="Arial"/>
          <w:b/>
          <w:sz w:val="22"/>
          <w:szCs w:val="22"/>
        </w:rPr>
        <w:t>A comparison of mental health outcomes in persons entering U.S. Military Service before and after September 11, 2001.</w:t>
      </w:r>
      <w:r w:rsidRPr="00470AA7">
        <w:rPr>
          <w:rFonts w:ascii="Arial" w:hAnsi="Arial" w:cs="Arial"/>
          <w:sz w:val="22"/>
          <w:szCs w:val="22"/>
        </w:rPr>
        <w:t xml:space="preserve"> Jo</w:t>
      </w:r>
      <w:r w:rsidR="00B41AD4" w:rsidRPr="00470AA7">
        <w:rPr>
          <w:rFonts w:ascii="Arial" w:hAnsi="Arial" w:cs="Arial"/>
          <w:sz w:val="22"/>
          <w:szCs w:val="22"/>
        </w:rPr>
        <w:t xml:space="preserve">urnal of Traumatic Stress. </w:t>
      </w:r>
      <w:r w:rsidRPr="00470AA7">
        <w:rPr>
          <w:rFonts w:ascii="Arial" w:hAnsi="Arial" w:cs="Arial"/>
          <w:sz w:val="22"/>
          <w:szCs w:val="22"/>
        </w:rPr>
        <w:t>2012</w:t>
      </w:r>
      <w:r w:rsidR="00B41AD4" w:rsidRPr="00470AA7">
        <w:rPr>
          <w:rFonts w:ascii="Arial" w:hAnsi="Arial" w:cs="Arial"/>
          <w:sz w:val="22"/>
          <w:szCs w:val="22"/>
        </w:rPr>
        <w:t xml:space="preserve"> Feb;</w:t>
      </w:r>
      <w:r w:rsidRPr="00470AA7">
        <w:rPr>
          <w:rFonts w:ascii="Arial" w:hAnsi="Arial" w:cs="Arial"/>
          <w:i/>
          <w:iCs/>
          <w:sz w:val="22"/>
          <w:szCs w:val="22"/>
        </w:rPr>
        <w:t>25</w:t>
      </w:r>
      <w:r w:rsidR="00B41AD4" w:rsidRPr="00470AA7">
        <w:rPr>
          <w:rFonts w:ascii="Arial" w:hAnsi="Arial" w:cs="Arial"/>
          <w:i/>
          <w:iCs/>
          <w:sz w:val="22"/>
          <w:szCs w:val="22"/>
        </w:rPr>
        <w:t xml:space="preserve">: </w:t>
      </w:r>
      <w:r w:rsidRPr="00470AA7">
        <w:rPr>
          <w:rFonts w:ascii="Arial" w:hAnsi="Arial" w:cs="Arial"/>
          <w:sz w:val="22"/>
          <w:szCs w:val="22"/>
        </w:rPr>
        <w:t>17–24.</w:t>
      </w:r>
    </w:p>
    <w:p w:rsidR="00DF2B6E" w:rsidRPr="00470AA7" w:rsidRDefault="00DF2B6E" w:rsidP="006D7C9B">
      <w:pPr>
        <w:ind w:left="-360" w:right="-180"/>
        <w:rPr>
          <w:rFonts w:ascii="Arial" w:hAnsi="Arial" w:cs="Arial"/>
          <w:sz w:val="22"/>
          <w:szCs w:val="22"/>
        </w:rPr>
      </w:pPr>
    </w:p>
    <w:p w:rsidR="000E3A76" w:rsidRDefault="00DF2B6E" w:rsidP="00666FBD">
      <w:pPr>
        <w:ind w:left="-360" w:right="-180"/>
        <w:rPr>
          <w:rFonts w:ascii="Arial" w:hAnsi="Arial" w:cs="Arial"/>
          <w:i/>
          <w:color w:val="0000FF"/>
          <w:sz w:val="22"/>
          <w:szCs w:val="22"/>
        </w:rPr>
      </w:pPr>
      <w:r w:rsidRPr="00470AA7">
        <w:rPr>
          <w:rFonts w:ascii="Arial" w:hAnsi="Arial" w:cs="Arial"/>
          <w:i/>
          <w:color w:val="0000FF"/>
          <w:sz w:val="22"/>
          <w:szCs w:val="22"/>
        </w:rPr>
        <w:t>It is hypothesized that those who entered military service prior to September 11, 2001 might have had expectations of experiencing a regular operational tempo and less combat compared</w:t>
      </w:r>
      <w:r w:rsidRPr="00470AA7" w:rsidDel="0064189D">
        <w:rPr>
          <w:rFonts w:ascii="Arial" w:hAnsi="Arial" w:cs="Arial"/>
          <w:i/>
          <w:color w:val="0000FF"/>
          <w:sz w:val="22"/>
          <w:szCs w:val="22"/>
        </w:rPr>
        <w:t xml:space="preserve"> </w:t>
      </w:r>
      <w:r w:rsidRPr="00470AA7">
        <w:rPr>
          <w:rFonts w:ascii="Arial" w:hAnsi="Arial" w:cs="Arial"/>
          <w:i/>
          <w:color w:val="0000FF"/>
          <w:sz w:val="22"/>
          <w:szCs w:val="22"/>
        </w:rPr>
        <w:t xml:space="preserve">with those entering service after this date, therefore an increased risk for mental disorders.  Although measuring the direct reason for entering the military was not possible for this study, the findings showed that those entering pre-September 11 did not have a higher odds of mental disorders, suggesting that mental disorders resulting from the experience of war are common across the pre- and post-September 11 accession eras. </w:t>
      </w:r>
    </w:p>
    <w:p w:rsidR="00E14A64" w:rsidRPr="00470AA7" w:rsidRDefault="00E14A64" w:rsidP="00666FBD">
      <w:pPr>
        <w:ind w:left="-360" w:right="-180"/>
        <w:rPr>
          <w:rFonts w:ascii="Arial" w:hAnsi="Arial" w:cs="Arial"/>
          <w:i/>
          <w:color w:val="0000FF"/>
          <w:sz w:val="22"/>
          <w:szCs w:val="22"/>
        </w:rPr>
      </w:pPr>
    </w:p>
    <w:p w:rsidR="00C131F0" w:rsidRPr="00470AA7" w:rsidRDefault="00C131F0" w:rsidP="006D7C9B">
      <w:pPr>
        <w:ind w:left="-360" w:right="-180"/>
        <w:rPr>
          <w:rFonts w:ascii="Arial" w:hAnsi="Arial" w:cs="Arial"/>
          <w:i/>
          <w:color w:val="0000FF"/>
          <w:sz w:val="22"/>
          <w:szCs w:val="22"/>
        </w:rPr>
      </w:pPr>
      <w:r w:rsidRPr="00470AA7">
        <w:rPr>
          <w:rFonts w:ascii="Arial" w:hAnsi="Arial" w:cs="Arial"/>
          <w:sz w:val="22"/>
          <w:szCs w:val="22"/>
        </w:rPr>
        <w:t>Proctor SP, Wells TS, Jones KA, Boyko EJ, Smith TC, for the Millennium Cohort Study Team.</w:t>
      </w:r>
      <w:r w:rsidR="00624BE9">
        <w:rPr>
          <w:rFonts w:ascii="Arial" w:hAnsi="Arial" w:cs="Arial"/>
          <w:sz w:val="22"/>
          <w:szCs w:val="22"/>
        </w:rPr>
        <w:t xml:space="preserve"> </w:t>
      </w:r>
      <w:r w:rsidRPr="00470AA7">
        <w:rPr>
          <w:rFonts w:ascii="Arial" w:hAnsi="Arial" w:cs="Arial"/>
          <w:b/>
          <w:sz w:val="22"/>
          <w:szCs w:val="22"/>
        </w:rPr>
        <w:t>Examination of post-service health-related quality of life among rural and urban military members of the Millennium Cohort Study</w:t>
      </w:r>
      <w:r w:rsidRPr="00470AA7">
        <w:rPr>
          <w:rFonts w:ascii="Arial" w:hAnsi="Arial" w:cs="Arial"/>
          <w:sz w:val="22"/>
          <w:szCs w:val="22"/>
        </w:rPr>
        <w:t>. Journal of Rural Social Sciences</w:t>
      </w:r>
      <w:r w:rsidR="00B41AD4" w:rsidRPr="00470AA7">
        <w:rPr>
          <w:rFonts w:ascii="Arial" w:hAnsi="Arial" w:cs="Arial"/>
          <w:sz w:val="22"/>
          <w:szCs w:val="22"/>
        </w:rPr>
        <w:t xml:space="preserve">. </w:t>
      </w:r>
      <w:r w:rsidRPr="00470AA7">
        <w:rPr>
          <w:rFonts w:ascii="Arial" w:hAnsi="Arial" w:cs="Arial"/>
          <w:sz w:val="22"/>
          <w:szCs w:val="22"/>
        </w:rPr>
        <w:t>2011</w:t>
      </w:r>
      <w:r w:rsidR="00B41AD4" w:rsidRPr="00470AA7">
        <w:rPr>
          <w:rFonts w:ascii="Arial" w:hAnsi="Arial" w:cs="Arial"/>
          <w:sz w:val="22"/>
          <w:szCs w:val="22"/>
        </w:rPr>
        <w:t>;26(3):</w:t>
      </w:r>
      <w:r w:rsidRPr="00470AA7">
        <w:rPr>
          <w:rFonts w:ascii="Arial" w:hAnsi="Arial" w:cs="Arial"/>
          <w:sz w:val="22"/>
          <w:szCs w:val="22"/>
        </w:rPr>
        <w:t>32–56.</w:t>
      </w:r>
    </w:p>
    <w:p w:rsidR="00C131F0" w:rsidRPr="00470AA7" w:rsidRDefault="00C131F0" w:rsidP="006D7C9B">
      <w:pPr>
        <w:ind w:left="-360" w:right="-180"/>
        <w:rPr>
          <w:rFonts w:ascii="Arial" w:hAnsi="Arial" w:cs="Arial"/>
          <w:sz w:val="22"/>
          <w:szCs w:val="22"/>
        </w:rPr>
      </w:pPr>
    </w:p>
    <w:p w:rsidR="00C131F0" w:rsidRPr="00470AA7" w:rsidRDefault="00C131F0" w:rsidP="006D7C9B">
      <w:pPr>
        <w:ind w:left="-360" w:right="-180"/>
        <w:rPr>
          <w:rFonts w:ascii="Arial" w:hAnsi="Arial" w:cs="Arial"/>
          <w:i/>
          <w:color w:val="0000FF"/>
          <w:sz w:val="22"/>
          <w:szCs w:val="22"/>
        </w:rPr>
      </w:pPr>
      <w:r w:rsidRPr="00470AA7">
        <w:rPr>
          <w:rFonts w:ascii="Arial" w:hAnsi="Arial" w:cs="Arial"/>
          <w:i/>
          <w:color w:val="0000FF"/>
          <w:sz w:val="22"/>
          <w:szCs w:val="22"/>
        </w:rPr>
        <w:t>In this large population-based sample of young US veterans recently separated from military service, health-related quality of life (HRQL) was not significantly different among rural and urban residents in the adjusted analyses and deployment experience did not alter the association between the outcome and rural or urban residence.  These results suggest that rural status is not independently associated with HRQL among recent U.S. veterans.</w:t>
      </w:r>
    </w:p>
    <w:p w:rsidR="00917132" w:rsidRPr="00470AA7" w:rsidRDefault="00917132" w:rsidP="006D7C9B">
      <w:pPr>
        <w:ind w:left="-360" w:right="-180"/>
        <w:rPr>
          <w:rFonts w:ascii="Arial" w:hAnsi="Arial" w:cs="Arial"/>
          <w:sz w:val="22"/>
          <w:szCs w:val="22"/>
        </w:rPr>
      </w:pPr>
    </w:p>
    <w:p w:rsidR="00CD192C" w:rsidRPr="00470AA7" w:rsidRDefault="00CD192C" w:rsidP="006D7C9B">
      <w:pPr>
        <w:ind w:left="-360" w:right="-180"/>
        <w:rPr>
          <w:rFonts w:ascii="Arial" w:hAnsi="Arial" w:cs="Arial"/>
          <w:sz w:val="22"/>
          <w:szCs w:val="22"/>
        </w:rPr>
      </w:pPr>
      <w:r w:rsidRPr="00470AA7">
        <w:rPr>
          <w:rFonts w:ascii="Arial" w:hAnsi="Arial" w:cs="Arial"/>
          <w:sz w:val="22"/>
          <w:szCs w:val="22"/>
        </w:rPr>
        <w:t>Jones KA, Granado NS, Smith B, Slymen DJ, Ryan MAK, Boyko EJ, Gackstetter GD, Phillips CJ, Smith TC, for the Millennium Cohort Study Team.</w:t>
      </w:r>
      <w:r w:rsidRPr="00470AA7">
        <w:rPr>
          <w:rFonts w:ascii="Arial" w:hAnsi="Arial" w:cs="Arial"/>
        </w:rPr>
        <w:t xml:space="preserve"> </w:t>
      </w:r>
      <w:r w:rsidRPr="00470AA7">
        <w:rPr>
          <w:rFonts w:ascii="Arial" w:hAnsi="Arial" w:cs="Arial"/>
          <w:b/>
          <w:sz w:val="22"/>
          <w:szCs w:val="22"/>
        </w:rPr>
        <w:t xml:space="preserve">A prospective study of lupus and rheumatoid arthritis in relation to deployment in support of Iraq and Afghanistan: the Millennium Cohort Study. </w:t>
      </w:r>
      <w:r w:rsidR="00B41AD4" w:rsidRPr="00470AA7">
        <w:rPr>
          <w:rFonts w:ascii="Arial" w:hAnsi="Arial" w:cs="Arial"/>
          <w:sz w:val="22"/>
          <w:szCs w:val="22"/>
        </w:rPr>
        <w:t xml:space="preserve">Autoimmune Diseases. </w:t>
      </w:r>
      <w:r w:rsidRPr="00470AA7">
        <w:rPr>
          <w:rFonts w:ascii="Arial" w:hAnsi="Arial" w:cs="Arial"/>
          <w:sz w:val="22"/>
          <w:szCs w:val="22"/>
        </w:rPr>
        <w:t>2011 Nov;741267.</w:t>
      </w:r>
    </w:p>
    <w:p w:rsidR="00CD192C" w:rsidRPr="00470AA7" w:rsidRDefault="00CD192C" w:rsidP="006D7C9B">
      <w:pPr>
        <w:ind w:left="-360" w:right="-180"/>
        <w:rPr>
          <w:rFonts w:ascii="Arial" w:hAnsi="Arial" w:cs="Arial"/>
          <w:sz w:val="22"/>
          <w:szCs w:val="22"/>
        </w:rPr>
      </w:pPr>
    </w:p>
    <w:p w:rsidR="00B86E86" w:rsidRDefault="00CD192C" w:rsidP="002341DD">
      <w:pPr>
        <w:ind w:left="-360" w:right="-180"/>
        <w:rPr>
          <w:rFonts w:ascii="Arial" w:hAnsi="Arial" w:cs="Arial"/>
          <w:i/>
          <w:color w:val="0000FF"/>
          <w:sz w:val="22"/>
          <w:szCs w:val="22"/>
        </w:rPr>
      </w:pPr>
      <w:r w:rsidRPr="00470AA7">
        <w:rPr>
          <w:rFonts w:ascii="Arial" w:hAnsi="Arial" w:cs="Arial"/>
          <w:i/>
          <w:color w:val="0000FF"/>
          <w:sz w:val="22"/>
          <w:szCs w:val="22"/>
        </w:rPr>
        <w:t xml:space="preserve">Newly reported lupus was not associated with military deployment in support of the current operations in Iraq and Afghanistan when compared with </w:t>
      </w:r>
      <w:proofErr w:type="spellStart"/>
      <w:r w:rsidRPr="00470AA7">
        <w:rPr>
          <w:rFonts w:ascii="Arial" w:hAnsi="Arial" w:cs="Arial"/>
          <w:i/>
          <w:color w:val="0000FF"/>
          <w:sz w:val="22"/>
          <w:szCs w:val="22"/>
        </w:rPr>
        <w:t>nondeployers</w:t>
      </w:r>
      <w:proofErr w:type="spellEnd"/>
      <w:r w:rsidRPr="00470AA7">
        <w:rPr>
          <w:rFonts w:ascii="Arial" w:hAnsi="Arial" w:cs="Arial"/>
          <w:i/>
          <w:color w:val="0000FF"/>
          <w:sz w:val="22"/>
          <w:szCs w:val="22"/>
        </w:rPr>
        <w:t xml:space="preserve">.  Our study did note a significantly decreased risk of newly reported rheumatoid arthritis among </w:t>
      </w:r>
      <w:proofErr w:type="spellStart"/>
      <w:r w:rsidRPr="00470AA7">
        <w:rPr>
          <w:rFonts w:ascii="Arial" w:hAnsi="Arial" w:cs="Arial"/>
          <w:i/>
          <w:color w:val="0000FF"/>
          <w:sz w:val="22"/>
          <w:szCs w:val="22"/>
        </w:rPr>
        <w:t>deployers</w:t>
      </w:r>
      <w:proofErr w:type="spellEnd"/>
      <w:r w:rsidRPr="00470AA7">
        <w:rPr>
          <w:rFonts w:ascii="Arial" w:hAnsi="Arial" w:cs="Arial"/>
          <w:i/>
          <w:color w:val="0000FF"/>
          <w:sz w:val="22"/>
          <w:szCs w:val="22"/>
        </w:rPr>
        <w:t xml:space="preserve"> with and without combat exposures when compared with </w:t>
      </w:r>
      <w:proofErr w:type="spellStart"/>
      <w:r w:rsidRPr="00470AA7">
        <w:rPr>
          <w:rFonts w:ascii="Arial" w:hAnsi="Arial" w:cs="Arial"/>
          <w:i/>
          <w:color w:val="0000FF"/>
          <w:sz w:val="22"/>
          <w:szCs w:val="22"/>
        </w:rPr>
        <w:t>nondeployers</w:t>
      </w:r>
      <w:proofErr w:type="spellEnd"/>
      <w:r w:rsidRPr="00470AA7">
        <w:rPr>
          <w:rFonts w:ascii="Arial" w:hAnsi="Arial" w:cs="Arial"/>
          <w:i/>
          <w:color w:val="0000FF"/>
          <w:sz w:val="22"/>
          <w:szCs w:val="22"/>
        </w:rPr>
        <w:t>; the reason for this finding is unknown, but may be due to a selection effect for deployment.</w:t>
      </w:r>
    </w:p>
    <w:p w:rsidR="0014202F" w:rsidRPr="00470AA7" w:rsidRDefault="0014202F" w:rsidP="002341DD">
      <w:pPr>
        <w:ind w:left="-360" w:right="-180"/>
        <w:rPr>
          <w:rFonts w:ascii="Arial" w:hAnsi="Arial" w:cs="Arial"/>
          <w:i/>
          <w:color w:val="0000FF"/>
          <w:sz w:val="22"/>
          <w:szCs w:val="22"/>
        </w:rPr>
      </w:pPr>
    </w:p>
    <w:p w:rsidR="00CD21F3" w:rsidRPr="00470AA7" w:rsidRDefault="00CD21F3" w:rsidP="006D7C9B">
      <w:pPr>
        <w:ind w:left="-360" w:right="-180"/>
        <w:rPr>
          <w:rFonts w:ascii="Arial" w:hAnsi="Arial" w:cs="Arial"/>
          <w:i/>
          <w:color w:val="0000FF"/>
          <w:sz w:val="22"/>
          <w:szCs w:val="22"/>
        </w:rPr>
      </w:pPr>
      <w:r w:rsidRPr="00470AA7">
        <w:rPr>
          <w:rFonts w:ascii="Arial" w:hAnsi="Arial" w:cs="Arial"/>
          <w:sz w:val="22"/>
          <w:szCs w:val="22"/>
        </w:rPr>
        <w:t>Leleu TD, Jacobson IG, LeardMann</w:t>
      </w:r>
      <w:r w:rsidR="00162F1E" w:rsidRPr="00470AA7">
        <w:rPr>
          <w:rFonts w:ascii="Arial" w:hAnsi="Arial" w:cs="Arial"/>
          <w:sz w:val="22"/>
          <w:szCs w:val="22"/>
        </w:rPr>
        <w:t xml:space="preserve"> CA</w:t>
      </w:r>
      <w:r w:rsidRPr="00470AA7">
        <w:rPr>
          <w:rFonts w:ascii="Arial" w:hAnsi="Arial" w:cs="Arial"/>
          <w:sz w:val="22"/>
          <w:szCs w:val="22"/>
        </w:rPr>
        <w:t xml:space="preserve">, Smith B, Foltz PW, Amoroso PJ, </w:t>
      </w:r>
      <w:proofErr w:type="spellStart"/>
      <w:r w:rsidRPr="00470AA7">
        <w:rPr>
          <w:rFonts w:ascii="Arial" w:hAnsi="Arial" w:cs="Arial"/>
          <w:sz w:val="22"/>
          <w:szCs w:val="22"/>
        </w:rPr>
        <w:t>Derr</w:t>
      </w:r>
      <w:proofErr w:type="spellEnd"/>
      <w:r w:rsidRPr="00470AA7">
        <w:rPr>
          <w:rFonts w:ascii="Arial" w:hAnsi="Arial" w:cs="Arial"/>
          <w:sz w:val="22"/>
          <w:szCs w:val="22"/>
        </w:rPr>
        <w:t xml:space="preserve"> M, Ryan MAK, Smith TC, for the Millennium Cohort Study Team. </w:t>
      </w:r>
      <w:r w:rsidRPr="00470AA7">
        <w:rPr>
          <w:rFonts w:ascii="Arial" w:hAnsi="Arial" w:cs="Arial"/>
          <w:b/>
          <w:sz w:val="22"/>
          <w:szCs w:val="22"/>
        </w:rPr>
        <w:t>Application of latent semantic analysis for open-ended responses in a large, epidemiologic study.</w:t>
      </w:r>
      <w:r w:rsidRPr="00470AA7">
        <w:rPr>
          <w:rFonts w:ascii="Arial" w:hAnsi="Arial" w:cs="Arial"/>
          <w:sz w:val="22"/>
          <w:szCs w:val="22"/>
        </w:rPr>
        <w:t xml:space="preserve"> BMC Medical Research Methodology</w:t>
      </w:r>
      <w:r w:rsidR="00B41AD4" w:rsidRPr="00470AA7">
        <w:rPr>
          <w:rFonts w:ascii="Arial" w:hAnsi="Arial" w:cs="Arial"/>
          <w:sz w:val="22"/>
          <w:szCs w:val="22"/>
        </w:rPr>
        <w:t xml:space="preserve">. </w:t>
      </w:r>
      <w:r w:rsidR="00AA441D" w:rsidRPr="00470AA7">
        <w:rPr>
          <w:rFonts w:ascii="Arial" w:hAnsi="Arial" w:cs="Arial"/>
          <w:sz w:val="22"/>
          <w:szCs w:val="22"/>
        </w:rPr>
        <w:t>2011 Oct;11:136.</w:t>
      </w:r>
    </w:p>
    <w:p w:rsidR="00CD21F3" w:rsidRPr="00470AA7" w:rsidRDefault="00CD21F3" w:rsidP="006D7C9B">
      <w:pPr>
        <w:ind w:left="-360" w:right="-180"/>
        <w:rPr>
          <w:rFonts w:ascii="Arial" w:hAnsi="Arial" w:cs="Arial"/>
          <w:sz w:val="22"/>
          <w:szCs w:val="22"/>
        </w:rPr>
      </w:pPr>
    </w:p>
    <w:p w:rsidR="001C54CE" w:rsidRPr="00470AA7" w:rsidRDefault="00CD21F3" w:rsidP="006D7C9B">
      <w:pPr>
        <w:ind w:left="-360" w:right="-180"/>
        <w:rPr>
          <w:rFonts w:ascii="Arial" w:hAnsi="Arial" w:cs="Arial"/>
          <w:i/>
          <w:color w:val="0000FF"/>
          <w:sz w:val="22"/>
          <w:szCs w:val="22"/>
        </w:rPr>
      </w:pPr>
      <w:r w:rsidRPr="00470AA7">
        <w:rPr>
          <w:rFonts w:ascii="Arial" w:hAnsi="Arial" w:cs="Arial"/>
          <w:i/>
          <w:color w:val="0000FF"/>
          <w:sz w:val="22"/>
          <w:szCs w:val="22"/>
        </w:rPr>
        <w:t>Using latent semantic analysis to analyze the final open-ended text field on the Millennium Cohort questionnaire helped identify important topic areas for future survey questions and also revealed the most common areas of concern for participants were illness and injuries, exposures, and exercise.  Subjects with worse self-reported general health were more likely to provide a response in the open-ended text field than subjects with better general health.</w:t>
      </w:r>
    </w:p>
    <w:p w:rsidR="007D5B09" w:rsidRPr="00470AA7" w:rsidRDefault="007D5B09" w:rsidP="006D7C9B">
      <w:pPr>
        <w:ind w:left="-360" w:right="-180"/>
        <w:rPr>
          <w:rFonts w:ascii="Arial" w:hAnsi="Arial" w:cs="Arial"/>
          <w:i/>
          <w:color w:val="0000FF"/>
          <w:sz w:val="22"/>
          <w:szCs w:val="22"/>
        </w:rPr>
      </w:pPr>
    </w:p>
    <w:p w:rsidR="00C3328F" w:rsidRPr="00470AA7" w:rsidRDefault="00C3328F" w:rsidP="006D7C9B">
      <w:pPr>
        <w:ind w:left="-360" w:right="-180"/>
        <w:rPr>
          <w:rFonts w:ascii="Arial" w:hAnsi="Arial" w:cs="Arial"/>
          <w:i/>
          <w:color w:val="0000FF"/>
          <w:sz w:val="22"/>
          <w:szCs w:val="22"/>
        </w:rPr>
      </w:pPr>
      <w:r w:rsidRPr="00470AA7">
        <w:rPr>
          <w:rFonts w:ascii="Arial" w:hAnsi="Arial" w:cs="Arial"/>
          <w:sz w:val="22"/>
          <w:szCs w:val="22"/>
        </w:rPr>
        <w:t xml:space="preserve">Smith TC, for the Millennium Cohort Study Team. </w:t>
      </w:r>
      <w:r w:rsidRPr="00470AA7">
        <w:rPr>
          <w:rFonts w:ascii="Arial" w:hAnsi="Arial" w:cs="Arial"/>
          <w:b/>
          <w:sz w:val="22"/>
          <w:szCs w:val="22"/>
        </w:rPr>
        <w:t>Linking exposures and health outcomes to a large population-based longitudinal study: the Millennium Cohort Study.</w:t>
      </w:r>
      <w:r w:rsidRPr="00470AA7">
        <w:rPr>
          <w:rFonts w:ascii="Arial" w:hAnsi="Arial" w:cs="Arial"/>
          <w:sz w:val="22"/>
          <w:szCs w:val="22"/>
        </w:rPr>
        <w:t xml:space="preserve"> </w:t>
      </w:r>
      <w:hyperlink r:id="rId12" w:tooltip="Military medicine." w:history="1">
        <w:r w:rsidRPr="00470AA7">
          <w:rPr>
            <w:rFonts w:ascii="Arial" w:hAnsi="Arial" w:cs="Arial"/>
            <w:sz w:val="22"/>
            <w:szCs w:val="22"/>
          </w:rPr>
          <w:t>Military Medicine.</w:t>
        </w:r>
      </w:hyperlink>
      <w:r w:rsidRPr="00470AA7">
        <w:rPr>
          <w:rFonts w:ascii="Arial" w:hAnsi="Arial" w:cs="Arial"/>
          <w:sz w:val="22"/>
          <w:szCs w:val="22"/>
        </w:rPr>
        <w:t xml:space="preserve"> 2011 Jul;176(7 </w:t>
      </w:r>
      <w:proofErr w:type="spellStart"/>
      <w:r w:rsidRPr="00470AA7">
        <w:rPr>
          <w:rFonts w:ascii="Arial" w:hAnsi="Arial" w:cs="Arial"/>
          <w:sz w:val="22"/>
          <w:szCs w:val="22"/>
        </w:rPr>
        <w:t>Suppl</w:t>
      </w:r>
      <w:proofErr w:type="spellEnd"/>
      <w:r w:rsidRPr="00470AA7">
        <w:rPr>
          <w:rFonts w:ascii="Arial" w:hAnsi="Arial" w:cs="Arial"/>
          <w:sz w:val="22"/>
          <w:szCs w:val="22"/>
        </w:rPr>
        <w:t>):56-63.</w:t>
      </w:r>
    </w:p>
    <w:p w:rsidR="00C3328F" w:rsidRPr="00470AA7" w:rsidRDefault="00C3328F" w:rsidP="006D7C9B">
      <w:pPr>
        <w:ind w:left="-360" w:right="-180"/>
        <w:rPr>
          <w:rFonts w:ascii="Arial" w:hAnsi="Arial" w:cs="Arial"/>
          <w:sz w:val="22"/>
          <w:szCs w:val="22"/>
        </w:rPr>
      </w:pPr>
    </w:p>
    <w:p w:rsidR="00C3328F" w:rsidRPr="00470AA7" w:rsidRDefault="00C3328F" w:rsidP="006D7C9B">
      <w:pPr>
        <w:ind w:left="-360" w:right="-180"/>
        <w:rPr>
          <w:rFonts w:ascii="Arial" w:hAnsi="Arial" w:cs="Arial"/>
          <w:i/>
          <w:color w:val="0000FF"/>
          <w:sz w:val="22"/>
          <w:szCs w:val="22"/>
        </w:rPr>
      </w:pPr>
      <w:r w:rsidRPr="00470AA7">
        <w:rPr>
          <w:rFonts w:ascii="Arial" w:hAnsi="Arial" w:cs="Arial"/>
          <w:i/>
          <w:color w:val="0000FF"/>
          <w:sz w:val="22"/>
          <w:szCs w:val="22"/>
        </w:rPr>
        <w:t>Linking Millennium Cohort prospective data to individual-level exposure data is critical for understanding and quantifying any long-term health outcomes potentially associated with unique military occupational exposures.</w:t>
      </w:r>
    </w:p>
    <w:p w:rsidR="00C3328F" w:rsidRPr="00470AA7" w:rsidRDefault="00C3328F" w:rsidP="006D7C9B">
      <w:pPr>
        <w:ind w:left="-360" w:right="-180"/>
        <w:rPr>
          <w:rFonts w:ascii="Arial" w:hAnsi="Arial" w:cs="Arial"/>
          <w:i/>
          <w:color w:val="0000FF"/>
          <w:sz w:val="22"/>
          <w:szCs w:val="22"/>
        </w:rPr>
      </w:pPr>
    </w:p>
    <w:p w:rsidR="00005749" w:rsidRPr="00470AA7" w:rsidRDefault="00005749" w:rsidP="006D7C9B">
      <w:pPr>
        <w:ind w:left="-360" w:right="-180"/>
        <w:rPr>
          <w:rFonts w:ascii="Arial" w:hAnsi="Arial" w:cs="Arial"/>
          <w:sz w:val="22"/>
          <w:szCs w:val="22"/>
        </w:rPr>
      </w:pPr>
      <w:r w:rsidRPr="00470AA7">
        <w:rPr>
          <w:rFonts w:ascii="Arial" w:hAnsi="Arial" w:cs="Arial"/>
          <w:sz w:val="22"/>
          <w:szCs w:val="22"/>
        </w:rPr>
        <w:t xml:space="preserve">Jankosky C, Hooper TI, </w:t>
      </w:r>
      <w:proofErr w:type="spellStart"/>
      <w:r w:rsidRPr="00470AA7">
        <w:rPr>
          <w:rFonts w:ascii="Arial" w:hAnsi="Arial" w:cs="Arial"/>
          <w:sz w:val="22"/>
          <w:szCs w:val="22"/>
        </w:rPr>
        <w:t>Granado</w:t>
      </w:r>
      <w:proofErr w:type="spellEnd"/>
      <w:r w:rsidRPr="00470AA7">
        <w:rPr>
          <w:rFonts w:ascii="Arial" w:hAnsi="Arial" w:cs="Arial"/>
          <w:sz w:val="22"/>
          <w:szCs w:val="22"/>
        </w:rPr>
        <w:t xml:space="preserve"> NS, </w:t>
      </w:r>
      <w:proofErr w:type="spellStart"/>
      <w:r w:rsidRPr="00470AA7">
        <w:rPr>
          <w:rFonts w:ascii="Arial" w:hAnsi="Arial" w:cs="Arial"/>
          <w:sz w:val="22"/>
          <w:szCs w:val="22"/>
        </w:rPr>
        <w:t>Scher</w:t>
      </w:r>
      <w:proofErr w:type="spellEnd"/>
      <w:r w:rsidRPr="00470AA7">
        <w:rPr>
          <w:rFonts w:ascii="Arial" w:hAnsi="Arial" w:cs="Arial"/>
          <w:sz w:val="22"/>
          <w:szCs w:val="22"/>
        </w:rPr>
        <w:t xml:space="preserve"> A, </w:t>
      </w:r>
      <w:proofErr w:type="spellStart"/>
      <w:r w:rsidRPr="00470AA7">
        <w:rPr>
          <w:rFonts w:ascii="Arial" w:hAnsi="Arial" w:cs="Arial"/>
          <w:sz w:val="22"/>
          <w:szCs w:val="22"/>
        </w:rPr>
        <w:t>Gackstetter</w:t>
      </w:r>
      <w:proofErr w:type="spellEnd"/>
      <w:r w:rsidRPr="00470AA7">
        <w:rPr>
          <w:rFonts w:ascii="Arial" w:hAnsi="Arial" w:cs="Arial"/>
          <w:sz w:val="22"/>
          <w:szCs w:val="22"/>
        </w:rPr>
        <w:t xml:space="preserve"> GD, Boyko EJ, Smith TC, for the Millennium Cohort Study Team. </w:t>
      </w:r>
      <w:r w:rsidRPr="00470AA7">
        <w:rPr>
          <w:rFonts w:ascii="Arial" w:hAnsi="Arial" w:cs="Arial"/>
          <w:b/>
          <w:sz w:val="22"/>
          <w:szCs w:val="22"/>
        </w:rPr>
        <w:t>Headache disorders in the Millennium Cohort: epidemiology and relations with combat deployment.</w:t>
      </w:r>
      <w:r w:rsidRPr="00470AA7">
        <w:rPr>
          <w:rFonts w:ascii="Arial" w:hAnsi="Arial" w:cs="Arial"/>
          <w:sz w:val="22"/>
          <w:szCs w:val="22"/>
        </w:rPr>
        <w:t xml:space="preserve"> </w:t>
      </w:r>
      <w:r w:rsidR="00B41AD4" w:rsidRPr="00470AA7">
        <w:rPr>
          <w:rFonts w:ascii="Arial" w:hAnsi="Arial" w:cs="Arial"/>
          <w:sz w:val="22"/>
          <w:szCs w:val="22"/>
        </w:rPr>
        <w:t xml:space="preserve">Headache. </w:t>
      </w:r>
      <w:r w:rsidRPr="00470AA7">
        <w:rPr>
          <w:rFonts w:ascii="Arial" w:hAnsi="Arial" w:cs="Arial"/>
          <w:sz w:val="22"/>
          <w:szCs w:val="22"/>
        </w:rPr>
        <w:t>2011 Jul-Aug;51(7);1098-1111.</w:t>
      </w:r>
    </w:p>
    <w:p w:rsidR="00005749" w:rsidRPr="00470AA7" w:rsidRDefault="00005749" w:rsidP="006D7C9B">
      <w:pPr>
        <w:ind w:left="-360" w:right="-180"/>
        <w:rPr>
          <w:rFonts w:ascii="Arial" w:hAnsi="Arial" w:cs="Arial"/>
          <w:sz w:val="22"/>
          <w:szCs w:val="22"/>
        </w:rPr>
      </w:pPr>
    </w:p>
    <w:p w:rsidR="007B4CE1" w:rsidRDefault="00005749" w:rsidP="00624BE9">
      <w:pPr>
        <w:ind w:left="-360" w:right="-180"/>
        <w:rPr>
          <w:rFonts w:ascii="Arial" w:hAnsi="Arial" w:cs="Arial"/>
          <w:i/>
          <w:color w:val="0000FF"/>
          <w:sz w:val="22"/>
          <w:szCs w:val="22"/>
        </w:rPr>
      </w:pPr>
      <w:r w:rsidRPr="00470AA7">
        <w:rPr>
          <w:rFonts w:ascii="Arial" w:hAnsi="Arial" w:cs="Arial"/>
          <w:i/>
          <w:color w:val="0000FF"/>
          <w:sz w:val="22"/>
          <w:szCs w:val="22"/>
        </w:rPr>
        <w:t>Deployed personnel with reported combat exposure appear to represent a higher risk group for new-onset headache disorders.  The identification of populations at higher risk for development of headache provides support for targeted interventions.</w:t>
      </w:r>
    </w:p>
    <w:p w:rsidR="00624BE9" w:rsidRPr="00624BE9" w:rsidRDefault="00624BE9" w:rsidP="00624BE9">
      <w:pPr>
        <w:ind w:left="-360" w:right="-180"/>
        <w:rPr>
          <w:rFonts w:ascii="Arial" w:hAnsi="Arial" w:cs="Arial"/>
          <w:i/>
          <w:color w:val="0000FF"/>
          <w:sz w:val="22"/>
          <w:szCs w:val="22"/>
        </w:rPr>
      </w:pPr>
    </w:p>
    <w:p w:rsidR="00F45CD7" w:rsidRPr="00470AA7" w:rsidRDefault="00F45CD7" w:rsidP="006D7C9B">
      <w:pPr>
        <w:ind w:left="-360" w:right="-180"/>
        <w:rPr>
          <w:rFonts w:ascii="Arial" w:hAnsi="Arial" w:cs="Arial"/>
          <w:sz w:val="22"/>
          <w:szCs w:val="22"/>
        </w:rPr>
      </w:pPr>
      <w:proofErr w:type="spellStart"/>
      <w:r w:rsidRPr="00470AA7">
        <w:rPr>
          <w:rFonts w:ascii="Arial" w:hAnsi="Arial" w:cs="Arial"/>
          <w:sz w:val="22"/>
          <w:szCs w:val="22"/>
        </w:rPr>
        <w:t>LeardMann</w:t>
      </w:r>
      <w:proofErr w:type="spellEnd"/>
      <w:r w:rsidRPr="00470AA7">
        <w:rPr>
          <w:rFonts w:ascii="Arial" w:hAnsi="Arial" w:cs="Arial"/>
          <w:sz w:val="22"/>
          <w:szCs w:val="22"/>
        </w:rPr>
        <w:t xml:space="preserve"> C</w:t>
      </w:r>
      <w:r w:rsidR="00A44A08" w:rsidRPr="00470AA7">
        <w:rPr>
          <w:rFonts w:ascii="Arial" w:hAnsi="Arial" w:cs="Arial"/>
          <w:sz w:val="22"/>
          <w:szCs w:val="22"/>
        </w:rPr>
        <w:t>A</w:t>
      </w:r>
      <w:r w:rsidRPr="00470AA7">
        <w:rPr>
          <w:rFonts w:ascii="Arial" w:hAnsi="Arial" w:cs="Arial"/>
          <w:sz w:val="22"/>
          <w:szCs w:val="22"/>
        </w:rPr>
        <w:t xml:space="preserve">, Kelton ML, Smith B, Littman AJ, Boyko EJ, Wells TS, Smith TC, for the Millennium Cohort Study Team. </w:t>
      </w:r>
      <w:r w:rsidR="0029363E" w:rsidRPr="00470AA7">
        <w:rPr>
          <w:rFonts w:ascii="Arial" w:hAnsi="Arial" w:cs="Arial"/>
          <w:b/>
          <w:sz w:val="22"/>
          <w:szCs w:val="22"/>
        </w:rPr>
        <w:t>Prospectively a</w:t>
      </w:r>
      <w:r w:rsidRPr="00470AA7">
        <w:rPr>
          <w:rFonts w:ascii="Arial" w:hAnsi="Arial" w:cs="Arial"/>
          <w:b/>
          <w:sz w:val="22"/>
          <w:szCs w:val="22"/>
        </w:rPr>
        <w:t xml:space="preserve">ssessed </w:t>
      </w:r>
      <w:r w:rsidR="0029363E" w:rsidRPr="00470AA7">
        <w:rPr>
          <w:rFonts w:ascii="Arial" w:hAnsi="Arial" w:cs="Arial"/>
          <w:b/>
          <w:sz w:val="22"/>
          <w:szCs w:val="22"/>
        </w:rPr>
        <w:t>posttraumatic s</w:t>
      </w:r>
      <w:r w:rsidRPr="00470AA7">
        <w:rPr>
          <w:rFonts w:ascii="Arial" w:hAnsi="Arial" w:cs="Arial"/>
          <w:b/>
          <w:sz w:val="22"/>
          <w:szCs w:val="22"/>
        </w:rPr>
        <w:t xml:space="preserve">tress </w:t>
      </w:r>
      <w:r w:rsidR="0029363E" w:rsidRPr="00470AA7">
        <w:rPr>
          <w:rFonts w:ascii="Arial" w:hAnsi="Arial" w:cs="Arial"/>
          <w:b/>
          <w:sz w:val="22"/>
          <w:szCs w:val="22"/>
        </w:rPr>
        <w:t>d</w:t>
      </w:r>
      <w:r w:rsidRPr="00470AA7">
        <w:rPr>
          <w:rFonts w:ascii="Arial" w:hAnsi="Arial" w:cs="Arial"/>
          <w:b/>
          <w:sz w:val="22"/>
          <w:szCs w:val="22"/>
        </w:rPr>
        <w:t xml:space="preserve">isorder and </w:t>
      </w:r>
      <w:r w:rsidR="0029363E" w:rsidRPr="00470AA7">
        <w:rPr>
          <w:rFonts w:ascii="Arial" w:hAnsi="Arial" w:cs="Arial"/>
          <w:b/>
          <w:sz w:val="22"/>
          <w:szCs w:val="22"/>
        </w:rPr>
        <w:t>a</w:t>
      </w:r>
      <w:r w:rsidRPr="00470AA7">
        <w:rPr>
          <w:rFonts w:ascii="Arial" w:hAnsi="Arial" w:cs="Arial"/>
          <w:b/>
          <w:sz w:val="22"/>
          <w:szCs w:val="22"/>
        </w:rPr>
        <w:t xml:space="preserve">ssociated </w:t>
      </w:r>
      <w:r w:rsidR="0029363E" w:rsidRPr="00470AA7">
        <w:rPr>
          <w:rFonts w:ascii="Arial" w:hAnsi="Arial" w:cs="Arial"/>
          <w:b/>
          <w:sz w:val="22"/>
          <w:szCs w:val="22"/>
        </w:rPr>
        <w:t>p</w:t>
      </w:r>
      <w:r w:rsidRPr="00470AA7">
        <w:rPr>
          <w:rFonts w:ascii="Arial" w:hAnsi="Arial" w:cs="Arial"/>
          <w:b/>
          <w:sz w:val="22"/>
          <w:szCs w:val="22"/>
        </w:rPr>
        <w:t xml:space="preserve">hysical </w:t>
      </w:r>
      <w:r w:rsidR="0029363E" w:rsidRPr="00470AA7">
        <w:rPr>
          <w:rFonts w:ascii="Arial" w:hAnsi="Arial" w:cs="Arial"/>
          <w:b/>
          <w:sz w:val="22"/>
          <w:szCs w:val="22"/>
        </w:rPr>
        <w:t>a</w:t>
      </w:r>
      <w:r w:rsidRPr="00470AA7">
        <w:rPr>
          <w:rFonts w:ascii="Arial" w:hAnsi="Arial" w:cs="Arial"/>
          <w:b/>
          <w:sz w:val="22"/>
          <w:szCs w:val="22"/>
        </w:rPr>
        <w:t>ctivity.</w:t>
      </w:r>
      <w:r w:rsidRPr="00470AA7">
        <w:rPr>
          <w:rFonts w:ascii="Arial" w:hAnsi="Arial" w:cs="Arial"/>
          <w:sz w:val="22"/>
          <w:szCs w:val="22"/>
        </w:rPr>
        <w:t xml:space="preserve"> Public Health Reports</w:t>
      </w:r>
      <w:r w:rsidR="00B41AD4" w:rsidRPr="00470AA7">
        <w:rPr>
          <w:rFonts w:ascii="Arial" w:hAnsi="Arial" w:cs="Arial"/>
          <w:sz w:val="22"/>
          <w:szCs w:val="22"/>
        </w:rPr>
        <w:t xml:space="preserve">. </w:t>
      </w:r>
      <w:r w:rsidR="00A44A08" w:rsidRPr="00470AA7">
        <w:rPr>
          <w:rFonts w:ascii="Arial" w:hAnsi="Arial" w:cs="Arial"/>
          <w:sz w:val="22"/>
          <w:szCs w:val="22"/>
        </w:rPr>
        <w:t>2011 May/Jun;126(3):371-83.</w:t>
      </w:r>
    </w:p>
    <w:p w:rsidR="00F45CD7" w:rsidRPr="00470AA7" w:rsidRDefault="00F45CD7" w:rsidP="006D7C9B">
      <w:pPr>
        <w:ind w:left="-360" w:right="-180"/>
        <w:rPr>
          <w:rFonts w:ascii="Arial" w:hAnsi="Arial" w:cs="Arial"/>
          <w:i/>
          <w:color w:val="0000FF"/>
          <w:sz w:val="22"/>
          <w:szCs w:val="22"/>
        </w:rPr>
      </w:pPr>
    </w:p>
    <w:p w:rsidR="00666FBD" w:rsidRDefault="00F45CD7" w:rsidP="00666FBD">
      <w:pPr>
        <w:ind w:left="-360" w:right="-180"/>
        <w:rPr>
          <w:rFonts w:ascii="Arial" w:hAnsi="Arial" w:cs="Arial"/>
          <w:i/>
          <w:color w:val="0000FF"/>
          <w:sz w:val="22"/>
          <w:szCs w:val="22"/>
        </w:rPr>
      </w:pPr>
      <w:r w:rsidRPr="00470AA7">
        <w:rPr>
          <w:rFonts w:ascii="Arial" w:hAnsi="Arial" w:cs="Arial"/>
          <w:i/>
          <w:color w:val="0000FF"/>
          <w:sz w:val="22"/>
          <w:szCs w:val="22"/>
        </w:rPr>
        <w:t>Nearly 90% of the Cohort participate in some level of physical activity.  Engagement in physical activity, s</w:t>
      </w:r>
      <w:r w:rsidR="00AC2B5A" w:rsidRPr="00470AA7">
        <w:rPr>
          <w:rFonts w:ascii="Arial" w:hAnsi="Arial" w:cs="Arial"/>
          <w:i/>
          <w:color w:val="0000FF"/>
          <w:sz w:val="22"/>
          <w:szCs w:val="22"/>
        </w:rPr>
        <w:t>pecifically vigorous activity, wa</w:t>
      </w:r>
      <w:r w:rsidRPr="00470AA7">
        <w:rPr>
          <w:rFonts w:ascii="Arial" w:hAnsi="Arial" w:cs="Arial"/>
          <w:i/>
          <w:color w:val="0000FF"/>
          <w:sz w:val="22"/>
          <w:szCs w:val="22"/>
        </w:rPr>
        <w:t>s associated with decreased odds of PTSD symptoms.  While further research is needed, a physical activity component may be valuable to treat and/or prevent PTSD among service members</w:t>
      </w:r>
      <w:r w:rsidR="00666FBD">
        <w:rPr>
          <w:rFonts w:ascii="Arial" w:hAnsi="Arial" w:cs="Arial"/>
          <w:i/>
          <w:color w:val="0000FF"/>
          <w:sz w:val="22"/>
          <w:szCs w:val="22"/>
        </w:rPr>
        <w:t>.</w:t>
      </w:r>
    </w:p>
    <w:p w:rsidR="006A2478" w:rsidRDefault="006A2478" w:rsidP="00666FBD">
      <w:pPr>
        <w:ind w:left="-360" w:right="-180"/>
        <w:rPr>
          <w:rFonts w:ascii="Arial" w:hAnsi="Arial" w:cs="Arial"/>
          <w:i/>
          <w:color w:val="0000FF"/>
          <w:sz w:val="22"/>
          <w:szCs w:val="22"/>
        </w:rPr>
      </w:pPr>
    </w:p>
    <w:p w:rsidR="00F6530C" w:rsidRPr="00470AA7" w:rsidRDefault="00F6530C" w:rsidP="00666FBD">
      <w:pPr>
        <w:ind w:left="-360" w:right="-180"/>
        <w:rPr>
          <w:rFonts w:ascii="Arial" w:hAnsi="Arial" w:cs="Arial"/>
          <w:i/>
          <w:color w:val="0000FF"/>
          <w:sz w:val="22"/>
          <w:szCs w:val="22"/>
        </w:rPr>
      </w:pPr>
      <w:r w:rsidRPr="00470AA7">
        <w:rPr>
          <w:rFonts w:ascii="Arial" w:hAnsi="Arial" w:cs="Arial"/>
          <w:sz w:val="22"/>
          <w:szCs w:val="22"/>
        </w:rPr>
        <w:t xml:space="preserve">Sandweiss DA, Slymen DJ, LeardMann CA, Smith B, White MR, Boyko EJ, Hooper TI, Gackstetter GD, Amoroso PJ, Smith TC, for the Millennium Cohort Study Team. </w:t>
      </w:r>
      <w:proofErr w:type="spellStart"/>
      <w:r w:rsidR="00537E13" w:rsidRPr="00470AA7">
        <w:rPr>
          <w:rFonts w:ascii="Arial" w:hAnsi="Arial" w:cs="Arial"/>
          <w:b/>
          <w:sz w:val="22"/>
          <w:szCs w:val="22"/>
        </w:rPr>
        <w:t>P</w:t>
      </w:r>
      <w:r w:rsidRPr="00470AA7">
        <w:rPr>
          <w:rFonts w:ascii="Arial" w:hAnsi="Arial" w:cs="Arial"/>
          <w:b/>
          <w:sz w:val="22"/>
          <w:szCs w:val="22"/>
        </w:rPr>
        <w:t>reinjury</w:t>
      </w:r>
      <w:proofErr w:type="spellEnd"/>
      <w:r w:rsidRPr="00470AA7">
        <w:rPr>
          <w:rFonts w:ascii="Arial" w:hAnsi="Arial" w:cs="Arial"/>
          <w:b/>
          <w:sz w:val="22"/>
          <w:szCs w:val="22"/>
        </w:rPr>
        <w:t xml:space="preserve"> psychiatric status</w:t>
      </w:r>
      <w:r w:rsidR="00537E13" w:rsidRPr="00470AA7">
        <w:rPr>
          <w:rFonts w:ascii="Arial" w:hAnsi="Arial" w:cs="Arial"/>
          <w:b/>
          <w:sz w:val="22"/>
          <w:szCs w:val="22"/>
        </w:rPr>
        <w:t xml:space="preserve">, </w:t>
      </w:r>
      <w:r w:rsidRPr="00470AA7">
        <w:rPr>
          <w:rFonts w:ascii="Arial" w:hAnsi="Arial" w:cs="Arial"/>
          <w:b/>
          <w:sz w:val="22"/>
          <w:szCs w:val="22"/>
        </w:rPr>
        <w:t>injury severity</w:t>
      </w:r>
      <w:r w:rsidR="00537E13" w:rsidRPr="00470AA7">
        <w:rPr>
          <w:rFonts w:ascii="Arial" w:hAnsi="Arial" w:cs="Arial"/>
          <w:b/>
          <w:sz w:val="22"/>
          <w:szCs w:val="22"/>
        </w:rPr>
        <w:t>, and</w:t>
      </w:r>
      <w:r w:rsidRPr="00470AA7">
        <w:rPr>
          <w:rFonts w:ascii="Arial" w:hAnsi="Arial" w:cs="Arial"/>
          <w:b/>
          <w:sz w:val="22"/>
          <w:szCs w:val="22"/>
        </w:rPr>
        <w:t xml:space="preserve"> </w:t>
      </w:r>
      <w:proofErr w:type="spellStart"/>
      <w:r w:rsidRPr="00470AA7">
        <w:rPr>
          <w:rFonts w:ascii="Arial" w:hAnsi="Arial" w:cs="Arial"/>
          <w:b/>
          <w:sz w:val="22"/>
          <w:szCs w:val="22"/>
        </w:rPr>
        <w:t>postdeployment</w:t>
      </w:r>
      <w:proofErr w:type="spellEnd"/>
      <w:r w:rsidRPr="00470AA7">
        <w:rPr>
          <w:rFonts w:ascii="Arial" w:hAnsi="Arial" w:cs="Arial"/>
          <w:b/>
          <w:sz w:val="22"/>
          <w:szCs w:val="22"/>
        </w:rPr>
        <w:t xml:space="preserve"> posttraumatic stress disorder.</w:t>
      </w:r>
      <w:r w:rsidRPr="00470AA7">
        <w:rPr>
          <w:rFonts w:ascii="Arial" w:hAnsi="Arial" w:cs="Arial"/>
          <w:sz w:val="22"/>
          <w:szCs w:val="22"/>
        </w:rPr>
        <w:t xml:space="preserve"> </w:t>
      </w:r>
      <w:r w:rsidR="00B41AD4" w:rsidRPr="00470AA7">
        <w:rPr>
          <w:rFonts w:ascii="Arial" w:hAnsi="Arial" w:cs="Arial"/>
          <w:sz w:val="22"/>
          <w:szCs w:val="22"/>
        </w:rPr>
        <w:t xml:space="preserve">Archives of General Psychiatry. </w:t>
      </w:r>
      <w:r w:rsidRPr="00470AA7">
        <w:rPr>
          <w:rFonts w:ascii="Arial" w:hAnsi="Arial" w:cs="Arial"/>
          <w:sz w:val="22"/>
          <w:szCs w:val="22"/>
        </w:rPr>
        <w:t>2011 May;68(5):496-504.</w:t>
      </w:r>
    </w:p>
    <w:p w:rsidR="007C791D" w:rsidRDefault="007C791D" w:rsidP="007C791D">
      <w:pPr>
        <w:ind w:right="-180"/>
        <w:rPr>
          <w:rFonts w:ascii="Arial" w:hAnsi="Arial" w:cs="Arial"/>
          <w:i/>
          <w:color w:val="0000FF"/>
          <w:sz w:val="22"/>
          <w:szCs w:val="22"/>
        </w:rPr>
      </w:pPr>
    </w:p>
    <w:p w:rsidR="000D0EC5" w:rsidRPr="00470AA7" w:rsidRDefault="00F6530C" w:rsidP="007C791D">
      <w:pPr>
        <w:ind w:left="-360" w:right="-180"/>
        <w:rPr>
          <w:rFonts w:ascii="Arial" w:hAnsi="Arial" w:cs="Arial"/>
          <w:i/>
          <w:color w:val="0000FF"/>
          <w:sz w:val="22"/>
          <w:szCs w:val="22"/>
        </w:rPr>
      </w:pPr>
      <w:r w:rsidRPr="00470AA7">
        <w:rPr>
          <w:rFonts w:ascii="Arial" w:hAnsi="Arial" w:cs="Arial"/>
          <w:i/>
          <w:color w:val="0000FF"/>
          <w:sz w:val="22"/>
          <w:szCs w:val="22"/>
        </w:rPr>
        <w:t xml:space="preserve">Physical injuries were significantly associated with </w:t>
      </w:r>
      <w:proofErr w:type="spellStart"/>
      <w:r w:rsidRPr="00470AA7">
        <w:rPr>
          <w:rFonts w:ascii="Arial" w:hAnsi="Arial" w:cs="Arial"/>
          <w:i/>
          <w:color w:val="0000FF"/>
          <w:sz w:val="22"/>
          <w:szCs w:val="22"/>
        </w:rPr>
        <w:t>postdeployment</w:t>
      </w:r>
      <w:proofErr w:type="spellEnd"/>
      <w:r w:rsidRPr="00470AA7">
        <w:rPr>
          <w:rFonts w:ascii="Arial" w:hAnsi="Arial" w:cs="Arial"/>
          <w:i/>
          <w:color w:val="0000FF"/>
          <w:sz w:val="22"/>
          <w:szCs w:val="22"/>
        </w:rPr>
        <w:t xml:space="preserve"> PTS</w:t>
      </w:r>
      <w:r w:rsidR="007C791D">
        <w:rPr>
          <w:rFonts w:ascii="Arial" w:hAnsi="Arial" w:cs="Arial"/>
          <w:i/>
          <w:color w:val="0000FF"/>
          <w:sz w:val="22"/>
          <w:szCs w:val="22"/>
        </w:rPr>
        <w:t xml:space="preserve">D.  Baseline psychiatric status </w:t>
      </w:r>
      <w:r w:rsidRPr="00470AA7">
        <w:rPr>
          <w:rFonts w:ascii="Arial" w:hAnsi="Arial" w:cs="Arial"/>
          <w:i/>
          <w:color w:val="0000FF"/>
          <w:sz w:val="22"/>
          <w:szCs w:val="22"/>
        </w:rPr>
        <w:t xml:space="preserve">was also significantly associated with </w:t>
      </w:r>
      <w:proofErr w:type="spellStart"/>
      <w:r w:rsidRPr="00470AA7">
        <w:rPr>
          <w:rFonts w:ascii="Arial" w:hAnsi="Arial" w:cs="Arial"/>
          <w:i/>
          <w:color w:val="0000FF"/>
          <w:sz w:val="22"/>
          <w:szCs w:val="22"/>
        </w:rPr>
        <w:t>postdeployment</w:t>
      </w:r>
      <w:proofErr w:type="spellEnd"/>
      <w:r w:rsidRPr="00470AA7">
        <w:rPr>
          <w:rFonts w:ascii="Arial" w:hAnsi="Arial" w:cs="Arial"/>
          <w:i/>
          <w:color w:val="0000FF"/>
          <w:sz w:val="22"/>
          <w:szCs w:val="22"/>
        </w:rPr>
        <w:t xml:space="preserve"> PTSD, irrespective of injury severity.  Depl</w:t>
      </w:r>
      <w:r w:rsidR="007C791D">
        <w:rPr>
          <w:rFonts w:ascii="Arial" w:hAnsi="Arial" w:cs="Arial"/>
          <w:i/>
          <w:color w:val="0000FF"/>
          <w:sz w:val="22"/>
          <w:szCs w:val="22"/>
        </w:rPr>
        <w:t xml:space="preserve">oyed </w:t>
      </w:r>
      <w:r w:rsidRPr="00470AA7">
        <w:rPr>
          <w:rFonts w:ascii="Arial" w:hAnsi="Arial" w:cs="Arial"/>
          <w:i/>
          <w:color w:val="0000FF"/>
          <w:sz w:val="22"/>
          <w:szCs w:val="22"/>
        </w:rPr>
        <w:t xml:space="preserve">service members who suffer from a </w:t>
      </w:r>
      <w:proofErr w:type="spellStart"/>
      <w:r w:rsidRPr="00470AA7">
        <w:rPr>
          <w:rFonts w:ascii="Arial" w:hAnsi="Arial" w:cs="Arial"/>
          <w:i/>
          <w:color w:val="0000FF"/>
          <w:sz w:val="22"/>
          <w:szCs w:val="22"/>
        </w:rPr>
        <w:t>predeployment</w:t>
      </w:r>
      <w:proofErr w:type="spellEnd"/>
      <w:r w:rsidRPr="00470AA7">
        <w:rPr>
          <w:rFonts w:ascii="Arial" w:hAnsi="Arial" w:cs="Arial"/>
          <w:i/>
          <w:color w:val="0000FF"/>
          <w:sz w:val="22"/>
          <w:szCs w:val="22"/>
        </w:rPr>
        <w:t xml:space="preserve"> psychiatric conditi</w:t>
      </w:r>
      <w:r w:rsidR="007C791D">
        <w:rPr>
          <w:rFonts w:ascii="Arial" w:hAnsi="Arial" w:cs="Arial"/>
          <w:i/>
          <w:color w:val="0000FF"/>
          <w:sz w:val="22"/>
          <w:szCs w:val="22"/>
        </w:rPr>
        <w:t xml:space="preserve">on or injury while deployed may </w:t>
      </w:r>
      <w:r w:rsidRPr="00470AA7">
        <w:rPr>
          <w:rFonts w:ascii="Arial" w:hAnsi="Arial" w:cs="Arial"/>
          <w:i/>
          <w:color w:val="0000FF"/>
          <w:sz w:val="22"/>
          <w:szCs w:val="22"/>
        </w:rPr>
        <w:t xml:space="preserve">benefit from interventions targeted to prevent </w:t>
      </w:r>
      <w:proofErr w:type="spellStart"/>
      <w:r w:rsidRPr="00470AA7">
        <w:rPr>
          <w:rFonts w:ascii="Arial" w:hAnsi="Arial" w:cs="Arial"/>
          <w:i/>
          <w:color w:val="0000FF"/>
          <w:sz w:val="22"/>
          <w:szCs w:val="22"/>
        </w:rPr>
        <w:t>postdeployment</w:t>
      </w:r>
      <w:proofErr w:type="spellEnd"/>
      <w:r w:rsidRPr="00470AA7">
        <w:rPr>
          <w:rFonts w:ascii="Arial" w:hAnsi="Arial" w:cs="Arial"/>
          <w:i/>
          <w:color w:val="0000FF"/>
          <w:sz w:val="22"/>
          <w:szCs w:val="22"/>
        </w:rPr>
        <w:t xml:space="preserve"> PTSD or </w:t>
      </w:r>
      <w:r w:rsidR="007C791D">
        <w:rPr>
          <w:rFonts w:ascii="Arial" w:hAnsi="Arial" w:cs="Arial"/>
          <w:i/>
          <w:color w:val="0000FF"/>
          <w:sz w:val="22"/>
          <w:szCs w:val="22"/>
        </w:rPr>
        <w:t xml:space="preserve">ensure early identification and </w:t>
      </w:r>
      <w:r w:rsidRPr="00470AA7">
        <w:rPr>
          <w:rFonts w:ascii="Arial" w:hAnsi="Arial" w:cs="Arial"/>
          <w:i/>
          <w:color w:val="0000FF"/>
          <w:sz w:val="22"/>
          <w:szCs w:val="22"/>
        </w:rPr>
        <w:t>treatment.</w:t>
      </w:r>
    </w:p>
    <w:p w:rsidR="000D0EC5" w:rsidRPr="00470AA7" w:rsidRDefault="000D0EC5"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250ECC" w:rsidRPr="00470AA7" w:rsidRDefault="00250ECC" w:rsidP="006D7C9B">
      <w:pPr>
        <w:ind w:left="-360" w:right="-180"/>
        <w:rPr>
          <w:rFonts w:ascii="Arial" w:hAnsi="Arial" w:cs="Arial"/>
          <w:sz w:val="22"/>
          <w:szCs w:val="22"/>
        </w:rPr>
      </w:pPr>
      <w:r w:rsidRPr="00470AA7">
        <w:rPr>
          <w:rFonts w:ascii="Arial" w:hAnsi="Arial" w:cs="Arial"/>
          <w:sz w:val="22"/>
          <w:szCs w:val="22"/>
        </w:rPr>
        <w:lastRenderedPageBreak/>
        <w:t xml:space="preserve">White MR, Jacobson IG, Smith B, Wells TS, Gackstetter GD, Boyko EJ, Smith TC, for the Millennium Cohort Study Team. </w:t>
      </w:r>
      <w:r w:rsidRPr="00470AA7">
        <w:rPr>
          <w:rFonts w:ascii="Arial" w:hAnsi="Arial" w:cs="Arial"/>
          <w:b/>
          <w:sz w:val="22"/>
          <w:szCs w:val="22"/>
        </w:rPr>
        <w:t xml:space="preserve">Health care utilization among complementary and alternative medicine users in a large military cohort. </w:t>
      </w:r>
      <w:r w:rsidRPr="00470AA7">
        <w:rPr>
          <w:rFonts w:ascii="Arial" w:hAnsi="Arial" w:cs="Arial"/>
          <w:sz w:val="22"/>
          <w:szCs w:val="22"/>
        </w:rPr>
        <w:t>BMC Complementary and Alternative Medicine</w:t>
      </w:r>
      <w:r w:rsidR="00B41AD4" w:rsidRPr="00470AA7">
        <w:rPr>
          <w:rFonts w:ascii="Arial" w:hAnsi="Arial" w:cs="Arial"/>
          <w:sz w:val="22"/>
          <w:szCs w:val="22"/>
        </w:rPr>
        <w:t xml:space="preserve">. </w:t>
      </w:r>
      <w:r w:rsidRPr="00470AA7">
        <w:rPr>
          <w:rFonts w:ascii="Arial" w:hAnsi="Arial" w:cs="Arial"/>
          <w:sz w:val="22"/>
          <w:szCs w:val="22"/>
        </w:rPr>
        <w:t>2011 Apr;11:27.</w:t>
      </w:r>
    </w:p>
    <w:p w:rsidR="00250ECC" w:rsidRPr="00470AA7" w:rsidRDefault="00250ECC" w:rsidP="006D7C9B">
      <w:pPr>
        <w:ind w:left="-360" w:right="-180"/>
        <w:rPr>
          <w:rFonts w:ascii="Arial" w:hAnsi="Arial" w:cs="Arial"/>
          <w:i/>
          <w:color w:val="0000FF"/>
          <w:sz w:val="22"/>
          <w:szCs w:val="22"/>
        </w:rPr>
      </w:pPr>
    </w:p>
    <w:p w:rsidR="006D7C9B" w:rsidRDefault="007E6847" w:rsidP="002341DD">
      <w:pPr>
        <w:ind w:left="-360" w:right="-180"/>
        <w:rPr>
          <w:rFonts w:ascii="Arial" w:hAnsi="Arial" w:cs="Arial"/>
          <w:i/>
          <w:color w:val="0000FF"/>
          <w:sz w:val="22"/>
          <w:szCs w:val="22"/>
        </w:rPr>
      </w:pPr>
      <w:r w:rsidRPr="00470AA7">
        <w:rPr>
          <w:rFonts w:ascii="Arial" w:hAnsi="Arial" w:cs="Arial"/>
          <w:i/>
          <w:color w:val="0000FF"/>
          <w:sz w:val="22"/>
          <w:szCs w:val="22"/>
        </w:rPr>
        <w:t>Our findings provide evidence that CAM users are utilizing more physician-based medical services than users of conventional care. Those using CAM account for 45.1% of outpatient care and 44.8% of inpatient care, but make up only 39% of the study population. Whether CAM use is supplementing current conventional medical practice to meet the health care needs of these individuals is not fully understood.</w:t>
      </w:r>
    </w:p>
    <w:p w:rsidR="007C791D" w:rsidRPr="00470AA7" w:rsidRDefault="007C791D" w:rsidP="002341DD">
      <w:pPr>
        <w:ind w:left="-360" w:right="-180"/>
        <w:rPr>
          <w:rFonts w:ascii="Arial" w:hAnsi="Arial" w:cs="Arial"/>
          <w:i/>
          <w:color w:val="0000FF"/>
          <w:sz w:val="22"/>
          <w:szCs w:val="22"/>
        </w:rPr>
      </w:pPr>
    </w:p>
    <w:p w:rsidR="008B723B" w:rsidRPr="00470AA7" w:rsidRDefault="008B723B" w:rsidP="006D7C9B">
      <w:pPr>
        <w:ind w:left="-360" w:right="-180"/>
        <w:rPr>
          <w:rFonts w:ascii="Arial" w:hAnsi="Arial" w:cs="Arial"/>
          <w:sz w:val="22"/>
          <w:szCs w:val="22"/>
        </w:rPr>
      </w:pPr>
      <w:r w:rsidRPr="00470AA7">
        <w:rPr>
          <w:rFonts w:ascii="Arial" w:hAnsi="Arial" w:cs="Arial"/>
          <w:sz w:val="22"/>
          <w:szCs w:val="22"/>
        </w:rPr>
        <w:t xml:space="preserve">Smith TC, Jacobson IG, Hooper TI, LeardMann CA, Boyko EJ, Smith B, Gackstetter GD, Wells TS, Amoroso PJ, Gray GC, Riddle JR, Ryan MAK, for the Millennium Cohort Study Team. </w:t>
      </w:r>
      <w:r w:rsidRPr="00470AA7">
        <w:rPr>
          <w:rFonts w:ascii="Arial" w:hAnsi="Arial" w:cs="Arial"/>
          <w:b/>
          <w:sz w:val="22"/>
          <w:szCs w:val="22"/>
        </w:rPr>
        <w:t>Health impact of US military service in a large population-based military cohort: findings of the Millennium Cohort Study, 2001-2008.</w:t>
      </w:r>
      <w:r w:rsidRPr="00470AA7">
        <w:rPr>
          <w:rFonts w:ascii="Arial" w:hAnsi="Arial" w:cs="Arial"/>
          <w:sz w:val="22"/>
          <w:szCs w:val="22"/>
        </w:rPr>
        <w:t xml:space="preserve"> BMC Public Health</w:t>
      </w:r>
      <w:r w:rsidR="00B41AD4" w:rsidRPr="00470AA7">
        <w:rPr>
          <w:rFonts w:ascii="Arial" w:hAnsi="Arial" w:cs="Arial"/>
          <w:sz w:val="22"/>
          <w:szCs w:val="22"/>
        </w:rPr>
        <w:t xml:space="preserve">. </w:t>
      </w:r>
      <w:r w:rsidR="00E01F32" w:rsidRPr="00470AA7">
        <w:rPr>
          <w:rFonts w:ascii="Arial" w:hAnsi="Arial" w:cs="Arial"/>
          <w:sz w:val="22"/>
          <w:szCs w:val="22"/>
        </w:rPr>
        <w:t>2011 Jan;11(1):69.</w:t>
      </w:r>
    </w:p>
    <w:p w:rsidR="008B723B" w:rsidRPr="00470AA7" w:rsidRDefault="008B723B" w:rsidP="006D7C9B">
      <w:pPr>
        <w:ind w:left="-360" w:right="-180"/>
        <w:rPr>
          <w:rFonts w:ascii="Arial" w:hAnsi="Arial" w:cs="Arial"/>
          <w:sz w:val="22"/>
          <w:szCs w:val="22"/>
        </w:rPr>
      </w:pPr>
    </w:p>
    <w:p w:rsidR="005F352D" w:rsidRDefault="008B723B" w:rsidP="000E3A76">
      <w:pPr>
        <w:ind w:left="-360" w:right="-180"/>
        <w:rPr>
          <w:rFonts w:ascii="Arial" w:hAnsi="Arial" w:cs="Arial"/>
          <w:i/>
          <w:color w:val="0000FF"/>
          <w:sz w:val="22"/>
          <w:szCs w:val="22"/>
        </w:rPr>
      </w:pPr>
      <w:r w:rsidRPr="00470AA7">
        <w:rPr>
          <w:rFonts w:ascii="Arial" w:hAnsi="Arial" w:cs="Arial"/>
          <w:i/>
          <w:color w:val="0000FF"/>
          <w:sz w:val="22"/>
          <w:szCs w:val="22"/>
        </w:rPr>
        <w:t>This report summarizes findings from the Millennium Cohort Study through 2008 that have addressed health concerns related to military service. Conducting strategic studies aimed to identify, reduce, and prevent adverse health outcomes in military members have guided public health policy and will continue to affect policy for years to come.</w:t>
      </w:r>
    </w:p>
    <w:p w:rsidR="002341DD" w:rsidRPr="00470AA7" w:rsidRDefault="002341DD" w:rsidP="000E3A76">
      <w:pPr>
        <w:ind w:left="-360" w:right="-180"/>
        <w:rPr>
          <w:rFonts w:ascii="Arial" w:hAnsi="Arial" w:cs="Arial"/>
          <w:i/>
          <w:color w:val="0000FF"/>
          <w:sz w:val="22"/>
          <w:szCs w:val="22"/>
        </w:rPr>
      </w:pPr>
    </w:p>
    <w:p w:rsidR="00141B71" w:rsidRPr="00470AA7" w:rsidRDefault="00141B71" w:rsidP="006D7C9B">
      <w:pPr>
        <w:ind w:left="-360" w:right="-180"/>
        <w:rPr>
          <w:rFonts w:ascii="Arial" w:hAnsi="Arial" w:cs="Arial"/>
          <w:sz w:val="22"/>
          <w:szCs w:val="22"/>
        </w:rPr>
      </w:pPr>
      <w:r w:rsidRPr="00470AA7">
        <w:rPr>
          <w:rFonts w:ascii="Arial" w:hAnsi="Arial" w:cs="Arial"/>
          <w:sz w:val="22"/>
          <w:szCs w:val="22"/>
        </w:rPr>
        <w:t>Seelig AD, Jacobson I</w:t>
      </w:r>
      <w:r w:rsidR="00162F1E" w:rsidRPr="00470AA7">
        <w:rPr>
          <w:rFonts w:ascii="Arial" w:hAnsi="Arial" w:cs="Arial"/>
          <w:sz w:val="22"/>
          <w:szCs w:val="22"/>
        </w:rPr>
        <w:t>G</w:t>
      </w:r>
      <w:r w:rsidRPr="00470AA7">
        <w:rPr>
          <w:rFonts w:ascii="Arial" w:hAnsi="Arial" w:cs="Arial"/>
          <w:sz w:val="22"/>
          <w:szCs w:val="22"/>
        </w:rPr>
        <w:t xml:space="preserve">, Smith B, Hooper TI, Boyko EJ, </w:t>
      </w:r>
      <w:proofErr w:type="spellStart"/>
      <w:r w:rsidRPr="00470AA7">
        <w:rPr>
          <w:rFonts w:ascii="Arial" w:hAnsi="Arial" w:cs="Arial"/>
          <w:sz w:val="22"/>
          <w:szCs w:val="22"/>
        </w:rPr>
        <w:t>Gackstetter</w:t>
      </w:r>
      <w:proofErr w:type="spellEnd"/>
      <w:r w:rsidRPr="00470AA7">
        <w:rPr>
          <w:rFonts w:ascii="Arial" w:hAnsi="Arial" w:cs="Arial"/>
          <w:sz w:val="22"/>
          <w:szCs w:val="22"/>
        </w:rPr>
        <w:t xml:space="preserve"> GD, </w:t>
      </w:r>
      <w:proofErr w:type="spellStart"/>
      <w:r w:rsidRPr="00470AA7">
        <w:rPr>
          <w:rFonts w:ascii="Arial" w:hAnsi="Arial" w:cs="Arial"/>
          <w:sz w:val="22"/>
          <w:szCs w:val="22"/>
        </w:rPr>
        <w:t>Gehrman</w:t>
      </w:r>
      <w:proofErr w:type="spellEnd"/>
      <w:r w:rsidRPr="00470AA7">
        <w:rPr>
          <w:rFonts w:ascii="Arial" w:hAnsi="Arial" w:cs="Arial"/>
          <w:sz w:val="22"/>
          <w:szCs w:val="22"/>
        </w:rPr>
        <w:t xml:space="preserve"> PR, </w:t>
      </w:r>
      <w:proofErr w:type="spellStart"/>
      <w:r w:rsidRPr="00470AA7">
        <w:rPr>
          <w:rFonts w:ascii="Arial" w:hAnsi="Arial" w:cs="Arial"/>
          <w:sz w:val="22"/>
          <w:szCs w:val="22"/>
        </w:rPr>
        <w:t>Macera</w:t>
      </w:r>
      <w:proofErr w:type="spellEnd"/>
      <w:r w:rsidRPr="00470AA7">
        <w:rPr>
          <w:rFonts w:ascii="Arial" w:hAnsi="Arial" w:cs="Arial"/>
          <w:sz w:val="22"/>
          <w:szCs w:val="22"/>
        </w:rPr>
        <w:t xml:space="preserve"> CA, Smith TC, for the Millennium Cohort Study Team. </w:t>
      </w:r>
      <w:r w:rsidRPr="00470AA7">
        <w:rPr>
          <w:rFonts w:ascii="Arial" w:hAnsi="Arial" w:cs="Arial"/>
          <w:b/>
          <w:sz w:val="22"/>
          <w:szCs w:val="22"/>
        </w:rPr>
        <w:t>Sleep patterns before, during, and after deployment to Iraq and Afghanistan.</w:t>
      </w:r>
      <w:r w:rsidR="00DF021E" w:rsidRPr="00470AA7">
        <w:rPr>
          <w:rFonts w:ascii="Arial" w:hAnsi="Arial" w:cs="Arial"/>
          <w:sz w:val="22"/>
          <w:szCs w:val="22"/>
        </w:rPr>
        <w:t xml:space="preserve"> Sleep, 2010 Dec;33(12):1615-22.</w:t>
      </w:r>
    </w:p>
    <w:p w:rsidR="00DF021E" w:rsidRPr="00470AA7" w:rsidRDefault="00DF021E" w:rsidP="006D7C9B">
      <w:pPr>
        <w:ind w:left="-360" w:right="-180"/>
        <w:rPr>
          <w:rFonts w:ascii="Arial" w:hAnsi="Arial" w:cs="Arial"/>
          <w:sz w:val="22"/>
          <w:szCs w:val="22"/>
        </w:rPr>
      </w:pPr>
    </w:p>
    <w:p w:rsidR="008D3C33" w:rsidRPr="00470AA7" w:rsidRDefault="00141B71" w:rsidP="006D7C9B">
      <w:pPr>
        <w:ind w:left="-360" w:right="-180"/>
        <w:rPr>
          <w:rFonts w:ascii="Arial" w:hAnsi="Arial" w:cs="Arial"/>
          <w:i/>
          <w:color w:val="0000FF"/>
          <w:sz w:val="22"/>
          <w:szCs w:val="22"/>
        </w:rPr>
      </w:pPr>
      <w:r w:rsidRPr="00470AA7">
        <w:rPr>
          <w:rFonts w:ascii="Arial" w:hAnsi="Arial" w:cs="Arial"/>
          <w:i/>
          <w:color w:val="0000FF"/>
          <w:sz w:val="22"/>
          <w:szCs w:val="22"/>
        </w:rPr>
        <w:t xml:space="preserve">Participants reported having trouble sleeping and getting less sleep either during deployment or after returning home from deployment more than </w:t>
      </w:r>
      <w:proofErr w:type="spellStart"/>
      <w:r w:rsidRPr="00470AA7">
        <w:rPr>
          <w:rFonts w:ascii="Arial" w:hAnsi="Arial" w:cs="Arial"/>
          <w:i/>
          <w:color w:val="0000FF"/>
          <w:sz w:val="22"/>
          <w:szCs w:val="22"/>
        </w:rPr>
        <w:t>nondeployed</w:t>
      </w:r>
      <w:proofErr w:type="spellEnd"/>
      <w:r w:rsidRPr="00470AA7">
        <w:rPr>
          <w:rFonts w:ascii="Arial" w:hAnsi="Arial" w:cs="Arial"/>
          <w:i/>
          <w:color w:val="0000FF"/>
          <w:sz w:val="22"/>
          <w:szCs w:val="22"/>
        </w:rPr>
        <w:t xml:space="preserve"> participants.  Self-reported combat exposures and mental health symptoms were independently associated with increased reporting of trouble sleeping.</w:t>
      </w:r>
    </w:p>
    <w:p w:rsidR="007D5B09" w:rsidRPr="00470AA7" w:rsidRDefault="007D5B09" w:rsidP="006D7C9B">
      <w:pPr>
        <w:ind w:left="-360" w:right="-180"/>
        <w:rPr>
          <w:rFonts w:ascii="Arial" w:hAnsi="Arial" w:cs="Arial"/>
          <w:i/>
          <w:color w:val="0000FF"/>
          <w:sz w:val="22"/>
          <w:szCs w:val="22"/>
        </w:rPr>
      </w:pPr>
    </w:p>
    <w:p w:rsidR="00504228" w:rsidRPr="00470AA7" w:rsidRDefault="00504228" w:rsidP="006D7C9B">
      <w:pPr>
        <w:ind w:left="-360" w:right="-180"/>
        <w:rPr>
          <w:rFonts w:ascii="Arial" w:hAnsi="Arial" w:cs="Arial"/>
          <w:i/>
          <w:color w:val="0000FF"/>
          <w:sz w:val="22"/>
          <w:szCs w:val="22"/>
        </w:rPr>
      </w:pPr>
      <w:r w:rsidRPr="00470AA7">
        <w:rPr>
          <w:rFonts w:ascii="Arial" w:hAnsi="Arial" w:cs="Arial"/>
          <w:sz w:val="22"/>
          <w:szCs w:val="22"/>
        </w:rPr>
        <w:t xml:space="preserve">Kelton ML, </w:t>
      </w:r>
      <w:proofErr w:type="spellStart"/>
      <w:r w:rsidRPr="00470AA7">
        <w:rPr>
          <w:rFonts w:ascii="Arial" w:hAnsi="Arial" w:cs="Arial"/>
          <w:sz w:val="22"/>
          <w:szCs w:val="22"/>
        </w:rPr>
        <w:t>LeardMann</w:t>
      </w:r>
      <w:proofErr w:type="spellEnd"/>
      <w:r w:rsidRPr="00470AA7">
        <w:rPr>
          <w:rFonts w:ascii="Arial" w:hAnsi="Arial" w:cs="Arial"/>
          <w:sz w:val="22"/>
          <w:szCs w:val="22"/>
        </w:rPr>
        <w:t xml:space="preserve"> CA, Smith B, Boyko EJ, Hooper TI, Gackstetter GD, Bliese PD, Hoge CW, Smith TC, for the Millennium Cohort Study Team. </w:t>
      </w:r>
      <w:r w:rsidRPr="00470AA7">
        <w:rPr>
          <w:rFonts w:ascii="Arial" w:hAnsi="Arial" w:cs="Arial"/>
          <w:b/>
          <w:sz w:val="22"/>
          <w:szCs w:val="22"/>
        </w:rPr>
        <w:t>Exploratory factor analysis of self-reported symptoms in a large, population-based military cohort.</w:t>
      </w:r>
      <w:r w:rsidRPr="00470AA7">
        <w:rPr>
          <w:rFonts w:ascii="Arial" w:hAnsi="Arial" w:cs="Arial"/>
          <w:sz w:val="22"/>
          <w:szCs w:val="22"/>
        </w:rPr>
        <w:t xml:space="preserve"> BMC Medical Research Methodology</w:t>
      </w:r>
      <w:r w:rsidR="00B41AD4" w:rsidRPr="00470AA7">
        <w:rPr>
          <w:rFonts w:ascii="Arial" w:hAnsi="Arial" w:cs="Arial"/>
          <w:sz w:val="22"/>
          <w:szCs w:val="22"/>
        </w:rPr>
        <w:t xml:space="preserve">. </w:t>
      </w:r>
      <w:r w:rsidRPr="00470AA7">
        <w:rPr>
          <w:rFonts w:ascii="Arial" w:hAnsi="Arial" w:cs="Arial"/>
          <w:sz w:val="22"/>
          <w:szCs w:val="22"/>
        </w:rPr>
        <w:t>2010 Oct;</w:t>
      </w:r>
      <w:r w:rsidR="00A61ACF" w:rsidRPr="00470AA7">
        <w:rPr>
          <w:rFonts w:ascii="Arial" w:hAnsi="Arial" w:cs="Arial"/>
          <w:sz w:val="22"/>
          <w:szCs w:val="22"/>
        </w:rPr>
        <w:t>10(1):94.</w:t>
      </w:r>
    </w:p>
    <w:p w:rsidR="00504228" w:rsidRPr="00470AA7" w:rsidRDefault="00504228" w:rsidP="006D7C9B">
      <w:pPr>
        <w:ind w:left="-360" w:right="-180"/>
        <w:rPr>
          <w:rFonts w:ascii="Arial" w:hAnsi="Arial" w:cs="Arial"/>
          <w:i/>
          <w:color w:val="0000FF"/>
          <w:sz w:val="22"/>
          <w:szCs w:val="22"/>
        </w:rPr>
      </w:pPr>
    </w:p>
    <w:p w:rsidR="00A0112D" w:rsidRDefault="00504228" w:rsidP="006D7C9B">
      <w:pPr>
        <w:ind w:left="-360" w:right="-180"/>
        <w:rPr>
          <w:rFonts w:ascii="Arial" w:hAnsi="Arial" w:cs="Arial"/>
          <w:i/>
          <w:color w:val="0000FF"/>
          <w:sz w:val="22"/>
          <w:szCs w:val="22"/>
        </w:rPr>
      </w:pPr>
      <w:r w:rsidRPr="00470AA7">
        <w:rPr>
          <w:rFonts w:ascii="Arial" w:hAnsi="Arial" w:cs="Arial"/>
          <w:i/>
          <w:color w:val="0000FF"/>
          <w:sz w:val="22"/>
          <w:szCs w:val="22"/>
        </w:rPr>
        <w:t>Using exploratory factor analysis, this study examined mental and physical health symptom covariance structure.  A 14-factor model accounted for 60% of the variance indicating a reasonable amount of construct overlap and that the number and type of questions appropriately assess a spectrum of heterogeneous symptoms.</w:t>
      </w:r>
    </w:p>
    <w:p w:rsidR="006A2478" w:rsidRDefault="006A2478" w:rsidP="006D7C9B">
      <w:pPr>
        <w:ind w:left="-360" w:right="-180"/>
        <w:rPr>
          <w:rFonts w:ascii="Arial" w:hAnsi="Arial" w:cs="Arial"/>
          <w:i/>
          <w:color w:val="0000FF"/>
          <w:sz w:val="22"/>
          <w:szCs w:val="22"/>
        </w:rPr>
      </w:pPr>
    </w:p>
    <w:p w:rsidR="00FD0799" w:rsidRPr="00624BE9" w:rsidRDefault="00FD0799" w:rsidP="000E3A76">
      <w:pPr>
        <w:ind w:left="-360" w:right="-180"/>
        <w:rPr>
          <w:rFonts w:ascii="Arial" w:hAnsi="Arial" w:cs="Arial"/>
          <w:sz w:val="22"/>
          <w:szCs w:val="22"/>
        </w:rPr>
      </w:pPr>
      <w:r w:rsidRPr="00470AA7">
        <w:rPr>
          <w:rFonts w:ascii="Arial" w:hAnsi="Arial" w:cs="Arial"/>
          <w:sz w:val="22"/>
          <w:szCs w:val="22"/>
        </w:rPr>
        <w:t>Littman AJ, Boyko EJ, Jacobson IG, Horton J</w:t>
      </w:r>
      <w:r w:rsidR="00162F1E" w:rsidRPr="00470AA7">
        <w:rPr>
          <w:rFonts w:ascii="Arial" w:hAnsi="Arial" w:cs="Arial"/>
          <w:sz w:val="22"/>
          <w:szCs w:val="22"/>
        </w:rPr>
        <w:t>L</w:t>
      </w:r>
      <w:r w:rsidRPr="00470AA7">
        <w:rPr>
          <w:rFonts w:ascii="Arial" w:hAnsi="Arial" w:cs="Arial"/>
          <w:sz w:val="22"/>
          <w:szCs w:val="22"/>
        </w:rPr>
        <w:t>, Gackstetter GD, Smith B, Hooper TI, Amoroso PJ, Smith TC, for the Millennium Cohort Study Team</w:t>
      </w:r>
      <w:r w:rsidRPr="000E3A76">
        <w:rPr>
          <w:rFonts w:ascii="Arial" w:hAnsi="Arial" w:cs="Arial"/>
          <w:b/>
          <w:sz w:val="22"/>
          <w:szCs w:val="22"/>
        </w:rPr>
        <w:t>. Assessing nonresponse bias at follow-up in a large prospective cohort of relatively young and mobile military service members</w:t>
      </w:r>
      <w:r w:rsidRPr="00624BE9">
        <w:rPr>
          <w:rFonts w:ascii="Arial" w:hAnsi="Arial" w:cs="Arial"/>
          <w:sz w:val="22"/>
          <w:szCs w:val="22"/>
        </w:rPr>
        <w:t>.</w:t>
      </w:r>
      <w:r w:rsidRPr="00470AA7">
        <w:rPr>
          <w:rFonts w:ascii="Arial" w:hAnsi="Arial" w:cs="Arial"/>
          <w:sz w:val="22"/>
          <w:szCs w:val="22"/>
        </w:rPr>
        <w:t xml:space="preserve"> BMC Medical Research Methodology</w:t>
      </w:r>
      <w:r w:rsidR="00B41AD4" w:rsidRPr="00470AA7">
        <w:rPr>
          <w:rFonts w:ascii="Arial" w:hAnsi="Arial" w:cs="Arial"/>
          <w:sz w:val="22"/>
          <w:szCs w:val="22"/>
        </w:rPr>
        <w:t xml:space="preserve">. </w:t>
      </w:r>
      <w:r w:rsidRPr="00470AA7">
        <w:rPr>
          <w:rFonts w:ascii="Arial" w:hAnsi="Arial" w:cs="Arial"/>
          <w:sz w:val="22"/>
          <w:szCs w:val="22"/>
        </w:rPr>
        <w:t>2010 Oct;10(1):99.</w:t>
      </w:r>
    </w:p>
    <w:p w:rsidR="00FD0799" w:rsidRPr="00470AA7" w:rsidRDefault="00FD0799" w:rsidP="006D7C9B">
      <w:pPr>
        <w:ind w:left="-360" w:right="-180"/>
        <w:rPr>
          <w:rFonts w:ascii="Arial" w:hAnsi="Arial" w:cs="Arial"/>
          <w:sz w:val="22"/>
          <w:szCs w:val="22"/>
        </w:rPr>
      </w:pPr>
    </w:p>
    <w:p w:rsidR="00FD0799" w:rsidRPr="00470AA7" w:rsidRDefault="00FD0799" w:rsidP="006D7C9B">
      <w:pPr>
        <w:ind w:left="-360" w:right="-180"/>
        <w:rPr>
          <w:rFonts w:ascii="Arial" w:hAnsi="Arial" w:cs="Arial"/>
          <w:i/>
          <w:color w:val="0000FF"/>
          <w:sz w:val="22"/>
          <w:szCs w:val="22"/>
        </w:rPr>
      </w:pPr>
      <w:r w:rsidRPr="00470AA7">
        <w:rPr>
          <w:rFonts w:ascii="Arial" w:hAnsi="Arial" w:cs="Arial"/>
          <w:i/>
          <w:color w:val="0000FF"/>
          <w:sz w:val="22"/>
          <w:szCs w:val="22"/>
        </w:rPr>
        <w:t>In this study population, nonresponse to the follow-up questionnaire did not result in appreciable bias as reflected by comparing measures of association for selected outcomes using complete case and inverse</w:t>
      </w:r>
    </w:p>
    <w:p w:rsidR="00504228" w:rsidRDefault="00FD0799" w:rsidP="006D7C9B">
      <w:pPr>
        <w:ind w:left="-360" w:right="-180"/>
        <w:rPr>
          <w:rFonts w:ascii="Arial" w:hAnsi="Arial" w:cs="Arial"/>
          <w:i/>
          <w:color w:val="0000FF"/>
          <w:sz w:val="22"/>
          <w:szCs w:val="22"/>
        </w:rPr>
      </w:pPr>
      <w:r w:rsidRPr="00470AA7">
        <w:rPr>
          <w:rFonts w:ascii="Arial" w:hAnsi="Arial" w:cs="Arial"/>
          <w:i/>
          <w:color w:val="0000FF"/>
          <w:sz w:val="22"/>
          <w:szCs w:val="22"/>
        </w:rPr>
        <w:t>probability weighted methods.</w:t>
      </w:r>
    </w:p>
    <w:p w:rsidR="006D7C9B" w:rsidRPr="006D7C9B" w:rsidRDefault="006D7C9B" w:rsidP="006D7C9B">
      <w:pPr>
        <w:ind w:left="-360" w:right="-180"/>
        <w:rPr>
          <w:rFonts w:ascii="Arial" w:hAnsi="Arial" w:cs="Arial"/>
          <w:i/>
          <w:color w:val="0000FF"/>
          <w:sz w:val="22"/>
          <w:szCs w:val="22"/>
        </w:rPr>
      </w:pPr>
    </w:p>
    <w:p w:rsidR="00C064A2" w:rsidRPr="00470AA7" w:rsidRDefault="00C064A2" w:rsidP="006D7C9B">
      <w:pPr>
        <w:ind w:left="-360" w:right="-180"/>
        <w:rPr>
          <w:rFonts w:ascii="Arial" w:hAnsi="Arial" w:cs="Arial"/>
          <w:sz w:val="22"/>
          <w:szCs w:val="22"/>
        </w:rPr>
      </w:pPr>
      <w:r w:rsidRPr="00470AA7">
        <w:rPr>
          <w:rFonts w:ascii="Arial" w:hAnsi="Arial" w:cs="Arial"/>
          <w:sz w:val="22"/>
          <w:szCs w:val="22"/>
        </w:rPr>
        <w:t xml:space="preserve">Boyko EJ, Jacobson IJ, Smith B, Ryan MAK, Hooper TI, Amoroso PJ, Gackstetter GD, Barrett-Connor E, Smith TC, for the Millennium Cohort Study Team. </w:t>
      </w:r>
      <w:r w:rsidRPr="00470AA7">
        <w:rPr>
          <w:rFonts w:ascii="Arial" w:hAnsi="Arial" w:cs="Arial"/>
          <w:b/>
          <w:sz w:val="22"/>
          <w:szCs w:val="22"/>
        </w:rPr>
        <w:t>Risk of diabetes in US military service members in relation to combat deployment and mental health.</w:t>
      </w:r>
      <w:r w:rsidRPr="00470AA7">
        <w:rPr>
          <w:rFonts w:ascii="Arial" w:hAnsi="Arial" w:cs="Arial"/>
          <w:sz w:val="22"/>
          <w:szCs w:val="22"/>
        </w:rPr>
        <w:t xml:space="preserve"> Diabetes Care</w:t>
      </w:r>
      <w:r w:rsidR="00B41AD4" w:rsidRPr="00470AA7">
        <w:rPr>
          <w:rFonts w:ascii="Arial" w:hAnsi="Arial" w:cs="Arial"/>
          <w:sz w:val="22"/>
          <w:szCs w:val="22"/>
        </w:rPr>
        <w:t xml:space="preserve">. </w:t>
      </w:r>
      <w:r w:rsidRPr="00470AA7">
        <w:rPr>
          <w:rFonts w:ascii="Arial" w:hAnsi="Arial" w:cs="Arial"/>
          <w:sz w:val="22"/>
          <w:szCs w:val="22"/>
        </w:rPr>
        <w:t>2010</w:t>
      </w:r>
      <w:r w:rsidR="00621CD3" w:rsidRPr="00470AA7">
        <w:rPr>
          <w:rFonts w:ascii="Arial" w:hAnsi="Arial" w:cs="Arial"/>
          <w:sz w:val="22"/>
          <w:szCs w:val="22"/>
        </w:rPr>
        <w:t xml:space="preserve"> </w:t>
      </w:r>
      <w:r w:rsidR="00824B5D" w:rsidRPr="00470AA7">
        <w:rPr>
          <w:rFonts w:ascii="Arial" w:hAnsi="Arial" w:cs="Arial"/>
          <w:sz w:val="22"/>
          <w:szCs w:val="22"/>
        </w:rPr>
        <w:t>Aug;33(8):1771-7</w:t>
      </w:r>
      <w:r w:rsidRPr="00470AA7">
        <w:rPr>
          <w:rFonts w:ascii="Arial" w:hAnsi="Arial" w:cs="Arial"/>
          <w:sz w:val="22"/>
          <w:szCs w:val="22"/>
        </w:rPr>
        <w:t>.</w:t>
      </w:r>
    </w:p>
    <w:p w:rsidR="00C064A2" w:rsidRPr="00470AA7" w:rsidRDefault="00C064A2" w:rsidP="006D7C9B">
      <w:pPr>
        <w:ind w:left="-360" w:right="-180"/>
        <w:rPr>
          <w:rFonts w:ascii="Arial" w:hAnsi="Arial" w:cs="Arial"/>
          <w:sz w:val="22"/>
          <w:szCs w:val="22"/>
        </w:rPr>
      </w:pPr>
    </w:p>
    <w:p w:rsidR="00C064A2" w:rsidRPr="00470AA7" w:rsidRDefault="00C064A2" w:rsidP="006D7C9B">
      <w:pPr>
        <w:ind w:left="-360" w:right="-180"/>
        <w:rPr>
          <w:rFonts w:ascii="Arial" w:hAnsi="Arial" w:cs="Arial"/>
          <w:i/>
          <w:color w:val="0000FF"/>
          <w:sz w:val="22"/>
          <w:szCs w:val="22"/>
        </w:rPr>
      </w:pPr>
      <w:r w:rsidRPr="00470AA7">
        <w:rPr>
          <w:rFonts w:ascii="Arial" w:hAnsi="Arial" w:cs="Arial"/>
          <w:i/>
          <w:color w:val="0000FF"/>
          <w:sz w:val="22"/>
          <w:szCs w:val="22"/>
        </w:rPr>
        <w:t>Higher risk of new onset self-reported diabetes mellitus among cohort members was observed over three years of follow-up in persons with PTSD symptoms at baseline. This association was independent of age, gender, overall body adiposity, and the presence of other mental health conditions. There was no independent association of new onset diabetes with deployment in support of OEF/OIF.</w:t>
      </w:r>
    </w:p>
    <w:p w:rsidR="00C064A2" w:rsidRPr="00470AA7" w:rsidRDefault="00C064A2" w:rsidP="006D7C9B">
      <w:pPr>
        <w:ind w:left="-360" w:right="-180"/>
        <w:rPr>
          <w:rFonts w:ascii="Arial" w:hAnsi="Arial" w:cs="Arial"/>
          <w:sz w:val="22"/>
          <w:szCs w:val="22"/>
        </w:rPr>
      </w:pPr>
    </w:p>
    <w:p w:rsidR="00484E41" w:rsidRPr="00470AA7" w:rsidRDefault="00484E41" w:rsidP="006D7C9B">
      <w:pPr>
        <w:ind w:left="-360" w:right="-180"/>
        <w:rPr>
          <w:rFonts w:ascii="Arial" w:hAnsi="Arial" w:cs="Arial"/>
          <w:sz w:val="22"/>
          <w:szCs w:val="22"/>
        </w:rPr>
      </w:pPr>
      <w:r w:rsidRPr="00470AA7">
        <w:rPr>
          <w:rFonts w:ascii="Arial" w:hAnsi="Arial" w:cs="Arial"/>
          <w:sz w:val="22"/>
          <w:szCs w:val="22"/>
        </w:rPr>
        <w:lastRenderedPageBreak/>
        <w:t>Hooper TI, Gackstetter GD, LeardMann C</w:t>
      </w:r>
      <w:r w:rsidR="00162F1E" w:rsidRPr="00470AA7">
        <w:rPr>
          <w:rFonts w:ascii="Arial" w:hAnsi="Arial" w:cs="Arial"/>
          <w:sz w:val="22"/>
          <w:szCs w:val="22"/>
        </w:rPr>
        <w:t>A</w:t>
      </w:r>
      <w:r w:rsidRPr="00470AA7">
        <w:rPr>
          <w:rFonts w:ascii="Arial" w:hAnsi="Arial" w:cs="Arial"/>
          <w:sz w:val="22"/>
          <w:szCs w:val="22"/>
        </w:rPr>
        <w:t xml:space="preserve">, </w:t>
      </w:r>
      <w:proofErr w:type="spellStart"/>
      <w:r w:rsidRPr="00470AA7">
        <w:rPr>
          <w:rFonts w:ascii="Arial" w:hAnsi="Arial" w:cs="Arial"/>
          <w:sz w:val="22"/>
          <w:szCs w:val="22"/>
        </w:rPr>
        <w:t>Boyko</w:t>
      </w:r>
      <w:proofErr w:type="spellEnd"/>
      <w:r w:rsidRPr="00470AA7">
        <w:rPr>
          <w:rFonts w:ascii="Arial" w:hAnsi="Arial" w:cs="Arial"/>
          <w:sz w:val="22"/>
          <w:szCs w:val="22"/>
        </w:rPr>
        <w:t xml:space="preserve"> EJ, </w:t>
      </w:r>
      <w:proofErr w:type="spellStart"/>
      <w:r w:rsidRPr="00470AA7">
        <w:rPr>
          <w:rFonts w:ascii="Arial" w:hAnsi="Arial" w:cs="Arial"/>
          <w:sz w:val="22"/>
          <w:szCs w:val="22"/>
        </w:rPr>
        <w:t>Pearse</w:t>
      </w:r>
      <w:proofErr w:type="spellEnd"/>
      <w:r w:rsidRPr="00470AA7">
        <w:rPr>
          <w:rFonts w:ascii="Arial" w:hAnsi="Arial" w:cs="Arial"/>
          <w:sz w:val="22"/>
          <w:szCs w:val="22"/>
        </w:rPr>
        <w:t xml:space="preserve"> LA, Smith B, Amoroso PA, Smith TC, for the Millennium Cohort Study Team. </w:t>
      </w:r>
      <w:r w:rsidRPr="00470AA7">
        <w:rPr>
          <w:rFonts w:ascii="Arial" w:hAnsi="Arial" w:cs="Arial"/>
          <w:b/>
          <w:sz w:val="22"/>
          <w:szCs w:val="22"/>
        </w:rPr>
        <w:t xml:space="preserve">Early mortality experience in a large military cohort and a comparison of data sources used for mortality ascertainment. </w:t>
      </w:r>
      <w:r w:rsidRPr="00470AA7">
        <w:rPr>
          <w:rFonts w:ascii="Arial" w:hAnsi="Arial" w:cs="Arial"/>
          <w:sz w:val="22"/>
          <w:szCs w:val="22"/>
        </w:rPr>
        <w:t>Population Health Metrics</w:t>
      </w:r>
      <w:r w:rsidR="007D09E5" w:rsidRPr="00470AA7">
        <w:rPr>
          <w:rFonts w:ascii="Arial" w:hAnsi="Arial" w:cs="Arial"/>
          <w:sz w:val="22"/>
          <w:szCs w:val="22"/>
        </w:rPr>
        <w:t xml:space="preserve">. </w:t>
      </w:r>
      <w:r w:rsidR="004D51B4" w:rsidRPr="00470AA7">
        <w:rPr>
          <w:rFonts w:ascii="Arial" w:hAnsi="Arial" w:cs="Arial"/>
          <w:sz w:val="22"/>
          <w:szCs w:val="22"/>
        </w:rPr>
        <w:t>2010 May;8(1):15.</w:t>
      </w:r>
    </w:p>
    <w:p w:rsidR="00484E41" w:rsidRPr="00470AA7" w:rsidRDefault="00484E41" w:rsidP="006D7C9B">
      <w:pPr>
        <w:ind w:left="-360" w:right="-180"/>
        <w:rPr>
          <w:rFonts w:ascii="Arial" w:hAnsi="Arial" w:cs="Arial"/>
          <w:i/>
          <w:color w:val="0000FF"/>
          <w:sz w:val="22"/>
          <w:szCs w:val="22"/>
        </w:rPr>
      </w:pPr>
    </w:p>
    <w:p w:rsidR="00D307C4" w:rsidRPr="00470AA7" w:rsidRDefault="001316C9" w:rsidP="006D7C9B">
      <w:pPr>
        <w:ind w:left="-360" w:right="-180"/>
        <w:rPr>
          <w:rFonts w:ascii="Arial" w:hAnsi="Arial" w:cs="Arial"/>
          <w:i/>
          <w:color w:val="0000FF"/>
          <w:sz w:val="22"/>
          <w:szCs w:val="22"/>
        </w:rPr>
      </w:pPr>
      <w:r w:rsidRPr="00470AA7">
        <w:rPr>
          <w:rFonts w:ascii="Arial" w:hAnsi="Arial" w:cs="Arial"/>
          <w:i/>
          <w:color w:val="0000FF"/>
          <w:sz w:val="22"/>
          <w:szCs w:val="22"/>
        </w:rPr>
        <w:t>This study assessed the ability of four different mortality data sources to document the early mortality experience of the Cohort. The strengths and limitations of each data source are described and support continued use of multiple sources for future mortality assessment.</w:t>
      </w:r>
    </w:p>
    <w:p w:rsidR="00C3328F" w:rsidRPr="00470AA7" w:rsidRDefault="00C3328F" w:rsidP="006D7C9B">
      <w:pPr>
        <w:ind w:left="-360" w:right="-180"/>
        <w:rPr>
          <w:rFonts w:ascii="Arial" w:hAnsi="Arial" w:cs="Arial"/>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t xml:space="preserve">Wells TS, LeardMann CA, Fortuna SO, Smith </w:t>
      </w:r>
      <w:r w:rsidR="00162F1E" w:rsidRPr="00470AA7">
        <w:rPr>
          <w:rFonts w:ascii="Arial" w:hAnsi="Arial" w:cs="Arial"/>
          <w:sz w:val="22"/>
          <w:szCs w:val="22"/>
        </w:rPr>
        <w:t xml:space="preserve">B, Smith TC, Ryan MAK, Boyko EJ, </w:t>
      </w:r>
      <w:r w:rsidRPr="00470AA7">
        <w:rPr>
          <w:rFonts w:ascii="Arial" w:hAnsi="Arial" w:cs="Arial"/>
          <w:sz w:val="22"/>
          <w:szCs w:val="22"/>
        </w:rPr>
        <w:t xml:space="preserve">Blazer D, for the Millennium Cohort Study Team. </w:t>
      </w:r>
      <w:r w:rsidR="00156BFD" w:rsidRPr="00470AA7">
        <w:rPr>
          <w:rFonts w:ascii="Arial" w:hAnsi="Arial" w:cs="Arial"/>
          <w:b/>
          <w:sz w:val="22"/>
          <w:szCs w:val="22"/>
        </w:rPr>
        <w:t>A prospective study of depression following combat deployment in support of the w</w:t>
      </w:r>
      <w:r w:rsidRPr="00470AA7">
        <w:rPr>
          <w:rFonts w:ascii="Arial" w:hAnsi="Arial" w:cs="Arial"/>
          <w:b/>
          <w:sz w:val="22"/>
          <w:szCs w:val="22"/>
        </w:rPr>
        <w:t>ars in Iraq and Afghanistan.</w:t>
      </w:r>
      <w:r w:rsidRPr="00470AA7">
        <w:rPr>
          <w:rFonts w:ascii="Arial" w:hAnsi="Arial" w:cs="Arial"/>
          <w:sz w:val="22"/>
          <w:szCs w:val="22"/>
        </w:rPr>
        <w:t xml:space="preserve"> Am</w:t>
      </w:r>
      <w:r w:rsidR="007D09E5" w:rsidRPr="00470AA7">
        <w:rPr>
          <w:rFonts w:ascii="Arial" w:hAnsi="Arial" w:cs="Arial"/>
          <w:sz w:val="22"/>
          <w:szCs w:val="22"/>
        </w:rPr>
        <w:t>erican Journal of Public Health.</w:t>
      </w:r>
      <w:r w:rsidRPr="00470AA7">
        <w:rPr>
          <w:rFonts w:ascii="Arial" w:hAnsi="Arial" w:cs="Arial"/>
          <w:sz w:val="22"/>
          <w:szCs w:val="22"/>
        </w:rPr>
        <w:t xml:space="preserve"> </w:t>
      </w:r>
      <w:r w:rsidR="00145987" w:rsidRPr="00470AA7">
        <w:rPr>
          <w:rFonts w:ascii="Arial" w:hAnsi="Arial" w:cs="Arial"/>
          <w:sz w:val="22"/>
          <w:szCs w:val="22"/>
        </w:rPr>
        <w:t>2010 Jan;100(1):90-9.</w:t>
      </w:r>
    </w:p>
    <w:p w:rsidR="00D8783C" w:rsidRPr="00470AA7" w:rsidRDefault="00D8783C" w:rsidP="006D7C9B">
      <w:pPr>
        <w:ind w:left="-360" w:right="-180"/>
        <w:rPr>
          <w:rFonts w:ascii="Arial" w:hAnsi="Arial" w:cs="Arial"/>
          <w:sz w:val="22"/>
          <w:szCs w:val="22"/>
        </w:rPr>
      </w:pPr>
    </w:p>
    <w:p w:rsidR="000E3A76" w:rsidRDefault="00D8783C" w:rsidP="006D7C9B">
      <w:pPr>
        <w:ind w:left="-360" w:right="-180"/>
        <w:rPr>
          <w:rFonts w:ascii="Arial" w:hAnsi="Arial" w:cs="Arial"/>
          <w:sz w:val="22"/>
          <w:szCs w:val="22"/>
        </w:rPr>
      </w:pPr>
      <w:r w:rsidRPr="00470AA7">
        <w:rPr>
          <w:rFonts w:ascii="Arial" w:hAnsi="Arial" w:cs="Arial"/>
          <w:i/>
          <w:color w:val="0000FF"/>
          <w:sz w:val="22"/>
          <w:szCs w:val="22"/>
        </w:rPr>
        <w:t>Findings emphasize that exposure to combat, rather than deployment itself, among men and women significantly increase the risk of new-onset depression.</w:t>
      </w:r>
    </w:p>
    <w:p w:rsidR="009B06DD" w:rsidRDefault="009B06DD" w:rsidP="006D7C9B">
      <w:pPr>
        <w:ind w:left="-360" w:right="-180"/>
        <w:rPr>
          <w:rFonts w:ascii="Arial" w:hAnsi="Arial" w:cs="Arial"/>
          <w:sz w:val="22"/>
          <w:szCs w:val="22"/>
        </w:rPr>
      </w:pPr>
    </w:p>
    <w:p w:rsidR="005D6A7F" w:rsidRPr="00470AA7" w:rsidRDefault="005D6A7F" w:rsidP="006D7C9B">
      <w:pPr>
        <w:ind w:left="-360" w:right="-180"/>
        <w:rPr>
          <w:rFonts w:ascii="Arial" w:hAnsi="Arial" w:cs="Arial"/>
          <w:sz w:val="22"/>
          <w:szCs w:val="22"/>
        </w:rPr>
      </w:pPr>
      <w:r w:rsidRPr="00470AA7">
        <w:rPr>
          <w:rFonts w:ascii="Arial" w:hAnsi="Arial" w:cs="Arial"/>
          <w:sz w:val="22"/>
          <w:szCs w:val="22"/>
        </w:rPr>
        <w:t xml:space="preserve">Smith B, Wong CA, Smith TC, Boyko EJ, Gackstetter GD, Ryan MAK, for the Millennium Cohort Study Team. </w:t>
      </w:r>
      <w:r w:rsidRPr="00470AA7">
        <w:rPr>
          <w:rFonts w:ascii="Arial" w:hAnsi="Arial" w:cs="Arial"/>
          <w:b/>
          <w:sz w:val="22"/>
          <w:szCs w:val="22"/>
        </w:rPr>
        <w:t>Newly reported respiratory symptoms and conditions among military personnel deployed to Iraq and Afghanistan: a prospective population-based study.</w:t>
      </w:r>
      <w:r w:rsidRPr="00470AA7">
        <w:rPr>
          <w:rFonts w:ascii="Arial" w:hAnsi="Arial" w:cs="Arial"/>
          <w:sz w:val="22"/>
          <w:szCs w:val="22"/>
        </w:rPr>
        <w:t xml:space="preserve"> American Journal of Epidemiology</w:t>
      </w:r>
      <w:r w:rsidR="007D09E5" w:rsidRPr="00470AA7">
        <w:rPr>
          <w:rFonts w:ascii="Arial" w:hAnsi="Arial" w:cs="Arial"/>
          <w:sz w:val="22"/>
          <w:szCs w:val="22"/>
        </w:rPr>
        <w:t>.</w:t>
      </w:r>
      <w:r w:rsidRPr="00470AA7">
        <w:rPr>
          <w:rFonts w:ascii="Arial" w:hAnsi="Arial" w:cs="Arial"/>
          <w:sz w:val="22"/>
          <w:szCs w:val="22"/>
        </w:rPr>
        <w:t xml:space="preserve"> 2009 </w:t>
      </w:r>
      <w:r w:rsidR="002C2B43" w:rsidRPr="00470AA7">
        <w:rPr>
          <w:rFonts w:ascii="Arial" w:hAnsi="Arial" w:cs="Arial"/>
          <w:sz w:val="22"/>
          <w:szCs w:val="22"/>
        </w:rPr>
        <w:t>Dec</w:t>
      </w:r>
      <w:r w:rsidR="00145987" w:rsidRPr="00470AA7">
        <w:rPr>
          <w:rFonts w:ascii="Arial" w:hAnsi="Arial" w:cs="Arial"/>
          <w:sz w:val="22"/>
          <w:szCs w:val="22"/>
        </w:rPr>
        <w:t>;170(11):</w:t>
      </w:r>
      <w:r w:rsidRPr="00470AA7">
        <w:rPr>
          <w:rFonts w:ascii="Arial" w:hAnsi="Arial" w:cs="Arial"/>
          <w:sz w:val="22"/>
          <w:szCs w:val="22"/>
        </w:rPr>
        <w:t>1433-42.</w:t>
      </w:r>
    </w:p>
    <w:p w:rsidR="00C90D4D" w:rsidRPr="00470AA7" w:rsidRDefault="00C90D4D" w:rsidP="006D7C9B">
      <w:pPr>
        <w:ind w:left="-360" w:right="-180"/>
        <w:rPr>
          <w:rFonts w:ascii="Arial" w:hAnsi="Arial" w:cs="Arial"/>
          <w:sz w:val="22"/>
          <w:szCs w:val="22"/>
        </w:rPr>
      </w:pPr>
    </w:p>
    <w:p w:rsidR="00315452" w:rsidRPr="00470AA7" w:rsidRDefault="005D6A7F" w:rsidP="006D7C9B">
      <w:pPr>
        <w:ind w:left="-360" w:right="-180"/>
        <w:rPr>
          <w:rFonts w:ascii="Arial" w:hAnsi="Arial" w:cs="Arial"/>
          <w:i/>
          <w:color w:val="0000FF"/>
          <w:sz w:val="22"/>
          <w:szCs w:val="22"/>
        </w:rPr>
      </w:pPr>
      <w:r w:rsidRPr="00470AA7">
        <w:rPr>
          <w:rFonts w:ascii="Arial" w:hAnsi="Arial" w:cs="Arial"/>
          <w:i/>
          <w:color w:val="0000FF"/>
          <w:sz w:val="22"/>
          <w:szCs w:val="22"/>
        </w:rPr>
        <w:t xml:space="preserve">Elevated risk for self-reported respiratory symptoms was found among Army and Marine Corps personnel deployed in support of operations in </w:t>
      </w:r>
      <w:smartTag w:uri="urn:schemas-microsoft-com:office:smarttags" w:element="country-region">
        <w:r w:rsidRPr="00470AA7">
          <w:rPr>
            <w:rFonts w:ascii="Arial" w:hAnsi="Arial" w:cs="Arial"/>
            <w:i/>
            <w:color w:val="0000FF"/>
            <w:sz w:val="22"/>
            <w:szCs w:val="22"/>
          </w:rPr>
          <w:t>Iraq</w:t>
        </w:r>
      </w:smartTag>
      <w:r w:rsidRPr="00470AA7">
        <w:rPr>
          <w:rFonts w:ascii="Arial" w:hAnsi="Arial" w:cs="Arial"/>
          <w:i/>
          <w:color w:val="0000FF"/>
          <w:sz w:val="22"/>
          <w:szCs w:val="22"/>
        </w:rPr>
        <w:t xml:space="preserve"> and </w:t>
      </w:r>
      <w:smartTag w:uri="urn:schemas-microsoft-com:office:smarttags" w:element="place">
        <w:smartTag w:uri="urn:schemas-microsoft-com:office:smarttags" w:element="country-region">
          <w:r w:rsidRPr="00470AA7">
            <w:rPr>
              <w:rFonts w:ascii="Arial" w:hAnsi="Arial" w:cs="Arial"/>
              <w:i/>
              <w:color w:val="0000FF"/>
              <w:sz w:val="22"/>
              <w:szCs w:val="22"/>
            </w:rPr>
            <w:t>Afghanistan</w:t>
          </w:r>
        </w:smartTag>
      </w:smartTag>
      <w:r w:rsidRPr="00470AA7">
        <w:rPr>
          <w:rFonts w:ascii="Arial" w:hAnsi="Arial" w:cs="Arial"/>
          <w:i/>
          <w:color w:val="0000FF"/>
          <w:sz w:val="22"/>
          <w:szCs w:val="22"/>
        </w:rPr>
        <w:t>.  No increased risk for self-reported asthma, bronc</w:t>
      </w:r>
      <w:r w:rsidR="00576E59" w:rsidRPr="00470AA7">
        <w:rPr>
          <w:rFonts w:ascii="Arial" w:hAnsi="Arial" w:cs="Arial"/>
          <w:i/>
          <w:color w:val="0000FF"/>
          <w:sz w:val="22"/>
          <w:szCs w:val="22"/>
        </w:rPr>
        <w:t>hitis, or emphysema was found.</w:t>
      </w:r>
    </w:p>
    <w:p w:rsidR="007B4CE1" w:rsidRDefault="007B4CE1" w:rsidP="006D7C9B">
      <w:pPr>
        <w:ind w:left="-360" w:right="-180"/>
        <w:rPr>
          <w:rFonts w:ascii="Arial" w:hAnsi="Arial" w:cs="Arial"/>
          <w:sz w:val="22"/>
          <w:szCs w:val="22"/>
        </w:rPr>
      </w:pPr>
    </w:p>
    <w:p w:rsidR="008F730D" w:rsidRPr="00470AA7" w:rsidRDefault="008F730D" w:rsidP="006D7C9B">
      <w:pPr>
        <w:ind w:left="-360" w:right="-180"/>
        <w:rPr>
          <w:rFonts w:ascii="Arial" w:hAnsi="Arial" w:cs="Arial"/>
          <w:i/>
          <w:color w:val="0000FF"/>
          <w:sz w:val="22"/>
          <w:szCs w:val="22"/>
        </w:rPr>
      </w:pPr>
      <w:r w:rsidRPr="00470AA7">
        <w:rPr>
          <w:rFonts w:ascii="Arial" w:hAnsi="Arial" w:cs="Arial"/>
          <w:sz w:val="22"/>
          <w:szCs w:val="22"/>
        </w:rPr>
        <w:t xml:space="preserve">Granado NS, Smith TC, Swanson GM, Harris RB, </w:t>
      </w:r>
      <w:proofErr w:type="spellStart"/>
      <w:r w:rsidRPr="00470AA7">
        <w:rPr>
          <w:rFonts w:ascii="Arial" w:hAnsi="Arial" w:cs="Arial"/>
          <w:sz w:val="22"/>
          <w:szCs w:val="22"/>
        </w:rPr>
        <w:t>Shahar</w:t>
      </w:r>
      <w:proofErr w:type="spellEnd"/>
      <w:r w:rsidRPr="00470AA7">
        <w:rPr>
          <w:rFonts w:ascii="Arial" w:hAnsi="Arial" w:cs="Arial"/>
          <w:sz w:val="22"/>
          <w:szCs w:val="22"/>
        </w:rPr>
        <w:t xml:space="preserve"> E, Smith B, Boyko EJ, Wells TS, Ryan MAK, for the Millennium Cohort Study Team. </w:t>
      </w:r>
      <w:r w:rsidR="00F54476" w:rsidRPr="00470AA7">
        <w:rPr>
          <w:rFonts w:ascii="Arial" w:hAnsi="Arial" w:cs="Arial"/>
          <w:b/>
          <w:sz w:val="22"/>
          <w:szCs w:val="22"/>
        </w:rPr>
        <w:t xml:space="preserve">Newly </w:t>
      </w:r>
      <w:r w:rsidRPr="00470AA7">
        <w:rPr>
          <w:rFonts w:ascii="Arial" w:hAnsi="Arial" w:cs="Arial"/>
          <w:b/>
          <w:sz w:val="22"/>
          <w:szCs w:val="22"/>
        </w:rPr>
        <w:t>reported hypertension after military combat</w:t>
      </w:r>
    </w:p>
    <w:p w:rsidR="008F730D" w:rsidRPr="00470AA7" w:rsidRDefault="008F730D" w:rsidP="006D7C9B">
      <w:pPr>
        <w:ind w:left="-360" w:right="-180"/>
        <w:rPr>
          <w:rFonts w:ascii="Arial" w:hAnsi="Arial" w:cs="Arial"/>
          <w:sz w:val="22"/>
          <w:szCs w:val="22"/>
        </w:rPr>
      </w:pPr>
      <w:r w:rsidRPr="00470AA7">
        <w:rPr>
          <w:rFonts w:ascii="Arial" w:hAnsi="Arial" w:cs="Arial"/>
          <w:b/>
          <w:sz w:val="22"/>
          <w:szCs w:val="22"/>
        </w:rPr>
        <w:t>deployment in a large population-based study.</w:t>
      </w:r>
      <w:r w:rsidR="007D09E5" w:rsidRPr="00470AA7">
        <w:rPr>
          <w:rFonts w:ascii="Arial" w:hAnsi="Arial" w:cs="Arial"/>
          <w:sz w:val="22"/>
          <w:szCs w:val="22"/>
        </w:rPr>
        <w:t xml:space="preserve"> Hypertension.</w:t>
      </w:r>
      <w:r w:rsidRPr="00470AA7">
        <w:rPr>
          <w:rFonts w:ascii="Arial" w:hAnsi="Arial" w:cs="Arial"/>
          <w:sz w:val="22"/>
          <w:szCs w:val="22"/>
        </w:rPr>
        <w:t xml:space="preserve"> 2009 </w:t>
      </w:r>
      <w:r w:rsidR="002C2B43" w:rsidRPr="00470AA7">
        <w:rPr>
          <w:rFonts w:ascii="Arial" w:hAnsi="Arial" w:cs="Arial"/>
          <w:sz w:val="22"/>
          <w:szCs w:val="22"/>
        </w:rPr>
        <w:t>Nov</w:t>
      </w:r>
      <w:r w:rsidR="00145987" w:rsidRPr="00470AA7">
        <w:rPr>
          <w:rFonts w:ascii="Arial" w:hAnsi="Arial" w:cs="Arial"/>
          <w:sz w:val="22"/>
          <w:szCs w:val="22"/>
        </w:rPr>
        <w:t>;</w:t>
      </w:r>
      <w:r w:rsidR="00F65DBB" w:rsidRPr="00470AA7">
        <w:rPr>
          <w:rFonts w:ascii="Arial" w:hAnsi="Arial" w:cs="Arial"/>
          <w:sz w:val="22"/>
          <w:szCs w:val="22"/>
        </w:rPr>
        <w:t>54(5):966-</w:t>
      </w:r>
      <w:r w:rsidRPr="00470AA7">
        <w:rPr>
          <w:rFonts w:ascii="Arial" w:hAnsi="Arial" w:cs="Arial"/>
          <w:sz w:val="22"/>
          <w:szCs w:val="22"/>
        </w:rPr>
        <w:t>73.</w:t>
      </w:r>
    </w:p>
    <w:p w:rsidR="008F730D" w:rsidRPr="00470AA7" w:rsidRDefault="008F730D" w:rsidP="006D7C9B">
      <w:pPr>
        <w:ind w:left="-360" w:right="-180"/>
        <w:rPr>
          <w:rFonts w:ascii="Arial" w:hAnsi="Arial" w:cs="Arial"/>
          <w:sz w:val="22"/>
          <w:szCs w:val="22"/>
        </w:rPr>
      </w:pPr>
    </w:p>
    <w:p w:rsidR="008F730D" w:rsidRPr="00470AA7" w:rsidRDefault="008F730D" w:rsidP="006D7C9B">
      <w:pPr>
        <w:ind w:left="-360" w:right="-180"/>
        <w:rPr>
          <w:rFonts w:ascii="Arial" w:hAnsi="Arial" w:cs="Arial"/>
          <w:i/>
          <w:color w:val="0000FF"/>
          <w:sz w:val="22"/>
          <w:szCs w:val="22"/>
        </w:rPr>
      </w:pPr>
      <w:r w:rsidRPr="00470AA7">
        <w:rPr>
          <w:rFonts w:ascii="Arial" w:hAnsi="Arial" w:cs="Arial"/>
          <w:i/>
          <w:color w:val="0000FF"/>
          <w:sz w:val="22"/>
          <w:szCs w:val="22"/>
        </w:rPr>
        <w:t xml:space="preserve">Findings suggest that </w:t>
      </w:r>
      <w:proofErr w:type="spellStart"/>
      <w:r w:rsidRPr="00470AA7">
        <w:rPr>
          <w:rFonts w:ascii="Arial" w:hAnsi="Arial" w:cs="Arial"/>
          <w:i/>
          <w:color w:val="0000FF"/>
          <w:sz w:val="22"/>
          <w:szCs w:val="22"/>
        </w:rPr>
        <w:t>deployers</w:t>
      </w:r>
      <w:proofErr w:type="spellEnd"/>
      <w:r w:rsidRPr="00470AA7">
        <w:rPr>
          <w:rFonts w:ascii="Arial" w:hAnsi="Arial" w:cs="Arial"/>
          <w:i/>
          <w:color w:val="0000FF"/>
          <w:sz w:val="22"/>
          <w:szCs w:val="22"/>
        </w:rPr>
        <w:t xml:space="preserve"> who report multiple combat exposures, especially those who personally witnessed a death due to war or disaster, are at higher risk for newly-reported hypertension, possibly indicating a stress-induced hypertensive effect.</w:t>
      </w:r>
    </w:p>
    <w:p w:rsidR="0064354A" w:rsidRDefault="0064354A" w:rsidP="006D7C9B">
      <w:pPr>
        <w:ind w:left="-360" w:right="-180"/>
        <w:rPr>
          <w:rFonts w:ascii="Arial" w:hAnsi="Arial" w:cs="Arial"/>
          <w:sz w:val="22"/>
          <w:szCs w:val="22"/>
        </w:rPr>
      </w:pPr>
    </w:p>
    <w:p w:rsidR="009F57E9" w:rsidRPr="00470AA7" w:rsidRDefault="009F57E9" w:rsidP="006D7C9B">
      <w:pPr>
        <w:ind w:left="-360" w:right="-180"/>
        <w:rPr>
          <w:rFonts w:ascii="Arial" w:hAnsi="Arial" w:cs="Arial"/>
          <w:sz w:val="22"/>
          <w:szCs w:val="22"/>
        </w:rPr>
      </w:pPr>
      <w:r w:rsidRPr="00470AA7">
        <w:rPr>
          <w:rFonts w:ascii="Arial" w:hAnsi="Arial" w:cs="Arial"/>
          <w:sz w:val="22"/>
          <w:szCs w:val="22"/>
        </w:rPr>
        <w:t xml:space="preserve">Smith TS, for the Millennium Cohort Study Team. </w:t>
      </w:r>
      <w:r w:rsidRPr="00470AA7">
        <w:rPr>
          <w:rFonts w:ascii="Arial" w:hAnsi="Arial" w:cs="Arial"/>
          <w:b/>
          <w:sz w:val="22"/>
          <w:szCs w:val="22"/>
        </w:rPr>
        <w:t xml:space="preserve">The </w:t>
      </w:r>
      <w:smartTag w:uri="urn:schemas-microsoft-com:office:smarttags" w:element="place">
        <w:smartTag w:uri="urn:schemas-microsoft-com:office:smarttags" w:element="country-region">
          <w:r w:rsidRPr="00470AA7">
            <w:rPr>
              <w:rFonts w:ascii="Arial" w:hAnsi="Arial" w:cs="Arial"/>
              <w:b/>
              <w:sz w:val="22"/>
              <w:szCs w:val="22"/>
            </w:rPr>
            <w:t>US</w:t>
          </w:r>
        </w:smartTag>
      </w:smartTag>
      <w:r w:rsidRPr="00470AA7">
        <w:rPr>
          <w:rFonts w:ascii="Arial" w:hAnsi="Arial" w:cs="Arial"/>
          <w:b/>
          <w:sz w:val="22"/>
          <w:szCs w:val="22"/>
        </w:rPr>
        <w:t xml:space="preserve"> Department of Defense Millennium Cohort Study: career span and beyond longitudinal follow-up.</w:t>
      </w:r>
      <w:r w:rsidRPr="00470AA7">
        <w:rPr>
          <w:rFonts w:ascii="Arial" w:hAnsi="Arial" w:cs="Arial"/>
          <w:sz w:val="22"/>
          <w:szCs w:val="22"/>
        </w:rPr>
        <w:t xml:space="preserve"> Journal of Occupational and Environmental Medicine</w:t>
      </w:r>
      <w:r w:rsidR="007D09E5" w:rsidRPr="00470AA7">
        <w:rPr>
          <w:rFonts w:ascii="Arial" w:hAnsi="Arial" w:cs="Arial"/>
          <w:sz w:val="22"/>
          <w:szCs w:val="22"/>
        </w:rPr>
        <w:t xml:space="preserve">. 2009 </w:t>
      </w:r>
      <w:r w:rsidR="00145987" w:rsidRPr="00470AA7">
        <w:rPr>
          <w:rFonts w:ascii="Arial" w:hAnsi="Arial" w:cs="Arial"/>
          <w:sz w:val="22"/>
          <w:szCs w:val="22"/>
        </w:rPr>
        <w:t>Oct;</w:t>
      </w:r>
      <w:r w:rsidRPr="00470AA7">
        <w:rPr>
          <w:rFonts w:ascii="Arial" w:hAnsi="Arial" w:cs="Arial"/>
          <w:sz w:val="22"/>
          <w:szCs w:val="22"/>
        </w:rPr>
        <w:t>51(10):1193-1201.</w:t>
      </w:r>
    </w:p>
    <w:p w:rsidR="009F57E9" w:rsidRPr="00470AA7" w:rsidRDefault="009F57E9" w:rsidP="006D7C9B">
      <w:pPr>
        <w:ind w:left="-360" w:right="-180"/>
        <w:rPr>
          <w:rFonts w:ascii="Arial" w:hAnsi="Arial" w:cs="Arial"/>
          <w:sz w:val="22"/>
          <w:szCs w:val="22"/>
        </w:rPr>
      </w:pPr>
    </w:p>
    <w:p w:rsidR="009F57E9" w:rsidRPr="00470AA7" w:rsidRDefault="009F57E9" w:rsidP="006D7C9B">
      <w:pPr>
        <w:ind w:left="-360" w:right="-180"/>
        <w:rPr>
          <w:rFonts w:ascii="Arial" w:hAnsi="Arial" w:cs="Arial"/>
          <w:i/>
          <w:color w:val="0000FF"/>
          <w:sz w:val="22"/>
          <w:szCs w:val="22"/>
        </w:rPr>
      </w:pPr>
      <w:r w:rsidRPr="00470AA7">
        <w:rPr>
          <w:rFonts w:ascii="Arial" w:hAnsi="Arial" w:cs="Arial"/>
          <w:i/>
          <w:color w:val="0000FF"/>
          <w:sz w:val="22"/>
          <w:szCs w:val="22"/>
        </w:rPr>
        <w:t>Describes the Millennium Cohort Study, a large longitudinal occupational health study designed and initiated prior to the combat deployments in Iraq and Afghanistan specifically to assess any short or long-term health outcomes during and after military service and career.</w:t>
      </w:r>
    </w:p>
    <w:p w:rsidR="007C791D" w:rsidRDefault="007C791D" w:rsidP="006D7C9B">
      <w:pPr>
        <w:ind w:left="-360" w:right="-180"/>
        <w:rPr>
          <w:rFonts w:ascii="Arial" w:hAnsi="Arial" w:cs="Arial"/>
          <w:sz w:val="22"/>
          <w:szCs w:val="22"/>
        </w:rPr>
      </w:pPr>
    </w:p>
    <w:p w:rsidR="00D33F7D" w:rsidRPr="00470AA7" w:rsidRDefault="00D33F7D" w:rsidP="006D7C9B">
      <w:pPr>
        <w:ind w:left="-360" w:right="-180"/>
        <w:rPr>
          <w:rFonts w:ascii="Arial" w:hAnsi="Arial" w:cs="Arial"/>
          <w:sz w:val="22"/>
          <w:szCs w:val="22"/>
        </w:rPr>
      </w:pPr>
      <w:r w:rsidRPr="00470AA7">
        <w:rPr>
          <w:rFonts w:ascii="Arial" w:hAnsi="Arial" w:cs="Arial"/>
          <w:sz w:val="22"/>
          <w:szCs w:val="22"/>
        </w:rPr>
        <w:t xml:space="preserve">Jacobson IG, White MR, Smith TC, Smith B, Wells TS, Gackstetter GD, Boyko EJ, for the Millennium Cohort Study Team. </w:t>
      </w:r>
      <w:r w:rsidRPr="00470AA7">
        <w:rPr>
          <w:rFonts w:ascii="Arial" w:hAnsi="Arial" w:cs="Arial"/>
          <w:b/>
          <w:sz w:val="22"/>
          <w:szCs w:val="22"/>
        </w:rPr>
        <w:t>Self-reported health symptoms and conditions among complementary and alternative medicine users in a large military cohort.</w:t>
      </w:r>
      <w:r w:rsidR="007D09E5" w:rsidRPr="00470AA7">
        <w:rPr>
          <w:rFonts w:ascii="Arial" w:hAnsi="Arial" w:cs="Arial"/>
          <w:sz w:val="22"/>
          <w:szCs w:val="22"/>
        </w:rPr>
        <w:t xml:space="preserve"> Annals of Epidemiology.</w:t>
      </w:r>
      <w:r w:rsidRPr="00470AA7">
        <w:rPr>
          <w:rFonts w:ascii="Arial" w:hAnsi="Arial" w:cs="Arial"/>
          <w:sz w:val="22"/>
          <w:szCs w:val="22"/>
        </w:rPr>
        <w:t xml:space="preserve"> 2009 Sep;19(9)613-22.</w:t>
      </w:r>
    </w:p>
    <w:p w:rsidR="00D33F7D" w:rsidRPr="00470AA7" w:rsidRDefault="00D33F7D" w:rsidP="006D7C9B">
      <w:pPr>
        <w:ind w:left="-360" w:right="-180"/>
        <w:rPr>
          <w:rFonts w:ascii="Arial" w:hAnsi="Arial" w:cs="Arial"/>
          <w:sz w:val="22"/>
          <w:szCs w:val="22"/>
        </w:rPr>
      </w:pPr>
    </w:p>
    <w:p w:rsidR="000D0EC5" w:rsidRPr="00470AA7" w:rsidRDefault="00D33F7D" w:rsidP="006D7C9B">
      <w:pPr>
        <w:ind w:left="-360" w:right="-180"/>
        <w:rPr>
          <w:rFonts w:ascii="Arial" w:hAnsi="Arial" w:cs="Arial"/>
          <w:i/>
          <w:color w:val="0000FF"/>
          <w:sz w:val="22"/>
          <w:szCs w:val="22"/>
        </w:rPr>
      </w:pPr>
      <w:r w:rsidRPr="00470AA7">
        <w:rPr>
          <w:rFonts w:ascii="Arial" w:hAnsi="Arial" w:cs="Arial"/>
          <w:i/>
          <w:color w:val="0000FF"/>
          <w:sz w:val="22"/>
          <w:szCs w:val="22"/>
        </w:rPr>
        <w:t>Findings illustrate that a relatively young adult occupational cohort of military personnel using CAM therapies also report multiple comorbidities which may indicate chronic illness management and poorer overall health.</w:t>
      </w:r>
    </w:p>
    <w:p w:rsidR="000D0EC5" w:rsidRPr="00470AA7" w:rsidRDefault="000D0EC5"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lastRenderedPageBreak/>
        <w:t xml:space="preserve">LeardMann CA, Smith TC, Smith B, Wells TS, Ryan MAK, for the Millennium Cohort Study Team. </w:t>
      </w:r>
      <w:r w:rsidRPr="00470AA7">
        <w:rPr>
          <w:rFonts w:ascii="Arial" w:hAnsi="Arial" w:cs="Arial"/>
          <w:b/>
          <w:sz w:val="22"/>
          <w:szCs w:val="22"/>
        </w:rPr>
        <w:t xml:space="preserve">Baseline self-reported functional health predicts vulnerability to posttraumatic stress disorder following combat deployment: prospective </w:t>
      </w:r>
      <w:smartTag w:uri="urn:schemas-microsoft-com:office:smarttags" w:element="place">
        <w:smartTag w:uri="urn:schemas-microsoft-com:office:smarttags" w:element="country-region">
          <w:r w:rsidRPr="00470AA7">
            <w:rPr>
              <w:rFonts w:ascii="Arial" w:hAnsi="Arial" w:cs="Arial"/>
              <w:b/>
              <w:sz w:val="22"/>
              <w:szCs w:val="22"/>
            </w:rPr>
            <w:t>US</w:t>
          </w:r>
        </w:smartTag>
      </w:smartTag>
      <w:r w:rsidRPr="00470AA7">
        <w:rPr>
          <w:rFonts w:ascii="Arial" w:hAnsi="Arial" w:cs="Arial"/>
          <w:b/>
          <w:sz w:val="22"/>
          <w:szCs w:val="22"/>
        </w:rPr>
        <w:t xml:space="preserve"> military cohort study.</w:t>
      </w:r>
      <w:r w:rsidR="007D09E5" w:rsidRPr="00470AA7">
        <w:rPr>
          <w:rFonts w:ascii="Arial" w:hAnsi="Arial" w:cs="Arial"/>
          <w:sz w:val="22"/>
          <w:szCs w:val="22"/>
        </w:rPr>
        <w:t xml:space="preserve"> British Medical Journal.</w:t>
      </w:r>
      <w:r w:rsidRPr="00470AA7">
        <w:rPr>
          <w:rFonts w:ascii="Arial" w:hAnsi="Arial" w:cs="Arial"/>
          <w:sz w:val="22"/>
          <w:szCs w:val="22"/>
        </w:rPr>
        <w:t xml:space="preserve"> 2009 Apr;338:b1273.</w:t>
      </w:r>
    </w:p>
    <w:p w:rsidR="005F1E2F" w:rsidRPr="00470AA7" w:rsidRDefault="005F1E2F" w:rsidP="006D7C9B">
      <w:pPr>
        <w:ind w:left="-360" w:right="-180"/>
        <w:rPr>
          <w:rFonts w:ascii="Arial" w:hAnsi="Arial" w:cs="Arial"/>
          <w:sz w:val="22"/>
          <w:szCs w:val="22"/>
        </w:rPr>
      </w:pPr>
    </w:p>
    <w:p w:rsidR="00D8783C" w:rsidRPr="00470AA7"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 xml:space="preserve">Military service members who screen in the lowest 15% of health prior to combat exposure are more vulnerable to developing </w:t>
      </w:r>
      <w:proofErr w:type="spellStart"/>
      <w:r w:rsidRPr="00470AA7">
        <w:rPr>
          <w:rFonts w:ascii="Arial" w:hAnsi="Arial" w:cs="Arial"/>
          <w:i/>
          <w:color w:val="0000FF"/>
          <w:sz w:val="22"/>
          <w:szCs w:val="22"/>
        </w:rPr>
        <w:t>postdeployment</w:t>
      </w:r>
      <w:proofErr w:type="spellEnd"/>
      <w:r w:rsidRPr="00470AA7">
        <w:rPr>
          <w:rFonts w:ascii="Arial" w:hAnsi="Arial" w:cs="Arial"/>
          <w:i/>
          <w:color w:val="0000FF"/>
          <w:sz w:val="22"/>
          <w:szCs w:val="22"/>
        </w:rPr>
        <w:t xml:space="preserve"> PTSD.</w:t>
      </w:r>
    </w:p>
    <w:p w:rsidR="00FE07CE" w:rsidRPr="00470AA7" w:rsidRDefault="00FE07CE" w:rsidP="006D7C9B">
      <w:pPr>
        <w:ind w:left="-360" w:right="-180"/>
        <w:rPr>
          <w:rFonts w:ascii="Arial" w:hAnsi="Arial" w:cs="Arial"/>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t>Welch KE, LeardMann CA, Jacobson IG, Speigle SJ, Smith B, Smith TC, Ryan MA</w:t>
      </w:r>
      <w:r w:rsidR="00162F1E" w:rsidRPr="00470AA7">
        <w:rPr>
          <w:rFonts w:ascii="Arial" w:hAnsi="Arial" w:cs="Arial"/>
          <w:sz w:val="22"/>
          <w:szCs w:val="22"/>
        </w:rPr>
        <w:t>K</w:t>
      </w:r>
      <w:r w:rsidRPr="00470AA7">
        <w:rPr>
          <w:rFonts w:ascii="Arial" w:hAnsi="Arial" w:cs="Arial"/>
          <w:sz w:val="22"/>
          <w:szCs w:val="22"/>
        </w:rPr>
        <w:t xml:space="preserve">, for the Millennium Cohort Study Team. </w:t>
      </w:r>
      <w:r w:rsidRPr="00470AA7">
        <w:rPr>
          <w:rFonts w:ascii="Arial" w:hAnsi="Arial" w:cs="Arial"/>
          <w:b/>
          <w:sz w:val="22"/>
          <w:szCs w:val="22"/>
        </w:rPr>
        <w:t xml:space="preserve">Postcards encourage participant updates. </w:t>
      </w:r>
      <w:r w:rsidR="007D09E5" w:rsidRPr="00470AA7">
        <w:rPr>
          <w:rFonts w:ascii="Arial" w:hAnsi="Arial" w:cs="Arial"/>
          <w:sz w:val="22"/>
          <w:szCs w:val="22"/>
        </w:rPr>
        <w:t>Epidemiology.</w:t>
      </w:r>
      <w:r w:rsidRPr="00470AA7">
        <w:rPr>
          <w:rFonts w:ascii="Arial" w:hAnsi="Arial" w:cs="Arial"/>
          <w:sz w:val="22"/>
          <w:szCs w:val="22"/>
        </w:rPr>
        <w:t xml:space="preserve"> 2009 Mar;20(2):313-4.</w:t>
      </w:r>
    </w:p>
    <w:p w:rsidR="00D8783C" w:rsidRPr="00470AA7" w:rsidRDefault="00D8783C" w:rsidP="006D7C9B">
      <w:pPr>
        <w:ind w:left="-360" w:right="-180"/>
        <w:rPr>
          <w:rFonts w:ascii="Arial" w:hAnsi="Arial" w:cs="Arial"/>
          <w:i/>
          <w:sz w:val="22"/>
          <w:szCs w:val="22"/>
        </w:rPr>
      </w:pPr>
    </w:p>
    <w:p w:rsidR="009B06DD" w:rsidRDefault="00D8783C" w:rsidP="000F15B6">
      <w:pPr>
        <w:ind w:left="-360" w:right="-180"/>
        <w:rPr>
          <w:rFonts w:ascii="Arial" w:hAnsi="Arial" w:cs="Arial"/>
          <w:sz w:val="22"/>
          <w:szCs w:val="22"/>
        </w:rPr>
      </w:pPr>
      <w:r w:rsidRPr="00470AA7">
        <w:rPr>
          <w:rFonts w:ascii="Arial" w:hAnsi="Arial" w:cs="Arial"/>
          <w:i/>
          <w:color w:val="0000FF"/>
          <w:sz w:val="22"/>
          <w:szCs w:val="22"/>
        </w:rPr>
        <w:t>The results of this study quantify and confirm that semiannual appreciatory contact is an effective way to maintain communication with a highly mobile participant population while prompting updates of contact information.</w:t>
      </w:r>
    </w:p>
    <w:p w:rsidR="009B06DD" w:rsidRDefault="009B06DD" w:rsidP="000F15B6">
      <w:pPr>
        <w:ind w:left="-360" w:right="-180"/>
        <w:rPr>
          <w:rFonts w:ascii="Arial" w:hAnsi="Arial" w:cs="Arial"/>
          <w:sz w:val="22"/>
          <w:szCs w:val="22"/>
        </w:rPr>
      </w:pPr>
    </w:p>
    <w:p w:rsidR="00D8783C" w:rsidRPr="00470AA7" w:rsidRDefault="00D8783C" w:rsidP="000F15B6">
      <w:pPr>
        <w:ind w:left="-360" w:right="-180"/>
        <w:rPr>
          <w:rFonts w:ascii="Arial" w:hAnsi="Arial" w:cs="Arial"/>
          <w:i/>
          <w:color w:val="0000FF"/>
          <w:sz w:val="22"/>
          <w:szCs w:val="22"/>
        </w:rPr>
      </w:pPr>
      <w:r w:rsidRPr="00470AA7">
        <w:rPr>
          <w:rFonts w:ascii="Arial" w:hAnsi="Arial" w:cs="Arial"/>
          <w:sz w:val="22"/>
          <w:szCs w:val="22"/>
        </w:rPr>
        <w:t xml:space="preserve">Jacobson IG, Smith TC, Smith B, Keel PK, Amoroso PJ, Wells TS, </w:t>
      </w:r>
      <w:proofErr w:type="spellStart"/>
      <w:r w:rsidRPr="00470AA7">
        <w:rPr>
          <w:rFonts w:ascii="Arial" w:hAnsi="Arial" w:cs="Arial"/>
          <w:sz w:val="22"/>
          <w:szCs w:val="22"/>
        </w:rPr>
        <w:t>Bathalon</w:t>
      </w:r>
      <w:proofErr w:type="spellEnd"/>
      <w:r w:rsidRPr="00470AA7">
        <w:rPr>
          <w:rFonts w:ascii="Arial" w:hAnsi="Arial" w:cs="Arial"/>
          <w:sz w:val="22"/>
          <w:szCs w:val="22"/>
        </w:rPr>
        <w:t xml:space="preserve"> GP, </w:t>
      </w:r>
      <w:proofErr w:type="spellStart"/>
      <w:r w:rsidRPr="00470AA7">
        <w:rPr>
          <w:rFonts w:ascii="Arial" w:hAnsi="Arial" w:cs="Arial"/>
          <w:sz w:val="22"/>
          <w:szCs w:val="22"/>
        </w:rPr>
        <w:t>Boyko</w:t>
      </w:r>
      <w:proofErr w:type="spellEnd"/>
      <w:r w:rsidRPr="00470AA7">
        <w:rPr>
          <w:rFonts w:ascii="Arial" w:hAnsi="Arial" w:cs="Arial"/>
          <w:sz w:val="22"/>
          <w:szCs w:val="22"/>
        </w:rPr>
        <w:t xml:space="preserve"> EJ, Ryan MAK for the Millennium Cohort Study Team. </w:t>
      </w:r>
      <w:r w:rsidRPr="00470AA7">
        <w:rPr>
          <w:rFonts w:ascii="Arial" w:hAnsi="Arial" w:cs="Arial"/>
          <w:b/>
          <w:bCs/>
          <w:sz w:val="22"/>
          <w:szCs w:val="22"/>
        </w:rPr>
        <w:t xml:space="preserve">Disordered eating and weight changes after deployment: longitudinal assessment of a large </w:t>
      </w:r>
      <w:smartTag w:uri="urn:schemas-microsoft-com:office:smarttags" w:element="place">
        <w:smartTag w:uri="urn:schemas-microsoft-com:office:smarttags" w:element="country-region">
          <w:r w:rsidRPr="00470AA7">
            <w:rPr>
              <w:rFonts w:ascii="Arial" w:hAnsi="Arial" w:cs="Arial"/>
              <w:b/>
              <w:bCs/>
              <w:sz w:val="22"/>
              <w:szCs w:val="22"/>
            </w:rPr>
            <w:t>US</w:t>
          </w:r>
        </w:smartTag>
      </w:smartTag>
      <w:r w:rsidRPr="00470AA7">
        <w:rPr>
          <w:rFonts w:ascii="Arial" w:hAnsi="Arial" w:cs="Arial"/>
          <w:b/>
          <w:bCs/>
          <w:sz w:val="22"/>
          <w:szCs w:val="22"/>
        </w:rPr>
        <w:t xml:space="preserve"> military cohort.</w:t>
      </w:r>
      <w:r w:rsidRPr="00470AA7">
        <w:rPr>
          <w:rFonts w:ascii="Arial" w:hAnsi="Arial" w:cs="Arial"/>
          <w:sz w:val="22"/>
          <w:szCs w:val="22"/>
        </w:rPr>
        <w:t xml:space="preserve"> A</w:t>
      </w:r>
      <w:r w:rsidR="007D09E5" w:rsidRPr="00470AA7">
        <w:rPr>
          <w:rFonts w:ascii="Arial" w:hAnsi="Arial" w:cs="Arial"/>
          <w:sz w:val="22"/>
          <w:szCs w:val="22"/>
        </w:rPr>
        <w:t>merican Journal of Epidemiology.</w:t>
      </w:r>
      <w:r w:rsidRPr="00470AA7">
        <w:rPr>
          <w:rFonts w:ascii="Arial" w:hAnsi="Arial" w:cs="Arial"/>
          <w:sz w:val="22"/>
          <w:szCs w:val="22"/>
        </w:rPr>
        <w:t xml:space="preserve"> 2009 Feb;169(4):415-27.</w:t>
      </w:r>
    </w:p>
    <w:p w:rsidR="005F1E2F" w:rsidRPr="00470AA7" w:rsidRDefault="005F1E2F" w:rsidP="006D7C9B">
      <w:pPr>
        <w:ind w:left="-360" w:right="-180"/>
        <w:rPr>
          <w:rFonts w:ascii="Arial" w:hAnsi="Arial" w:cs="Arial"/>
          <w:sz w:val="22"/>
          <w:szCs w:val="22"/>
        </w:rPr>
      </w:pPr>
    </w:p>
    <w:p w:rsidR="00B36287" w:rsidRPr="00470AA7" w:rsidRDefault="00D8783C" w:rsidP="006D7C9B">
      <w:pPr>
        <w:ind w:left="-360" w:right="-180"/>
        <w:rPr>
          <w:rFonts w:ascii="Arial" w:hAnsi="Arial" w:cs="Arial"/>
          <w:i/>
          <w:iCs/>
          <w:color w:val="0000FF"/>
          <w:sz w:val="22"/>
          <w:szCs w:val="22"/>
        </w:rPr>
      </w:pPr>
      <w:r w:rsidRPr="00470AA7">
        <w:rPr>
          <w:rFonts w:ascii="Arial" w:hAnsi="Arial" w:cs="Arial"/>
          <w:i/>
          <w:iCs/>
          <w:color w:val="0000FF"/>
          <w:sz w:val="22"/>
          <w:szCs w:val="22"/>
        </w:rPr>
        <w:t xml:space="preserve">Deployed women who reported combat exposures represent a subgroup at higher risk for developing eating problems and weight loss </w:t>
      </w:r>
      <w:proofErr w:type="spellStart"/>
      <w:r w:rsidRPr="00470AA7">
        <w:rPr>
          <w:rFonts w:ascii="Arial" w:hAnsi="Arial" w:cs="Arial"/>
          <w:i/>
          <w:iCs/>
          <w:color w:val="0000FF"/>
          <w:sz w:val="22"/>
          <w:szCs w:val="22"/>
        </w:rPr>
        <w:t>postdeployment</w:t>
      </w:r>
      <w:proofErr w:type="spellEnd"/>
      <w:r w:rsidRPr="00470AA7">
        <w:rPr>
          <w:rFonts w:ascii="Arial" w:hAnsi="Arial" w:cs="Arial"/>
          <w:i/>
          <w:iCs/>
          <w:color w:val="0000FF"/>
          <w:sz w:val="22"/>
          <w:szCs w:val="22"/>
        </w:rPr>
        <w:t xml:space="preserve"> compared with deployed women who did not report combat exposures.</w:t>
      </w:r>
    </w:p>
    <w:p w:rsidR="00B36287" w:rsidRPr="00470AA7" w:rsidRDefault="00B36287" w:rsidP="006D7C9B">
      <w:pPr>
        <w:ind w:left="-360" w:right="-180"/>
        <w:rPr>
          <w:rFonts w:ascii="Arial" w:hAnsi="Arial" w:cs="Arial"/>
          <w:i/>
          <w:iCs/>
          <w:color w:val="0000FF"/>
          <w:sz w:val="22"/>
          <w:szCs w:val="22"/>
        </w:rPr>
      </w:pPr>
    </w:p>
    <w:p w:rsidR="00D8783C" w:rsidRPr="00470AA7" w:rsidRDefault="00D8783C" w:rsidP="006D7C9B">
      <w:pPr>
        <w:ind w:left="-360" w:right="-180"/>
        <w:rPr>
          <w:rFonts w:ascii="Arial" w:hAnsi="Arial" w:cs="Arial"/>
          <w:i/>
          <w:iCs/>
          <w:color w:val="0000FF"/>
          <w:sz w:val="22"/>
          <w:szCs w:val="22"/>
        </w:rPr>
      </w:pPr>
      <w:r w:rsidRPr="00470AA7">
        <w:rPr>
          <w:rFonts w:ascii="Arial" w:hAnsi="Arial" w:cs="Arial"/>
          <w:sz w:val="22"/>
          <w:szCs w:val="22"/>
        </w:rPr>
        <w:t xml:space="preserve">Smith TC, </w:t>
      </w:r>
      <w:proofErr w:type="spellStart"/>
      <w:r w:rsidRPr="00470AA7">
        <w:rPr>
          <w:rFonts w:ascii="Arial" w:hAnsi="Arial" w:cs="Arial"/>
          <w:sz w:val="22"/>
          <w:szCs w:val="22"/>
        </w:rPr>
        <w:t>Wingard</w:t>
      </w:r>
      <w:proofErr w:type="spellEnd"/>
      <w:r w:rsidRPr="00470AA7">
        <w:rPr>
          <w:rFonts w:ascii="Arial" w:hAnsi="Arial" w:cs="Arial"/>
          <w:sz w:val="22"/>
          <w:szCs w:val="22"/>
        </w:rPr>
        <w:t xml:space="preserve"> DL, Ryan MAK, </w:t>
      </w:r>
      <w:proofErr w:type="spellStart"/>
      <w:r w:rsidRPr="00470AA7">
        <w:rPr>
          <w:rFonts w:ascii="Arial" w:hAnsi="Arial" w:cs="Arial"/>
          <w:sz w:val="22"/>
          <w:szCs w:val="22"/>
        </w:rPr>
        <w:t>Kritz</w:t>
      </w:r>
      <w:proofErr w:type="spellEnd"/>
      <w:r w:rsidRPr="00470AA7">
        <w:rPr>
          <w:rFonts w:ascii="Arial" w:hAnsi="Arial" w:cs="Arial"/>
          <w:sz w:val="22"/>
          <w:szCs w:val="22"/>
        </w:rPr>
        <w:t xml:space="preserve">-Silverstein D, </w:t>
      </w:r>
      <w:proofErr w:type="spellStart"/>
      <w:r w:rsidRPr="00470AA7">
        <w:rPr>
          <w:rFonts w:ascii="Arial" w:hAnsi="Arial" w:cs="Arial"/>
          <w:sz w:val="22"/>
          <w:szCs w:val="22"/>
        </w:rPr>
        <w:t>Slymen</w:t>
      </w:r>
      <w:proofErr w:type="spellEnd"/>
      <w:r w:rsidRPr="00470AA7">
        <w:rPr>
          <w:rFonts w:ascii="Arial" w:hAnsi="Arial" w:cs="Arial"/>
          <w:sz w:val="22"/>
          <w:szCs w:val="22"/>
        </w:rPr>
        <w:t xml:space="preserve"> DJ, </w:t>
      </w:r>
      <w:proofErr w:type="spellStart"/>
      <w:r w:rsidRPr="00470AA7">
        <w:rPr>
          <w:rFonts w:ascii="Arial" w:hAnsi="Arial" w:cs="Arial"/>
          <w:sz w:val="22"/>
          <w:szCs w:val="22"/>
        </w:rPr>
        <w:t>Sallis</w:t>
      </w:r>
      <w:proofErr w:type="spellEnd"/>
      <w:r w:rsidRPr="00470AA7">
        <w:rPr>
          <w:rFonts w:ascii="Arial" w:hAnsi="Arial" w:cs="Arial"/>
          <w:sz w:val="22"/>
          <w:szCs w:val="22"/>
        </w:rPr>
        <w:t xml:space="preserve"> JF, for the Millennium Cohort Study Team. </w:t>
      </w:r>
      <w:r w:rsidRPr="00470AA7">
        <w:rPr>
          <w:rFonts w:ascii="Arial" w:hAnsi="Arial" w:cs="Arial"/>
          <w:b/>
          <w:sz w:val="22"/>
          <w:szCs w:val="22"/>
        </w:rPr>
        <w:t>PTSD prevalence, associated exposures, and functional health outcomes in a large, population-based military cohort.</w:t>
      </w:r>
      <w:r w:rsidR="007D09E5" w:rsidRPr="00470AA7">
        <w:rPr>
          <w:rFonts w:ascii="Arial" w:hAnsi="Arial" w:cs="Arial"/>
          <w:sz w:val="22"/>
          <w:szCs w:val="22"/>
        </w:rPr>
        <w:t xml:space="preserve"> Public Health Report.</w:t>
      </w:r>
      <w:r w:rsidRPr="00470AA7">
        <w:rPr>
          <w:rFonts w:ascii="Arial" w:hAnsi="Arial" w:cs="Arial"/>
          <w:sz w:val="22"/>
          <w:szCs w:val="22"/>
        </w:rPr>
        <w:t xml:space="preserve"> 2009 Jan;124:90-102.</w:t>
      </w:r>
    </w:p>
    <w:p w:rsidR="00D8783C" w:rsidRPr="00470AA7" w:rsidRDefault="00D8783C" w:rsidP="006D7C9B">
      <w:pPr>
        <w:ind w:left="-360" w:right="-180"/>
        <w:rPr>
          <w:rFonts w:ascii="Arial" w:hAnsi="Arial" w:cs="Arial"/>
          <w:sz w:val="22"/>
          <w:szCs w:val="22"/>
        </w:rPr>
      </w:pPr>
    </w:p>
    <w:p w:rsidR="008D3C33" w:rsidRPr="00470AA7"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 xml:space="preserve">Findings suggest a 2% prevalence of current PTSD symptoms in the US Military that are associated with increased reporting of exposures and decrements in functional health. </w:t>
      </w:r>
    </w:p>
    <w:p w:rsidR="00C90D4D" w:rsidRPr="00470AA7" w:rsidRDefault="00C90D4D" w:rsidP="006D7C9B">
      <w:pPr>
        <w:ind w:left="-360" w:right="-180"/>
        <w:rPr>
          <w:rFonts w:ascii="Arial" w:hAnsi="Arial" w:cs="Arial"/>
          <w:i/>
          <w:color w:val="0000FF"/>
          <w:sz w:val="22"/>
          <w:szCs w:val="22"/>
        </w:rPr>
      </w:pPr>
    </w:p>
    <w:p w:rsidR="00D8783C" w:rsidRPr="00470AA7" w:rsidRDefault="00D8783C" w:rsidP="006D7C9B">
      <w:pPr>
        <w:ind w:left="-360" w:right="-180"/>
        <w:rPr>
          <w:rFonts w:ascii="Arial" w:hAnsi="Arial" w:cs="Arial"/>
          <w:i/>
          <w:color w:val="0000FF"/>
          <w:sz w:val="22"/>
          <w:szCs w:val="22"/>
        </w:rPr>
      </w:pPr>
      <w:r w:rsidRPr="00470AA7">
        <w:rPr>
          <w:rFonts w:ascii="Arial" w:hAnsi="Arial" w:cs="Arial"/>
          <w:sz w:val="22"/>
          <w:szCs w:val="22"/>
        </w:rPr>
        <w:t xml:space="preserve">Smith B, Ryan MAK, </w:t>
      </w:r>
      <w:proofErr w:type="spellStart"/>
      <w:r w:rsidRPr="00470AA7">
        <w:rPr>
          <w:rFonts w:ascii="Arial" w:hAnsi="Arial" w:cs="Arial"/>
          <w:sz w:val="22"/>
          <w:szCs w:val="22"/>
        </w:rPr>
        <w:t>Wingard</w:t>
      </w:r>
      <w:proofErr w:type="spellEnd"/>
      <w:r w:rsidRPr="00470AA7">
        <w:rPr>
          <w:rFonts w:ascii="Arial" w:hAnsi="Arial" w:cs="Arial"/>
          <w:sz w:val="22"/>
          <w:szCs w:val="22"/>
        </w:rPr>
        <w:t xml:space="preserve"> DL, Patterson TL, </w:t>
      </w:r>
      <w:proofErr w:type="spellStart"/>
      <w:r w:rsidRPr="00470AA7">
        <w:rPr>
          <w:rFonts w:ascii="Arial" w:hAnsi="Arial" w:cs="Arial"/>
          <w:sz w:val="22"/>
          <w:szCs w:val="22"/>
        </w:rPr>
        <w:t>Slymen</w:t>
      </w:r>
      <w:proofErr w:type="spellEnd"/>
      <w:r w:rsidRPr="00470AA7">
        <w:rPr>
          <w:rFonts w:ascii="Arial" w:hAnsi="Arial" w:cs="Arial"/>
          <w:sz w:val="22"/>
          <w:szCs w:val="22"/>
        </w:rPr>
        <w:t xml:space="preserve"> DJ, </w:t>
      </w:r>
      <w:proofErr w:type="spellStart"/>
      <w:r w:rsidRPr="00470AA7">
        <w:rPr>
          <w:rFonts w:ascii="Arial" w:hAnsi="Arial" w:cs="Arial"/>
          <w:sz w:val="22"/>
          <w:szCs w:val="22"/>
        </w:rPr>
        <w:t>Macera</w:t>
      </w:r>
      <w:proofErr w:type="spellEnd"/>
      <w:r w:rsidRPr="00470AA7">
        <w:rPr>
          <w:rFonts w:ascii="Arial" w:hAnsi="Arial" w:cs="Arial"/>
          <w:sz w:val="22"/>
          <w:szCs w:val="22"/>
        </w:rPr>
        <w:t xml:space="preserve"> CA, for the Millennium Cohort Study Team. </w:t>
      </w:r>
      <w:r w:rsidRPr="00470AA7">
        <w:rPr>
          <w:rFonts w:ascii="Arial" w:hAnsi="Arial" w:cs="Arial"/>
          <w:b/>
          <w:sz w:val="22"/>
          <w:szCs w:val="22"/>
        </w:rPr>
        <w:t>Cigarette smoking and military deployment: a prospective evaluation.</w:t>
      </w:r>
      <w:r w:rsidRPr="00470AA7">
        <w:rPr>
          <w:rFonts w:ascii="Arial" w:hAnsi="Arial" w:cs="Arial"/>
          <w:sz w:val="22"/>
          <w:szCs w:val="22"/>
        </w:rPr>
        <w:t xml:space="preserve"> American</w:t>
      </w:r>
      <w:r w:rsidR="007D09E5" w:rsidRPr="00470AA7">
        <w:rPr>
          <w:rFonts w:ascii="Arial" w:hAnsi="Arial" w:cs="Arial"/>
          <w:sz w:val="22"/>
          <w:szCs w:val="22"/>
        </w:rPr>
        <w:t xml:space="preserve"> Journal of Preventive Medicine.</w:t>
      </w:r>
      <w:r w:rsidRPr="00470AA7">
        <w:rPr>
          <w:rFonts w:ascii="Arial" w:hAnsi="Arial" w:cs="Arial"/>
          <w:sz w:val="22"/>
          <w:szCs w:val="22"/>
        </w:rPr>
        <w:t xml:space="preserve"> 2008 Dec;35(6):539-46.</w:t>
      </w:r>
    </w:p>
    <w:p w:rsidR="00D8783C" w:rsidRPr="00470AA7" w:rsidRDefault="00D8783C" w:rsidP="006D7C9B">
      <w:pPr>
        <w:ind w:left="-360" w:right="-180"/>
        <w:rPr>
          <w:rFonts w:ascii="Arial" w:hAnsi="Arial" w:cs="Arial"/>
          <w:sz w:val="22"/>
          <w:szCs w:val="22"/>
        </w:rPr>
      </w:pPr>
    </w:p>
    <w:p w:rsidR="00A0112D" w:rsidRPr="00470AA7"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 xml:space="preserve">Findings suggest an increase in smoking initiation and recidivism among </w:t>
      </w:r>
      <w:proofErr w:type="spellStart"/>
      <w:r w:rsidRPr="00470AA7">
        <w:rPr>
          <w:rFonts w:ascii="Arial" w:hAnsi="Arial" w:cs="Arial"/>
          <w:i/>
          <w:color w:val="0000FF"/>
          <w:sz w:val="22"/>
          <w:szCs w:val="22"/>
        </w:rPr>
        <w:t>deployers</w:t>
      </w:r>
      <w:proofErr w:type="spellEnd"/>
      <w:r w:rsidRPr="00470AA7">
        <w:rPr>
          <w:rFonts w:ascii="Arial" w:hAnsi="Arial" w:cs="Arial"/>
          <w:i/>
          <w:color w:val="0000FF"/>
          <w:sz w:val="22"/>
          <w:szCs w:val="22"/>
        </w:rPr>
        <w:t xml:space="preserve"> and highlight the importance of prevention strategies pre, during, and post deployment.</w:t>
      </w:r>
    </w:p>
    <w:p w:rsidR="007C791D" w:rsidRDefault="007C791D" w:rsidP="006D7C9B">
      <w:pPr>
        <w:ind w:left="-360" w:right="-180"/>
        <w:rPr>
          <w:rFonts w:ascii="Arial" w:hAnsi="Arial" w:cs="Arial"/>
          <w:sz w:val="22"/>
          <w:szCs w:val="22"/>
        </w:rPr>
      </w:pPr>
    </w:p>
    <w:p w:rsidR="00D8783C" w:rsidRPr="00470AA7" w:rsidRDefault="00D8783C" w:rsidP="006D7C9B">
      <w:pPr>
        <w:ind w:left="-360" w:right="-180"/>
        <w:rPr>
          <w:rFonts w:ascii="Arial" w:hAnsi="Arial" w:cs="Arial"/>
          <w:i/>
          <w:color w:val="0000FF"/>
          <w:sz w:val="22"/>
          <w:szCs w:val="22"/>
        </w:rPr>
      </w:pPr>
      <w:r w:rsidRPr="00470AA7">
        <w:rPr>
          <w:rFonts w:ascii="Arial" w:hAnsi="Arial" w:cs="Arial"/>
          <w:sz w:val="22"/>
          <w:szCs w:val="22"/>
        </w:rPr>
        <w:t xml:space="preserve">Jacobson IG, Smith TC, Bell NS. </w:t>
      </w:r>
      <w:r w:rsidRPr="00470AA7">
        <w:rPr>
          <w:rFonts w:ascii="Arial" w:hAnsi="Arial" w:cs="Arial"/>
          <w:b/>
          <w:sz w:val="22"/>
          <w:szCs w:val="22"/>
        </w:rPr>
        <w:t>Military combat deployment and alcohol use reply.</w:t>
      </w:r>
      <w:r w:rsidRPr="00470AA7">
        <w:rPr>
          <w:rFonts w:ascii="Arial" w:hAnsi="Arial" w:cs="Arial"/>
          <w:sz w:val="22"/>
          <w:szCs w:val="22"/>
        </w:rPr>
        <w:t xml:space="preserve"> Journal of the American Medical Association. 2008 Dec;300(22):2607.</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color w:val="0000FF"/>
          <w:sz w:val="22"/>
          <w:szCs w:val="22"/>
        </w:rPr>
      </w:pPr>
      <w:r w:rsidRPr="00470AA7">
        <w:rPr>
          <w:rFonts w:ascii="Arial" w:hAnsi="Arial" w:cs="Arial"/>
          <w:i/>
          <w:color w:val="0000FF"/>
          <w:sz w:val="22"/>
          <w:szCs w:val="22"/>
        </w:rPr>
        <w:t>Highlights the utility of CAGE screening questions for use as controlling factors for those with potential problems using alcohol at baseline</w:t>
      </w:r>
      <w:r w:rsidRPr="00470AA7">
        <w:rPr>
          <w:rFonts w:ascii="Arial" w:hAnsi="Arial" w:cs="Arial"/>
          <w:color w:val="0000FF"/>
          <w:sz w:val="22"/>
          <w:szCs w:val="22"/>
        </w:rPr>
        <w:t>.</w:t>
      </w:r>
    </w:p>
    <w:p w:rsidR="00F03EB0" w:rsidRPr="00470AA7" w:rsidRDefault="00F03EB0" w:rsidP="006D7C9B">
      <w:pPr>
        <w:ind w:left="-360" w:right="-180"/>
        <w:rPr>
          <w:rFonts w:ascii="Arial" w:hAnsi="Arial" w:cs="Arial"/>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t xml:space="preserve">Jacobson IG, Ryan MAK, Hooper TI, Smith TC, Amoroso PJ, Boyko EJ, Gackstetter GD, Wells TS, Bell NS, for the Millennium Cohort Study Team. </w:t>
      </w:r>
      <w:r w:rsidRPr="00470AA7">
        <w:rPr>
          <w:rFonts w:ascii="Arial" w:hAnsi="Arial" w:cs="Arial"/>
          <w:b/>
          <w:sz w:val="22"/>
          <w:szCs w:val="22"/>
        </w:rPr>
        <w:t>Alcohol use and alcohol-related problems before and after military combat deployment.</w:t>
      </w:r>
      <w:r w:rsidRPr="00470AA7">
        <w:rPr>
          <w:rFonts w:ascii="Arial" w:hAnsi="Arial" w:cs="Arial"/>
          <w:sz w:val="22"/>
          <w:szCs w:val="22"/>
        </w:rPr>
        <w:t xml:space="preserve"> Journal of t</w:t>
      </w:r>
      <w:r w:rsidR="007D09E5" w:rsidRPr="00470AA7">
        <w:rPr>
          <w:rFonts w:ascii="Arial" w:hAnsi="Arial" w:cs="Arial"/>
          <w:sz w:val="22"/>
          <w:szCs w:val="22"/>
        </w:rPr>
        <w:t>he American Medical Association.</w:t>
      </w:r>
      <w:r w:rsidRPr="00470AA7">
        <w:rPr>
          <w:rFonts w:ascii="Arial" w:hAnsi="Arial" w:cs="Arial"/>
          <w:sz w:val="22"/>
          <w:szCs w:val="22"/>
        </w:rPr>
        <w:t xml:space="preserve"> 2008 Aug;300(6):663-75.</w:t>
      </w:r>
    </w:p>
    <w:p w:rsidR="00D8783C" w:rsidRPr="00470AA7" w:rsidRDefault="00D8783C" w:rsidP="006D7C9B">
      <w:pPr>
        <w:ind w:left="-360" w:right="-180"/>
        <w:rPr>
          <w:rFonts w:ascii="Arial" w:hAnsi="Arial" w:cs="Arial"/>
          <w:sz w:val="22"/>
          <w:szCs w:val="22"/>
        </w:rPr>
      </w:pPr>
    </w:p>
    <w:p w:rsidR="000D0EC5" w:rsidRPr="00470AA7"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Findings suggest that Reserve and National Guard personnel and younger service members who deploy with reported combat exposures are at increased risk of new-onset heavy weekly drinking, binge drinking, and other alcohol-related problems.</w:t>
      </w:r>
    </w:p>
    <w:p w:rsidR="000D0EC5" w:rsidRPr="00470AA7" w:rsidRDefault="000D0EC5" w:rsidP="006D7C9B">
      <w:pPr>
        <w:ind w:left="-360" w:right="-180"/>
        <w:rPr>
          <w:rFonts w:ascii="Arial" w:hAnsi="Arial" w:cs="Arial"/>
          <w:sz w:val="22"/>
          <w:szCs w:val="22"/>
        </w:rPr>
      </w:pPr>
    </w:p>
    <w:p w:rsidR="00B34B9D" w:rsidRDefault="00B34B9D" w:rsidP="006D7C9B">
      <w:pPr>
        <w:ind w:left="-360" w:right="-180"/>
        <w:rPr>
          <w:rFonts w:ascii="Arial" w:hAnsi="Arial" w:cs="Arial"/>
          <w:sz w:val="22"/>
          <w:szCs w:val="22"/>
        </w:rPr>
      </w:pPr>
    </w:p>
    <w:p w:rsidR="00D8783C" w:rsidRPr="00470AA7" w:rsidRDefault="00D8783C" w:rsidP="006D7C9B">
      <w:pPr>
        <w:ind w:left="-360" w:right="-180"/>
        <w:rPr>
          <w:rFonts w:ascii="Arial" w:hAnsi="Arial" w:cs="Arial"/>
          <w:i/>
          <w:color w:val="0000FF"/>
          <w:sz w:val="22"/>
          <w:szCs w:val="22"/>
        </w:rPr>
      </w:pPr>
      <w:r w:rsidRPr="00470AA7">
        <w:rPr>
          <w:rFonts w:ascii="Arial" w:hAnsi="Arial" w:cs="Arial"/>
          <w:sz w:val="22"/>
          <w:szCs w:val="22"/>
        </w:rPr>
        <w:lastRenderedPageBreak/>
        <w:t xml:space="preserve">Smith B, Chu LK, Smith TC, Amoroso PJ, Boyko EJ, Hooper TI, Gackstetter GD, Ryan MAK, for the Millennium Cohort Study Team. </w:t>
      </w:r>
      <w:r w:rsidRPr="00470AA7">
        <w:rPr>
          <w:rFonts w:ascii="Arial" w:hAnsi="Arial" w:cs="Arial"/>
          <w:b/>
          <w:sz w:val="22"/>
          <w:szCs w:val="22"/>
        </w:rPr>
        <w:t>Challenges of self-reported medical conditions and electronic medical records among members of a large military cohort.</w:t>
      </w:r>
      <w:r w:rsidRPr="00470AA7">
        <w:rPr>
          <w:rFonts w:ascii="Arial" w:hAnsi="Arial" w:cs="Arial"/>
          <w:sz w:val="22"/>
          <w:szCs w:val="22"/>
        </w:rPr>
        <w:t xml:space="preserve"> </w:t>
      </w:r>
      <w:r w:rsidRPr="00470AA7">
        <w:rPr>
          <w:rFonts w:ascii="Arial" w:hAnsi="Arial" w:cs="Arial"/>
          <w:bCs/>
          <w:iCs/>
          <w:sz w:val="22"/>
          <w:szCs w:val="22"/>
        </w:rPr>
        <w:t>BMC Medical Research Methodology</w:t>
      </w:r>
      <w:r w:rsidR="00CC1E22" w:rsidRPr="00470AA7">
        <w:rPr>
          <w:rFonts w:ascii="Arial" w:hAnsi="Arial" w:cs="Arial"/>
          <w:b/>
          <w:sz w:val="22"/>
          <w:szCs w:val="22"/>
        </w:rPr>
        <w:t>.</w:t>
      </w:r>
      <w:r w:rsidRPr="00470AA7">
        <w:rPr>
          <w:rFonts w:ascii="Arial" w:hAnsi="Arial" w:cs="Arial"/>
          <w:b/>
          <w:sz w:val="22"/>
          <w:szCs w:val="22"/>
        </w:rPr>
        <w:t xml:space="preserve"> </w:t>
      </w:r>
      <w:r w:rsidRPr="00470AA7">
        <w:rPr>
          <w:rFonts w:ascii="Arial" w:hAnsi="Arial" w:cs="Arial"/>
          <w:sz w:val="22"/>
          <w:szCs w:val="22"/>
        </w:rPr>
        <w:t>2008 Jun;8:37.</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This report highlights the importance of assessing medical conditions from multiple electronic and self-reported sources.</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t xml:space="preserve">Smith TC, </w:t>
      </w:r>
      <w:proofErr w:type="spellStart"/>
      <w:r w:rsidRPr="00470AA7">
        <w:rPr>
          <w:rFonts w:ascii="Arial" w:hAnsi="Arial" w:cs="Arial"/>
          <w:sz w:val="22"/>
          <w:szCs w:val="22"/>
        </w:rPr>
        <w:t>Wingard</w:t>
      </w:r>
      <w:proofErr w:type="spellEnd"/>
      <w:r w:rsidRPr="00470AA7">
        <w:rPr>
          <w:rFonts w:ascii="Arial" w:hAnsi="Arial" w:cs="Arial"/>
          <w:sz w:val="22"/>
          <w:szCs w:val="22"/>
        </w:rPr>
        <w:t xml:space="preserve"> DL, Ryan MAK, </w:t>
      </w:r>
      <w:proofErr w:type="spellStart"/>
      <w:r w:rsidRPr="00470AA7">
        <w:rPr>
          <w:rFonts w:ascii="Arial" w:hAnsi="Arial" w:cs="Arial"/>
          <w:sz w:val="22"/>
          <w:szCs w:val="22"/>
        </w:rPr>
        <w:t>Kritz</w:t>
      </w:r>
      <w:proofErr w:type="spellEnd"/>
      <w:r w:rsidRPr="00470AA7">
        <w:rPr>
          <w:rFonts w:ascii="Arial" w:hAnsi="Arial" w:cs="Arial"/>
          <w:sz w:val="22"/>
          <w:szCs w:val="22"/>
        </w:rPr>
        <w:t xml:space="preserve">-Silverstein D, </w:t>
      </w:r>
      <w:proofErr w:type="spellStart"/>
      <w:r w:rsidRPr="00470AA7">
        <w:rPr>
          <w:rFonts w:ascii="Arial" w:hAnsi="Arial" w:cs="Arial"/>
          <w:sz w:val="22"/>
          <w:szCs w:val="22"/>
        </w:rPr>
        <w:t>Slymen</w:t>
      </w:r>
      <w:proofErr w:type="spellEnd"/>
      <w:r w:rsidRPr="00470AA7">
        <w:rPr>
          <w:rFonts w:ascii="Arial" w:hAnsi="Arial" w:cs="Arial"/>
          <w:sz w:val="22"/>
          <w:szCs w:val="22"/>
        </w:rPr>
        <w:t xml:space="preserve"> DJ, </w:t>
      </w:r>
      <w:proofErr w:type="spellStart"/>
      <w:r w:rsidRPr="00470AA7">
        <w:rPr>
          <w:rFonts w:ascii="Arial" w:hAnsi="Arial" w:cs="Arial"/>
          <w:sz w:val="22"/>
          <w:szCs w:val="22"/>
        </w:rPr>
        <w:t>Sallis</w:t>
      </w:r>
      <w:proofErr w:type="spellEnd"/>
      <w:r w:rsidRPr="00470AA7">
        <w:rPr>
          <w:rFonts w:ascii="Arial" w:hAnsi="Arial" w:cs="Arial"/>
          <w:sz w:val="22"/>
          <w:szCs w:val="22"/>
        </w:rPr>
        <w:t xml:space="preserve"> JF, for the Millennium Cohort Study Team. </w:t>
      </w:r>
      <w:r w:rsidRPr="00470AA7">
        <w:rPr>
          <w:rFonts w:ascii="Arial" w:hAnsi="Arial" w:cs="Arial"/>
          <w:b/>
          <w:sz w:val="22"/>
          <w:szCs w:val="22"/>
        </w:rPr>
        <w:t>Prior assault and posttraumatic stress disorder after combat deployment.</w:t>
      </w:r>
      <w:r w:rsidR="00B41AD4" w:rsidRPr="00470AA7">
        <w:rPr>
          <w:rFonts w:ascii="Arial" w:hAnsi="Arial" w:cs="Arial"/>
          <w:sz w:val="22"/>
          <w:szCs w:val="22"/>
        </w:rPr>
        <w:t xml:space="preserve"> Epidemiology. </w:t>
      </w:r>
      <w:r w:rsidRPr="00470AA7">
        <w:rPr>
          <w:rFonts w:ascii="Arial" w:hAnsi="Arial" w:cs="Arial"/>
          <w:sz w:val="22"/>
          <w:szCs w:val="22"/>
        </w:rPr>
        <w:t>2008 May;19(3):505-12.</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In contrast to hypotheses that survival from trauma represents or confers resilience, these findings suggest vulnerability to combat stress and PTSD among survivors of prior assault.</w:t>
      </w:r>
    </w:p>
    <w:p w:rsidR="00DF2B6E" w:rsidRPr="00470AA7" w:rsidRDefault="00DF2B6E" w:rsidP="006D7C9B">
      <w:pPr>
        <w:ind w:left="-360" w:right="-180"/>
        <w:rPr>
          <w:rFonts w:ascii="Arial" w:hAnsi="Arial" w:cs="Arial"/>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t>Wells TS, LeardMann CA, Smith TC, Smith B, Jacobson IG, Reed RJ, Ryan MAK, for the Millennium Cohort Study Team.</w:t>
      </w:r>
      <w:r w:rsidRPr="00470AA7">
        <w:rPr>
          <w:rFonts w:ascii="Arial" w:hAnsi="Arial" w:cs="Arial"/>
          <w:b/>
          <w:sz w:val="22"/>
          <w:szCs w:val="22"/>
        </w:rPr>
        <w:t xml:space="preserve"> Self-reported adverse health events following smallpox vaccination in a large prospective study of US military service members.</w:t>
      </w:r>
      <w:r w:rsidRPr="00470AA7">
        <w:rPr>
          <w:rFonts w:ascii="Arial" w:hAnsi="Arial" w:cs="Arial"/>
          <w:sz w:val="22"/>
          <w:szCs w:val="22"/>
        </w:rPr>
        <w:t xml:space="preserve"> Human Vaccines. 2008 Mar/Apr;4(2):127-33.</w:t>
      </w:r>
    </w:p>
    <w:p w:rsidR="00D8783C" w:rsidRPr="00470AA7" w:rsidRDefault="00D8783C" w:rsidP="006D7C9B">
      <w:pPr>
        <w:ind w:left="-360" w:right="-180"/>
        <w:rPr>
          <w:rFonts w:ascii="Arial" w:hAnsi="Arial" w:cs="Arial"/>
          <w:i/>
          <w:sz w:val="22"/>
          <w:szCs w:val="22"/>
        </w:rPr>
      </w:pPr>
    </w:p>
    <w:p w:rsidR="007D5B09" w:rsidRDefault="00D8783C" w:rsidP="00D41E37">
      <w:pPr>
        <w:ind w:left="-360" w:right="-180"/>
        <w:rPr>
          <w:rFonts w:ascii="Arial" w:hAnsi="Arial" w:cs="Arial"/>
          <w:i/>
          <w:color w:val="0000FF"/>
          <w:sz w:val="22"/>
          <w:szCs w:val="22"/>
        </w:rPr>
      </w:pPr>
      <w:r w:rsidRPr="00470AA7">
        <w:rPr>
          <w:rFonts w:ascii="Arial" w:hAnsi="Arial" w:cs="Arial"/>
          <w:i/>
          <w:color w:val="0000FF"/>
          <w:sz w:val="22"/>
          <w:szCs w:val="22"/>
        </w:rPr>
        <w:t>Smallpox vaccination was not associated with any adverse self-reported health outcomes, including mental and physical functioning. These findings may be reassuring to health care providers and those who receive the smallpox vaccination.</w:t>
      </w:r>
    </w:p>
    <w:p w:rsidR="00142EF3" w:rsidRPr="00470AA7" w:rsidRDefault="00142EF3" w:rsidP="00D41E37">
      <w:pPr>
        <w:ind w:left="-360" w:right="-180"/>
        <w:rPr>
          <w:rFonts w:ascii="Arial" w:hAnsi="Arial" w:cs="Arial"/>
          <w:i/>
          <w:color w:val="0000FF"/>
          <w:sz w:val="22"/>
          <w:szCs w:val="22"/>
        </w:rPr>
      </w:pPr>
    </w:p>
    <w:p w:rsidR="0038427F" w:rsidRPr="00470AA7" w:rsidRDefault="00D8783C" w:rsidP="006D7C9B">
      <w:pPr>
        <w:ind w:left="-360" w:right="-180"/>
        <w:rPr>
          <w:rFonts w:ascii="Arial" w:hAnsi="Arial" w:cs="Arial"/>
          <w:bCs/>
          <w:sz w:val="22"/>
          <w:szCs w:val="22"/>
        </w:rPr>
      </w:pPr>
      <w:r w:rsidRPr="00470AA7">
        <w:rPr>
          <w:rFonts w:ascii="Arial" w:hAnsi="Arial" w:cs="Arial"/>
          <w:bCs/>
          <w:sz w:val="22"/>
          <w:szCs w:val="22"/>
        </w:rPr>
        <w:t xml:space="preserve">Wells TS, Jacobson IG, Smith TC, Spooner CN, Smith B, Reed RJ, Amoroso PJ, Ryan MAK, for the Millennium Cohort Study Team. </w:t>
      </w:r>
      <w:r w:rsidRPr="00470AA7">
        <w:rPr>
          <w:rFonts w:ascii="Arial" w:hAnsi="Arial" w:cs="Arial"/>
          <w:b/>
          <w:bCs/>
          <w:sz w:val="22"/>
          <w:szCs w:val="22"/>
        </w:rPr>
        <w:t>Prior health care utilization as a determinant to enrollment in a 22-year prospective study, the Millennium Cohort Study.</w:t>
      </w:r>
      <w:r w:rsidR="00721821" w:rsidRPr="00470AA7">
        <w:rPr>
          <w:rFonts w:ascii="Arial" w:hAnsi="Arial" w:cs="Arial"/>
          <w:bCs/>
          <w:sz w:val="22"/>
          <w:szCs w:val="22"/>
        </w:rPr>
        <w:t xml:space="preserve"> European Journal o</w:t>
      </w:r>
      <w:r w:rsidRPr="00470AA7">
        <w:rPr>
          <w:rFonts w:ascii="Arial" w:hAnsi="Arial" w:cs="Arial"/>
          <w:bCs/>
          <w:sz w:val="22"/>
          <w:szCs w:val="22"/>
        </w:rPr>
        <w:t>f Epidemiology. 2008 Feb;23(2):79-87</w:t>
      </w:r>
    </w:p>
    <w:p w:rsidR="00C90D4D" w:rsidRPr="00470AA7" w:rsidRDefault="00C90D4D" w:rsidP="006D7C9B">
      <w:pPr>
        <w:ind w:left="-360" w:right="-180"/>
        <w:rPr>
          <w:rFonts w:ascii="Arial" w:hAnsi="Arial" w:cs="Arial"/>
          <w:i/>
          <w:color w:val="0000FF"/>
          <w:sz w:val="22"/>
          <w:szCs w:val="22"/>
        </w:rPr>
      </w:pPr>
    </w:p>
    <w:p w:rsidR="00162F1E" w:rsidRPr="00D41E37" w:rsidRDefault="00D8783C" w:rsidP="00D41E37">
      <w:pPr>
        <w:ind w:left="-360" w:right="-180"/>
        <w:rPr>
          <w:rFonts w:ascii="Arial" w:hAnsi="Arial" w:cs="Arial"/>
          <w:i/>
          <w:color w:val="0000FF"/>
          <w:sz w:val="22"/>
          <w:szCs w:val="22"/>
        </w:rPr>
      </w:pPr>
      <w:r w:rsidRPr="00470AA7">
        <w:rPr>
          <w:rFonts w:ascii="Arial" w:hAnsi="Arial" w:cs="Arial"/>
          <w:i/>
          <w:color w:val="0000FF"/>
          <w:sz w:val="22"/>
          <w:szCs w:val="22"/>
        </w:rPr>
        <w:t>Few health differences between Millennium Cohort responders and non-responders were found when comparing healthcare utilization in the 12 months preceding study invitation.</w:t>
      </w:r>
    </w:p>
    <w:p w:rsidR="001D6C02" w:rsidRDefault="001D6C02" w:rsidP="006D7C9B">
      <w:pPr>
        <w:ind w:left="-360" w:right="-180"/>
        <w:rPr>
          <w:rFonts w:ascii="Arial" w:hAnsi="Arial" w:cs="Arial"/>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t xml:space="preserve">Smith TC, Ryan MAK, </w:t>
      </w:r>
      <w:proofErr w:type="spellStart"/>
      <w:r w:rsidRPr="00470AA7">
        <w:rPr>
          <w:rFonts w:ascii="Arial" w:hAnsi="Arial" w:cs="Arial"/>
          <w:sz w:val="22"/>
          <w:szCs w:val="22"/>
        </w:rPr>
        <w:t>Wingard</w:t>
      </w:r>
      <w:proofErr w:type="spellEnd"/>
      <w:r w:rsidRPr="00470AA7">
        <w:rPr>
          <w:rFonts w:ascii="Arial" w:hAnsi="Arial" w:cs="Arial"/>
          <w:sz w:val="22"/>
          <w:szCs w:val="22"/>
        </w:rPr>
        <w:t xml:space="preserve"> DL, </w:t>
      </w:r>
      <w:proofErr w:type="spellStart"/>
      <w:r w:rsidRPr="00470AA7">
        <w:rPr>
          <w:rFonts w:ascii="Arial" w:hAnsi="Arial" w:cs="Arial"/>
          <w:sz w:val="22"/>
          <w:szCs w:val="22"/>
        </w:rPr>
        <w:t>Slymen</w:t>
      </w:r>
      <w:proofErr w:type="spellEnd"/>
      <w:r w:rsidRPr="00470AA7">
        <w:rPr>
          <w:rFonts w:ascii="Arial" w:hAnsi="Arial" w:cs="Arial"/>
          <w:sz w:val="22"/>
          <w:szCs w:val="22"/>
        </w:rPr>
        <w:t xml:space="preserve"> DJ, </w:t>
      </w:r>
      <w:proofErr w:type="spellStart"/>
      <w:r w:rsidRPr="00470AA7">
        <w:rPr>
          <w:rFonts w:ascii="Arial" w:hAnsi="Arial" w:cs="Arial"/>
          <w:sz w:val="22"/>
          <w:szCs w:val="22"/>
        </w:rPr>
        <w:t>Sallis</w:t>
      </w:r>
      <w:proofErr w:type="spellEnd"/>
      <w:r w:rsidRPr="00470AA7">
        <w:rPr>
          <w:rFonts w:ascii="Arial" w:hAnsi="Arial" w:cs="Arial"/>
          <w:sz w:val="22"/>
          <w:szCs w:val="22"/>
        </w:rPr>
        <w:t xml:space="preserve"> JF, </w:t>
      </w:r>
      <w:proofErr w:type="spellStart"/>
      <w:r w:rsidRPr="00470AA7">
        <w:rPr>
          <w:rFonts w:ascii="Arial" w:hAnsi="Arial" w:cs="Arial"/>
          <w:sz w:val="22"/>
          <w:szCs w:val="22"/>
        </w:rPr>
        <w:t>Kritz</w:t>
      </w:r>
      <w:proofErr w:type="spellEnd"/>
      <w:r w:rsidRPr="00470AA7">
        <w:rPr>
          <w:rFonts w:ascii="Arial" w:hAnsi="Arial" w:cs="Arial"/>
          <w:sz w:val="22"/>
          <w:szCs w:val="22"/>
        </w:rPr>
        <w:t xml:space="preserve">-Silverstein D, for the Millennium Cohort Study Team. </w:t>
      </w:r>
      <w:r w:rsidRPr="00470AA7">
        <w:rPr>
          <w:rFonts w:ascii="Arial" w:hAnsi="Arial" w:cs="Arial"/>
          <w:b/>
          <w:sz w:val="22"/>
          <w:szCs w:val="22"/>
        </w:rPr>
        <w:t xml:space="preserve">New onset and persistent symptoms of posttraumatic stress disorder self-reported after deployment and combat exposures: prospective population-based </w:t>
      </w:r>
      <w:smartTag w:uri="urn:schemas-microsoft-com:office:smarttags" w:element="place">
        <w:smartTag w:uri="urn:schemas-microsoft-com:office:smarttags" w:element="country-region">
          <w:r w:rsidRPr="00470AA7">
            <w:rPr>
              <w:rFonts w:ascii="Arial" w:hAnsi="Arial" w:cs="Arial"/>
              <w:b/>
              <w:sz w:val="22"/>
              <w:szCs w:val="22"/>
            </w:rPr>
            <w:t>US</w:t>
          </w:r>
        </w:smartTag>
      </w:smartTag>
      <w:r w:rsidRPr="00470AA7">
        <w:rPr>
          <w:rFonts w:ascii="Arial" w:hAnsi="Arial" w:cs="Arial"/>
          <w:b/>
          <w:sz w:val="22"/>
          <w:szCs w:val="22"/>
        </w:rPr>
        <w:t xml:space="preserve"> military cohort study.</w:t>
      </w:r>
      <w:r w:rsidRPr="00470AA7">
        <w:rPr>
          <w:rFonts w:ascii="Arial" w:hAnsi="Arial" w:cs="Arial"/>
          <w:sz w:val="22"/>
          <w:szCs w:val="22"/>
        </w:rPr>
        <w:t xml:space="preserve"> British Medical Journal. 2008 Feb;336(7640):366-71.</w:t>
      </w:r>
    </w:p>
    <w:p w:rsidR="00D8783C" w:rsidRPr="00470AA7" w:rsidRDefault="00D8783C" w:rsidP="006D7C9B">
      <w:pPr>
        <w:ind w:left="-360" w:right="-180"/>
        <w:rPr>
          <w:rFonts w:ascii="Arial" w:hAnsi="Arial" w:cs="Arial"/>
          <w:i/>
          <w:sz w:val="22"/>
          <w:szCs w:val="22"/>
        </w:rPr>
      </w:pPr>
    </w:p>
    <w:p w:rsidR="00A0112D" w:rsidRPr="00470AA7"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 xml:space="preserve">Findings define the importance of PTSD in this population and emphasize that specific combat exposures, rather than deployment itself, significantly affect the onset of PTSD symptoms </w:t>
      </w:r>
      <w:proofErr w:type="spellStart"/>
      <w:r w:rsidRPr="00470AA7">
        <w:rPr>
          <w:rFonts w:ascii="Arial" w:hAnsi="Arial" w:cs="Arial"/>
          <w:i/>
          <w:color w:val="0000FF"/>
          <w:sz w:val="22"/>
          <w:szCs w:val="22"/>
        </w:rPr>
        <w:t>postdeployment</w:t>
      </w:r>
      <w:proofErr w:type="spellEnd"/>
      <w:r w:rsidRPr="00470AA7">
        <w:rPr>
          <w:rFonts w:ascii="Arial" w:hAnsi="Arial" w:cs="Arial"/>
          <w:i/>
          <w:color w:val="0000FF"/>
          <w:sz w:val="22"/>
          <w:szCs w:val="22"/>
        </w:rPr>
        <w:t>.</w:t>
      </w:r>
    </w:p>
    <w:p w:rsidR="00EA3781" w:rsidRPr="00470AA7" w:rsidRDefault="00EA3781" w:rsidP="006D7C9B">
      <w:pPr>
        <w:ind w:left="-360" w:right="-180"/>
        <w:rPr>
          <w:rFonts w:ascii="Arial" w:hAnsi="Arial" w:cs="Arial"/>
          <w:i/>
          <w:color w:val="0000FF"/>
          <w:sz w:val="22"/>
          <w:szCs w:val="22"/>
        </w:rPr>
      </w:pPr>
    </w:p>
    <w:p w:rsidR="00D8783C" w:rsidRPr="00470AA7" w:rsidRDefault="00D8783C" w:rsidP="006D7C9B">
      <w:pPr>
        <w:ind w:left="-360" w:right="-180"/>
        <w:rPr>
          <w:rFonts w:ascii="Arial" w:hAnsi="Arial" w:cs="Arial"/>
          <w:i/>
          <w:color w:val="0000FF"/>
          <w:sz w:val="22"/>
          <w:szCs w:val="22"/>
        </w:rPr>
      </w:pPr>
      <w:r w:rsidRPr="00470AA7">
        <w:rPr>
          <w:rFonts w:ascii="Arial" w:hAnsi="Arial" w:cs="Arial"/>
          <w:sz w:val="22"/>
          <w:szCs w:val="22"/>
        </w:rPr>
        <w:t xml:space="preserve">Smith B, </w:t>
      </w:r>
      <w:proofErr w:type="spellStart"/>
      <w:r w:rsidRPr="00470AA7">
        <w:rPr>
          <w:rFonts w:ascii="Arial" w:hAnsi="Arial" w:cs="Arial"/>
          <w:sz w:val="22"/>
          <w:szCs w:val="22"/>
        </w:rPr>
        <w:t>Wingard</w:t>
      </w:r>
      <w:proofErr w:type="spellEnd"/>
      <w:r w:rsidRPr="00470AA7">
        <w:rPr>
          <w:rFonts w:ascii="Arial" w:hAnsi="Arial" w:cs="Arial"/>
          <w:sz w:val="22"/>
          <w:szCs w:val="22"/>
        </w:rPr>
        <w:t xml:space="preserve"> DL, Ryan MAK, </w:t>
      </w:r>
      <w:proofErr w:type="spellStart"/>
      <w:r w:rsidRPr="00470AA7">
        <w:rPr>
          <w:rFonts w:ascii="Arial" w:hAnsi="Arial" w:cs="Arial"/>
          <w:sz w:val="22"/>
          <w:szCs w:val="22"/>
        </w:rPr>
        <w:t>Macera</w:t>
      </w:r>
      <w:proofErr w:type="spellEnd"/>
      <w:r w:rsidRPr="00470AA7">
        <w:rPr>
          <w:rFonts w:ascii="Arial" w:hAnsi="Arial" w:cs="Arial"/>
          <w:sz w:val="22"/>
          <w:szCs w:val="22"/>
        </w:rPr>
        <w:t xml:space="preserve"> CA, Patterson TL, Slymen DJ, for the Millennium Cohort Study Team. </w:t>
      </w:r>
      <w:smartTag w:uri="urn:schemas-microsoft-com:office:smarttags" w:element="place">
        <w:smartTag w:uri="urn:schemas-microsoft-com:office:smarttags" w:element="country-region">
          <w:r w:rsidRPr="00470AA7">
            <w:rPr>
              <w:rFonts w:ascii="Arial" w:hAnsi="Arial" w:cs="Arial"/>
              <w:b/>
              <w:sz w:val="22"/>
              <w:szCs w:val="22"/>
            </w:rPr>
            <w:t>US</w:t>
          </w:r>
        </w:smartTag>
      </w:smartTag>
      <w:r w:rsidRPr="00470AA7">
        <w:rPr>
          <w:rFonts w:ascii="Arial" w:hAnsi="Arial" w:cs="Arial"/>
          <w:b/>
          <w:sz w:val="22"/>
          <w:szCs w:val="22"/>
        </w:rPr>
        <w:t xml:space="preserve"> military deployment during 2001-2006: comparison of subjective and objective data sources in a large prospective health study.</w:t>
      </w:r>
      <w:r w:rsidRPr="00470AA7">
        <w:rPr>
          <w:rFonts w:ascii="Arial" w:hAnsi="Arial" w:cs="Arial"/>
          <w:sz w:val="22"/>
          <w:szCs w:val="22"/>
        </w:rPr>
        <w:t xml:space="preserve"> Annals of Epidemiology. 2007 Dec;17(12):976-82. </w:t>
      </w:r>
    </w:p>
    <w:p w:rsidR="00D8783C" w:rsidRPr="00470AA7" w:rsidRDefault="00D8783C" w:rsidP="006D7C9B">
      <w:pPr>
        <w:ind w:left="-360" w:right="-180"/>
        <w:rPr>
          <w:rFonts w:ascii="Arial" w:hAnsi="Arial" w:cs="Arial"/>
          <w:sz w:val="22"/>
          <w:szCs w:val="22"/>
        </w:rPr>
      </w:pPr>
    </w:p>
    <w:p w:rsidR="006D7C9B"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Defining military deployments using multiple data sources is examined.  Deployment timing and duration metrics, critical for epidemiological studies, are valid in the Millennium Cohort Study.</w:t>
      </w:r>
    </w:p>
    <w:p w:rsidR="006D7C9B" w:rsidRPr="006D7C9B" w:rsidRDefault="006D7C9B" w:rsidP="006D7C9B">
      <w:pPr>
        <w:ind w:left="-360" w:right="-180"/>
        <w:rPr>
          <w:rFonts w:ascii="Arial" w:hAnsi="Arial" w:cs="Arial"/>
          <w:i/>
          <w:color w:val="0000FF"/>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t xml:space="preserve">LeardMann CA, Smith B, Smith TC, Wells TS, Ryan MAK, for the Millennium Cohort Study Team. </w:t>
      </w:r>
      <w:r w:rsidRPr="00470AA7">
        <w:rPr>
          <w:rFonts w:ascii="Arial" w:hAnsi="Arial" w:cs="Arial"/>
          <w:b/>
          <w:sz w:val="22"/>
          <w:szCs w:val="22"/>
        </w:rPr>
        <w:t>Smallpox vaccination: comparison of self-reported and electronic vaccine records in the Millennium Cohort Study.</w:t>
      </w:r>
      <w:r w:rsidRPr="00470AA7">
        <w:rPr>
          <w:rFonts w:ascii="Arial" w:hAnsi="Arial" w:cs="Arial"/>
          <w:sz w:val="22"/>
          <w:szCs w:val="22"/>
        </w:rPr>
        <w:t xml:space="preserve"> Human Vaccines. 2007 Nov/Dec;3(6):245-51.</w:t>
      </w:r>
    </w:p>
    <w:p w:rsidR="00D8783C" w:rsidRPr="00470AA7" w:rsidRDefault="00D8783C" w:rsidP="006D7C9B">
      <w:pPr>
        <w:ind w:left="-360" w:right="-180"/>
        <w:rPr>
          <w:rFonts w:ascii="Arial" w:hAnsi="Arial" w:cs="Arial"/>
          <w:i/>
          <w:sz w:val="22"/>
          <w:szCs w:val="22"/>
        </w:rPr>
      </w:pPr>
    </w:p>
    <w:p w:rsidR="00D8783C" w:rsidRPr="00470AA7" w:rsidRDefault="00D8783C" w:rsidP="006D7C9B">
      <w:pPr>
        <w:ind w:left="-360" w:right="-180"/>
        <w:rPr>
          <w:rFonts w:ascii="Arial" w:hAnsi="Arial" w:cs="Arial"/>
          <w:color w:val="0000FF"/>
          <w:sz w:val="22"/>
          <w:szCs w:val="22"/>
        </w:rPr>
      </w:pPr>
      <w:r w:rsidRPr="00470AA7">
        <w:rPr>
          <w:rFonts w:ascii="Arial" w:hAnsi="Arial" w:cs="Arial"/>
          <w:i/>
          <w:color w:val="0000FF"/>
          <w:sz w:val="22"/>
          <w:szCs w:val="22"/>
        </w:rPr>
        <w:t>Self-report of smallpox vaccination is very reliable.  Results may be valuable in supporting global response to bioterrorism threats.</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lastRenderedPageBreak/>
        <w:t xml:space="preserve">Smith TC, </w:t>
      </w:r>
      <w:proofErr w:type="spellStart"/>
      <w:r w:rsidRPr="00470AA7">
        <w:rPr>
          <w:rFonts w:ascii="Arial" w:hAnsi="Arial" w:cs="Arial"/>
          <w:sz w:val="22"/>
          <w:szCs w:val="22"/>
        </w:rPr>
        <w:t>Zamorski</w:t>
      </w:r>
      <w:proofErr w:type="spellEnd"/>
      <w:r w:rsidRPr="00470AA7">
        <w:rPr>
          <w:rFonts w:ascii="Arial" w:hAnsi="Arial" w:cs="Arial"/>
          <w:sz w:val="22"/>
          <w:szCs w:val="22"/>
        </w:rPr>
        <w:t xml:space="preserve"> M, Smith B, Riddle JR, LeardMann CA, Wells TS, Engel CC, Hoge CW, Adkins J, Blazer D, for the Millennium Cohort Study Team. </w:t>
      </w:r>
      <w:r w:rsidRPr="00470AA7">
        <w:rPr>
          <w:rFonts w:ascii="Arial" w:hAnsi="Arial" w:cs="Arial"/>
          <w:b/>
          <w:sz w:val="22"/>
          <w:szCs w:val="22"/>
        </w:rPr>
        <w:t>The physical and mental health of a large military cohort: baseline functional health status of the Millennium Cohort.</w:t>
      </w:r>
      <w:r w:rsidRPr="00470AA7">
        <w:rPr>
          <w:rFonts w:ascii="Arial" w:hAnsi="Arial" w:cs="Arial"/>
          <w:sz w:val="22"/>
          <w:szCs w:val="22"/>
        </w:rPr>
        <w:t xml:space="preserve"> BMC Public Health. 2007 Nov;7(147):340.</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The functional health of service members in this 22-year longitudinal study compares favorably at baseline with other civilian and military populations.</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t xml:space="preserve">Smith B, Smith TC, Gray GC, Ryan MAK, for the Millennium Cohort Study Team.  </w:t>
      </w:r>
      <w:r w:rsidRPr="00470AA7">
        <w:rPr>
          <w:rFonts w:ascii="Arial" w:hAnsi="Arial" w:cs="Arial"/>
          <w:b/>
          <w:sz w:val="22"/>
          <w:szCs w:val="22"/>
        </w:rPr>
        <w:t>When epidemiology meets the Internet: Web-based surveys in the Millennium Cohort Study.</w:t>
      </w:r>
      <w:r w:rsidRPr="00470AA7">
        <w:rPr>
          <w:rFonts w:ascii="Arial" w:hAnsi="Arial" w:cs="Arial"/>
          <w:sz w:val="22"/>
          <w:szCs w:val="22"/>
        </w:rPr>
        <w:t xml:space="preserve">  American Journal of Epidemiology. 2007 Nov;166(11):1345-54.</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Optimal use of the Internet - with minimal response bias, maximum cost-savings, and improved data - is highlighted.</w:t>
      </w:r>
    </w:p>
    <w:p w:rsidR="00D41E37" w:rsidRDefault="00D41E37" w:rsidP="006D7C9B">
      <w:pPr>
        <w:ind w:left="-360" w:right="-180"/>
        <w:rPr>
          <w:rFonts w:ascii="Arial" w:hAnsi="Arial" w:cs="Arial"/>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t>Smith TC, Jacobson IG, Smith B, Hooper TI, Ryan MAK, for the Millennium Cohort Study Team.</w:t>
      </w:r>
      <w:r w:rsidRPr="00470AA7">
        <w:rPr>
          <w:rFonts w:ascii="Arial" w:hAnsi="Arial" w:cs="Arial"/>
          <w:b/>
          <w:sz w:val="22"/>
          <w:szCs w:val="22"/>
        </w:rPr>
        <w:t xml:space="preserve"> The occupational role of women in military service: validation of occupation and prevalence of exposures in the Millennium Cohort Study.</w:t>
      </w:r>
      <w:r w:rsidRPr="00470AA7">
        <w:rPr>
          <w:rFonts w:ascii="Arial" w:hAnsi="Arial" w:cs="Arial"/>
          <w:sz w:val="22"/>
          <w:szCs w:val="22"/>
        </w:rPr>
        <w:t xml:space="preserve"> International Journal of Environmental Health Research. 2007 Aug;17(4):271-84.</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Data on women’s occupations are reliable, and occupational codes can be well correlated with exposures of concern.  This was an award-winning presentation at a Navy conference in 2006.</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t xml:space="preserve">Smith TC, Smith B, Jacobson IG, </w:t>
      </w:r>
      <w:proofErr w:type="spellStart"/>
      <w:r w:rsidRPr="00470AA7">
        <w:rPr>
          <w:rFonts w:ascii="Arial" w:hAnsi="Arial" w:cs="Arial"/>
          <w:sz w:val="22"/>
          <w:szCs w:val="22"/>
        </w:rPr>
        <w:t>Corbeil</w:t>
      </w:r>
      <w:proofErr w:type="spellEnd"/>
      <w:r w:rsidRPr="00470AA7">
        <w:rPr>
          <w:rFonts w:ascii="Arial" w:hAnsi="Arial" w:cs="Arial"/>
          <w:sz w:val="22"/>
          <w:szCs w:val="22"/>
        </w:rPr>
        <w:t xml:space="preserve"> TE, Ryan MAK, for the Millennium Cohort Study Team. </w:t>
      </w:r>
      <w:r w:rsidRPr="00470AA7">
        <w:rPr>
          <w:rFonts w:ascii="Arial" w:hAnsi="Arial" w:cs="Arial"/>
          <w:b/>
          <w:sz w:val="22"/>
          <w:szCs w:val="22"/>
        </w:rPr>
        <w:t>Reliability of standard health assessment instruments in a large, population-based cohort study.</w:t>
      </w:r>
      <w:r w:rsidRPr="00470AA7">
        <w:rPr>
          <w:rFonts w:ascii="Arial" w:hAnsi="Arial" w:cs="Arial"/>
          <w:sz w:val="22"/>
          <w:szCs w:val="22"/>
        </w:rPr>
        <w:t xml:space="preserve"> Annals of Epidemiology. 2007 Jul;17(7):525-32.</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Reliability metrics, by test-retest concordance and internal consistency, are extremely strong in Millennium Cohort Study data.</w:t>
      </w:r>
    </w:p>
    <w:p w:rsidR="00162F1E" w:rsidRPr="00470AA7" w:rsidRDefault="00162F1E" w:rsidP="006D7C9B">
      <w:pPr>
        <w:ind w:left="-360" w:right="-180"/>
        <w:rPr>
          <w:rFonts w:ascii="Arial" w:hAnsi="Arial" w:cs="Arial"/>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t xml:space="preserve">Smith B, </w:t>
      </w:r>
      <w:proofErr w:type="spellStart"/>
      <w:r w:rsidRPr="00470AA7">
        <w:rPr>
          <w:rFonts w:ascii="Arial" w:hAnsi="Arial" w:cs="Arial"/>
          <w:sz w:val="22"/>
          <w:szCs w:val="22"/>
        </w:rPr>
        <w:t>Leard</w:t>
      </w:r>
      <w:proofErr w:type="spellEnd"/>
      <w:r w:rsidRPr="00470AA7">
        <w:rPr>
          <w:rFonts w:ascii="Arial" w:hAnsi="Arial" w:cs="Arial"/>
          <w:sz w:val="22"/>
          <w:szCs w:val="22"/>
        </w:rPr>
        <w:t xml:space="preserve"> CA, Smith TC, Reed RJ, Ryan MAK, for the Millennium Cohort Study Team. </w:t>
      </w:r>
      <w:r w:rsidRPr="00470AA7">
        <w:rPr>
          <w:rFonts w:ascii="Arial" w:hAnsi="Arial" w:cs="Arial"/>
          <w:b/>
          <w:sz w:val="22"/>
          <w:szCs w:val="22"/>
        </w:rPr>
        <w:t>Anthrax vaccination in the Millennium Cohort: validation and measures of health.</w:t>
      </w:r>
      <w:r w:rsidRPr="00470AA7">
        <w:rPr>
          <w:rFonts w:ascii="Arial" w:hAnsi="Arial" w:cs="Arial"/>
          <w:sz w:val="22"/>
          <w:szCs w:val="22"/>
        </w:rPr>
        <w:t xml:space="preserve"> American Journal of Preventive Medicine. 2007 Apr;32(4):347-53.</w:t>
      </w:r>
    </w:p>
    <w:p w:rsidR="00D8783C" w:rsidRPr="00470AA7" w:rsidRDefault="00D8783C" w:rsidP="006D7C9B">
      <w:pPr>
        <w:ind w:left="-360" w:right="-180"/>
        <w:rPr>
          <w:rFonts w:ascii="Arial" w:hAnsi="Arial" w:cs="Arial"/>
          <w:sz w:val="22"/>
          <w:szCs w:val="22"/>
        </w:rPr>
      </w:pPr>
    </w:p>
    <w:p w:rsidR="00D8783C"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The largest ever evaluation of this topic revealed strong validity of self-reported vaccination, as well as unique health features of the small subset who may misreport vaccination.  This work won awards at two research conferences in 2006.</w:t>
      </w:r>
    </w:p>
    <w:p w:rsidR="006A2478" w:rsidRDefault="006A2478" w:rsidP="006D7C9B">
      <w:pPr>
        <w:ind w:left="-360" w:right="-180"/>
        <w:rPr>
          <w:rFonts w:ascii="Arial" w:hAnsi="Arial" w:cs="Arial"/>
          <w:i/>
          <w:color w:val="0000FF"/>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t xml:space="preserve">Ryan MA, Smith TC, Smith B, Amoroso P, Boyko EJ, Gray GC, Gackstetter GD, Riddle JR, Wells TS, </w:t>
      </w:r>
      <w:proofErr w:type="spellStart"/>
      <w:r w:rsidRPr="00470AA7">
        <w:rPr>
          <w:rFonts w:ascii="Arial" w:hAnsi="Arial" w:cs="Arial"/>
          <w:sz w:val="22"/>
          <w:szCs w:val="22"/>
        </w:rPr>
        <w:t>Gumbs</w:t>
      </w:r>
      <w:proofErr w:type="spellEnd"/>
      <w:r w:rsidRPr="00470AA7">
        <w:rPr>
          <w:rFonts w:ascii="Arial" w:hAnsi="Arial" w:cs="Arial"/>
          <w:sz w:val="22"/>
          <w:szCs w:val="22"/>
        </w:rPr>
        <w:t xml:space="preserve"> G, </w:t>
      </w:r>
      <w:proofErr w:type="spellStart"/>
      <w:r w:rsidRPr="00470AA7">
        <w:rPr>
          <w:rFonts w:ascii="Arial" w:hAnsi="Arial" w:cs="Arial"/>
          <w:sz w:val="22"/>
          <w:szCs w:val="22"/>
        </w:rPr>
        <w:t>Corbeil</w:t>
      </w:r>
      <w:proofErr w:type="spellEnd"/>
      <w:r w:rsidRPr="00470AA7">
        <w:rPr>
          <w:rFonts w:ascii="Arial" w:hAnsi="Arial" w:cs="Arial"/>
          <w:sz w:val="22"/>
          <w:szCs w:val="22"/>
        </w:rPr>
        <w:t xml:space="preserve"> TE, Hooper TI, for the Millennium Cohort Study Team. </w:t>
      </w:r>
      <w:r w:rsidRPr="00470AA7">
        <w:rPr>
          <w:rFonts w:ascii="Arial" w:hAnsi="Arial" w:cs="Arial"/>
          <w:b/>
          <w:sz w:val="22"/>
          <w:szCs w:val="22"/>
        </w:rPr>
        <w:t xml:space="preserve">Millennium Cohort: enrollment begins a 21-year contribution to understanding the impact of military service. </w:t>
      </w:r>
      <w:r w:rsidRPr="00470AA7">
        <w:rPr>
          <w:rFonts w:ascii="Arial" w:hAnsi="Arial" w:cs="Arial"/>
          <w:sz w:val="22"/>
          <w:szCs w:val="22"/>
        </w:rPr>
        <w:t xml:space="preserve">Journal of Clinical Epidemiology. 2007 Feb;60(2):181-91.  </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 xml:space="preserve">A foundation report, this describes original enrollment methods and challenges of the Millennium Cohort Study.  Characteristics of the first 77,047 participants are detailed and shown to strongly represent the population-based sample of the </w:t>
      </w:r>
      <w:smartTag w:uri="urn:schemas-microsoft-com:office:smarttags" w:element="country-region">
        <w:smartTag w:uri="urn:schemas-microsoft-com:office:smarttags" w:element="place">
          <w:r w:rsidRPr="00470AA7">
            <w:rPr>
              <w:rFonts w:ascii="Arial" w:hAnsi="Arial" w:cs="Arial"/>
              <w:i/>
              <w:color w:val="0000FF"/>
              <w:sz w:val="22"/>
              <w:szCs w:val="22"/>
            </w:rPr>
            <w:t>US</w:t>
          </w:r>
        </w:smartTag>
      </w:smartTag>
      <w:r w:rsidRPr="00470AA7">
        <w:rPr>
          <w:rFonts w:ascii="Arial" w:hAnsi="Arial" w:cs="Arial"/>
          <w:i/>
          <w:color w:val="0000FF"/>
          <w:sz w:val="22"/>
          <w:szCs w:val="22"/>
        </w:rPr>
        <w:t xml:space="preserve"> military from which they were drawn.</w:t>
      </w:r>
    </w:p>
    <w:p w:rsidR="00D8783C" w:rsidRPr="00470AA7" w:rsidRDefault="00D8783C" w:rsidP="006D7C9B">
      <w:pPr>
        <w:ind w:left="-360" w:right="-180"/>
        <w:rPr>
          <w:rFonts w:ascii="Arial" w:hAnsi="Arial" w:cs="Arial"/>
          <w:b/>
          <w:bCs/>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t xml:space="preserve">Riddle JR, Smith TC, Smith B, </w:t>
      </w:r>
      <w:proofErr w:type="spellStart"/>
      <w:r w:rsidRPr="00470AA7">
        <w:rPr>
          <w:rFonts w:ascii="Arial" w:hAnsi="Arial" w:cs="Arial"/>
          <w:sz w:val="22"/>
          <w:szCs w:val="22"/>
        </w:rPr>
        <w:t>Corbeil</w:t>
      </w:r>
      <w:proofErr w:type="spellEnd"/>
      <w:r w:rsidRPr="00470AA7">
        <w:rPr>
          <w:rFonts w:ascii="Arial" w:hAnsi="Arial" w:cs="Arial"/>
          <w:sz w:val="22"/>
          <w:szCs w:val="22"/>
        </w:rPr>
        <w:t xml:space="preserve"> TE, Engel CC, Wells TS, Hoge CW, Adkins J, </w:t>
      </w:r>
      <w:proofErr w:type="spellStart"/>
      <w:r w:rsidRPr="00470AA7">
        <w:rPr>
          <w:rFonts w:ascii="Arial" w:hAnsi="Arial" w:cs="Arial"/>
          <w:sz w:val="22"/>
          <w:szCs w:val="22"/>
        </w:rPr>
        <w:t>Zamorski</w:t>
      </w:r>
      <w:proofErr w:type="spellEnd"/>
      <w:r w:rsidRPr="00470AA7">
        <w:rPr>
          <w:rFonts w:ascii="Arial" w:hAnsi="Arial" w:cs="Arial"/>
          <w:sz w:val="22"/>
          <w:szCs w:val="22"/>
        </w:rPr>
        <w:t xml:space="preserve"> M, Blazer D, for the Millennium Cohort Study Team. </w:t>
      </w:r>
      <w:r w:rsidRPr="00470AA7">
        <w:rPr>
          <w:rFonts w:ascii="Arial" w:hAnsi="Arial" w:cs="Arial"/>
          <w:b/>
          <w:sz w:val="22"/>
          <w:szCs w:val="22"/>
        </w:rPr>
        <w:t xml:space="preserve">Millennium Cohort: the 2001-2003 baseline prevalence of mental disorders in the </w:t>
      </w:r>
      <w:smartTag w:uri="urn:schemas-microsoft-com:office:smarttags" w:element="place">
        <w:smartTag w:uri="urn:schemas-microsoft-com:office:smarttags" w:element="country-region">
          <w:r w:rsidRPr="00470AA7">
            <w:rPr>
              <w:rFonts w:ascii="Arial" w:hAnsi="Arial" w:cs="Arial"/>
              <w:b/>
              <w:sz w:val="22"/>
              <w:szCs w:val="22"/>
            </w:rPr>
            <w:t>US</w:t>
          </w:r>
        </w:smartTag>
      </w:smartTag>
      <w:r w:rsidRPr="00470AA7">
        <w:rPr>
          <w:rFonts w:ascii="Arial" w:hAnsi="Arial" w:cs="Arial"/>
          <w:b/>
          <w:sz w:val="22"/>
          <w:szCs w:val="22"/>
        </w:rPr>
        <w:t xml:space="preserve"> military.</w:t>
      </w:r>
      <w:r w:rsidRPr="00470AA7">
        <w:rPr>
          <w:rFonts w:ascii="Arial" w:hAnsi="Arial" w:cs="Arial"/>
          <w:sz w:val="22"/>
          <w:szCs w:val="22"/>
        </w:rPr>
        <w:t xml:space="preserve"> Journal of Clinical Epidemiology. 2007 Feb;60(2):192-201.</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The baseline prevalence of mental disorders in this 22-year longitudinal study compares favorably with other civilian and military populations.</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iCs/>
          <w:sz w:val="22"/>
          <w:szCs w:val="22"/>
        </w:rPr>
      </w:pPr>
      <w:r w:rsidRPr="00470AA7">
        <w:rPr>
          <w:rFonts w:ascii="Arial" w:hAnsi="Arial" w:cs="Arial"/>
          <w:sz w:val="22"/>
          <w:szCs w:val="22"/>
        </w:rPr>
        <w:lastRenderedPageBreak/>
        <w:t xml:space="preserve">Chretien JP, Chu LK, Smith TC, Smith B, Ryan MAK, for the Millennium Cohort Study Team. </w:t>
      </w:r>
      <w:r w:rsidRPr="00470AA7">
        <w:rPr>
          <w:rFonts w:ascii="Arial" w:hAnsi="Arial" w:cs="Arial"/>
          <w:b/>
          <w:sz w:val="22"/>
          <w:szCs w:val="22"/>
        </w:rPr>
        <w:t>Demographic and occupational predictors of early response to a mailed invitation to enroll in a longitudinal health study.</w:t>
      </w:r>
      <w:r w:rsidRPr="00470AA7">
        <w:rPr>
          <w:rFonts w:ascii="Arial" w:hAnsi="Arial" w:cs="Arial"/>
          <w:sz w:val="22"/>
          <w:szCs w:val="22"/>
        </w:rPr>
        <w:t xml:space="preserve"> Biomed Central Medical Research Methodology. 2007 Jan;</w:t>
      </w:r>
      <w:r w:rsidRPr="00470AA7">
        <w:rPr>
          <w:rFonts w:ascii="Arial" w:hAnsi="Arial" w:cs="Arial"/>
          <w:iCs/>
          <w:sz w:val="22"/>
          <w:szCs w:val="22"/>
        </w:rPr>
        <w:t>7:6.</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Those who respond first to study invitations, whether to participate or decline, have distinct characteristics within the study population.  This information can help structure recruitment efforts.</w:t>
      </w:r>
    </w:p>
    <w:p w:rsidR="00FE07CE" w:rsidRPr="00470AA7" w:rsidRDefault="00FE07CE" w:rsidP="006D7C9B">
      <w:pPr>
        <w:ind w:left="-360" w:right="-180"/>
        <w:rPr>
          <w:rFonts w:ascii="Arial" w:hAnsi="Arial" w:cs="Arial"/>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t xml:space="preserve">Smith TC, Smith B, </w:t>
      </w:r>
      <w:proofErr w:type="spellStart"/>
      <w:r w:rsidRPr="00470AA7">
        <w:rPr>
          <w:rFonts w:ascii="Arial" w:hAnsi="Arial" w:cs="Arial"/>
          <w:sz w:val="22"/>
          <w:szCs w:val="22"/>
        </w:rPr>
        <w:t>Corbeil</w:t>
      </w:r>
      <w:proofErr w:type="spellEnd"/>
      <w:r w:rsidRPr="00470AA7">
        <w:rPr>
          <w:rFonts w:ascii="Arial" w:hAnsi="Arial" w:cs="Arial"/>
          <w:sz w:val="22"/>
          <w:szCs w:val="22"/>
        </w:rPr>
        <w:t xml:space="preserve"> TE, Ryan MAK, Riddle JR, for the Millennium Cohort Study Team. </w:t>
      </w:r>
      <w:r w:rsidRPr="00470AA7">
        <w:rPr>
          <w:rFonts w:ascii="Arial" w:hAnsi="Arial" w:cs="Arial"/>
          <w:b/>
          <w:sz w:val="22"/>
          <w:szCs w:val="22"/>
        </w:rPr>
        <w:t xml:space="preserve">Impact of terrorism on caffeine and tobacco use </w:t>
      </w:r>
      <w:r w:rsidRPr="00470AA7">
        <w:rPr>
          <w:rFonts w:ascii="Arial" w:hAnsi="Arial" w:cs="Arial"/>
          <w:sz w:val="22"/>
          <w:szCs w:val="22"/>
        </w:rPr>
        <w:t>[letter in response to "Self-reported mental health among US military personnel, prior and subsequent to the terrorist attacks of September 11, 2001"]. Journal of Occupational and Environmental Medicine. 2004 Dec;46(12):1194-5.</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Authors of a previously highlighted article respond to important suggestions on future analyses.</w:t>
      </w:r>
    </w:p>
    <w:p w:rsidR="00D8783C" w:rsidRPr="00470AA7" w:rsidRDefault="00D8783C" w:rsidP="006D7C9B">
      <w:pPr>
        <w:ind w:left="-360" w:right="-180"/>
        <w:rPr>
          <w:rFonts w:ascii="Arial" w:hAnsi="Arial" w:cs="Arial"/>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t xml:space="preserve">Smith TC, Smith B, </w:t>
      </w:r>
      <w:proofErr w:type="spellStart"/>
      <w:r w:rsidRPr="00470AA7">
        <w:rPr>
          <w:rFonts w:ascii="Arial" w:hAnsi="Arial" w:cs="Arial"/>
          <w:sz w:val="22"/>
          <w:szCs w:val="22"/>
        </w:rPr>
        <w:t>Corbeil</w:t>
      </w:r>
      <w:proofErr w:type="spellEnd"/>
      <w:r w:rsidRPr="00470AA7">
        <w:rPr>
          <w:rFonts w:ascii="Arial" w:hAnsi="Arial" w:cs="Arial"/>
          <w:sz w:val="22"/>
          <w:szCs w:val="22"/>
        </w:rPr>
        <w:t xml:space="preserve"> TE, Riddle JR, and Ryan MAK, for the Millennium Cohort Study Team. </w:t>
      </w:r>
      <w:r w:rsidRPr="00470AA7">
        <w:rPr>
          <w:rFonts w:ascii="Arial" w:hAnsi="Arial" w:cs="Arial"/>
          <w:b/>
          <w:sz w:val="22"/>
          <w:szCs w:val="22"/>
        </w:rPr>
        <w:t>Self-reported mental health among US military personnel, prior and subsequent to the terrorist attacks of September 11, 2001.</w:t>
      </w:r>
      <w:r w:rsidRPr="00470AA7">
        <w:rPr>
          <w:rFonts w:ascii="Arial" w:hAnsi="Arial" w:cs="Arial"/>
          <w:sz w:val="22"/>
          <w:szCs w:val="22"/>
        </w:rPr>
        <w:t xml:space="preserve"> </w:t>
      </w:r>
      <w:r w:rsidRPr="00470AA7">
        <w:rPr>
          <w:rFonts w:ascii="Arial" w:hAnsi="Arial" w:cs="Arial"/>
          <w:iCs/>
          <w:sz w:val="22"/>
          <w:szCs w:val="22"/>
        </w:rPr>
        <w:t>Journal of Occupational and Environmental Medicine. 2004 Aug</w:t>
      </w:r>
      <w:r w:rsidRPr="00470AA7">
        <w:rPr>
          <w:rFonts w:ascii="Arial" w:hAnsi="Arial" w:cs="Arial"/>
          <w:sz w:val="22"/>
          <w:szCs w:val="22"/>
        </w:rPr>
        <w:t xml:space="preserve">;46(8):775-82. </w:t>
      </w:r>
    </w:p>
    <w:p w:rsidR="00D8783C" w:rsidRPr="00470AA7" w:rsidRDefault="00D8783C" w:rsidP="006D7C9B">
      <w:pPr>
        <w:ind w:left="-360" w:right="-180"/>
        <w:rPr>
          <w:rFonts w:ascii="Arial" w:hAnsi="Arial" w:cs="Arial"/>
          <w:i/>
          <w:sz w:val="22"/>
          <w:szCs w:val="22"/>
        </w:rPr>
      </w:pPr>
    </w:p>
    <w:p w:rsidR="00C90D4D" w:rsidRDefault="00D8783C" w:rsidP="006D7C9B">
      <w:pPr>
        <w:ind w:left="-360" w:right="-180"/>
        <w:rPr>
          <w:rFonts w:ascii="Arial" w:hAnsi="Arial" w:cs="Arial"/>
          <w:i/>
          <w:color w:val="0000FF"/>
          <w:sz w:val="22"/>
          <w:szCs w:val="22"/>
        </w:rPr>
      </w:pPr>
      <w:r w:rsidRPr="00470AA7">
        <w:rPr>
          <w:rFonts w:ascii="Arial" w:hAnsi="Arial" w:cs="Arial"/>
          <w:i/>
          <w:color w:val="0000FF"/>
          <w:sz w:val="22"/>
          <w:szCs w:val="22"/>
        </w:rPr>
        <w:t>Accepted without revision and featured by journal editors, this early analysis leveraged Millennium Cohort data to conclude that military members displayed stronger mental health characteristics soon after the terrorist attacks of September 11, 2001.   The authors suggest this may be attributed to resilience and/or an outpouring of support for the US military mission.</w:t>
      </w:r>
    </w:p>
    <w:p w:rsidR="00A51656" w:rsidRPr="00470AA7" w:rsidRDefault="00A51656" w:rsidP="006D7C9B">
      <w:pPr>
        <w:ind w:left="-360" w:right="-180"/>
        <w:rPr>
          <w:rFonts w:ascii="Arial" w:hAnsi="Arial" w:cs="Arial"/>
          <w:i/>
          <w:color w:val="0000FF"/>
          <w:sz w:val="22"/>
          <w:szCs w:val="22"/>
        </w:rPr>
      </w:pPr>
    </w:p>
    <w:p w:rsidR="00D8783C" w:rsidRPr="00470AA7" w:rsidRDefault="00D8783C" w:rsidP="006D7C9B">
      <w:pPr>
        <w:ind w:left="-360" w:right="-180"/>
        <w:rPr>
          <w:rFonts w:ascii="Arial" w:hAnsi="Arial" w:cs="Arial"/>
          <w:sz w:val="22"/>
          <w:szCs w:val="22"/>
        </w:rPr>
      </w:pPr>
      <w:r w:rsidRPr="00470AA7">
        <w:rPr>
          <w:rFonts w:ascii="Arial" w:hAnsi="Arial" w:cs="Arial"/>
          <w:sz w:val="22"/>
          <w:szCs w:val="22"/>
        </w:rPr>
        <w:t xml:space="preserve">Gray GC, </w:t>
      </w:r>
      <w:proofErr w:type="spellStart"/>
      <w:r w:rsidRPr="00470AA7">
        <w:rPr>
          <w:rFonts w:ascii="Arial" w:hAnsi="Arial" w:cs="Arial"/>
          <w:sz w:val="22"/>
          <w:szCs w:val="22"/>
        </w:rPr>
        <w:t>Chesbrough</w:t>
      </w:r>
      <w:proofErr w:type="spellEnd"/>
      <w:r w:rsidRPr="00470AA7">
        <w:rPr>
          <w:rFonts w:ascii="Arial" w:hAnsi="Arial" w:cs="Arial"/>
          <w:sz w:val="22"/>
          <w:szCs w:val="22"/>
        </w:rPr>
        <w:t xml:space="preserve"> KB, Ryan MAK, Amoroso P, Boyko EJ, Gackstetter GD, Hooper TI, Riddle JR, for the Millennium Cohort Study Group. </w:t>
      </w:r>
      <w:r w:rsidRPr="00470AA7">
        <w:rPr>
          <w:rFonts w:ascii="Arial" w:hAnsi="Arial" w:cs="Arial"/>
          <w:b/>
          <w:sz w:val="22"/>
          <w:szCs w:val="22"/>
        </w:rPr>
        <w:t>The Millennium Cohort Study: A 21-year prospective cohort study of 140,000 military personnel.</w:t>
      </w:r>
      <w:r w:rsidRPr="00470AA7">
        <w:rPr>
          <w:rFonts w:ascii="Arial" w:hAnsi="Arial" w:cs="Arial"/>
          <w:sz w:val="22"/>
          <w:szCs w:val="22"/>
        </w:rPr>
        <w:t xml:space="preserve"> </w:t>
      </w:r>
      <w:r w:rsidRPr="00470AA7">
        <w:rPr>
          <w:rFonts w:ascii="Arial" w:hAnsi="Arial" w:cs="Arial"/>
          <w:iCs/>
          <w:sz w:val="22"/>
          <w:szCs w:val="22"/>
        </w:rPr>
        <w:t xml:space="preserve">Military Medicine. </w:t>
      </w:r>
      <w:r w:rsidRPr="00470AA7">
        <w:rPr>
          <w:rFonts w:ascii="Arial" w:hAnsi="Arial" w:cs="Arial"/>
          <w:sz w:val="22"/>
          <w:szCs w:val="22"/>
        </w:rPr>
        <w:t>2002 Jun;167(6):483-8.</w:t>
      </w:r>
    </w:p>
    <w:p w:rsidR="00D8783C" w:rsidRPr="00470AA7" w:rsidRDefault="00D8783C" w:rsidP="006D7C9B">
      <w:pPr>
        <w:ind w:left="-360" w:right="-180"/>
        <w:rPr>
          <w:rFonts w:ascii="Arial" w:hAnsi="Arial" w:cs="Arial"/>
          <w:sz w:val="22"/>
          <w:szCs w:val="22"/>
        </w:rPr>
      </w:pPr>
    </w:p>
    <w:p w:rsidR="001029D9" w:rsidRPr="00470AA7" w:rsidRDefault="00D8783C" w:rsidP="006D7C9B">
      <w:pPr>
        <w:ind w:left="-360" w:right="-180"/>
        <w:rPr>
          <w:rFonts w:ascii="Arial" w:hAnsi="Arial" w:cs="Arial"/>
          <w:sz w:val="20"/>
          <w:szCs w:val="20"/>
        </w:rPr>
      </w:pPr>
      <w:r w:rsidRPr="00470AA7">
        <w:rPr>
          <w:rFonts w:ascii="Arial" w:hAnsi="Arial" w:cs="Arial"/>
          <w:i/>
          <w:color w:val="0000FF"/>
          <w:sz w:val="22"/>
          <w:szCs w:val="22"/>
        </w:rPr>
        <w:t>The origins and development of the Millennium Cohort Study are described.  The largest prospective study in military history was established to answer the most difficult questions about long-term health after military service.</w:t>
      </w:r>
    </w:p>
    <w:sectPr w:rsidR="001029D9" w:rsidRPr="00470AA7" w:rsidSect="0011701E">
      <w:headerReference w:type="default" r:id="rId13"/>
      <w:footerReference w:type="default" r:id="rId14"/>
      <w:pgSz w:w="12240" w:h="15840"/>
      <w:pgMar w:top="360" w:right="720" w:bottom="540" w:left="180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53D" w:rsidRDefault="002C653D">
      <w:r>
        <w:separator/>
      </w:r>
    </w:p>
  </w:endnote>
  <w:endnote w:type="continuationSeparator" w:id="0">
    <w:p w:rsidR="002C653D" w:rsidRDefault="002C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53D" w:rsidRDefault="002C653D" w:rsidP="0011701E">
    <w:pPr>
      <w:pStyle w:val="Footer"/>
      <w:jc w:val="right"/>
    </w:pPr>
    <w:r>
      <w:tab/>
    </w:r>
    <w:r w:rsidR="00AC5A05">
      <w:rPr>
        <w:rStyle w:val="PageNumber"/>
      </w:rPr>
      <w:fldChar w:fldCharType="begin"/>
    </w:r>
    <w:r>
      <w:rPr>
        <w:rStyle w:val="PageNumber"/>
      </w:rPr>
      <w:instrText xml:space="preserve"> PAGE </w:instrText>
    </w:r>
    <w:r w:rsidR="00AC5A05">
      <w:rPr>
        <w:rStyle w:val="PageNumber"/>
      </w:rPr>
      <w:fldChar w:fldCharType="separate"/>
    </w:r>
    <w:r w:rsidR="00CF57BA">
      <w:rPr>
        <w:rStyle w:val="PageNumber"/>
        <w:noProof/>
      </w:rPr>
      <w:t>1</w:t>
    </w:r>
    <w:r w:rsidR="00AC5A0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53D" w:rsidRDefault="002C653D">
      <w:r>
        <w:separator/>
      </w:r>
    </w:p>
  </w:footnote>
  <w:footnote w:type="continuationSeparator" w:id="0">
    <w:p w:rsidR="002C653D" w:rsidRDefault="002C6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53D" w:rsidRDefault="00CF57BA">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93.6pt;margin-top:-43.2pt;width:57.6pt;height:801pt;z-index:251657728" fillcolor="#039" stroked="f">
          <v:textbox style="layout-flow:vertical;mso-layout-flow-alt:bottom-to-top;mso-next-textbox:#_x0000_s2049">
            <w:txbxContent>
              <w:p w:rsidR="002C653D" w:rsidRPr="001F66F6" w:rsidRDefault="002C653D" w:rsidP="003803B1">
                <w:pPr>
                  <w:jc w:val="center"/>
                  <w:rPr>
                    <w:rFonts w:ascii="Arial" w:hAnsi="Arial" w:cs="Arial"/>
                    <w:b/>
                    <w:color w:val="FFFFFF"/>
                    <w:sz w:val="20"/>
                    <w:szCs w:val="20"/>
                  </w:rPr>
                </w:pPr>
              </w:p>
              <w:p w:rsidR="002C653D" w:rsidRPr="00BF5754" w:rsidRDefault="002C653D" w:rsidP="003803B1">
                <w:pPr>
                  <w:jc w:val="center"/>
                  <w:rPr>
                    <w:rFonts w:ascii="Arial" w:hAnsi="Arial" w:cs="Arial"/>
                    <w:b/>
                    <w:color w:val="FFFFFF"/>
                    <w:sz w:val="32"/>
                    <w:szCs w:val="32"/>
                  </w:rPr>
                </w:pPr>
                <w:r w:rsidRPr="007341B9">
                  <w:rPr>
                    <w:rFonts w:ascii="Arial" w:hAnsi="Arial" w:cs="Arial"/>
                    <w:b/>
                    <w:color w:val="FFFFFF"/>
                    <w:sz w:val="56"/>
                    <w:szCs w:val="56"/>
                  </w:rPr>
                  <w:t>FACT SHEET</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803B1"/>
    <w:rsid w:val="000054B0"/>
    <w:rsid w:val="00005749"/>
    <w:rsid w:val="00010AD0"/>
    <w:rsid w:val="000112EA"/>
    <w:rsid w:val="00011F05"/>
    <w:rsid w:val="00027A15"/>
    <w:rsid w:val="00037D07"/>
    <w:rsid w:val="00043B02"/>
    <w:rsid w:val="00052BF6"/>
    <w:rsid w:val="00052E10"/>
    <w:rsid w:val="000561D4"/>
    <w:rsid w:val="00061CD1"/>
    <w:rsid w:val="0007015C"/>
    <w:rsid w:val="00074D6C"/>
    <w:rsid w:val="00081D3D"/>
    <w:rsid w:val="000925F6"/>
    <w:rsid w:val="00096E01"/>
    <w:rsid w:val="000A5620"/>
    <w:rsid w:val="000B7E0C"/>
    <w:rsid w:val="000C3E7C"/>
    <w:rsid w:val="000D0EC5"/>
    <w:rsid w:val="000D5B94"/>
    <w:rsid w:val="000E3A76"/>
    <w:rsid w:val="000E405C"/>
    <w:rsid w:val="000F15B6"/>
    <w:rsid w:val="000F40A2"/>
    <w:rsid w:val="000F5C46"/>
    <w:rsid w:val="00100001"/>
    <w:rsid w:val="00100189"/>
    <w:rsid w:val="001029D9"/>
    <w:rsid w:val="00102D79"/>
    <w:rsid w:val="00114D28"/>
    <w:rsid w:val="0011701E"/>
    <w:rsid w:val="00117EF7"/>
    <w:rsid w:val="001245D1"/>
    <w:rsid w:val="00126F67"/>
    <w:rsid w:val="001316C9"/>
    <w:rsid w:val="0013581B"/>
    <w:rsid w:val="001372DA"/>
    <w:rsid w:val="0013759C"/>
    <w:rsid w:val="00141B71"/>
    <w:rsid w:val="0014202F"/>
    <w:rsid w:val="00142EF3"/>
    <w:rsid w:val="0014529E"/>
    <w:rsid w:val="00145987"/>
    <w:rsid w:val="00153B4D"/>
    <w:rsid w:val="001560AC"/>
    <w:rsid w:val="00156BFD"/>
    <w:rsid w:val="00157679"/>
    <w:rsid w:val="00162763"/>
    <w:rsid w:val="00162F1E"/>
    <w:rsid w:val="00173D81"/>
    <w:rsid w:val="00176F14"/>
    <w:rsid w:val="00181C14"/>
    <w:rsid w:val="0018384F"/>
    <w:rsid w:val="001847AE"/>
    <w:rsid w:val="001960F9"/>
    <w:rsid w:val="001B6C34"/>
    <w:rsid w:val="001C3EF5"/>
    <w:rsid w:val="001C4BE2"/>
    <w:rsid w:val="001C54CE"/>
    <w:rsid w:val="001D33D5"/>
    <w:rsid w:val="001D3785"/>
    <w:rsid w:val="001D51FD"/>
    <w:rsid w:val="001D6118"/>
    <w:rsid w:val="001D6C02"/>
    <w:rsid w:val="001E626B"/>
    <w:rsid w:val="001F335C"/>
    <w:rsid w:val="001F39C6"/>
    <w:rsid w:val="001F7335"/>
    <w:rsid w:val="001F7B56"/>
    <w:rsid w:val="00214CAA"/>
    <w:rsid w:val="00214F25"/>
    <w:rsid w:val="00215BD8"/>
    <w:rsid w:val="00216F68"/>
    <w:rsid w:val="00221363"/>
    <w:rsid w:val="00221665"/>
    <w:rsid w:val="00223C64"/>
    <w:rsid w:val="0022699A"/>
    <w:rsid w:val="00232632"/>
    <w:rsid w:val="00233B61"/>
    <w:rsid w:val="002341DD"/>
    <w:rsid w:val="00234D40"/>
    <w:rsid w:val="0023676C"/>
    <w:rsid w:val="00243967"/>
    <w:rsid w:val="00244CD1"/>
    <w:rsid w:val="00250ECC"/>
    <w:rsid w:val="00251284"/>
    <w:rsid w:val="00253FC5"/>
    <w:rsid w:val="00254023"/>
    <w:rsid w:val="00254C0D"/>
    <w:rsid w:val="0026178A"/>
    <w:rsid w:val="002678BB"/>
    <w:rsid w:val="00273EA9"/>
    <w:rsid w:val="00274A6A"/>
    <w:rsid w:val="00275801"/>
    <w:rsid w:val="00282A80"/>
    <w:rsid w:val="0028536B"/>
    <w:rsid w:val="002862B8"/>
    <w:rsid w:val="00292B89"/>
    <w:rsid w:val="0029363E"/>
    <w:rsid w:val="002A3D5B"/>
    <w:rsid w:val="002A4523"/>
    <w:rsid w:val="002A702B"/>
    <w:rsid w:val="002C2B43"/>
    <w:rsid w:val="002C3141"/>
    <w:rsid w:val="002C653D"/>
    <w:rsid w:val="002E1BEB"/>
    <w:rsid w:val="002F2715"/>
    <w:rsid w:val="002F5EC2"/>
    <w:rsid w:val="00310920"/>
    <w:rsid w:val="00311F6B"/>
    <w:rsid w:val="00315452"/>
    <w:rsid w:val="00320708"/>
    <w:rsid w:val="00321134"/>
    <w:rsid w:val="003304C4"/>
    <w:rsid w:val="00333D33"/>
    <w:rsid w:val="003351DA"/>
    <w:rsid w:val="003351EB"/>
    <w:rsid w:val="003479E3"/>
    <w:rsid w:val="00355F3D"/>
    <w:rsid w:val="00356AF8"/>
    <w:rsid w:val="00360A66"/>
    <w:rsid w:val="00364BC0"/>
    <w:rsid w:val="003717E0"/>
    <w:rsid w:val="003739FF"/>
    <w:rsid w:val="00373CF3"/>
    <w:rsid w:val="003800F1"/>
    <w:rsid w:val="003803B1"/>
    <w:rsid w:val="003838CF"/>
    <w:rsid w:val="0038415C"/>
    <w:rsid w:val="0038427F"/>
    <w:rsid w:val="003B1425"/>
    <w:rsid w:val="003C0C7E"/>
    <w:rsid w:val="003C60E9"/>
    <w:rsid w:val="003D23ED"/>
    <w:rsid w:val="003D60A3"/>
    <w:rsid w:val="003E02EE"/>
    <w:rsid w:val="003E306A"/>
    <w:rsid w:val="003E69D5"/>
    <w:rsid w:val="003F77DA"/>
    <w:rsid w:val="00401E4F"/>
    <w:rsid w:val="00402761"/>
    <w:rsid w:val="00405233"/>
    <w:rsid w:val="00414453"/>
    <w:rsid w:val="00423813"/>
    <w:rsid w:val="00436A7D"/>
    <w:rsid w:val="00445A5E"/>
    <w:rsid w:val="0045290B"/>
    <w:rsid w:val="00456F95"/>
    <w:rsid w:val="00465FDC"/>
    <w:rsid w:val="00470AA7"/>
    <w:rsid w:val="00471681"/>
    <w:rsid w:val="0047256E"/>
    <w:rsid w:val="00474BA3"/>
    <w:rsid w:val="0047589D"/>
    <w:rsid w:val="00477161"/>
    <w:rsid w:val="00481D12"/>
    <w:rsid w:val="00481FF7"/>
    <w:rsid w:val="00483AD9"/>
    <w:rsid w:val="00484E41"/>
    <w:rsid w:val="004944DC"/>
    <w:rsid w:val="00494D14"/>
    <w:rsid w:val="004A3E95"/>
    <w:rsid w:val="004B2686"/>
    <w:rsid w:val="004B2C6A"/>
    <w:rsid w:val="004B2E33"/>
    <w:rsid w:val="004B5C4C"/>
    <w:rsid w:val="004C592F"/>
    <w:rsid w:val="004D0D6E"/>
    <w:rsid w:val="004D2E96"/>
    <w:rsid w:val="004D51B4"/>
    <w:rsid w:val="004D687A"/>
    <w:rsid w:val="004D732F"/>
    <w:rsid w:val="004E4089"/>
    <w:rsid w:val="004E792B"/>
    <w:rsid w:val="004F2819"/>
    <w:rsid w:val="004F282A"/>
    <w:rsid w:val="004F3988"/>
    <w:rsid w:val="00504228"/>
    <w:rsid w:val="00507B59"/>
    <w:rsid w:val="005125E8"/>
    <w:rsid w:val="00521C87"/>
    <w:rsid w:val="00521EE3"/>
    <w:rsid w:val="00533251"/>
    <w:rsid w:val="00535880"/>
    <w:rsid w:val="00537E13"/>
    <w:rsid w:val="00542082"/>
    <w:rsid w:val="00543BCB"/>
    <w:rsid w:val="005444EC"/>
    <w:rsid w:val="00546E85"/>
    <w:rsid w:val="00555C96"/>
    <w:rsid w:val="00555DEE"/>
    <w:rsid w:val="00565C49"/>
    <w:rsid w:val="00567CB7"/>
    <w:rsid w:val="0057153D"/>
    <w:rsid w:val="00576E59"/>
    <w:rsid w:val="005813AE"/>
    <w:rsid w:val="00584C71"/>
    <w:rsid w:val="00591B17"/>
    <w:rsid w:val="0059329F"/>
    <w:rsid w:val="00594F64"/>
    <w:rsid w:val="00597AD9"/>
    <w:rsid w:val="005B1424"/>
    <w:rsid w:val="005C2C6B"/>
    <w:rsid w:val="005C4B61"/>
    <w:rsid w:val="005C61AF"/>
    <w:rsid w:val="005C7550"/>
    <w:rsid w:val="005D3E57"/>
    <w:rsid w:val="005D4849"/>
    <w:rsid w:val="005D4986"/>
    <w:rsid w:val="005D67CC"/>
    <w:rsid w:val="005D6A7F"/>
    <w:rsid w:val="005E0C9F"/>
    <w:rsid w:val="005E1FFE"/>
    <w:rsid w:val="005E6968"/>
    <w:rsid w:val="005F1E2F"/>
    <w:rsid w:val="005F352D"/>
    <w:rsid w:val="005F39C5"/>
    <w:rsid w:val="005F5757"/>
    <w:rsid w:val="00602D9C"/>
    <w:rsid w:val="00614A30"/>
    <w:rsid w:val="00620C4A"/>
    <w:rsid w:val="00621CD3"/>
    <w:rsid w:val="0062400C"/>
    <w:rsid w:val="00624BE9"/>
    <w:rsid w:val="00632603"/>
    <w:rsid w:val="00634A8C"/>
    <w:rsid w:val="00635199"/>
    <w:rsid w:val="00637946"/>
    <w:rsid w:val="00642EF8"/>
    <w:rsid w:val="0064354A"/>
    <w:rsid w:val="00646815"/>
    <w:rsid w:val="0065186A"/>
    <w:rsid w:val="006546DD"/>
    <w:rsid w:val="00656A1D"/>
    <w:rsid w:val="006611F9"/>
    <w:rsid w:val="0066205D"/>
    <w:rsid w:val="00666FBD"/>
    <w:rsid w:val="0067092F"/>
    <w:rsid w:val="006709E7"/>
    <w:rsid w:val="00671FC7"/>
    <w:rsid w:val="006737B4"/>
    <w:rsid w:val="00676E86"/>
    <w:rsid w:val="0068680A"/>
    <w:rsid w:val="00692E5F"/>
    <w:rsid w:val="00696184"/>
    <w:rsid w:val="006A1071"/>
    <w:rsid w:val="006A2478"/>
    <w:rsid w:val="006A286B"/>
    <w:rsid w:val="006A29A5"/>
    <w:rsid w:val="006B1337"/>
    <w:rsid w:val="006B4A13"/>
    <w:rsid w:val="006B6629"/>
    <w:rsid w:val="006B6780"/>
    <w:rsid w:val="006B6A1F"/>
    <w:rsid w:val="006D161D"/>
    <w:rsid w:val="006D7C9B"/>
    <w:rsid w:val="006E10CC"/>
    <w:rsid w:val="006E3576"/>
    <w:rsid w:val="006E4E22"/>
    <w:rsid w:val="006F095B"/>
    <w:rsid w:val="006F5D92"/>
    <w:rsid w:val="00710481"/>
    <w:rsid w:val="00710DED"/>
    <w:rsid w:val="00711448"/>
    <w:rsid w:val="00712FAA"/>
    <w:rsid w:val="007140E7"/>
    <w:rsid w:val="00715DB9"/>
    <w:rsid w:val="00716DDF"/>
    <w:rsid w:val="007172A0"/>
    <w:rsid w:val="00717B55"/>
    <w:rsid w:val="00721821"/>
    <w:rsid w:val="00723A46"/>
    <w:rsid w:val="00725AF3"/>
    <w:rsid w:val="0073482A"/>
    <w:rsid w:val="00735140"/>
    <w:rsid w:val="007359AC"/>
    <w:rsid w:val="00740FBC"/>
    <w:rsid w:val="00741EA1"/>
    <w:rsid w:val="007460C1"/>
    <w:rsid w:val="007475E3"/>
    <w:rsid w:val="00750E54"/>
    <w:rsid w:val="00763E3D"/>
    <w:rsid w:val="007734AB"/>
    <w:rsid w:val="00784C1B"/>
    <w:rsid w:val="00785793"/>
    <w:rsid w:val="007864C9"/>
    <w:rsid w:val="00787A85"/>
    <w:rsid w:val="00793B64"/>
    <w:rsid w:val="00793FFF"/>
    <w:rsid w:val="00797AB6"/>
    <w:rsid w:val="007A0387"/>
    <w:rsid w:val="007A25AD"/>
    <w:rsid w:val="007B4CE1"/>
    <w:rsid w:val="007B5A74"/>
    <w:rsid w:val="007B5AE7"/>
    <w:rsid w:val="007B6FBE"/>
    <w:rsid w:val="007C411E"/>
    <w:rsid w:val="007C654B"/>
    <w:rsid w:val="007C791D"/>
    <w:rsid w:val="007D06AE"/>
    <w:rsid w:val="007D09E5"/>
    <w:rsid w:val="007D5B09"/>
    <w:rsid w:val="007D5E09"/>
    <w:rsid w:val="007E6847"/>
    <w:rsid w:val="007E76F9"/>
    <w:rsid w:val="007F07CC"/>
    <w:rsid w:val="007F11D2"/>
    <w:rsid w:val="0080639D"/>
    <w:rsid w:val="00813E8C"/>
    <w:rsid w:val="00820661"/>
    <w:rsid w:val="00820908"/>
    <w:rsid w:val="00821EA7"/>
    <w:rsid w:val="00824B5D"/>
    <w:rsid w:val="00824BEB"/>
    <w:rsid w:val="008314E9"/>
    <w:rsid w:val="00831B30"/>
    <w:rsid w:val="00836CEC"/>
    <w:rsid w:val="00843711"/>
    <w:rsid w:val="00847392"/>
    <w:rsid w:val="0086068B"/>
    <w:rsid w:val="008610A3"/>
    <w:rsid w:val="00861F80"/>
    <w:rsid w:val="00863498"/>
    <w:rsid w:val="0086683A"/>
    <w:rsid w:val="00866D3C"/>
    <w:rsid w:val="0086725A"/>
    <w:rsid w:val="00877FE0"/>
    <w:rsid w:val="008A5992"/>
    <w:rsid w:val="008A6C27"/>
    <w:rsid w:val="008B3D93"/>
    <w:rsid w:val="008B723B"/>
    <w:rsid w:val="008D3C33"/>
    <w:rsid w:val="008D5177"/>
    <w:rsid w:val="008D5B73"/>
    <w:rsid w:val="008D646A"/>
    <w:rsid w:val="008E027D"/>
    <w:rsid w:val="008E0518"/>
    <w:rsid w:val="008E0CE4"/>
    <w:rsid w:val="008E4CF7"/>
    <w:rsid w:val="008F0C2E"/>
    <w:rsid w:val="008F2ADE"/>
    <w:rsid w:val="008F6770"/>
    <w:rsid w:val="008F701B"/>
    <w:rsid w:val="008F730D"/>
    <w:rsid w:val="008F7EE1"/>
    <w:rsid w:val="00906690"/>
    <w:rsid w:val="009073A9"/>
    <w:rsid w:val="00912999"/>
    <w:rsid w:val="00913443"/>
    <w:rsid w:val="00917132"/>
    <w:rsid w:val="0092219D"/>
    <w:rsid w:val="0093281B"/>
    <w:rsid w:val="009333D2"/>
    <w:rsid w:val="0094748F"/>
    <w:rsid w:val="00961A58"/>
    <w:rsid w:val="009633B6"/>
    <w:rsid w:val="00963515"/>
    <w:rsid w:val="00972357"/>
    <w:rsid w:val="009805EC"/>
    <w:rsid w:val="00983584"/>
    <w:rsid w:val="009868DE"/>
    <w:rsid w:val="009869EA"/>
    <w:rsid w:val="00990A2C"/>
    <w:rsid w:val="0099406C"/>
    <w:rsid w:val="00995858"/>
    <w:rsid w:val="009968EA"/>
    <w:rsid w:val="009B01ED"/>
    <w:rsid w:val="009B06DD"/>
    <w:rsid w:val="009B1BAE"/>
    <w:rsid w:val="009B4255"/>
    <w:rsid w:val="009B5A28"/>
    <w:rsid w:val="009D00B6"/>
    <w:rsid w:val="009D0A02"/>
    <w:rsid w:val="009D2F43"/>
    <w:rsid w:val="009D3328"/>
    <w:rsid w:val="009D38F5"/>
    <w:rsid w:val="009F57E9"/>
    <w:rsid w:val="00A0112D"/>
    <w:rsid w:val="00A02947"/>
    <w:rsid w:val="00A02DBE"/>
    <w:rsid w:val="00A045F2"/>
    <w:rsid w:val="00A15392"/>
    <w:rsid w:val="00A222D6"/>
    <w:rsid w:val="00A24AC8"/>
    <w:rsid w:val="00A26D52"/>
    <w:rsid w:val="00A26E67"/>
    <w:rsid w:val="00A33138"/>
    <w:rsid w:val="00A334F8"/>
    <w:rsid w:val="00A44A08"/>
    <w:rsid w:val="00A470E4"/>
    <w:rsid w:val="00A51656"/>
    <w:rsid w:val="00A530BA"/>
    <w:rsid w:val="00A56308"/>
    <w:rsid w:val="00A614A0"/>
    <w:rsid w:val="00A61ACF"/>
    <w:rsid w:val="00A66C50"/>
    <w:rsid w:val="00A713DC"/>
    <w:rsid w:val="00A71CFE"/>
    <w:rsid w:val="00A7304C"/>
    <w:rsid w:val="00A768A8"/>
    <w:rsid w:val="00A808BA"/>
    <w:rsid w:val="00A820FA"/>
    <w:rsid w:val="00A9367A"/>
    <w:rsid w:val="00A940A1"/>
    <w:rsid w:val="00A96738"/>
    <w:rsid w:val="00A96C06"/>
    <w:rsid w:val="00A97FFA"/>
    <w:rsid w:val="00AA0CAA"/>
    <w:rsid w:val="00AA38F6"/>
    <w:rsid w:val="00AA441D"/>
    <w:rsid w:val="00AA4C8A"/>
    <w:rsid w:val="00AA7C8F"/>
    <w:rsid w:val="00AB37E9"/>
    <w:rsid w:val="00AC078D"/>
    <w:rsid w:val="00AC0C2E"/>
    <w:rsid w:val="00AC1C3E"/>
    <w:rsid w:val="00AC2B07"/>
    <w:rsid w:val="00AC2B5A"/>
    <w:rsid w:val="00AC5A05"/>
    <w:rsid w:val="00AD38F8"/>
    <w:rsid w:val="00AD4CDB"/>
    <w:rsid w:val="00AE063A"/>
    <w:rsid w:val="00AF70E3"/>
    <w:rsid w:val="00B00407"/>
    <w:rsid w:val="00B010B6"/>
    <w:rsid w:val="00B0478E"/>
    <w:rsid w:val="00B048EF"/>
    <w:rsid w:val="00B24939"/>
    <w:rsid w:val="00B34B9D"/>
    <w:rsid w:val="00B35714"/>
    <w:rsid w:val="00B36287"/>
    <w:rsid w:val="00B40415"/>
    <w:rsid w:val="00B41AD4"/>
    <w:rsid w:val="00B43B5C"/>
    <w:rsid w:val="00B4414C"/>
    <w:rsid w:val="00B46751"/>
    <w:rsid w:val="00B6559B"/>
    <w:rsid w:val="00B6663C"/>
    <w:rsid w:val="00B829B5"/>
    <w:rsid w:val="00B85054"/>
    <w:rsid w:val="00B859BA"/>
    <w:rsid w:val="00B86E86"/>
    <w:rsid w:val="00B9234E"/>
    <w:rsid w:val="00B97DDD"/>
    <w:rsid w:val="00BA0CD0"/>
    <w:rsid w:val="00BA72FF"/>
    <w:rsid w:val="00BB05D3"/>
    <w:rsid w:val="00BB348C"/>
    <w:rsid w:val="00BB6330"/>
    <w:rsid w:val="00BC04DB"/>
    <w:rsid w:val="00BC1BDD"/>
    <w:rsid w:val="00BC5598"/>
    <w:rsid w:val="00BC5803"/>
    <w:rsid w:val="00BC7B7B"/>
    <w:rsid w:val="00BE23FA"/>
    <w:rsid w:val="00BF22FA"/>
    <w:rsid w:val="00C064A2"/>
    <w:rsid w:val="00C065F2"/>
    <w:rsid w:val="00C131F0"/>
    <w:rsid w:val="00C228A8"/>
    <w:rsid w:val="00C3328F"/>
    <w:rsid w:val="00C33CDB"/>
    <w:rsid w:val="00C356A9"/>
    <w:rsid w:val="00C37708"/>
    <w:rsid w:val="00C5508C"/>
    <w:rsid w:val="00C56178"/>
    <w:rsid w:val="00C57EAC"/>
    <w:rsid w:val="00C61A3D"/>
    <w:rsid w:val="00C74EBA"/>
    <w:rsid w:val="00C83907"/>
    <w:rsid w:val="00C90CA7"/>
    <w:rsid w:val="00C90D4D"/>
    <w:rsid w:val="00CA1A00"/>
    <w:rsid w:val="00CA70A6"/>
    <w:rsid w:val="00CA7EE6"/>
    <w:rsid w:val="00CB5938"/>
    <w:rsid w:val="00CB69F6"/>
    <w:rsid w:val="00CB717C"/>
    <w:rsid w:val="00CC1538"/>
    <w:rsid w:val="00CC1E22"/>
    <w:rsid w:val="00CC2AE5"/>
    <w:rsid w:val="00CC2D07"/>
    <w:rsid w:val="00CD192C"/>
    <w:rsid w:val="00CD21F3"/>
    <w:rsid w:val="00CD4D16"/>
    <w:rsid w:val="00CD70CC"/>
    <w:rsid w:val="00CD7849"/>
    <w:rsid w:val="00CE3937"/>
    <w:rsid w:val="00CE7EA5"/>
    <w:rsid w:val="00CF57BA"/>
    <w:rsid w:val="00D043D7"/>
    <w:rsid w:val="00D21E88"/>
    <w:rsid w:val="00D24FA3"/>
    <w:rsid w:val="00D307C4"/>
    <w:rsid w:val="00D33C15"/>
    <w:rsid w:val="00D33F7D"/>
    <w:rsid w:val="00D37371"/>
    <w:rsid w:val="00D41E37"/>
    <w:rsid w:val="00D5229C"/>
    <w:rsid w:val="00D53F52"/>
    <w:rsid w:val="00D5604B"/>
    <w:rsid w:val="00D60C03"/>
    <w:rsid w:val="00D64AB3"/>
    <w:rsid w:val="00D70A61"/>
    <w:rsid w:val="00D8783C"/>
    <w:rsid w:val="00D92E8C"/>
    <w:rsid w:val="00D9493E"/>
    <w:rsid w:val="00DB037D"/>
    <w:rsid w:val="00DB087D"/>
    <w:rsid w:val="00DB2BEA"/>
    <w:rsid w:val="00DC6ACD"/>
    <w:rsid w:val="00DE1835"/>
    <w:rsid w:val="00DF021E"/>
    <w:rsid w:val="00DF2B6E"/>
    <w:rsid w:val="00DF2F8B"/>
    <w:rsid w:val="00E00E57"/>
    <w:rsid w:val="00E018DA"/>
    <w:rsid w:val="00E01F32"/>
    <w:rsid w:val="00E02904"/>
    <w:rsid w:val="00E02AF7"/>
    <w:rsid w:val="00E071C1"/>
    <w:rsid w:val="00E14322"/>
    <w:rsid w:val="00E14A64"/>
    <w:rsid w:val="00E15D74"/>
    <w:rsid w:val="00E24CF7"/>
    <w:rsid w:val="00E3265C"/>
    <w:rsid w:val="00E34358"/>
    <w:rsid w:val="00E35CFB"/>
    <w:rsid w:val="00E41BCD"/>
    <w:rsid w:val="00E45AE1"/>
    <w:rsid w:val="00E47556"/>
    <w:rsid w:val="00E47A85"/>
    <w:rsid w:val="00E52AA1"/>
    <w:rsid w:val="00E54AF2"/>
    <w:rsid w:val="00E558C0"/>
    <w:rsid w:val="00E617F3"/>
    <w:rsid w:val="00E64268"/>
    <w:rsid w:val="00E7340E"/>
    <w:rsid w:val="00E81612"/>
    <w:rsid w:val="00E83F25"/>
    <w:rsid w:val="00E854D0"/>
    <w:rsid w:val="00E93F4F"/>
    <w:rsid w:val="00E952DB"/>
    <w:rsid w:val="00EA3781"/>
    <w:rsid w:val="00EA649D"/>
    <w:rsid w:val="00EA7A6C"/>
    <w:rsid w:val="00EB5E2B"/>
    <w:rsid w:val="00EB6298"/>
    <w:rsid w:val="00EC12A8"/>
    <w:rsid w:val="00EE575C"/>
    <w:rsid w:val="00EF0FE3"/>
    <w:rsid w:val="00EF202E"/>
    <w:rsid w:val="00EF4A73"/>
    <w:rsid w:val="00EF771B"/>
    <w:rsid w:val="00F03B69"/>
    <w:rsid w:val="00F03EB0"/>
    <w:rsid w:val="00F03ECB"/>
    <w:rsid w:val="00F042DF"/>
    <w:rsid w:val="00F11C47"/>
    <w:rsid w:val="00F13A68"/>
    <w:rsid w:val="00F37D71"/>
    <w:rsid w:val="00F41EAB"/>
    <w:rsid w:val="00F41F63"/>
    <w:rsid w:val="00F45CD7"/>
    <w:rsid w:val="00F46049"/>
    <w:rsid w:val="00F46BE5"/>
    <w:rsid w:val="00F52B0A"/>
    <w:rsid w:val="00F54476"/>
    <w:rsid w:val="00F60D01"/>
    <w:rsid w:val="00F638C5"/>
    <w:rsid w:val="00F63AEB"/>
    <w:rsid w:val="00F6530C"/>
    <w:rsid w:val="00F65DBB"/>
    <w:rsid w:val="00F70C70"/>
    <w:rsid w:val="00F803D0"/>
    <w:rsid w:val="00F86949"/>
    <w:rsid w:val="00F93C48"/>
    <w:rsid w:val="00F97E10"/>
    <w:rsid w:val="00FA34C1"/>
    <w:rsid w:val="00FA6004"/>
    <w:rsid w:val="00FB0F6D"/>
    <w:rsid w:val="00FC3A2D"/>
    <w:rsid w:val="00FD02E5"/>
    <w:rsid w:val="00FD0799"/>
    <w:rsid w:val="00FD25BD"/>
    <w:rsid w:val="00FD4268"/>
    <w:rsid w:val="00FD7DCD"/>
    <w:rsid w:val="00FE07CE"/>
    <w:rsid w:val="00FE3F13"/>
    <w:rsid w:val="00FF11F3"/>
    <w:rsid w:val="00FF1D5B"/>
    <w:rsid w:val="00FF3679"/>
    <w:rsid w:val="00FF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7F3"/>
    <w:rPr>
      <w:sz w:val="24"/>
      <w:szCs w:val="24"/>
    </w:rPr>
  </w:style>
  <w:style w:type="paragraph" w:styleId="Heading2">
    <w:name w:val="heading 2"/>
    <w:basedOn w:val="Normal"/>
    <w:qFormat/>
    <w:rsid w:val="005E1FF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03B1"/>
    <w:pPr>
      <w:tabs>
        <w:tab w:val="center" w:pos="4320"/>
        <w:tab w:val="right" w:pos="8640"/>
      </w:tabs>
    </w:pPr>
  </w:style>
  <w:style w:type="paragraph" w:styleId="Footer">
    <w:name w:val="footer"/>
    <w:basedOn w:val="Normal"/>
    <w:rsid w:val="003803B1"/>
    <w:pPr>
      <w:tabs>
        <w:tab w:val="center" w:pos="4320"/>
        <w:tab w:val="right" w:pos="8640"/>
      </w:tabs>
    </w:pPr>
  </w:style>
  <w:style w:type="character" w:styleId="Hyperlink">
    <w:name w:val="Hyperlink"/>
    <w:basedOn w:val="DefaultParagraphFont"/>
    <w:rsid w:val="003803B1"/>
    <w:rPr>
      <w:color w:val="0000FF"/>
      <w:u w:val="single"/>
    </w:rPr>
  </w:style>
  <w:style w:type="paragraph" w:styleId="NormalWeb">
    <w:name w:val="Normal (Web)"/>
    <w:basedOn w:val="Normal"/>
    <w:rsid w:val="005E1FFE"/>
    <w:pPr>
      <w:spacing w:before="100" w:beforeAutospacing="1" w:after="100" w:afterAutospacing="1"/>
    </w:pPr>
  </w:style>
  <w:style w:type="character" w:customStyle="1" w:styleId="subhead1">
    <w:name w:val="subhead1"/>
    <w:basedOn w:val="DefaultParagraphFont"/>
    <w:rsid w:val="005E1FFE"/>
    <w:rPr>
      <w:rFonts w:ascii="Verdana" w:hAnsi="Verdana" w:hint="default"/>
      <w:b/>
      <w:bCs/>
      <w:sz w:val="24"/>
      <w:szCs w:val="24"/>
    </w:rPr>
  </w:style>
  <w:style w:type="character" w:styleId="Strong">
    <w:name w:val="Strong"/>
    <w:basedOn w:val="DefaultParagraphFont"/>
    <w:uiPriority w:val="22"/>
    <w:qFormat/>
    <w:rsid w:val="005E1FFE"/>
    <w:rPr>
      <w:b/>
      <w:bCs/>
    </w:rPr>
  </w:style>
  <w:style w:type="character" w:customStyle="1" w:styleId="ti2">
    <w:name w:val="ti2"/>
    <w:basedOn w:val="DefaultParagraphFont"/>
    <w:rsid w:val="005E1FFE"/>
    <w:rPr>
      <w:sz w:val="22"/>
      <w:szCs w:val="22"/>
    </w:rPr>
  </w:style>
  <w:style w:type="character" w:styleId="PageNumber">
    <w:name w:val="page number"/>
    <w:basedOn w:val="DefaultParagraphFont"/>
    <w:rsid w:val="0011701E"/>
  </w:style>
  <w:style w:type="paragraph" w:styleId="PlainText">
    <w:name w:val="Plain Text"/>
    <w:basedOn w:val="Normal"/>
    <w:link w:val="PlainTextChar"/>
    <w:uiPriority w:val="99"/>
    <w:unhideWhenUsed/>
    <w:rsid w:val="00824BEB"/>
    <w:rPr>
      <w:rFonts w:ascii="Consolas" w:eastAsia="Calibri" w:hAnsi="Consolas"/>
      <w:sz w:val="21"/>
      <w:szCs w:val="21"/>
    </w:rPr>
  </w:style>
  <w:style w:type="character" w:customStyle="1" w:styleId="PlainTextChar">
    <w:name w:val="Plain Text Char"/>
    <w:basedOn w:val="DefaultParagraphFont"/>
    <w:link w:val="PlainText"/>
    <w:uiPriority w:val="99"/>
    <w:rsid w:val="00824BEB"/>
    <w:rPr>
      <w:rFonts w:ascii="Consolas" w:eastAsia="Calibri" w:hAnsi="Consolas" w:cs="Times New Roman"/>
      <w:sz w:val="21"/>
      <w:szCs w:val="21"/>
    </w:rPr>
  </w:style>
  <w:style w:type="paragraph" w:styleId="BalloonText">
    <w:name w:val="Balloon Text"/>
    <w:basedOn w:val="Normal"/>
    <w:link w:val="BalloonTextChar"/>
    <w:rsid w:val="008D3C33"/>
    <w:rPr>
      <w:rFonts w:ascii="Tahoma" w:hAnsi="Tahoma" w:cs="Tahoma"/>
      <w:sz w:val="16"/>
      <w:szCs w:val="16"/>
    </w:rPr>
  </w:style>
  <w:style w:type="character" w:customStyle="1" w:styleId="BalloonTextChar">
    <w:name w:val="Balloon Text Char"/>
    <w:basedOn w:val="DefaultParagraphFont"/>
    <w:link w:val="BalloonText"/>
    <w:rsid w:val="008D3C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0212">
      <w:bodyDiv w:val="1"/>
      <w:marLeft w:val="0"/>
      <w:marRight w:val="0"/>
      <w:marTop w:val="0"/>
      <w:marBottom w:val="0"/>
      <w:divBdr>
        <w:top w:val="none" w:sz="0" w:space="0" w:color="auto"/>
        <w:left w:val="none" w:sz="0" w:space="0" w:color="auto"/>
        <w:bottom w:val="none" w:sz="0" w:space="0" w:color="auto"/>
        <w:right w:val="none" w:sz="0" w:space="0" w:color="auto"/>
      </w:divBdr>
    </w:div>
    <w:div w:id="10960076">
      <w:bodyDiv w:val="1"/>
      <w:marLeft w:val="0"/>
      <w:marRight w:val="0"/>
      <w:marTop w:val="0"/>
      <w:marBottom w:val="0"/>
      <w:divBdr>
        <w:top w:val="none" w:sz="0" w:space="0" w:color="auto"/>
        <w:left w:val="none" w:sz="0" w:space="0" w:color="auto"/>
        <w:bottom w:val="none" w:sz="0" w:space="0" w:color="auto"/>
        <w:right w:val="none" w:sz="0" w:space="0" w:color="auto"/>
      </w:divBdr>
    </w:div>
    <w:div w:id="29844633">
      <w:bodyDiv w:val="1"/>
      <w:marLeft w:val="0"/>
      <w:marRight w:val="0"/>
      <w:marTop w:val="0"/>
      <w:marBottom w:val="0"/>
      <w:divBdr>
        <w:top w:val="none" w:sz="0" w:space="0" w:color="auto"/>
        <w:left w:val="none" w:sz="0" w:space="0" w:color="auto"/>
        <w:bottom w:val="none" w:sz="0" w:space="0" w:color="auto"/>
        <w:right w:val="none" w:sz="0" w:space="0" w:color="auto"/>
      </w:divBdr>
    </w:div>
    <w:div w:id="54401998">
      <w:bodyDiv w:val="1"/>
      <w:marLeft w:val="0"/>
      <w:marRight w:val="0"/>
      <w:marTop w:val="0"/>
      <w:marBottom w:val="0"/>
      <w:divBdr>
        <w:top w:val="none" w:sz="0" w:space="0" w:color="auto"/>
        <w:left w:val="none" w:sz="0" w:space="0" w:color="auto"/>
        <w:bottom w:val="none" w:sz="0" w:space="0" w:color="auto"/>
        <w:right w:val="none" w:sz="0" w:space="0" w:color="auto"/>
      </w:divBdr>
    </w:div>
    <w:div w:id="64037689">
      <w:bodyDiv w:val="1"/>
      <w:marLeft w:val="0"/>
      <w:marRight w:val="0"/>
      <w:marTop w:val="0"/>
      <w:marBottom w:val="0"/>
      <w:divBdr>
        <w:top w:val="none" w:sz="0" w:space="0" w:color="auto"/>
        <w:left w:val="none" w:sz="0" w:space="0" w:color="auto"/>
        <w:bottom w:val="none" w:sz="0" w:space="0" w:color="auto"/>
        <w:right w:val="none" w:sz="0" w:space="0" w:color="auto"/>
      </w:divBdr>
    </w:div>
    <w:div w:id="65304412">
      <w:bodyDiv w:val="1"/>
      <w:marLeft w:val="0"/>
      <w:marRight w:val="0"/>
      <w:marTop w:val="0"/>
      <w:marBottom w:val="0"/>
      <w:divBdr>
        <w:top w:val="none" w:sz="0" w:space="0" w:color="auto"/>
        <w:left w:val="none" w:sz="0" w:space="0" w:color="auto"/>
        <w:bottom w:val="none" w:sz="0" w:space="0" w:color="auto"/>
        <w:right w:val="none" w:sz="0" w:space="0" w:color="auto"/>
      </w:divBdr>
    </w:div>
    <w:div w:id="96096815">
      <w:bodyDiv w:val="1"/>
      <w:marLeft w:val="0"/>
      <w:marRight w:val="0"/>
      <w:marTop w:val="0"/>
      <w:marBottom w:val="0"/>
      <w:divBdr>
        <w:top w:val="none" w:sz="0" w:space="0" w:color="auto"/>
        <w:left w:val="none" w:sz="0" w:space="0" w:color="auto"/>
        <w:bottom w:val="none" w:sz="0" w:space="0" w:color="auto"/>
        <w:right w:val="none" w:sz="0" w:space="0" w:color="auto"/>
      </w:divBdr>
    </w:div>
    <w:div w:id="97991449">
      <w:bodyDiv w:val="1"/>
      <w:marLeft w:val="0"/>
      <w:marRight w:val="0"/>
      <w:marTop w:val="0"/>
      <w:marBottom w:val="0"/>
      <w:divBdr>
        <w:top w:val="none" w:sz="0" w:space="0" w:color="auto"/>
        <w:left w:val="none" w:sz="0" w:space="0" w:color="auto"/>
        <w:bottom w:val="none" w:sz="0" w:space="0" w:color="auto"/>
        <w:right w:val="none" w:sz="0" w:space="0" w:color="auto"/>
      </w:divBdr>
    </w:div>
    <w:div w:id="107554054">
      <w:bodyDiv w:val="1"/>
      <w:marLeft w:val="0"/>
      <w:marRight w:val="0"/>
      <w:marTop w:val="0"/>
      <w:marBottom w:val="0"/>
      <w:divBdr>
        <w:top w:val="none" w:sz="0" w:space="0" w:color="auto"/>
        <w:left w:val="none" w:sz="0" w:space="0" w:color="auto"/>
        <w:bottom w:val="none" w:sz="0" w:space="0" w:color="auto"/>
        <w:right w:val="none" w:sz="0" w:space="0" w:color="auto"/>
      </w:divBdr>
    </w:div>
    <w:div w:id="119494363">
      <w:bodyDiv w:val="1"/>
      <w:marLeft w:val="0"/>
      <w:marRight w:val="0"/>
      <w:marTop w:val="0"/>
      <w:marBottom w:val="0"/>
      <w:divBdr>
        <w:top w:val="none" w:sz="0" w:space="0" w:color="auto"/>
        <w:left w:val="none" w:sz="0" w:space="0" w:color="auto"/>
        <w:bottom w:val="none" w:sz="0" w:space="0" w:color="auto"/>
        <w:right w:val="none" w:sz="0" w:space="0" w:color="auto"/>
      </w:divBdr>
      <w:divsChild>
        <w:div w:id="1472941835">
          <w:marLeft w:val="0"/>
          <w:marRight w:val="0"/>
          <w:marTop w:val="0"/>
          <w:marBottom w:val="0"/>
          <w:divBdr>
            <w:top w:val="none" w:sz="0" w:space="0" w:color="auto"/>
            <w:left w:val="none" w:sz="0" w:space="0" w:color="auto"/>
            <w:bottom w:val="none" w:sz="0" w:space="0" w:color="auto"/>
            <w:right w:val="none" w:sz="0" w:space="0" w:color="auto"/>
          </w:divBdr>
          <w:divsChild>
            <w:div w:id="821435643">
              <w:marLeft w:val="0"/>
              <w:marRight w:val="0"/>
              <w:marTop w:val="0"/>
              <w:marBottom w:val="0"/>
              <w:divBdr>
                <w:top w:val="none" w:sz="0" w:space="0" w:color="auto"/>
                <w:left w:val="none" w:sz="0" w:space="0" w:color="auto"/>
                <w:bottom w:val="none" w:sz="0" w:space="0" w:color="auto"/>
                <w:right w:val="none" w:sz="0" w:space="0" w:color="auto"/>
              </w:divBdr>
              <w:divsChild>
                <w:div w:id="577254678">
                  <w:marLeft w:val="0"/>
                  <w:marRight w:val="0"/>
                  <w:marTop w:val="0"/>
                  <w:marBottom w:val="0"/>
                  <w:divBdr>
                    <w:top w:val="none" w:sz="0" w:space="0" w:color="auto"/>
                    <w:left w:val="none" w:sz="0" w:space="0" w:color="auto"/>
                    <w:bottom w:val="none" w:sz="0" w:space="0" w:color="auto"/>
                    <w:right w:val="none" w:sz="0" w:space="0" w:color="auto"/>
                  </w:divBdr>
                  <w:divsChild>
                    <w:div w:id="1755786547">
                      <w:marLeft w:val="0"/>
                      <w:marRight w:val="0"/>
                      <w:marTop w:val="0"/>
                      <w:marBottom w:val="0"/>
                      <w:divBdr>
                        <w:top w:val="none" w:sz="0" w:space="0" w:color="auto"/>
                        <w:left w:val="none" w:sz="0" w:space="0" w:color="auto"/>
                        <w:bottom w:val="none" w:sz="0" w:space="0" w:color="auto"/>
                        <w:right w:val="none" w:sz="0" w:space="0" w:color="auto"/>
                      </w:divBdr>
                      <w:divsChild>
                        <w:div w:id="1507942062">
                          <w:marLeft w:val="0"/>
                          <w:marRight w:val="0"/>
                          <w:marTop w:val="0"/>
                          <w:marBottom w:val="0"/>
                          <w:divBdr>
                            <w:top w:val="none" w:sz="0" w:space="0" w:color="auto"/>
                            <w:left w:val="none" w:sz="0" w:space="0" w:color="auto"/>
                            <w:bottom w:val="none" w:sz="0" w:space="0" w:color="auto"/>
                            <w:right w:val="none" w:sz="0" w:space="0" w:color="auto"/>
                          </w:divBdr>
                          <w:divsChild>
                            <w:div w:id="1655142968">
                              <w:marLeft w:val="0"/>
                              <w:marRight w:val="0"/>
                              <w:marTop w:val="0"/>
                              <w:marBottom w:val="0"/>
                              <w:divBdr>
                                <w:top w:val="none" w:sz="0" w:space="0" w:color="auto"/>
                                <w:left w:val="none" w:sz="0" w:space="0" w:color="auto"/>
                                <w:bottom w:val="none" w:sz="0" w:space="0" w:color="auto"/>
                                <w:right w:val="none" w:sz="0" w:space="0" w:color="auto"/>
                              </w:divBdr>
                              <w:divsChild>
                                <w:div w:id="1603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300561">
      <w:bodyDiv w:val="1"/>
      <w:marLeft w:val="0"/>
      <w:marRight w:val="0"/>
      <w:marTop w:val="0"/>
      <w:marBottom w:val="0"/>
      <w:divBdr>
        <w:top w:val="none" w:sz="0" w:space="0" w:color="auto"/>
        <w:left w:val="none" w:sz="0" w:space="0" w:color="auto"/>
        <w:bottom w:val="none" w:sz="0" w:space="0" w:color="auto"/>
        <w:right w:val="none" w:sz="0" w:space="0" w:color="auto"/>
      </w:divBdr>
    </w:div>
    <w:div w:id="237909566">
      <w:bodyDiv w:val="1"/>
      <w:marLeft w:val="0"/>
      <w:marRight w:val="0"/>
      <w:marTop w:val="0"/>
      <w:marBottom w:val="0"/>
      <w:divBdr>
        <w:top w:val="none" w:sz="0" w:space="0" w:color="auto"/>
        <w:left w:val="none" w:sz="0" w:space="0" w:color="auto"/>
        <w:bottom w:val="none" w:sz="0" w:space="0" w:color="auto"/>
        <w:right w:val="none" w:sz="0" w:space="0" w:color="auto"/>
      </w:divBdr>
    </w:div>
    <w:div w:id="242378399">
      <w:bodyDiv w:val="1"/>
      <w:marLeft w:val="0"/>
      <w:marRight w:val="0"/>
      <w:marTop w:val="0"/>
      <w:marBottom w:val="0"/>
      <w:divBdr>
        <w:top w:val="none" w:sz="0" w:space="0" w:color="auto"/>
        <w:left w:val="none" w:sz="0" w:space="0" w:color="auto"/>
        <w:bottom w:val="none" w:sz="0" w:space="0" w:color="auto"/>
        <w:right w:val="none" w:sz="0" w:space="0" w:color="auto"/>
      </w:divBdr>
    </w:div>
    <w:div w:id="250117173">
      <w:bodyDiv w:val="1"/>
      <w:marLeft w:val="0"/>
      <w:marRight w:val="0"/>
      <w:marTop w:val="0"/>
      <w:marBottom w:val="0"/>
      <w:divBdr>
        <w:top w:val="none" w:sz="0" w:space="0" w:color="auto"/>
        <w:left w:val="none" w:sz="0" w:space="0" w:color="auto"/>
        <w:bottom w:val="none" w:sz="0" w:space="0" w:color="auto"/>
        <w:right w:val="none" w:sz="0" w:space="0" w:color="auto"/>
      </w:divBdr>
    </w:div>
    <w:div w:id="320237253">
      <w:bodyDiv w:val="1"/>
      <w:marLeft w:val="0"/>
      <w:marRight w:val="0"/>
      <w:marTop w:val="0"/>
      <w:marBottom w:val="0"/>
      <w:divBdr>
        <w:top w:val="none" w:sz="0" w:space="0" w:color="auto"/>
        <w:left w:val="none" w:sz="0" w:space="0" w:color="auto"/>
        <w:bottom w:val="none" w:sz="0" w:space="0" w:color="auto"/>
        <w:right w:val="none" w:sz="0" w:space="0" w:color="auto"/>
      </w:divBdr>
    </w:div>
    <w:div w:id="327638894">
      <w:bodyDiv w:val="1"/>
      <w:marLeft w:val="0"/>
      <w:marRight w:val="0"/>
      <w:marTop w:val="0"/>
      <w:marBottom w:val="0"/>
      <w:divBdr>
        <w:top w:val="none" w:sz="0" w:space="0" w:color="auto"/>
        <w:left w:val="none" w:sz="0" w:space="0" w:color="auto"/>
        <w:bottom w:val="none" w:sz="0" w:space="0" w:color="auto"/>
        <w:right w:val="none" w:sz="0" w:space="0" w:color="auto"/>
      </w:divBdr>
    </w:div>
    <w:div w:id="412628026">
      <w:bodyDiv w:val="1"/>
      <w:marLeft w:val="0"/>
      <w:marRight w:val="0"/>
      <w:marTop w:val="0"/>
      <w:marBottom w:val="0"/>
      <w:divBdr>
        <w:top w:val="none" w:sz="0" w:space="0" w:color="auto"/>
        <w:left w:val="none" w:sz="0" w:space="0" w:color="auto"/>
        <w:bottom w:val="none" w:sz="0" w:space="0" w:color="auto"/>
        <w:right w:val="none" w:sz="0" w:space="0" w:color="auto"/>
      </w:divBdr>
    </w:div>
    <w:div w:id="535583432">
      <w:bodyDiv w:val="1"/>
      <w:marLeft w:val="0"/>
      <w:marRight w:val="0"/>
      <w:marTop w:val="0"/>
      <w:marBottom w:val="0"/>
      <w:divBdr>
        <w:top w:val="none" w:sz="0" w:space="0" w:color="auto"/>
        <w:left w:val="none" w:sz="0" w:space="0" w:color="auto"/>
        <w:bottom w:val="none" w:sz="0" w:space="0" w:color="auto"/>
        <w:right w:val="none" w:sz="0" w:space="0" w:color="auto"/>
      </w:divBdr>
    </w:div>
    <w:div w:id="549659207">
      <w:bodyDiv w:val="1"/>
      <w:marLeft w:val="0"/>
      <w:marRight w:val="0"/>
      <w:marTop w:val="0"/>
      <w:marBottom w:val="0"/>
      <w:divBdr>
        <w:top w:val="none" w:sz="0" w:space="0" w:color="auto"/>
        <w:left w:val="none" w:sz="0" w:space="0" w:color="auto"/>
        <w:bottom w:val="none" w:sz="0" w:space="0" w:color="auto"/>
        <w:right w:val="none" w:sz="0" w:space="0" w:color="auto"/>
      </w:divBdr>
    </w:div>
    <w:div w:id="554701947">
      <w:bodyDiv w:val="1"/>
      <w:marLeft w:val="0"/>
      <w:marRight w:val="0"/>
      <w:marTop w:val="0"/>
      <w:marBottom w:val="0"/>
      <w:divBdr>
        <w:top w:val="none" w:sz="0" w:space="0" w:color="auto"/>
        <w:left w:val="none" w:sz="0" w:space="0" w:color="auto"/>
        <w:bottom w:val="none" w:sz="0" w:space="0" w:color="auto"/>
        <w:right w:val="none" w:sz="0" w:space="0" w:color="auto"/>
      </w:divBdr>
    </w:div>
    <w:div w:id="555705213">
      <w:bodyDiv w:val="1"/>
      <w:marLeft w:val="0"/>
      <w:marRight w:val="0"/>
      <w:marTop w:val="0"/>
      <w:marBottom w:val="0"/>
      <w:divBdr>
        <w:top w:val="none" w:sz="0" w:space="0" w:color="auto"/>
        <w:left w:val="none" w:sz="0" w:space="0" w:color="auto"/>
        <w:bottom w:val="none" w:sz="0" w:space="0" w:color="auto"/>
        <w:right w:val="none" w:sz="0" w:space="0" w:color="auto"/>
      </w:divBdr>
    </w:div>
    <w:div w:id="580457202">
      <w:bodyDiv w:val="1"/>
      <w:marLeft w:val="0"/>
      <w:marRight w:val="0"/>
      <w:marTop w:val="0"/>
      <w:marBottom w:val="0"/>
      <w:divBdr>
        <w:top w:val="none" w:sz="0" w:space="0" w:color="auto"/>
        <w:left w:val="none" w:sz="0" w:space="0" w:color="auto"/>
        <w:bottom w:val="none" w:sz="0" w:space="0" w:color="auto"/>
        <w:right w:val="none" w:sz="0" w:space="0" w:color="auto"/>
      </w:divBdr>
    </w:div>
    <w:div w:id="681278654">
      <w:bodyDiv w:val="1"/>
      <w:marLeft w:val="0"/>
      <w:marRight w:val="0"/>
      <w:marTop w:val="0"/>
      <w:marBottom w:val="0"/>
      <w:divBdr>
        <w:top w:val="none" w:sz="0" w:space="0" w:color="auto"/>
        <w:left w:val="none" w:sz="0" w:space="0" w:color="auto"/>
        <w:bottom w:val="none" w:sz="0" w:space="0" w:color="auto"/>
        <w:right w:val="none" w:sz="0" w:space="0" w:color="auto"/>
      </w:divBdr>
    </w:div>
    <w:div w:id="686980324">
      <w:bodyDiv w:val="1"/>
      <w:marLeft w:val="0"/>
      <w:marRight w:val="0"/>
      <w:marTop w:val="0"/>
      <w:marBottom w:val="0"/>
      <w:divBdr>
        <w:top w:val="none" w:sz="0" w:space="0" w:color="auto"/>
        <w:left w:val="none" w:sz="0" w:space="0" w:color="auto"/>
        <w:bottom w:val="none" w:sz="0" w:space="0" w:color="auto"/>
        <w:right w:val="none" w:sz="0" w:space="0" w:color="auto"/>
      </w:divBdr>
    </w:div>
    <w:div w:id="703214722">
      <w:bodyDiv w:val="1"/>
      <w:marLeft w:val="0"/>
      <w:marRight w:val="0"/>
      <w:marTop w:val="0"/>
      <w:marBottom w:val="0"/>
      <w:divBdr>
        <w:top w:val="none" w:sz="0" w:space="0" w:color="auto"/>
        <w:left w:val="none" w:sz="0" w:space="0" w:color="auto"/>
        <w:bottom w:val="none" w:sz="0" w:space="0" w:color="auto"/>
        <w:right w:val="none" w:sz="0" w:space="0" w:color="auto"/>
      </w:divBdr>
    </w:div>
    <w:div w:id="706374299">
      <w:bodyDiv w:val="1"/>
      <w:marLeft w:val="0"/>
      <w:marRight w:val="0"/>
      <w:marTop w:val="0"/>
      <w:marBottom w:val="0"/>
      <w:divBdr>
        <w:top w:val="none" w:sz="0" w:space="0" w:color="auto"/>
        <w:left w:val="none" w:sz="0" w:space="0" w:color="auto"/>
        <w:bottom w:val="none" w:sz="0" w:space="0" w:color="auto"/>
        <w:right w:val="none" w:sz="0" w:space="0" w:color="auto"/>
      </w:divBdr>
    </w:div>
    <w:div w:id="708339265">
      <w:bodyDiv w:val="1"/>
      <w:marLeft w:val="0"/>
      <w:marRight w:val="0"/>
      <w:marTop w:val="0"/>
      <w:marBottom w:val="0"/>
      <w:divBdr>
        <w:top w:val="none" w:sz="0" w:space="0" w:color="auto"/>
        <w:left w:val="none" w:sz="0" w:space="0" w:color="auto"/>
        <w:bottom w:val="none" w:sz="0" w:space="0" w:color="auto"/>
        <w:right w:val="none" w:sz="0" w:space="0" w:color="auto"/>
      </w:divBdr>
    </w:div>
    <w:div w:id="710376941">
      <w:bodyDiv w:val="1"/>
      <w:marLeft w:val="0"/>
      <w:marRight w:val="0"/>
      <w:marTop w:val="0"/>
      <w:marBottom w:val="0"/>
      <w:divBdr>
        <w:top w:val="none" w:sz="0" w:space="0" w:color="auto"/>
        <w:left w:val="none" w:sz="0" w:space="0" w:color="auto"/>
        <w:bottom w:val="none" w:sz="0" w:space="0" w:color="auto"/>
        <w:right w:val="none" w:sz="0" w:space="0" w:color="auto"/>
      </w:divBdr>
    </w:div>
    <w:div w:id="772867009">
      <w:bodyDiv w:val="1"/>
      <w:marLeft w:val="0"/>
      <w:marRight w:val="0"/>
      <w:marTop w:val="0"/>
      <w:marBottom w:val="0"/>
      <w:divBdr>
        <w:top w:val="none" w:sz="0" w:space="0" w:color="auto"/>
        <w:left w:val="none" w:sz="0" w:space="0" w:color="auto"/>
        <w:bottom w:val="none" w:sz="0" w:space="0" w:color="auto"/>
        <w:right w:val="none" w:sz="0" w:space="0" w:color="auto"/>
      </w:divBdr>
    </w:div>
    <w:div w:id="798425764">
      <w:bodyDiv w:val="1"/>
      <w:marLeft w:val="0"/>
      <w:marRight w:val="0"/>
      <w:marTop w:val="0"/>
      <w:marBottom w:val="0"/>
      <w:divBdr>
        <w:top w:val="none" w:sz="0" w:space="0" w:color="auto"/>
        <w:left w:val="none" w:sz="0" w:space="0" w:color="auto"/>
        <w:bottom w:val="none" w:sz="0" w:space="0" w:color="auto"/>
        <w:right w:val="none" w:sz="0" w:space="0" w:color="auto"/>
      </w:divBdr>
    </w:div>
    <w:div w:id="809782997">
      <w:bodyDiv w:val="1"/>
      <w:marLeft w:val="0"/>
      <w:marRight w:val="0"/>
      <w:marTop w:val="0"/>
      <w:marBottom w:val="0"/>
      <w:divBdr>
        <w:top w:val="none" w:sz="0" w:space="0" w:color="auto"/>
        <w:left w:val="none" w:sz="0" w:space="0" w:color="auto"/>
        <w:bottom w:val="none" w:sz="0" w:space="0" w:color="auto"/>
        <w:right w:val="none" w:sz="0" w:space="0" w:color="auto"/>
      </w:divBdr>
    </w:div>
    <w:div w:id="830756784">
      <w:bodyDiv w:val="1"/>
      <w:marLeft w:val="0"/>
      <w:marRight w:val="0"/>
      <w:marTop w:val="0"/>
      <w:marBottom w:val="0"/>
      <w:divBdr>
        <w:top w:val="none" w:sz="0" w:space="0" w:color="auto"/>
        <w:left w:val="none" w:sz="0" w:space="0" w:color="auto"/>
        <w:bottom w:val="none" w:sz="0" w:space="0" w:color="auto"/>
        <w:right w:val="none" w:sz="0" w:space="0" w:color="auto"/>
      </w:divBdr>
    </w:div>
    <w:div w:id="849874179">
      <w:bodyDiv w:val="1"/>
      <w:marLeft w:val="0"/>
      <w:marRight w:val="0"/>
      <w:marTop w:val="0"/>
      <w:marBottom w:val="0"/>
      <w:divBdr>
        <w:top w:val="none" w:sz="0" w:space="0" w:color="auto"/>
        <w:left w:val="none" w:sz="0" w:space="0" w:color="auto"/>
        <w:bottom w:val="none" w:sz="0" w:space="0" w:color="auto"/>
        <w:right w:val="none" w:sz="0" w:space="0" w:color="auto"/>
      </w:divBdr>
    </w:div>
    <w:div w:id="863176250">
      <w:bodyDiv w:val="1"/>
      <w:marLeft w:val="0"/>
      <w:marRight w:val="0"/>
      <w:marTop w:val="0"/>
      <w:marBottom w:val="0"/>
      <w:divBdr>
        <w:top w:val="none" w:sz="0" w:space="0" w:color="auto"/>
        <w:left w:val="none" w:sz="0" w:space="0" w:color="auto"/>
        <w:bottom w:val="none" w:sz="0" w:space="0" w:color="auto"/>
        <w:right w:val="none" w:sz="0" w:space="0" w:color="auto"/>
      </w:divBdr>
    </w:div>
    <w:div w:id="895045274">
      <w:bodyDiv w:val="1"/>
      <w:marLeft w:val="0"/>
      <w:marRight w:val="0"/>
      <w:marTop w:val="0"/>
      <w:marBottom w:val="0"/>
      <w:divBdr>
        <w:top w:val="none" w:sz="0" w:space="0" w:color="auto"/>
        <w:left w:val="none" w:sz="0" w:space="0" w:color="auto"/>
        <w:bottom w:val="none" w:sz="0" w:space="0" w:color="auto"/>
        <w:right w:val="none" w:sz="0" w:space="0" w:color="auto"/>
      </w:divBdr>
    </w:div>
    <w:div w:id="923994979">
      <w:bodyDiv w:val="1"/>
      <w:marLeft w:val="0"/>
      <w:marRight w:val="0"/>
      <w:marTop w:val="0"/>
      <w:marBottom w:val="0"/>
      <w:divBdr>
        <w:top w:val="none" w:sz="0" w:space="0" w:color="auto"/>
        <w:left w:val="none" w:sz="0" w:space="0" w:color="auto"/>
        <w:bottom w:val="none" w:sz="0" w:space="0" w:color="auto"/>
        <w:right w:val="none" w:sz="0" w:space="0" w:color="auto"/>
      </w:divBdr>
    </w:div>
    <w:div w:id="925503066">
      <w:bodyDiv w:val="1"/>
      <w:marLeft w:val="0"/>
      <w:marRight w:val="0"/>
      <w:marTop w:val="0"/>
      <w:marBottom w:val="0"/>
      <w:divBdr>
        <w:top w:val="none" w:sz="0" w:space="0" w:color="auto"/>
        <w:left w:val="none" w:sz="0" w:space="0" w:color="auto"/>
        <w:bottom w:val="none" w:sz="0" w:space="0" w:color="auto"/>
        <w:right w:val="none" w:sz="0" w:space="0" w:color="auto"/>
      </w:divBdr>
    </w:div>
    <w:div w:id="959147250">
      <w:bodyDiv w:val="1"/>
      <w:marLeft w:val="0"/>
      <w:marRight w:val="0"/>
      <w:marTop w:val="0"/>
      <w:marBottom w:val="0"/>
      <w:divBdr>
        <w:top w:val="none" w:sz="0" w:space="0" w:color="auto"/>
        <w:left w:val="none" w:sz="0" w:space="0" w:color="auto"/>
        <w:bottom w:val="none" w:sz="0" w:space="0" w:color="auto"/>
        <w:right w:val="none" w:sz="0" w:space="0" w:color="auto"/>
      </w:divBdr>
    </w:div>
    <w:div w:id="984895371">
      <w:bodyDiv w:val="1"/>
      <w:marLeft w:val="0"/>
      <w:marRight w:val="0"/>
      <w:marTop w:val="0"/>
      <w:marBottom w:val="0"/>
      <w:divBdr>
        <w:top w:val="none" w:sz="0" w:space="0" w:color="auto"/>
        <w:left w:val="none" w:sz="0" w:space="0" w:color="auto"/>
        <w:bottom w:val="none" w:sz="0" w:space="0" w:color="auto"/>
        <w:right w:val="none" w:sz="0" w:space="0" w:color="auto"/>
      </w:divBdr>
    </w:div>
    <w:div w:id="1040784227">
      <w:bodyDiv w:val="1"/>
      <w:marLeft w:val="0"/>
      <w:marRight w:val="0"/>
      <w:marTop w:val="0"/>
      <w:marBottom w:val="0"/>
      <w:divBdr>
        <w:top w:val="none" w:sz="0" w:space="0" w:color="auto"/>
        <w:left w:val="none" w:sz="0" w:space="0" w:color="auto"/>
        <w:bottom w:val="none" w:sz="0" w:space="0" w:color="auto"/>
        <w:right w:val="none" w:sz="0" w:space="0" w:color="auto"/>
      </w:divBdr>
    </w:div>
    <w:div w:id="1045256746">
      <w:bodyDiv w:val="1"/>
      <w:marLeft w:val="0"/>
      <w:marRight w:val="0"/>
      <w:marTop w:val="0"/>
      <w:marBottom w:val="0"/>
      <w:divBdr>
        <w:top w:val="none" w:sz="0" w:space="0" w:color="auto"/>
        <w:left w:val="none" w:sz="0" w:space="0" w:color="auto"/>
        <w:bottom w:val="none" w:sz="0" w:space="0" w:color="auto"/>
        <w:right w:val="none" w:sz="0" w:space="0" w:color="auto"/>
      </w:divBdr>
    </w:div>
    <w:div w:id="1061715123">
      <w:bodyDiv w:val="1"/>
      <w:marLeft w:val="0"/>
      <w:marRight w:val="0"/>
      <w:marTop w:val="0"/>
      <w:marBottom w:val="0"/>
      <w:divBdr>
        <w:top w:val="none" w:sz="0" w:space="0" w:color="auto"/>
        <w:left w:val="none" w:sz="0" w:space="0" w:color="auto"/>
        <w:bottom w:val="none" w:sz="0" w:space="0" w:color="auto"/>
        <w:right w:val="none" w:sz="0" w:space="0" w:color="auto"/>
      </w:divBdr>
    </w:div>
    <w:div w:id="1071461698">
      <w:bodyDiv w:val="1"/>
      <w:marLeft w:val="0"/>
      <w:marRight w:val="0"/>
      <w:marTop w:val="0"/>
      <w:marBottom w:val="0"/>
      <w:divBdr>
        <w:top w:val="none" w:sz="0" w:space="0" w:color="auto"/>
        <w:left w:val="none" w:sz="0" w:space="0" w:color="auto"/>
        <w:bottom w:val="none" w:sz="0" w:space="0" w:color="auto"/>
        <w:right w:val="none" w:sz="0" w:space="0" w:color="auto"/>
      </w:divBdr>
    </w:div>
    <w:div w:id="1125806201">
      <w:bodyDiv w:val="1"/>
      <w:marLeft w:val="0"/>
      <w:marRight w:val="0"/>
      <w:marTop w:val="0"/>
      <w:marBottom w:val="0"/>
      <w:divBdr>
        <w:top w:val="none" w:sz="0" w:space="0" w:color="auto"/>
        <w:left w:val="none" w:sz="0" w:space="0" w:color="auto"/>
        <w:bottom w:val="none" w:sz="0" w:space="0" w:color="auto"/>
        <w:right w:val="none" w:sz="0" w:space="0" w:color="auto"/>
      </w:divBdr>
    </w:div>
    <w:div w:id="1139498658">
      <w:bodyDiv w:val="1"/>
      <w:marLeft w:val="0"/>
      <w:marRight w:val="0"/>
      <w:marTop w:val="0"/>
      <w:marBottom w:val="0"/>
      <w:divBdr>
        <w:top w:val="none" w:sz="0" w:space="0" w:color="auto"/>
        <w:left w:val="none" w:sz="0" w:space="0" w:color="auto"/>
        <w:bottom w:val="none" w:sz="0" w:space="0" w:color="auto"/>
        <w:right w:val="none" w:sz="0" w:space="0" w:color="auto"/>
      </w:divBdr>
    </w:div>
    <w:div w:id="1155605786">
      <w:bodyDiv w:val="1"/>
      <w:marLeft w:val="0"/>
      <w:marRight w:val="0"/>
      <w:marTop w:val="0"/>
      <w:marBottom w:val="0"/>
      <w:divBdr>
        <w:top w:val="none" w:sz="0" w:space="0" w:color="auto"/>
        <w:left w:val="none" w:sz="0" w:space="0" w:color="auto"/>
        <w:bottom w:val="none" w:sz="0" w:space="0" w:color="auto"/>
        <w:right w:val="none" w:sz="0" w:space="0" w:color="auto"/>
      </w:divBdr>
    </w:div>
    <w:div w:id="1158880915">
      <w:bodyDiv w:val="1"/>
      <w:marLeft w:val="0"/>
      <w:marRight w:val="0"/>
      <w:marTop w:val="0"/>
      <w:marBottom w:val="0"/>
      <w:divBdr>
        <w:top w:val="none" w:sz="0" w:space="0" w:color="auto"/>
        <w:left w:val="none" w:sz="0" w:space="0" w:color="auto"/>
        <w:bottom w:val="none" w:sz="0" w:space="0" w:color="auto"/>
        <w:right w:val="none" w:sz="0" w:space="0" w:color="auto"/>
      </w:divBdr>
    </w:div>
    <w:div w:id="1199589981">
      <w:bodyDiv w:val="1"/>
      <w:marLeft w:val="8"/>
      <w:marRight w:val="8"/>
      <w:marTop w:val="0"/>
      <w:marBottom w:val="150"/>
      <w:divBdr>
        <w:top w:val="none" w:sz="0" w:space="0" w:color="auto"/>
        <w:left w:val="none" w:sz="0" w:space="0" w:color="auto"/>
        <w:bottom w:val="none" w:sz="0" w:space="0" w:color="auto"/>
        <w:right w:val="none" w:sz="0" w:space="0" w:color="auto"/>
      </w:divBdr>
      <w:divsChild>
        <w:div w:id="228733524">
          <w:marLeft w:val="0"/>
          <w:marRight w:val="0"/>
          <w:marTop w:val="60"/>
          <w:marBottom w:val="100"/>
          <w:divBdr>
            <w:top w:val="none" w:sz="0" w:space="0" w:color="auto"/>
            <w:left w:val="none" w:sz="0" w:space="0" w:color="auto"/>
            <w:bottom w:val="none" w:sz="0" w:space="0" w:color="auto"/>
            <w:right w:val="none" w:sz="0" w:space="0" w:color="auto"/>
          </w:divBdr>
          <w:divsChild>
            <w:div w:id="1939603520">
              <w:marLeft w:val="60"/>
              <w:marRight w:val="60"/>
              <w:marTop w:val="60"/>
              <w:marBottom w:val="60"/>
              <w:divBdr>
                <w:top w:val="none" w:sz="0" w:space="0" w:color="auto"/>
                <w:left w:val="none" w:sz="0" w:space="0" w:color="auto"/>
                <w:bottom w:val="none" w:sz="0" w:space="0" w:color="auto"/>
                <w:right w:val="none" w:sz="0" w:space="0" w:color="auto"/>
              </w:divBdr>
              <w:divsChild>
                <w:div w:id="1949462205">
                  <w:marLeft w:val="0"/>
                  <w:marRight w:val="0"/>
                  <w:marTop w:val="120"/>
                  <w:marBottom w:val="0"/>
                  <w:divBdr>
                    <w:top w:val="none" w:sz="0" w:space="0" w:color="auto"/>
                    <w:left w:val="none" w:sz="0" w:space="0" w:color="auto"/>
                    <w:bottom w:val="none" w:sz="0" w:space="0" w:color="auto"/>
                    <w:right w:val="none" w:sz="0" w:space="0" w:color="auto"/>
                  </w:divBdr>
                  <w:divsChild>
                    <w:div w:id="1939096607">
                      <w:marLeft w:val="0"/>
                      <w:marRight w:val="0"/>
                      <w:marTop w:val="0"/>
                      <w:marBottom w:val="0"/>
                      <w:divBdr>
                        <w:top w:val="single" w:sz="6" w:space="4" w:color="D1DBEB"/>
                        <w:left w:val="single" w:sz="6" w:space="4" w:color="D1DBEB"/>
                        <w:bottom w:val="single" w:sz="6" w:space="4" w:color="D1DBEB"/>
                        <w:right w:val="single" w:sz="6" w:space="4" w:color="D1DBEB"/>
                      </w:divBdr>
                      <w:divsChild>
                        <w:div w:id="399333015">
                          <w:marLeft w:val="0"/>
                          <w:marRight w:val="0"/>
                          <w:marTop w:val="0"/>
                          <w:marBottom w:val="0"/>
                          <w:divBdr>
                            <w:top w:val="none" w:sz="0" w:space="0" w:color="auto"/>
                            <w:left w:val="none" w:sz="0" w:space="0" w:color="auto"/>
                            <w:bottom w:val="none" w:sz="0" w:space="0" w:color="auto"/>
                            <w:right w:val="none" w:sz="0" w:space="0" w:color="auto"/>
                          </w:divBdr>
                          <w:divsChild>
                            <w:div w:id="1005669148">
                              <w:marLeft w:val="0"/>
                              <w:marRight w:val="0"/>
                              <w:marTop w:val="0"/>
                              <w:marBottom w:val="0"/>
                              <w:divBdr>
                                <w:top w:val="single" w:sz="6" w:space="0" w:color="9CABC2"/>
                                <w:left w:val="single" w:sz="6" w:space="0" w:color="9CABC2"/>
                                <w:bottom w:val="single" w:sz="6" w:space="0" w:color="9CABC2"/>
                                <w:right w:val="single" w:sz="6" w:space="0" w:color="9CABC2"/>
                              </w:divBdr>
                              <w:divsChild>
                                <w:div w:id="1144197106">
                                  <w:marLeft w:val="0"/>
                                  <w:marRight w:val="0"/>
                                  <w:marTop w:val="0"/>
                                  <w:marBottom w:val="0"/>
                                  <w:divBdr>
                                    <w:top w:val="none" w:sz="0" w:space="0" w:color="auto"/>
                                    <w:left w:val="none" w:sz="0" w:space="0" w:color="auto"/>
                                    <w:bottom w:val="none" w:sz="0" w:space="0" w:color="auto"/>
                                    <w:right w:val="none" w:sz="0" w:space="0" w:color="auto"/>
                                  </w:divBdr>
                                  <w:divsChild>
                                    <w:div w:id="954482908">
                                      <w:marLeft w:val="0"/>
                                      <w:marRight w:val="0"/>
                                      <w:marTop w:val="0"/>
                                      <w:marBottom w:val="0"/>
                                      <w:divBdr>
                                        <w:top w:val="none" w:sz="0" w:space="0" w:color="auto"/>
                                        <w:left w:val="none" w:sz="0" w:space="0" w:color="auto"/>
                                        <w:bottom w:val="none" w:sz="0" w:space="0" w:color="auto"/>
                                        <w:right w:val="none" w:sz="0" w:space="0" w:color="auto"/>
                                      </w:divBdr>
                                      <w:divsChild>
                                        <w:div w:id="1077285037">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692556">
      <w:bodyDiv w:val="1"/>
      <w:marLeft w:val="0"/>
      <w:marRight w:val="0"/>
      <w:marTop w:val="0"/>
      <w:marBottom w:val="0"/>
      <w:divBdr>
        <w:top w:val="none" w:sz="0" w:space="0" w:color="auto"/>
        <w:left w:val="none" w:sz="0" w:space="0" w:color="auto"/>
        <w:bottom w:val="none" w:sz="0" w:space="0" w:color="auto"/>
        <w:right w:val="none" w:sz="0" w:space="0" w:color="auto"/>
      </w:divBdr>
      <w:divsChild>
        <w:div w:id="1375806962">
          <w:marLeft w:val="0"/>
          <w:marRight w:val="0"/>
          <w:marTop w:val="0"/>
          <w:marBottom w:val="0"/>
          <w:divBdr>
            <w:top w:val="none" w:sz="0" w:space="0" w:color="auto"/>
            <w:left w:val="none" w:sz="0" w:space="0" w:color="auto"/>
            <w:bottom w:val="none" w:sz="0" w:space="0" w:color="auto"/>
            <w:right w:val="none" w:sz="0" w:space="0" w:color="auto"/>
          </w:divBdr>
          <w:divsChild>
            <w:div w:id="1891912831">
              <w:marLeft w:val="0"/>
              <w:marRight w:val="0"/>
              <w:marTop w:val="0"/>
              <w:marBottom w:val="0"/>
              <w:divBdr>
                <w:top w:val="none" w:sz="0" w:space="0" w:color="auto"/>
                <w:left w:val="none" w:sz="0" w:space="0" w:color="auto"/>
                <w:bottom w:val="none" w:sz="0" w:space="0" w:color="auto"/>
                <w:right w:val="none" w:sz="0" w:space="0" w:color="auto"/>
              </w:divBdr>
              <w:divsChild>
                <w:div w:id="1539581260">
                  <w:marLeft w:val="0"/>
                  <w:marRight w:val="0"/>
                  <w:marTop w:val="0"/>
                  <w:marBottom w:val="0"/>
                  <w:divBdr>
                    <w:top w:val="none" w:sz="0" w:space="0" w:color="auto"/>
                    <w:left w:val="none" w:sz="0" w:space="0" w:color="auto"/>
                    <w:bottom w:val="none" w:sz="0" w:space="0" w:color="auto"/>
                    <w:right w:val="none" w:sz="0" w:space="0" w:color="auto"/>
                  </w:divBdr>
                  <w:divsChild>
                    <w:div w:id="343476173">
                      <w:marLeft w:val="0"/>
                      <w:marRight w:val="0"/>
                      <w:marTop w:val="0"/>
                      <w:marBottom w:val="0"/>
                      <w:divBdr>
                        <w:top w:val="none" w:sz="0" w:space="0" w:color="auto"/>
                        <w:left w:val="none" w:sz="0" w:space="0" w:color="auto"/>
                        <w:bottom w:val="none" w:sz="0" w:space="0" w:color="auto"/>
                        <w:right w:val="none" w:sz="0" w:space="0" w:color="auto"/>
                      </w:divBdr>
                      <w:divsChild>
                        <w:div w:id="530411929">
                          <w:marLeft w:val="0"/>
                          <w:marRight w:val="0"/>
                          <w:marTop w:val="0"/>
                          <w:marBottom w:val="0"/>
                          <w:divBdr>
                            <w:top w:val="none" w:sz="0" w:space="0" w:color="auto"/>
                            <w:left w:val="none" w:sz="0" w:space="0" w:color="auto"/>
                            <w:bottom w:val="none" w:sz="0" w:space="0" w:color="auto"/>
                            <w:right w:val="none" w:sz="0" w:space="0" w:color="auto"/>
                          </w:divBdr>
                          <w:divsChild>
                            <w:div w:id="1965118277">
                              <w:marLeft w:val="0"/>
                              <w:marRight w:val="0"/>
                              <w:marTop w:val="0"/>
                              <w:marBottom w:val="0"/>
                              <w:divBdr>
                                <w:top w:val="none" w:sz="0" w:space="0" w:color="auto"/>
                                <w:left w:val="none" w:sz="0" w:space="0" w:color="auto"/>
                                <w:bottom w:val="none" w:sz="0" w:space="0" w:color="auto"/>
                                <w:right w:val="none" w:sz="0" w:space="0" w:color="auto"/>
                              </w:divBdr>
                              <w:divsChild>
                                <w:div w:id="44106171">
                                  <w:marLeft w:val="0"/>
                                  <w:marRight w:val="0"/>
                                  <w:marTop w:val="0"/>
                                  <w:marBottom w:val="0"/>
                                  <w:divBdr>
                                    <w:top w:val="none" w:sz="0" w:space="0" w:color="auto"/>
                                    <w:left w:val="none" w:sz="0" w:space="0" w:color="auto"/>
                                    <w:bottom w:val="none" w:sz="0" w:space="0" w:color="auto"/>
                                    <w:right w:val="none" w:sz="0" w:space="0" w:color="auto"/>
                                  </w:divBdr>
                                  <w:divsChild>
                                    <w:div w:id="13415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91743">
      <w:bodyDiv w:val="1"/>
      <w:marLeft w:val="0"/>
      <w:marRight w:val="0"/>
      <w:marTop w:val="0"/>
      <w:marBottom w:val="0"/>
      <w:divBdr>
        <w:top w:val="none" w:sz="0" w:space="0" w:color="auto"/>
        <w:left w:val="none" w:sz="0" w:space="0" w:color="auto"/>
        <w:bottom w:val="none" w:sz="0" w:space="0" w:color="auto"/>
        <w:right w:val="none" w:sz="0" w:space="0" w:color="auto"/>
      </w:divBdr>
    </w:div>
    <w:div w:id="1285497347">
      <w:bodyDiv w:val="1"/>
      <w:marLeft w:val="0"/>
      <w:marRight w:val="0"/>
      <w:marTop w:val="0"/>
      <w:marBottom w:val="0"/>
      <w:divBdr>
        <w:top w:val="none" w:sz="0" w:space="0" w:color="auto"/>
        <w:left w:val="none" w:sz="0" w:space="0" w:color="auto"/>
        <w:bottom w:val="none" w:sz="0" w:space="0" w:color="auto"/>
        <w:right w:val="none" w:sz="0" w:space="0" w:color="auto"/>
      </w:divBdr>
    </w:div>
    <w:div w:id="1291548837">
      <w:bodyDiv w:val="1"/>
      <w:marLeft w:val="0"/>
      <w:marRight w:val="0"/>
      <w:marTop w:val="0"/>
      <w:marBottom w:val="0"/>
      <w:divBdr>
        <w:top w:val="none" w:sz="0" w:space="0" w:color="auto"/>
        <w:left w:val="none" w:sz="0" w:space="0" w:color="auto"/>
        <w:bottom w:val="none" w:sz="0" w:space="0" w:color="auto"/>
        <w:right w:val="none" w:sz="0" w:space="0" w:color="auto"/>
      </w:divBdr>
    </w:div>
    <w:div w:id="1293905991">
      <w:bodyDiv w:val="1"/>
      <w:marLeft w:val="0"/>
      <w:marRight w:val="0"/>
      <w:marTop w:val="0"/>
      <w:marBottom w:val="0"/>
      <w:divBdr>
        <w:top w:val="none" w:sz="0" w:space="0" w:color="auto"/>
        <w:left w:val="none" w:sz="0" w:space="0" w:color="auto"/>
        <w:bottom w:val="none" w:sz="0" w:space="0" w:color="auto"/>
        <w:right w:val="none" w:sz="0" w:space="0" w:color="auto"/>
      </w:divBdr>
    </w:div>
    <w:div w:id="1307126711">
      <w:bodyDiv w:val="1"/>
      <w:marLeft w:val="0"/>
      <w:marRight w:val="0"/>
      <w:marTop w:val="0"/>
      <w:marBottom w:val="0"/>
      <w:divBdr>
        <w:top w:val="none" w:sz="0" w:space="0" w:color="auto"/>
        <w:left w:val="none" w:sz="0" w:space="0" w:color="auto"/>
        <w:bottom w:val="none" w:sz="0" w:space="0" w:color="auto"/>
        <w:right w:val="none" w:sz="0" w:space="0" w:color="auto"/>
      </w:divBdr>
      <w:divsChild>
        <w:div w:id="1549417381">
          <w:marLeft w:val="0"/>
          <w:marRight w:val="0"/>
          <w:marTop w:val="0"/>
          <w:marBottom w:val="0"/>
          <w:divBdr>
            <w:top w:val="none" w:sz="0" w:space="0" w:color="auto"/>
            <w:left w:val="none" w:sz="0" w:space="0" w:color="auto"/>
            <w:bottom w:val="none" w:sz="0" w:space="0" w:color="auto"/>
            <w:right w:val="none" w:sz="0" w:space="0" w:color="auto"/>
          </w:divBdr>
          <w:divsChild>
            <w:div w:id="154567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7165">
      <w:bodyDiv w:val="1"/>
      <w:marLeft w:val="0"/>
      <w:marRight w:val="0"/>
      <w:marTop w:val="0"/>
      <w:marBottom w:val="0"/>
      <w:divBdr>
        <w:top w:val="none" w:sz="0" w:space="0" w:color="auto"/>
        <w:left w:val="none" w:sz="0" w:space="0" w:color="auto"/>
        <w:bottom w:val="none" w:sz="0" w:space="0" w:color="auto"/>
        <w:right w:val="none" w:sz="0" w:space="0" w:color="auto"/>
      </w:divBdr>
    </w:div>
    <w:div w:id="1376391377">
      <w:bodyDiv w:val="1"/>
      <w:marLeft w:val="0"/>
      <w:marRight w:val="0"/>
      <w:marTop w:val="0"/>
      <w:marBottom w:val="0"/>
      <w:divBdr>
        <w:top w:val="none" w:sz="0" w:space="0" w:color="auto"/>
        <w:left w:val="none" w:sz="0" w:space="0" w:color="auto"/>
        <w:bottom w:val="none" w:sz="0" w:space="0" w:color="auto"/>
        <w:right w:val="none" w:sz="0" w:space="0" w:color="auto"/>
      </w:divBdr>
    </w:div>
    <w:div w:id="1385175988">
      <w:bodyDiv w:val="1"/>
      <w:marLeft w:val="0"/>
      <w:marRight w:val="0"/>
      <w:marTop w:val="0"/>
      <w:marBottom w:val="0"/>
      <w:divBdr>
        <w:top w:val="none" w:sz="0" w:space="0" w:color="auto"/>
        <w:left w:val="none" w:sz="0" w:space="0" w:color="auto"/>
        <w:bottom w:val="none" w:sz="0" w:space="0" w:color="auto"/>
        <w:right w:val="none" w:sz="0" w:space="0" w:color="auto"/>
      </w:divBdr>
    </w:div>
    <w:div w:id="1387609908">
      <w:bodyDiv w:val="1"/>
      <w:marLeft w:val="0"/>
      <w:marRight w:val="0"/>
      <w:marTop w:val="0"/>
      <w:marBottom w:val="0"/>
      <w:divBdr>
        <w:top w:val="none" w:sz="0" w:space="0" w:color="auto"/>
        <w:left w:val="none" w:sz="0" w:space="0" w:color="auto"/>
        <w:bottom w:val="none" w:sz="0" w:space="0" w:color="auto"/>
        <w:right w:val="none" w:sz="0" w:space="0" w:color="auto"/>
      </w:divBdr>
    </w:div>
    <w:div w:id="1462267788">
      <w:bodyDiv w:val="1"/>
      <w:marLeft w:val="0"/>
      <w:marRight w:val="0"/>
      <w:marTop w:val="0"/>
      <w:marBottom w:val="0"/>
      <w:divBdr>
        <w:top w:val="none" w:sz="0" w:space="0" w:color="auto"/>
        <w:left w:val="none" w:sz="0" w:space="0" w:color="auto"/>
        <w:bottom w:val="none" w:sz="0" w:space="0" w:color="auto"/>
        <w:right w:val="none" w:sz="0" w:space="0" w:color="auto"/>
      </w:divBdr>
    </w:div>
    <w:div w:id="1506673378">
      <w:bodyDiv w:val="1"/>
      <w:marLeft w:val="0"/>
      <w:marRight w:val="0"/>
      <w:marTop w:val="0"/>
      <w:marBottom w:val="0"/>
      <w:divBdr>
        <w:top w:val="none" w:sz="0" w:space="0" w:color="auto"/>
        <w:left w:val="none" w:sz="0" w:space="0" w:color="auto"/>
        <w:bottom w:val="none" w:sz="0" w:space="0" w:color="auto"/>
        <w:right w:val="none" w:sz="0" w:space="0" w:color="auto"/>
      </w:divBdr>
    </w:div>
    <w:div w:id="1554848821">
      <w:bodyDiv w:val="1"/>
      <w:marLeft w:val="0"/>
      <w:marRight w:val="0"/>
      <w:marTop w:val="0"/>
      <w:marBottom w:val="0"/>
      <w:divBdr>
        <w:top w:val="none" w:sz="0" w:space="0" w:color="auto"/>
        <w:left w:val="none" w:sz="0" w:space="0" w:color="auto"/>
        <w:bottom w:val="none" w:sz="0" w:space="0" w:color="auto"/>
        <w:right w:val="none" w:sz="0" w:space="0" w:color="auto"/>
      </w:divBdr>
    </w:div>
    <w:div w:id="1637679592">
      <w:bodyDiv w:val="1"/>
      <w:marLeft w:val="0"/>
      <w:marRight w:val="0"/>
      <w:marTop w:val="0"/>
      <w:marBottom w:val="0"/>
      <w:divBdr>
        <w:top w:val="none" w:sz="0" w:space="0" w:color="auto"/>
        <w:left w:val="none" w:sz="0" w:space="0" w:color="auto"/>
        <w:bottom w:val="none" w:sz="0" w:space="0" w:color="auto"/>
        <w:right w:val="none" w:sz="0" w:space="0" w:color="auto"/>
      </w:divBdr>
    </w:div>
    <w:div w:id="1638608154">
      <w:bodyDiv w:val="1"/>
      <w:marLeft w:val="0"/>
      <w:marRight w:val="0"/>
      <w:marTop w:val="0"/>
      <w:marBottom w:val="0"/>
      <w:divBdr>
        <w:top w:val="none" w:sz="0" w:space="0" w:color="auto"/>
        <w:left w:val="none" w:sz="0" w:space="0" w:color="auto"/>
        <w:bottom w:val="none" w:sz="0" w:space="0" w:color="auto"/>
        <w:right w:val="none" w:sz="0" w:space="0" w:color="auto"/>
      </w:divBdr>
    </w:div>
    <w:div w:id="1710718233">
      <w:bodyDiv w:val="1"/>
      <w:marLeft w:val="0"/>
      <w:marRight w:val="0"/>
      <w:marTop w:val="0"/>
      <w:marBottom w:val="0"/>
      <w:divBdr>
        <w:top w:val="none" w:sz="0" w:space="0" w:color="auto"/>
        <w:left w:val="none" w:sz="0" w:space="0" w:color="auto"/>
        <w:bottom w:val="none" w:sz="0" w:space="0" w:color="auto"/>
        <w:right w:val="none" w:sz="0" w:space="0" w:color="auto"/>
      </w:divBdr>
    </w:div>
    <w:div w:id="1728184617">
      <w:bodyDiv w:val="1"/>
      <w:marLeft w:val="0"/>
      <w:marRight w:val="0"/>
      <w:marTop w:val="0"/>
      <w:marBottom w:val="0"/>
      <w:divBdr>
        <w:top w:val="none" w:sz="0" w:space="0" w:color="auto"/>
        <w:left w:val="none" w:sz="0" w:space="0" w:color="auto"/>
        <w:bottom w:val="none" w:sz="0" w:space="0" w:color="auto"/>
        <w:right w:val="none" w:sz="0" w:space="0" w:color="auto"/>
      </w:divBdr>
    </w:div>
    <w:div w:id="1752241524">
      <w:bodyDiv w:val="1"/>
      <w:marLeft w:val="0"/>
      <w:marRight w:val="0"/>
      <w:marTop w:val="0"/>
      <w:marBottom w:val="0"/>
      <w:divBdr>
        <w:top w:val="none" w:sz="0" w:space="0" w:color="auto"/>
        <w:left w:val="none" w:sz="0" w:space="0" w:color="auto"/>
        <w:bottom w:val="none" w:sz="0" w:space="0" w:color="auto"/>
        <w:right w:val="none" w:sz="0" w:space="0" w:color="auto"/>
      </w:divBdr>
    </w:div>
    <w:div w:id="1760564375">
      <w:bodyDiv w:val="1"/>
      <w:marLeft w:val="0"/>
      <w:marRight w:val="0"/>
      <w:marTop w:val="0"/>
      <w:marBottom w:val="0"/>
      <w:divBdr>
        <w:top w:val="none" w:sz="0" w:space="0" w:color="auto"/>
        <w:left w:val="none" w:sz="0" w:space="0" w:color="auto"/>
        <w:bottom w:val="none" w:sz="0" w:space="0" w:color="auto"/>
        <w:right w:val="none" w:sz="0" w:space="0" w:color="auto"/>
      </w:divBdr>
    </w:div>
    <w:div w:id="1765606502">
      <w:bodyDiv w:val="1"/>
      <w:marLeft w:val="0"/>
      <w:marRight w:val="0"/>
      <w:marTop w:val="0"/>
      <w:marBottom w:val="0"/>
      <w:divBdr>
        <w:top w:val="none" w:sz="0" w:space="0" w:color="auto"/>
        <w:left w:val="none" w:sz="0" w:space="0" w:color="auto"/>
        <w:bottom w:val="none" w:sz="0" w:space="0" w:color="auto"/>
        <w:right w:val="none" w:sz="0" w:space="0" w:color="auto"/>
      </w:divBdr>
    </w:div>
    <w:div w:id="1765960139">
      <w:bodyDiv w:val="1"/>
      <w:marLeft w:val="0"/>
      <w:marRight w:val="0"/>
      <w:marTop w:val="0"/>
      <w:marBottom w:val="0"/>
      <w:divBdr>
        <w:top w:val="none" w:sz="0" w:space="0" w:color="auto"/>
        <w:left w:val="none" w:sz="0" w:space="0" w:color="auto"/>
        <w:bottom w:val="none" w:sz="0" w:space="0" w:color="auto"/>
        <w:right w:val="none" w:sz="0" w:space="0" w:color="auto"/>
      </w:divBdr>
      <w:divsChild>
        <w:div w:id="1576013864">
          <w:marLeft w:val="0"/>
          <w:marRight w:val="0"/>
          <w:marTop w:val="0"/>
          <w:marBottom w:val="0"/>
          <w:divBdr>
            <w:top w:val="none" w:sz="0" w:space="0" w:color="auto"/>
            <w:left w:val="none" w:sz="0" w:space="0" w:color="auto"/>
            <w:bottom w:val="none" w:sz="0" w:space="0" w:color="auto"/>
            <w:right w:val="none" w:sz="0" w:space="0" w:color="auto"/>
          </w:divBdr>
          <w:divsChild>
            <w:div w:id="1516576379">
              <w:marLeft w:val="0"/>
              <w:marRight w:val="0"/>
              <w:marTop w:val="0"/>
              <w:marBottom w:val="0"/>
              <w:divBdr>
                <w:top w:val="none" w:sz="0" w:space="0" w:color="auto"/>
                <w:left w:val="none" w:sz="0" w:space="0" w:color="auto"/>
                <w:bottom w:val="none" w:sz="0" w:space="0" w:color="auto"/>
                <w:right w:val="none" w:sz="0" w:space="0" w:color="auto"/>
              </w:divBdr>
              <w:divsChild>
                <w:div w:id="1865709051">
                  <w:marLeft w:val="0"/>
                  <w:marRight w:val="0"/>
                  <w:marTop w:val="0"/>
                  <w:marBottom w:val="0"/>
                  <w:divBdr>
                    <w:top w:val="none" w:sz="0" w:space="0" w:color="auto"/>
                    <w:left w:val="none" w:sz="0" w:space="0" w:color="auto"/>
                    <w:bottom w:val="none" w:sz="0" w:space="0" w:color="auto"/>
                    <w:right w:val="none" w:sz="0" w:space="0" w:color="auto"/>
                  </w:divBdr>
                  <w:divsChild>
                    <w:div w:id="169301104">
                      <w:marLeft w:val="0"/>
                      <w:marRight w:val="0"/>
                      <w:marTop w:val="0"/>
                      <w:marBottom w:val="0"/>
                      <w:divBdr>
                        <w:top w:val="none" w:sz="0" w:space="0" w:color="auto"/>
                        <w:left w:val="none" w:sz="0" w:space="0" w:color="auto"/>
                        <w:bottom w:val="none" w:sz="0" w:space="0" w:color="auto"/>
                        <w:right w:val="none" w:sz="0" w:space="0" w:color="auto"/>
                      </w:divBdr>
                      <w:divsChild>
                        <w:div w:id="1723092744">
                          <w:marLeft w:val="0"/>
                          <w:marRight w:val="0"/>
                          <w:marTop w:val="0"/>
                          <w:marBottom w:val="0"/>
                          <w:divBdr>
                            <w:top w:val="none" w:sz="0" w:space="0" w:color="auto"/>
                            <w:left w:val="none" w:sz="0" w:space="0" w:color="auto"/>
                            <w:bottom w:val="none" w:sz="0" w:space="0" w:color="auto"/>
                            <w:right w:val="none" w:sz="0" w:space="0" w:color="auto"/>
                          </w:divBdr>
                          <w:divsChild>
                            <w:div w:id="1995402931">
                              <w:marLeft w:val="0"/>
                              <w:marRight w:val="0"/>
                              <w:marTop w:val="0"/>
                              <w:marBottom w:val="0"/>
                              <w:divBdr>
                                <w:top w:val="none" w:sz="0" w:space="0" w:color="auto"/>
                                <w:left w:val="none" w:sz="0" w:space="0" w:color="auto"/>
                                <w:bottom w:val="none" w:sz="0" w:space="0" w:color="auto"/>
                                <w:right w:val="none" w:sz="0" w:space="0" w:color="auto"/>
                              </w:divBdr>
                              <w:divsChild>
                                <w:div w:id="1948275541">
                                  <w:marLeft w:val="0"/>
                                  <w:marRight w:val="0"/>
                                  <w:marTop w:val="0"/>
                                  <w:marBottom w:val="0"/>
                                  <w:divBdr>
                                    <w:top w:val="none" w:sz="0" w:space="0" w:color="auto"/>
                                    <w:left w:val="none" w:sz="0" w:space="0" w:color="auto"/>
                                    <w:bottom w:val="none" w:sz="0" w:space="0" w:color="auto"/>
                                    <w:right w:val="none" w:sz="0" w:space="0" w:color="auto"/>
                                  </w:divBdr>
                                  <w:divsChild>
                                    <w:div w:id="64520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614576">
      <w:bodyDiv w:val="1"/>
      <w:marLeft w:val="0"/>
      <w:marRight w:val="0"/>
      <w:marTop w:val="0"/>
      <w:marBottom w:val="0"/>
      <w:divBdr>
        <w:top w:val="none" w:sz="0" w:space="0" w:color="auto"/>
        <w:left w:val="none" w:sz="0" w:space="0" w:color="auto"/>
        <w:bottom w:val="none" w:sz="0" w:space="0" w:color="auto"/>
        <w:right w:val="none" w:sz="0" w:space="0" w:color="auto"/>
      </w:divBdr>
    </w:div>
    <w:div w:id="1777364155">
      <w:bodyDiv w:val="1"/>
      <w:marLeft w:val="0"/>
      <w:marRight w:val="0"/>
      <w:marTop w:val="0"/>
      <w:marBottom w:val="0"/>
      <w:divBdr>
        <w:top w:val="none" w:sz="0" w:space="0" w:color="auto"/>
        <w:left w:val="none" w:sz="0" w:space="0" w:color="auto"/>
        <w:bottom w:val="none" w:sz="0" w:space="0" w:color="auto"/>
        <w:right w:val="none" w:sz="0" w:space="0" w:color="auto"/>
      </w:divBdr>
    </w:div>
    <w:div w:id="1798184640">
      <w:bodyDiv w:val="1"/>
      <w:marLeft w:val="0"/>
      <w:marRight w:val="0"/>
      <w:marTop w:val="0"/>
      <w:marBottom w:val="0"/>
      <w:divBdr>
        <w:top w:val="none" w:sz="0" w:space="0" w:color="auto"/>
        <w:left w:val="none" w:sz="0" w:space="0" w:color="auto"/>
        <w:bottom w:val="none" w:sz="0" w:space="0" w:color="auto"/>
        <w:right w:val="none" w:sz="0" w:space="0" w:color="auto"/>
      </w:divBdr>
    </w:div>
    <w:div w:id="1822695006">
      <w:bodyDiv w:val="1"/>
      <w:marLeft w:val="0"/>
      <w:marRight w:val="0"/>
      <w:marTop w:val="0"/>
      <w:marBottom w:val="0"/>
      <w:divBdr>
        <w:top w:val="none" w:sz="0" w:space="0" w:color="auto"/>
        <w:left w:val="none" w:sz="0" w:space="0" w:color="auto"/>
        <w:bottom w:val="none" w:sz="0" w:space="0" w:color="auto"/>
        <w:right w:val="none" w:sz="0" w:space="0" w:color="auto"/>
      </w:divBdr>
    </w:div>
    <w:div w:id="1864896132">
      <w:bodyDiv w:val="1"/>
      <w:marLeft w:val="0"/>
      <w:marRight w:val="0"/>
      <w:marTop w:val="0"/>
      <w:marBottom w:val="0"/>
      <w:divBdr>
        <w:top w:val="none" w:sz="0" w:space="0" w:color="auto"/>
        <w:left w:val="none" w:sz="0" w:space="0" w:color="auto"/>
        <w:bottom w:val="none" w:sz="0" w:space="0" w:color="auto"/>
        <w:right w:val="none" w:sz="0" w:space="0" w:color="auto"/>
      </w:divBdr>
    </w:div>
    <w:div w:id="1892838509">
      <w:bodyDiv w:val="1"/>
      <w:marLeft w:val="0"/>
      <w:marRight w:val="0"/>
      <w:marTop w:val="0"/>
      <w:marBottom w:val="0"/>
      <w:divBdr>
        <w:top w:val="none" w:sz="0" w:space="0" w:color="auto"/>
        <w:left w:val="none" w:sz="0" w:space="0" w:color="auto"/>
        <w:bottom w:val="none" w:sz="0" w:space="0" w:color="auto"/>
        <w:right w:val="none" w:sz="0" w:space="0" w:color="auto"/>
      </w:divBdr>
    </w:div>
    <w:div w:id="1914659854">
      <w:bodyDiv w:val="1"/>
      <w:marLeft w:val="0"/>
      <w:marRight w:val="0"/>
      <w:marTop w:val="0"/>
      <w:marBottom w:val="0"/>
      <w:divBdr>
        <w:top w:val="none" w:sz="0" w:space="0" w:color="auto"/>
        <w:left w:val="none" w:sz="0" w:space="0" w:color="auto"/>
        <w:bottom w:val="none" w:sz="0" w:space="0" w:color="auto"/>
        <w:right w:val="none" w:sz="0" w:space="0" w:color="auto"/>
      </w:divBdr>
    </w:div>
    <w:div w:id="1926567906">
      <w:bodyDiv w:val="1"/>
      <w:marLeft w:val="0"/>
      <w:marRight w:val="0"/>
      <w:marTop w:val="0"/>
      <w:marBottom w:val="0"/>
      <w:divBdr>
        <w:top w:val="none" w:sz="0" w:space="0" w:color="auto"/>
        <w:left w:val="none" w:sz="0" w:space="0" w:color="auto"/>
        <w:bottom w:val="none" w:sz="0" w:space="0" w:color="auto"/>
        <w:right w:val="none" w:sz="0" w:space="0" w:color="auto"/>
      </w:divBdr>
    </w:div>
    <w:div w:id="1934780837">
      <w:bodyDiv w:val="1"/>
      <w:marLeft w:val="0"/>
      <w:marRight w:val="0"/>
      <w:marTop w:val="0"/>
      <w:marBottom w:val="0"/>
      <w:divBdr>
        <w:top w:val="none" w:sz="0" w:space="0" w:color="auto"/>
        <w:left w:val="none" w:sz="0" w:space="0" w:color="auto"/>
        <w:bottom w:val="none" w:sz="0" w:space="0" w:color="auto"/>
        <w:right w:val="none" w:sz="0" w:space="0" w:color="auto"/>
      </w:divBdr>
    </w:div>
    <w:div w:id="2019695953">
      <w:bodyDiv w:val="1"/>
      <w:marLeft w:val="0"/>
      <w:marRight w:val="0"/>
      <w:marTop w:val="0"/>
      <w:marBottom w:val="0"/>
      <w:divBdr>
        <w:top w:val="none" w:sz="0" w:space="0" w:color="auto"/>
        <w:left w:val="none" w:sz="0" w:space="0" w:color="auto"/>
        <w:bottom w:val="none" w:sz="0" w:space="0" w:color="auto"/>
        <w:right w:val="none" w:sz="0" w:space="0" w:color="auto"/>
      </w:divBdr>
    </w:div>
    <w:div w:id="2029091775">
      <w:bodyDiv w:val="1"/>
      <w:marLeft w:val="0"/>
      <w:marRight w:val="0"/>
      <w:marTop w:val="0"/>
      <w:marBottom w:val="0"/>
      <w:divBdr>
        <w:top w:val="none" w:sz="0" w:space="0" w:color="auto"/>
        <w:left w:val="none" w:sz="0" w:space="0" w:color="auto"/>
        <w:bottom w:val="none" w:sz="0" w:space="0" w:color="auto"/>
        <w:right w:val="none" w:sz="0" w:space="0" w:color="auto"/>
      </w:divBdr>
    </w:div>
    <w:div w:id="2093040738">
      <w:bodyDiv w:val="1"/>
      <w:marLeft w:val="0"/>
      <w:marRight w:val="0"/>
      <w:marTop w:val="0"/>
      <w:marBottom w:val="0"/>
      <w:divBdr>
        <w:top w:val="none" w:sz="0" w:space="0" w:color="auto"/>
        <w:left w:val="none" w:sz="0" w:space="0" w:color="auto"/>
        <w:bottom w:val="none" w:sz="0" w:space="0" w:color="auto"/>
        <w:right w:val="none" w:sz="0" w:space="0" w:color="auto"/>
      </w:divBdr>
    </w:div>
    <w:div w:id="2114398989">
      <w:bodyDiv w:val="1"/>
      <w:marLeft w:val="0"/>
      <w:marRight w:val="0"/>
      <w:marTop w:val="0"/>
      <w:marBottom w:val="0"/>
      <w:divBdr>
        <w:top w:val="none" w:sz="0" w:space="0" w:color="auto"/>
        <w:left w:val="none" w:sz="0" w:space="0" w:color="auto"/>
        <w:bottom w:val="none" w:sz="0" w:space="0" w:color="auto"/>
        <w:right w:val="none" w:sz="0" w:space="0" w:color="auto"/>
      </w:divBdr>
      <w:divsChild>
        <w:div w:id="1702170184">
          <w:marLeft w:val="0"/>
          <w:marRight w:val="0"/>
          <w:marTop w:val="0"/>
          <w:marBottom w:val="0"/>
          <w:divBdr>
            <w:top w:val="none" w:sz="0" w:space="0" w:color="auto"/>
            <w:left w:val="none" w:sz="0" w:space="0" w:color="auto"/>
            <w:bottom w:val="none" w:sz="0" w:space="0" w:color="auto"/>
            <w:right w:val="none" w:sz="0" w:space="0" w:color="auto"/>
          </w:divBdr>
          <w:divsChild>
            <w:div w:id="20079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llenniumcohort.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cbi.nlm.nih.gov/pubmed?term=smith%5Bauthor%5D+AND+linking+exposures&amp;TransSchema=title&amp;cmd=detailssearch"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cbi.nlm.nih.gov/pubmed?term=hermes%5Bauthor%5D+AND+smokeless&amp;TransSchema=title&amp;cmd=detailssearc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llenniumcohort.org" TargetMode="External"/><Relationship Id="rId4" Type="http://schemas.openxmlformats.org/officeDocument/2006/relationships/webSettings" Target="webSettings.xml"/><Relationship Id="rId9" Type="http://schemas.openxmlformats.org/officeDocument/2006/relationships/hyperlink" Target="mailto:milcohortinfo@med.navy.m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6984</Words>
  <Characters>39813</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The Millennium Cohort Study</vt:lpstr>
    </vt:vector>
  </TitlesOfParts>
  <Company>Naval Health Research Center</Company>
  <LinksUpToDate>false</LinksUpToDate>
  <CharactersWithSpaces>46704</CharactersWithSpaces>
  <SharedDoc>false</SharedDoc>
  <HLinks>
    <vt:vector size="30" baseType="variant">
      <vt:variant>
        <vt:i4>3801186</vt:i4>
      </vt:variant>
      <vt:variant>
        <vt:i4>12</vt:i4>
      </vt:variant>
      <vt:variant>
        <vt:i4>0</vt:i4>
      </vt:variant>
      <vt:variant>
        <vt:i4>5</vt:i4>
      </vt:variant>
      <vt:variant>
        <vt:lpwstr>http://www.ncbi.nlm.nih.gov/pubmed?term=smith%5Bauthor%5D+AND+linking+exposures&amp;TransSchema=title&amp;cmd=detailssearch</vt:lpwstr>
      </vt:variant>
      <vt:variant>
        <vt:lpwstr/>
      </vt:variant>
      <vt:variant>
        <vt:i4>131072</vt:i4>
      </vt:variant>
      <vt:variant>
        <vt:i4>9</vt:i4>
      </vt:variant>
      <vt:variant>
        <vt:i4>0</vt:i4>
      </vt:variant>
      <vt:variant>
        <vt:i4>5</vt:i4>
      </vt:variant>
      <vt:variant>
        <vt:lpwstr>http://www.ncbi.nlm.nih.gov/pubmed?term=hermes%5Bauthor%5D+AND+smokeless&amp;TransSchema=title&amp;cmd=detailssearch</vt:lpwstr>
      </vt:variant>
      <vt:variant>
        <vt:lpwstr/>
      </vt:variant>
      <vt:variant>
        <vt:i4>6160451</vt:i4>
      </vt:variant>
      <vt:variant>
        <vt:i4>6</vt:i4>
      </vt:variant>
      <vt:variant>
        <vt:i4>0</vt:i4>
      </vt:variant>
      <vt:variant>
        <vt:i4>5</vt:i4>
      </vt:variant>
      <vt:variant>
        <vt:lpwstr>http://www.millenniumcohort.org/</vt:lpwstr>
      </vt:variant>
      <vt:variant>
        <vt:lpwstr/>
      </vt:variant>
      <vt:variant>
        <vt:i4>4194347</vt:i4>
      </vt:variant>
      <vt:variant>
        <vt:i4>3</vt:i4>
      </vt:variant>
      <vt:variant>
        <vt:i4>0</vt:i4>
      </vt:variant>
      <vt:variant>
        <vt:i4>5</vt:i4>
      </vt:variant>
      <vt:variant>
        <vt:lpwstr>mailto:milcohortinfo@med.navy.mil</vt:lpwstr>
      </vt:variant>
      <vt:variant>
        <vt:lpwstr/>
      </vt:variant>
      <vt:variant>
        <vt:i4>6160451</vt:i4>
      </vt:variant>
      <vt:variant>
        <vt:i4>0</vt:i4>
      </vt:variant>
      <vt:variant>
        <vt:i4>0</vt:i4>
      </vt:variant>
      <vt:variant>
        <vt:i4>5</vt:i4>
      </vt:variant>
      <vt:variant>
        <vt:lpwstr>http://www.millenniumcohort.org/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Millennium Cohort Study</dc:title>
  <dc:creator>speigle</dc:creator>
  <cp:lastModifiedBy>Frederick Licari</cp:lastModifiedBy>
  <cp:revision>2</cp:revision>
  <cp:lastPrinted>2014-03-25T12:45:00Z</cp:lastPrinted>
  <dcterms:created xsi:type="dcterms:W3CDTF">2014-03-25T12:46:00Z</dcterms:created>
  <dcterms:modified xsi:type="dcterms:W3CDTF">2014-03-25T12:46:00Z</dcterms:modified>
</cp:coreProperties>
</file>