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r w:rsidR="00A6761C">
        <w:rPr>
          <w:u w:val="single"/>
        </w:rPr>
        <w:t xml:space="preserve"> </w:t>
      </w:r>
    </w:p>
    <w:p w:rsidR="005E0A0F" w:rsidRDefault="005E0A0F" w:rsidP="00AC5BD4">
      <w:pPr>
        <w:pStyle w:val="NormalWeb"/>
        <w:tabs>
          <w:tab w:val="left" w:pos="360"/>
          <w:tab w:val="left" w:pos="720"/>
          <w:tab w:val="left" w:pos="1080"/>
          <w:tab w:val="left" w:pos="1440"/>
        </w:tabs>
        <w:spacing w:line="288" w:lineRule="atLeast"/>
      </w:pPr>
      <w:r>
        <w:t xml:space="preserve">A.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 xml:space="preserve">1.  </w:t>
      </w:r>
      <w:r w:rsidR="005E0A0F">
        <w:rPr>
          <w:u w:val="single"/>
        </w:rPr>
        <w:t>Need for the Information Collection</w:t>
      </w:r>
    </w:p>
    <w:bookmarkEnd w:id="1"/>
    <w:p w:rsidR="00AC5BD4" w:rsidRDefault="00AC5BD4" w:rsidP="00AC5BD4">
      <w:pPr>
        <w:pStyle w:val="NormalWeb"/>
        <w:tabs>
          <w:tab w:val="left" w:pos="360"/>
          <w:tab w:val="left" w:pos="720"/>
          <w:tab w:val="left" w:pos="1080"/>
          <w:tab w:val="left" w:pos="1440"/>
        </w:tabs>
        <w:spacing w:line="288" w:lineRule="atLeast"/>
      </w:pPr>
      <w:r>
        <w:tab/>
      </w:r>
      <w:r>
        <w:tab/>
      </w:r>
      <w:r w:rsidRPr="00AC5BD4">
        <w:t xml:space="preserve">This justification supports an extension of OMB </w:t>
      </w:r>
      <w:r w:rsidR="00A6761C">
        <w:t>Control</w:t>
      </w:r>
      <w:r w:rsidRPr="00AC5BD4">
        <w:t xml:space="preserve"> Number 0704-0321.  This request covers the following requirements for the collection of information relating to Defense Federal Acquisition Regulation Supplement (DFARS) </w:t>
      </w:r>
      <w:r w:rsidR="002429FD">
        <w:t>section</w:t>
      </w:r>
      <w:bookmarkStart w:id="2" w:name="_GoBack"/>
      <w:bookmarkEnd w:id="2"/>
      <w:r w:rsidRPr="00AC5BD4">
        <w:t xml:space="preserve"> 232.502-4-70(a), Progress Payments for Foreign Military Sales (FMS) Acquisitions, and the related clause at 252.232-7002, Progress Payments for Foreign Military Sales Acquisitions.  The Arms Export Control Act requires, in the absence of a special Presidential Finding, that the U.S. Government purchase military equipment for foreign governments using foreign funds and without any charge to U.S. appropriated funds.  In order to comply with this requirement, the Government needs to know how much to charge each country as progress payments are made for foreign military sales (FMS) purchases.  The Government can only obtain this information from the contractor preparing the progress payment request.  The clause at 252.232-7002, requires a contractor whose contract includes FMS requirements to submit a progress payment request with a supporting schedule that clearly distinguishes the contract’s FMS requirements from U.S. contract requirements.</w:t>
      </w:r>
      <w:r>
        <w:tab/>
      </w:r>
    </w:p>
    <w:p w:rsidR="00AC5BD4" w:rsidRDefault="00AC5BD4" w:rsidP="00AC5BD4">
      <w:pPr>
        <w:pStyle w:val="NormalWeb"/>
        <w:tabs>
          <w:tab w:val="left" w:pos="360"/>
          <w:tab w:val="left" w:pos="720"/>
          <w:tab w:val="left" w:pos="1080"/>
          <w:tab w:val="left" w:pos="1440"/>
        </w:tabs>
        <w:spacing w:line="288" w:lineRule="atLeast"/>
      </w:pPr>
      <w:r>
        <w:tab/>
      </w:r>
      <w:r>
        <w:tab/>
        <w:t>a.</w:t>
      </w:r>
      <w:r>
        <w:tab/>
        <w:t xml:space="preserve"> DFARS 252.232-7002(a) requires contractors to submit a separate progress payment request for each progress payment rate.</w:t>
      </w:r>
    </w:p>
    <w:p w:rsidR="00AC5BD4" w:rsidRDefault="00AC5BD4" w:rsidP="00AC5BD4">
      <w:pPr>
        <w:pStyle w:val="NormalWeb"/>
        <w:tabs>
          <w:tab w:val="left" w:pos="360"/>
          <w:tab w:val="left" w:pos="720"/>
          <w:tab w:val="left" w:pos="1080"/>
          <w:tab w:val="left" w:pos="1440"/>
        </w:tabs>
        <w:spacing w:line="288" w:lineRule="atLeast"/>
      </w:pPr>
      <w:r>
        <w:tab/>
      </w:r>
      <w:r>
        <w:tab/>
        <w:t>b.</w:t>
      </w:r>
      <w:r>
        <w:tab/>
        <w:t xml:space="preserve"> DFARS 252.232-7002(b) requires contractors to submit a supporting schedule showing–</w:t>
      </w:r>
    </w:p>
    <w:p w:rsidR="00AC5BD4" w:rsidRDefault="00AC5BD4" w:rsidP="00AC5BD4">
      <w:pPr>
        <w:pStyle w:val="NormalWeb"/>
        <w:tabs>
          <w:tab w:val="left" w:pos="360"/>
          <w:tab w:val="left" w:pos="720"/>
          <w:tab w:val="left" w:pos="1080"/>
          <w:tab w:val="left" w:pos="1440"/>
        </w:tabs>
        <w:spacing w:line="288" w:lineRule="atLeast"/>
      </w:pPr>
      <w:r>
        <w:tab/>
      </w:r>
      <w:r>
        <w:tab/>
      </w:r>
      <w:r>
        <w:tab/>
        <w:t>(i)  The amount of each request distributed to each country's requirements; and</w:t>
      </w:r>
    </w:p>
    <w:p w:rsidR="00AC5BD4" w:rsidRDefault="00AC5BD4" w:rsidP="00AC5BD4">
      <w:pPr>
        <w:pStyle w:val="NormalWeb"/>
        <w:tabs>
          <w:tab w:val="left" w:pos="360"/>
          <w:tab w:val="left" w:pos="720"/>
          <w:tab w:val="left" w:pos="1080"/>
          <w:tab w:val="left" w:pos="1440"/>
        </w:tabs>
        <w:spacing w:line="288" w:lineRule="atLeast"/>
      </w:pPr>
      <w:r>
        <w:tab/>
      </w:r>
      <w:r>
        <w:tab/>
      </w:r>
      <w:r>
        <w:tab/>
        <w:t>(ii)  Total price per contract line item applicable to each separate progress payment rate.</w:t>
      </w:r>
    </w:p>
    <w:p w:rsidR="00AC5BD4" w:rsidRDefault="00AC5BD4" w:rsidP="00AC5BD4">
      <w:pPr>
        <w:pStyle w:val="NormalWeb"/>
        <w:tabs>
          <w:tab w:val="left" w:pos="360"/>
          <w:tab w:val="left" w:pos="720"/>
          <w:tab w:val="left" w:pos="1080"/>
          <w:tab w:val="left" w:pos="1440"/>
        </w:tabs>
        <w:spacing w:line="288" w:lineRule="atLeast"/>
      </w:pPr>
      <w:r>
        <w:tab/>
      </w:r>
      <w:r>
        <w:tab/>
        <w:t>c.</w:t>
      </w:r>
      <w:r>
        <w:tab/>
        <w:t xml:space="preserve"> DFARS 252.232-7002(c) requires contractors to identify in each progress payment request the contract requirements to which it applies (i.e., FMS or U.S.).</w:t>
      </w:r>
    </w:p>
    <w:p w:rsidR="00AC5BD4" w:rsidRDefault="00AC5BD4" w:rsidP="00AC5BD4">
      <w:pPr>
        <w:pStyle w:val="NormalWeb"/>
        <w:tabs>
          <w:tab w:val="left" w:pos="360"/>
          <w:tab w:val="left" w:pos="720"/>
          <w:tab w:val="left" w:pos="1080"/>
          <w:tab w:val="left" w:pos="1440"/>
        </w:tabs>
        <w:spacing w:line="288" w:lineRule="atLeast"/>
      </w:pPr>
      <w:r>
        <w:tab/>
      </w:r>
      <w:r>
        <w:tab/>
      </w:r>
      <w:proofErr w:type="gramStart"/>
      <w:r>
        <w:t>d.</w:t>
      </w:r>
      <w:r>
        <w:tab/>
        <w:t xml:space="preserve"> DFARS</w:t>
      </w:r>
      <w:proofErr w:type="gramEnd"/>
      <w:r>
        <w:t xml:space="preserve"> 252.232-7002(d) requires contractors to calculate each request on the basis of the prices, costs (including costs to complete), subcontractor progress payments, and progress payment liquidations of the contract requirements to which it applies.</w:t>
      </w:r>
    </w:p>
    <w:p w:rsidR="00AC5BD4" w:rsidRDefault="00AC5BD4" w:rsidP="00AC5BD4">
      <w:pPr>
        <w:pStyle w:val="NormalWeb"/>
        <w:tabs>
          <w:tab w:val="left" w:pos="360"/>
          <w:tab w:val="left" w:pos="720"/>
          <w:tab w:val="left" w:pos="1080"/>
          <w:tab w:val="left" w:pos="1440"/>
        </w:tabs>
        <w:spacing w:line="288" w:lineRule="atLeast"/>
      </w:pPr>
      <w:r>
        <w:tab/>
      </w:r>
      <w:r>
        <w:tab/>
        <w:t>e.</w:t>
      </w:r>
      <w:r>
        <w:tab/>
        <w:t xml:space="preserve"> DFARS 252.232-7002(e) requires contractors to distribute costs among contract line items and countries in a manner acceptable to the Administrative Contracting Officer.</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AC5BD4" w:rsidRDefault="00AC5BD4" w:rsidP="00AC5BD4">
      <w:pPr>
        <w:pStyle w:val="NormalWeb"/>
        <w:tabs>
          <w:tab w:val="left" w:pos="360"/>
          <w:tab w:val="left" w:pos="720"/>
          <w:tab w:val="left" w:pos="1080"/>
          <w:tab w:val="left" w:pos="1440"/>
        </w:tabs>
        <w:spacing w:line="288" w:lineRule="atLeast"/>
      </w:pPr>
      <w:r>
        <w:tab/>
      </w:r>
      <w:r>
        <w:tab/>
      </w:r>
      <w:r w:rsidRPr="00AC5BD4">
        <w:t xml:space="preserve">The customary progress payment rates for </w:t>
      </w:r>
      <w:proofErr w:type="gramStart"/>
      <w:r w:rsidRPr="00AC5BD4">
        <w:t>DoD</w:t>
      </w:r>
      <w:proofErr w:type="gramEnd"/>
      <w:r w:rsidRPr="00AC5BD4">
        <w:t xml:space="preserve"> contracts, as prescribed in DFARS part 232, are 80 percent for large business concerns and 90 percent for small business concerns.  The </w:t>
      </w:r>
      <w:r w:rsidRPr="00AC5BD4">
        <w:lastRenderedPageBreak/>
        <w:t>information generated by the progress payment submission requirements of DFARS part 232 is used by contracting officers to maintain an audit trail and permit verification of calculations.  The Government also uses this information to determine how much to disburse to the contractor.  Absent this information, the Government would be unable to pay the FMS portion of the progress payment request, thereby breaching its contractual duties, with subsequent damages payable to the contractor; the Disbursing Officer would commit a statutory violation in wrongfully disbursing U.S. funds contrary to the Congressional instructions for payments for FMS work; or the U.S. Government would violate its fiduciary duty to the foreign country whose funds are improperly disbursed for some other country’s purchases.</w:t>
      </w:r>
    </w:p>
    <w:p w:rsidR="005E0A0F" w:rsidRDefault="00AC5BD4" w:rsidP="00AC5BD4">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rsidR="005E0A0F" w:rsidRDefault="00AC5BD4" w:rsidP="00AC5BD4">
      <w:pPr>
        <w:pStyle w:val="NormalWeb"/>
        <w:tabs>
          <w:tab w:val="left" w:pos="360"/>
          <w:tab w:val="left" w:pos="720"/>
          <w:tab w:val="left" w:pos="1080"/>
          <w:tab w:val="left" w:pos="1440"/>
        </w:tabs>
        <w:spacing w:line="288" w:lineRule="atLeast"/>
      </w:pPr>
      <w:r>
        <w:tab/>
      </w:r>
      <w:r>
        <w:tab/>
      </w:r>
      <w:r w:rsidRPr="00AC5BD4">
        <w:t xml:space="preserve">Improved information technology is used to the maximum extent practicable.  A procedure has been implemented that allows Contractors to submit, and </w:t>
      </w:r>
      <w:proofErr w:type="gramStart"/>
      <w:r w:rsidRPr="00AC5BD4">
        <w:t>DoD</w:t>
      </w:r>
      <w:proofErr w:type="gramEnd"/>
      <w:r w:rsidRPr="00AC5BD4">
        <w:t xml:space="preserve"> to process, progress payments electronically.  This method of collection was adopted to reduce input errors and increase cash flow.</w:t>
      </w:r>
    </w:p>
    <w:p w:rsidR="005E0A0F" w:rsidRDefault="00AC5BD4" w:rsidP="00AC5BD4">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rsidR="00AC5BD4" w:rsidRDefault="00AC5BD4" w:rsidP="00AC5BD4">
      <w:pPr>
        <w:pStyle w:val="NormalWeb"/>
        <w:tabs>
          <w:tab w:val="left" w:pos="360"/>
          <w:tab w:val="left" w:pos="720"/>
          <w:tab w:val="left" w:pos="1080"/>
          <w:tab w:val="left" w:pos="1440"/>
        </w:tabs>
        <w:spacing w:line="288" w:lineRule="atLeast"/>
      </w:pPr>
      <w:r>
        <w:tab/>
      </w:r>
      <w:r>
        <w:tab/>
      </w:r>
      <w:bookmarkStart w:id="3" w:name="cp440"/>
      <w:r w:rsidRPr="00AC5BD4">
        <w:t xml:space="preserve">As a matter of policy, </w:t>
      </w:r>
      <w:proofErr w:type="gramStart"/>
      <w:r w:rsidRPr="00AC5BD4">
        <w:t>DoD</w:t>
      </w:r>
      <w:proofErr w:type="gramEnd"/>
      <w:r w:rsidRPr="00AC5BD4">
        <w:t xml:space="preserve"> reviews the Federal Acquisition Regulations (FAR) to determine if adequate language already exists.  The language in DFARS 252.232-7002 applies solely to </w:t>
      </w:r>
      <w:proofErr w:type="gramStart"/>
      <w:r w:rsidRPr="00AC5BD4">
        <w:t>DoD</w:t>
      </w:r>
      <w:proofErr w:type="gramEnd"/>
      <w:r w:rsidRPr="00AC5BD4">
        <w:t xml:space="preserve"> and is not considered duplicative of the language in the FAR.  Similar information is not readily available.</w:t>
      </w:r>
    </w:p>
    <w:p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AC5BD4" w:rsidRDefault="00AC5BD4" w:rsidP="00AC5BD4">
      <w:pPr>
        <w:pStyle w:val="NormalWeb"/>
        <w:tabs>
          <w:tab w:val="left" w:pos="360"/>
          <w:tab w:val="left" w:pos="720"/>
          <w:tab w:val="left" w:pos="1080"/>
          <w:tab w:val="left" w:pos="1440"/>
        </w:tabs>
        <w:spacing w:line="288" w:lineRule="atLeast"/>
      </w:pPr>
      <w:bookmarkStart w:id="4" w:name="cp441"/>
      <w:bookmarkEnd w:id="3"/>
      <w:r>
        <w:tab/>
      </w:r>
      <w:r>
        <w:tab/>
      </w:r>
      <w:bookmarkEnd w:id="4"/>
      <w:r w:rsidRPr="00AC5BD4">
        <w:t>The burden applied to small businesses is the minimum consistent with applicable laws, Executive orders, regulations,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AC5BD4" w:rsidRDefault="00AC5BD4" w:rsidP="00AC5BD4">
      <w:pPr>
        <w:pStyle w:val="NormalWeb"/>
        <w:tabs>
          <w:tab w:val="left" w:pos="360"/>
          <w:tab w:val="left" w:pos="720"/>
          <w:tab w:val="left" w:pos="1080"/>
          <w:tab w:val="left" w:pos="1440"/>
        </w:tabs>
        <w:spacing w:line="288" w:lineRule="atLeast"/>
      </w:pPr>
      <w:bookmarkStart w:id="5" w:name="cp444"/>
      <w:r>
        <w:tab/>
      </w:r>
      <w:r>
        <w:tab/>
      </w:r>
      <w:r w:rsidRPr="00AC5BD4">
        <w:t>The information will be collected no more than once per month, but may be collected less frequently depending on the frequency of the contractor’s submission of progress payment requests.  The monthly limitation is imposed by FAR 52.232-16, Progress Payments, which is a required clause in contracts under which the Government will provide progress payments based on costs.</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AC5BD4" w:rsidRDefault="00AC5BD4" w:rsidP="00AC5BD4">
      <w:pPr>
        <w:pStyle w:val="NormalWeb"/>
        <w:tabs>
          <w:tab w:val="left" w:pos="360"/>
          <w:tab w:val="left" w:pos="720"/>
          <w:tab w:val="left" w:pos="1080"/>
          <w:tab w:val="left" w:pos="1440"/>
        </w:tabs>
        <w:spacing w:line="288" w:lineRule="atLeast"/>
      </w:pPr>
      <w:bookmarkStart w:id="6" w:name="cp446"/>
      <w:bookmarkEnd w:id="5"/>
      <w:r>
        <w:tab/>
      </w:r>
      <w:r>
        <w:tab/>
      </w:r>
      <w:r w:rsidRPr="00AC5BD4">
        <w:t>Collection of this information does not require any of the characteristics of collection cited at 5 CFR 1320.5(d</w:t>
      </w:r>
      <w:proofErr w:type="gramStart"/>
      <w:r w:rsidRPr="00AC5BD4">
        <w:t>)(</w:t>
      </w:r>
      <w:proofErr w:type="gramEnd"/>
      <w:r w:rsidRPr="00AC5BD4">
        <w:t>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5E0A0F" w:rsidRDefault="00AC5BD4" w:rsidP="00AC5BD4">
      <w:pPr>
        <w:pStyle w:val="NormalWeb"/>
        <w:tabs>
          <w:tab w:val="left" w:pos="360"/>
          <w:tab w:val="left" w:pos="720"/>
          <w:tab w:val="left" w:pos="1080"/>
          <w:tab w:val="left" w:pos="1440"/>
        </w:tabs>
        <w:spacing w:line="288" w:lineRule="atLeast"/>
      </w:pPr>
      <w:bookmarkStart w:id="7" w:name="cp447"/>
      <w:bookmarkEnd w:id="6"/>
      <w:r>
        <w:lastRenderedPageBreak/>
        <w:tab/>
      </w:r>
      <w:r>
        <w:tab/>
      </w:r>
      <w:r w:rsidRPr="00AC5BD4">
        <w:t>The information collection is consistent with the guidelines in 5 CFR 1320.5(d).  In accordance with 5 CFR 1320.8(d), public comments were solicited in the Federal Register on September 30, 2015 (80 FR 58715). No comments were received.</w:t>
      </w:r>
    </w:p>
    <w:p w:rsidR="005E0A0F" w:rsidRDefault="00AC5BD4" w:rsidP="00AC5BD4">
      <w:pPr>
        <w:pStyle w:val="NormalWeb"/>
        <w:tabs>
          <w:tab w:val="left" w:pos="360"/>
          <w:tab w:val="left" w:pos="720"/>
          <w:tab w:val="left" w:pos="1080"/>
          <w:tab w:val="left" w:pos="1440"/>
        </w:tabs>
        <w:spacing w:line="288" w:lineRule="atLeast"/>
      </w:pPr>
      <w:bookmarkStart w:id="8" w:name="cp449"/>
      <w:bookmarkEnd w:id="7"/>
      <w:r>
        <w:tab/>
      </w:r>
      <w:r w:rsidR="005E0A0F">
        <w:t xml:space="preserve">9. 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9" w:name="cp450"/>
      <w:bookmarkEnd w:id="8"/>
      <w:r>
        <w:tab/>
      </w:r>
      <w:r>
        <w:tab/>
      </w:r>
      <w:bookmarkEnd w:id="9"/>
      <w:r w:rsidRPr="00AC5BD4">
        <w:t>No payment or gift will be provided to respondents, other than remuneration of contractors under their contracts.</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rsidR="00AC5BD4" w:rsidRPr="00AC5BD4" w:rsidRDefault="00AC5BD4" w:rsidP="00AC5BD4">
      <w:pPr>
        <w:ind w:firstLine="720"/>
      </w:pPr>
      <w:r w:rsidRPr="00AC5BD4">
        <w:t>This information is disclosed only to the extent consistent with statutory requirements, current regulations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11.  </w:t>
      </w:r>
      <w:r w:rsidR="005E0A0F">
        <w:rPr>
          <w:u w:val="single"/>
        </w:rPr>
        <w:t>Sensitive Questions</w:t>
      </w:r>
    </w:p>
    <w:p w:rsidR="00AC5BD4" w:rsidRDefault="00AC5BD4" w:rsidP="00AC5BD4">
      <w:pPr>
        <w:pStyle w:val="NormalWeb"/>
        <w:tabs>
          <w:tab w:val="left" w:pos="360"/>
          <w:tab w:val="left" w:pos="720"/>
          <w:tab w:val="left" w:pos="1080"/>
          <w:tab w:val="left" w:pos="1440"/>
        </w:tabs>
        <w:spacing w:line="288" w:lineRule="atLeast"/>
      </w:pPr>
      <w:bookmarkStart w:id="10" w:name="cp456"/>
      <w:r>
        <w:tab/>
      </w:r>
      <w:r>
        <w:tab/>
      </w:r>
      <w:r w:rsidRPr="00AC5BD4">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12.  </w:t>
      </w:r>
      <w:r w:rsidR="005E0A0F">
        <w:rPr>
          <w:u w:val="single"/>
        </w:rPr>
        <w:t>Respondent Burden, and its Labor Costs</w:t>
      </w:r>
    </w:p>
    <w:p w:rsidR="003002A0" w:rsidRDefault="003C26F7" w:rsidP="00D141EB">
      <w:pPr>
        <w:pStyle w:val="NormalWeb"/>
        <w:tabs>
          <w:tab w:val="left" w:pos="360"/>
          <w:tab w:val="left" w:pos="720"/>
          <w:tab w:val="left" w:pos="1080"/>
          <w:tab w:val="left" w:pos="1440"/>
        </w:tabs>
        <w:spacing w:line="288" w:lineRule="atLeast"/>
      </w:pPr>
      <w:bookmarkStart w:id="11" w:name="cp457"/>
      <w:bookmarkEnd w:id="10"/>
      <w:r>
        <w:tab/>
      </w:r>
      <w:r>
        <w:tab/>
        <w:t>a.</w:t>
      </w:r>
      <w:r>
        <w:tab/>
      </w:r>
      <w:r w:rsidR="005E0A0F">
        <w:rPr>
          <w:u w:val="single"/>
        </w:rPr>
        <w:t>Estimation of Respondent Burden</w:t>
      </w:r>
      <w: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747"/>
        <w:gridCol w:w="1747"/>
        <w:gridCol w:w="1748"/>
        <w:gridCol w:w="1747"/>
        <w:gridCol w:w="1748"/>
      </w:tblGrid>
      <w:tr w:rsidR="006E7819" w:rsidTr="00D23595">
        <w:tc>
          <w:tcPr>
            <w:tcW w:w="10710" w:type="dxa"/>
            <w:gridSpan w:val="6"/>
            <w:shd w:val="clear" w:color="auto" w:fill="auto"/>
          </w:tcPr>
          <w:p w:rsidR="006E7819" w:rsidRDefault="006E7819" w:rsidP="00D23595">
            <w:pPr>
              <w:pStyle w:val="NormalWeb"/>
              <w:spacing w:line="288" w:lineRule="atLeast"/>
              <w:jc w:val="center"/>
            </w:pPr>
            <w:r>
              <w:t>Estimation of Respondent Burden Hours</w:t>
            </w:r>
            <w:r w:rsidR="003002A0">
              <w:rPr>
                <w:rStyle w:val="FootnoteReference"/>
              </w:rPr>
              <w:footnoteReference w:id="1"/>
            </w:r>
          </w:p>
        </w:tc>
      </w:tr>
      <w:tr w:rsidR="006E7819" w:rsidTr="006E7819">
        <w:trPr>
          <w:trHeight w:val="1952"/>
        </w:trPr>
        <w:tc>
          <w:tcPr>
            <w:tcW w:w="1973" w:type="dxa"/>
            <w:shd w:val="clear" w:color="auto" w:fill="auto"/>
          </w:tcPr>
          <w:p w:rsidR="003C26F7" w:rsidRDefault="003C26F7" w:rsidP="00D23595">
            <w:pPr>
              <w:pStyle w:val="NormalWeb"/>
              <w:spacing w:line="288" w:lineRule="atLeast"/>
            </w:pPr>
            <w:bookmarkStart w:id="12" w:name="cp458"/>
            <w:bookmarkEnd w:id="11"/>
          </w:p>
        </w:tc>
        <w:tc>
          <w:tcPr>
            <w:tcW w:w="1747" w:type="dxa"/>
            <w:shd w:val="clear" w:color="auto" w:fill="auto"/>
          </w:tcPr>
          <w:p w:rsidR="003C26F7" w:rsidRDefault="003C26F7" w:rsidP="00E90B41">
            <w:pPr>
              <w:pStyle w:val="NormalWeb"/>
              <w:spacing w:line="288" w:lineRule="atLeast"/>
              <w:jc w:val="center"/>
            </w:pPr>
            <w:r>
              <w:t>Number of Respondents</w:t>
            </w:r>
            <w:r w:rsidR="003002A0">
              <w:rPr>
                <w:rStyle w:val="FootnoteReference"/>
              </w:rPr>
              <w:footnoteReference w:id="2"/>
            </w:r>
          </w:p>
        </w:tc>
        <w:tc>
          <w:tcPr>
            <w:tcW w:w="1747" w:type="dxa"/>
            <w:shd w:val="clear" w:color="auto" w:fill="auto"/>
          </w:tcPr>
          <w:p w:rsidR="003C26F7" w:rsidRDefault="003C26F7" w:rsidP="00E90B41">
            <w:pPr>
              <w:pStyle w:val="NormalWeb"/>
              <w:spacing w:line="288" w:lineRule="atLeast"/>
              <w:jc w:val="center"/>
            </w:pPr>
            <w:r>
              <w:t>Number of Responses per Respondent</w:t>
            </w:r>
          </w:p>
        </w:tc>
        <w:tc>
          <w:tcPr>
            <w:tcW w:w="1748" w:type="dxa"/>
            <w:shd w:val="clear" w:color="auto" w:fill="auto"/>
          </w:tcPr>
          <w:p w:rsidR="003C26F7" w:rsidRDefault="003C26F7" w:rsidP="00E90B41">
            <w:pPr>
              <w:pStyle w:val="NormalWeb"/>
              <w:spacing w:line="288" w:lineRule="atLeast"/>
              <w:jc w:val="center"/>
            </w:pPr>
            <w:r>
              <w:t>Number of Total Annual Responses</w:t>
            </w:r>
            <w:r w:rsidR="003002A0">
              <w:rPr>
                <w:rStyle w:val="FootnoteReference"/>
              </w:rPr>
              <w:footnoteReference w:id="3"/>
            </w:r>
          </w:p>
        </w:tc>
        <w:tc>
          <w:tcPr>
            <w:tcW w:w="1747" w:type="dxa"/>
            <w:shd w:val="clear" w:color="auto" w:fill="auto"/>
          </w:tcPr>
          <w:p w:rsidR="003C26F7" w:rsidRDefault="003C26F7" w:rsidP="003C26F7">
            <w:pPr>
              <w:pStyle w:val="NormalWeb"/>
              <w:spacing w:line="288" w:lineRule="atLeast"/>
              <w:jc w:val="center"/>
            </w:pPr>
            <w:r>
              <w:t>Response Time (Amount of time needed to complete the collection instrument)</w:t>
            </w:r>
          </w:p>
        </w:tc>
        <w:tc>
          <w:tcPr>
            <w:tcW w:w="1748" w:type="dxa"/>
            <w:shd w:val="clear" w:color="auto" w:fill="auto"/>
          </w:tcPr>
          <w:p w:rsidR="003C26F7" w:rsidRDefault="003C26F7" w:rsidP="003C26F7">
            <w:pPr>
              <w:pStyle w:val="NormalWeb"/>
              <w:spacing w:line="288" w:lineRule="atLeast"/>
              <w:jc w:val="center"/>
            </w:pPr>
            <w:r>
              <w:t>Respondent Burden Hours (Total Annual Responses multiplied by Response Time) Please compute these into hours)</w:t>
            </w:r>
          </w:p>
        </w:tc>
      </w:tr>
      <w:tr w:rsidR="006E7819" w:rsidTr="006E7819">
        <w:tc>
          <w:tcPr>
            <w:tcW w:w="1973" w:type="dxa"/>
            <w:shd w:val="clear" w:color="auto" w:fill="auto"/>
            <w:vAlign w:val="center"/>
          </w:tcPr>
          <w:p w:rsidR="003C26F7" w:rsidRDefault="003C26F7" w:rsidP="003C26F7">
            <w:pPr>
              <w:pStyle w:val="NormalWeb"/>
              <w:contextualSpacing/>
            </w:pPr>
            <w:r>
              <w:t>252.232-7002</w:t>
            </w:r>
          </w:p>
        </w:tc>
        <w:tc>
          <w:tcPr>
            <w:tcW w:w="1747" w:type="dxa"/>
            <w:shd w:val="clear" w:color="auto" w:fill="auto"/>
            <w:vAlign w:val="center"/>
          </w:tcPr>
          <w:p w:rsidR="003C26F7" w:rsidRDefault="003C26F7" w:rsidP="006E7819">
            <w:pPr>
              <w:pStyle w:val="NormalWeb"/>
              <w:contextualSpacing/>
              <w:jc w:val="right"/>
            </w:pPr>
            <w:r>
              <w:t>124</w:t>
            </w:r>
          </w:p>
        </w:tc>
        <w:tc>
          <w:tcPr>
            <w:tcW w:w="1747" w:type="dxa"/>
            <w:shd w:val="clear" w:color="auto" w:fill="auto"/>
            <w:vAlign w:val="center"/>
          </w:tcPr>
          <w:p w:rsidR="003C26F7" w:rsidRDefault="003C26F7" w:rsidP="003C26F7">
            <w:pPr>
              <w:pStyle w:val="NormalWeb"/>
              <w:contextualSpacing/>
              <w:jc w:val="right"/>
            </w:pPr>
            <w:r>
              <w:t>26.6</w:t>
            </w:r>
          </w:p>
        </w:tc>
        <w:tc>
          <w:tcPr>
            <w:tcW w:w="1748" w:type="dxa"/>
            <w:shd w:val="clear" w:color="auto" w:fill="auto"/>
            <w:vAlign w:val="center"/>
          </w:tcPr>
          <w:p w:rsidR="003C26F7" w:rsidRDefault="003C26F7" w:rsidP="003C26F7">
            <w:pPr>
              <w:pStyle w:val="NormalWeb"/>
              <w:contextualSpacing/>
              <w:jc w:val="right"/>
            </w:pPr>
            <w:r>
              <w:t>3,300</w:t>
            </w:r>
          </w:p>
        </w:tc>
        <w:tc>
          <w:tcPr>
            <w:tcW w:w="1747" w:type="dxa"/>
            <w:shd w:val="clear" w:color="auto" w:fill="auto"/>
            <w:vAlign w:val="center"/>
          </w:tcPr>
          <w:p w:rsidR="003C26F7" w:rsidRDefault="00127C69" w:rsidP="003C26F7">
            <w:pPr>
              <w:pStyle w:val="NormalWeb"/>
              <w:contextualSpacing/>
              <w:jc w:val="right"/>
            </w:pPr>
            <w:r>
              <w:t>0</w:t>
            </w:r>
            <w:r w:rsidR="003C26F7">
              <w:t>.5</w:t>
            </w:r>
          </w:p>
        </w:tc>
        <w:tc>
          <w:tcPr>
            <w:tcW w:w="1748" w:type="dxa"/>
            <w:shd w:val="clear" w:color="auto" w:fill="auto"/>
            <w:vAlign w:val="center"/>
          </w:tcPr>
          <w:p w:rsidR="003C26F7" w:rsidRDefault="003C26F7" w:rsidP="003C26F7">
            <w:pPr>
              <w:pStyle w:val="NormalWeb"/>
              <w:contextualSpacing/>
              <w:jc w:val="right"/>
            </w:pPr>
            <w:r>
              <w:t>1,650</w:t>
            </w:r>
          </w:p>
        </w:tc>
      </w:tr>
      <w:tr w:rsidR="00E90B41" w:rsidTr="006E7819">
        <w:tc>
          <w:tcPr>
            <w:tcW w:w="1973" w:type="dxa"/>
            <w:shd w:val="clear" w:color="auto" w:fill="auto"/>
          </w:tcPr>
          <w:p w:rsidR="00E90B41" w:rsidRDefault="00E90B41" w:rsidP="00D23595">
            <w:pPr>
              <w:pStyle w:val="NormalWeb"/>
              <w:spacing w:line="288" w:lineRule="atLeast"/>
            </w:pPr>
            <w:r>
              <w:t>Recordkeeping</w:t>
            </w:r>
            <w:r w:rsidR="00A6761C">
              <w:rPr>
                <w:rStyle w:val="FootnoteReference"/>
              </w:rPr>
              <w:footnoteReference w:id="4"/>
            </w:r>
          </w:p>
        </w:tc>
        <w:tc>
          <w:tcPr>
            <w:tcW w:w="1747" w:type="dxa"/>
            <w:shd w:val="clear" w:color="auto" w:fill="auto"/>
            <w:vAlign w:val="center"/>
          </w:tcPr>
          <w:p w:rsidR="00E90B41" w:rsidRDefault="00E90B41" w:rsidP="00D23595">
            <w:pPr>
              <w:pStyle w:val="NormalWeb"/>
              <w:contextualSpacing/>
              <w:jc w:val="right"/>
            </w:pPr>
            <w:r>
              <w:t>124</w:t>
            </w:r>
          </w:p>
        </w:tc>
        <w:tc>
          <w:tcPr>
            <w:tcW w:w="1747" w:type="dxa"/>
            <w:shd w:val="clear" w:color="auto" w:fill="auto"/>
            <w:vAlign w:val="center"/>
          </w:tcPr>
          <w:p w:rsidR="00E90B41" w:rsidRDefault="002230B5" w:rsidP="00D23595">
            <w:pPr>
              <w:pStyle w:val="NormalWeb"/>
              <w:contextualSpacing/>
              <w:jc w:val="right"/>
            </w:pPr>
            <w:r>
              <w:t>26.6</w:t>
            </w:r>
          </w:p>
        </w:tc>
        <w:tc>
          <w:tcPr>
            <w:tcW w:w="1748" w:type="dxa"/>
            <w:shd w:val="clear" w:color="auto" w:fill="auto"/>
            <w:vAlign w:val="center"/>
          </w:tcPr>
          <w:p w:rsidR="00E90B41" w:rsidRDefault="002230B5" w:rsidP="00D23595">
            <w:pPr>
              <w:pStyle w:val="NormalWeb"/>
              <w:contextualSpacing/>
              <w:jc w:val="right"/>
            </w:pPr>
            <w:r>
              <w:t>3,300</w:t>
            </w:r>
          </w:p>
        </w:tc>
        <w:tc>
          <w:tcPr>
            <w:tcW w:w="1747" w:type="dxa"/>
            <w:shd w:val="clear" w:color="auto" w:fill="auto"/>
            <w:vAlign w:val="center"/>
          </w:tcPr>
          <w:p w:rsidR="00E90B41" w:rsidRDefault="002230B5" w:rsidP="002230B5">
            <w:pPr>
              <w:pStyle w:val="NormalWeb"/>
              <w:contextualSpacing/>
              <w:jc w:val="right"/>
            </w:pPr>
            <w:r>
              <w:t>1</w:t>
            </w:r>
            <w:r w:rsidR="003002A0">
              <w:t>.0</w:t>
            </w:r>
          </w:p>
        </w:tc>
        <w:tc>
          <w:tcPr>
            <w:tcW w:w="1748" w:type="dxa"/>
            <w:shd w:val="clear" w:color="auto" w:fill="auto"/>
            <w:vAlign w:val="center"/>
          </w:tcPr>
          <w:p w:rsidR="00E90B41" w:rsidRDefault="00E90B41" w:rsidP="00D23595">
            <w:pPr>
              <w:pStyle w:val="NormalWeb"/>
              <w:contextualSpacing/>
              <w:jc w:val="right"/>
            </w:pPr>
            <w:r>
              <w:t>3,300</w:t>
            </w:r>
          </w:p>
        </w:tc>
      </w:tr>
      <w:tr w:rsidR="006E7819" w:rsidTr="006E7819">
        <w:tc>
          <w:tcPr>
            <w:tcW w:w="1973" w:type="dxa"/>
            <w:shd w:val="clear" w:color="auto" w:fill="auto"/>
          </w:tcPr>
          <w:p w:rsidR="003C26F7" w:rsidRDefault="003C26F7" w:rsidP="00D23595">
            <w:pPr>
              <w:pStyle w:val="NormalWeb"/>
              <w:spacing w:line="288" w:lineRule="atLeast"/>
            </w:pPr>
            <w:r>
              <w:t xml:space="preserve">Total </w:t>
            </w:r>
          </w:p>
        </w:tc>
        <w:tc>
          <w:tcPr>
            <w:tcW w:w="1747" w:type="dxa"/>
            <w:shd w:val="clear" w:color="auto" w:fill="auto"/>
            <w:vAlign w:val="center"/>
          </w:tcPr>
          <w:p w:rsidR="003C26F7" w:rsidRDefault="003C26F7" w:rsidP="00D23595">
            <w:pPr>
              <w:pStyle w:val="NormalWeb"/>
              <w:contextualSpacing/>
              <w:jc w:val="right"/>
            </w:pPr>
            <w:r>
              <w:t>124</w:t>
            </w:r>
          </w:p>
        </w:tc>
        <w:tc>
          <w:tcPr>
            <w:tcW w:w="1747" w:type="dxa"/>
            <w:shd w:val="clear" w:color="auto" w:fill="auto"/>
            <w:vAlign w:val="center"/>
          </w:tcPr>
          <w:p w:rsidR="003C26F7" w:rsidRDefault="003C26F7" w:rsidP="00D23595">
            <w:pPr>
              <w:pStyle w:val="NormalWeb"/>
              <w:contextualSpacing/>
              <w:jc w:val="right"/>
            </w:pPr>
            <w:r>
              <w:t>26.6</w:t>
            </w:r>
          </w:p>
        </w:tc>
        <w:tc>
          <w:tcPr>
            <w:tcW w:w="1748" w:type="dxa"/>
            <w:shd w:val="clear" w:color="auto" w:fill="auto"/>
            <w:vAlign w:val="center"/>
          </w:tcPr>
          <w:p w:rsidR="003C26F7" w:rsidRDefault="003C26F7" w:rsidP="00D23595">
            <w:pPr>
              <w:pStyle w:val="NormalWeb"/>
              <w:contextualSpacing/>
              <w:jc w:val="right"/>
            </w:pPr>
            <w:r>
              <w:t>3,300</w:t>
            </w:r>
          </w:p>
        </w:tc>
        <w:tc>
          <w:tcPr>
            <w:tcW w:w="1747" w:type="dxa"/>
            <w:shd w:val="clear" w:color="auto" w:fill="auto"/>
            <w:vAlign w:val="center"/>
          </w:tcPr>
          <w:p w:rsidR="003C26F7" w:rsidRDefault="003002A0" w:rsidP="00D23595">
            <w:pPr>
              <w:pStyle w:val="NormalWeb"/>
              <w:contextualSpacing/>
              <w:jc w:val="right"/>
            </w:pPr>
            <w:r>
              <w:t>1</w:t>
            </w:r>
            <w:r w:rsidR="003C26F7">
              <w:t>.5</w:t>
            </w:r>
          </w:p>
        </w:tc>
        <w:tc>
          <w:tcPr>
            <w:tcW w:w="1748" w:type="dxa"/>
            <w:shd w:val="clear" w:color="auto" w:fill="auto"/>
            <w:vAlign w:val="center"/>
          </w:tcPr>
          <w:p w:rsidR="003C26F7" w:rsidRDefault="00E90B41" w:rsidP="00D23595">
            <w:pPr>
              <w:pStyle w:val="NormalWeb"/>
              <w:contextualSpacing/>
              <w:jc w:val="right"/>
            </w:pPr>
            <w:r>
              <w:t>4,950</w:t>
            </w:r>
          </w:p>
        </w:tc>
      </w:tr>
    </w:tbl>
    <w:p w:rsidR="00A6761C" w:rsidRDefault="00A6761C" w:rsidP="00AC5BD4">
      <w:pPr>
        <w:pStyle w:val="NormalWeb"/>
        <w:tabs>
          <w:tab w:val="left" w:pos="360"/>
          <w:tab w:val="left" w:pos="720"/>
          <w:tab w:val="left" w:pos="1080"/>
          <w:tab w:val="left" w:pos="1440"/>
        </w:tabs>
        <w:spacing w:line="288" w:lineRule="atLeast"/>
      </w:pPr>
      <w:bookmarkStart w:id="13" w:name="cp460"/>
      <w:bookmarkEnd w:id="12"/>
    </w:p>
    <w:p w:rsidR="005E0A0F" w:rsidRDefault="006E7819" w:rsidP="00AC5BD4">
      <w:pPr>
        <w:pStyle w:val="NormalWeb"/>
        <w:tabs>
          <w:tab w:val="left" w:pos="360"/>
          <w:tab w:val="left" w:pos="720"/>
          <w:tab w:val="left" w:pos="1080"/>
          <w:tab w:val="left" w:pos="1440"/>
        </w:tabs>
        <w:spacing w:line="288" w:lineRule="atLeast"/>
        <w:rPr>
          <w:u w:val="single"/>
        </w:rPr>
      </w:pPr>
      <w:r>
        <w:tab/>
      </w:r>
      <w:r>
        <w:tab/>
      </w:r>
      <w:r w:rsidR="003002A0">
        <w:tab/>
      </w:r>
      <w:r w:rsidR="005E0A0F">
        <w:t>b.</w:t>
      </w:r>
      <w:r>
        <w:tab/>
      </w:r>
      <w:r w:rsidR="005E0A0F">
        <w:rPr>
          <w:u w:val="single"/>
        </w:rPr>
        <w:t>Labor Cost of Respondent Burden</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747"/>
        <w:gridCol w:w="1747"/>
        <w:gridCol w:w="1748"/>
        <w:gridCol w:w="1747"/>
        <w:gridCol w:w="1748"/>
      </w:tblGrid>
      <w:tr w:rsidR="00E90B41" w:rsidTr="00D23595">
        <w:tc>
          <w:tcPr>
            <w:tcW w:w="10710" w:type="dxa"/>
            <w:gridSpan w:val="6"/>
            <w:shd w:val="clear" w:color="auto" w:fill="auto"/>
          </w:tcPr>
          <w:p w:rsidR="00E90B41" w:rsidRDefault="00E90B41" w:rsidP="00D23595">
            <w:pPr>
              <w:pStyle w:val="NormalWeb"/>
              <w:spacing w:line="288" w:lineRule="atLeast"/>
              <w:jc w:val="center"/>
            </w:pPr>
            <w:r w:rsidRPr="006E7819">
              <w:t>Labor Cost of Respondent Burden</w:t>
            </w:r>
          </w:p>
        </w:tc>
      </w:tr>
      <w:tr w:rsidR="00E90B41" w:rsidTr="00D23595">
        <w:trPr>
          <w:trHeight w:val="1952"/>
        </w:trPr>
        <w:tc>
          <w:tcPr>
            <w:tcW w:w="1973" w:type="dxa"/>
            <w:shd w:val="clear" w:color="auto" w:fill="auto"/>
          </w:tcPr>
          <w:p w:rsidR="00E90B41" w:rsidRDefault="00E90B41" w:rsidP="00D23595">
            <w:pPr>
              <w:pStyle w:val="NormalWeb"/>
              <w:spacing w:line="288" w:lineRule="atLeast"/>
            </w:pPr>
          </w:p>
        </w:tc>
        <w:tc>
          <w:tcPr>
            <w:tcW w:w="1747" w:type="dxa"/>
            <w:shd w:val="clear" w:color="auto" w:fill="auto"/>
          </w:tcPr>
          <w:p w:rsidR="00E90B41" w:rsidRPr="00D437B4" w:rsidRDefault="00E90B41" w:rsidP="00D23595">
            <w:pPr>
              <w:jc w:val="center"/>
            </w:pPr>
            <w:r w:rsidRPr="00D437B4">
              <w:t>Number of Responses</w:t>
            </w:r>
          </w:p>
        </w:tc>
        <w:tc>
          <w:tcPr>
            <w:tcW w:w="1747" w:type="dxa"/>
            <w:shd w:val="clear" w:color="auto" w:fill="auto"/>
          </w:tcPr>
          <w:p w:rsidR="00E90B41" w:rsidRPr="00D437B4" w:rsidRDefault="00E90B41" w:rsidP="00D23595">
            <w:pPr>
              <w:jc w:val="center"/>
            </w:pPr>
            <w:r w:rsidRPr="00D437B4">
              <w:t>Response Time per Response</w:t>
            </w:r>
          </w:p>
        </w:tc>
        <w:tc>
          <w:tcPr>
            <w:tcW w:w="1748" w:type="dxa"/>
            <w:shd w:val="clear" w:color="auto" w:fill="auto"/>
          </w:tcPr>
          <w:p w:rsidR="00E90B41" w:rsidRPr="00D437B4" w:rsidRDefault="00E90B41" w:rsidP="00D23595">
            <w:pPr>
              <w:jc w:val="center"/>
            </w:pPr>
            <w:r w:rsidRPr="00D437B4">
              <w:t>Respondent Hourly Wage</w:t>
            </w:r>
          </w:p>
        </w:tc>
        <w:tc>
          <w:tcPr>
            <w:tcW w:w="1747" w:type="dxa"/>
            <w:shd w:val="clear" w:color="auto" w:fill="auto"/>
          </w:tcPr>
          <w:p w:rsidR="00E90B41" w:rsidRPr="00D437B4" w:rsidRDefault="00E90B41" w:rsidP="00D23595">
            <w:pPr>
              <w:jc w:val="center"/>
            </w:pPr>
            <w:r w:rsidRPr="00D437B4">
              <w:t>Labor Burden per Response (Response Time multiplied by Respondent Hourly Wage)</w:t>
            </w:r>
          </w:p>
        </w:tc>
        <w:tc>
          <w:tcPr>
            <w:tcW w:w="1748" w:type="dxa"/>
            <w:shd w:val="clear" w:color="auto" w:fill="auto"/>
          </w:tcPr>
          <w:p w:rsidR="00E90B41" w:rsidRDefault="00E90B41" w:rsidP="00D23595">
            <w:pPr>
              <w:jc w:val="center"/>
            </w:pPr>
            <w:r w:rsidRPr="00D437B4">
              <w:t>Total Labor Burden (Number of Respondents multiplied by Response Time multiplied by Respondent Hourly Wage)</w:t>
            </w:r>
          </w:p>
        </w:tc>
      </w:tr>
      <w:tr w:rsidR="00B75E8A" w:rsidTr="00154147">
        <w:tc>
          <w:tcPr>
            <w:tcW w:w="1973" w:type="dxa"/>
            <w:shd w:val="clear" w:color="auto" w:fill="auto"/>
            <w:vAlign w:val="center"/>
          </w:tcPr>
          <w:p w:rsidR="00B75E8A" w:rsidRDefault="00B75E8A" w:rsidP="00D23595">
            <w:pPr>
              <w:pStyle w:val="NormalWeb"/>
              <w:contextualSpacing/>
            </w:pPr>
            <w:r>
              <w:t>252.232-7002</w:t>
            </w:r>
          </w:p>
        </w:tc>
        <w:tc>
          <w:tcPr>
            <w:tcW w:w="1747" w:type="dxa"/>
            <w:shd w:val="clear" w:color="auto" w:fill="auto"/>
          </w:tcPr>
          <w:p w:rsidR="00B75E8A" w:rsidRPr="000302F2" w:rsidRDefault="00B75E8A" w:rsidP="00B75E8A">
            <w:pPr>
              <w:jc w:val="right"/>
            </w:pPr>
            <w:r w:rsidRPr="000302F2">
              <w:t>3,300</w:t>
            </w:r>
          </w:p>
        </w:tc>
        <w:tc>
          <w:tcPr>
            <w:tcW w:w="1747" w:type="dxa"/>
            <w:shd w:val="clear" w:color="auto" w:fill="auto"/>
            <w:vAlign w:val="center"/>
          </w:tcPr>
          <w:p w:rsidR="00B75E8A" w:rsidRDefault="00B75E8A" w:rsidP="00D23595">
            <w:pPr>
              <w:pStyle w:val="NormalWeb"/>
              <w:contextualSpacing/>
              <w:jc w:val="right"/>
            </w:pPr>
            <w:r>
              <w:t>0.5</w:t>
            </w:r>
          </w:p>
        </w:tc>
        <w:tc>
          <w:tcPr>
            <w:tcW w:w="1748" w:type="dxa"/>
            <w:shd w:val="clear" w:color="auto" w:fill="auto"/>
            <w:vAlign w:val="center"/>
          </w:tcPr>
          <w:p w:rsidR="00B75E8A" w:rsidRDefault="00B75E8A" w:rsidP="00D23595">
            <w:pPr>
              <w:pStyle w:val="NormalWeb"/>
              <w:contextualSpacing/>
              <w:jc w:val="right"/>
            </w:pPr>
            <w:r>
              <w:t>$45.00</w:t>
            </w:r>
            <w:r>
              <w:rPr>
                <w:rStyle w:val="FootnoteReference"/>
              </w:rPr>
              <w:footnoteReference w:id="5"/>
            </w:r>
          </w:p>
        </w:tc>
        <w:tc>
          <w:tcPr>
            <w:tcW w:w="1747" w:type="dxa"/>
            <w:shd w:val="clear" w:color="auto" w:fill="auto"/>
            <w:vAlign w:val="center"/>
          </w:tcPr>
          <w:p w:rsidR="00B75E8A" w:rsidRDefault="00B75E8A" w:rsidP="00D23595">
            <w:pPr>
              <w:pStyle w:val="NormalWeb"/>
              <w:contextualSpacing/>
              <w:jc w:val="right"/>
            </w:pPr>
            <w:r w:rsidRPr="002230B5">
              <w:t>$22.50</w:t>
            </w:r>
          </w:p>
        </w:tc>
        <w:tc>
          <w:tcPr>
            <w:tcW w:w="1748" w:type="dxa"/>
            <w:shd w:val="clear" w:color="auto" w:fill="auto"/>
            <w:vAlign w:val="center"/>
          </w:tcPr>
          <w:p w:rsidR="00B75E8A" w:rsidRDefault="00B75E8A" w:rsidP="00D23595">
            <w:pPr>
              <w:pStyle w:val="NormalWeb"/>
              <w:contextualSpacing/>
              <w:jc w:val="right"/>
            </w:pPr>
            <w:r>
              <w:t>$74,250</w:t>
            </w:r>
            <w:r w:rsidR="00FD0AA7">
              <w:t>.00</w:t>
            </w:r>
          </w:p>
        </w:tc>
      </w:tr>
      <w:tr w:rsidR="00B75E8A" w:rsidTr="00154147">
        <w:tc>
          <w:tcPr>
            <w:tcW w:w="1973" w:type="dxa"/>
            <w:shd w:val="clear" w:color="auto" w:fill="auto"/>
          </w:tcPr>
          <w:p w:rsidR="00B75E8A" w:rsidRDefault="00B75E8A" w:rsidP="00D23595">
            <w:pPr>
              <w:pStyle w:val="NormalWeb"/>
              <w:spacing w:line="288" w:lineRule="atLeast"/>
            </w:pPr>
            <w:r>
              <w:t>Recordkeeping</w:t>
            </w:r>
          </w:p>
        </w:tc>
        <w:tc>
          <w:tcPr>
            <w:tcW w:w="1747" w:type="dxa"/>
            <w:shd w:val="clear" w:color="auto" w:fill="auto"/>
          </w:tcPr>
          <w:p w:rsidR="00B75E8A" w:rsidRDefault="00B75E8A" w:rsidP="00B75E8A">
            <w:pPr>
              <w:jc w:val="right"/>
            </w:pPr>
            <w:r w:rsidRPr="000302F2">
              <w:t>3,300</w:t>
            </w:r>
          </w:p>
        </w:tc>
        <w:tc>
          <w:tcPr>
            <w:tcW w:w="1747" w:type="dxa"/>
            <w:shd w:val="clear" w:color="auto" w:fill="auto"/>
            <w:vAlign w:val="center"/>
          </w:tcPr>
          <w:p w:rsidR="00B75E8A" w:rsidRDefault="00B75E8A" w:rsidP="00D23595">
            <w:pPr>
              <w:pStyle w:val="NormalWeb"/>
              <w:contextualSpacing/>
              <w:jc w:val="right"/>
            </w:pPr>
            <w:r>
              <w:t>1.0</w:t>
            </w:r>
          </w:p>
        </w:tc>
        <w:tc>
          <w:tcPr>
            <w:tcW w:w="1748" w:type="dxa"/>
            <w:shd w:val="clear" w:color="auto" w:fill="auto"/>
            <w:vAlign w:val="center"/>
          </w:tcPr>
          <w:p w:rsidR="00B75E8A" w:rsidRDefault="00B75E8A" w:rsidP="00D23595">
            <w:pPr>
              <w:pStyle w:val="NormalWeb"/>
              <w:contextualSpacing/>
              <w:jc w:val="right"/>
            </w:pPr>
            <w:r>
              <w:t>$26.00</w:t>
            </w:r>
            <w:r>
              <w:rPr>
                <w:rStyle w:val="FootnoteReference"/>
              </w:rPr>
              <w:footnoteReference w:id="6"/>
            </w:r>
          </w:p>
        </w:tc>
        <w:tc>
          <w:tcPr>
            <w:tcW w:w="1747" w:type="dxa"/>
            <w:shd w:val="clear" w:color="auto" w:fill="auto"/>
            <w:vAlign w:val="center"/>
          </w:tcPr>
          <w:p w:rsidR="00B75E8A" w:rsidRDefault="00B75E8A" w:rsidP="00D23595">
            <w:pPr>
              <w:pStyle w:val="NormalWeb"/>
              <w:contextualSpacing/>
              <w:jc w:val="right"/>
            </w:pPr>
            <w:r>
              <w:t>$26.00</w:t>
            </w:r>
          </w:p>
        </w:tc>
        <w:tc>
          <w:tcPr>
            <w:tcW w:w="1748" w:type="dxa"/>
            <w:shd w:val="clear" w:color="auto" w:fill="auto"/>
            <w:vAlign w:val="center"/>
          </w:tcPr>
          <w:p w:rsidR="00B75E8A" w:rsidRDefault="00B75E8A" w:rsidP="00D23595">
            <w:pPr>
              <w:pStyle w:val="NormalWeb"/>
              <w:contextualSpacing/>
              <w:jc w:val="right"/>
            </w:pPr>
            <w:r>
              <w:t>$85,800</w:t>
            </w:r>
            <w:r w:rsidR="00FD0AA7">
              <w:t>.00</w:t>
            </w:r>
          </w:p>
        </w:tc>
      </w:tr>
      <w:tr w:rsidR="00E90B41" w:rsidTr="00D23595">
        <w:tc>
          <w:tcPr>
            <w:tcW w:w="1973" w:type="dxa"/>
            <w:shd w:val="clear" w:color="auto" w:fill="auto"/>
          </w:tcPr>
          <w:p w:rsidR="00E90B41" w:rsidRDefault="00E90B41" w:rsidP="00D23595">
            <w:pPr>
              <w:pStyle w:val="NormalWeb"/>
              <w:spacing w:line="288" w:lineRule="atLeast"/>
            </w:pPr>
            <w:r>
              <w:t xml:space="preserve">Total </w:t>
            </w:r>
          </w:p>
        </w:tc>
        <w:tc>
          <w:tcPr>
            <w:tcW w:w="1747" w:type="dxa"/>
            <w:shd w:val="clear" w:color="auto" w:fill="auto"/>
            <w:vAlign w:val="center"/>
          </w:tcPr>
          <w:p w:rsidR="00E90B41" w:rsidRDefault="002230B5" w:rsidP="00D23595">
            <w:pPr>
              <w:pStyle w:val="NormalWeb"/>
              <w:contextualSpacing/>
              <w:jc w:val="right"/>
            </w:pPr>
            <w:r>
              <w:t>4,950</w:t>
            </w:r>
          </w:p>
        </w:tc>
        <w:tc>
          <w:tcPr>
            <w:tcW w:w="1747" w:type="dxa"/>
            <w:shd w:val="clear" w:color="auto" w:fill="auto"/>
            <w:vAlign w:val="center"/>
          </w:tcPr>
          <w:p w:rsidR="00E90B41" w:rsidRDefault="00191C5D" w:rsidP="00D23595">
            <w:pPr>
              <w:pStyle w:val="NormalWeb"/>
              <w:contextualSpacing/>
              <w:jc w:val="right"/>
            </w:pPr>
            <w:r>
              <w:t>1.5</w:t>
            </w:r>
          </w:p>
        </w:tc>
        <w:tc>
          <w:tcPr>
            <w:tcW w:w="1748" w:type="dxa"/>
            <w:shd w:val="clear" w:color="auto" w:fill="auto"/>
            <w:vAlign w:val="center"/>
          </w:tcPr>
          <w:p w:rsidR="00E90B41" w:rsidRDefault="00191C5D" w:rsidP="00D23595">
            <w:pPr>
              <w:pStyle w:val="NormalWeb"/>
              <w:contextualSpacing/>
              <w:jc w:val="right"/>
            </w:pPr>
            <w:r>
              <w:t>N/A</w:t>
            </w:r>
          </w:p>
        </w:tc>
        <w:tc>
          <w:tcPr>
            <w:tcW w:w="1747" w:type="dxa"/>
            <w:shd w:val="clear" w:color="auto" w:fill="auto"/>
            <w:vAlign w:val="center"/>
          </w:tcPr>
          <w:p w:rsidR="00E90B41" w:rsidRDefault="00191C5D" w:rsidP="00D23595">
            <w:pPr>
              <w:pStyle w:val="NormalWeb"/>
              <w:contextualSpacing/>
              <w:jc w:val="right"/>
            </w:pPr>
            <w:r>
              <w:t>N/A</w:t>
            </w:r>
          </w:p>
        </w:tc>
        <w:tc>
          <w:tcPr>
            <w:tcW w:w="1748" w:type="dxa"/>
            <w:shd w:val="clear" w:color="auto" w:fill="auto"/>
            <w:vAlign w:val="center"/>
          </w:tcPr>
          <w:p w:rsidR="00E90B41" w:rsidRDefault="003002A0" w:rsidP="00D23595">
            <w:pPr>
              <w:pStyle w:val="NormalWeb"/>
              <w:contextualSpacing/>
              <w:jc w:val="right"/>
            </w:pPr>
            <w:r>
              <w:t>$160,050</w:t>
            </w:r>
            <w:r w:rsidR="00FD0AA7">
              <w:t>.00</w:t>
            </w:r>
          </w:p>
        </w:tc>
      </w:tr>
    </w:tbl>
    <w:p w:rsidR="005E0A0F" w:rsidRDefault="006E7819" w:rsidP="00AC5BD4">
      <w:pPr>
        <w:pStyle w:val="NormalWeb"/>
        <w:tabs>
          <w:tab w:val="left" w:pos="360"/>
          <w:tab w:val="left" w:pos="720"/>
          <w:tab w:val="left" w:pos="1080"/>
          <w:tab w:val="left" w:pos="1440"/>
        </w:tabs>
        <w:spacing w:line="288" w:lineRule="atLeast"/>
      </w:pPr>
      <w:bookmarkStart w:id="14" w:name="cp462"/>
      <w:bookmarkEnd w:id="13"/>
      <w:r>
        <w:tab/>
      </w:r>
      <w:r w:rsidR="005E0A0F">
        <w:t>13.</w:t>
      </w:r>
      <w:r w:rsidR="00127C69">
        <w:tab/>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6E7819" w:rsidRDefault="006E7819" w:rsidP="00AC5BD4">
      <w:pPr>
        <w:pStyle w:val="NormalWeb"/>
        <w:tabs>
          <w:tab w:val="left" w:pos="360"/>
          <w:tab w:val="left" w:pos="720"/>
          <w:tab w:val="left" w:pos="1080"/>
          <w:tab w:val="left" w:pos="1440"/>
        </w:tabs>
        <w:spacing w:line="288" w:lineRule="atLeast"/>
      </w:pPr>
      <w:bookmarkStart w:id="15" w:name="cp464"/>
      <w:bookmarkEnd w:id="14"/>
      <w:r>
        <w:tab/>
      </w:r>
      <w:r>
        <w:tab/>
      </w:r>
      <w:r w:rsidRPr="006E7819">
        <w:t xml:space="preserve">We estimate that there are no nonrecurring expenses (e.g., capital and start-up, or operation and maintenance costs).  The clause at DFARS 252.232-7002 is authorized for use when the clause at FAR 52.232-16, Progress Payments, is used as a method of contract financing and the contract includes FMS requirements.  </w:t>
      </w:r>
      <w:proofErr w:type="gramStart"/>
      <w:r w:rsidRPr="006E7819">
        <w:t>Paragraph (f) states</w:t>
      </w:r>
      <w:r w:rsidR="00A6761C">
        <w:t>,</w:t>
      </w:r>
      <w:r w:rsidRPr="006E7819">
        <w:t xml:space="preserve"> “The Contractor shall maintain an accounting system and controls adequate for the proper administration of this clause.”</w:t>
      </w:r>
      <w:proofErr w:type="gramEnd"/>
      <w:r w:rsidRPr="006E7819">
        <w:t xml:space="preserve">  Our assessment is that this system and related controls are normally in place prior to obtaining a contract for FMS supplies and services since they are required in order for the contractor to receive progress payments</w:t>
      </w:r>
      <w:r w:rsidR="00A6761C">
        <w:t xml:space="preserve"> for U.S. supplies and services;</w:t>
      </w:r>
      <w:r w:rsidRPr="006E7819">
        <w:t xml:space="preserve"> </w:t>
      </w:r>
      <w:r w:rsidR="00A6761C">
        <w:t>t</w:t>
      </w:r>
      <w:r w:rsidRPr="006E7819">
        <w:t>herefore, there is no additional nonrecurring charge needed to establish or revise accounting system</w:t>
      </w:r>
      <w:r w:rsidR="00191C5D">
        <w:t>s</w:t>
      </w:r>
      <w:r w:rsidRPr="006E7819">
        <w:t xml:space="preserve"> already in place.</w:t>
      </w:r>
    </w:p>
    <w:p w:rsidR="00D141EB" w:rsidRPr="00370D20" w:rsidRDefault="006E7819" w:rsidP="00A6761C">
      <w:pPr>
        <w:pStyle w:val="NormalWeb"/>
        <w:tabs>
          <w:tab w:val="left" w:pos="360"/>
          <w:tab w:val="left" w:pos="720"/>
          <w:tab w:val="left" w:pos="1080"/>
          <w:tab w:val="left" w:pos="1440"/>
        </w:tabs>
        <w:spacing w:line="288" w:lineRule="atLeast"/>
        <w:rPr>
          <w:rFonts w:cs="Courier New"/>
        </w:rPr>
      </w:pPr>
      <w:bookmarkStart w:id="16" w:name="cp466"/>
      <w:bookmarkEnd w:id="15"/>
      <w:r>
        <w:tab/>
      </w:r>
      <w:r w:rsidR="005E0A0F">
        <w:t>14.</w:t>
      </w:r>
      <w:r w:rsidR="00D141EB">
        <w:tab/>
      </w:r>
      <w:r w:rsidR="005E0A0F">
        <w:rPr>
          <w:u w:val="single"/>
        </w:rPr>
        <w:t>Cost to the Federal Government</w:t>
      </w:r>
      <w:bookmarkStart w:id="17" w:name="cp467"/>
      <w:bookmarkEnd w:id="16"/>
      <w:r w:rsidR="00D141EB">
        <w:tab/>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520"/>
        <w:gridCol w:w="2430"/>
      </w:tblGrid>
      <w:tr w:rsidR="00A6761C" w:rsidTr="00A6761C">
        <w:tc>
          <w:tcPr>
            <w:tcW w:w="10710" w:type="dxa"/>
            <w:gridSpan w:val="3"/>
            <w:shd w:val="clear" w:color="auto" w:fill="auto"/>
          </w:tcPr>
          <w:p w:rsidR="00A6761C" w:rsidRDefault="00A6761C" w:rsidP="00D23595">
            <w:pPr>
              <w:pStyle w:val="NormalWeb"/>
              <w:spacing w:line="288" w:lineRule="atLeast"/>
              <w:jc w:val="center"/>
            </w:pPr>
            <w:r>
              <w:t>Labor Cost to the Federal Government</w:t>
            </w:r>
            <w:r>
              <w:rPr>
                <w:rStyle w:val="FootnoteReference"/>
              </w:rPr>
              <w:footnoteReference w:id="7"/>
            </w:r>
          </w:p>
        </w:tc>
      </w:tr>
      <w:tr w:rsidR="00FD0AA7" w:rsidTr="00FD0AA7">
        <w:tc>
          <w:tcPr>
            <w:tcW w:w="5760" w:type="dxa"/>
            <w:shd w:val="clear" w:color="auto" w:fill="auto"/>
          </w:tcPr>
          <w:p w:rsidR="00A6761C" w:rsidRDefault="00A6761C" w:rsidP="00D23595">
            <w:pPr>
              <w:pStyle w:val="NormalWeb"/>
              <w:spacing w:line="288" w:lineRule="atLeast"/>
            </w:pPr>
          </w:p>
        </w:tc>
        <w:tc>
          <w:tcPr>
            <w:tcW w:w="2520" w:type="dxa"/>
            <w:shd w:val="clear" w:color="auto" w:fill="auto"/>
          </w:tcPr>
          <w:p w:rsidR="00A6761C" w:rsidRDefault="00A6761C" w:rsidP="00D23595">
            <w:pPr>
              <w:pStyle w:val="NormalWeb"/>
              <w:spacing w:line="288" w:lineRule="atLeast"/>
              <w:jc w:val="center"/>
            </w:pPr>
            <w:r w:rsidRPr="00A6761C">
              <w:t>252.232-7002</w:t>
            </w:r>
          </w:p>
        </w:tc>
        <w:tc>
          <w:tcPr>
            <w:tcW w:w="2430" w:type="dxa"/>
            <w:shd w:val="clear" w:color="auto" w:fill="auto"/>
          </w:tcPr>
          <w:p w:rsidR="00A6761C" w:rsidRDefault="00A6761C" w:rsidP="00D23595">
            <w:pPr>
              <w:pStyle w:val="NormalWeb"/>
              <w:spacing w:line="288" w:lineRule="atLeast"/>
              <w:jc w:val="center"/>
            </w:pPr>
            <w:r>
              <w:t>Total</w:t>
            </w:r>
          </w:p>
        </w:tc>
      </w:tr>
      <w:tr w:rsidR="00FD0AA7" w:rsidTr="00FD0AA7">
        <w:tc>
          <w:tcPr>
            <w:tcW w:w="5760" w:type="dxa"/>
            <w:shd w:val="clear" w:color="auto" w:fill="auto"/>
          </w:tcPr>
          <w:p w:rsidR="00FD0AA7" w:rsidRDefault="00FD0AA7" w:rsidP="00A6761C">
            <w:pPr>
              <w:pStyle w:val="NormalWeb"/>
              <w:spacing w:line="288" w:lineRule="atLeast"/>
            </w:pPr>
            <w:r>
              <w:t>Number of Responses</w:t>
            </w:r>
          </w:p>
        </w:tc>
        <w:tc>
          <w:tcPr>
            <w:tcW w:w="2520" w:type="dxa"/>
            <w:shd w:val="clear" w:color="auto" w:fill="auto"/>
          </w:tcPr>
          <w:p w:rsidR="00FD0AA7" w:rsidRDefault="00FD0AA7" w:rsidP="00A6761C">
            <w:pPr>
              <w:pStyle w:val="NormalWeb"/>
              <w:spacing w:line="288" w:lineRule="atLeast"/>
              <w:jc w:val="right"/>
            </w:pPr>
            <w:r>
              <w:t>3,300</w:t>
            </w:r>
          </w:p>
        </w:tc>
        <w:tc>
          <w:tcPr>
            <w:tcW w:w="2430" w:type="dxa"/>
            <w:shd w:val="clear" w:color="auto" w:fill="auto"/>
          </w:tcPr>
          <w:p w:rsidR="00FD0AA7" w:rsidRDefault="00FD0AA7" w:rsidP="00D23595">
            <w:pPr>
              <w:pStyle w:val="NormalWeb"/>
              <w:spacing w:line="288" w:lineRule="atLeast"/>
              <w:jc w:val="right"/>
            </w:pPr>
            <w:r>
              <w:t>3,300</w:t>
            </w:r>
          </w:p>
        </w:tc>
      </w:tr>
      <w:tr w:rsidR="00FD0AA7" w:rsidTr="00FD0AA7">
        <w:tc>
          <w:tcPr>
            <w:tcW w:w="5760" w:type="dxa"/>
            <w:shd w:val="clear" w:color="auto" w:fill="auto"/>
          </w:tcPr>
          <w:p w:rsidR="00FD0AA7" w:rsidRDefault="00FD0AA7" w:rsidP="00A6761C">
            <w:pPr>
              <w:pStyle w:val="NormalWeb"/>
              <w:spacing w:line="288" w:lineRule="atLeast"/>
            </w:pPr>
            <w:r>
              <w:t>Processing Time Per Response (in hours)</w:t>
            </w:r>
          </w:p>
        </w:tc>
        <w:tc>
          <w:tcPr>
            <w:tcW w:w="2520" w:type="dxa"/>
            <w:shd w:val="clear" w:color="auto" w:fill="auto"/>
          </w:tcPr>
          <w:p w:rsidR="00FD0AA7" w:rsidRDefault="00FD0AA7" w:rsidP="00A6761C">
            <w:pPr>
              <w:pStyle w:val="NormalWeb"/>
              <w:spacing w:line="288" w:lineRule="atLeast"/>
              <w:jc w:val="right"/>
            </w:pPr>
            <w:r>
              <w:t>1.0</w:t>
            </w:r>
          </w:p>
        </w:tc>
        <w:tc>
          <w:tcPr>
            <w:tcW w:w="2430" w:type="dxa"/>
            <w:shd w:val="clear" w:color="auto" w:fill="auto"/>
          </w:tcPr>
          <w:p w:rsidR="00FD0AA7" w:rsidRDefault="00FD0AA7" w:rsidP="00D23595">
            <w:pPr>
              <w:pStyle w:val="NormalWeb"/>
              <w:spacing w:line="288" w:lineRule="atLeast"/>
              <w:jc w:val="right"/>
            </w:pPr>
            <w:r>
              <w:t>1.0</w:t>
            </w:r>
          </w:p>
        </w:tc>
      </w:tr>
      <w:tr w:rsidR="00FD0AA7" w:rsidTr="00FD0AA7">
        <w:tc>
          <w:tcPr>
            <w:tcW w:w="5760" w:type="dxa"/>
            <w:shd w:val="clear" w:color="auto" w:fill="auto"/>
          </w:tcPr>
          <w:p w:rsidR="00FD0AA7" w:rsidRDefault="00FD0AA7" w:rsidP="00A6761C">
            <w:pPr>
              <w:pStyle w:val="NormalWeb"/>
              <w:spacing w:line="288" w:lineRule="atLeast"/>
            </w:pPr>
            <w:r>
              <w:t>Hourly Wage of Worker(s) Processing Responses</w:t>
            </w:r>
          </w:p>
        </w:tc>
        <w:tc>
          <w:tcPr>
            <w:tcW w:w="2520" w:type="dxa"/>
            <w:shd w:val="clear" w:color="auto" w:fill="auto"/>
          </w:tcPr>
          <w:p w:rsidR="00FD0AA7" w:rsidRDefault="00FD0AA7" w:rsidP="00A6761C">
            <w:pPr>
              <w:pStyle w:val="NormalWeb"/>
              <w:spacing w:line="288" w:lineRule="atLeast"/>
              <w:jc w:val="right"/>
            </w:pPr>
            <w:r>
              <w:t>$45.00</w:t>
            </w:r>
          </w:p>
        </w:tc>
        <w:tc>
          <w:tcPr>
            <w:tcW w:w="2430" w:type="dxa"/>
            <w:shd w:val="clear" w:color="auto" w:fill="auto"/>
          </w:tcPr>
          <w:p w:rsidR="00FD0AA7" w:rsidRDefault="00FD0AA7" w:rsidP="00D23595">
            <w:pPr>
              <w:pStyle w:val="NormalWeb"/>
              <w:spacing w:line="288" w:lineRule="atLeast"/>
              <w:jc w:val="right"/>
            </w:pPr>
            <w:r>
              <w:t>$45.00</w:t>
            </w:r>
          </w:p>
        </w:tc>
      </w:tr>
      <w:tr w:rsidR="00FD0AA7" w:rsidTr="00FD0AA7">
        <w:tc>
          <w:tcPr>
            <w:tcW w:w="5760" w:type="dxa"/>
            <w:shd w:val="clear" w:color="auto" w:fill="auto"/>
          </w:tcPr>
          <w:p w:rsidR="00FD0AA7" w:rsidRDefault="00FD0AA7" w:rsidP="00A6761C">
            <w:pPr>
              <w:pStyle w:val="NormalWeb"/>
              <w:spacing w:line="288" w:lineRule="atLeast"/>
            </w:pPr>
            <w:r>
              <w:t>Cost to Process Each Response (Processing Time Per Response multiplied by Hourly Wage of Worker(s) Processing Responses)</w:t>
            </w:r>
          </w:p>
        </w:tc>
        <w:tc>
          <w:tcPr>
            <w:tcW w:w="2520" w:type="dxa"/>
            <w:shd w:val="clear" w:color="auto" w:fill="auto"/>
          </w:tcPr>
          <w:p w:rsidR="00FD0AA7" w:rsidRDefault="00FD0AA7" w:rsidP="00A6761C">
            <w:pPr>
              <w:pStyle w:val="NormalWeb"/>
              <w:spacing w:line="288" w:lineRule="atLeast"/>
              <w:jc w:val="right"/>
            </w:pPr>
            <w:r>
              <w:t>$45.00</w:t>
            </w:r>
          </w:p>
        </w:tc>
        <w:tc>
          <w:tcPr>
            <w:tcW w:w="2430" w:type="dxa"/>
            <w:shd w:val="clear" w:color="auto" w:fill="auto"/>
          </w:tcPr>
          <w:p w:rsidR="00FD0AA7" w:rsidRDefault="00FD0AA7" w:rsidP="00D23595">
            <w:pPr>
              <w:pStyle w:val="NormalWeb"/>
              <w:spacing w:line="288" w:lineRule="atLeast"/>
              <w:jc w:val="right"/>
            </w:pPr>
            <w:r>
              <w:t>$45.00</w:t>
            </w:r>
          </w:p>
        </w:tc>
      </w:tr>
      <w:tr w:rsidR="00FD0AA7" w:rsidTr="00FD0AA7">
        <w:tc>
          <w:tcPr>
            <w:tcW w:w="5760" w:type="dxa"/>
            <w:shd w:val="clear" w:color="auto" w:fill="auto"/>
          </w:tcPr>
          <w:p w:rsidR="00FD0AA7" w:rsidRDefault="00FD0AA7" w:rsidP="00A6761C">
            <w:pPr>
              <w:pStyle w:val="NormalWeb"/>
              <w:spacing w:line="288" w:lineRule="atLeast"/>
            </w:pPr>
            <w:r>
              <w:t>Total Cost to Process Responses (Cost to Process Each Response multiplied by Number of Responses)</w:t>
            </w:r>
          </w:p>
        </w:tc>
        <w:tc>
          <w:tcPr>
            <w:tcW w:w="2520" w:type="dxa"/>
            <w:shd w:val="clear" w:color="auto" w:fill="auto"/>
          </w:tcPr>
          <w:p w:rsidR="00FD0AA7" w:rsidRDefault="00FD0AA7" w:rsidP="00FD0AA7">
            <w:pPr>
              <w:pStyle w:val="NormalWeb"/>
              <w:spacing w:line="288" w:lineRule="atLeast"/>
              <w:jc w:val="right"/>
            </w:pPr>
            <w:r>
              <w:t>$148,500.00</w:t>
            </w:r>
          </w:p>
        </w:tc>
        <w:tc>
          <w:tcPr>
            <w:tcW w:w="2430" w:type="dxa"/>
            <w:shd w:val="clear" w:color="auto" w:fill="auto"/>
          </w:tcPr>
          <w:p w:rsidR="00FD0AA7" w:rsidRDefault="00FD0AA7" w:rsidP="00D23595">
            <w:pPr>
              <w:pStyle w:val="NormalWeb"/>
              <w:spacing w:line="288" w:lineRule="atLeast"/>
              <w:jc w:val="right"/>
            </w:pPr>
            <w:r>
              <w:t>$148,500.00</w:t>
            </w:r>
          </w:p>
        </w:tc>
      </w:tr>
    </w:tbl>
    <w:p w:rsidR="005E0A0F" w:rsidRDefault="00D141EB" w:rsidP="00AC5BD4">
      <w:pPr>
        <w:pStyle w:val="NormalWeb"/>
        <w:tabs>
          <w:tab w:val="left" w:pos="360"/>
          <w:tab w:val="left" w:pos="720"/>
          <w:tab w:val="left" w:pos="1080"/>
          <w:tab w:val="left" w:pos="1440"/>
        </w:tabs>
        <w:spacing w:line="288" w:lineRule="atLeast"/>
      </w:pPr>
      <w:bookmarkStart w:id="18" w:name="cp468"/>
      <w:bookmarkEnd w:id="17"/>
      <w:r>
        <w:tab/>
      </w:r>
      <w:r w:rsidR="005E0A0F">
        <w:t>15.</w:t>
      </w:r>
      <w:r>
        <w:tab/>
      </w:r>
      <w:r w:rsidR="005E0A0F">
        <w:rPr>
          <w:u w:val="single"/>
        </w:rPr>
        <w:t>Reasons for Change in Burden</w:t>
      </w:r>
    </w:p>
    <w:bookmarkEnd w:id="18"/>
    <w:p w:rsidR="00D141EB" w:rsidRDefault="00D141EB" w:rsidP="00AC5BD4">
      <w:pPr>
        <w:pStyle w:val="NormalWeb"/>
        <w:tabs>
          <w:tab w:val="left" w:pos="360"/>
          <w:tab w:val="left" w:pos="720"/>
          <w:tab w:val="left" w:pos="1080"/>
          <w:tab w:val="left" w:pos="1440"/>
        </w:tabs>
        <w:spacing w:line="288" w:lineRule="atLeast"/>
      </w:pPr>
      <w:r>
        <w:tab/>
      </w:r>
      <w:r>
        <w:tab/>
      </w:r>
      <w:r w:rsidRPr="00D141EB">
        <w:t xml:space="preserve">The estimate of public burden hours is reduced as a result of using the most recent data available in the FPDS.  For the 2012 renewal, the number of respondents was estimated to be 381, using prior </w:t>
      </w:r>
      <w:r w:rsidR="00191C5D">
        <w:t>FY</w:t>
      </w:r>
      <w:r w:rsidRPr="00D141EB">
        <w:t xml:space="preserve"> 2010 and 2011 data.  The average number of respondents for this submission is based on FPDS data for FY 2012 – 2014, which is 124 </w:t>
      </w:r>
      <w:proofErr w:type="gramStart"/>
      <w:r w:rsidRPr="00D141EB">
        <w:t>unique</w:t>
      </w:r>
      <w:proofErr w:type="gramEnd"/>
      <w:r w:rsidRPr="00D141EB">
        <w:t xml:space="preserve"> DUNS contractors representing the 275 contract actions.  This downward trend is in keeping with overall </w:t>
      </w:r>
      <w:proofErr w:type="gramStart"/>
      <w:r w:rsidRPr="00D141EB">
        <w:t>DoD</w:t>
      </w:r>
      <w:proofErr w:type="gramEnd"/>
      <w:r w:rsidRPr="00D141EB">
        <w:t xml:space="preserve"> budget reductions and spending trends.</w:t>
      </w:r>
    </w:p>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rsidR="00D141EB" w:rsidRDefault="00D141EB" w:rsidP="00AC5BD4">
      <w:pPr>
        <w:pStyle w:val="NormalWeb"/>
        <w:tabs>
          <w:tab w:val="left" w:pos="360"/>
          <w:tab w:val="left" w:pos="720"/>
          <w:tab w:val="left" w:pos="1080"/>
          <w:tab w:val="left" w:pos="1440"/>
        </w:tabs>
        <w:spacing w:line="288" w:lineRule="atLeast"/>
      </w:pPr>
      <w:bookmarkStart w:id="19" w:name="cp471"/>
      <w:r>
        <w:tab/>
      </w:r>
      <w:r>
        <w:tab/>
      </w:r>
      <w:r w:rsidRPr="00D141EB">
        <w:t>Results of this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5E0A0F">
        <w:t xml:space="preserve">17.  </w:t>
      </w:r>
      <w:r w:rsidR="005E0A0F">
        <w:rPr>
          <w:u w:val="single"/>
        </w:rPr>
        <w:t>Non-Display of OMB Expiration Date</w:t>
      </w:r>
    </w:p>
    <w:p w:rsidR="00D141EB" w:rsidRDefault="00D141EB" w:rsidP="00AC5BD4">
      <w:pPr>
        <w:pStyle w:val="NormalWeb"/>
        <w:tabs>
          <w:tab w:val="left" w:pos="360"/>
          <w:tab w:val="left" w:pos="720"/>
          <w:tab w:val="left" w:pos="1080"/>
          <w:tab w:val="left" w:pos="1440"/>
        </w:tabs>
        <w:spacing w:line="288" w:lineRule="atLeast"/>
      </w:pPr>
      <w:bookmarkStart w:id="20" w:name="cp473"/>
      <w:bookmarkEnd w:id="19"/>
      <w:r>
        <w:tab/>
      </w:r>
      <w:r>
        <w:tab/>
      </w:r>
      <w:r w:rsidRPr="00D141EB">
        <w:t>We do not seek approval not to display the expiration date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rsidR="00D141EB" w:rsidRDefault="00D141EB" w:rsidP="00D141EB">
      <w:pPr>
        <w:pStyle w:val="NormalWeb"/>
        <w:tabs>
          <w:tab w:val="left" w:pos="360"/>
          <w:tab w:val="left" w:pos="720"/>
          <w:tab w:val="left" w:pos="1080"/>
          <w:tab w:val="left" w:pos="1440"/>
        </w:tabs>
        <w:spacing w:line="288" w:lineRule="atLeast"/>
      </w:pPr>
      <w:bookmarkStart w:id="21" w:name="cp474"/>
      <w:bookmarkEnd w:id="20"/>
      <w:r>
        <w:tab/>
      </w:r>
      <w:r>
        <w:tab/>
      </w:r>
      <w:r w:rsidRPr="00D141EB">
        <w:t>There are no exceptions to the certification accompanying this Paperwork Reduction Act submission.</w:t>
      </w:r>
      <w:bookmarkEnd w:id="21"/>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p w:rsidR="00A93CBF" w:rsidRDefault="00A93CBF" w:rsidP="00AC5BD4">
      <w:pPr>
        <w:pStyle w:val="NormalWeb"/>
        <w:tabs>
          <w:tab w:val="left" w:pos="360"/>
          <w:tab w:val="left" w:pos="720"/>
          <w:tab w:val="left" w:pos="1080"/>
          <w:tab w:val="left" w:pos="1440"/>
        </w:tabs>
        <w:spacing w:line="288" w:lineRule="atLeast"/>
      </w:pPr>
    </w:p>
    <w:sectPr w:rsidR="00A93CBF" w:rsidSect="00A6761C">
      <w:footerReference w:type="default" r:id="rId8"/>
      <w:pgSz w:w="12240" w:h="15840"/>
      <w:pgMar w:top="1440" w:right="1440" w:bottom="1170" w:left="1440" w:header="720"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19" w:rsidRDefault="006E7819">
    <w:pPr>
      <w:pStyle w:val="Footer"/>
      <w:jc w:val="center"/>
    </w:pPr>
  </w:p>
  <w:p w:rsidR="00D74D55" w:rsidRDefault="00D74D55">
    <w:pPr>
      <w:pStyle w:val="Footer"/>
      <w:jc w:val="center"/>
    </w:pPr>
    <w:r>
      <w:fldChar w:fldCharType="begin"/>
    </w:r>
    <w:r>
      <w:instrText xml:space="preserve"> PAGE   \* MERGEFORMAT </w:instrText>
    </w:r>
    <w:r>
      <w:fldChar w:fldCharType="separate"/>
    </w:r>
    <w:r w:rsidR="002429FD">
      <w:rPr>
        <w:noProof/>
      </w:rPr>
      <w:t>5</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 w:id="1">
    <w:p w:rsidR="003002A0" w:rsidRDefault="003002A0">
      <w:pPr>
        <w:pStyle w:val="FootnoteText"/>
      </w:pPr>
      <w:r>
        <w:rPr>
          <w:rStyle w:val="FootnoteReference"/>
        </w:rPr>
        <w:footnoteRef/>
      </w:r>
      <w:r>
        <w:t xml:space="preserve"> Estimates are based on information available in the Federal Procurement Data System (FPDS).</w:t>
      </w:r>
    </w:p>
  </w:footnote>
  <w:footnote w:id="2">
    <w:p w:rsidR="003002A0" w:rsidRDefault="003002A0">
      <w:pPr>
        <w:pStyle w:val="FootnoteText"/>
      </w:pPr>
      <w:r>
        <w:rPr>
          <w:rStyle w:val="FootnoteReference"/>
        </w:rPr>
        <w:footnoteRef/>
      </w:r>
      <w:r>
        <w:t xml:space="preserve"> </w:t>
      </w:r>
      <w:r w:rsidRPr="003002A0">
        <w:t>Respondents are those who choose to sell goods and services through FMS arrangements and obtain progress payments financing.</w:t>
      </w:r>
      <w:r>
        <w:t xml:space="preserve"> </w:t>
      </w:r>
      <w:r w:rsidRPr="003002A0">
        <w:t>The number of respondents</w:t>
      </w:r>
      <w:r>
        <w:t xml:space="preserve"> (124)</w:t>
      </w:r>
      <w:r w:rsidRPr="003002A0">
        <w:t xml:space="preserve"> represents the unique </w:t>
      </w:r>
      <w:r w:rsidR="00A6761C">
        <w:t>firms</w:t>
      </w:r>
      <w:r w:rsidRPr="003002A0">
        <w:t xml:space="preserve"> represented in th</w:t>
      </w:r>
      <w:r>
        <w:t>e</w:t>
      </w:r>
      <w:r w:rsidRPr="003002A0">
        <w:t xml:space="preserve"> </w:t>
      </w:r>
      <w:r w:rsidR="00A6761C">
        <w:t xml:space="preserve">275 </w:t>
      </w:r>
      <w:r>
        <w:t xml:space="preserve">total </w:t>
      </w:r>
      <w:r w:rsidR="00A6761C">
        <w:t>responses (see footnote 3)</w:t>
      </w:r>
      <w:r w:rsidRPr="003002A0">
        <w:t>.</w:t>
      </w:r>
    </w:p>
  </w:footnote>
  <w:footnote w:id="3">
    <w:p w:rsidR="003002A0" w:rsidRDefault="003002A0">
      <w:pPr>
        <w:pStyle w:val="FootnoteText"/>
      </w:pPr>
      <w:r>
        <w:rPr>
          <w:rStyle w:val="FootnoteReference"/>
        </w:rPr>
        <w:footnoteRef/>
      </w:r>
      <w:r>
        <w:t xml:space="preserve"> </w:t>
      </w:r>
      <w:r w:rsidRPr="003002A0">
        <w:t>The total number of responses was calculated by taking the average number of contract actions valued at greater than $25,000 with FMS financing for the period fiscal year (FY) 2012-2014 (equals 275 actions) and multiplying by 12 submissions per contract (equals 3,300 responses)</w:t>
      </w:r>
      <w:r>
        <w:t>.</w:t>
      </w:r>
    </w:p>
  </w:footnote>
  <w:footnote w:id="4">
    <w:p w:rsidR="00A6761C" w:rsidRDefault="00A6761C">
      <w:pPr>
        <w:pStyle w:val="FootnoteText"/>
      </w:pPr>
      <w:r>
        <w:rPr>
          <w:rStyle w:val="FootnoteReference"/>
        </w:rPr>
        <w:footnoteRef/>
      </w:r>
      <w:r>
        <w:t xml:space="preserve"> </w:t>
      </w:r>
      <w:r w:rsidRPr="003002A0">
        <w:t>Recordkeeping hours consist of the estimated time necessary to main</w:t>
      </w:r>
      <w:r>
        <w:t>tain the information internally, considering m</w:t>
      </w:r>
      <w:r w:rsidRPr="003002A0">
        <w:t>ost companies already have accounting practi</w:t>
      </w:r>
      <w:r>
        <w:t>ces for tracking incurred costs</w:t>
      </w:r>
      <w:r w:rsidRPr="003002A0">
        <w:t>.</w:t>
      </w:r>
    </w:p>
  </w:footnote>
  <w:footnote w:id="5">
    <w:p w:rsidR="00B75E8A" w:rsidRDefault="00B75E8A" w:rsidP="00B75E8A">
      <w:pPr>
        <w:pStyle w:val="FootnoteText"/>
      </w:pPr>
      <w:r>
        <w:rPr>
          <w:rStyle w:val="FootnoteReference"/>
        </w:rPr>
        <w:footnoteRef/>
      </w:r>
      <w:r>
        <w:t xml:space="preserve"> </w:t>
      </w:r>
      <w:r w:rsidRPr="003002A0">
        <w:t>Based on General Schedule (GS) pay for a GS-12, step 5 salary for 2015 plus 36.25% Civilian Position Full Fringe Benefit Cost Factor for 2012 per OMB Memo M-08-13 ($33.39 X 136.25% = $45.49 rounded to $45 per hour).</w:t>
      </w:r>
    </w:p>
  </w:footnote>
  <w:footnote w:id="6">
    <w:p w:rsidR="00B75E8A" w:rsidRDefault="00B75E8A" w:rsidP="00B75E8A">
      <w:pPr>
        <w:pStyle w:val="FootnoteText"/>
      </w:pPr>
      <w:r>
        <w:rPr>
          <w:rStyle w:val="FootnoteReference"/>
        </w:rPr>
        <w:footnoteRef/>
      </w:r>
      <w:r>
        <w:t xml:space="preserve"> </w:t>
      </w:r>
      <w:r w:rsidRPr="00411361">
        <w:t xml:space="preserve">Based on GS pay for a GS-7, step 5 salary for 2015 plus 36.25% Civilian Position </w:t>
      </w:r>
      <w:r>
        <w:t>Full Fringe Benefit Cost Factor.</w:t>
      </w:r>
    </w:p>
  </w:footnote>
  <w:footnote w:id="7">
    <w:p w:rsidR="00A6761C" w:rsidRDefault="00A6761C">
      <w:pPr>
        <w:pStyle w:val="FootnoteText"/>
      </w:pPr>
      <w:r>
        <w:rPr>
          <w:rStyle w:val="FootnoteReference"/>
        </w:rPr>
        <w:footnoteRef/>
      </w:r>
      <w:r>
        <w:t xml:space="preserve"> </w:t>
      </w:r>
      <w:r w:rsidRPr="00D141EB">
        <w:t>The time estimates are based on receiving, reviewing, and analyzing the information submitted by the</w:t>
      </w:r>
      <w:r w:rsidRPr="00D141EB">
        <w:rPr>
          <w:rFonts w:cs="Courier New"/>
        </w:rPr>
        <w:t xml:space="preserve"> </w:t>
      </w:r>
      <w:r w:rsidRPr="00370D20">
        <w:rPr>
          <w:rFonts w:cs="Courier New"/>
        </w:rPr>
        <w:t>contractor.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A2459"/>
    <w:rsid w:val="00127C69"/>
    <w:rsid w:val="00191C5D"/>
    <w:rsid w:val="002230B5"/>
    <w:rsid w:val="002429FD"/>
    <w:rsid w:val="0030008B"/>
    <w:rsid w:val="003002A0"/>
    <w:rsid w:val="0032295F"/>
    <w:rsid w:val="003C26F7"/>
    <w:rsid w:val="004B27AF"/>
    <w:rsid w:val="004C7516"/>
    <w:rsid w:val="005E0A0F"/>
    <w:rsid w:val="0060388A"/>
    <w:rsid w:val="006B2B17"/>
    <w:rsid w:val="006E7819"/>
    <w:rsid w:val="00A6761C"/>
    <w:rsid w:val="00A93CBF"/>
    <w:rsid w:val="00AC5BD4"/>
    <w:rsid w:val="00AF66E0"/>
    <w:rsid w:val="00B75E8A"/>
    <w:rsid w:val="00C34D08"/>
    <w:rsid w:val="00C66D8C"/>
    <w:rsid w:val="00D141EB"/>
    <w:rsid w:val="00D37A50"/>
    <w:rsid w:val="00D46148"/>
    <w:rsid w:val="00D74D55"/>
    <w:rsid w:val="00E53C2C"/>
    <w:rsid w:val="00E90B41"/>
    <w:rsid w:val="00F1447C"/>
    <w:rsid w:val="00F357EB"/>
    <w:rsid w:val="00F508E6"/>
    <w:rsid w:val="00F92085"/>
    <w:rsid w:val="00F92ACC"/>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2D79-6AFC-47B0-B2C1-2278E395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4</cp:revision>
  <cp:lastPrinted>2013-01-25T19:09:00Z</cp:lastPrinted>
  <dcterms:created xsi:type="dcterms:W3CDTF">2015-12-18T18:45:00Z</dcterms:created>
  <dcterms:modified xsi:type="dcterms:W3CDTF">2015-12-18T23:36:00Z</dcterms:modified>
</cp:coreProperties>
</file>