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128" w:rsidRPr="00FB1AED" w:rsidRDefault="00693128" w:rsidP="00693128">
      <w:pPr>
        <w:pStyle w:val="Heading1"/>
        <w:rPr>
          <w:rFonts w:eastAsia="Arial Unicode MS"/>
        </w:rPr>
      </w:pPr>
      <w:bookmarkStart w:id="0" w:name="_Toc372717810"/>
      <w:bookmarkStart w:id="1" w:name="_GoBack"/>
      <w:bookmarkEnd w:id="1"/>
      <w:r w:rsidRPr="00FB1AED">
        <w:rPr>
          <w:rFonts w:eastAsia="Arial Unicode MS"/>
        </w:rPr>
        <w:t>A</w:t>
      </w:r>
      <w:r>
        <w:rPr>
          <w:rFonts w:eastAsia="Arial Unicode MS"/>
        </w:rPr>
        <w:t>ttachment 1</w:t>
      </w:r>
      <w:r w:rsidR="00387D59">
        <w:rPr>
          <w:rFonts w:eastAsia="Arial Unicode MS"/>
        </w:rPr>
        <w:t>0</w:t>
      </w:r>
      <w:r>
        <w:rPr>
          <w:rFonts w:eastAsia="Arial Unicode MS"/>
        </w:rPr>
        <w:t>a Di</w:t>
      </w:r>
      <w:r w:rsidRPr="00FB1AED">
        <w:rPr>
          <w:rFonts w:eastAsia="Arial Unicode MS"/>
        </w:rPr>
        <w:t>sposition Table with Callback Rules</w:t>
      </w:r>
      <w:bookmarkEnd w:id="0"/>
    </w:p>
    <w:p w:rsidR="00693128" w:rsidRPr="00FB1AED" w:rsidRDefault="00693128" w:rsidP="00693128">
      <w:pPr>
        <w:rPr>
          <w:rFonts w:eastAsia="Arial Unicode MS"/>
        </w:rPr>
      </w:pPr>
      <w:r w:rsidRPr="00FB1AED">
        <w:rPr>
          <w:rFonts w:eastAsia="Arial Unicode MS"/>
        </w:rPr>
        <w:tab/>
      </w:r>
      <w:r w:rsidRPr="00FB1AED">
        <w:rPr>
          <w:rFonts w:eastAsia="Arial Unicode MS"/>
        </w:rPr>
        <w:tab/>
      </w:r>
      <w:r w:rsidRPr="00FB1AED">
        <w:rPr>
          <w:rFonts w:eastAsia="Arial Unicode MS"/>
        </w:rPr>
        <w:tab/>
      </w:r>
      <w:r w:rsidRPr="00FB1AED">
        <w:rPr>
          <w:rFonts w:eastAsia="Arial Unicode MS"/>
        </w:rPr>
        <w:tab/>
        <w:t xml:space="preserve">          </w:t>
      </w:r>
    </w:p>
    <w:p w:rsidR="00693128" w:rsidRPr="00FB1AED" w:rsidRDefault="00693128" w:rsidP="00693128">
      <w:pPr>
        <w:rPr>
          <w:rFonts w:ascii="Arial" w:eastAsia="Calibri" w:hAnsi="Arial" w:cs="Arial"/>
          <w:bCs/>
        </w:rPr>
      </w:pPr>
    </w:p>
    <w:tbl>
      <w:tblPr>
        <w:tblStyle w:val="TableGrid"/>
        <w:tblW w:w="0" w:type="auto"/>
        <w:tblLook w:val="04A0" w:firstRow="1" w:lastRow="0" w:firstColumn="1" w:lastColumn="0" w:noHBand="0" w:noVBand="1"/>
      </w:tblPr>
      <w:tblGrid>
        <w:gridCol w:w="6948"/>
        <w:gridCol w:w="6948"/>
      </w:tblGrid>
      <w:tr w:rsidR="00693128" w:rsidRPr="00FB1AED" w:rsidTr="00365FA3">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Definitions of terms</w:t>
            </w:r>
          </w:p>
        </w:tc>
        <w:tc>
          <w:tcPr>
            <w:tcW w:w="6948" w:type="dxa"/>
          </w:tcPr>
          <w:p w:rsidR="00693128" w:rsidRPr="00FB1AED" w:rsidRDefault="00693128" w:rsidP="00365FA3">
            <w:pPr>
              <w:rPr>
                <w:rFonts w:ascii="Arial" w:eastAsia="Calibri" w:hAnsi="Arial" w:cs="Arial"/>
                <w:bCs/>
              </w:rPr>
            </w:pPr>
          </w:p>
        </w:tc>
      </w:tr>
      <w:tr w:rsidR="00693128" w:rsidRPr="00FB1AED" w:rsidTr="00365FA3">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Respondent</w:t>
            </w:r>
          </w:p>
        </w:tc>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A person who is contacted by an interviewer and who may be eligible for interview.</w:t>
            </w:r>
          </w:p>
        </w:tc>
      </w:tr>
      <w:tr w:rsidR="00693128" w:rsidRPr="00FB1AED" w:rsidTr="00365FA3">
        <w:tc>
          <w:tcPr>
            <w:tcW w:w="6948" w:type="dxa"/>
          </w:tcPr>
          <w:p w:rsidR="00693128" w:rsidRPr="00FB1AED" w:rsidRDefault="00693128" w:rsidP="00365FA3">
            <w:pPr>
              <w:rPr>
                <w:rFonts w:ascii="Arial" w:eastAsia="Calibri" w:hAnsi="Arial" w:cs="Arial"/>
                <w:bCs/>
              </w:rPr>
            </w:pPr>
            <w:r>
              <w:rPr>
                <w:rFonts w:ascii="Arial" w:eastAsia="Calibri" w:hAnsi="Arial" w:cs="Arial"/>
                <w:bCs/>
              </w:rPr>
              <w:t>Calling attempt</w:t>
            </w:r>
          </w:p>
        </w:tc>
        <w:tc>
          <w:tcPr>
            <w:tcW w:w="6948" w:type="dxa"/>
          </w:tcPr>
          <w:p w:rsidR="00693128" w:rsidRPr="00FB1AED" w:rsidRDefault="00693128" w:rsidP="00365FA3">
            <w:pPr>
              <w:rPr>
                <w:rFonts w:ascii="Arial" w:eastAsia="Calibri" w:hAnsi="Arial" w:cs="Arial"/>
                <w:bCs/>
              </w:rPr>
            </w:pPr>
            <w:r>
              <w:rPr>
                <w:rFonts w:ascii="Arial" w:eastAsia="Calibri" w:hAnsi="Arial" w:cs="Arial"/>
                <w:bCs/>
              </w:rPr>
              <w:t xml:space="preserve">An attempt is an effort to reach a potential respondent by dialing a phone number, even if the dialing does not reach or connect with a working phone line. </w:t>
            </w:r>
          </w:p>
        </w:tc>
      </w:tr>
      <w:tr w:rsidR="00693128" w:rsidRPr="00FB1AED" w:rsidTr="00365FA3">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Landline telephone</w:t>
            </w:r>
          </w:p>
        </w:tc>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A telephone that is used within a specific location.  Includes traditional household telephones, VOIP and internet phones connected to computers in a household.</w:t>
            </w:r>
          </w:p>
        </w:tc>
      </w:tr>
      <w:tr w:rsidR="00693128" w:rsidRPr="00FB1AED" w:rsidTr="00365FA3">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Cellular telephone</w:t>
            </w:r>
          </w:p>
        </w:tc>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A mobile device that is not tied to specific location for use. </w:t>
            </w:r>
          </w:p>
        </w:tc>
      </w:tr>
      <w:tr w:rsidR="00693128" w:rsidRPr="00FB1AED" w:rsidTr="00365FA3">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Selected respondent</w:t>
            </w:r>
          </w:p>
        </w:tc>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A person who is eligible for interview.  For the </w:t>
            </w:r>
            <w:proofErr w:type="gramStart"/>
            <w:r w:rsidRPr="00FB1AED">
              <w:rPr>
                <w:rFonts w:ascii="Arial" w:eastAsia="Calibri" w:hAnsi="Arial" w:cs="Arial"/>
                <w:bCs/>
              </w:rPr>
              <w:t>cellular  telephone</w:t>
            </w:r>
            <w:proofErr w:type="gramEnd"/>
            <w:r w:rsidRPr="00FB1AED">
              <w:rPr>
                <w:rFonts w:ascii="Arial" w:eastAsia="Calibri" w:hAnsi="Arial" w:cs="Arial"/>
                <w:bCs/>
              </w:rPr>
              <w:t xml:space="preserve"> sample a selected respondent is an adult associated with the phone number who lives in a private residence or college housing within the US or territories covered by the BRFSS. For the landline telephone sample a selected respondent is the person selected for interview during the household enumeration section of the screening questions. </w:t>
            </w:r>
          </w:p>
        </w:tc>
      </w:tr>
      <w:tr w:rsidR="00693128" w:rsidRPr="00FB1AED" w:rsidTr="00365FA3">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Calling occasions </w:t>
            </w:r>
          </w:p>
        </w:tc>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There are three calling occasions: </w:t>
            </w:r>
          </w:p>
          <w:p w:rsidR="00693128" w:rsidRPr="00FB1AED" w:rsidRDefault="00693128" w:rsidP="00365FA3">
            <w:pPr>
              <w:rPr>
                <w:rFonts w:ascii="Arial" w:eastAsia="Calibri" w:hAnsi="Arial" w:cs="Arial"/>
                <w:bCs/>
              </w:rPr>
            </w:pPr>
            <w:r w:rsidRPr="00FB1AED">
              <w:rPr>
                <w:rFonts w:ascii="Arial" w:eastAsia="Calibri" w:hAnsi="Arial" w:cs="Arial"/>
                <w:bCs/>
              </w:rPr>
              <w:t>weekday (before 5:00 pm on a weekday);</w:t>
            </w:r>
          </w:p>
          <w:p w:rsidR="00693128" w:rsidRPr="00FB1AED" w:rsidRDefault="00693128" w:rsidP="00365FA3">
            <w:pPr>
              <w:rPr>
                <w:rFonts w:ascii="Arial" w:eastAsia="Calibri" w:hAnsi="Arial" w:cs="Arial"/>
                <w:bCs/>
              </w:rPr>
            </w:pPr>
            <w:r w:rsidRPr="00FB1AED">
              <w:rPr>
                <w:rFonts w:ascii="Arial" w:eastAsia="Calibri" w:hAnsi="Arial" w:cs="Arial"/>
                <w:bCs/>
              </w:rPr>
              <w:t>weeknight (after 5:00 pm on a weekday), and;</w:t>
            </w:r>
          </w:p>
          <w:p w:rsidR="00693128" w:rsidRPr="00FB1AED" w:rsidRDefault="00693128" w:rsidP="00365FA3">
            <w:pPr>
              <w:rPr>
                <w:rFonts w:ascii="Arial" w:eastAsia="Calibri" w:hAnsi="Arial" w:cs="Arial"/>
                <w:bCs/>
              </w:rPr>
            </w:pPr>
            <w:proofErr w:type="gramStart"/>
            <w:r w:rsidRPr="00FB1AED">
              <w:rPr>
                <w:rFonts w:ascii="Arial" w:eastAsia="Calibri" w:hAnsi="Arial" w:cs="Arial"/>
                <w:bCs/>
              </w:rPr>
              <w:t>weekend</w:t>
            </w:r>
            <w:proofErr w:type="gramEnd"/>
            <w:r w:rsidRPr="00FB1AED">
              <w:rPr>
                <w:rFonts w:ascii="Arial" w:eastAsia="Calibri" w:hAnsi="Arial" w:cs="Arial"/>
                <w:bCs/>
              </w:rPr>
              <w:t xml:space="preserve"> (any time on Saturday or Sunday).</w:t>
            </w:r>
          </w:p>
        </w:tc>
      </w:tr>
      <w:tr w:rsidR="00693128" w:rsidRPr="00FB1AED" w:rsidTr="00365FA3">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Personal Cellular Telephone</w:t>
            </w:r>
          </w:p>
        </w:tc>
        <w:tc>
          <w:tcPr>
            <w:tcW w:w="694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A cellular telephone that is used for personal calls. Cellular telephones that are used for both personal and business calls may be categorized as personal telephones and are eligible for interview.  Telephones that are used exclusively as business phones are not personal telephones and, therefore, are not eligible for interview. </w:t>
            </w:r>
          </w:p>
        </w:tc>
      </w:tr>
    </w:tbl>
    <w:p w:rsidR="00693128" w:rsidRPr="00FB1AED" w:rsidRDefault="00693128" w:rsidP="00693128">
      <w:pPr>
        <w:rPr>
          <w:rFonts w:ascii="Arial" w:eastAsia="Calibri" w:hAnsi="Arial" w:cs="Arial"/>
          <w:bCs/>
        </w:rPr>
      </w:pPr>
    </w:p>
    <w:p w:rsidR="00693128" w:rsidRPr="00FB1AED" w:rsidRDefault="00693128" w:rsidP="00693128">
      <w:pPr>
        <w:rPr>
          <w:rFonts w:ascii="Arial" w:eastAsia="Calibri" w:hAnsi="Arial" w:cs="Arial"/>
          <w:bCs/>
        </w:rPr>
      </w:pPr>
    </w:p>
    <w:tbl>
      <w:tblPr>
        <w:tblStyle w:val="TableWeb3"/>
        <w:tblW w:w="13677" w:type="dxa"/>
        <w:tblCellMar>
          <w:left w:w="72" w:type="dxa"/>
          <w:right w:w="72" w:type="dxa"/>
        </w:tblCellMar>
        <w:tblLook w:val="04A0" w:firstRow="1" w:lastRow="0" w:firstColumn="1" w:lastColumn="0" w:noHBand="0" w:noVBand="1"/>
      </w:tblPr>
      <w:tblGrid>
        <w:gridCol w:w="1594"/>
        <w:gridCol w:w="2915"/>
        <w:gridCol w:w="4159"/>
        <w:gridCol w:w="1591"/>
        <w:gridCol w:w="3418"/>
      </w:tblGrid>
      <w:tr w:rsidR="00693128" w:rsidRPr="00FB1AED" w:rsidTr="00365FA3">
        <w:trPr>
          <w:cnfStyle w:val="100000000000" w:firstRow="1" w:lastRow="0" w:firstColumn="0" w:lastColumn="0" w:oddVBand="0" w:evenVBand="0" w:oddHBand="0" w:evenHBand="0" w:firstRowFirstColumn="0" w:firstRowLastColumn="0" w:lastRowFirstColumn="0" w:lastRowLastColumn="0"/>
          <w:trHeight w:val="429"/>
        </w:trPr>
        <w:tc>
          <w:tcPr>
            <w:tcW w:w="1534" w:type="dxa"/>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Disposition Code</w:t>
            </w:r>
          </w:p>
        </w:tc>
        <w:tc>
          <w:tcPr>
            <w:tcW w:w="2875" w:type="dxa"/>
            <w:vAlign w:val="center"/>
          </w:tcPr>
          <w:p w:rsidR="00693128" w:rsidRPr="00FB1AED" w:rsidRDefault="00693128" w:rsidP="00365FA3">
            <w:pPr>
              <w:jc w:val="center"/>
              <w:rPr>
                <w:rFonts w:ascii="Arial" w:eastAsia="Calibri" w:hAnsi="Arial" w:cs="Arial"/>
                <w:bCs/>
              </w:rPr>
            </w:pPr>
          </w:p>
          <w:p w:rsidR="00693128" w:rsidRPr="00FB1AED" w:rsidRDefault="00693128" w:rsidP="00365FA3">
            <w:pPr>
              <w:jc w:val="center"/>
              <w:rPr>
                <w:rFonts w:ascii="Arial" w:eastAsia="Calibri" w:hAnsi="Arial" w:cs="Arial"/>
                <w:bCs/>
              </w:rPr>
            </w:pPr>
            <w:r w:rsidRPr="00FB1AED">
              <w:rPr>
                <w:rFonts w:ascii="Arial" w:eastAsia="Calibri" w:hAnsi="Arial" w:cs="Arial"/>
                <w:bCs/>
              </w:rPr>
              <w:t>Description</w:t>
            </w:r>
          </w:p>
        </w:tc>
        <w:tc>
          <w:tcPr>
            <w:tcW w:w="4119"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Definition</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Range of number of attempts</w:t>
            </w: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Call back rules</w:t>
            </w:r>
          </w:p>
        </w:tc>
      </w:tr>
      <w:tr w:rsidR="00693128" w:rsidRPr="00FB1AED" w:rsidTr="00365FA3">
        <w:trPr>
          <w:trHeight w:val="297"/>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1100</w:t>
            </w:r>
          </w:p>
          <w:p w:rsidR="00693128" w:rsidRPr="00FB1AED" w:rsidRDefault="00693128" w:rsidP="00365FA3">
            <w:pPr>
              <w:jc w:val="center"/>
              <w:rPr>
                <w:rFonts w:ascii="Arial" w:eastAsia="Calibri" w:hAnsi="Arial" w:cs="Arial"/>
                <w:bCs/>
              </w:rPr>
            </w:pP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Complete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selected respondent completes questionnaire.</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tcPr>
          <w:p w:rsidR="00693128" w:rsidRPr="00FB1AED" w:rsidRDefault="00693128" w:rsidP="00365FA3">
            <w:pPr>
              <w:rPr>
                <w:rFonts w:ascii="Arial" w:eastAsia="Calibri" w:hAnsi="Arial" w:cs="Arial"/>
                <w:bCs/>
              </w:rPr>
            </w:pPr>
          </w:p>
        </w:tc>
      </w:tr>
      <w:tr w:rsidR="00693128" w:rsidRPr="00FB1AED" w:rsidTr="00365FA3">
        <w:trPr>
          <w:trHeight w:val="115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1200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Partial complete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selected respondent completes gender and three other demographic questions with responses other than “don’t know/not sure” or “refused”</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Selected respondent may be called back to fully complete the interview. Give final disposition on 15</w:t>
            </w:r>
            <w:r w:rsidRPr="00FB1AED">
              <w:rPr>
                <w:rFonts w:ascii="Arial" w:eastAsia="Calibri" w:hAnsi="Arial" w:cs="Arial"/>
                <w:bCs/>
                <w:vertAlign w:val="superscript"/>
              </w:rPr>
              <w:t>th</w:t>
            </w:r>
            <w:r w:rsidRPr="00FB1AED">
              <w:rPr>
                <w:rFonts w:ascii="Arial" w:eastAsia="Calibri" w:hAnsi="Arial" w:cs="Arial"/>
                <w:bCs/>
              </w:rPr>
              <w:t xml:space="preserve"> or subsequent call attempt even if there is only one occurrence of a refusal or termination.</w:t>
            </w:r>
          </w:p>
        </w:tc>
      </w:tr>
      <w:tr w:rsidR="00693128" w:rsidRPr="00FB1AED" w:rsidTr="00365FA3">
        <w:trPr>
          <w:trHeight w:val="1296"/>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2111</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Household level refusal</w:t>
            </w:r>
          </w:p>
          <w:p w:rsidR="00693128" w:rsidRPr="00FB1AED" w:rsidRDefault="00693128" w:rsidP="00365FA3">
            <w:pPr>
              <w:jc w:val="center"/>
              <w:rPr>
                <w:rFonts w:ascii="Arial" w:eastAsia="Calibri" w:hAnsi="Arial" w:cs="Arial"/>
                <w:bCs/>
              </w:rPr>
            </w:pPr>
            <w:r w:rsidRPr="00FB1AED">
              <w:rPr>
                <w:rFonts w:ascii="Arial" w:eastAsia="Calibri" w:hAnsi="Arial" w:cs="Arial"/>
                <w:bCs/>
              </w:rPr>
              <w:t>(landline telephone only)</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for landline telephone only if refusal after confirmation of reaching household telephone line used by adults in correct state but before household selection and core BRFSS Q1 in landline telephone. </w:t>
            </w:r>
            <w:r w:rsidRPr="00FB1AED">
              <w:rPr>
                <w:rFonts w:ascii="Arial" w:eastAsia="Calibri" w:hAnsi="Arial" w:cs="Arial"/>
                <w:bCs/>
                <w:u w:val="single"/>
              </w:rPr>
              <w:t>Refusal can be from any member of the household (note: if refusal by selected respondent use code 2112)</w:t>
            </w:r>
            <w:r w:rsidRPr="00FB1AED">
              <w:rPr>
                <w:rFonts w:ascii="Arial" w:eastAsia="Calibri" w:hAnsi="Arial" w:cs="Arial"/>
                <w:bCs/>
              </w:rPr>
              <w:t>. Automated messages should not count as refusals.</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May be assigned after one attempt if hard refusal or special circumstance. Assign after maximum number of attempts and at least one interim disposition of 5111 (household level refusal).</w:t>
            </w:r>
          </w:p>
        </w:tc>
      </w:tr>
      <w:tr w:rsidR="00693128" w:rsidRPr="00FB1AED" w:rsidTr="00365FA3">
        <w:trPr>
          <w:trHeight w:val="158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2112</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Selected respondent refusal</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if </w:t>
            </w:r>
            <w:r w:rsidRPr="00FB1AED">
              <w:rPr>
                <w:rFonts w:ascii="Arial" w:eastAsia="Calibri" w:hAnsi="Arial" w:cs="Arial"/>
                <w:bCs/>
                <w:u w:val="single"/>
              </w:rPr>
              <w:t>refusal by selected respondent</w:t>
            </w:r>
            <w:r w:rsidRPr="00FB1AED">
              <w:rPr>
                <w:rFonts w:ascii="Arial" w:eastAsia="Calibri" w:hAnsi="Arial" w:cs="Arial"/>
                <w:bCs/>
              </w:rPr>
              <w:t xml:space="preserve"> before Core BRFSS Q1 is answered by landline telephone. Automated messages should not count as refusals. Assign if cellular telephone respondent refuses after number determined to be personal </w:t>
            </w:r>
            <w:r w:rsidRPr="00FB1AED">
              <w:rPr>
                <w:rFonts w:ascii="Arial" w:eastAsia="Calibri" w:hAnsi="Arial" w:cs="Arial"/>
                <w:bCs/>
              </w:rPr>
              <w:lastRenderedPageBreak/>
              <w:t>phone and respondent confirms living in private residence or college housing.</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lastRenderedPageBreak/>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May be assigned after one attempt if hard refusal or special circumstance. Assign after maximum number of attempts and at least one interim disposition of 5112 (respondent refusal).</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2120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Break off/ termination within questionnaire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selected respondent has completed Core BRFSS Q1 with response other than “Don’t know” or “refused’ and terminates/breaks off prior to demographics section. (NOTE: If respondent completes gender and three other demographics questions prior to break off, code 1200.)</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May be assigned after one attempt if hard refusal or special circumstance. Assign after maximum number of attempts with at least one interim disposition of 5120 (break off/termination).</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2210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Selected respondent never available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selected respondent is never available.  Selected respondent may not have been contacted or contacted and asked to be called later. Includes repeated unsafe location for interview, respondent away during period of interview, respondent not available for appointment. Includes selected respondents who die during interview period.</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 final disposition when notified or after at least 5 calling occasions of no more than 3 attempts with at least 3 weekday, 3 weeknight and 3 weekend calls for landline telephone.  Cellular tele-phone respondents may be called up to 8 times, with at least 2 weekday, 2 weeknight and 2 weekend attempts.</w:t>
            </w:r>
          </w:p>
          <w:p w:rsidR="00693128" w:rsidRPr="00FB1AED" w:rsidRDefault="00693128" w:rsidP="00365FA3">
            <w:pPr>
              <w:rPr>
                <w:rFonts w:ascii="Arial" w:eastAsia="Calibri" w:hAnsi="Arial" w:cs="Arial"/>
                <w:bCs/>
              </w:rPr>
            </w:pPr>
            <w:r w:rsidRPr="00FB1AED">
              <w:rPr>
                <w:rFonts w:ascii="Arial" w:eastAsia="Calibri" w:hAnsi="Arial" w:cs="Arial"/>
                <w:bCs/>
              </w:rPr>
              <w:t>Assign after maximum number of calling attempts with at least one interim disposition of 5100 (appointment), or 5560 (unsafe location).</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2220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Household answering device</w:t>
            </w:r>
          </w:p>
          <w:p w:rsidR="00693128" w:rsidRPr="00FB1AED" w:rsidRDefault="00693128" w:rsidP="00365FA3">
            <w:pPr>
              <w:jc w:val="center"/>
              <w:rPr>
                <w:rFonts w:ascii="Arial" w:eastAsia="Calibri" w:hAnsi="Arial" w:cs="Arial"/>
                <w:bCs/>
              </w:rPr>
            </w:pPr>
            <w:r w:rsidRPr="00FB1AED">
              <w:rPr>
                <w:rFonts w:ascii="Arial" w:eastAsia="Calibri" w:hAnsi="Arial" w:cs="Arial"/>
                <w:bCs/>
              </w:rPr>
              <w:t>(landline telephone only)</w:t>
            </w:r>
          </w:p>
        </w:tc>
        <w:tc>
          <w:tcPr>
            <w:tcW w:w="4119" w:type="dxa"/>
            <w:vAlign w:val="center"/>
          </w:tcPr>
          <w:p w:rsidR="00693128" w:rsidRDefault="00693128" w:rsidP="00365FA3">
            <w:pPr>
              <w:rPr>
                <w:rFonts w:ascii="Arial" w:eastAsia="Calibri" w:hAnsi="Arial" w:cs="Arial"/>
                <w:bCs/>
              </w:rPr>
            </w:pPr>
            <w:r w:rsidRPr="00FB1AED">
              <w:rPr>
                <w:rFonts w:ascii="Arial" w:eastAsia="Calibri" w:hAnsi="Arial" w:cs="Arial"/>
                <w:bCs/>
              </w:rPr>
              <w:t xml:space="preserve">Assign if repeated contact with answering device that confirms residential/non business number </w:t>
            </w:r>
            <w:r w:rsidRPr="00FB1AED">
              <w:rPr>
                <w:rFonts w:ascii="Arial" w:eastAsia="Calibri" w:hAnsi="Arial" w:cs="Arial"/>
                <w:bCs/>
              </w:rPr>
              <w:lastRenderedPageBreak/>
              <w:t xml:space="preserve">(landline telephone only). The answering device gives a message confirming private residence by using the words “home,” “family,” “residence,” or “house” or by using family name in the message (landline telephone only).  Due to potential for </w:t>
            </w:r>
            <w:proofErr w:type="gramStart"/>
            <w:r w:rsidRPr="00FB1AED">
              <w:rPr>
                <w:rFonts w:ascii="Arial" w:eastAsia="Calibri" w:hAnsi="Arial" w:cs="Arial"/>
                <w:bCs/>
              </w:rPr>
              <w:t>cellular  telephone</w:t>
            </w:r>
            <w:proofErr w:type="gramEnd"/>
            <w:r w:rsidRPr="00FB1AED">
              <w:rPr>
                <w:rFonts w:ascii="Arial" w:eastAsia="Calibri" w:hAnsi="Arial" w:cs="Arial"/>
                <w:bCs/>
              </w:rPr>
              <w:t xml:space="preserve"> answering devices to be out-of-sample and/or not be connected to eligible respondents, </w:t>
            </w:r>
            <w:r w:rsidRPr="00FB1AED">
              <w:rPr>
                <w:rFonts w:ascii="Arial" w:eastAsia="Calibri" w:hAnsi="Arial" w:cs="Arial"/>
                <w:bCs/>
                <w:u w:val="single"/>
              </w:rPr>
              <w:t>do not assign this code to cellular telephone sample numbers.</w:t>
            </w:r>
            <w:r w:rsidRPr="00FB1AED">
              <w:rPr>
                <w:rFonts w:ascii="Arial" w:eastAsia="Calibri" w:hAnsi="Arial" w:cs="Arial"/>
                <w:bCs/>
              </w:rPr>
              <w:t xml:space="preserve"> For cellular telephone </w:t>
            </w:r>
          </w:p>
          <w:p w:rsidR="00693128" w:rsidRPr="00FB1AED" w:rsidRDefault="00693128" w:rsidP="00365FA3">
            <w:pPr>
              <w:rPr>
                <w:rFonts w:ascii="Arial" w:eastAsia="Calibri" w:hAnsi="Arial" w:cs="Arial"/>
                <w:bCs/>
              </w:rPr>
            </w:pPr>
            <w:proofErr w:type="gramStart"/>
            <w:r w:rsidRPr="00FB1AED">
              <w:rPr>
                <w:rFonts w:ascii="Arial" w:eastAsia="Calibri" w:hAnsi="Arial" w:cs="Arial"/>
                <w:bCs/>
              </w:rPr>
              <w:t>s</w:t>
            </w:r>
            <w:proofErr w:type="gramEnd"/>
            <w:r w:rsidRPr="00FB1AED">
              <w:rPr>
                <w:rFonts w:ascii="Arial" w:eastAsia="Calibri" w:hAnsi="Arial" w:cs="Arial"/>
                <w:bCs/>
              </w:rPr>
              <w:t xml:space="preserve"> use code 3140 (Answering device, unknown if eligible residence/respondent).</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6-15 attempts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Give final disposition after at least 5 calling occasions of no more than 3 attempts with </w:t>
            </w:r>
            <w:r w:rsidRPr="00FB1AED">
              <w:rPr>
                <w:rFonts w:ascii="Arial" w:eastAsia="Calibri" w:hAnsi="Arial" w:cs="Arial"/>
                <w:bCs/>
              </w:rPr>
              <w:lastRenderedPageBreak/>
              <w:t>at least 3 weekday, 3 weeknight and 3 weekend calls for landline telephones. Assign after maximum number of calling attempts with at least one interim disposition of 5220 (answering device, confirms residence).</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2320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Selected respondent physically or mentally unable to complete interview</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selected respondent is unable to complete interview due to physical or mental impairment. This includes temporary conditions such as bereavement, which will last beyond the interview period.</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1-6 attempts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the first time a </w:t>
            </w:r>
            <w:r w:rsidRPr="00FB1AED">
              <w:rPr>
                <w:rFonts w:ascii="Arial" w:eastAsia="Calibri" w:hAnsi="Arial" w:cs="Arial"/>
                <w:bCs/>
                <w:u w:val="single"/>
              </w:rPr>
              <w:t>selected respondent</w:t>
            </w:r>
            <w:r w:rsidRPr="00FB1AED">
              <w:rPr>
                <w:rFonts w:ascii="Arial" w:eastAsia="Calibri" w:hAnsi="Arial" w:cs="Arial"/>
                <w:bCs/>
              </w:rPr>
              <w:t xml:space="preserve"> is contacted or is described by someone else as physically or mentally incapable of completing survey or the second time a respondent who is physically or mentally impaired is contacted.</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2330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Language barrier, selected respondent</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Selected respondent does not speak English or other language for which interviewers are available. (NOTE: If language barriers prevent completion of respondent selection, assign code 3330 (language barrier, physical or mental impairment).</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1-6 attempts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the first time a </w:t>
            </w:r>
            <w:r w:rsidRPr="00FB1AED">
              <w:rPr>
                <w:rFonts w:ascii="Arial" w:eastAsia="Calibri" w:hAnsi="Arial" w:cs="Arial"/>
                <w:bCs/>
                <w:u w:val="single"/>
              </w:rPr>
              <w:t>selected respondent</w:t>
            </w:r>
            <w:r w:rsidRPr="00FB1AED">
              <w:rPr>
                <w:rFonts w:ascii="Arial" w:eastAsia="Calibri" w:hAnsi="Arial" w:cs="Arial"/>
                <w:bCs/>
              </w:rPr>
              <w:t xml:space="preserve"> is contacted or is described by someone else as not speaking English or other language (i.e. Spanish) for which interviewers are available.</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3100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Unknown if housing unit</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if hang up or call back </w:t>
            </w:r>
            <w:r w:rsidRPr="00FB1AED">
              <w:rPr>
                <w:rFonts w:ascii="Arial" w:eastAsia="Calibri" w:hAnsi="Arial" w:cs="Arial"/>
                <w:bCs/>
              </w:rPr>
              <w:lastRenderedPageBreak/>
              <w:t xml:space="preserve">request without confirming private residence/college housing (landline telephone and cellular telephone).   Assign for landline </w:t>
            </w:r>
            <w:proofErr w:type="gramStart"/>
            <w:r w:rsidRPr="00FB1AED">
              <w:rPr>
                <w:rFonts w:ascii="Arial" w:eastAsia="Calibri" w:hAnsi="Arial" w:cs="Arial"/>
                <w:bCs/>
              </w:rPr>
              <w:t>telephone  sample</w:t>
            </w:r>
            <w:proofErr w:type="gramEnd"/>
            <w:r w:rsidRPr="00FB1AED">
              <w:rPr>
                <w:rFonts w:ascii="Arial" w:eastAsia="Calibri" w:hAnsi="Arial" w:cs="Arial"/>
                <w:bCs/>
              </w:rPr>
              <w:t xml:space="preserve"> if contact without completion of private household/college housing screener questions.</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lastRenderedPageBreak/>
              <w:t xml:space="preserve">1-15 </w:t>
            </w:r>
            <w:r>
              <w:rPr>
                <w:rFonts w:ascii="Arial" w:eastAsia="Calibri" w:hAnsi="Arial" w:cs="Arial"/>
                <w:bCs/>
              </w:rPr>
              <w:lastRenderedPageBreak/>
              <w:t xml:space="preserve">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lastRenderedPageBreak/>
              <w:t xml:space="preserve">Give final disposition after </w:t>
            </w:r>
            <w:r w:rsidRPr="00FB1AED">
              <w:rPr>
                <w:rFonts w:ascii="Arial" w:eastAsia="Calibri" w:hAnsi="Arial" w:cs="Arial"/>
                <w:bCs/>
              </w:rPr>
              <w:lastRenderedPageBreak/>
              <w:t xml:space="preserve">second hang-up / call back request / termination or when a first time hang up will not be called back because of hard refusal or special circumstances and </w:t>
            </w:r>
            <w:r w:rsidRPr="00FB1AED">
              <w:rPr>
                <w:rFonts w:ascii="Arial" w:eastAsia="Calibri" w:hAnsi="Arial" w:cs="Arial"/>
                <w:b/>
                <w:bCs/>
              </w:rPr>
              <w:t>when household eligibility is NOT established</w:t>
            </w:r>
            <w:r w:rsidRPr="00FB1AED">
              <w:rPr>
                <w:rFonts w:ascii="Arial" w:eastAsia="Calibri" w:hAnsi="Arial" w:cs="Arial"/>
                <w:bCs/>
              </w:rPr>
              <w:t>. If the first occurrence is on 15</w:t>
            </w:r>
            <w:r w:rsidRPr="00FB1AED">
              <w:rPr>
                <w:rFonts w:ascii="Arial" w:eastAsia="Calibri" w:hAnsi="Arial" w:cs="Arial"/>
                <w:bCs/>
                <w:vertAlign w:val="superscript"/>
              </w:rPr>
              <w:t>th</w:t>
            </w:r>
            <w:r w:rsidRPr="00FB1AED">
              <w:rPr>
                <w:rFonts w:ascii="Arial" w:eastAsia="Calibri" w:hAnsi="Arial" w:cs="Arial"/>
                <w:bCs/>
              </w:rPr>
              <w:t xml:space="preserve"> attempt, give final </w:t>
            </w:r>
            <w:proofErr w:type="spellStart"/>
            <w:r w:rsidRPr="00FB1AED">
              <w:rPr>
                <w:rFonts w:ascii="Arial" w:eastAsia="Calibri" w:hAnsi="Arial" w:cs="Arial"/>
                <w:bCs/>
              </w:rPr>
              <w:t>disposition.Assign</w:t>
            </w:r>
            <w:proofErr w:type="spellEnd"/>
            <w:r w:rsidRPr="00FB1AED">
              <w:rPr>
                <w:rFonts w:ascii="Arial" w:eastAsia="Calibri" w:hAnsi="Arial" w:cs="Arial"/>
                <w:bCs/>
              </w:rPr>
              <w:t xml:space="preserve"> after maximum number of attempts with at least one interim disposition of 5050 (hang up, unknown if housing unit).</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3130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No answer</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if telephone rings normally but no one </w:t>
            </w:r>
            <w:proofErr w:type="gramStart"/>
            <w:r w:rsidRPr="00FB1AED">
              <w:rPr>
                <w:rFonts w:ascii="Arial" w:eastAsia="Calibri" w:hAnsi="Arial" w:cs="Arial"/>
                <w:bCs/>
              </w:rPr>
              <w:t>answers</w:t>
            </w:r>
            <w:proofErr w:type="gramEnd"/>
            <w:r w:rsidRPr="00FB1AED">
              <w:rPr>
                <w:rFonts w:ascii="Arial" w:eastAsia="Calibri" w:hAnsi="Arial" w:cs="Arial"/>
                <w:bCs/>
              </w:rPr>
              <w:t>. Assign if number reaches mailbox which has not yet been set up.</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6-15 attempts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 final disposition after at least 5 calling occasions of no more than 3 attempts with at least 3 weekday, 3 weeknight and 3 weekend calls for landline telephones.  Cellular telephone respondents may be called up to 8 times, with at least 2 weekday, 2 weeknight and 2 weekend attempts. Assign after maximum number of attempts with plurality of interim dispositions of 5130 (no answer).</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3140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Answering device, unknown whether eligible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ONLY assign if it is possible to leave a message or if a mailbox is full. Assign if answering device leaves open the possibility that the </w:t>
            </w:r>
            <w:r w:rsidRPr="00FB1AED">
              <w:rPr>
                <w:rFonts w:ascii="Arial" w:eastAsia="Calibri" w:hAnsi="Arial" w:cs="Arial"/>
                <w:bCs/>
              </w:rPr>
              <w:lastRenderedPageBreak/>
              <w:t>telephone number is not a residence or that the respondent is not eligible due to age.  Assign for cellular tele-phone answering devices that may not be eligible.</w:t>
            </w:r>
          </w:p>
        </w:tc>
        <w:tc>
          <w:tcPr>
            <w:tcW w:w="1551" w:type="dxa"/>
            <w:vAlign w:val="center"/>
          </w:tcPr>
          <w:p w:rsidR="00693128" w:rsidRDefault="00693128" w:rsidP="00365FA3">
            <w:pPr>
              <w:jc w:val="center"/>
              <w:rPr>
                <w:rFonts w:ascii="Arial" w:eastAsia="Calibri" w:hAnsi="Arial" w:cs="Arial"/>
                <w:bCs/>
              </w:rPr>
            </w:pPr>
            <w:r w:rsidRPr="00FB1AED">
              <w:rPr>
                <w:rFonts w:ascii="Arial" w:eastAsia="Calibri" w:hAnsi="Arial" w:cs="Arial"/>
                <w:bCs/>
              </w:rPr>
              <w:lastRenderedPageBreak/>
              <w:t xml:space="preserve">10-15 attempts for landline telephones; </w:t>
            </w:r>
            <w:r w:rsidRPr="00FB1AED">
              <w:rPr>
                <w:rFonts w:ascii="Arial" w:eastAsia="Calibri" w:hAnsi="Arial" w:cs="Arial"/>
                <w:bCs/>
              </w:rPr>
              <w:lastRenderedPageBreak/>
              <w:t xml:space="preserve">up to 8 attempts for cellular </w:t>
            </w:r>
          </w:p>
          <w:p w:rsidR="00693128" w:rsidRPr="00FB1AED" w:rsidRDefault="00693128" w:rsidP="00365FA3">
            <w:pPr>
              <w:jc w:val="center"/>
              <w:rPr>
                <w:rFonts w:ascii="Arial" w:eastAsia="Calibri" w:hAnsi="Arial" w:cs="Arial"/>
                <w:bCs/>
              </w:rPr>
            </w:pPr>
            <w:r>
              <w:rPr>
                <w:rFonts w:ascii="Arial" w:eastAsia="Calibri" w:hAnsi="Arial" w:cs="Arial"/>
                <w:bCs/>
              </w:rPr>
              <w:t>tele</w:t>
            </w:r>
            <w:r w:rsidRPr="00FB1AED">
              <w:rPr>
                <w:rFonts w:ascii="Arial" w:eastAsia="Calibri" w:hAnsi="Arial" w:cs="Arial"/>
                <w:bCs/>
              </w:rPr>
              <w:t>phones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lastRenderedPageBreak/>
              <w:t xml:space="preserve">Give final disposition after at least 5 calling occasions of no more than 3 attempts with at least 3 weekday, 3 </w:t>
            </w:r>
            <w:r w:rsidRPr="00FB1AED">
              <w:rPr>
                <w:rFonts w:ascii="Arial" w:eastAsia="Calibri" w:hAnsi="Arial" w:cs="Arial"/>
                <w:bCs/>
              </w:rPr>
              <w:lastRenderedPageBreak/>
              <w:t>weeknight and 3 weekend calls for landline telephones.  Cellular telephone respondents may be called up to 8 times, with at least 2 weekday, 2 weeknight, and 2 weekend attempts. Assign after maximum number of attempts with plurality of interim dispositions of 5140 (answering device, unknown if eligible residence or respondent).</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3150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Telecommunication barrier</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call blocking, call ID requirements or other respondent initiated block device leaves open the possibility of the number reaching an eligible household and/or respondent. Assign if call forwarded to other number and there is some potential for reaching household or actual respondent at later time.</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1-6 attempts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 final disposition after up to 3 calling occasions of no more than 2 attempts with at least 2 weekday, 2 weeknight, and 2 weekend calls for landline telephones.  Cellular telephone respondents may be called up to 6 times, with at least 2 weekday, 2 weeknight and 2 weekend attempts. Assign after maximum number of attempts with at least one interim disposition of 5150 (telecommunication barrier) and all others noncontact.</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3200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Household, not known if respondent eligible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for landline telephone sample if private residence confirmed without selecting respondent. (NOTE: If contact is made and </w:t>
            </w:r>
            <w:r w:rsidRPr="00FB1AED">
              <w:rPr>
                <w:rFonts w:ascii="Arial" w:eastAsia="Calibri" w:hAnsi="Arial" w:cs="Arial"/>
                <w:bCs/>
                <w:u w:val="single"/>
              </w:rPr>
              <w:t>household eligibility is unknown,</w:t>
            </w:r>
            <w:r w:rsidRPr="00FB1AED">
              <w:rPr>
                <w:rFonts w:ascii="Arial" w:eastAsia="Calibri" w:hAnsi="Arial" w:cs="Arial"/>
                <w:bCs/>
              </w:rPr>
              <w:t xml:space="preserve"> use code 3100). Assign for cellular tele-</w:t>
            </w:r>
            <w:r w:rsidRPr="00FB1AED">
              <w:rPr>
                <w:rFonts w:ascii="Arial" w:eastAsia="Calibri" w:hAnsi="Arial" w:cs="Arial"/>
                <w:bCs/>
              </w:rPr>
              <w:lastRenderedPageBreak/>
              <w:t xml:space="preserve">phone if contact is made with household resident without determining whether cellular tele- phone number and respondent are </w:t>
            </w:r>
            <w:proofErr w:type="spellStart"/>
            <w:r w:rsidRPr="00FB1AED">
              <w:rPr>
                <w:rFonts w:ascii="Arial" w:eastAsia="Calibri" w:hAnsi="Arial" w:cs="Arial"/>
                <w:bCs/>
              </w:rPr>
              <w:t>eligible.Contact</w:t>
            </w:r>
            <w:proofErr w:type="spellEnd"/>
            <w:r w:rsidRPr="00FB1AED">
              <w:rPr>
                <w:rFonts w:ascii="Arial" w:eastAsia="Calibri" w:hAnsi="Arial" w:cs="Arial"/>
                <w:bCs/>
              </w:rPr>
              <w:t xml:space="preserve"> with group home may apply.  Contact with vacation home may apply. Contact with household where residents are away for interview period may apply.</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lastRenderedPageBreak/>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Give final disposition after second hang-up/ termination or when a first time hang up will not be called back because of hard refusal or special circumstances and </w:t>
            </w:r>
            <w:r w:rsidRPr="00FB1AED">
              <w:rPr>
                <w:rFonts w:ascii="Arial" w:eastAsia="Calibri" w:hAnsi="Arial" w:cs="Arial"/>
                <w:b/>
                <w:bCs/>
              </w:rPr>
              <w:lastRenderedPageBreak/>
              <w:t>when respondent eligibility is NOT established</w:t>
            </w:r>
            <w:r w:rsidRPr="00FB1AED">
              <w:rPr>
                <w:rFonts w:ascii="Arial" w:eastAsia="Calibri" w:hAnsi="Arial" w:cs="Arial"/>
                <w:bCs/>
              </w:rPr>
              <w:t>. If the first occurrence is on 15</w:t>
            </w:r>
            <w:r w:rsidRPr="00FB1AED">
              <w:rPr>
                <w:rFonts w:ascii="Arial" w:eastAsia="Calibri" w:hAnsi="Arial" w:cs="Arial"/>
                <w:bCs/>
                <w:vertAlign w:val="superscript"/>
              </w:rPr>
              <w:t>th</w:t>
            </w:r>
            <w:r w:rsidRPr="00FB1AED">
              <w:rPr>
                <w:rFonts w:ascii="Arial" w:eastAsia="Calibri" w:hAnsi="Arial" w:cs="Arial"/>
                <w:bCs/>
              </w:rPr>
              <w:t xml:space="preserve"> attempt, give final disposition.</w:t>
            </w:r>
          </w:p>
          <w:p w:rsidR="00693128" w:rsidRPr="00FB1AED" w:rsidRDefault="00693128" w:rsidP="00365FA3">
            <w:pPr>
              <w:rPr>
                <w:rFonts w:ascii="Arial" w:eastAsia="Calibri" w:hAnsi="Arial" w:cs="Arial"/>
                <w:bCs/>
              </w:rPr>
            </w:pPr>
            <w:r w:rsidRPr="00FB1AED">
              <w:rPr>
                <w:rFonts w:ascii="Arial" w:eastAsia="Calibri" w:hAnsi="Arial" w:cs="Arial"/>
                <w:bCs/>
              </w:rPr>
              <w:t>Assign after maximum number of attempts with at least one interim disposition of 5050 (hang up, unknown if respondent eligible).</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3322</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 xml:space="preserve">Physical or mental impairment </w:t>
            </w:r>
            <w:r w:rsidRPr="00FB1AED">
              <w:rPr>
                <w:rFonts w:ascii="Arial" w:eastAsia="Calibri" w:hAnsi="Arial" w:cs="Arial"/>
                <w:bCs/>
              </w:rPr>
              <w:br/>
              <w:t>(household level)</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physical or mental impairment prevents determination of private residence or prevents determination of eligibility of household or resident. This is a household level assignment.  If selected respondent is physically or mentally impaired, assign 2320 after first attempt.</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1-6 attempts</w:t>
            </w: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Assign after maximum number of attempts with at least one interim disposition of 5320 (physical or mental impairment).</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3330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Language barrier, (household level)</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language barrier prevents determination of private residence or prevents determination of eligibility of household or resident. This is a household level assignment. If selected respondent has language barrier assign 2330 when informed.</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1-6 attempts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Assign after maximum number of attempts with at least one interim disposition of 5330 (household language barrier). Do not assign if there are interviewers within the calling center who could complete the interview in language spoken by household (i.e. Spanish).</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3700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On never call list</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only if supervisor can determine that respondent/ household is on never call list.  Interviewer should not assign based on respondent information. (NOTE: If respondent insists that he/she is on </w:t>
            </w:r>
            <w:r w:rsidRPr="00FB1AED">
              <w:rPr>
                <w:rFonts w:ascii="Arial" w:eastAsia="Calibri" w:hAnsi="Arial" w:cs="Arial"/>
                <w:bCs/>
              </w:rPr>
              <w:lastRenderedPageBreak/>
              <w:t>never call list code assign household level refusal (2111) or respondent refusal (2112).</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No attempt</w:t>
            </w: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Assign with confirmation by supervisor.  Interviewer should not assign based on respondent information.</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4100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Out of sample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if out of state for landline </w:t>
            </w:r>
            <w:proofErr w:type="gramStart"/>
            <w:r w:rsidRPr="00FB1AED">
              <w:rPr>
                <w:rFonts w:ascii="Arial" w:eastAsia="Calibri" w:hAnsi="Arial" w:cs="Arial"/>
                <w:bCs/>
              </w:rPr>
              <w:t>telephone  or</w:t>
            </w:r>
            <w:proofErr w:type="gramEnd"/>
            <w:r w:rsidRPr="00FB1AED">
              <w:rPr>
                <w:rFonts w:ascii="Arial" w:eastAsia="Calibri" w:hAnsi="Arial" w:cs="Arial"/>
                <w:bCs/>
              </w:rPr>
              <w:t xml:space="preserve"> out of country for cellular telephone.  Assign if indication that number reaches vacation home or household members are not living in home during interview period. (NOTE: If contact is made with respondent who indicates that they have been reached at their vacation home where they live for at least 30 days per year, interview can continue).</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Assigned as soon as sample ineligibility determined. This should take priority over other final dispositions.</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4200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Fax/data/modem</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call reaches fax or data line without human contact.</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1-6 attempts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u w:val="single"/>
              </w:rPr>
              <w:t>May be assigned after one attempt.</w:t>
            </w:r>
            <w:r w:rsidRPr="00FB1AED">
              <w:rPr>
                <w:rFonts w:ascii="Arial" w:eastAsia="Calibri" w:hAnsi="Arial" w:cs="Arial"/>
                <w:bCs/>
              </w:rPr>
              <w:t xml:space="preserve"> If states choose to use six attempts, give final disposition after recommendation for 3 calling occasions with 2 weekday, 2 weeknight and 2 weekend calls for landline telephones.  If states choose to use six attempts, cellular telephone respondents may be called up to 6 times, with recommendations for 2 weekday, 2 weeknight, and 2 weekend attempts. If six attempts are used, assign after maximum number of attempts with at least one interim disposition of 5200 (fax/data/modem) and all </w:t>
            </w:r>
            <w:r w:rsidRPr="00FB1AED">
              <w:rPr>
                <w:rFonts w:ascii="Arial" w:eastAsia="Calibri" w:hAnsi="Arial" w:cs="Arial"/>
                <w:bCs/>
              </w:rPr>
              <w:lastRenderedPageBreak/>
              <w:t>others noncontact with any person.</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4300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Nonworking number/ disconnected</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tritone.  Assign if operator message of nonworking number. States may choose to assign for temporary nonworking number message on first attempt or after repeated temporary nonworking number messages. Assign if “number changed” message. Assign if correctly dialed number rings to incorrect number.  Assign if respondent reports that connection has been made to wrong number.</w:t>
            </w:r>
          </w:p>
          <w:p w:rsidR="00693128" w:rsidRPr="00FB1AED" w:rsidRDefault="00693128" w:rsidP="00365FA3">
            <w:pPr>
              <w:rPr>
                <w:rFonts w:ascii="Arial" w:eastAsia="Calibri" w:hAnsi="Arial" w:cs="Arial"/>
                <w:bCs/>
              </w:rPr>
            </w:pPr>
            <w:r w:rsidRPr="00FB1AED">
              <w:rPr>
                <w:rFonts w:ascii="Arial" w:eastAsia="Calibri" w:hAnsi="Arial" w:cs="Arial"/>
                <w:bCs/>
              </w:rPr>
              <w:t>A number that does not accept incoming calls (such as a hospital line only used for outgoing calls)</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1-6 attempts.</w:t>
            </w:r>
          </w:p>
          <w:p w:rsidR="00693128" w:rsidRPr="00FB1AED" w:rsidRDefault="00693128" w:rsidP="00365FA3">
            <w:pPr>
              <w:jc w:val="center"/>
              <w:rPr>
                <w:rFonts w:ascii="Arial" w:eastAsia="Calibri" w:hAnsi="Arial" w:cs="Arial"/>
                <w:bCs/>
              </w:rPr>
            </w:pPr>
            <w:r w:rsidRPr="00FB1AED">
              <w:rPr>
                <w:rFonts w:ascii="Arial" w:eastAsia="Calibri" w:hAnsi="Arial" w:cs="Arial"/>
                <w:bCs/>
              </w:rPr>
              <w:t>Do not call more than 6 attempts.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May be assigned after one attempt. If states use six attempts, give final disposition after recommendation for 3 calling occasions with 2 weekday, 2 weeknight, and 2 weekend calls for landline telephones.  Cellular telephone respondents may be called up to 6 times, with recommendations for 2 weekday, 2 weeknight, and 2 weekend attempts. Assign after maximum number of attempts with at least one interim disposition of 5400 (technological barrier), 5300 (possible nonworking) or 5550 (busy) and all others noncontact.</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4400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Technological Barrier</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repeated busy, fast busy or circuit busy messages. Assign if repeated ambiguous operator messages. Assign if repeated poor audio quality. Assign if number repeatedly does not connect.</w:t>
            </w:r>
          </w:p>
          <w:p w:rsidR="00693128" w:rsidRPr="00FB1AED" w:rsidRDefault="00693128" w:rsidP="00365FA3">
            <w:pPr>
              <w:rPr>
                <w:rFonts w:ascii="Arial" w:eastAsia="Calibri" w:hAnsi="Arial" w:cs="Arial"/>
                <w:bCs/>
              </w:rPr>
            </w:pPr>
            <w:r w:rsidRPr="00FB1AED">
              <w:rPr>
                <w:rFonts w:ascii="Arial" w:eastAsia="Calibri" w:hAnsi="Arial" w:cs="Arial"/>
                <w:bCs/>
              </w:rPr>
              <w:t>Assign if cellular telephone respondent is outside calling area. Assign if respondent is unable to receive calls.  DO NOT assign if answering device (which permits leaving messages) is reached.</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1-6 attempts.</w:t>
            </w:r>
          </w:p>
          <w:p w:rsidR="00693128" w:rsidRPr="00FB1AED" w:rsidRDefault="00693128" w:rsidP="00365FA3">
            <w:pPr>
              <w:jc w:val="center"/>
              <w:rPr>
                <w:rFonts w:ascii="Arial" w:eastAsia="Calibri" w:hAnsi="Arial" w:cs="Arial"/>
                <w:bCs/>
              </w:rPr>
            </w:pPr>
            <w:r w:rsidRPr="00FB1AED">
              <w:rPr>
                <w:rFonts w:ascii="Arial" w:eastAsia="Calibri" w:hAnsi="Arial" w:cs="Arial"/>
                <w:bCs/>
              </w:rPr>
              <w:t>Do not call more than 6 attempts.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May be assigned after one attempt or pre assigned using precall status. Assign as soon as interviewer reaches number resulting in tritone. If states use six attempts, give final disposition after recommendation for 3 calling occasions with 2 weekday, 2 weeknight, and 2 weekend calls for landline telephones.  </w:t>
            </w:r>
            <w:r w:rsidRPr="00FB1AED">
              <w:rPr>
                <w:rFonts w:ascii="Arial" w:eastAsia="Calibri" w:hAnsi="Arial" w:cs="Arial"/>
                <w:bCs/>
              </w:rPr>
              <w:lastRenderedPageBreak/>
              <w:t>Cellular telephone respondents may be called up to 6 times, with recommendations for 2 weekday, 2 weeknight, and 2 weekend attempts. Assign after maximum number of attempts with interim dispositions of 5200 (fax/data/modem), 5400 (technological barrier), 5300 (possible nonworking) and/or 5550 (busy) and all others noncontact.</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4430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Call forwarding / pager</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message indicates number has been forwarded. Assign if number reaches a pager. Assign if connection produces series of beeps. Assign if informed that number forwarded to other number. (NOTE: Do not select respondents from household or location that is different from the original number. Do not enumerate the number of adults at location which is different from original number.)</w:t>
            </w:r>
          </w:p>
        </w:tc>
        <w:tc>
          <w:tcPr>
            <w:tcW w:w="1551"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1-6 attempts.</w:t>
            </w:r>
          </w:p>
          <w:p w:rsidR="00693128" w:rsidRPr="00FB1AED" w:rsidRDefault="00693128" w:rsidP="00365FA3">
            <w:pPr>
              <w:jc w:val="center"/>
              <w:rPr>
                <w:rFonts w:ascii="Arial" w:eastAsia="Calibri" w:hAnsi="Arial" w:cs="Arial"/>
                <w:bCs/>
              </w:rPr>
            </w:pPr>
            <w:r w:rsidRPr="00FB1AED">
              <w:rPr>
                <w:rFonts w:ascii="Arial" w:eastAsia="Calibri" w:hAnsi="Arial" w:cs="Arial"/>
                <w:bCs/>
              </w:rPr>
              <w:t>Do not call more than 6 attempts.</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May be assigned after one attempt. May give final disposition after respondent or automated message informs that the number has been forwarded after multiple attempts. May give final disposition after series of beeps indicates a pager has been reached. If states use six attempts, give final disposition after recommendation for 3 calling occasions with 2 weekday, 2 weeknight, and 2 weekend calls for landline telephone.  Cellular telephone respondents may be called up to 6 times, with recommendations for 2 weekday, 2 weeknight, and 2 </w:t>
            </w:r>
            <w:r w:rsidRPr="00FB1AED">
              <w:rPr>
                <w:rFonts w:ascii="Arial" w:eastAsia="Calibri" w:hAnsi="Arial" w:cs="Arial"/>
                <w:bCs/>
              </w:rPr>
              <w:lastRenderedPageBreak/>
              <w:t>weekend attempts.</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4450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Cellular telephone</w:t>
            </w:r>
          </w:p>
          <w:p w:rsidR="00693128" w:rsidRPr="00FB1AED" w:rsidRDefault="00693128" w:rsidP="00365FA3">
            <w:pPr>
              <w:jc w:val="center"/>
              <w:rPr>
                <w:rFonts w:ascii="Arial" w:eastAsia="Calibri" w:hAnsi="Arial" w:cs="Arial"/>
                <w:bCs/>
              </w:rPr>
            </w:pPr>
            <w:r w:rsidRPr="00FB1AED">
              <w:rPr>
                <w:rFonts w:ascii="Arial" w:eastAsia="Calibri" w:hAnsi="Arial" w:cs="Arial"/>
                <w:bCs/>
              </w:rPr>
              <w:t>(landline telephone only)</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landline telephone sample number connects to cellular tele-phone or if sample indicates that a number in the landline telephone sample has been ported to a cellular telephone.</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r w:rsidRPr="00FB1AED">
              <w:rPr>
                <w:rFonts w:ascii="Arial" w:eastAsia="Calibri" w:hAnsi="Arial" w:cs="Arial"/>
                <w:bCs/>
              </w:rPr>
              <w:t>.</w:t>
            </w:r>
          </w:p>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Given final disposition when informed.  This disposition should take priority over other possible final dispositions for the landline telephone sample.  This disposition code should be pre-assigned to precall status code which indicates cellular telephone in the landline telephone sample.</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4460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Landline telephone</w:t>
            </w:r>
          </w:p>
          <w:p w:rsidR="00693128" w:rsidRPr="00FB1AED" w:rsidRDefault="00693128" w:rsidP="00365FA3">
            <w:pPr>
              <w:jc w:val="center"/>
              <w:rPr>
                <w:rFonts w:ascii="Arial" w:eastAsia="Calibri" w:hAnsi="Arial" w:cs="Arial"/>
                <w:bCs/>
              </w:rPr>
            </w:pPr>
            <w:r w:rsidRPr="00FB1AED">
              <w:rPr>
                <w:rFonts w:ascii="Arial" w:eastAsia="Calibri" w:hAnsi="Arial" w:cs="Arial"/>
                <w:bCs/>
              </w:rPr>
              <w:t>(cellular telephone only)</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cellular telephone sample number connects to a landline telephone.</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r w:rsidRPr="00FB1AED">
              <w:rPr>
                <w:rFonts w:ascii="Arial" w:eastAsia="Calibri" w:hAnsi="Arial" w:cs="Arial"/>
                <w:bCs/>
              </w:rPr>
              <w:t>.</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Given final disposition when informed.  This disposition should take priority over other possible final dispositions for the cellular telephone sample.</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4470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Cellular telephone respondent with landline telephone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cellular telephone respondent also has landline telephone and reports receiving less than 90% of all calls on cellular tele- phone.</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r w:rsidRPr="00FB1AED">
              <w:rPr>
                <w:rFonts w:ascii="Arial" w:eastAsia="Calibri" w:hAnsi="Arial" w:cs="Arial"/>
                <w:bCs/>
              </w:rPr>
              <w:t>.</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Given final disposition when informed.  This disposition should take priority over other possible final dispositions for the cell phone sample.</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4500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Non-residence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business, government, or other organization. For cellular tele–phone, assign if telephone is used exclusively for business purposes.</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Given final disposition when informed.  This disposition should take priority over other possible final dispositions.  This disposition should be assigned to numbers with a precall status of 5.</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4510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Group home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if respondent identifies number as reaching a group home, </w:t>
            </w:r>
            <w:r w:rsidRPr="00FB1AED">
              <w:rPr>
                <w:rFonts w:ascii="Arial" w:eastAsia="Calibri" w:hAnsi="Arial" w:cs="Arial"/>
                <w:bCs/>
              </w:rPr>
              <w:lastRenderedPageBreak/>
              <w:t>prison, halfway house, nursing home or hospital.  College dormitories, graduate student housing, sorority/fraternity housing, or other college provided housing is not defined as group home.  Persons living in college housing are eligible for interview.</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lastRenderedPageBreak/>
              <w:t xml:space="preserve">1-15 attempts </w:t>
            </w:r>
            <w:r>
              <w:rPr>
                <w:rFonts w:ascii="Arial" w:eastAsia="Calibri" w:hAnsi="Arial" w:cs="Arial"/>
                <w:bCs/>
              </w:rPr>
              <w:lastRenderedPageBreak/>
              <w:t xml:space="preserve">(landline)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 xml:space="preserve">Given final disposition when informed.  This disposition </w:t>
            </w:r>
            <w:r w:rsidRPr="00FB1AED">
              <w:rPr>
                <w:rFonts w:ascii="Arial" w:eastAsia="Calibri" w:hAnsi="Arial" w:cs="Arial"/>
                <w:bCs/>
              </w:rPr>
              <w:lastRenderedPageBreak/>
              <w:t>should take priority over other possible final dispositions.</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4700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Household, no eligible respondent</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child telephone (landline telephone or cellular telephone).  Assign if landline telephone household without eligible respondent.</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Given final disposition when informed.  This disposition should take priority over other possible final dispositions.</w:t>
            </w:r>
          </w:p>
        </w:tc>
      </w:tr>
      <w:tr w:rsidR="00693128" w:rsidRPr="00FB1AED" w:rsidTr="00365FA3">
        <w:trPr>
          <w:trHeight w:val="753"/>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4900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 xml:space="preserve">Miscellaneous, </w:t>
            </w:r>
            <w:r w:rsidRPr="00FB1AED">
              <w:rPr>
                <w:rFonts w:ascii="Arial" w:eastAsia="Calibri" w:hAnsi="Arial" w:cs="Arial"/>
                <w:bCs/>
              </w:rPr>
              <w:br/>
              <w:t>non-eligible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for null numbers, special data circumstances only. May be assigned if data are believed by state coordinator or data collection supervisor to be falsified or in error. Notify CDC when this code is used.</w:t>
            </w:r>
          </w:p>
        </w:tc>
        <w:tc>
          <w:tcPr>
            <w:tcW w:w="1551" w:type="dxa"/>
            <w:vAlign w:val="center"/>
          </w:tcPr>
          <w:p w:rsidR="00693128" w:rsidRDefault="00693128" w:rsidP="00365FA3">
            <w:pPr>
              <w:jc w:val="center"/>
              <w:rPr>
                <w:rFonts w:ascii="Arial" w:eastAsia="Calibri" w:hAnsi="Arial" w:cs="Arial"/>
                <w:bCs/>
              </w:rPr>
            </w:pPr>
            <w:r>
              <w:rPr>
                <w:rFonts w:ascii="Arial" w:eastAsia="Calibri" w:hAnsi="Arial" w:cs="Arial"/>
                <w:bCs/>
              </w:rPr>
              <w:t xml:space="preserve">1-15 attempts (landline) </w:t>
            </w:r>
          </w:p>
          <w:p w:rsidR="00693128" w:rsidRPr="00FB1AED" w:rsidRDefault="00693128" w:rsidP="00365FA3">
            <w:pPr>
              <w:jc w:val="center"/>
              <w:rPr>
                <w:rFonts w:ascii="Arial" w:eastAsia="Calibri" w:hAnsi="Arial" w:cs="Arial"/>
                <w:bCs/>
              </w:rPr>
            </w:pPr>
            <w:r>
              <w:rPr>
                <w:rFonts w:ascii="Arial" w:eastAsia="Calibri" w:hAnsi="Arial" w:cs="Arial"/>
                <w:bCs/>
              </w:rPr>
              <w:t>1-8 attempts (cell phone)</w:t>
            </w: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May be assigned after one attempt. Assign only with supervisor approval.</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5050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Unknown whether eligible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Respondent hangs up or refuses before establishing eligibility. The state location question is not needed to establish eligibility for </w:t>
            </w:r>
            <w:proofErr w:type="gramStart"/>
            <w:r w:rsidRPr="00FB1AED">
              <w:rPr>
                <w:rFonts w:ascii="Arial" w:eastAsia="Calibri" w:hAnsi="Arial" w:cs="Arial"/>
                <w:bCs/>
              </w:rPr>
              <w:t>cellular  telephone</w:t>
            </w:r>
            <w:proofErr w:type="gramEnd"/>
            <w:r w:rsidRPr="00FB1AED">
              <w:rPr>
                <w:rFonts w:ascii="Arial" w:eastAsia="Calibri" w:hAnsi="Arial" w:cs="Arial"/>
                <w:bCs/>
              </w:rPr>
              <w:t xml:space="preserve"> respondents.</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 interim disposition when this occurs.  Call back after an interval of at least one day until maximum call attempts are reached.</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5100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Appointment</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Respondent asks for an appointment or asked to be called at some other time. Assign if child answers the phone and does not get an adult to come to the phone.  Appointments may be formal or informal statements that the respondent is temporarily not able to complete the interview from household members or selected respondent.</w:t>
            </w:r>
          </w:p>
        </w:tc>
        <w:tc>
          <w:tcPr>
            <w:tcW w:w="1551" w:type="dxa"/>
            <w:vAlign w:val="center"/>
          </w:tcPr>
          <w:p w:rsidR="00693128" w:rsidRPr="00FB1AED" w:rsidRDefault="00693128" w:rsidP="00365FA3">
            <w:pPr>
              <w:jc w:val="center"/>
              <w:rPr>
                <w:rFonts w:ascii="Arial" w:eastAsia="Calibri" w:hAnsi="Arial" w:cs="Arial"/>
                <w:bCs/>
              </w:rPr>
            </w:pP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Schedule a callback for appropriate time.</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5111</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Household level refusal</w:t>
            </w:r>
          </w:p>
          <w:p w:rsidR="00693128" w:rsidRPr="00FB1AED" w:rsidRDefault="00693128" w:rsidP="00365FA3">
            <w:pPr>
              <w:jc w:val="center"/>
              <w:rPr>
                <w:rFonts w:ascii="Arial" w:eastAsia="Calibri" w:hAnsi="Arial" w:cs="Arial"/>
                <w:bCs/>
              </w:rPr>
            </w:pPr>
            <w:r w:rsidRPr="00FB1AED">
              <w:rPr>
                <w:rFonts w:ascii="Arial" w:eastAsia="Calibri" w:hAnsi="Arial" w:cs="Arial"/>
                <w:bCs/>
              </w:rPr>
              <w:t>(landline telephone only)</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for landline telephone only if refusal after confirmation of reaching household phone line used by adults in correct state but before core BRFSS Q1 in landline telephone. Refusal can be from any member of the household (note: if refusal by selected respondent, use code 2112). Automated messages should not count as refusals.</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 interim disposition when this situation occurs.  Call back after an interval of at least one day. May assign final disposition of 2111 if hard refusal.</w:t>
            </w:r>
          </w:p>
        </w:tc>
      </w:tr>
      <w:tr w:rsidR="00693128" w:rsidRPr="00FB1AED" w:rsidTr="00365FA3">
        <w:trPr>
          <w:trHeight w:val="323"/>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5112</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Selected Respondent refusal: hang up or termination</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refusal by selected respondent before Core BRFSS Q1 in landline telephone. Automated messages should not count as refusals. Assign if cellular telephone respondent refuses after number determined to be personal (nonbusiness) phone and respondent confirms living in private residence or college housing.</w:t>
            </w:r>
          </w:p>
        </w:tc>
        <w:tc>
          <w:tcPr>
            <w:tcW w:w="1551" w:type="dxa"/>
            <w:vAlign w:val="center"/>
          </w:tcPr>
          <w:p w:rsidR="00693128" w:rsidRPr="00FB1AED" w:rsidRDefault="00693128" w:rsidP="00365FA3">
            <w:pPr>
              <w:jc w:val="center"/>
              <w:rPr>
                <w:rFonts w:ascii="Arial" w:eastAsia="Calibri" w:hAnsi="Arial" w:cs="Arial"/>
                <w:bCs/>
              </w:rPr>
            </w:pP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Give interim disposition.  Schedule callback for as long as practical for up to two weeks after initial refusal.</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5120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Break off / termination in questionnaire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after respondent completes through Core BRFSS Q1 with an answer other than “don’t know/not sure” or “refused” but breaks off prior to end of demographic section.</w:t>
            </w:r>
          </w:p>
        </w:tc>
        <w:tc>
          <w:tcPr>
            <w:tcW w:w="1551" w:type="dxa"/>
            <w:vAlign w:val="center"/>
          </w:tcPr>
          <w:p w:rsidR="00693128" w:rsidRPr="00FB1AED" w:rsidRDefault="00693128" w:rsidP="00365FA3">
            <w:pPr>
              <w:jc w:val="center"/>
              <w:rPr>
                <w:rFonts w:ascii="Arial" w:eastAsia="Calibri" w:hAnsi="Arial" w:cs="Arial"/>
                <w:bCs/>
              </w:rPr>
            </w:pP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Give interim disposition when this situation occurs.  Call back after an interval of at least one day.</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5121</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Call dropped</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for cellular telephone respondent if call is dropped.</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 interim disposition when this situation occurs.  Call back may occur immediately or rescheduled after an interval of one hour.</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5130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No answer</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number rings normally without answer. Assign if number reaches mailbox that has not yet been set up.</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 xml:space="preserve">Give interim disposition when this occurs.  Call back after an interval of at least one hour until maximum call </w:t>
            </w:r>
            <w:r w:rsidRPr="00FB1AED">
              <w:rPr>
                <w:rFonts w:ascii="Arial" w:eastAsia="Calibri" w:hAnsi="Arial" w:cs="Arial"/>
                <w:bCs/>
              </w:rPr>
              <w:lastRenderedPageBreak/>
              <w:t>attempts are reached.</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5140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Answering device, unknown whether eligible</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ONLY if it is possible to leave a message or if a mailbox is full or not yet established. Assign if answering device leaves open the possibility that the telephone number is not a residence or that the respondent is not eligible due to age.  Assign for cellular telephone answering devices that may not be eligible.</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 interim disposition when this occurs.  Call back after an interval of at least one hour until maximum call attempts are reached.</w:t>
            </w:r>
          </w:p>
          <w:p w:rsidR="00693128" w:rsidRPr="00FB1AED" w:rsidRDefault="00693128" w:rsidP="00365FA3">
            <w:pPr>
              <w:rPr>
                <w:rFonts w:ascii="Arial" w:eastAsia="Calibri" w:hAnsi="Arial" w:cs="Arial"/>
                <w:bCs/>
              </w:rPr>
            </w:pP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5150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Telecommunication barrier</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call blocking, call ID requirements or other respondent initiated block device leaves open the possibility of the number reaching an eligible household and/or respondent. Assign if call forwarded to other number and there is some potential for reaching household or actual respondent at later time.</w:t>
            </w:r>
          </w:p>
        </w:tc>
        <w:tc>
          <w:tcPr>
            <w:tcW w:w="1551" w:type="dxa"/>
            <w:vAlign w:val="center"/>
          </w:tcPr>
          <w:p w:rsidR="00693128" w:rsidRPr="00FB1AED" w:rsidRDefault="00693128" w:rsidP="00365FA3">
            <w:pPr>
              <w:jc w:val="center"/>
              <w:rPr>
                <w:rFonts w:ascii="Arial" w:eastAsia="Calibri" w:hAnsi="Arial" w:cs="Arial"/>
                <w:bCs/>
              </w:rPr>
            </w:pP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Give interim disposition when this occurs.  Call back after an interval of at least one hour until maximum call attempts are reached.</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5200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Fax/data/modem</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number connects to data or fax line without human contact.</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States may assign final disposition of 4200 at any attempt, including the first attempt. If states choose to call up to six attempts, give interim disposition and schedule callback after an interval of at least one day.</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5220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Answering device, confirms residence</w:t>
            </w:r>
          </w:p>
          <w:p w:rsidR="00693128" w:rsidRPr="00FB1AED" w:rsidRDefault="00693128" w:rsidP="00365FA3">
            <w:pPr>
              <w:jc w:val="center"/>
              <w:rPr>
                <w:rFonts w:ascii="Arial" w:eastAsia="Calibri" w:hAnsi="Arial" w:cs="Arial"/>
                <w:bCs/>
              </w:rPr>
            </w:pPr>
            <w:r w:rsidRPr="00FB1AED">
              <w:rPr>
                <w:rFonts w:ascii="Arial" w:eastAsia="Calibri" w:hAnsi="Arial" w:cs="Arial"/>
                <w:bCs/>
              </w:rPr>
              <w:t>(landline telephone only)</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The answering device gives a message confirming private residence by using the words “home,” “family,” “residence,” or “house” (landline telephone only).  </w:t>
            </w:r>
            <w:r w:rsidRPr="00FB1AED">
              <w:rPr>
                <w:rFonts w:ascii="Arial" w:eastAsia="Calibri" w:hAnsi="Arial" w:cs="Arial"/>
                <w:bCs/>
              </w:rPr>
              <w:lastRenderedPageBreak/>
              <w:t>Due to potential for cellular tele-phone answering devices to be out-of-sample and/or not be connected to eligible respondents, do not assign this code to cell phone sample numbers.</w:t>
            </w:r>
          </w:p>
        </w:tc>
        <w:tc>
          <w:tcPr>
            <w:tcW w:w="1551" w:type="dxa"/>
            <w:vAlign w:val="center"/>
          </w:tcPr>
          <w:p w:rsidR="00693128" w:rsidRPr="00FB1AED" w:rsidRDefault="00693128" w:rsidP="00365FA3">
            <w:pPr>
              <w:jc w:val="center"/>
              <w:rPr>
                <w:rFonts w:ascii="Arial" w:eastAsia="Calibri" w:hAnsi="Arial" w:cs="Arial"/>
                <w:bCs/>
              </w:rPr>
            </w:pP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Give interim disposition when this occurs.  Call back after an interval of at least one hour until maximum call attempts are reached.</w:t>
            </w:r>
          </w:p>
          <w:p w:rsidR="00693128" w:rsidRPr="00FB1AED" w:rsidRDefault="00693128" w:rsidP="00365FA3">
            <w:pPr>
              <w:jc w:val="center"/>
              <w:rPr>
                <w:rFonts w:ascii="Arial" w:eastAsia="Calibri" w:hAnsi="Arial" w:cs="Arial"/>
                <w:bCs/>
              </w:rPr>
            </w:pP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5300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Possible nonworking</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if </w:t>
            </w:r>
            <w:r>
              <w:rPr>
                <w:rFonts w:ascii="Arial" w:eastAsia="Calibri" w:hAnsi="Arial" w:cs="Arial"/>
                <w:bCs/>
              </w:rPr>
              <w:t>message</w:t>
            </w:r>
            <w:r w:rsidRPr="00FB1AED">
              <w:rPr>
                <w:rFonts w:ascii="Arial" w:eastAsia="Calibri" w:hAnsi="Arial" w:cs="Arial"/>
                <w:bCs/>
              </w:rPr>
              <w:t xml:space="preserve"> indicates number might be nonworking. Assign if recorded message indicates number is temporarily out of service.  Assign if message indicates telephone number cannot be reached at this time. Assign if recording indicates that the number is for outgoing calls only (such as a hospital line for outgoing calls only).</w:t>
            </w:r>
          </w:p>
        </w:tc>
        <w:tc>
          <w:tcPr>
            <w:tcW w:w="1551" w:type="dxa"/>
            <w:vAlign w:val="center"/>
          </w:tcPr>
          <w:p w:rsidR="00693128" w:rsidRPr="00FB1AED" w:rsidRDefault="00693128" w:rsidP="00365FA3">
            <w:pPr>
              <w:jc w:val="center"/>
              <w:rPr>
                <w:rFonts w:ascii="Arial" w:eastAsia="Calibri" w:hAnsi="Arial" w:cs="Arial"/>
                <w:bCs/>
              </w:rPr>
            </w:pP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States may assign final disposition of 4300 at any attempt including the first attempt. If states choose to call up to six attempts, give interim disposition and schedule callback after an interval of at least one hour.</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5320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Physical or mental impairment</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 household respondent or selected respondent is temporarily unable to be interviewed due to physical or mental impairment. NOTE: If </w:t>
            </w:r>
            <w:r w:rsidRPr="00FB1AED">
              <w:rPr>
                <w:rFonts w:ascii="Arial" w:eastAsia="Calibri" w:hAnsi="Arial" w:cs="Arial"/>
                <w:bCs/>
                <w:u w:val="single"/>
              </w:rPr>
              <w:t>selected respondent</w:t>
            </w:r>
            <w:r w:rsidRPr="00FB1AED">
              <w:rPr>
                <w:rFonts w:ascii="Arial" w:eastAsia="Calibri" w:hAnsi="Arial" w:cs="Arial"/>
                <w:bCs/>
              </w:rPr>
              <w:t xml:space="preserve"> has permanent physical or mental impairment that renders him/her unable to complete the interview, assign final disposition of 2320 (physical or mental impairment) as soon as informed.</w:t>
            </w:r>
          </w:p>
        </w:tc>
        <w:tc>
          <w:tcPr>
            <w:tcW w:w="1551" w:type="dxa"/>
            <w:vAlign w:val="center"/>
          </w:tcPr>
          <w:p w:rsidR="00693128" w:rsidRPr="00FB1AED" w:rsidRDefault="00693128" w:rsidP="00365FA3">
            <w:pPr>
              <w:jc w:val="center"/>
              <w:rPr>
                <w:rFonts w:ascii="Arial" w:eastAsia="Calibri" w:hAnsi="Arial" w:cs="Arial"/>
                <w:bCs/>
              </w:rPr>
            </w:pP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Give interim disposition when this occurs.  Call back after an interval of at least one day until maximum call attempts are reached.</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5330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Language barrier</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a respondent who is not the selected respondent does not speak English or other language for which an interviewer is available.</w:t>
            </w:r>
          </w:p>
          <w:p w:rsidR="00693128" w:rsidRPr="00FB1AED" w:rsidRDefault="00693128" w:rsidP="00365FA3">
            <w:pPr>
              <w:rPr>
                <w:rFonts w:ascii="Arial" w:eastAsia="Calibri" w:hAnsi="Arial" w:cs="Arial"/>
                <w:bCs/>
              </w:rPr>
            </w:pPr>
            <w:r w:rsidRPr="00FB1AED">
              <w:rPr>
                <w:rFonts w:ascii="Arial" w:eastAsia="Calibri" w:hAnsi="Arial" w:cs="Arial"/>
                <w:bCs/>
              </w:rPr>
              <w:t xml:space="preserve">(NOTE: If </w:t>
            </w:r>
            <w:r w:rsidRPr="00FB1AED">
              <w:rPr>
                <w:rFonts w:ascii="Arial" w:eastAsia="Calibri" w:hAnsi="Arial" w:cs="Arial"/>
                <w:bCs/>
                <w:u w:val="single"/>
              </w:rPr>
              <w:t>selected respondent</w:t>
            </w:r>
            <w:r w:rsidRPr="00FB1AED">
              <w:rPr>
                <w:rFonts w:ascii="Arial" w:eastAsia="Calibri" w:hAnsi="Arial" w:cs="Arial"/>
                <w:bCs/>
              </w:rPr>
              <w:t xml:space="preserve"> does not speak English or language for which there is an interviewer available, give final disposition of 2330 as soon as informed.)</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 interim disposition when this occurs.  Call back after an interval of at least one day until maximum call attempts are reached.</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lastRenderedPageBreak/>
              <w:t>5400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Technological barrier</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fast busy or circuit busy messages. Assign if ambiguous operator messages. Assign if poor audio quality. Assign if number does not connect. Assign if cell phone respondent is outside calling area. Assign if respondent is unable to receive calls.  DO NOT assign if answering device (which permits leaving messages) is reached.</w:t>
            </w:r>
          </w:p>
        </w:tc>
        <w:tc>
          <w:tcPr>
            <w:tcW w:w="1551" w:type="dxa"/>
            <w:vAlign w:val="center"/>
          </w:tcPr>
          <w:p w:rsidR="00693128" w:rsidRPr="00FB1AED" w:rsidRDefault="00693128" w:rsidP="00365FA3">
            <w:pPr>
              <w:jc w:val="center"/>
              <w:rPr>
                <w:rFonts w:ascii="Arial" w:eastAsia="Calibri" w:hAnsi="Arial" w:cs="Arial"/>
                <w:bCs/>
              </w:rPr>
            </w:pPr>
          </w:p>
        </w:tc>
        <w:tc>
          <w:tcPr>
            <w:tcW w:w="3358"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States may assign final disposition of 4400 at any attempt.  If states choose to call up to six attempts, give interim disposition and schedule callback after an interval of at least one day.</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5550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Busy</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number produces normal busy (not fast busy) signal.</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States may assign final disposition of 4400 at any attempt. If states choose to call up to six attempts, give interim disposition and schedule callback after an interval of at least one hour.</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5560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Unsafe location/ activity for interview</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 xml:space="preserve">Assign if respondent indicates </w:t>
            </w:r>
            <w:proofErr w:type="gramStart"/>
            <w:r w:rsidRPr="00FB1AED">
              <w:rPr>
                <w:rFonts w:ascii="Arial" w:eastAsia="Calibri" w:hAnsi="Arial" w:cs="Arial"/>
                <w:bCs/>
              </w:rPr>
              <w:t>he/she</w:t>
            </w:r>
            <w:proofErr w:type="gramEnd"/>
            <w:r w:rsidRPr="00FB1AED">
              <w:rPr>
                <w:rFonts w:ascii="Arial" w:eastAsia="Calibri" w:hAnsi="Arial" w:cs="Arial"/>
                <w:bCs/>
              </w:rPr>
              <w:t xml:space="preserve"> unable to continue due to safety concerns. May be assigned to numbers in cellular telephone or landline telephone sample.</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Give interim disposition when this occurs.  Schedule a callback time or call back after an interval of at least one hour until maximum call attempts are reached.</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5700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Supervisor attention</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if special circumstances require supervisor attention</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Assign only for special circumstances.</w:t>
            </w:r>
          </w:p>
        </w:tc>
      </w:tr>
      <w:tr w:rsidR="00693128" w:rsidRPr="00FB1AED" w:rsidTr="00365FA3">
        <w:trPr>
          <w:trHeight w:val="75"/>
        </w:trPr>
        <w:tc>
          <w:tcPr>
            <w:tcW w:w="1534"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5900</w:t>
            </w:r>
          </w:p>
        </w:tc>
        <w:tc>
          <w:tcPr>
            <w:tcW w:w="2875" w:type="dxa"/>
            <w:vAlign w:val="center"/>
          </w:tcPr>
          <w:p w:rsidR="00693128" w:rsidRPr="00FB1AED" w:rsidRDefault="00693128" w:rsidP="00365FA3">
            <w:pPr>
              <w:jc w:val="center"/>
              <w:rPr>
                <w:rFonts w:ascii="Arial" w:eastAsia="Calibri" w:hAnsi="Arial" w:cs="Arial"/>
                <w:bCs/>
              </w:rPr>
            </w:pPr>
            <w:r w:rsidRPr="00FB1AED">
              <w:rPr>
                <w:rFonts w:ascii="Arial" w:eastAsia="Calibri" w:hAnsi="Arial" w:cs="Arial"/>
                <w:bCs/>
              </w:rPr>
              <w:t>Null attempt</w:t>
            </w:r>
          </w:p>
        </w:tc>
        <w:tc>
          <w:tcPr>
            <w:tcW w:w="4119" w:type="dxa"/>
            <w:vAlign w:val="center"/>
          </w:tcPr>
          <w:p w:rsidR="00693128" w:rsidRPr="00FB1AED" w:rsidRDefault="00693128" w:rsidP="00365FA3">
            <w:pPr>
              <w:rPr>
                <w:rFonts w:ascii="Arial" w:eastAsia="Calibri" w:hAnsi="Arial" w:cs="Arial"/>
                <w:bCs/>
              </w:rPr>
            </w:pPr>
            <w:r w:rsidRPr="00FB1AED">
              <w:rPr>
                <w:rFonts w:ascii="Arial" w:eastAsia="Calibri" w:hAnsi="Arial" w:cs="Arial"/>
                <w:bCs/>
              </w:rPr>
              <w:t>Assign only with supervisor approval for special data circumstances.</w:t>
            </w:r>
          </w:p>
        </w:tc>
        <w:tc>
          <w:tcPr>
            <w:tcW w:w="1551" w:type="dxa"/>
            <w:vAlign w:val="center"/>
          </w:tcPr>
          <w:p w:rsidR="00693128" w:rsidRPr="00FB1AED" w:rsidRDefault="00693128" w:rsidP="00365FA3">
            <w:pPr>
              <w:jc w:val="center"/>
              <w:rPr>
                <w:rFonts w:ascii="Arial" w:eastAsia="Calibri" w:hAnsi="Arial" w:cs="Arial"/>
                <w:bCs/>
              </w:rPr>
            </w:pPr>
          </w:p>
        </w:tc>
        <w:tc>
          <w:tcPr>
            <w:tcW w:w="3358" w:type="dxa"/>
          </w:tcPr>
          <w:p w:rsidR="00693128" w:rsidRPr="00FB1AED" w:rsidRDefault="00693128" w:rsidP="00365FA3">
            <w:pPr>
              <w:rPr>
                <w:rFonts w:ascii="Arial" w:eastAsia="Calibri" w:hAnsi="Arial" w:cs="Arial"/>
                <w:bCs/>
              </w:rPr>
            </w:pPr>
            <w:r w:rsidRPr="00FB1AED">
              <w:rPr>
                <w:rFonts w:ascii="Arial" w:eastAsia="Calibri" w:hAnsi="Arial" w:cs="Arial"/>
                <w:bCs/>
              </w:rPr>
              <w:t>Assign only with supervisor approval for special data circumstances.</w:t>
            </w:r>
          </w:p>
        </w:tc>
      </w:tr>
    </w:tbl>
    <w:p w:rsidR="00693128" w:rsidRPr="00FB1AED" w:rsidRDefault="00693128" w:rsidP="00693128">
      <w:pPr>
        <w:rPr>
          <w:rFonts w:ascii="Arial" w:eastAsia="Calibri" w:hAnsi="Arial" w:cs="Arial"/>
          <w:bCs/>
        </w:rPr>
      </w:pPr>
    </w:p>
    <w:p w:rsidR="0059620B" w:rsidRDefault="0059620B"/>
    <w:sectPr w:rsidR="0059620B" w:rsidSect="00693128">
      <w:headerReference w:type="default" r:id="rId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D2B" w:rsidRDefault="000F0D2B" w:rsidP="000F0D2B">
      <w:r>
        <w:separator/>
      </w:r>
    </w:p>
  </w:endnote>
  <w:endnote w:type="continuationSeparator" w:id="0">
    <w:p w:rsidR="000F0D2B" w:rsidRDefault="000F0D2B" w:rsidP="000F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D2B" w:rsidRDefault="000F0D2B" w:rsidP="000F0D2B">
      <w:r>
        <w:separator/>
      </w:r>
    </w:p>
  </w:footnote>
  <w:footnote w:type="continuationSeparator" w:id="0">
    <w:p w:rsidR="000F0D2B" w:rsidRDefault="000F0D2B" w:rsidP="000F0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2B" w:rsidRDefault="000F0D2B" w:rsidP="000F0D2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128"/>
    <w:rsid w:val="000F0D2B"/>
    <w:rsid w:val="00387D59"/>
    <w:rsid w:val="004301ED"/>
    <w:rsid w:val="004410CA"/>
    <w:rsid w:val="0059620B"/>
    <w:rsid w:val="00693128"/>
    <w:rsid w:val="006C5EE7"/>
    <w:rsid w:val="008C3C6B"/>
    <w:rsid w:val="009E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128"/>
    <w:rPr>
      <w:sz w:val="24"/>
      <w:szCs w:val="24"/>
    </w:rPr>
  </w:style>
  <w:style w:type="paragraph" w:styleId="Heading1">
    <w:name w:val="heading 1"/>
    <w:basedOn w:val="Normal"/>
    <w:next w:val="Normal"/>
    <w:link w:val="Heading1Char"/>
    <w:qFormat/>
    <w:rsid w:val="006931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12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693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6931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rsid w:val="000F0D2B"/>
    <w:pPr>
      <w:tabs>
        <w:tab w:val="center" w:pos="4680"/>
        <w:tab w:val="right" w:pos="9360"/>
      </w:tabs>
    </w:pPr>
  </w:style>
  <w:style w:type="character" w:customStyle="1" w:styleId="HeaderChar">
    <w:name w:val="Header Char"/>
    <w:basedOn w:val="DefaultParagraphFont"/>
    <w:link w:val="Header"/>
    <w:rsid w:val="000F0D2B"/>
    <w:rPr>
      <w:sz w:val="24"/>
      <w:szCs w:val="24"/>
    </w:rPr>
  </w:style>
  <w:style w:type="paragraph" w:styleId="Footer">
    <w:name w:val="footer"/>
    <w:basedOn w:val="Normal"/>
    <w:link w:val="FooterChar"/>
    <w:rsid w:val="000F0D2B"/>
    <w:pPr>
      <w:tabs>
        <w:tab w:val="center" w:pos="4680"/>
        <w:tab w:val="right" w:pos="9360"/>
      </w:tabs>
    </w:pPr>
  </w:style>
  <w:style w:type="character" w:customStyle="1" w:styleId="FooterChar">
    <w:name w:val="Footer Char"/>
    <w:basedOn w:val="DefaultParagraphFont"/>
    <w:link w:val="Footer"/>
    <w:rsid w:val="000F0D2B"/>
    <w:rPr>
      <w:sz w:val="24"/>
      <w:szCs w:val="24"/>
    </w:rPr>
  </w:style>
  <w:style w:type="paragraph" w:styleId="BalloonText">
    <w:name w:val="Balloon Text"/>
    <w:basedOn w:val="Normal"/>
    <w:link w:val="BalloonTextChar"/>
    <w:rsid w:val="000F0D2B"/>
    <w:rPr>
      <w:rFonts w:ascii="Tahoma" w:hAnsi="Tahoma" w:cs="Tahoma"/>
      <w:sz w:val="16"/>
      <w:szCs w:val="16"/>
    </w:rPr>
  </w:style>
  <w:style w:type="character" w:customStyle="1" w:styleId="BalloonTextChar">
    <w:name w:val="Balloon Text Char"/>
    <w:basedOn w:val="DefaultParagraphFont"/>
    <w:link w:val="BalloonText"/>
    <w:rsid w:val="000F0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128"/>
    <w:rPr>
      <w:sz w:val="24"/>
      <w:szCs w:val="24"/>
    </w:rPr>
  </w:style>
  <w:style w:type="paragraph" w:styleId="Heading1">
    <w:name w:val="heading 1"/>
    <w:basedOn w:val="Normal"/>
    <w:next w:val="Normal"/>
    <w:link w:val="Heading1Char"/>
    <w:qFormat/>
    <w:rsid w:val="006931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12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693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6931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rsid w:val="000F0D2B"/>
    <w:pPr>
      <w:tabs>
        <w:tab w:val="center" w:pos="4680"/>
        <w:tab w:val="right" w:pos="9360"/>
      </w:tabs>
    </w:pPr>
  </w:style>
  <w:style w:type="character" w:customStyle="1" w:styleId="HeaderChar">
    <w:name w:val="Header Char"/>
    <w:basedOn w:val="DefaultParagraphFont"/>
    <w:link w:val="Header"/>
    <w:rsid w:val="000F0D2B"/>
    <w:rPr>
      <w:sz w:val="24"/>
      <w:szCs w:val="24"/>
    </w:rPr>
  </w:style>
  <w:style w:type="paragraph" w:styleId="Footer">
    <w:name w:val="footer"/>
    <w:basedOn w:val="Normal"/>
    <w:link w:val="FooterChar"/>
    <w:rsid w:val="000F0D2B"/>
    <w:pPr>
      <w:tabs>
        <w:tab w:val="center" w:pos="4680"/>
        <w:tab w:val="right" w:pos="9360"/>
      </w:tabs>
    </w:pPr>
  </w:style>
  <w:style w:type="character" w:customStyle="1" w:styleId="FooterChar">
    <w:name w:val="Footer Char"/>
    <w:basedOn w:val="DefaultParagraphFont"/>
    <w:link w:val="Footer"/>
    <w:rsid w:val="000F0D2B"/>
    <w:rPr>
      <w:sz w:val="24"/>
      <w:szCs w:val="24"/>
    </w:rPr>
  </w:style>
  <w:style w:type="paragraph" w:styleId="BalloonText">
    <w:name w:val="Balloon Text"/>
    <w:basedOn w:val="Normal"/>
    <w:link w:val="BalloonTextChar"/>
    <w:rsid w:val="000F0D2B"/>
    <w:rPr>
      <w:rFonts w:ascii="Tahoma" w:hAnsi="Tahoma" w:cs="Tahoma"/>
      <w:sz w:val="16"/>
      <w:szCs w:val="16"/>
    </w:rPr>
  </w:style>
  <w:style w:type="character" w:customStyle="1" w:styleId="BalloonTextChar">
    <w:name w:val="Balloon Text Char"/>
    <w:basedOn w:val="DefaultParagraphFont"/>
    <w:link w:val="BalloonText"/>
    <w:rsid w:val="000F0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4086</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2014-08-27T13:37:00Z</dcterms:created>
  <dcterms:modified xsi:type="dcterms:W3CDTF">2014-12-04T22:51:00Z</dcterms:modified>
</cp:coreProperties>
</file>