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D44A" w14:textId="77777777" w:rsidR="00E34861" w:rsidRPr="003650DA" w:rsidRDefault="000526FB" w:rsidP="009F7507">
      <w:pPr>
        <w:spacing w:after="0" w:line="240" w:lineRule="auto"/>
        <w:jc w:val="center"/>
        <w:rPr>
          <w:b/>
          <w:sz w:val="28"/>
          <w:szCs w:val="28"/>
        </w:rPr>
      </w:pPr>
      <w:r w:rsidRPr="003650DA">
        <w:rPr>
          <w:b/>
          <w:sz w:val="28"/>
          <w:szCs w:val="28"/>
        </w:rPr>
        <w:t>Generic Information Collection (</w:t>
      </w:r>
      <w:proofErr w:type="spellStart"/>
      <w:r w:rsidRPr="003650DA">
        <w:rPr>
          <w:b/>
          <w:sz w:val="28"/>
          <w:szCs w:val="28"/>
        </w:rPr>
        <w:t>GenIC</w:t>
      </w:r>
      <w:proofErr w:type="spellEnd"/>
      <w:r w:rsidRPr="003650DA">
        <w:rPr>
          <w:b/>
          <w:sz w:val="28"/>
          <w:szCs w:val="28"/>
        </w:rPr>
        <w:t xml:space="preserve">) </w:t>
      </w:r>
      <w:r w:rsidR="00A73148" w:rsidRPr="003650DA">
        <w:rPr>
          <w:b/>
          <w:sz w:val="28"/>
          <w:szCs w:val="28"/>
        </w:rPr>
        <w:t>Submitt</w:t>
      </w:r>
      <w:r w:rsidR="00BB5A4C" w:rsidRPr="003650DA">
        <w:rPr>
          <w:b/>
          <w:sz w:val="28"/>
          <w:szCs w:val="28"/>
        </w:rPr>
        <w:t>al Form</w:t>
      </w:r>
      <w:r w:rsidR="00A73148" w:rsidRPr="003650DA">
        <w:rPr>
          <w:b/>
          <w:sz w:val="28"/>
          <w:szCs w:val="28"/>
        </w:rPr>
        <w:t xml:space="preserve"> for </w:t>
      </w:r>
    </w:p>
    <w:p w14:paraId="18E6D2A2" w14:textId="77777777" w:rsidR="00990609" w:rsidRPr="003650DA" w:rsidRDefault="00A73148">
      <w:pPr>
        <w:spacing w:after="0" w:line="240" w:lineRule="auto"/>
        <w:jc w:val="center"/>
        <w:rPr>
          <w:b/>
          <w:sz w:val="28"/>
          <w:szCs w:val="28"/>
        </w:rPr>
      </w:pPr>
      <w:r w:rsidRPr="003650DA">
        <w:rPr>
          <w:b/>
          <w:sz w:val="28"/>
          <w:szCs w:val="28"/>
        </w:rPr>
        <w:t>OMB Rev</w:t>
      </w:r>
      <w:r w:rsidR="002268E8" w:rsidRPr="003650DA">
        <w:rPr>
          <w:b/>
          <w:sz w:val="28"/>
          <w:szCs w:val="28"/>
        </w:rPr>
        <w:t xml:space="preserve">iew of </w:t>
      </w:r>
      <w:r w:rsidR="00C8371F" w:rsidRPr="003650DA">
        <w:rPr>
          <w:b/>
          <w:sz w:val="28"/>
          <w:szCs w:val="28"/>
        </w:rPr>
        <w:t xml:space="preserve">ATSDR </w:t>
      </w:r>
      <w:r w:rsidR="002268E8" w:rsidRPr="003650DA">
        <w:rPr>
          <w:b/>
          <w:sz w:val="28"/>
          <w:szCs w:val="28"/>
        </w:rPr>
        <w:t>Exposure Investigation</w:t>
      </w:r>
      <w:r w:rsidR="00BB5A4C" w:rsidRPr="003650DA">
        <w:rPr>
          <w:b/>
          <w:sz w:val="28"/>
          <w:szCs w:val="28"/>
        </w:rPr>
        <w:t>s</w:t>
      </w:r>
      <w:r w:rsidR="002268E8" w:rsidRPr="003650DA">
        <w:rPr>
          <w:b/>
          <w:sz w:val="28"/>
          <w:szCs w:val="28"/>
        </w:rPr>
        <w:t xml:space="preserve"> (EI</w:t>
      </w:r>
      <w:r w:rsidR="00BB5A4C" w:rsidRPr="003650DA">
        <w:rPr>
          <w:b/>
          <w:sz w:val="28"/>
          <w:szCs w:val="28"/>
        </w:rPr>
        <w:t>s</w:t>
      </w:r>
      <w:r w:rsidR="002268E8" w:rsidRPr="003650DA">
        <w:rPr>
          <w:b/>
          <w:sz w:val="28"/>
          <w:szCs w:val="28"/>
        </w:rPr>
        <w:t xml:space="preserve">) </w:t>
      </w:r>
      <w:r w:rsidR="00990609" w:rsidRPr="003650DA">
        <w:rPr>
          <w:b/>
          <w:sz w:val="28"/>
          <w:szCs w:val="28"/>
        </w:rPr>
        <w:t>(0923-004</w:t>
      </w:r>
      <w:r w:rsidR="00066D15" w:rsidRPr="003650DA">
        <w:rPr>
          <w:b/>
          <w:sz w:val="28"/>
          <w:szCs w:val="28"/>
        </w:rPr>
        <w:t>8</w:t>
      </w:r>
      <w:r w:rsidR="00990609" w:rsidRPr="003650DA">
        <w:rPr>
          <w:b/>
          <w:sz w:val="28"/>
          <w:szCs w:val="28"/>
        </w:rPr>
        <w:t>)</w:t>
      </w:r>
    </w:p>
    <w:p w14:paraId="6A2B49B8" w14:textId="77777777" w:rsidR="00990609" w:rsidRPr="003650DA" w:rsidRDefault="00990609" w:rsidP="009F7507">
      <w:pPr>
        <w:spacing w:after="0" w:line="240" w:lineRule="auto"/>
        <w:jc w:val="center"/>
        <w:rPr>
          <w:b/>
          <w:sz w:val="28"/>
          <w:szCs w:val="28"/>
        </w:rPr>
      </w:pPr>
    </w:p>
    <w:p w14:paraId="19B29576" w14:textId="282AE2D7" w:rsidR="00A64283" w:rsidRPr="003650DA" w:rsidRDefault="002268E8" w:rsidP="00A64283">
      <w:pPr>
        <w:rPr>
          <w:b/>
          <w:sz w:val="24"/>
          <w:szCs w:val="24"/>
        </w:rPr>
      </w:pPr>
      <w:r w:rsidRPr="003650DA">
        <w:rPr>
          <w:b/>
          <w:sz w:val="24"/>
          <w:szCs w:val="24"/>
        </w:rPr>
        <w:t>PROJECT TITLE</w:t>
      </w:r>
      <w:r w:rsidR="00952433" w:rsidRPr="003650DA">
        <w:rPr>
          <w:b/>
          <w:sz w:val="24"/>
          <w:szCs w:val="24"/>
        </w:rPr>
        <w:t xml:space="preserve">:  </w:t>
      </w:r>
      <w:r w:rsidR="00A64283" w:rsidRPr="003650DA">
        <w:rPr>
          <w:b/>
          <w:sz w:val="24"/>
          <w:szCs w:val="24"/>
        </w:rPr>
        <w:t>Follow Up Biologic Testing for Exposure to Arsenic ASARCO Hayden Smelter Site, Hayden &amp; Winkelman, Arizona Exposure Investigation</w:t>
      </w:r>
    </w:p>
    <w:p w14:paraId="45B8FEF4" w14:textId="5A4CBB1A" w:rsidR="00146801" w:rsidRPr="008C1299" w:rsidRDefault="005119AF">
      <w:pPr>
        <w:rPr>
          <w:b/>
          <w:sz w:val="24"/>
          <w:szCs w:val="24"/>
        </w:rPr>
      </w:pPr>
      <w:r>
        <w:rPr>
          <w:b/>
          <w:sz w:val="24"/>
          <w:szCs w:val="24"/>
        </w:rPr>
        <w:t xml:space="preserve">SITE </w:t>
      </w:r>
      <w:r w:rsidR="00146801">
        <w:rPr>
          <w:b/>
          <w:sz w:val="24"/>
          <w:szCs w:val="24"/>
        </w:rPr>
        <w:t>LOCATION</w:t>
      </w:r>
      <w:r w:rsidR="00952433">
        <w:rPr>
          <w:b/>
          <w:sz w:val="24"/>
          <w:szCs w:val="24"/>
        </w:rPr>
        <w:t xml:space="preserve">:  </w:t>
      </w:r>
      <w:r w:rsidR="00A64283">
        <w:rPr>
          <w:b/>
          <w:sz w:val="24"/>
          <w:szCs w:val="24"/>
        </w:rPr>
        <w:t>Hayden</w:t>
      </w:r>
      <w:r w:rsidR="00FB52D0">
        <w:rPr>
          <w:b/>
          <w:sz w:val="24"/>
          <w:szCs w:val="24"/>
        </w:rPr>
        <w:t xml:space="preserve">, </w:t>
      </w:r>
      <w:r w:rsidR="00A64283">
        <w:rPr>
          <w:b/>
          <w:sz w:val="24"/>
          <w:szCs w:val="24"/>
        </w:rPr>
        <w:t>Arizona</w:t>
      </w:r>
    </w:p>
    <w:p w14:paraId="6519BFD7" w14:textId="1C6D0D0A" w:rsidR="002C3309" w:rsidRDefault="002C3309">
      <w:pPr>
        <w:rPr>
          <w:b/>
          <w:sz w:val="24"/>
          <w:szCs w:val="24"/>
        </w:rPr>
      </w:pPr>
      <w:r>
        <w:rPr>
          <w:b/>
          <w:sz w:val="24"/>
          <w:szCs w:val="24"/>
        </w:rPr>
        <w:t>REQUESTED BURDEN HOURS</w:t>
      </w:r>
      <w:r w:rsidR="00245FE8">
        <w:rPr>
          <w:b/>
          <w:sz w:val="24"/>
          <w:szCs w:val="24"/>
        </w:rPr>
        <w:t xml:space="preserve">:    </w:t>
      </w:r>
      <w:r w:rsidR="00A64283">
        <w:rPr>
          <w:b/>
          <w:sz w:val="24"/>
          <w:szCs w:val="24"/>
        </w:rPr>
        <w:t>30</w:t>
      </w:r>
    </w:p>
    <w:p w14:paraId="27E175D8" w14:textId="77777777" w:rsidR="00977D5F" w:rsidRDefault="00AD12BA">
      <w:pPr>
        <w:rPr>
          <w:b/>
          <w:sz w:val="24"/>
          <w:szCs w:val="24"/>
        </w:rPr>
      </w:pPr>
      <w:r>
        <w:rPr>
          <w:b/>
          <w:sz w:val="24"/>
          <w:szCs w:val="24"/>
        </w:rPr>
        <w:t xml:space="preserve">PROJECT </w:t>
      </w:r>
      <w:r w:rsidR="008C26C6">
        <w:rPr>
          <w:b/>
          <w:sz w:val="24"/>
          <w:szCs w:val="24"/>
        </w:rPr>
        <w:t>SUMMARY</w:t>
      </w:r>
    </w:p>
    <w:tbl>
      <w:tblPr>
        <w:tblStyle w:val="TableGrid"/>
        <w:tblW w:w="10296" w:type="dxa"/>
        <w:tblInd w:w="108" w:type="dxa"/>
        <w:tblLook w:val="04A0" w:firstRow="1" w:lastRow="0" w:firstColumn="1" w:lastColumn="0" w:noHBand="0" w:noVBand="1"/>
      </w:tblPr>
      <w:tblGrid>
        <w:gridCol w:w="3168"/>
        <w:gridCol w:w="7128"/>
      </w:tblGrid>
      <w:tr w:rsidR="00977D5F" w14:paraId="1E8F15E2" w14:textId="77777777" w:rsidTr="00B50EEF">
        <w:tc>
          <w:tcPr>
            <w:tcW w:w="3168" w:type="dxa"/>
            <w:vAlign w:val="center"/>
          </w:tcPr>
          <w:p w14:paraId="0F72B80A" w14:textId="77777777" w:rsidR="00977D5F" w:rsidRDefault="00977D5F" w:rsidP="005A3D6B">
            <w:pPr>
              <w:rPr>
                <w:b/>
                <w:sz w:val="24"/>
                <w:szCs w:val="24"/>
              </w:rPr>
            </w:pPr>
            <w:r>
              <w:rPr>
                <w:b/>
                <w:sz w:val="24"/>
                <w:szCs w:val="24"/>
              </w:rPr>
              <w:t>Principal Investigator(s):</w:t>
            </w:r>
          </w:p>
        </w:tc>
        <w:tc>
          <w:tcPr>
            <w:tcW w:w="7128" w:type="dxa"/>
            <w:vAlign w:val="center"/>
          </w:tcPr>
          <w:p w14:paraId="11D2E20C" w14:textId="77777777" w:rsidR="00A64283" w:rsidRDefault="00A64283" w:rsidP="005A3D6B">
            <w:pPr>
              <w:pStyle w:val="ListParagraph"/>
              <w:numPr>
                <w:ilvl w:val="0"/>
                <w:numId w:val="3"/>
              </w:numPr>
              <w:ind w:left="414"/>
              <w:rPr>
                <w:sz w:val="24"/>
                <w:szCs w:val="24"/>
              </w:rPr>
            </w:pPr>
            <w:r>
              <w:rPr>
                <w:sz w:val="24"/>
                <w:szCs w:val="24"/>
              </w:rPr>
              <w:t>Bruce C. Tierney (ATSDR Headquarters)</w:t>
            </w:r>
          </w:p>
          <w:p w14:paraId="62A764B3" w14:textId="77777777" w:rsidR="00A64283" w:rsidRDefault="00A64283" w:rsidP="005A3D6B">
            <w:pPr>
              <w:pStyle w:val="ListParagraph"/>
              <w:numPr>
                <w:ilvl w:val="0"/>
                <w:numId w:val="3"/>
              </w:numPr>
              <w:ind w:left="414"/>
              <w:rPr>
                <w:sz w:val="24"/>
                <w:szCs w:val="24"/>
              </w:rPr>
            </w:pPr>
            <w:r>
              <w:rPr>
                <w:sz w:val="24"/>
                <w:szCs w:val="24"/>
              </w:rPr>
              <w:t xml:space="preserve">Ben </w:t>
            </w:r>
            <w:proofErr w:type="spellStart"/>
            <w:r>
              <w:rPr>
                <w:sz w:val="24"/>
                <w:szCs w:val="24"/>
              </w:rPr>
              <w:t>Gerhardstein</w:t>
            </w:r>
            <w:proofErr w:type="spellEnd"/>
            <w:r>
              <w:rPr>
                <w:sz w:val="24"/>
                <w:szCs w:val="24"/>
              </w:rPr>
              <w:t xml:space="preserve"> (ATSDR Region 9)</w:t>
            </w:r>
          </w:p>
          <w:p w14:paraId="037DA985" w14:textId="77777777" w:rsidR="00A64283" w:rsidRDefault="00A64283" w:rsidP="005A3D6B">
            <w:pPr>
              <w:pStyle w:val="ListParagraph"/>
              <w:numPr>
                <w:ilvl w:val="0"/>
                <w:numId w:val="3"/>
              </w:numPr>
              <w:ind w:left="414"/>
              <w:rPr>
                <w:sz w:val="24"/>
                <w:szCs w:val="24"/>
              </w:rPr>
            </w:pPr>
            <w:r>
              <w:rPr>
                <w:sz w:val="24"/>
                <w:szCs w:val="24"/>
              </w:rPr>
              <w:t xml:space="preserve">Jamie </w:t>
            </w:r>
            <w:proofErr w:type="spellStart"/>
            <w:r>
              <w:rPr>
                <w:sz w:val="24"/>
                <w:szCs w:val="24"/>
              </w:rPr>
              <w:t>Rayman</w:t>
            </w:r>
            <w:proofErr w:type="spellEnd"/>
            <w:r>
              <w:rPr>
                <w:sz w:val="24"/>
                <w:szCs w:val="24"/>
              </w:rPr>
              <w:t xml:space="preserve"> (ATSDR Region 9)</w:t>
            </w:r>
          </w:p>
          <w:p w14:paraId="2E3E13EC" w14:textId="3E107E07" w:rsidR="00FB52D0" w:rsidRPr="00A64283" w:rsidRDefault="00FB52D0" w:rsidP="00A64283">
            <w:pPr>
              <w:pStyle w:val="ListParagraph"/>
              <w:numPr>
                <w:ilvl w:val="0"/>
                <w:numId w:val="3"/>
              </w:numPr>
              <w:ind w:left="414"/>
              <w:rPr>
                <w:sz w:val="24"/>
                <w:szCs w:val="24"/>
              </w:rPr>
            </w:pPr>
            <w:r>
              <w:rPr>
                <w:sz w:val="24"/>
                <w:szCs w:val="24"/>
              </w:rPr>
              <w:t>Lourdes Rosales-Guevara</w:t>
            </w:r>
            <w:r w:rsidR="00977D5F">
              <w:rPr>
                <w:sz w:val="24"/>
                <w:szCs w:val="24"/>
              </w:rPr>
              <w:t xml:space="preserve"> (ATSDR Headquarters)</w:t>
            </w:r>
          </w:p>
        </w:tc>
      </w:tr>
      <w:tr w:rsidR="00977D5F" w14:paraId="34E8B2E3" w14:textId="77777777" w:rsidTr="00B50EEF">
        <w:tc>
          <w:tcPr>
            <w:tcW w:w="3168" w:type="dxa"/>
            <w:vAlign w:val="center"/>
          </w:tcPr>
          <w:p w14:paraId="72474E13" w14:textId="06DD145C" w:rsidR="00977D5F" w:rsidRDefault="00977D5F" w:rsidP="005A3D6B">
            <w:pPr>
              <w:rPr>
                <w:b/>
                <w:sz w:val="24"/>
                <w:szCs w:val="24"/>
              </w:rPr>
            </w:pPr>
            <w:r>
              <w:rPr>
                <w:b/>
                <w:sz w:val="24"/>
                <w:szCs w:val="24"/>
              </w:rPr>
              <w:t>Technical Assistance:</w:t>
            </w:r>
          </w:p>
        </w:tc>
        <w:tc>
          <w:tcPr>
            <w:tcW w:w="7128" w:type="dxa"/>
            <w:vAlign w:val="center"/>
          </w:tcPr>
          <w:p w14:paraId="348B19FA" w14:textId="6808CB7F" w:rsidR="00977D5F" w:rsidRPr="002B7FAF" w:rsidRDefault="00FB52D0" w:rsidP="005A3D6B">
            <w:pPr>
              <w:pStyle w:val="ListParagraph"/>
              <w:numPr>
                <w:ilvl w:val="0"/>
                <w:numId w:val="2"/>
              </w:numPr>
              <w:ind w:left="414"/>
              <w:rPr>
                <w:b/>
                <w:sz w:val="24"/>
                <w:szCs w:val="24"/>
              </w:rPr>
            </w:pPr>
            <w:r>
              <w:rPr>
                <w:sz w:val="24"/>
                <w:szCs w:val="24"/>
              </w:rPr>
              <w:t xml:space="preserve">Region </w:t>
            </w:r>
            <w:r w:rsidR="00A64283">
              <w:rPr>
                <w:sz w:val="24"/>
                <w:szCs w:val="24"/>
              </w:rPr>
              <w:t>9</w:t>
            </w:r>
            <w:r>
              <w:rPr>
                <w:sz w:val="24"/>
                <w:szCs w:val="24"/>
              </w:rPr>
              <w:t xml:space="preserve"> Environmental Protection Agency (EPA)</w:t>
            </w:r>
            <w:r w:rsidR="00977D5F" w:rsidRPr="002B7FAF">
              <w:rPr>
                <w:sz w:val="24"/>
                <w:szCs w:val="24"/>
              </w:rPr>
              <w:t xml:space="preserve"> </w:t>
            </w:r>
          </w:p>
          <w:p w14:paraId="57705506" w14:textId="541CEA63" w:rsidR="00241D1E" w:rsidRPr="00FB52D0" w:rsidRDefault="00A64283" w:rsidP="005A3D6B">
            <w:pPr>
              <w:pStyle w:val="ListParagraph"/>
              <w:numPr>
                <w:ilvl w:val="0"/>
                <w:numId w:val="2"/>
              </w:numPr>
              <w:ind w:left="414"/>
              <w:rPr>
                <w:b/>
                <w:sz w:val="24"/>
                <w:szCs w:val="24"/>
              </w:rPr>
            </w:pPr>
            <w:r>
              <w:rPr>
                <w:color w:val="000000"/>
                <w:sz w:val="24"/>
                <w:szCs w:val="24"/>
              </w:rPr>
              <w:t>Arizona Department of Health Services (ADHS</w:t>
            </w:r>
            <w:r w:rsidR="00241D1E" w:rsidRPr="002B7FAF">
              <w:rPr>
                <w:color w:val="000000"/>
                <w:sz w:val="24"/>
                <w:szCs w:val="24"/>
              </w:rPr>
              <w:t>)</w:t>
            </w:r>
          </w:p>
          <w:p w14:paraId="0B7AB2C8" w14:textId="39E77BF4" w:rsidR="00FB52D0" w:rsidRPr="002B7FAF" w:rsidRDefault="00A64283" w:rsidP="005A3D6B">
            <w:pPr>
              <w:pStyle w:val="ListParagraph"/>
              <w:numPr>
                <w:ilvl w:val="0"/>
                <w:numId w:val="2"/>
              </w:numPr>
              <w:ind w:left="414"/>
              <w:rPr>
                <w:b/>
                <w:sz w:val="24"/>
                <w:szCs w:val="24"/>
              </w:rPr>
            </w:pPr>
            <w:r>
              <w:rPr>
                <w:color w:val="000000"/>
                <w:sz w:val="24"/>
                <w:szCs w:val="24"/>
              </w:rPr>
              <w:t>Arizona Department of Environmental Quality (ADEQ)</w:t>
            </w:r>
          </w:p>
          <w:p w14:paraId="7D294FD6" w14:textId="77777777" w:rsidR="00977D5F" w:rsidRPr="00977D5F" w:rsidRDefault="009A4C91" w:rsidP="005A3D6B">
            <w:pPr>
              <w:pStyle w:val="ListParagraph"/>
              <w:numPr>
                <w:ilvl w:val="0"/>
                <w:numId w:val="2"/>
              </w:numPr>
              <w:ind w:left="414"/>
              <w:rPr>
                <w:b/>
                <w:sz w:val="24"/>
                <w:szCs w:val="24"/>
              </w:rPr>
            </w:pPr>
            <w:r w:rsidRPr="002B7FAF">
              <w:rPr>
                <w:sz w:val="24"/>
                <w:szCs w:val="24"/>
              </w:rPr>
              <w:t>DLS/NCEH/</w:t>
            </w:r>
            <w:r w:rsidR="00977D5F" w:rsidRPr="002B7FAF">
              <w:rPr>
                <w:sz w:val="24"/>
                <w:szCs w:val="24"/>
              </w:rPr>
              <w:t>ATSDR laboratory</w:t>
            </w:r>
          </w:p>
        </w:tc>
      </w:tr>
      <w:tr w:rsidR="00977D5F" w14:paraId="25C1773E" w14:textId="77777777" w:rsidTr="00700B89">
        <w:tc>
          <w:tcPr>
            <w:tcW w:w="3168" w:type="dxa"/>
            <w:vAlign w:val="center"/>
          </w:tcPr>
          <w:p w14:paraId="5E2388E7" w14:textId="77777777" w:rsidR="00977D5F" w:rsidRDefault="00977D5F" w:rsidP="005A3D6B">
            <w:pPr>
              <w:rPr>
                <w:b/>
                <w:sz w:val="24"/>
                <w:szCs w:val="24"/>
              </w:rPr>
            </w:pPr>
            <w:r w:rsidRPr="007F0688">
              <w:rPr>
                <w:b/>
                <w:sz w:val="24"/>
                <w:szCs w:val="24"/>
              </w:rPr>
              <w:t>Source of Request (state, petition, etc.):</w:t>
            </w:r>
          </w:p>
        </w:tc>
        <w:tc>
          <w:tcPr>
            <w:tcW w:w="7128" w:type="dxa"/>
            <w:vAlign w:val="center"/>
          </w:tcPr>
          <w:p w14:paraId="1447E8FA" w14:textId="45698253" w:rsidR="00977D5F" w:rsidRPr="00977D5F" w:rsidRDefault="00627597" w:rsidP="00106C97">
            <w:pPr>
              <w:rPr>
                <w:sz w:val="24"/>
                <w:szCs w:val="24"/>
              </w:rPr>
            </w:pPr>
            <w:r>
              <w:rPr>
                <w:sz w:val="24"/>
                <w:szCs w:val="24"/>
              </w:rPr>
              <w:t xml:space="preserve">ATSDR </w:t>
            </w:r>
            <w:r w:rsidR="00A64283">
              <w:rPr>
                <w:sz w:val="24"/>
                <w:szCs w:val="24"/>
              </w:rPr>
              <w:t>exposure investigation (</w:t>
            </w:r>
            <w:r>
              <w:rPr>
                <w:sz w:val="24"/>
                <w:szCs w:val="24"/>
              </w:rPr>
              <w:t>EI</w:t>
            </w:r>
            <w:r w:rsidR="00A64283">
              <w:rPr>
                <w:sz w:val="24"/>
                <w:szCs w:val="24"/>
              </w:rPr>
              <w:t>)</w:t>
            </w:r>
            <w:r>
              <w:rPr>
                <w:sz w:val="24"/>
                <w:szCs w:val="24"/>
              </w:rPr>
              <w:t xml:space="preserve"> </w:t>
            </w:r>
            <w:r w:rsidR="001079E3">
              <w:rPr>
                <w:sz w:val="24"/>
                <w:szCs w:val="24"/>
              </w:rPr>
              <w:t xml:space="preserve">will be conducted </w:t>
            </w:r>
            <w:r>
              <w:rPr>
                <w:sz w:val="24"/>
                <w:szCs w:val="24"/>
              </w:rPr>
              <w:t xml:space="preserve">in coordination with </w:t>
            </w:r>
            <w:r w:rsidR="001079E3">
              <w:rPr>
                <w:sz w:val="24"/>
                <w:szCs w:val="24"/>
              </w:rPr>
              <w:t>EPA.</w:t>
            </w:r>
          </w:p>
        </w:tc>
      </w:tr>
      <w:tr w:rsidR="00977D5F" w14:paraId="61AA36E6" w14:textId="77777777" w:rsidTr="00B3644B">
        <w:trPr>
          <w:trHeight w:val="800"/>
        </w:trPr>
        <w:tc>
          <w:tcPr>
            <w:tcW w:w="3168" w:type="dxa"/>
            <w:vAlign w:val="center"/>
          </w:tcPr>
          <w:p w14:paraId="0A0856C0" w14:textId="77777777" w:rsidR="00977D5F" w:rsidRDefault="00977D5F" w:rsidP="005A3D6B">
            <w:pPr>
              <w:rPr>
                <w:b/>
                <w:sz w:val="24"/>
                <w:szCs w:val="24"/>
              </w:rPr>
            </w:pPr>
            <w:r>
              <w:rPr>
                <w:b/>
                <w:sz w:val="24"/>
                <w:szCs w:val="24"/>
              </w:rPr>
              <w:t>Project Goals:</w:t>
            </w:r>
          </w:p>
        </w:tc>
        <w:tc>
          <w:tcPr>
            <w:tcW w:w="7128" w:type="dxa"/>
            <w:vAlign w:val="center"/>
          </w:tcPr>
          <w:p w14:paraId="7CF4B353" w14:textId="1F39C06E" w:rsidR="004C6181" w:rsidRPr="001F3964" w:rsidRDefault="00A64283" w:rsidP="00B3644B">
            <w:pPr>
              <w:pStyle w:val="ListParagraph"/>
              <w:numPr>
                <w:ilvl w:val="0"/>
                <w:numId w:val="14"/>
              </w:numPr>
              <w:rPr>
                <w:sz w:val="24"/>
                <w:szCs w:val="24"/>
              </w:rPr>
            </w:pPr>
            <w:r>
              <w:rPr>
                <w:sz w:val="24"/>
                <w:szCs w:val="24"/>
              </w:rPr>
              <w:t>Repeat e</w:t>
            </w:r>
            <w:r w:rsidR="004C6181" w:rsidRPr="001F3964">
              <w:rPr>
                <w:sz w:val="24"/>
                <w:szCs w:val="24"/>
              </w:rPr>
              <w:t>valuat</w:t>
            </w:r>
            <w:r>
              <w:rPr>
                <w:sz w:val="24"/>
                <w:szCs w:val="24"/>
              </w:rPr>
              <w:t xml:space="preserve">ion of Urinary Arsenic Levels </w:t>
            </w:r>
            <w:r w:rsidR="004C6181" w:rsidRPr="001F3964">
              <w:rPr>
                <w:sz w:val="24"/>
                <w:szCs w:val="24"/>
              </w:rPr>
              <w:t xml:space="preserve">for </w:t>
            </w:r>
            <w:r>
              <w:rPr>
                <w:sz w:val="24"/>
                <w:szCs w:val="24"/>
              </w:rPr>
              <w:t>all participants in the initial ATSDR Hayden EI</w:t>
            </w:r>
            <w:r w:rsidR="00B3644B">
              <w:rPr>
                <w:sz w:val="24"/>
                <w:szCs w:val="24"/>
              </w:rPr>
              <w:t xml:space="preserve"> conducted</w:t>
            </w:r>
            <w:r>
              <w:rPr>
                <w:sz w:val="24"/>
                <w:szCs w:val="24"/>
              </w:rPr>
              <w:t xml:space="preserve"> in April 2015.</w:t>
            </w:r>
            <w:r w:rsidR="004C6181" w:rsidRPr="001F3964">
              <w:rPr>
                <w:sz w:val="24"/>
                <w:szCs w:val="24"/>
              </w:rPr>
              <w:t xml:space="preserve"> </w:t>
            </w:r>
          </w:p>
          <w:p w14:paraId="52908477" w14:textId="04A33DCC" w:rsidR="004C6181" w:rsidRPr="00E84F8D" w:rsidRDefault="00A64283" w:rsidP="00B3644B">
            <w:pPr>
              <w:pStyle w:val="ListParagraph"/>
              <w:numPr>
                <w:ilvl w:val="1"/>
                <w:numId w:val="14"/>
              </w:numPr>
              <w:rPr>
                <w:sz w:val="24"/>
                <w:szCs w:val="24"/>
              </w:rPr>
            </w:pPr>
            <w:r>
              <w:rPr>
                <w:sz w:val="24"/>
                <w:szCs w:val="24"/>
              </w:rPr>
              <w:t>C</w:t>
            </w:r>
            <w:r w:rsidR="004C6181" w:rsidRPr="00E84F8D">
              <w:rPr>
                <w:sz w:val="24"/>
                <w:szCs w:val="24"/>
              </w:rPr>
              <w:t xml:space="preserve">hildren </w:t>
            </w:r>
            <w:r>
              <w:rPr>
                <w:sz w:val="24"/>
                <w:szCs w:val="24"/>
              </w:rPr>
              <w:t xml:space="preserve">and adolescents who were aged </w:t>
            </w:r>
            <w:r w:rsidR="004C6181" w:rsidRPr="00E84F8D">
              <w:rPr>
                <w:sz w:val="24"/>
                <w:szCs w:val="24"/>
              </w:rPr>
              <w:t>6 years</w:t>
            </w:r>
            <w:r>
              <w:rPr>
                <w:sz w:val="24"/>
                <w:szCs w:val="24"/>
              </w:rPr>
              <w:t xml:space="preserve"> to 17 years at the time of the initial EI who participated in the initial EI.</w:t>
            </w:r>
          </w:p>
          <w:p w14:paraId="5141A03A" w14:textId="79130D23" w:rsidR="00A64283" w:rsidRPr="00E84F8D" w:rsidRDefault="00A64283" w:rsidP="00B3644B">
            <w:pPr>
              <w:pStyle w:val="ListParagraph"/>
              <w:numPr>
                <w:ilvl w:val="1"/>
                <w:numId w:val="14"/>
              </w:numPr>
              <w:rPr>
                <w:sz w:val="24"/>
                <w:szCs w:val="24"/>
              </w:rPr>
            </w:pPr>
            <w:r>
              <w:rPr>
                <w:sz w:val="24"/>
                <w:szCs w:val="24"/>
              </w:rPr>
              <w:t>W</w:t>
            </w:r>
            <w:r w:rsidR="004C6181" w:rsidRPr="001F3964">
              <w:rPr>
                <w:sz w:val="24"/>
                <w:szCs w:val="24"/>
              </w:rPr>
              <w:t xml:space="preserve">omen who </w:t>
            </w:r>
            <w:r>
              <w:rPr>
                <w:sz w:val="24"/>
                <w:szCs w:val="24"/>
              </w:rPr>
              <w:t xml:space="preserve">were </w:t>
            </w:r>
            <w:r w:rsidR="004C6181" w:rsidRPr="001F3964">
              <w:rPr>
                <w:sz w:val="24"/>
                <w:szCs w:val="24"/>
              </w:rPr>
              <w:t xml:space="preserve">pregnant or of childbearing </w:t>
            </w:r>
            <w:r w:rsidR="00992031">
              <w:rPr>
                <w:sz w:val="24"/>
                <w:szCs w:val="24"/>
              </w:rPr>
              <w:t>age</w:t>
            </w:r>
            <w:r>
              <w:rPr>
                <w:sz w:val="24"/>
                <w:szCs w:val="24"/>
              </w:rPr>
              <w:t xml:space="preserve"> at the time of the initial EI</w:t>
            </w:r>
            <w:r w:rsidR="004C6181" w:rsidRPr="001F3964">
              <w:rPr>
                <w:sz w:val="24"/>
                <w:szCs w:val="24"/>
              </w:rPr>
              <w:t xml:space="preserve"> </w:t>
            </w:r>
            <w:r>
              <w:rPr>
                <w:sz w:val="24"/>
                <w:szCs w:val="24"/>
              </w:rPr>
              <w:t>who participated in the initial EI.</w:t>
            </w:r>
          </w:p>
          <w:p w14:paraId="0D36B940" w14:textId="489F3825" w:rsidR="004C6181" w:rsidRPr="00A64283" w:rsidRDefault="00A64283" w:rsidP="00B3644B">
            <w:pPr>
              <w:pStyle w:val="ListParagraph"/>
              <w:numPr>
                <w:ilvl w:val="1"/>
                <w:numId w:val="14"/>
              </w:numPr>
              <w:rPr>
                <w:sz w:val="24"/>
                <w:szCs w:val="24"/>
              </w:rPr>
            </w:pPr>
            <w:r w:rsidRPr="00A64283">
              <w:rPr>
                <w:sz w:val="24"/>
                <w:szCs w:val="24"/>
              </w:rPr>
              <w:t>Additional full time residents of Hayden and Winkelman who request testing</w:t>
            </w:r>
            <w:r w:rsidR="00B3644B">
              <w:rPr>
                <w:sz w:val="24"/>
                <w:szCs w:val="24"/>
              </w:rPr>
              <w:t xml:space="preserve"> will</w:t>
            </w:r>
            <w:r w:rsidRPr="00A64283">
              <w:rPr>
                <w:sz w:val="24"/>
                <w:szCs w:val="24"/>
              </w:rPr>
              <w:t xml:space="preserve"> </w:t>
            </w:r>
            <w:r w:rsidRPr="00A64283">
              <w:rPr>
                <w:rFonts w:eastAsia="Times New Roman" w:cs="Times New Roman"/>
                <w:color w:val="212121"/>
                <w:sz w:val="24"/>
                <w:szCs w:val="24"/>
              </w:rPr>
              <w:t>be accommodated if space and testing equipment is available up to a maximum of 60 participants</w:t>
            </w:r>
            <w:r w:rsidR="00B3644B">
              <w:rPr>
                <w:rFonts w:eastAsia="Times New Roman" w:cs="Times New Roman"/>
                <w:color w:val="212121"/>
                <w:sz w:val="24"/>
                <w:szCs w:val="24"/>
              </w:rPr>
              <w:t>.</w:t>
            </w:r>
          </w:p>
          <w:p w14:paraId="3D984BA3" w14:textId="4EDB4E2E" w:rsidR="00B3644B" w:rsidRDefault="004C6181" w:rsidP="00B3644B">
            <w:pPr>
              <w:pStyle w:val="ListParagraph"/>
              <w:numPr>
                <w:ilvl w:val="0"/>
                <w:numId w:val="14"/>
              </w:numPr>
              <w:rPr>
                <w:sz w:val="24"/>
                <w:szCs w:val="24"/>
              </w:rPr>
            </w:pPr>
            <w:r w:rsidRPr="001F3964">
              <w:rPr>
                <w:sz w:val="24"/>
                <w:szCs w:val="24"/>
              </w:rPr>
              <w:t xml:space="preserve">Recommend case management for participants with </w:t>
            </w:r>
            <w:r w:rsidR="00B3644B">
              <w:rPr>
                <w:sz w:val="24"/>
                <w:szCs w:val="24"/>
              </w:rPr>
              <w:t>urinary arsenic levels above 28.4 grams per gram of creatinine</w:t>
            </w:r>
          </w:p>
          <w:p w14:paraId="6A4C93CB" w14:textId="77777777" w:rsidR="00B3644B" w:rsidRPr="00B3644B" w:rsidRDefault="00B3644B" w:rsidP="00B3644B">
            <w:pPr>
              <w:pStyle w:val="ListParagraph"/>
              <w:numPr>
                <w:ilvl w:val="0"/>
                <w:numId w:val="18"/>
              </w:numPr>
              <w:ind w:left="1440"/>
              <w:rPr>
                <w:sz w:val="24"/>
                <w:szCs w:val="24"/>
              </w:rPr>
            </w:pPr>
            <w:r w:rsidRPr="00B3644B">
              <w:rPr>
                <w:sz w:val="24"/>
                <w:szCs w:val="24"/>
              </w:rPr>
              <w:t>Recommend follow-up with a Healthcare professional for evaluation and follow up as indicated.</w:t>
            </w:r>
          </w:p>
          <w:p w14:paraId="57B736F8" w14:textId="77777777" w:rsidR="004C6181" w:rsidRPr="00B3644B" w:rsidRDefault="004C6181" w:rsidP="00B3644B">
            <w:pPr>
              <w:pStyle w:val="ListParagraph"/>
              <w:numPr>
                <w:ilvl w:val="0"/>
                <w:numId w:val="18"/>
              </w:numPr>
              <w:ind w:left="1440"/>
              <w:rPr>
                <w:sz w:val="24"/>
                <w:szCs w:val="24"/>
              </w:rPr>
            </w:pPr>
            <w:r w:rsidRPr="00B3644B">
              <w:rPr>
                <w:sz w:val="24"/>
                <w:szCs w:val="24"/>
              </w:rPr>
              <w:t>Recommend ways to lower exposure to contaminated soil</w:t>
            </w:r>
            <w:r w:rsidR="002A2531" w:rsidRPr="00B3644B">
              <w:rPr>
                <w:sz w:val="24"/>
                <w:szCs w:val="24"/>
              </w:rPr>
              <w:t>.</w:t>
            </w:r>
          </w:p>
          <w:p w14:paraId="2AC4B39E" w14:textId="77777777" w:rsidR="004C6181" w:rsidRPr="00B3644B" w:rsidRDefault="004C6181" w:rsidP="00B3644B">
            <w:pPr>
              <w:pStyle w:val="ListParagraph"/>
              <w:numPr>
                <w:ilvl w:val="0"/>
                <w:numId w:val="18"/>
              </w:numPr>
              <w:ind w:left="1440"/>
              <w:rPr>
                <w:sz w:val="24"/>
                <w:szCs w:val="24"/>
              </w:rPr>
            </w:pPr>
            <w:r w:rsidRPr="00B3644B">
              <w:rPr>
                <w:sz w:val="24"/>
                <w:szCs w:val="24"/>
              </w:rPr>
              <w:t>Recommend ways to lower exposure to dust in houses built before 1978.</w:t>
            </w:r>
          </w:p>
          <w:p w14:paraId="572B80F9" w14:textId="3797E166" w:rsidR="004C6181" w:rsidRPr="00B3644B" w:rsidRDefault="004C6181" w:rsidP="00B3644B">
            <w:pPr>
              <w:pStyle w:val="ListParagraph"/>
              <w:numPr>
                <w:ilvl w:val="0"/>
                <w:numId w:val="18"/>
              </w:numPr>
              <w:ind w:left="1440"/>
              <w:rPr>
                <w:sz w:val="24"/>
                <w:szCs w:val="24"/>
              </w:rPr>
            </w:pPr>
            <w:r w:rsidRPr="00B3644B">
              <w:rPr>
                <w:sz w:val="24"/>
                <w:szCs w:val="24"/>
              </w:rPr>
              <w:t xml:space="preserve">Provide information on nutrition that will help to decrease the absorption of </w:t>
            </w:r>
            <w:r w:rsidR="000F369B">
              <w:rPr>
                <w:sz w:val="24"/>
                <w:szCs w:val="24"/>
              </w:rPr>
              <w:t>arsenic</w:t>
            </w:r>
            <w:r w:rsidRPr="00B3644B">
              <w:rPr>
                <w:sz w:val="24"/>
                <w:szCs w:val="24"/>
              </w:rPr>
              <w:t xml:space="preserve"> into the body.</w:t>
            </w:r>
          </w:p>
          <w:p w14:paraId="00DE0D20" w14:textId="1112AD8D" w:rsidR="00977D5F" w:rsidRPr="00B3644B" w:rsidRDefault="00B3644B" w:rsidP="00B3644B">
            <w:pPr>
              <w:pStyle w:val="ListParagraph"/>
              <w:numPr>
                <w:ilvl w:val="0"/>
                <w:numId w:val="14"/>
              </w:numPr>
              <w:rPr>
                <w:sz w:val="24"/>
                <w:szCs w:val="24"/>
              </w:rPr>
            </w:pPr>
            <w:r w:rsidRPr="00B3644B">
              <w:rPr>
                <w:sz w:val="24"/>
                <w:szCs w:val="24"/>
              </w:rPr>
              <w:t>Coordinate with EPA and the Arizona Department of Environmental Quality (ADEQ) to provide U</w:t>
            </w:r>
            <w:r>
              <w:rPr>
                <w:sz w:val="24"/>
                <w:szCs w:val="24"/>
              </w:rPr>
              <w:t>rinary Arsenic level</w:t>
            </w:r>
            <w:r w:rsidRPr="00B3644B">
              <w:rPr>
                <w:sz w:val="24"/>
                <w:szCs w:val="24"/>
              </w:rPr>
              <w:t xml:space="preserve"> </w:t>
            </w:r>
            <w:r w:rsidRPr="00B3644B">
              <w:rPr>
                <w:sz w:val="24"/>
                <w:szCs w:val="24"/>
              </w:rPr>
              <w:lastRenderedPageBreak/>
              <w:t>results for use in the Superfund Alternative Approach with the Asarco smelter site</w:t>
            </w:r>
            <w:r>
              <w:rPr>
                <w:sz w:val="24"/>
                <w:szCs w:val="24"/>
              </w:rPr>
              <w:t>.</w:t>
            </w:r>
          </w:p>
        </w:tc>
      </w:tr>
      <w:tr w:rsidR="00977D5F" w14:paraId="5726654A" w14:textId="77777777" w:rsidTr="00B50EEF">
        <w:tc>
          <w:tcPr>
            <w:tcW w:w="3168" w:type="dxa"/>
            <w:vAlign w:val="center"/>
          </w:tcPr>
          <w:p w14:paraId="5A091130" w14:textId="169A8D2D" w:rsidR="00977D5F" w:rsidRDefault="00977D5F" w:rsidP="005A3D6B">
            <w:pPr>
              <w:rPr>
                <w:b/>
                <w:sz w:val="24"/>
                <w:szCs w:val="24"/>
              </w:rPr>
            </w:pPr>
            <w:r>
              <w:rPr>
                <w:b/>
                <w:sz w:val="24"/>
                <w:szCs w:val="24"/>
              </w:rPr>
              <w:lastRenderedPageBreak/>
              <w:t>Project Objectives:</w:t>
            </w:r>
          </w:p>
        </w:tc>
        <w:tc>
          <w:tcPr>
            <w:tcW w:w="7128" w:type="dxa"/>
            <w:vAlign w:val="center"/>
          </w:tcPr>
          <w:p w14:paraId="30505DFF" w14:textId="77777777" w:rsidR="00EE37C6" w:rsidRDefault="00B3644B" w:rsidP="009C40EF">
            <w:pPr>
              <w:rPr>
                <w:sz w:val="24"/>
                <w:szCs w:val="24"/>
              </w:rPr>
            </w:pPr>
            <w:r w:rsidRPr="009C40EF" w:rsidDel="0036112F">
              <w:rPr>
                <w:sz w:val="24"/>
                <w:szCs w:val="24"/>
              </w:rPr>
              <w:t xml:space="preserve">The primary objective of the information collected for the </w:t>
            </w:r>
            <w:r w:rsidRPr="009C40EF">
              <w:rPr>
                <w:sz w:val="24"/>
                <w:szCs w:val="24"/>
              </w:rPr>
              <w:t xml:space="preserve">Hayden, AZ </w:t>
            </w:r>
            <w:r w:rsidRPr="009C40EF" w:rsidDel="0036112F">
              <w:rPr>
                <w:sz w:val="24"/>
                <w:szCs w:val="24"/>
              </w:rPr>
              <w:t xml:space="preserve">EI is to assess exposures to environmental </w:t>
            </w:r>
            <w:r w:rsidRPr="009C40EF">
              <w:rPr>
                <w:sz w:val="24"/>
                <w:szCs w:val="24"/>
              </w:rPr>
              <w:t>arsenic</w:t>
            </w:r>
            <w:r w:rsidRPr="009C40EF" w:rsidDel="0036112F">
              <w:rPr>
                <w:sz w:val="24"/>
                <w:szCs w:val="24"/>
              </w:rPr>
              <w:t>.</w:t>
            </w:r>
          </w:p>
          <w:p w14:paraId="7CB56D13" w14:textId="3852290B" w:rsidR="00977D5F" w:rsidRPr="00977D5F" w:rsidRDefault="009C40EF" w:rsidP="009C40EF">
            <w:pPr>
              <w:rPr>
                <w:sz w:val="24"/>
                <w:szCs w:val="24"/>
              </w:rPr>
            </w:pPr>
            <w:r w:rsidRPr="009C40EF">
              <w:rPr>
                <w:sz w:val="24"/>
                <w:szCs w:val="24"/>
              </w:rPr>
              <w:t>Because the ASARCO smelter site was shut down for maintenance during the time of the initial EI and arsenic levels in the air were not at a typical level for the site this follow up EI will provide a more accurate measure of the participants typical level of arsenic exposure at a time when the ASARCO smelter site is operating normally and arsenic levels in the air are at a typical level for the site. ATSDR will work with EPA to insure that the smelter site will be operational during the time period of testing. ATSDR will continue to evaluate air monitoring data provided by EPA before, during, and after the EI testing period to look for any evidence of a change in levels of arsenic in the air.</w:t>
            </w:r>
            <w:r>
              <w:rPr>
                <w:sz w:val="24"/>
                <w:szCs w:val="24"/>
              </w:rPr>
              <w:t xml:space="preserve"> </w:t>
            </w:r>
            <w:r w:rsidR="00B3644B" w:rsidRPr="009C40EF" w:rsidDel="0036112F">
              <w:rPr>
                <w:sz w:val="24"/>
                <w:szCs w:val="24"/>
              </w:rPr>
              <w:t xml:space="preserve">Data obtained during this EI will include analytical measures of </w:t>
            </w:r>
            <w:r w:rsidR="00B3644B" w:rsidRPr="009C40EF">
              <w:rPr>
                <w:sz w:val="24"/>
                <w:szCs w:val="24"/>
              </w:rPr>
              <w:t>arsenic in urine</w:t>
            </w:r>
            <w:r w:rsidR="00B3644B" w:rsidRPr="00B3644B" w:rsidDel="0036112F">
              <w:rPr>
                <w:sz w:val="24"/>
                <w:szCs w:val="24"/>
              </w:rPr>
              <w:t>. Information obtained from the participants assists the team in determining if exposure has occurred or is occurring. For this EI, a data collection system will include all of the measurements and procedures that are proposed to address data gaps in the urine sampling.</w:t>
            </w:r>
            <w:r w:rsidR="00B3644B">
              <w:rPr>
                <w:sz w:val="24"/>
                <w:szCs w:val="24"/>
              </w:rPr>
              <w:t xml:space="preserve"> </w:t>
            </w:r>
            <w:r w:rsidR="002B7FAF">
              <w:rPr>
                <w:sz w:val="24"/>
                <w:szCs w:val="24"/>
              </w:rPr>
              <w:t xml:space="preserve">We will </w:t>
            </w:r>
            <w:r w:rsidR="00E04405">
              <w:rPr>
                <w:sz w:val="24"/>
                <w:szCs w:val="24"/>
              </w:rPr>
              <w:t>compare</w:t>
            </w:r>
            <w:r w:rsidR="00B3644B">
              <w:rPr>
                <w:sz w:val="24"/>
                <w:szCs w:val="24"/>
              </w:rPr>
              <w:t xml:space="preserve"> the results with urinary arsenic levels from the previous ATDR Hayden EI and the </w:t>
            </w:r>
            <w:r w:rsidR="006B5535">
              <w:rPr>
                <w:sz w:val="24"/>
                <w:szCs w:val="24"/>
              </w:rPr>
              <w:t>levels of health concern</w:t>
            </w:r>
            <w:r w:rsidR="00B3644B">
              <w:rPr>
                <w:sz w:val="24"/>
                <w:szCs w:val="24"/>
              </w:rPr>
              <w:t xml:space="preserve">. We will also </w:t>
            </w:r>
            <w:r w:rsidR="006B5535">
              <w:rPr>
                <w:sz w:val="24"/>
                <w:szCs w:val="24"/>
              </w:rPr>
              <w:t>provide participants with their individual results</w:t>
            </w:r>
            <w:r w:rsidR="00B3644B">
              <w:rPr>
                <w:sz w:val="24"/>
                <w:szCs w:val="24"/>
              </w:rPr>
              <w:t xml:space="preserve">, interpretation and </w:t>
            </w:r>
            <w:r w:rsidR="006B5535">
              <w:rPr>
                <w:sz w:val="24"/>
                <w:szCs w:val="24"/>
              </w:rPr>
              <w:t>recommendations</w:t>
            </w:r>
            <w:r w:rsidR="00DF48D0">
              <w:rPr>
                <w:sz w:val="24"/>
                <w:szCs w:val="24"/>
              </w:rPr>
              <w:t>,</w:t>
            </w:r>
            <w:r w:rsidR="006B5535">
              <w:rPr>
                <w:sz w:val="24"/>
                <w:szCs w:val="24"/>
              </w:rPr>
              <w:t xml:space="preserve"> and write a summary report</w:t>
            </w:r>
            <w:r w:rsidR="00E36E2D">
              <w:rPr>
                <w:sz w:val="24"/>
                <w:szCs w:val="24"/>
              </w:rPr>
              <w:t xml:space="preserve"> (EI report</w:t>
            </w:r>
            <w:r w:rsidR="00DB40B9">
              <w:rPr>
                <w:sz w:val="24"/>
                <w:szCs w:val="24"/>
              </w:rPr>
              <w:t>, sample in Attachment 7</w:t>
            </w:r>
            <w:r w:rsidR="00E36E2D">
              <w:rPr>
                <w:sz w:val="24"/>
                <w:szCs w:val="24"/>
              </w:rPr>
              <w:t>)</w:t>
            </w:r>
            <w:r w:rsidR="006B5535">
              <w:rPr>
                <w:sz w:val="24"/>
                <w:szCs w:val="24"/>
              </w:rPr>
              <w:t>.</w:t>
            </w:r>
          </w:p>
        </w:tc>
      </w:tr>
      <w:tr w:rsidR="00977D5F" w14:paraId="2F59FB9B" w14:textId="77777777" w:rsidTr="00B50EEF">
        <w:tc>
          <w:tcPr>
            <w:tcW w:w="3168" w:type="dxa"/>
            <w:vAlign w:val="center"/>
          </w:tcPr>
          <w:p w14:paraId="7708BD98" w14:textId="77777777" w:rsidR="00977D5F" w:rsidRDefault="00977D5F" w:rsidP="005A3D6B">
            <w:pPr>
              <w:rPr>
                <w:b/>
                <w:sz w:val="24"/>
                <w:szCs w:val="24"/>
              </w:rPr>
            </w:pPr>
            <w:r>
              <w:rPr>
                <w:b/>
                <w:sz w:val="24"/>
                <w:szCs w:val="24"/>
              </w:rPr>
              <w:t>Environmental Sampling to be Completed:</w:t>
            </w:r>
          </w:p>
        </w:tc>
        <w:tc>
          <w:tcPr>
            <w:tcW w:w="7128" w:type="dxa"/>
            <w:vAlign w:val="center"/>
          </w:tcPr>
          <w:p w14:paraId="255E57C6" w14:textId="7F912C95" w:rsidR="00977D5F" w:rsidRPr="00977D5F" w:rsidRDefault="00F32AA2" w:rsidP="009C40EF">
            <w:pPr>
              <w:rPr>
                <w:sz w:val="24"/>
                <w:szCs w:val="24"/>
              </w:rPr>
            </w:pPr>
            <w:r>
              <w:rPr>
                <w:sz w:val="24"/>
                <w:szCs w:val="24"/>
              </w:rPr>
              <w:t>None</w:t>
            </w:r>
            <w:r w:rsidR="00AB6175">
              <w:rPr>
                <w:sz w:val="24"/>
                <w:szCs w:val="24"/>
              </w:rPr>
              <w:t xml:space="preserve">. EPA </w:t>
            </w:r>
            <w:r w:rsidR="00B3644B">
              <w:rPr>
                <w:sz w:val="24"/>
                <w:szCs w:val="24"/>
              </w:rPr>
              <w:t>has already conducted</w:t>
            </w:r>
            <w:r w:rsidR="00AB6175">
              <w:rPr>
                <w:sz w:val="24"/>
                <w:szCs w:val="24"/>
              </w:rPr>
              <w:t xml:space="preserve"> soil testing in </w:t>
            </w:r>
            <w:r w:rsidR="00B3644B">
              <w:rPr>
                <w:sz w:val="24"/>
                <w:szCs w:val="24"/>
              </w:rPr>
              <w:t>Hayden and Winkelman, AZ</w:t>
            </w:r>
            <w:r w:rsidR="003B7C8F">
              <w:rPr>
                <w:sz w:val="24"/>
                <w:szCs w:val="24"/>
              </w:rPr>
              <w:t xml:space="preserve"> as part of </w:t>
            </w:r>
            <w:r w:rsidR="00B3644B" w:rsidRPr="00B3644B">
              <w:rPr>
                <w:sz w:val="24"/>
                <w:szCs w:val="24"/>
              </w:rPr>
              <w:t>the Superfund Alternative Approach with the A</w:t>
            </w:r>
            <w:r w:rsidR="009C40EF">
              <w:rPr>
                <w:sz w:val="24"/>
                <w:szCs w:val="24"/>
              </w:rPr>
              <w:t>SARCO</w:t>
            </w:r>
            <w:r w:rsidR="00B3644B" w:rsidRPr="00B3644B">
              <w:rPr>
                <w:sz w:val="24"/>
                <w:szCs w:val="24"/>
              </w:rPr>
              <w:t xml:space="preserve"> smelter site</w:t>
            </w:r>
            <w:r w:rsidR="00B3644B">
              <w:rPr>
                <w:sz w:val="24"/>
                <w:szCs w:val="24"/>
              </w:rPr>
              <w:t>.</w:t>
            </w:r>
          </w:p>
        </w:tc>
      </w:tr>
      <w:tr w:rsidR="00977D5F" w14:paraId="14823B1C" w14:textId="77777777" w:rsidTr="00B50EEF">
        <w:tc>
          <w:tcPr>
            <w:tcW w:w="3168" w:type="dxa"/>
            <w:vAlign w:val="center"/>
          </w:tcPr>
          <w:p w14:paraId="2A163763" w14:textId="77777777" w:rsidR="00977D5F" w:rsidRDefault="00977D5F" w:rsidP="005A3D6B">
            <w:pPr>
              <w:rPr>
                <w:b/>
                <w:sz w:val="24"/>
                <w:szCs w:val="24"/>
              </w:rPr>
            </w:pPr>
            <w:r>
              <w:rPr>
                <w:b/>
                <w:sz w:val="24"/>
                <w:szCs w:val="24"/>
              </w:rPr>
              <w:t>Biological Sampling to be Completed:</w:t>
            </w:r>
          </w:p>
        </w:tc>
        <w:tc>
          <w:tcPr>
            <w:tcW w:w="7128" w:type="dxa"/>
            <w:vAlign w:val="center"/>
          </w:tcPr>
          <w:p w14:paraId="31578EC8" w14:textId="654815C0" w:rsidR="00593A63" w:rsidRDefault="009C40EF" w:rsidP="005A3D6B">
            <w:pPr>
              <w:rPr>
                <w:sz w:val="24"/>
                <w:szCs w:val="24"/>
              </w:rPr>
            </w:pPr>
            <w:r>
              <w:rPr>
                <w:sz w:val="24"/>
                <w:szCs w:val="24"/>
              </w:rPr>
              <w:t>Urine samples for urinary arsenic testing</w:t>
            </w:r>
            <w:r w:rsidR="00C53B06">
              <w:rPr>
                <w:sz w:val="24"/>
                <w:szCs w:val="24"/>
              </w:rPr>
              <w:t xml:space="preserve"> will occur in </w:t>
            </w:r>
            <w:r>
              <w:rPr>
                <w:sz w:val="24"/>
                <w:szCs w:val="24"/>
              </w:rPr>
              <w:t xml:space="preserve">the fall of 2017. </w:t>
            </w:r>
            <w:r w:rsidR="00C53B06">
              <w:rPr>
                <w:sz w:val="24"/>
                <w:szCs w:val="24"/>
              </w:rPr>
              <w:t xml:space="preserve"> </w:t>
            </w:r>
            <w:r w:rsidR="00C406EF">
              <w:rPr>
                <w:sz w:val="24"/>
                <w:szCs w:val="24"/>
              </w:rPr>
              <w:t xml:space="preserve">The following groups will be offered </w:t>
            </w:r>
            <w:r>
              <w:rPr>
                <w:sz w:val="24"/>
                <w:szCs w:val="24"/>
              </w:rPr>
              <w:t>repeat urinary arsenic testing i</w:t>
            </w:r>
            <w:r w:rsidR="00C406EF">
              <w:rPr>
                <w:sz w:val="24"/>
                <w:szCs w:val="24"/>
              </w:rPr>
              <w:t xml:space="preserve">n </w:t>
            </w:r>
            <w:r>
              <w:rPr>
                <w:sz w:val="24"/>
                <w:szCs w:val="24"/>
              </w:rPr>
              <w:t xml:space="preserve">the </w:t>
            </w:r>
            <w:r w:rsidR="000107BC">
              <w:rPr>
                <w:sz w:val="24"/>
                <w:szCs w:val="24"/>
              </w:rPr>
              <w:t>Hayden</w:t>
            </w:r>
            <w:r>
              <w:rPr>
                <w:sz w:val="24"/>
                <w:szCs w:val="24"/>
              </w:rPr>
              <w:t>/Winkelman area</w:t>
            </w:r>
            <w:r w:rsidR="00C406EF">
              <w:rPr>
                <w:sz w:val="24"/>
                <w:szCs w:val="24"/>
              </w:rPr>
              <w:t>:</w:t>
            </w:r>
          </w:p>
          <w:p w14:paraId="070D62E1" w14:textId="77777777" w:rsidR="00593A63" w:rsidRDefault="00593A63" w:rsidP="005A3D6B">
            <w:pPr>
              <w:rPr>
                <w:sz w:val="24"/>
                <w:szCs w:val="24"/>
              </w:rPr>
            </w:pPr>
          </w:p>
          <w:p w14:paraId="04E55ED7" w14:textId="785455F5" w:rsidR="009C40EF" w:rsidRDefault="009C40EF" w:rsidP="00C406EF">
            <w:pPr>
              <w:pStyle w:val="ListParagraph"/>
              <w:numPr>
                <w:ilvl w:val="0"/>
                <w:numId w:val="5"/>
              </w:numPr>
              <w:rPr>
                <w:sz w:val="24"/>
                <w:szCs w:val="24"/>
              </w:rPr>
            </w:pPr>
            <w:r>
              <w:rPr>
                <w:sz w:val="24"/>
                <w:szCs w:val="24"/>
              </w:rPr>
              <w:t>58 participants in the initial EI that provided a urine specimen. This includes:</w:t>
            </w:r>
          </w:p>
          <w:p w14:paraId="7CA51A89" w14:textId="7DEAC4A0" w:rsidR="009C40EF" w:rsidRPr="00E84F8D" w:rsidRDefault="00C406EF" w:rsidP="009C40EF">
            <w:pPr>
              <w:pStyle w:val="ListParagraph"/>
              <w:numPr>
                <w:ilvl w:val="1"/>
                <w:numId w:val="21"/>
              </w:numPr>
              <w:ind w:left="1080"/>
              <w:rPr>
                <w:sz w:val="24"/>
                <w:szCs w:val="24"/>
              </w:rPr>
            </w:pPr>
            <w:r w:rsidRPr="00C406EF">
              <w:rPr>
                <w:sz w:val="24"/>
                <w:szCs w:val="24"/>
              </w:rPr>
              <w:t xml:space="preserve">Children </w:t>
            </w:r>
            <w:r w:rsidR="009C40EF">
              <w:rPr>
                <w:sz w:val="24"/>
                <w:szCs w:val="24"/>
              </w:rPr>
              <w:t xml:space="preserve">and adolescents who were aged </w:t>
            </w:r>
            <w:r w:rsidR="009C40EF" w:rsidRPr="00E84F8D">
              <w:rPr>
                <w:sz w:val="24"/>
                <w:szCs w:val="24"/>
              </w:rPr>
              <w:t>6 years</w:t>
            </w:r>
            <w:r w:rsidR="009C40EF">
              <w:rPr>
                <w:sz w:val="24"/>
                <w:szCs w:val="24"/>
              </w:rPr>
              <w:t xml:space="preserve"> to 1</w:t>
            </w:r>
            <w:r w:rsidR="00EE37C6">
              <w:rPr>
                <w:sz w:val="24"/>
                <w:szCs w:val="24"/>
              </w:rPr>
              <w:t>8</w:t>
            </w:r>
            <w:r w:rsidR="009C40EF">
              <w:rPr>
                <w:sz w:val="24"/>
                <w:szCs w:val="24"/>
              </w:rPr>
              <w:t xml:space="preserve"> years at the time of the initial EI who participated in the initial EI.</w:t>
            </w:r>
            <w:bookmarkStart w:id="0" w:name="_GoBack"/>
            <w:bookmarkEnd w:id="0"/>
          </w:p>
          <w:p w14:paraId="64F80596" w14:textId="77777777" w:rsidR="009C40EF" w:rsidRPr="00E84F8D" w:rsidRDefault="009C40EF" w:rsidP="009C40EF">
            <w:pPr>
              <w:pStyle w:val="ListParagraph"/>
              <w:numPr>
                <w:ilvl w:val="1"/>
                <w:numId w:val="21"/>
              </w:numPr>
              <w:ind w:left="1080"/>
              <w:rPr>
                <w:sz w:val="24"/>
                <w:szCs w:val="24"/>
              </w:rPr>
            </w:pPr>
            <w:r>
              <w:rPr>
                <w:sz w:val="24"/>
                <w:szCs w:val="24"/>
              </w:rPr>
              <w:t>W</w:t>
            </w:r>
            <w:r w:rsidRPr="001F3964">
              <w:rPr>
                <w:sz w:val="24"/>
                <w:szCs w:val="24"/>
              </w:rPr>
              <w:t xml:space="preserve">omen who </w:t>
            </w:r>
            <w:r>
              <w:rPr>
                <w:sz w:val="24"/>
                <w:szCs w:val="24"/>
              </w:rPr>
              <w:t xml:space="preserve">were </w:t>
            </w:r>
            <w:r w:rsidRPr="001F3964">
              <w:rPr>
                <w:sz w:val="24"/>
                <w:szCs w:val="24"/>
              </w:rPr>
              <w:t xml:space="preserve">pregnant or of childbearing </w:t>
            </w:r>
            <w:r>
              <w:rPr>
                <w:sz w:val="24"/>
                <w:szCs w:val="24"/>
              </w:rPr>
              <w:t>age at the time of the initial EI</w:t>
            </w:r>
            <w:r w:rsidRPr="001F3964">
              <w:rPr>
                <w:sz w:val="24"/>
                <w:szCs w:val="24"/>
              </w:rPr>
              <w:t xml:space="preserve"> </w:t>
            </w:r>
            <w:r>
              <w:rPr>
                <w:sz w:val="24"/>
                <w:szCs w:val="24"/>
              </w:rPr>
              <w:t>who participated in the initial EI.</w:t>
            </w:r>
          </w:p>
          <w:p w14:paraId="3805DB08" w14:textId="61469AD5" w:rsidR="00DA45A1" w:rsidRPr="009C40EF" w:rsidRDefault="009C40EF" w:rsidP="00593A63">
            <w:pPr>
              <w:pStyle w:val="ListParagraph"/>
              <w:numPr>
                <w:ilvl w:val="1"/>
                <w:numId w:val="21"/>
              </w:numPr>
              <w:ind w:left="720"/>
              <w:rPr>
                <w:sz w:val="24"/>
                <w:szCs w:val="24"/>
              </w:rPr>
            </w:pPr>
            <w:r w:rsidRPr="009C40EF">
              <w:rPr>
                <w:sz w:val="24"/>
                <w:szCs w:val="24"/>
              </w:rPr>
              <w:t xml:space="preserve">In additional full time residents of Hayden and Winkelman who request testing will </w:t>
            </w:r>
            <w:r w:rsidRPr="009C40EF">
              <w:rPr>
                <w:rFonts w:eastAsia="Times New Roman" w:cs="Times New Roman"/>
                <w:color w:val="212121"/>
                <w:sz w:val="24"/>
                <w:szCs w:val="24"/>
              </w:rPr>
              <w:t>be accommodated if space and testing equipment is available up to a maximum of 60 participants. Although not required the focus for these additional tests will include:</w:t>
            </w:r>
          </w:p>
          <w:p w14:paraId="53B0A077" w14:textId="32C858B7" w:rsidR="00593A63" w:rsidRDefault="00C559A7" w:rsidP="009C40EF">
            <w:pPr>
              <w:pStyle w:val="ListParagraph"/>
              <w:numPr>
                <w:ilvl w:val="0"/>
                <w:numId w:val="22"/>
              </w:numPr>
              <w:ind w:left="1080"/>
              <w:rPr>
                <w:sz w:val="24"/>
                <w:szCs w:val="24"/>
              </w:rPr>
            </w:pPr>
            <w:r>
              <w:rPr>
                <w:sz w:val="24"/>
                <w:szCs w:val="24"/>
              </w:rPr>
              <w:t>Siblings of participants that are</w:t>
            </w:r>
            <w:r w:rsidR="00995A52">
              <w:rPr>
                <w:sz w:val="24"/>
                <w:szCs w:val="24"/>
              </w:rPr>
              <w:t xml:space="preserve"> </w:t>
            </w:r>
            <w:r w:rsidR="00BB3C08">
              <w:rPr>
                <w:sz w:val="24"/>
                <w:szCs w:val="24"/>
              </w:rPr>
              <w:t xml:space="preserve">older than </w:t>
            </w:r>
            <w:r>
              <w:rPr>
                <w:sz w:val="24"/>
                <w:szCs w:val="24"/>
              </w:rPr>
              <w:t>6</w:t>
            </w:r>
            <w:r w:rsidR="000A030D">
              <w:rPr>
                <w:sz w:val="24"/>
                <w:szCs w:val="24"/>
              </w:rPr>
              <w:t xml:space="preserve"> </w:t>
            </w:r>
            <w:r>
              <w:rPr>
                <w:sz w:val="24"/>
                <w:szCs w:val="24"/>
              </w:rPr>
              <w:t xml:space="preserve">years </w:t>
            </w:r>
          </w:p>
          <w:p w14:paraId="3A08D7E9" w14:textId="410CD1C5" w:rsidR="00593A63" w:rsidRPr="00EB0D65" w:rsidRDefault="009C40EF" w:rsidP="009C40EF">
            <w:pPr>
              <w:pStyle w:val="ListParagraph"/>
              <w:numPr>
                <w:ilvl w:val="0"/>
                <w:numId w:val="22"/>
              </w:numPr>
              <w:ind w:left="1080"/>
              <w:rPr>
                <w:sz w:val="24"/>
                <w:szCs w:val="24"/>
              </w:rPr>
            </w:pPr>
            <w:r>
              <w:rPr>
                <w:sz w:val="24"/>
                <w:szCs w:val="24"/>
              </w:rPr>
              <w:t>W</w:t>
            </w:r>
            <w:r w:rsidRPr="001F3964">
              <w:rPr>
                <w:sz w:val="24"/>
                <w:szCs w:val="24"/>
              </w:rPr>
              <w:t xml:space="preserve">omen who </w:t>
            </w:r>
            <w:r>
              <w:rPr>
                <w:sz w:val="24"/>
                <w:szCs w:val="24"/>
              </w:rPr>
              <w:t xml:space="preserve">are </w:t>
            </w:r>
            <w:r w:rsidRPr="001F3964">
              <w:rPr>
                <w:sz w:val="24"/>
                <w:szCs w:val="24"/>
              </w:rPr>
              <w:t xml:space="preserve">pregnant </w:t>
            </w:r>
          </w:p>
          <w:p w14:paraId="004FE7F4" w14:textId="77777777" w:rsidR="00EB0D65" w:rsidRPr="00593A63" w:rsidRDefault="00EB0D65" w:rsidP="00593A63">
            <w:pPr>
              <w:rPr>
                <w:sz w:val="24"/>
                <w:szCs w:val="24"/>
              </w:rPr>
            </w:pPr>
          </w:p>
        </w:tc>
      </w:tr>
      <w:tr w:rsidR="00977D5F" w14:paraId="30C36960" w14:textId="77777777" w:rsidTr="00B50EEF">
        <w:tc>
          <w:tcPr>
            <w:tcW w:w="3168" w:type="dxa"/>
            <w:vAlign w:val="center"/>
          </w:tcPr>
          <w:p w14:paraId="63224EE1" w14:textId="6E74224A" w:rsidR="00977D5F" w:rsidRDefault="00977D5F" w:rsidP="005A3D6B">
            <w:pPr>
              <w:rPr>
                <w:b/>
                <w:sz w:val="24"/>
                <w:szCs w:val="24"/>
              </w:rPr>
            </w:pPr>
            <w:r>
              <w:rPr>
                <w:b/>
                <w:sz w:val="24"/>
                <w:szCs w:val="24"/>
              </w:rPr>
              <w:lastRenderedPageBreak/>
              <w:t>Data Collection and Analysis Procedures:</w:t>
            </w:r>
          </w:p>
        </w:tc>
        <w:tc>
          <w:tcPr>
            <w:tcW w:w="7128" w:type="dxa"/>
            <w:vAlign w:val="center"/>
          </w:tcPr>
          <w:p w14:paraId="3638EE4E" w14:textId="77777777" w:rsidR="00C559A7" w:rsidRPr="009A5708" w:rsidRDefault="00B65000" w:rsidP="004B0DC0">
            <w:pPr>
              <w:rPr>
                <w:sz w:val="24"/>
                <w:szCs w:val="24"/>
              </w:rPr>
            </w:pPr>
            <w:r w:rsidRPr="0000462E">
              <w:rPr>
                <w:sz w:val="24"/>
                <w:szCs w:val="24"/>
                <w:u w:val="single"/>
              </w:rPr>
              <w:t>Recruitment of Participants:</w:t>
            </w:r>
            <w:r w:rsidR="004B0DC0" w:rsidRPr="009A5708">
              <w:rPr>
                <w:sz w:val="24"/>
                <w:szCs w:val="24"/>
                <w:u w:val="single"/>
              </w:rPr>
              <w:t xml:space="preserve"> </w:t>
            </w:r>
            <w:r w:rsidR="004B0DC0" w:rsidRPr="00700B89">
              <w:rPr>
                <w:sz w:val="24"/>
                <w:szCs w:val="24"/>
              </w:rPr>
              <w:t>Supporting Statements A and B are provided in Attachments 1 and 2. The Supporting Statements outline the EI data collection and analysis procedures.</w:t>
            </w:r>
            <w:r w:rsidR="004B0DC0" w:rsidRPr="0000462E">
              <w:rPr>
                <w:sz w:val="24"/>
                <w:szCs w:val="24"/>
              </w:rPr>
              <w:t xml:space="preserve"> </w:t>
            </w:r>
          </w:p>
          <w:p w14:paraId="411AE6D9" w14:textId="77777777" w:rsidR="00C559A7" w:rsidRPr="009A5708" w:rsidRDefault="00C559A7" w:rsidP="004B0DC0">
            <w:pPr>
              <w:rPr>
                <w:sz w:val="24"/>
                <w:szCs w:val="24"/>
              </w:rPr>
            </w:pPr>
          </w:p>
          <w:p w14:paraId="4016FBBB" w14:textId="77777777" w:rsidR="001E03FD" w:rsidRPr="0000462E" w:rsidRDefault="001E03FD" w:rsidP="00C559A7">
            <w:pPr>
              <w:pStyle w:val="ListParagraph"/>
              <w:numPr>
                <w:ilvl w:val="0"/>
                <w:numId w:val="13"/>
              </w:numPr>
              <w:rPr>
                <w:sz w:val="24"/>
                <w:szCs w:val="24"/>
              </w:rPr>
            </w:pPr>
            <w:r w:rsidRPr="0000462E">
              <w:rPr>
                <w:sz w:val="24"/>
                <w:szCs w:val="24"/>
              </w:rPr>
              <w:t xml:space="preserve">Recruitment: </w:t>
            </w:r>
          </w:p>
          <w:p w14:paraId="604FFC6E" w14:textId="1FA3B09B" w:rsidR="005B2F62" w:rsidRDefault="005B2F62" w:rsidP="001E03FD">
            <w:pPr>
              <w:pStyle w:val="ListParagraph"/>
              <w:numPr>
                <w:ilvl w:val="1"/>
                <w:numId w:val="13"/>
              </w:numPr>
              <w:rPr>
                <w:sz w:val="24"/>
                <w:szCs w:val="24"/>
              </w:rPr>
            </w:pPr>
            <w:r>
              <w:rPr>
                <w:sz w:val="24"/>
                <w:szCs w:val="24"/>
              </w:rPr>
              <w:t>Participants (or their parent/guardian) will be contacted via mail</w:t>
            </w:r>
            <w:r w:rsidR="00170CDE">
              <w:rPr>
                <w:sz w:val="24"/>
                <w:szCs w:val="24"/>
              </w:rPr>
              <w:t xml:space="preserve"> (</w:t>
            </w:r>
            <w:r w:rsidR="00170CDE" w:rsidRPr="00D25D4F">
              <w:rPr>
                <w:sz w:val="24"/>
                <w:szCs w:val="24"/>
              </w:rPr>
              <w:t>Attachment 8)</w:t>
            </w:r>
            <w:r w:rsidRPr="00D25D4F">
              <w:rPr>
                <w:sz w:val="24"/>
                <w:szCs w:val="24"/>
              </w:rPr>
              <w:t xml:space="preserve"> to inform</w:t>
            </w:r>
            <w:r>
              <w:rPr>
                <w:sz w:val="24"/>
                <w:szCs w:val="24"/>
              </w:rPr>
              <w:t xml:space="preserve"> them of the opportunity for retesting and offered an opportunity to schedule an appointment. </w:t>
            </w:r>
          </w:p>
          <w:p w14:paraId="2A1E7A59" w14:textId="2B23FF16" w:rsidR="005B2F62" w:rsidRPr="005B2F62" w:rsidRDefault="005B2F62" w:rsidP="005B2F62">
            <w:pPr>
              <w:pStyle w:val="ListParagraph"/>
              <w:numPr>
                <w:ilvl w:val="1"/>
                <w:numId w:val="13"/>
              </w:numPr>
              <w:rPr>
                <w:sz w:val="24"/>
                <w:szCs w:val="24"/>
              </w:rPr>
            </w:pPr>
            <w:r w:rsidRPr="005B2F62">
              <w:rPr>
                <w:sz w:val="24"/>
                <w:szCs w:val="24"/>
              </w:rPr>
              <w:t xml:space="preserve">Participants who do not respond to the mail contact will be contacted by ATSDR or partner staff during a door to door canvas of the community. </w:t>
            </w:r>
          </w:p>
          <w:p w14:paraId="6C0DD449" w14:textId="402AB40E" w:rsidR="0076482D" w:rsidRDefault="00593A63" w:rsidP="00BD1DE4">
            <w:pPr>
              <w:pStyle w:val="ListParagraph"/>
              <w:numPr>
                <w:ilvl w:val="0"/>
                <w:numId w:val="8"/>
              </w:numPr>
              <w:rPr>
                <w:sz w:val="24"/>
                <w:szCs w:val="24"/>
              </w:rPr>
            </w:pPr>
            <w:r>
              <w:rPr>
                <w:sz w:val="24"/>
                <w:szCs w:val="24"/>
              </w:rPr>
              <w:t>Collection:</w:t>
            </w:r>
            <w:r w:rsidR="005A6D67">
              <w:rPr>
                <w:sz w:val="24"/>
                <w:szCs w:val="24"/>
              </w:rPr>
              <w:t xml:space="preserve"> </w:t>
            </w:r>
            <w:r w:rsidR="0076482D">
              <w:rPr>
                <w:sz w:val="24"/>
                <w:szCs w:val="24"/>
              </w:rPr>
              <w:t xml:space="preserve">All participants will be provided </w:t>
            </w:r>
            <w:r w:rsidR="00E41AC1">
              <w:rPr>
                <w:sz w:val="24"/>
                <w:szCs w:val="24"/>
              </w:rPr>
              <w:t xml:space="preserve">a </w:t>
            </w:r>
            <w:r w:rsidR="00854A8B">
              <w:rPr>
                <w:sz w:val="24"/>
                <w:szCs w:val="24"/>
              </w:rPr>
              <w:t>parental permission</w:t>
            </w:r>
            <w:r w:rsidR="005C389D">
              <w:rPr>
                <w:sz w:val="24"/>
                <w:szCs w:val="24"/>
              </w:rPr>
              <w:t>/</w:t>
            </w:r>
            <w:r w:rsidR="00995A52">
              <w:rPr>
                <w:sz w:val="24"/>
                <w:szCs w:val="24"/>
              </w:rPr>
              <w:t xml:space="preserve">child </w:t>
            </w:r>
            <w:r w:rsidR="00E41AC1">
              <w:rPr>
                <w:sz w:val="24"/>
                <w:szCs w:val="24"/>
              </w:rPr>
              <w:t>assent/</w:t>
            </w:r>
            <w:r w:rsidR="00995A52">
              <w:rPr>
                <w:sz w:val="24"/>
                <w:szCs w:val="24"/>
              </w:rPr>
              <w:t xml:space="preserve">adult </w:t>
            </w:r>
            <w:r w:rsidR="005C389D">
              <w:rPr>
                <w:sz w:val="24"/>
                <w:szCs w:val="24"/>
              </w:rPr>
              <w:t>consent</w:t>
            </w:r>
            <w:r w:rsidR="0076482D">
              <w:rPr>
                <w:sz w:val="24"/>
                <w:szCs w:val="24"/>
              </w:rPr>
              <w:t xml:space="preserve"> form to sign</w:t>
            </w:r>
            <w:r w:rsidR="00147B01">
              <w:rPr>
                <w:sz w:val="24"/>
                <w:szCs w:val="24"/>
              </w:rPr>
              <w:t xml:space="preserve"> for children being tested</w:t>
            </w:r>
            <w:r w:rsidR="00611BBC">
              <w:rPr>
                <w:sz w:val="24"/>
                <w:szCs w:val="24"/>
              </w:rPr>
              <w:t xml:space="preserve">. Child assent will be obtained for children </w:t>
            </w:r>
            <w:r w:rsidR="00BD1DE4">
              <w:rPr>
                <w:sz w:val="24"/>
                <w:szCs w:val="24"/>
              </w:rPr>
              <w:t>7</w:t>
            </w:r>
            <w:r w:rsidR="00BD1DE4" w:rsidRPr="00BD1DE4">
              <w:rPr>
                <w:sz w:val="24"/>
                <w:szCs w:val="24"/>
              </w:rPr>
              <w:t xml:space="preserve"> years to less than 18 years of age </w:t>
            </w:r>
            <w:r w:rsidR="00147B01">
              <w:rPr>
                <w:sz w:val="24"/>
                <w:szCs w:val="24"/>
              </w:rPr>
              <w:t>and a consent form will be signed by women</w:t>
            </w:r>
            <w:r w:rsidR="00611BBC">
              <w:rPr>
                <w:sz w:val="24"/>
                <w:szCs w:val="24"/>
              </w:rPr>
              <w:t xml:space="preserve">. </w:t>
            </w:r>
            <w:r w:rsidR="00D32CFC">
              <w:rPr>
                <w:sz w:val="24"/>
                <w:szCs w:val="24"/>
              </w:rPr>
              <w:t>Adult participants and parental/guardian proxies for children</w:t>
            </w:r>
            <w:r w:rsidR="0076482D">
              <w:rPr>
                <w:sz w:val="24"/>
                <w:szCs w:val="24"/>
              </w:rPr>
              <w:t xml:space="preserve"> will be asked </w:t>
            </w:r>
            <w:r w:rsidR="00E27222">
              <w:rPr>
                <w:sz w:val="24"/>
                <w:szCs w:val="24"/>
              </w:rPr>
              <w:t>questions to allow a better interpretation of</w:t>
            </w:r>
            <w:r w:rsidR="00B54838">
              <w:rPr>
                <w:sz w:val="24"/>
                <w:szCs w:val="24"/>
              </w:rPr>
              <w:t xml:space="preserve"> </w:t>
            </w:r>
            <w:r w:rsidR="000F369B">
              <w:rPr>
                <w:sz w:val="24"/>
                <w:szCs w:val="24"/>
              </w:rPr>
              <w:t>urinary arsenic</w:t>
            </w:r>
            <w:r w:rsidR="0078138E">
              <w:rPr>
                <w:sz w:val="24"/>
                <w:szCs w:val="24"/>
              </w:rPr>
              <w:t xml:space="preserve"> </w:t>
            </w:r>
            <w:r w:rsidR="00E27222">
              <w:rPr>
                <w:sz w:val="24"/>
                <w:szCs w:val="24"/>
              </w:rPr>
              <w:t xml:space="preserve">results. The questionnaire to be used in the EI is attached (Attachment </w:t>
            </w:r>
            <w:r w:rsidR="00B348E2">
              <w:rPr>
                <w:sz w:val="24"/>
                <w:szCs w:val="24"/>
              </w:rPr>
              <w:t>4</w:t>
            </w:r>
            <w:r w:rsidR="00E27222">
              <w:rPr>
                <w:sz w:val="24"/>
                <w:szCs w:val="24"/>
              </w:rPr>
              <w:t>)</w:t>
            </w:r>
            <w:r w:rsidR="005A6D67">
              <w:rPr>
                <w:sz w:val="24"/>
                <w:szCs w:val="24"/>
              </w:rPr>
              <w:t>, and is estimated to take 20 minutes to complete.</w:t>
            </w:r>
          </w:p>
          <w:p w14:paraId="6995E86E" w14:textId="3C926BBB" w:rsidR="001C2596" w:rsidRPr="00B348E2" w:rsidRDefault="001C2596" w:rsidP="00B50EEF">
            <w:pPr>
              <w:pStyle w:val="ListParagraph"/>
              <w:numPr>
                <w:ilvl w:val="0"/>
                <w:numId w:val="8"/>
              </w:numPr>
              <w:rPr>
                <w:sz w:val="24"/>
                <w:szCs w:val="24"/>
              </w:rPr>
            </w:pPr>
            <w:r>
              <w:rPr>
                <w:sz w:val="24"/>
                <w:szCs w:val="24"/>
              </w:rPr>
              <w:t xml:space="preserve">The </w:t>
            </w:r>
            <w:r w:rsidR="00AC57A7">
              <w:rPr>
                <w:sz w:val="24"/>
                <w:szCs w:val="24"/>
              </w:rPr>
              <w:t xml:space="preserve">human </w:t>
            </w:r>
            <w:proofErr w:type="gramStart"/>
            <w:r w:rsidR="00AC57A7">
              <w:rPr>
                <w:sz w:val="24"/>
                <w:szCs w:val="24"/>
              </w:rPr>
              <w:t>subjects</w:t>
            </w:r>
            <w:proofErr w:type="gramEnd"/>
            <w:r>
              <w:rPr>
                <w:sz w:val="24"/>
                <w:szCs w:val="24"/>
              </w:rPr>
              <w:t xml:space="preserve"> d</w:t>
            </w:r>
            <w:r w:rsidR="00D32CFC">
              <w:rPr>
                <w:sz w:val="24"/>
                <w:szCs w:val="24"/>
              </w:rPr>
              <w:t>etermination</w:t>
            </w:r>
            <w:r>
              <w:rPr>
                <w:sz w:val="24"/>
                <w:szCs w:val="24"/>
              </w:rPr>
              <w:t xml:space="preserve"> is provided in Attachment </w:t>
            </w:r>
            <w:r w:rsidR="00B348E2">
              <w:rPr>
                <w:sz w:val="24"/>
                <w:szCs w:val="24"/>
              </w:rPr>
              <w:t>5</w:t>
            </w:r>
            <w:r>
              <w:rPr>
                <w:sz w:val="24"/>
                <w:szCs w:val="24"/>
              </w:rPr>
              <w:t xml:space="preserve">. </w:t>
            </w:r>
            <w:r w:rsidR="00245FE8">
              <w:rPr>
                <w:sz w:val="24"/>
                <w:szCs w:val="24"/>
              </w:rPr>
              <w:t>The EI</w:t>
            </w:r>
            <w:r w:rsidRPr="001C2596">
              <w:rPr>
                <w:sz w:val="24"/>
                <w:szCs w:val="24"/>
              </w:rPr>
              <w:t xml:space="preserve"> is not considered a research study</w:t>
            </w:r>
            <w:r w:rsidR="008529CA">
              <w:rPr>
                <w:sz w:val="24"/>
                <w:szCs w:val="24"/>
              </w:rPr>
              <w:t>;</w:t>
            </w:r>
            <w:r w:rsidRPr="001C2596">
              <w:rPr>
                <w:sz w:val="24"/>
                <w:szCs w:val="24"/>
              </w:rPr>
              <w:t xml:space="preserve"> </w:t>
            </w:r>
            <w:r w:rsidR="008529CA">
              <w:rPr>
                <w:sz w:val="24"/>
                <w:szCs w:val="24"/>
              </w:rPr>
              <w:t>i</w:t>
            </w:r>
            <w:r w:rsidRPr="001C2596">
              <w:rPr>
                <w:sz w:val="24"/>
                <w:szCs w:val="24"/>
              </w:rPr>
              <w:t xml:space="preserve">ts primary intent is </w:t>
            </w:r>
            <w:r w:rsidR="00995A52">
              <w:rPr>
                <w:sz w:val="24"/>
                <w:szCs w:val="24"/>
              </w:rPr>
              <w:t xml:space="preserve">to provide a </w:t>
            </w:r>
            <w:r w:rsidRPr="001C2596">
              <w:rPr>
                <w:sz w:val="24"/>
                <w:szCs w:val="24"/>
              </w:rPr>
              <w:t xml:space="preserve">public health </w:t>
            </w:r>
            <w:r w:rsidR="00995A52">
              <w:rPr>
                <w:sz w:val="24"/>
                <w:szCs w:val="24"/>
              </w:rPr>
              <w:t>service for the community</w:t>
            </w:r>
            <w:r>
              <w:rPr>
                <w:sz w:val="24"/>
                <w:szCs w:val="24"/>
              </w:rPr>
              <w:t>.</w:t>
            </w:r>
          </w:p>
          <w:p w14:paraId="3702C42A" w14:textId="38D29C31" w:rsidR="006C2E1C" w:rsidRDefault="005B2F62" w:rsidP="00B50EEF">
            <w:pPr>
              <w:pStyle w:val="ListParagraph"/>
              <w:numPr>
                <w:ilvl w:val="0"/>
                <w:numId w:val="8"/>
              </w:numPr>
              <w:rPr>
                <w:sz w:val="24"/>
                <w:szCs w:val="24"/>
              </w:rPr>
            </w:pPr>
            <w:r>
              <w:rPr>
                <w:sz w:val="24"/>
                <w:szCs w:val="24"/>
              </w:rPr>
              <w:t xml:space="preserve">Participants will be provided an appropriate urine specimen sample cup provided by the CDC Division of laboratory Sciences. Where possible these specimen cups will be provided to participants in advance along with instructions for collection of the specimens as a first morning void. Specimen cups will also be available to collect a spot sample as necessary at the collection site. </w:t>
            </w:r>
            <w:r w:rsidR="0076482D">
              <w:rPr>
                <w:sz w:val="24"/>
                <w:szCs w:val="24"/>
              </w:rPr>
              <w:t xml:space="preserve">ATSDR personnel will pack and ship the samples </w:t>
            </w:r>
            <w:r w:rsidR="00D3577B">
              <w:rPr>
                <w:sz w:val="24"/>
                <w:szCs w:val="24"/>
              </w:rPr>
              <w:t xml:space="preserve">overnight </w:t>
            </w:r>
            <w:r w:rsidR="0076482D">
              <w:rPr>
                <w:sz w:val="24"/>
                <w:szCs w:val="24"/>
              </w:rPr>
              <w:t xml:space="preserve">to the </w:t>
            </w:r>
            <w:r w:rsidR="00D3577B">
              <w:rPr>
                <w:sz w:val="24"/>
                <w:szCs w:val="24"/>
              </w:rPr>
              <w:t xml:space="preserve">NCEH </w:t>
            </w:r>
            <w:r w:rsidR="0076482D">
              <w:rPr>
                <w:sz w:val="24"/>
                <w:szCs w:val="24"/>
              </w:rPr>
              <w:t>laboratory</w:t>
            </w:r>
            <w:r w:rsidR="006C23C0">
              <w:rPr>
                <w:sz w:val="24"/>
                <w:szCs w:val="24"/>
              </w:rPr>
              <w:t xml:space="preserve"> from the collection site</w:t>
            </w:r>
            <w:r w:rsidR="0076482D">
              <w:rPr>
                <w:sz w:val="24"/>
                <w:szCs w:val="24"/>
              </w:rPr>
              <w:t>.</w:t>
            </w:r>
            <w:r w:rsidR="008D593A">
              <w:rPr>
                <w:sz w:val="24"/>
                <w:szCs w:val="24"/>
              </w:rPr>
              <w:t xml:space="preserve"> Collection of the </w:t>
            </w:r>
            <w:r>
              <w:rPr>
                <w:sz w:val="24"/>
                <w:szCs w:val="24"/>
              </w:rPr>
              <w:t>urine</w:t>
            </w:r>
            <w:r w:rsidR="008D593A">
              <w:rPr>
                <w:sz w:val="24"/>
                <w:szCs w:val="24"/>
              </w:rPr>
              <w:t xml:space="preserve"> sample is estimated to take 10 minutes to complete.</w:t>
            </w:r>
          </w:p>
          <w:p w14:paraId="002C50EF" w14:textId="77777777" w:rsidR="006C2E1C" w:rsidRPr="000F454D" w:rsidRDefault="006C2E1C" w:rsidP="00B50EEF">
            <w:pPr>
              <w:rPr>
                <w:sz w:val="24"/>
                <w:szCs w:val="24"/>
                <w:u w:val="single"/>
              </w:rPr>
            </w:pPr>
            <w:r w:rsidRPr="000F454D">
              <w:rPr>
                <w:sz w:val="24"/>
                <w:szCs w:val="24"/>
                <w:u w:val="single"/>
              </w:rPr>
              <w:t>Analysis:</w:t>
            </w:r>
          </w:p>
          <w:p w14:paraId="3919E06C" w14:textId="59380CCC" w:rsidR="006C2E1C" w:rsidRPr="00700B89" w:rsidRDefault="006C2E1C" w:rsidP="005B2F62">
            <w:pPr>
              <w:pStyle w:val="ListParagraph"/>
              <w:numPr>
                <w:ilvl w:val="0"/>
                <w:numId w:val="7"/>
              </w:numPr>
              <w:rPr>
                <w:sz w:val="24"/>
                <w:szCs w:val="24"/>
              </w:rPr>
            </w:pPr>
            <w:r>
              <w:rPr>
                <w:sz w:val="24"/>
                <w:szCs w:val="24"/>
              </w:rPr>
              <w:t xml:space="preserve">The </w:t>
            </w:r>
            <w:r w:rsidR="005B2F62">
              <w:rPr>
                <w:sz w:val="24"/>
                <w:szCs w:val="24"/>
              </w:rPr>
              <w:t xml:space="preserve">urine </w:t>
            </w:r>
            <w:r>
              <w:rPr>
                <w:sz w:val="24"/>
                <w:szCs w:val="24"/>
              </w:rPr>
              <w:t xml:space="preserve">samples will be </w:t>
            </w:r>
            <w:r w:rsidR="00BA09ED">
              <w:rPr>
                <w:sz w:val="24"/>
                <w:szCs w:val="24"/>
              </w:rPr>
              <w:t>analy</w:t>
            </w:r>
            <w:r w:rsidR="00E36E2D">
              <w:rPr>
                <w:sz w:val="24"/>
                <w:szCs w:val="24"/>
              </w:rPr>
              <w:t>z</w:t>
            </w:r>
            <w:r w:rsidR="00BA09ED">
              <w:rPr>
                <w:sz w:val="24"/>
                <w:szCs w:val="24"/>
              </w:rPr>
              <w:t xml:space="preserve">ed </w:t>
            </w:r>
            <w:r>
              <w:rPr>
                <w:sz w:val="24"/>
                <w:szCs w:val="24"/>
              </w:rPr>
              <w:t xml:space="preserve">by the NCEH laboratory </w:t>
            </w:r>
            <w:r w:rsidR="00AC47D1">
              <w:rPr>
                <w:sz w:val="24"/>
                <w:szCs w:val="24"/>
              </w:rPr>
              <w:t>using state-of-art laboratory methods</w:t>
            </w:r>
            <w:r w:rsidR="00CE22E8">
              <w:rPr>
                <w:sz w:val="24"/>
                <w:szCs w:val="24"/>
              </w:rPr>
              <w:t>.</w:t>
            </w:r>
          </w:p>
        </w:tc>
      </w:tr>
      <w:tr w:rsidR="00977D5F" w14:paraId="7FEF61C7" w14:textId="77777777" w:rsidTr="00B50EEF">
        <w:tc>
          <w:tcPr>
            <w:tcW w:w="3168" w:type="dxa"/>
            <w:vAlign w:val="center"/>
          </w:tcPr>
          <w:p w14:paraId="53AE4F0E" w14:textId="7793E7CB" w:rsidR="00977D5F" w:rsidRDefault="00977D5F" w:rsidP="005A3D6B">
            <w:pPr>
              <w:rPr>
                <w:b/>
                <w:sz w:val="24"/>
                <w:szCs w:val="24"/>
              </w:rPr>
            </w:pPr>
            <w:r>
              <w:rPr>
                <w:b/>
                <w:sz w:val="24"/>
                <w:szCs w:val="24"/>
              </w:rPr>
              <w:t>Information Collection Mode (in-person or remote):</w:t>
            </w:r>
          </w:p>
        </w:tc>
        <w:tc>
          <w:tcPr>
            <w:tcW w:w="7128" w:type="dxa"/>
            <w:vAlign w:val="center"/>
          </w:tcPr>
          <w:p w14:paraId="611BBB5A" w14:textId="77777777" w:rsidR="00977D5F" w:rsidRPr="00977D5F" w:rsidRDefault="00446811" w:rsidP="005A3D6B">
            <w:pPr>
              <w:rPr>
                <w:sz w:val="24"/>
                <w:szCs w:val="24"/>
              </w:rPr>
            </w:pPr>
            <w:r>
              <w:rPr>
                <w:sz w:val="24"/>
                <w:szCs w:val="24"/>
              </w:rPr>
              <w:t>In-person</w:t>
            </w:r>
          </w:p>
        </w:tc>
      </w:tr>
      <w:tr w:rsidR="00977D5F" w14:paraId="5B7C9B97" w14:textId="77777777" w:rsidTr="00B50EEF">
        <w:tc>
          <w:tcPr>
            <w:tcW w:w="3168" w:type="dxa"/>
            <w:vAlign w:val="center"/>
          </w:tcPr>
          <w:p w14:paraId="1D8719B0" w14:textId="77777777" w:rsidR="00977D5F" w:rsidRDefault="00977D5F" w:rsidP="005A3D6B">
            <w:pPr>
              <w:rPr>
                <w:b/>
                <w:sz w:val="24"/>
                <w:szCs w:val="24"/>
              </w:rPr>
            </w:pPr>
            <w:r>
              <w:rPr>
                <w:b/>
                <w:sz w:val="24"/>
                <w:szCs w:val="24"/>
              </w:rPr>
              <w:t>Plans for Payment to Participant (if applicable):</w:t>
            </w:r>
          </w:p>
        </w:tc>
        <w:tc>
          <w:tcPr>
            <w:tcW w:w="7128" w:type="dxa"/>
            <w:vAlign w:val="center"/>
          </w:tcPr>
          <w:p w14:paraId="62F13B4B" w14:textId="77777777" w:rsidR="00977D5F" w:rsidRPr="00977D5F" w:rsidRDefault="00446811" w:rsidP="005A3D6B">
            <w:pPr>
              <w:rPr>
                <w:sz w:val="24"/>
                <w:szCs w:val="24"/>
              </w:rPr>
            </w:pPr>
            <w:r>
              <w:rPr>
                <w:sz w:val="24"/>
                <w:szCs w:val="24"/>
              </w:rPr>
              <w:t>Not Applicable</w:t>
            </w:r>
          </w:p>
        </w:tc>
      </w:tr>
      <w:tr w:rsidR="00977D5F" w14:paraId="270CF43A" w14:textId="77777777" w:rsidTr="00B50EEF">
        <w:tc>
          <w:tcPr>
            <w:tcW w:w="3168" w:type="dxa"/>
            <w:vAlign w:val="center"/>
          </w:tcPr>
          <w:p w14:paraId="5669C68C" w14:textId="77777777" w:rsidR="00977D5F" w:rsidRDefault="00DD64AD" w:rsidP="005A3D6B">
            <w:pPr>
              <w:rPr>
                <w:b/>
                <w:sz w:val="24"/>
                <w:szCs w:val="24"/>
              </w:rPr>
            </w:pPr>
            <w:r>
              <w:rPr>
                <w:b/>
                <w:sz w:val="24"/>
                <w:szCs w:val="24"/>
              </w:rPr>
              <w:t>Privacy</w:t>
            </w:r>
            <w:r w:rsidR="00977D5F">
              <w:rPr>
                <w:b/>
                <w:sz w:val="24"/>
                <w:szCs w:val="24"/>
              </w:rPr>
              <w:t xml:space="preserve"> Protections:</w:t>
            </w:r>
          </w:p>
        </w:tc>
        <w:tc>
          <w:tcPr>
            <w:tcW w:w="7128" w:type="dxa"/>
            <w:vAlign w:val="center"/>
          </w:tcPr>
          <w:p w14:paraId="32F2C8C5" w14:textId="09236BCF" w:rsidR="00977D5F" w:rsidRPr="00977D5F" w:rsidRDefault="00DD64AD" w:rsidP="005A3D6B">
            <w:pPr>
              <w:rPr>
                <w:sz w:val="24"/>
                <w:szCs w:val="24"/>
              </w:rPr>
            </w:pPr>
            <w:r>
              <w:rPr>
                <w:sz w:val="24"/>
                <w:szCs w:val="24"/>
              </w:rPr>
              <w:t>Privacy</w:t>
            </w:r>
            <w:r w:rsidR="00446811">
              <w:rPr>
                <w:sz w:val="24"/>
                <w:szCs w:val="24"/>
              </w:rPr>
              <w:t xml:space="preserve"> will be protected to the fullest extent of the law.  </w:t>
            </w:r>
            <w:r w:rsidR="00797694" w:rsidRPr="000F454D">
              <w:rPr>
                <w:sz w:val="24"/>
                <w:szCs w:val="24"/>
              </w:rPr>
              <w:t xml:space="preserve">The consent forms contain information about </w:t>
            </w:r>
            <w:r>
              <w:rPr>
                <w:sz w:val="24"/>
                <w:szCs w:val="24"/>
              </w:rPr>
              <w:t>privacy</w:t>
            </w:r>
            <w:r w:rsidR="00797694" w:rsidRPr="000F454D">
              <w:rPr>
                <w:sz w:val="24"/>
                <w:szCs w:val="24"/>
              </w:rPr>
              <w:t xml:space="preserve"> </w:t>
            </w:r>
            <w:r w:rsidR="000E2BF4">
              <w:rPr>
                <w:sz w:val="24"/>
                <w:szCs w:val="24"/>
              </w:rPr>
              <w:t>protections</w:t>
            </w:r>
            <w:r w:rsidR="00797694" w:rsidRPr="000F454D">
              <w:rPr>
                <w:sz w:val="24"/>
                <w:szCs w:val="24"/>
              </w:rPr>
              <w:t>.</w:t>
            </w:r>
          </w:p>
        </w:tc>
      </w:tr>
      <w:tr w:rsidR="00977D5F" w14:paraId="759F6CB8" w14:textId="77777777" w:rsidTr="00B50EEF">
        <w:tc>
          <w:tcPr>
            <w:tcW w:w="3168" w:type="dxa"/>
            <w:vAlign w:val="center"/>
          </w:tcPr>
          <w:p w14:paraId="37021390" w14:textId="77777777" w:rsidR="00977D5F" w:rsidRDefault="00977D5F" w:rsidP="005A3D6B">
            <w:pPr>
              <w:rPr>
                <w:b/>
                <w:sz w:val="24"/>
                <w:szCs w:val="24"/>
              </w:rPr>
            </w:pPr>
            <w:r>
              <w:rPr>
                <w:b/>
                <w:sz w:val="24"/>
                <w:szCs w:val="24"/>
              </w:rPr>
              <w:t>Other Ethical Concerns/Issues:</w:t>
            </w:r>
          </w:p>
        </w:tc>
        <w:tc>
          <w:tcPr>
            <w:tcW w:w="7128" w:type="dxa"/>
          </w:tcPr>
          <w:p w14:paraId="65B54185" w14:textId="22B7C408" w:rsidR="00977D5F" w:rsidRPr="00977D5F" w:rsidRDefault="005B2F62" w:rsidP="005B2F62">
            <w:pPr>
              <w:rPr>
                <w:sz w:val="24"/>
                <w:szCs w:val="24"/>
              </w:rPr>
            </w:pPr>
            <w:r>
              <w:rPr>
                <w:sz w:val="24"/>
                <w:szCs w:val="24"/>
              </w:rPr>
              <w:t xml:space="preserve">Urine samples </w:t>
            </w:r>
            <w:r w:rsidR="00C2426C">
              <w:rPr>
                <w:sz w:val="24"/>
                <w:szCs w:val="24"/>
              </w:rPr>
              <w:t xml:space="preserve">will be </w:t>
            </w:r>
            <w:r>
              <w:rPr>
                <w:sz w:val="24"/>
                <w:szCs w:val="24"/>
              </w:rPr>
              <w:t>obtained</w:t>
            </w:r>
            <w:r w:rsidR="00C2426C">
              <w:rPr>
                <w:sz w:val="24"/>
                <w:szCs w:val="24"/>
              </w:rPr>
              <w:t xml:space="preserve"> from children </w:t>
            </w:r>
            <w:r>
              <w:rPr>
                <w:sz w:val="24"/>
                <w:szCs w:val="24"/>
              </w:rPr>
              <w:t>and adults</w:t>
            </w:r>
            <w:r w:rsidR="00C2426C">
              <w:rPr>
                <w:sz w:val="24"/>
                <w:szCs w:val="24"/>
              </w:rPr>
              <w:t>.</w:t>
            </w:r>
            <w:r>
              <w:rPr>
                <w:sz w:val="24"/>
                <w:szCs w:val="24"/>
              </w:rPr>
              <w:t xml:space="preserve"> There are no expected complications from urine sample collection.</w:t>
            </w:r>
          </w:p>
        </w:tc>
      </w:tr>
      <w:tr w:rsidR="00977D5F" w14:paraId="4F3297F5" w14:textId="77777777" w:rsidTr="00B50EEF">
        <w:tc>
          <w:tcPr>
            <w:tcW w:w="3168" w:type="dxa"/>
            <w:vAlign w:val="center"/>
          </w:tcPr>
          <w:p w14:paraId="001AD425" w14:textId="77777777" w:rsidR="00977D5F" w:rsidRDefault="00977D5F" w:rsidP="005A3D6B">
            <w:pPr>
              <w:rPr>
                <w:b/>
                <w:sz w:val="24"/>
                <w:szCs w:val="24"/>
              </w:rPr>
            </w:pPr>
            <w:r>
              <w:rPr>
                <w:b/>
                <w:sz w:val="24"/>
                <w:szCs w:val="24"/>
              </w:rPr>
              <w:lastRenderedPageBreak/>
              <w:t>Projected Time Frame:</w:t>
            </w:r>
          </w:p>
        </w:tc>
        <w:tc>
          <w:tcPr>
            <w:tcW w:w="7128" w:type="dxa"/>
          </w:tcPr>
          <w:p w14:paraId="20494850" w14:textId="1F9BD4DE" w:rsidR="00977D5F" w:rsidRDefault="005202A1" w:rsidP="0053447F">
            <w:pPr>
              <w:pStyle w:val="ListParagraph"/>
              <w:numPr>
                <w:ilvl w:val="0"/>
                <w:numId w:val="9"/>
              </w:numPr>
              <w:rPr>
                <w:sz w:val="24"/>
                <w:szCs w:val="24"/>
              </w:rPr>
            </w:pPr>
            <w:r w:rsidRPr="0053447F">
              <w:rPr>
                <w:sz w:val="24"/>
                <w:szCs w:val="24"/>
              </w:rPr>
              <w:t xml:space="preserve">The EI will be conducted over a </w:t>
            </w:r>
            <w:r w:rsidR="0053447F" w:rsidRPr="0053447F">
              <w:rPr>
                <w:sz w:val="24"/>
                <w:szCs w:val="24"/>
              </w:rPr>
              <w:t xml:space="preserve">period of </w:t>
            </w:r>
            <w:r w:rsidR="005B2F62">
              <w:rPr>
                <w:sz w:val="24"/>
                <w:szCs w:val="24"/>
              </w:rPr>
              <w:t>3</w:t>
            </w:r>
            <w:r w:rsidR="00E36E2D" w:rsidRPr="0053447F">
              <w:rPr>
                <w:sz w:val="24"/>
                <w:szCs w:val="24"/>
              </w:rPr>
              <w:t xml:space="preserve"> </w:t>
            </w:r>
            <w:r w:rsidR="0053447F" w:rsidRPr="0053447F">
              <w:rPr>
                <w:sz w:val="24"/>
                <w:szCs w:val="24"/>
              </w:rPr>
              <w:t>days (</w:t>
            </w:r>
            <w:r w:rsidR="005B2F62">
              <w:rPr>
                <w:sz w:val="24"/>
                <w:szCs w:val="24"/>
              </w:rPr>
              <w:t xml:space="preserve">Friday </w:t>
            </w:r>
            <w:r w:rsidR="0053447F" w:rsidRPr="0053447F">
              <w:rPr>
                <w:sz w:val="24"/>
                <w:szCs w:val="24"/>
              </w:rPr>
              <w:t xml:space="preserve">through </w:t>
            </w:r>
            <w:r w:rsidR="005B2F62">
              <w:rPr>
                <w:sz w:val="24"/>
                <w:szCs w:val="24"/>
              </w:rPr>
              <w:t>Sunday</w:t>
            </w:r>
            <w:r w:rsidR="001E03FD">
              <w:rPr>
                <w:sz w:val="24"/>
                <w:szCs w:val="24"/>
              </w:rPr>
              <w:t>)</w:t>
            </w:r>
            <w:r w:rsidR="0053447F" w:rsidRPr="0053447F">
              <w:rPr>
                <w:sz w:val="24"/>
                <w:szCs w:val="24"/>
              </w:rPr>
              <w:t xml:space="preserve">.  Each </w:t>
            </w:r>
            <w:r w:rsidR="0053447F">
              <w:rPr>
                <w:sz w:val="24"/>
                <w:szCs w:val="24"/>
              </w:rPr>
              <w:t>sample</w:t>
            </w:r>
            <w:r w:rsidR="0053447F" w:rsidRPr="0053447F">
              <w:rPr>
                <w:sz w:val="24"/>
                <w:szCs w:val="24"/>
              </w:rPr>
              <w:t xml:space="preserve"> collection will </w:t>
            </w:r>
            <w:r w:rsidR="0053447F">
              <w:rPr>
                <w:sz w:val="24"/>
                <w:szCs w:val="24"/>
              </w:rPr>
              <w:t xml:space="preserve">take approximately </w:t>
            </w:r>
            <w:r w:rsidR="008D593A">
              <w:rPr>
                <w:sz w:val="24"/>
                <w:szCs w:val="24"/>
              </w:rPr>
              <w:t>3</w:t>
            </w:r>
            <w:r w:rsidR="00BF05F8">
              <w:rPr>
                <w:sz w:val="24"/>
                <w:szCs w:val="24"/>
              </w:rPr>
              <w:t>0</w:t>
            </w:r>
            <w:r w:rsidR="00E36E2D">
              <w:rPr>
                <w:sz w:val="24"/>
                <w:szCs w:val="24"/>
              </w:rPr>
              <w:t xml:space="preserve"> </w:t>
            </w:r>
            <w:r w:rsidR="0053447F">
              <w:rPr>
                <w:sz w:val="24"/>
                <w:szCs w:val="24"/>
              </w:rPr>
              <w:t>minutes per participant</w:t>
            </w:r>
            <w:r w:rsidR="00CE22E8">
              <w:rPr>
                <w:sz w:val="24"/>
                <w:szCs w:val="24"/>
              </w:rPr>
              <w:t>, including questionnaire</w:t>
            </w:r>
            <w:r w:rsidR="0053447F">
              <w:rPr>
                <w:sz w:val="24"/>
                <w:szCs w:val="24"/>
              </w:rPr>
              <w:t>.</w:t>
            </w:r>
          </w:p>
          <w:p w14:paraId="3667F9BC" w14:textId="0BFACEFA" w:rsidR="0053447F" w:rsidRDefault="0053447F" w:rsidP="0053447F">
            <w:pPr>
              <w:pStyle w:val="ListParagraph"/>
              <w:numPr>
                <w:ilvl w:val="0"/>
                <w:numId w:val="9"/>
              </w:numPr>
              <w:rPr>
                <w:sz w:val="24"/>
                <w:szCs w:val="24"/>
              </w:rPr>
            </w:pPr>
            <w:r>
              <w:rPr>
                <w:sz w:val="24"/>
                <w:szCs w:val="24"/>
              </w:rPr>
              <w:t xml:space="preserve">The participants will be provided results of the </w:t>
            </w:r>
            <w:r w:rsidR="005B2F62">
              <w:rPr>
                <w:sz w:val="24"/>
                <w:szCs w:val="24"/>
              </w:rPr>
              <w:t>urine</w:t>
            </w:r>
            <w:r>
              <w:rPr>
                <w:sz w:val="24"/>
                <w:szCs w:val="24"/>
              </w:rPr>
              <w:t xml:space="preserve"> </w:t>
            </w:r>
            <w:r w:rsidR="00CE22E8">
              <w:rPr>
                <w:sz w:val="24"/>
                <w:szCs w:val="24"/>
              </w:rPr>
              <w:t>testing</w:t>
            </w:r>
            <w:r>
              <w:rPr>
                <w:sz w:val="24"/>
                <w:szCs w:val="24"/>
              </w:rPr>
              <w:t xml:space="preserve"> within </w:t>
            </w:r>
            <w:r w:rsidR="00B95400">
              <w:rPr>
                <w:sz w:val="24"/>
                <w:szCs w:val="24"/>
              </w:rPr>
              <w:t>12</w:t>
            </w:r>
            <w:r w:rsidR="000F454D">
              <w:rPr>
                <w:sz w:val="24"/>
                <w:szCs w:val="24"/>
              </w:rPr>
              <w:t xml:space="preserve"> </w:t>
            </w:r>
            <w:r>
              <w:rPr>
                <w:sz w:val="24"/>
                <w:szCs w:val="24"/>
              </w:rPr>
              <w:t xml:space="preserve">weeks </w:t>
            </w:r>
            <w:r w:rsidR="00245FE8">
              <w:rPr>
                <w:sz w:val="24"/>
                <w:szCs w:val="24"/>
              </w:rPr>
              <w:t>of</w:t>
            </w:r>
            <w:r>
              <w:rPr>
                <w:sz w:val="24"/>
                <w:szCs w:val="24"/>
              </w:rPr>
              <w:t xml:space="preserve"> collection.</w:t>
            </w:r>
          </w:p>
          <w:p w14:paraId="4DE46CE6" w14:textId="77777777" w:rsidR="0053447F" w:rsidRPr="0053447F" w:rsidRDefault="0053447F" w:rsidP="000F454D">
            <w:pPr>
              <w:pStyle w:val="ListParagraph"/>
              <w:numPr>
                <w:ilvl w:val="0"/>
                <w:numId w:val="9"/>
              </w:numPr>
              <w:rPr>
                <w:sz w:val="24"/>
                <w:szCs w:val="24"/>
              </w:rPr>
            </w:pPr>
            <w:r>
              <w:rPr>
                <w:sz w:val="24"/>
                <w:szCs w:val="24"/>
              </w:rPr>
              <w:t xml:space="preserve">The EI </w:t>
            </w:r>
            <w:r w:rsidR="00D41F21">
              <w:rPr>
                <w:sz w:val="24"/>
                <w:szCs w:val="24"/>
              </w:rPr>
              <w:t xml:space="preserve">report </w:t>
            </w:r>
            <w:r>
              <w:rPr>
                <w:sz w:val="24"/>
                <w:szCs w:val="24"/>
              </w:rPr>
              <w:t>will be prepared</w:t>
            </w:r>
            <w:r w:rsidR="00E36E2D">
              <w:rPr>
                <w:sz w:val="24"/>
                <w:szCs w:val="24"/>
              </w:rPr>
              <w:t>,</w:t>
            </w:r>
            <w:r>
              <w:rPr>
                <w:sz w:val="24"/>
                <w:szCs w:val="24"/>
              </w:rPr>
              <w:t xml:space="preserve"> cleared</w:t>
            </w:r>
            <w:r w:rsidR="00956EF2">
              <w:rPr>
                <w:sz w:val="24"/>
                <w:szCs w:val="24"/>
              </w:rPr>
              <w:t>, and released</w:t>
            </w:r>
            <w:r>
              <w:rPr>
                <w:sz w:val="24"/>
                <w:szCs w:val="24"/>
              </w:rPr>
              <w:t xml:space="preserve"> as soon as possible.</w:t>
            </w:r>
          </w:p>
        </w:tc>
      </w:tr>
      <w:tr w:rsidR="00977D5F" w14:paraId="6EF7E150" w14:textId="77777777" w:rsidTr="00B50EEF">
        <w:tc>
          <w:tcPr>
            <w:tcW w:w="3168" w:type="dxa"/>
            <w:vAlign w:val="center"/>
          </w:tcPr>
          <w:p w14:paraId="62FC7B20" w14:textId="77777777" w:rsidR="00977D5F" w:rsidRDefault="00977D5F" w:rsidP="005A3D6B">
            <w:pPr>
              <w:rPr>
                <w:b/>
                <w:sz w:val="24"/>
                <w:szCs w:val="24"/>
              </w:rPr>
            </w:pPr>
            <w:r>
              <w:rPr>
                <w:b/>
                <w:sz w:val="24"/>
                <w:szCs w:val="24"/>
              </w:rPr>
              <w:t>Plans for Publication and Dissemination of Results:</w:t>
            </w:r>
          </w:p>
        </w:tc>
        <w:tc>
          <w:tcPr>
            <w:tcW w:w="7128" w:type="dxa"/>
          </w:tcPr>
          <w:p w14:paraId="0B0C74C3" w14:textId="18B2C7C9" w:rsidR="000F454D" w:rsidRDefault="005B2F62" w:rsidP="00245FE8">
            <w:pPr>
              <w:pStyle w:val="ListParagraph"/>
              <w:numPr>
                <w:ilvl w:val="0"/>
                <w:numId w:val="6"/>
              </w:numPr>
              <w:rPr>
                <w:sz w:val="24"/>
                <w:szCs w:val="24"/>
              </w:rPr>
            </w:pPr>
            <w:r>
              <w:rPr>
                <w:sz w:val="24"/>
                <w:szCs w:val="24"/>
              </w:rPr>
              <w:t xml:space="preserve">Urinary arsenic </w:t>
            </w:r>
            <w:r w:rsidR="00C2426C" w:rsidRPr="00C2426C">
              <w:rPr>
                <w:sz w:val="24"/>
                <w:szCs w:val="24"/>
              </w:rPr>
              <w:t xml:space="preserve">results will be provided to participants within </w:t>
            </w:r>
            <w:r w:rsidR="00B95400">
              <w:rPr>
                <w:sz w:val="24"/>
                <w:szCs w:val="24"/>
              </w:rPr>
              <w:t>12 wee</w:t>
            </w:r>
            <w:r w:rsidR="00C2426C" w:rsidRPr="00C2426C">
              <w:rPr>
                <w:sz w:val="24"/>
                <w:szCs w:val="24"/>
              </w:rPr>
              <w:t xml:space="preserve">ks of </w:t>
            </w:r>
            <w:r w:rsidR="007B07B7">
              <w:rPr>
                <w:sz w:val="24"/>
                <w:szCs w:val="24"/>
              </w:rPr>
              <w:t>specimen collection</w:t>
            </w:r>
            <w:r w:rsidR="00C2426C" w:rsidRPr="00C2426C">
              <w:rPr>
                <w:sz w:val="24"/>
                <w:szCs w:val="24"/>
              </w:rPr>
              <w:t>.</w:t>
            </w:r>
          </w:p>
          <w:p w14:paraId="77E81329" w14:textId="773DEFF4" w:rsidR="00245FE8" w:rsidRPr="00245FE8" w:rsidRDefault="00245FE8" w:rsidP="00245FE8">
            <w:pPr>
              <w:pStyle w:val="ListParagraph"/>
              <w:numPr>
                <w:ilvl w:val="0"/>
                <w:numId w:val="6"/>
              </w:numPr>
              <w:rPr>
                <w:sz w:val="24"/>
                <w:szCs w:val="24"/>
              </w:rPr>
            </w:pPr>
            <w:r>
              <w:rPr>
                <w:sz w:val="24"/>
                <w:szCs w:val="24"/>
              </w:rPr>
              <w:t xml:space="preserve">If concentrations </w:t>
            </w:r>
            <w:r w:rsidR="005B2F62">
              <w:rPr>
                <w:sz w:val="24"/>
                <w:szCs w:val="24"/>
              </w:rPr>
              <w:t xml:space="preserve">or arsenic </w:t>
            </w:r>
            <w:r>
              <w:rPr>
                <w:sz w:val="24"/>
                <w:szCs w:val="24"/>
              </w:rPr>
              <w:t xml:space="preserve">in </w:t>
            </w:r>
            <w:r w:rsidR="005B2F62">
              <w:rPr>
                <w:sz w:val="24"/>
                <w:szCs w:val="24"/>
              </w:rPr>
              <w:t xml:space="preserve">urine </w:t>
            </w:r>
            <w:r>
              <w:rPr>
                <w:sz w:val="24"/>
                <w:szCs w:val="24"/>
              </w:rPr>
              <w:t>are found at</w:t>
            </w:r>
            <w:r w:rsidR="001E4DEE">
              <w:rPr>
                <w:sz w:val="24"/>
                <w:szCs w:val="24"/>
              </w:rPr>
              <w:t xml:space="preserve"> ≥</w:t>
            </w:r>
            <w:r w:rsidR="005B2F62">
              <w:rPr>
                <w:sz w:val="24"/>
                <w:szCs w:val="24"/>
              </w:rPr>
              <w:t xml:space="preserve">28.4 grams per gram of creatinine </w:t>
            </w:r>
            <w:r>
              <w:rPr>
                <w:sz w:val="24"/>
                <w:szCs w:val="24"/>
              </w:rPr>
              <w:t>participants will be contacted sooner.</w:t>
            </w:r>
          </w:p>
          <w:p w14:paraId="1D340030" w14:textId="77777777" w:rsidR="00C2426C" w:rsidRPr="00C2426C" w:rsidRDefault="0053447F" w:rsidP="00245FE8">
            <w:pPr>
              <w:pStyle w:val="ListParagraph"/>
              <w:numPr>
                <w:ilvl w:val="0"/>
                <w:numId w:val="6"/>
              </w:numPr>
              <w:rPr>
                <w:sz w:val="24"/>
                <w:szCs w:val="24"/>
              </w:rPr>
            </w:pPr>
            <w:r>
              <w:rPr>
                <w:sz w:val="24"/>
                <w:szCs w:val="24"/>
              </w:rPr>
              <w:t>The</w:t>
            </w:r>
            <w:r w:rsidR="00C2426C">
              <w:rPr>
                <w:sz w:val="24"/>
                <w:szCs w:val="24"/>
              </w:rPr>
              <w:t xml:space="preserve"> EI report will be prepared</w:t>
            </w:r>
            <w:r w:rsidR="00245FE8">
              <w:rPr>
                <w:sz w:val="24"/>
                <w:szCs w:val="24"/>
              </w:rPr>
              <w:t>,</w:t>
            </w:r>
            <w:r w:rsidR="00C2426C">
              <w:rPr>
                <w:sz w:val="24"/>
                <w:szCs w:val="24"/>
              </w:rPr>
              <w:t xml:space="preserve"> </w:t>
            </w:r>
            <w:r w:rsidR="001A5953">
              <w:rPr>
                <w:sz w:val="24"/>
                <w:szCs w:val="24"/>
              </w:rPr>
              <w:t>cleared</w:t>
            </w:r>
            <w:r w:rsidR="00245FE8">
              <w:rPr>
                <w:sz w:val="24"/>
                <w:szCs w:val="24"/>
              </w:rPr>
              <w:t xml:space="preserve"> and released</w:t>
            </w:r>
            <w:r w:rsidR="001A5953">
              <w:rPr>
                <w:sz w:val="24"/>
                <w:szCs w:val="24"/>
              </w:rPr>
              <w:t xml:space="preserve"> as soon as possible.</w:t>
            </w:r>
          </w:p>
        </w:tc>
      </w:tr>
      <w:tr w:rsidR="00977D5F" w14:paraId="32703A2E" w14:textId="77777777" w:rsidTr="00B50EEF">
        <w:tc>
          <w:tcPr>
            <w:tcW w:w="3168" w:type="dxa"/>
            <w:vAlign w:val="center"/>
          </w:tcPr>
          <w:p w14:paraId="368BBCE3" w14:textId="77777777" w:rsidR="00977D5F" w:rsidRDefault="00977D5F" w:rsidP="005A3D6B">
            <w:pPr>
              <w:rPr>
                <w:b/>
                <w:sz w:val="24"/>
                <w:szCs w:val="24"/>
              </w:rPr>
            </w:pPr>
            <w:r>
              <w:rPr>
                <w:b/>
                <w:sz w:val="24"/>
                <w:szCs w:val="24"/>
              </w:rPr>
              <w:t>Burden Hours Requested:</w:t>
            </w:r>
          </w:p>
        </w:tc>
        <w:tc>
          <w:tcPr>
            <w:tcW w:w="7128" w:type="dxa"/>
          </w:tcPr>
          <w:p w14:paraId="22597554" w14:textId="05BABB60" w:rsidR="009E2696" w:rsidRDefault="005B2F62" w:rsidP="00700B89">
            <w:pPr>
              <w:rPr>
                <w:sz w:val="24"/>
                <w:szCs w:val="24"/>
              </w:rPr>
            </w:pPr>
            <w:r>
              <w:rPr>
                <w:sz w:val="24"/>
                <w:szCs w:val="24"/>
              </w:rPr>
              <w:t>3</w:t>
            </w:r>
            <w:r w:rsidR="00E87DC9">
              <w:rPr>
                <w:sz w:val="24"/>
                <w:szCs w:val="24"/>
              </w:rPr>
              <w:t>0</w:t>
            </w:r>
            <w:r w:rsidR="0053447F">
              <w:rPr>
                <w:sz w:val="24"/>
                <w:szCs w:val="24"/>
              </w:rPr>
              <w:t xml:space="preserve"> hours </w:t>
            </w:r>
          </w:p>
          <w:p w14:paraId="29DA3000" w14:textId="783E2B7B" w:rsidR="00977D5F" w:rsidRPr="00700B89" w:rsidRDefault="005B2F62" w:rsidP="005B2F62">
            <w:pPr>
              <w:pStyle w:val="ListParagraph"/>
              <w:numPr>
                <w:ilvl w:val="0"/>
                <w:numId w:val="15"/>
              </w:numPr>
              <w:rPr>
                <w:sz w:val="24"/>
                <w:szCs w:val="24"/>
              </w:rPr>
            </w:pPr>
            <w:r>
              <w:rPr>
                <w:sz w:val="24"/>
                <w:szCs w:val="24"/>
              </w:rPr>
              <w:t>6</w:t>
            </w:r>
            <w:r w:rsidR="0053447F" w:rsidRPr="00700B89">
              <w:rPr>
                <w:sz w:val="24"/>
                <w:szCs w:val="24"/>
              </w:rPr>
              <w:t xml:space="preserve">0 participants x </w:t>
            </w:r>
            <w:r w:rsidR="000C7E3D">
              <w:rPr>
                <w:sz w:val="24"/>
                <w:szCs w:val="24"/>
              </w:rPr>
              <w:t>3</w:t>
            </w:r>
            <w:r w:rsidR="009E2696" w:rsidRPr="00700B89">
              <w:rPr>
                <w:sz w:val="24"/>
                <w:szCs w:val="24"/>
              </w:rPr>
              <w:t xml:space="preserve">0 </w:t>
            </w:r>
            <w:r w:rsidR="0053447F" w:rsidRPr="00700B89">
              <w:rPr>
                <w:sz w:val="24"/>
                <w:szCs w:val="24"/>
              </w:rPr>
              <w:t>minutes per participant</w:t>
            </w:r>
            <w:r w:rsidR="009E2696" w:rsidRPr="00700B89">
              <w:rPr>
                <w:sz w:val="24"/>
                <w:szCs w:val="24"/>
              </w:rPr>
              <w:t xml:space="preserve"> </w:t>
            </w:r>
          </w:p>
        </w:tc>
      </w:tr>
    </w:tbl>
    <w:p w14:paraId="1674C9CF" w14:textId="099BA95D" w:rsidR="00977D5F" w:rsidRDefault="00977D5F">
      <w:pPr>
        <w:rPr>
          <w:b/>
          <w:sz w:val="24"/>
          <w:szCs w:val="24"/>
        </w:rPr>
      </w:pPr>
    </w:p>
    <w:p w14:paraId="62C93B6F" w14:textId="54BC1A2F" w:rsidR="005B2F62" w:rsidRPr="005B2F62" w:rsidRDefault="005B2F62" w:rsidP="005B2F62">
      <w:pPr>
        <w:rPr>
          <w:b/>
        </w:rPr>
      </w:pPr>
      <w:r w:rsidRPr="005B2F62">
        <w:rPr>
          <w:b/>
        </w:rPr>
        <w:t>Attachments:</w:t>
      </w:r>
    </w:p>
    <w:p w14:paraId="5CF9F880" w14:textId="77777777" w:rsidR="005B2F62" w:rsidRPr="005B2F62" w:rsidRDefault="005B2F62" w:rsidP="005B2F62">
      <w:pPr>
        <w:pStyle w:val="ListParagraph"/>
        <w:numPr>
          <w:ilvl w:val="0"/>
          <w:numId w:val="1"/>
        </w:numPr>
        <w:rPr>
          <w:b/>
        </w:rPr>
      </w:pPr>
      <w:r w:rsidRPr="005B2F62">
        <w:rPr>
          <w:b/>
        </w:rPr>
        <w:t>Supporting Statement A</w:t>
      </w:r>
    </w:p>
    <w:p w14:paraId="7CBF24E8" w14:textId="77777777" w:rsidR="005B2F62" w:rsidRPr="005B2F62" w:rsidRDefault="005B2F62" w:rsidP="005B2F62">
      <w:pPr>
        <w:pStyle w:val="ListParagraph"/>
        <w:numPr>
          <w:ilvl w:val="0"/>
          <w:numId w:val="1"/>
        </w:numPr>
        <w:rPr>
          <w:b/>
        </w:rPr>
      </w:pPr>
      <w:r w:rsidRPr="005B2F62">
        <w:rPr>
          <w:b/>
        </w:rPr>
        <w:t>Supporting Statement B</w:t>
      </w:r>
    </w:p>
    <w:p w14:paraId="4BF7D363" w14:textId="77777777" w:rsidR="005B2F62" w:rsidRPr="005B2F62" w:rsidRDefault="005B2F62" w:rsidP="005B2F62">
      <w:pPr>
        <w:pStyle w:val="ListParagraph"/>
        <w:numPr>
          <w:ilvl w:val="0"/>
          <w:numId w:val="1"/>
        </w:numPr>
        <w:rPr>
          <w:b/>
        </w:rPr>
      </w:pPr>
      <w:r w:rsidRPr="005B2F62">
        <w:rPr>
          <w:b/>
        </w:rPr>
        <w:t>Hayden, AZ EI Parental Permission/Assent/Consent Forms</w:t>
      </w:r>
    </w:p>
    <w:p w14:paraId="7D756796" w14:textId="77777777" w:rsidR="005B2F62" w:rsidRPr="005B2F62" w:rsidRDefault="005B2F62" w:rsidP="005B2F62">
      <w:pPr>
        <w:pStyle w:val="ListParagraph"/>
        <w:numPr>
          <w:ilvl w:val="1"/>
          <w:numId w:val="1"/>
        </w:numPr>
        <w:ind w:left="1440"/>
        <w:rPr>
          <w:b/>
        </w:rPr>
      </w:pPr>
      <w:r w:rsidRPr="005B2F62">
        <w:rPr>
          <w:b/>
        </w:rPr>
        <w:t>Parental Permission Form for Urine Arsenic Testing and Questionnaire: Children 6 to less than 18 years of age</w:t>
      </w:r>
    </w:p>
    <w:p w14:paraId="1C13D18B" w14:textId="77777777" w:rsidR="005B2F62" w:rsidRPr="005B2F62" w:rsidRDefault="005B2F62" w:rsidP="005B2F62">
      <w:pPr>
        <w:pStyle w:val="ListParagraph"/>
        <w:numPr>
          <w:ilvl w:val="1"/>
          <w:numId w:val="1"/>
        </w:numPr>
        <w:ind w:left="1440"/>
        <w:rPr>
          <w:b/>
        </w:rPr>
      </w:pPr>
      <w:r w:rsidRPr="005B2F62">
        <w:rPr>
          <w:b/>
        </w:rPr>
        <w:t xml:space="preserve">Assent Form for Urine Arsenic Testing and Questionnaire: Children and Youth aged 7 to less than 18 Years of age </w:t>
      </w:r>
    </w:p>
    <w:p w14:paraId="3F5A7246" w14:textId="77777777" w:rsidR="005B2F62" w:rsidRPr="005B2F62" w:rsidRDefault="005B2F62" w:rsidP="005B2F62">
      <w:pPr>
        <w:pStyle w:val="ListParagraph"/>
        <w:numPr>
          <w:ilvl w:val="1"/>
          <w:numId w:val="1"/>
        </w:numPr>
        <w:ind w:left="1440"/>
        <w:rPr>
          <w:b/>
        </w:rPr>
      </w:pPr>
      <w:r w:rsidRPr="005B2F62">
        <w:rPr>
          <w:b/>
        </w:rPr>
        <w:t>Consent Form for Urine Arsenic Testing and Questionnaire:  Adults aged 18 years and over</w:t>
      </w:r>
    </w:p>
    <w:p w14:paraId="0BDECACA" w14:textId="77777777" w:rsidR="005B2F62" w:rsidRPr="005B2F62" w:rsidRDefault="005B2F62" w:rsidP="005B2F62">
      <w:pPr>
        <w:pStyle w:val="ListParagraph"/>
        <w:numPr>
          <w:ilvl w:val="0"/>
          <w:numId w:val="1"/>
        </w:numPr>
        <w:rPr>
          <w:b/>
        </w:rPr>
      </w:pPr>
      <w:r w:rsidRPr="005B2F62">
        <w:rPr>
          <w:b/>
        </w:rPr>
        <w:t>Hayden, AZ EI Questionnaire</w:t>
      </w:r>
    </w:p>
    <w:p w14:paraId="7D16554F" w14:textId="77777777" w:rsidR="005B2F62" w:rsidRPr="005B2F62" w:rsidRDefault="005B2F62" w:rsidP="005B2F62">
      <w:pPr>
        <w:pStyle w:val="ListParagraph"/>
        <w:numPr>
          <w:ilvl w:val="0"/>
          <w:numId w:val="1"/>
        </w:numPr>
        <w:rPr>
          <w:b/>
        </w:rPr>
      </w:pPr>
      <w:r w:rsidRPr="005B2F62">
        <w:rPr>
          <w:b/>
        </w:rPr>
        <w:t xml:space="preserve">Hayden, AZ EI Research Determination  </w:t>
      </w:r>
    </w:p>
    <w:p w14:paraId="5CD3C52A" w14:textId="77777777" w:rsidR="005B2F62" w:rsidRPr="005B2F62" w:rsidRDefault="005B2F62" w:rsidP="005B2F62">
      <w:pPr>
        <w:pStyle w:val="ListParagraph"/>
        <w:numPr>
          <w:ilvl w:val="0"/>
          <w:numId w:val="1"/>
        </w:numPr>
        <w:rPr>
          <w:b/>
        </w:rPr>
      </w:pPr>
      <w:r w:rsidRPr="005B2F62">
        <w:rPr>
          <w:b/>
        </w:rPr>
        <w:t>Hayden, AZ EI Table of Sample Results Letters Templates</w:t>
      </w:r>
    </w:p>
    <w:p w14:paraId="433FB3B3" w14:textId="77777777" w:rsidR="005B2F62" w:rsidRPr="005B2F62" w:rsidRDefault="005B2F62" w:rsidP="005B2F62">
      <w:pPr>
        <w:pStyle w:val="ListParagraph"/>
        <w:numPr>
          <w:ilvl w:val="1"/>
          <w:numId w:val="12"/>
        </w:numPr>
        <w:rPr>
          <w:b/>
        </w:rPr>
      </w:pPr>
      <w:r w:rsidRPr="005B2F62">
        <w:rPr>
          <w:b/>
        </w:rPr>
        <w:t>Sample Results letter to the Parent of a Participant 6 to less than 18 - Total Arsenic below follow up level</w:t>
      </w:r>
    </w:p>
    <w:p w14:paraId="7DDDB2E4" w14:textId="77777777" w:rsidR="005B2F62" w:rsidRPr="005B2F62" w:rsidRDefault="005B2F62" w:rsidP="005B2F62">
      <w:pPr>
        <w:pStyle w:val="ListParagraph"/>
        <w:numPr>
          <w:ilvl w:val="1"/>
          <w:numId w:val="12"/>
        </w:numPr>
        <w:rPr>
          <w:b/>
        </w:rPr>
      </w:pPr>
      <w:r w:rsidRPr="005B2F62">
        <w:rPr>
          <w:b/>
        </w:rPr>
        <w:t>Sample Results Letter for Participant 6 to less than 18 Years of Age – Total As Above, Organic As Not Elevated, Inorganic As Elevated</w:t>
      </w:r>
    </w:p>
    <w:p w14:paraId="3D24BF01" w14:textId="77777777" w:rsidR="005B2F62" w:rsidRPr="005B2F62" w:rsidRDefault="005B2F62" w:rsidP="005B2F62">
      <w:pPr>
        <w:pStyle w:val="ListParagraph"/>
        <w:numPr>
          <w:ilvl w:val="1"/>
          <w:numId w:val="12"/>
        </w:numPr>
        <w:rPr>
          <w:b/>
        </w:rPr>
      </w:pPr>
      <w:r w:rsidRPr="005B2F62">
        <w:rPr>
          <w:b/>
        </w:rPr>
        <w:t>Sample Results Letter for Participant 6 to less than 18 Years of Age - Total As Above, Organic As Elevated, Inorganic As Not Elevated</w:t>
      </w:r>
    </w:p>
    <w:p w14:paraId="45C04BAD" w14:textId="77777777" w:rsidR="005B2F62" w:rsidRPr="005B2F62" w:rsidRDefault="005B2F62" w:rsidP="005B2F62">
      <w:pPr>
        <w:pStyle w:val="ListParagraph"/>
        <w:numPr>
          <w:ilvl w:val="1"/>
          <w:numId w:val="12"/>
        </w:numPr>
        <w:rPr>
          <w:b/>
        </w:rPr>
      </w:pPr>
      <w:r w:rsidRPr="005B2F62">
        <w:rPr>
          <w:b/>
        </w:rPr>
        <w:t xml:space="preserve"> Sample Results Letter for Participant 6 to less than 18 Years of Age - Total As Above, Organic As Elevated, Inorganic As Elevated</w:t>
      </w:r>
    </w:p>
    <w:p w14:paraId="7D23FC2B" w14:textId="77777777" w:rsidR="005B2F62" w:rsidRPr="005B2F62" w:rsidRDefault="005B2F62" w:rsidP="005B2F62">
      <w:pPr>
        <w:pStyle w:val="ListParagraph"/>
        <w:numPr>
          <w:ilvl w:val="1"/>
          <w:numId w:val="12"/>
        </w:numPr>
        <w:rPr>
          <w:b/>
        </w:rPr>
      </w:pPr>
      <w:r w:rsidRPr="005B2F62">
        <w:rPr>
          <w:b/>
        </w:rPr>
        <w:t>Sample Results Letter to a Pregnant Woman or Woman of Child Bearing Age 15 to less than 45 years - Total Arsenic Below Follow-up Level</w:t>
      </w:r>
    </w:p>
    <w:p w14:paraId="688DF308" w14:textId="77777777" w:rsidR="005B2F62" w:rsidRPr="005B2F62" w:rsidRDefault="005B2F62" w:rsidP="005B2F62">
      <w:pPr>
        <w:pStyle w:val="ListParagraph"/>
        <w:numPr>
          <w:ilvl w:val="1"/>
          <w:numId w:val="12"/>
        </w:numPr>
        <w:rPr>
          <w:b/>
        </w:rPr>
      </w:pPr>
      <w:r w:rsidRPr="005B2F62">
        <w:rPr>
          <w:b/>
        </w:rPr>
        <w:t>Sample Results Letter to a Pregnant Woman or Woman of Child Bearing Age 15 to less than 45 years) – Total As Above, Organic As Not Elevated, Inorganic As Elevated</w:t>
      </w:r>
    </w:p>
    <w:p w14:paraId="28B16C06" w14:textId="77777777" w:rsidR="005B2F62" w:rsidRPr="005B2F62" w:rsidRDefault="005B2F62" w:rsidP="005B2F62">
      <w:pPr>
        <w:pStyle w:val="ListParagraph"/>
        <w:numPr>
          <w:ilvl w:val="1"/>
          <w:numId w:val="12"/>
        </w:numPr>
        <w:rPr>
          <w:b/>
        </w:rPr>
      </w:pPr>
      <w:r w:rsidRPr="005B2F62">
        <w:rPr>
          <w:b/>
        </w:rPr>
        <w:t xml:space="preserve"> Sample Results Letter to a Pregnant Woman or Woman of Child Bearing Age 15 to less than 45 years - Total As Above, Organic As Elevated, Inorganic As Not Elevated</w:t>
      </w:r>
    </w:p>
    <w:p w14:paraId="3989EE28" w14:textId="77777777" w:rsidR="005B2F62" w:rsidRPr="005B2F62" w:rsidRDefault="005B2F62" w:rsidP="005B2F62">
      <w:pPr>
        <w:pStyle w:val="ListParagraph"/>
        <w:numPr>
          <w:ilvl w:val="1"/>
          <w:numId w:val="12"/>
        </w:numPr>
        <w:rPr>
          <w:b/>
        </w:rPr>
      </w:pPr>
      <w:r w:rsidRPr="005B2F62">
        <w:rPr>
          <w:b/>
        </w:rPr>
        <w:lastRenderedPageBreak/>
        <w:t>Sample Results Letter to a Pregnant Woman or Woman of Child Bearing Age 15 to less than 45 years) - Total As Above, Organic As Elevated, Inorganic As Elevated</w:t>
      </w:r>
    </w:p>
    <w:p w14:paraId="7B825569" w14:textId="77777777" w:rsidR="005B2F62" w:rsidRPr="005B2F62" w:rsidRDefault="005B2F62" w:rsidP="005B2F62">
      <w:pPr>
        <w:pStyle w:val="ListParagraph"/>
        <w:numPr>
          <w:ilvl w:val="1"/>
          <w:numId w:val="12"/>
        </w:numPr>
        <w:rPr>
          <w:b/>
        </w:rPr>
      </w:pPr>
      <w:r w:rsidRPr="005B2F62">
        <w:rPr>
          <w:b/>
        </w:rPr>
        <w:t>Factsheet with Tips for Reducing Exposure to Arsenic to Include with Result Letters to Participants with High Arsenic Levels</w:t>
      </w:r>
    </w:p>
    <w:p w14:paraId="52139807" w14:textId="77777777" w:rsidR="005B2F62" w:rsidRPr="008B2787" w:rsidRDefault="005B2F62" w:rsidP="005B2F62">
      <w:pPr>
        <w:pStyle w:val="ListParagraph"/>
        <w:numPr>
          <w:ilvl w:val="0"/>
          <w:numId w:val="1"/>
        </w:numPr>
        <w:rPr>
          <w:b/>
        </w:rPr>
      </w:pPr>
      <w:r w:rsidRPr="008B2787">
        <w:rPr>
          <w:b/>
        </w:rPr>
        <w:t>Example of Prior EI Final Report</w:t>
      </w:r>
    </w:p>
    <w:p w14:paraId="3B3BA170" w14:textId="77777777" w:rsidR="008B2787" w:rsidRPr="008B2787" w:rsidRDefault="008B2787" w:rsidP="008B2787">
      <w:pPr>
        <w:pStyle w:val="ListParagraph"/>
        <w:numPr>
          <w:ilvl w:val="0"/>
          <w:numId w:val="1"/>
        </w:numPr>
        <w:rPr>
          <w:b/>
        </w:rPr>
      </w:pPr>
      <w:r w:rsidRPr="008B2787">
        <w:rPr>
          <w:b/>
        </w:rPr>
        <w:t>Arsenic Retest Recruitment Letter</w:t>
      </w:r>
    </w:p>
    <w:p w14:paraId="79AD0A2B" w14:textId="77777777" w:rsidR="008B2787" w:rsidRPr="008B2787" w:rsidRDefault="008B2787" w:rsidP="008B2787">
      <w:pPr>
        <w:pStyle w:val="ListParagraph"/>
        <w:numPr>
          <w:ilvl w:val="0"/>
          <w:numId w:val="1"/>
        </w:numPr>
        <w:rPr>
          <w:b/>
        </w:rPr>
      </w:pPr>
      <w:r w:rsidRPr="008B2787">
        <w:rPr>
          <w:b/>
        </w:rPr>
        <w:t>Urine Collection Instructions</w:t>
      </w:r>
    </w:p>
    <w:p w14:paraId="7E6C1492" w14:textId="77777777" w:rsidR="008B2787" w:rsidRPr="008B2787" w:rsidRDefault="008B2787" w:rsidP="008B2787">
      <w:pPr>
        <w:pStyle w:val="ListParagraph"/>
        <w:numPr>
          <w:ilvl w:val="0"/>
          <w:numId w:val="1"/>
        </w:numPr>
        <w:rPr>
          <w:b/>
        </w:rPr>
      </w:pPr>
      <w:r w:rsidRPr="008B2787">
        <w:rPr>
          <w:b/>
        </w:rPr>
        <w:t>Hayden &amp; Winkelman Site Map and Demographics</w:t>
      </w:r>
    </w:p>
    <w:p w14:paraId="135E161C" w14:textId="77777777" w:rsidR="008B2787" w:rsidRPr="008B2787" w:rsidRDefault="008B2787" w:rsidP="008B2787">
      <w:pPr>
        <w:pStyle w:val="ListParagraph"/>
        <w:numPr>
          <w:ilvl w:val="0"/>
          <w:numId w:val="1"/>
        </w:numPr>
        <w:rPr>
          <w:b/>
        </w:rPr>
      </w:pPr>
      <w:r w:rsidRPr="008B2787">
        <w:rPr>
          <w:b/>
        </w:rPr>
        <w:t>Tips for Reducing Exposure to Arsenic</w:t>
      </w:r>
    </w:p>
    <w:p w14:paraId="194BA57C" w14:textId="77777777" w:rsidR="008B2787" w:rsidRPr="008B2787" w:rsidRDefault="008B2787" w:rsidP="008B2787">
      <w:pPr>
        <w:pStyle w:val="ListParagraph"/>
        <w:rPr>
          <w:b/>
        </w:rPr>
      </w:pPr>
    </w:p>
    <w:sectPr w:rsidR="008B2787" w:rsidRPr="008B2787" w:rsidSect="00D809E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554"/>
    <w:multiLevelType w:val="hybridMultilevel"/>
    <w:tmpl w:val="1DF0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81F59"/>
    <w:multiLevelType w:val="hybridMultilevel"/>
    <w:tmpl w:val="9076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09FB"/>
    <w:multiLevelType w:val="hybridMultilevel"/>
    <w:tmpl w:val="2FD2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E52E8"/>
    <w:multiLevelType w:val="hybridMultilevel"/>
    <w:tmpl w:val="B1C0C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63CB8"/>
    <w:multiLevelType w:val="hybridMultilevel"/>
    <w:tmpl w:val="60C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82861"/>
    <w:multiLevelType w:val="hybridMultilevel"/>
    <w:tmpl w:val="8C26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31BB2"/>
    <w:multiLevelType w:val="hybridMultilevel"/>
    <w:tmpl w:val="4D5C3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57AB"/>
    <w:multiLevelType w:val="hybridMultilevel"/>
    <w:tmpl w:val="B7FA9D18"/>
    <w:lvl w:ilvl="0" w:tplc="799CB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857A5"/>
    <w:multiLevelType w:val="hybridMultilevel"/>
    <w:tmpl w:val="36F24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2D47E9"/>
    <w:multiLevelType w:val="hybridMultilevel"/>
    <w:tmpl w:val="F9F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C436F"/>
    <w:multiLevelType w:val="hybridMultilevel"/>
    <w:tmpl w:val="F6780A90"/>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24B8F"/>
    <w:multiLevelType w:val="hybridMultilevel"/>
    <w:tmpl w:val="D0304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95B21"/>
    <w:multiLevelType w:val="hybridMultilevel"/>
    <w:tmpl w:val="7D5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45EAD"/>
    <w:multiLevelType w:val="hybridMultilevel"/>
    <w:tmpl w:val="9BFEF6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A02673"/>
    <w:multiLevelType w:val="hybridMultilevel"/>
    <w:tmpl w:val="7116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E4350"/>
    <w:multiLevelType w:val="hybridMultilevel"/>
    <w:tmpl w:val="CA56E18E"/>
    <w:lvl w:ilvl="0" w:tplc="0409000F">
      <w:start w:val="1"/>
      <w:numFmt w:val="decimal"/>
      <w:lvlText w:val="%1."/>
      <w:lvlJc w:val="left"/>
      <w:pPr>
        <w:ind w:left="720" w:hanging="360"/>
      </w:pPr>
      <w:rPr>
        <w:rFonts w:hint="default"/>
      </w:rPr>
    </w:lvl>
    <w:lvl w:ilvl="1" w:tplc="51E8C0E0">
      <w:start w:val="1"/>
      <w:numFmt w:val="upp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30953"/>
    <w:multiLevelType w:val="hybridMultilevel"/>
    <w:tmpl w:val="E178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B5264"/>
    <w:multiLevelType w:val="hybridMultilevel"/>
    <w:tmpl w:val="00004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CA7ADF"/>
    <w:multiLevelType w:val="hybridMultilevel"/>
    <w:tmpl w:val="4558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210BE"/>
    <w:multiLevelType w:val="hybridMultilevel"/>
    <w:tmpl w:val="888273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81227FD"/>
    <w:multiLevelType w:val="hybridMultilevel"/>
    <w:tmpl w:val="A71A1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5694C"/>
    <w:multiLevelType w:val="hybridMultilevel"/>
    <w:tmpl w:val="88C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9"/>
  </w:num>
  <w:num w:numId="5">
    <w:abstractNumId w:val="21"/>
  </w:num>
  <w:num w:numId="6">
    <w:abstractNumId w:val="12"/>
  </w:num>
  <w:num w:numId="7">
    <w:abstractNumId w:val="2"/>
  </w:num>
  <w:num w:numId="8">
    <w:abstractNumId w:val="18"/>
  </w:num>
  <w:num w:numId="9">
    <w:abstractNumId w:val="0"/>
  </w:num>
  <w:num w:numId="10">
    <w:abstractNumId w:val="4"/>
  </w:num>
  <w:num w:numId="11">
    <w:abstractNumId w:val="14"/>
  </w:num>
  <w:num w:numId="12">
    <w:abstractNumId w:val="15"/>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11"/>
  </w:num>
  <w:num w:numId="18">
    <w:abstractNumId w:val="13"/>
  </w:num>
  <w:num w:numId="19">
    <w:abstractNumId w:val="7"/>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48"/>
    <w:rsid w:val="000005DE"/>
    <w:rsid w:val="00000DF3"/>
    <w:rsid w:val="0000462E"/>
    <w:rsid w:val="00007543"/>
    <w:rsid w:val="00010464"/>
    <w:rsid w:val="000107BC"/>
    <w:rsid w:val="000168A2"/>
    <w:rsid w:val="00036452"/>
    <w:rsid w:val="0004565A"/>
    <w:rsid w:val="000457B7"/>
    <w:rsid w:val="000526FB"/>
    <w:rsid w:val="00054688"/>
    <w:rsid w:val="00054D50"/>
    <w:rsid w:val="0005599C"/>
    <w:rsid w:val="00057001"/>
    <w:rsid w:val="00066D15"/>
    <w:rsid w:val="0007663C"/>
    <w:rsid w:val="00081384"/>
    <w:rsid w:val="00085879"/>
    <w:rsid w:val="000967F1"/>
    <w:rsid w:val="000A030D"/>
    <w:rsid w:val="000C7E3D"/>
    <w:rsid w:val="000E2BF4"/>
    <w:rsid w:val="000F369B"/>
    <w:rsid w:val="000F454D"/>
    <w:rsid w:val="00105B25"/>
    <w:rsid w:val="00106C97"/>
    <w:rsid w:val="001079E3"/>
    <w:rsid w:val="0011153A"/>
    <w:rsid w:val="00114DF9"/>
    <w:rsid w:val="00134B62"/>
    <w:rsid w:val="00146801"/>
    <w:rsid w:val="00147B01"/>
    <w:rsid w:val="00153F94"/>
    <w:rsid w:val="001564CF"/>
    <w:rsid w:val="00157EA0"/>
    <w:rsid w:val="00170CDE"/>
    <w:rsid w:val="00183C90"/>
    <w:rsid w:val="001A5953"/>
    <w:rsid w:val="001B5953"/>
    <w:rsid w:val="001C2596"/>
    <w:rsid w:val="001E03FD"/>
    <w:rsid w:val="001E4DEE"/>
    <w:rsid w:val="001E5273"/>
    <w:rsid w:val="001E7826"/>
    <w:rsid w:val="001F3964"/>
    <w:rsid w:val="002101B5"/>
    <w:rsid w:val="0021261C"/>
    <w:rsid w:val="00222880"/>
    <w:rsid w:val="002268E8"/>
    <w:rsid w:val="00241D1E"/>
    <w:rsid w:val="00245FE8"/>
    <w:rsid w:val="00255B07"/>
    <w:rsid w:val="00276B88"/>
    <w:rsid w:val="00281057"/>
    <w:rsid w:val="0028500F"/>
    <w:rsid w:val="00293CDF"/>
    <w:rsid w:val="002A2531"/>
    <w:rsid w:val="002A5D89"/>
    <w:rsid w:val="002B1BC4"/>
    <w:rsid w:val="002B7FAF"/>
    <w:rsid w:val="002C1792"/>
    <w:rsid w:val="002C3309"/>
    <w:rsid w:val="002C53DE"/>
    <w:rsid w:val="002C5F6F"/>
    <w:rsid w:val="002D2DA8"/>
    <w:rsid w:val="002E0FE9"/>
    <w:rsid w:val="003025C4"/>
    <w:rsid w:val="00314173"/>
    <w:rsid w:val="0032501F"/>
    <w:rsid w:val="003266CE"/>
    <w:rsid w:val="00340746"/>
    <w:rsid w:val="00356B9F"/>
    <w:rsid w:val="003650DA"/>
    <w:rsid w:val="00366F48"/>
    <w:rsid w:val="003711F5"/>
    <w:rsid w:val="00372C81"/>
    <w:rsid w:val="003A2015"/>
    <w:rsid w:val="003A3692"/>
    <w:rsid w:val="003A3868"/>
    <w:rsid w:val="003B366F"/>
    <w:rsid w:val="003B7C8F"/>
    <w:rsid w:val="003D408F"/>
    <w:rsid w:val="003F6968"/>
    <w:rsid w:val="00431C36"/>
    <w:rsid w:val="00437501"/>
    <w:rsid w:val="00446811"/>
    <w:rsid w:val="00450BF4"/>
    <w:rsid w:val="0045304E"/>
    <w:rsid w:val="00456DD7"/>
    <w:rsid w:val="004579F8"/>
    <w:rsid w:val="00465806"/>
    <w:rsid w:val="00473F86"/>
    <w:rsid w:val="00485305"/>
    <w:rsid w:val="0049518C"/>
    <w:rsid w:val="004A3986"/>
    <w:rsid w:val="004B0DC0"/>
    <w:rsid w:val="004B252F"/>
    <w:rsid w:val="004C6181"/>
    <w:rsid w:val="004D64A2"/>
    <w:rsid w:val="004F4797"/>
    <w:rsid w:val="005119AF"/>
    <w:rsid w:val="005202A1"/>
    <w:rsid w:val="0053447F"/>
    <w:rsid w:val="00536341"/>
    <w:rsid w:val="00544D0B"/>
    <w:rsid w:val="00593097"/>
    <w:rsid w:val="0059309D"/>
    <w:rsid w:val="00593A63"/>
    <w:rsid w:val="00594706"/>
    <w:rsid w:val="005956AA"/>
    <w:rsid w:val="005961E9"/>
    <w:rsid w:val="005A3D6B"/>
    <w:rsid w:val="005A6D67"/>
    <w:rsid w:val="005B2F62"/>
    <w:rsid w:val="005B348D"/>
    <w:rsid w:val="005C389D"/>
    <w:rsid w:val="005D2153"/>
    <w:rsid w:val="005D258E"/>
    <w:rsid w:val="005E1D60"/>
    <w:rsid w:val="005F093E"/>
    <w:rsid w:val="005F62B4"/>
    <w:rsid w:val="00611BBC"/>
    <w:rsid w:val="0061349B"/>
    <w:rsid w:val="00627597"/>
    <w:rsid w:val="0063667F"/>
    <w:rsid w:val="00652BD7"/>
    <w:rsid w:val="006565F3"/>
    <w:rsid w:val="006A1C2A"/>
    <w:rsid w:val="006A77B4"/>
    <w:rsid w:val="006B4CA3"/>
    <w:rsid w:val="006B5535"/>
    <w:rsid w:val="006B74A2"/>
    <w:rsid w:val="006C23C0"/>
    <w:rsid w:val="006C2D55"/>
    <w:rsid w:val="006C2E1C"/>
    <w:rsid w:val="006D1E61"/>
    <w:rsid w:val="006F4D54"/>
    <w:rsid w:val="006F6D2F"/>
    <w:rsid w:val="00700B89"/>
    <w:rsid w:val="00752494"/>
    <w:rsid w:val="00761B07"/>
    <w:rsid w:val="0076482D"/>
    <w:rsid w:val="00771A77"/>
    <w:rsid w:val="007741F6"/>
    <w:rsid w:val="0078138E"/>
    <w:rsid w:val="00797694"/>
    <w:rsid w:val="007A07A6"/>
    <w:rsid w:val="007A2157"/>
    <w:rsid w:val="007A595C"/>
    <w:rsid w:val="007A7A7D"/>
    <w:rsid w:val="007B07B7"/>
    <w:rsid w:val="007B53F4"/>
    <w:rsid w:val="007E60F2"/>
    <w:rsid w:val="00804F11"/>
    <w:rsid w:val="0083060B"/>
    <w:rsid w:val="00835250"/>
    <w:rsid w:val="008529CA"/>
    <w:rsid w:val="00854A8B"/>
    <w:rsid w:val="00855572"/>
    <w:rsid w:val="00881AA6"/>
    <w:rsid w:val="00885DD4"/>
    <w:rsid w:val="0089680C"/>
    <w:rsid w:val="008A1595"/>
    <w:rsid w:val="008B2787"/>
    <w:rsid w:val="008B54E4"/>
    <w:rsid w:val="008C1299"/>
    <w:rsid w:val="008C26C6"/>
    <w:rsid w:val="008D593A"/>
    <w:rsid w:val="008D5F47"/>
    <w:rsid w:val="008E286E"/>
    <w:rsid w:val="00920DBD"/>
    <w:rsid w:val="00923E3E"/>
    <w:rsid w:val="009316B4"/>
    <w:rsid w:val="00933EF0"/>
    <w:rsid w:val="00935ED2"/>
    <w:rsid w:val="009402B9"/>
    <w:rsid w:val="00944EB4"/>
    <w:rsid w:val="00952433"/>
    <w:rsid w:val="00956EF2"/>
    <w:rsid w:val="0096136C"/>
    <w:rsid w:val="00972778"/>
    <w:rsid w:val="009730FC"/>
    <w:rsid w:val="00977D5F"/>
    <w:rsid w:val="00990609"/>
    <w:rsid w:val="00992031"/>
    <w:rsid w:val="00992967"/>
    <w:rsid w:val="00995A52"/>
    <w:rsid w:val="00996E9F"/>
    <w:rsid w:val="009A02AB"/>
    <w:rsid w:val="009A4C91"/>
    <w:rsid w:val="009A5708"/>
    <w:rsid w:val="009B7398"/>
    <w:rsid w:val="009C1673"/>
    <w:rsid w:val="009C40EF"/>
    <w:rsid w:val="009E2696"/>
    <w:rsid w:val="009E4287"/>
    <w:rsid w:val="009E491C"/>
    <w:rsid w:val="009F4E67"/>
    <w:rsid w:val="009F7507"/>
    <w:rsid w:val="00A128D9"/>
    <w:rsid w:val="00A3626C"/>
    <w:rsid w:val="00A42E0B"/>
    <w:rsid w:val="00A50513"/>
    <w:rsid w:val="00A56EAC"/>
    <w:rsid w:val="00A60004"/>
    <w:rsid w:val="00A64283"/>
    <w:rsid w:val="00A73148"/>
    <w:rsid w:val="00AA7DE7"/>
    <w:rsid w:val="00AB6175"/>
    <w:rsid w:val="00AC3F36"/>
    <w:rsid w:val="00AC47D1"/>
    <w:rsid w:val="00AC57A7"/>
    <w:rsid w:val="00AD12BA"/>
    <w:rsid w:val="00AD2FF0"/>
    <w:rsid w:val="00B135C2"/>
    <w:rsid w:val="00B22001"/>
    <w:rsid w:val="00B3092E"/>
    <w:rsid w:val="00B348E2"/>
    <w:rsid w:val="00B3644B"/>
    <w:rsid w:val="00B50EEF"/>
    <w:rsid w:val="00B512C3"/>
    <w:rsid w:val="00B54838"/>
    <w:rsid w:val="00B65000"/>
    <w:rsid w:val="00B72E49"/>
    <w:rsid w:val="00B76ACB"/>
    <w:rsid w:val="00B95400"/>
    <w:rsid w:val="00BA09ED"/>
    <w:rsid w:val="00BA4320"/>
    <w:rsid w:val="00BB3C08"/>
    <w:rsid w:val="00BB5A4C"/>
    <w:rsid w:val="00BD1DE4"/>
    <w:rsid w:val="00BD2DDB"/>
    <w:rsid w:val="00BF05F8"/>
    <w:rsid w:val="00BF1A54"/>
    <w:rsid w:val="00C23DF8"/>
    <w:rsid w:val="00C2426C"/>
    <w:rsid w:val="00C406EF"/>
    <w:rsid w:val="00C53B06"/>
    <w:rsid w:val="00C559A7"/>
    <w:rsid w:val="00C55B5E"/>
    <w:rsid w:val="00C8371F"/>
    <w:rsid w:val="00CB69F1"/>
    <w:rsid w:val="00CB72A3"/>
    <w:rsid w:val="00CC0157"/>
    <w:rsid w:val="00CC6774"/>
    <w:rsid w:val="00CC6823"/>
    <w:rsid w:val="00CD06AA"/>
    <w:rsid w:val="00CE22E8"/>
    <w:rsid w:val="00D239D3"/>
    <w:rsid w:val="00D25D4F"/>
    <w:rsid w:val="00D2641F"/>
    <w:rsid w:val="00D30BB2"/>
    <w:rsid w:val="00D312D7"/>
    <w:rsid w:val="00D32CFC"/>
    <w:rsid w:val="00D33409"/>
    <w:rsid w:val="00D3577B"/>
    <w:rsid w:val="00D41F21"/>
    <w:rsid w:val="00D43C37"/>
    <w:rsid w:val="00D56F90"/>
    <w:rsid w:val="00D642BE"/>
    <w:rsid w:val="00D745E2"/>
    <w:rsid w:val="00D7489E"/>
    <w:rsid w:val="00D809E7"/>
    <w:rsid w:val="00D86056"/>
    <w:rsid w:val="00DA3458"/>
    <w:rsid w:val="00DA45A1"/>
    <w:rsid w:val="00DB40B9"/>
    <w:rsid w:val="00DB5A15"/>
    <w:rsid w:val="00DD34BD"/>
    <w:rsid w:val="00DD64AD"/>
    <w:rsid w:val="00DE1390"/>
    <w:rsid w:val="00DE13BE"/>
    <w:rsid w:val="00DF48D0"/>
    <w:rsid w:val="00E04405"/>
    <w:rsid w:val="00E27222"/>
    <w:rsid w:val="00E34861"/>
    <w:rsid w:val="00E36E2D"/>
    <w:rsid w:val="00E40471"/>
    <w:rsid w:val="00E41AC1"/>
    <w:rsid w:val="00E5214B"/>
    <w:rsid w:val="00E5729B"/>
    <w:rsid w:val="00E60946"/>
    <w:rsid w:val="00E72879"/>
    <w:rsid w:val="00E84F8D"/>
    <w:rsid w:val="00E87DC9"/>
    <w:rsid w:val="00EA4036"/>
    <w:rsid w:val="00EB0D65"/>
    <w:rsid w:val="00ED7345"/>
    <w:rsid w:val="00EE37C6"/>
    <w:rsid w:val="00EF05E1"/>
    <w:rsid w:val="00EF656A"/>
    <w:rsid w:val="00EF6B0B"/>
    <w:rsid w:val="00EF6EF2"/>
    <w:rsid w:val="00F00F23"/>
    <w:rsid w:val="00F027EC"/>
    <w:rsid w:val="00F040A9"/>
    <w:rsid w:val="00F0550F"/>
    <w:rsid w:val="00F20D02"/>
    <w:rsid w:val="00F2662B"/>
    <w:rsid w:val="00F32AA2"/>
    <w:rsid w:val="00F57FB7"/>
    <w:rsid w:val="00F60B52"/>
    <w:rsid w:val="00F8454C"/>
    <w:rsid w:val="00F94491"/>
    <w:rsid w:val="00F95EF6"/>
    <w:rsid w:val="00FB52D0"/>
    <w:rsid w:val="00FB57DA"/>
    <w:rsid w:val="00FE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2E3E"/>
  <w15:docId w15:val="{2B45D3A3-7FCA-47D4-8A10-0ADF2785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00F23"/>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8E8"/>
    <w:pPr>
      <w:ind w:left="720"/>
      <w:contextualSpacing/>
    </w:pPr>
  </w:style>
  <w:style w:type="character" w:styleId="CommentReference">
    <w:name w:val="annotation reference"/>
    <w:basedOn w:val="DefaultParagraphFont"/>
    <w:semiHidden/>
    <w:unhideWhenUsed/>
    <w:rsid w:val="00146801"/>
    <w:rPr>
      <w:sz w:val="16"/>
      <w:szCs w:val="16"/>
    </w:rPr>
  </w:style>
  <w:style w:type="paragraph" w:styleId="CommentText">
    <w:name w:val="annotation text"/>
    <w:basedOn w:val="Normal"/>
    <w:link w:val="CommentTextChar"/>
    <w:semiHidden/>
    <w:unhideWhenUsed/>
    <w:rsid w:val="00146801"/>
    <w:pPr>
      <w:spacing w:line="240" w:lineRule="auto"/>
    </w:pPr>
    <w:rPr>
      <w:sz w:val="20"/>
      <w:szCs w:val="20"/>
    </w:rPr>
  </w:style>
  <w:style w:type="character" w:customStyle="1" w:styleId="CommentTextChar">
    <w:name w:val="Comment Text Char"/>
    <w:basedOn w:val="DefaultParagraphFont"/>
    <w:link w:val="CommentText"/>
    <w:semiHidden/>
    <w:rsid w:val="00146801"/>
    <w:rPr>
      <w:sz w:val="20"/>
      <w:szCs w:val="20"/>
    </w:rPr>
  </w:style>
  <w:style w:type="paragraph" w:styleId="CommentSubject">
    <w:name w:val="annotation subject"/>
    <w:basedOn w:val="CommentText"/>
    <w:next w:val="CommentText"/>
    <w:link w:val="CommentSubjectChar"/>
    <w:uiPriority w:val="99"/>
    <w:semiHidden/>
    <w:unhideWhenUsed/>
    <w:rsid w:val="00146801"/>
    <w:rPr>
      <w:b/>
      <w:bCs/>
    </w:rPr>
  </w:style>
  <w:style w:type="character" w:customStyle="1" w:styleId="CommentSubjectChar">
    <w:name w:val="Comment Subject Char"/>
    <w:basedOn w:val="CommentTextChar"/>
    <w:link w:val="CommentSubject"/>
    <w:uiPriority w:val="99"/>
    <w:semiHidden/>
    <w:rsid w:val="00146801"/>
    <w:rPr>
      <w:b/>
      <w:bCs/>
      <w:sz w:val="20"/>
      <w:szCs w:val="20"/>
    </w:rPr>
  </w:style>
  <w:style w:type="paragraph" w:styleId="BalloonText">
    <w:name w:val="Balloon Text"/>
    <w:basedOn w:val="Normal"/>
    <w:link w:val="BalloonTextChar"/>
    <w:uiPriority w:val="99"/>
    <w:semiHidden/>
    <w:unhideWhenUsed/>
    <w:rsid w:val="0014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801"/>
    <w:rPr>
      <w:rFonts w:ascii="Tahoma" w:hAnsi="Tahoma" w:cs="Tahoma"/>
      <w:sz w:val="16"/>
      <w:szCs w:val="16"/>
    </w:rPr>
  </w:style>
  <w:style w:type="paragraph" w:customStyle="1" w:styleId="Default">
    <w:name w:val="Default"/>
    <w:rsid w:val="008C26C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D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57DA"/>
    <w:rPr>
      <w:b/>
      <w:bCs/>
    </w:rPr>
  </w:style>
  <w:style w:type="character" w:styleId="FootnoteReference">
    <w:name w:val="footnote reference"/>
    <w:aliases w:val="fr"/>
    <w:basedOn w:val="DefaultParagraphFont"/>
    <w:uiPriority w:val="99"/>
    <w:rsid w:val="00FB57DA"/>
    <w:rPr>
      <w:rFonts w:cs="Times New Roman"/>
      <w:vertAlign w:val="superscript"/>
    </w:rPr>
  </w:style>
  <w:style w:type="paragraph" w:styleId="NormalWeb">
    <w:name w:val="Normal (Web)"/>
    <w:basedOn w:val="Normal"/>
    <w:uiPriority w:val="99"/>
    <w:unhideWhenUsed/>
    <w:rsid w:val="00FB57DA"/>
    <w:pPr>
      <w:spacing w:after="18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595C"/>
    <w:rPr>
      <w:color w:val="0000FF" w:themeColor="hyperlink"/>
      <w:u w:val="single"/>
    </w:rPr>
  </w:style>
  <w:style w:type="character" w:customStyle="1" w:styleId="Heading2Char">
    <w:name w:val="Heading 2 Char"/>
    <w:basedOn w:val="DefaultParagraphFont"/>
    <w:link w:val="Heading2"/>
    <w:uiPriority w:val="9"/>
    <w:rsid w:val="00F00F23"/>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Scruton, Karen M. (ATSDR/DHAC/EISAB)</dc:creator>
  <cp:lastModifiedBy>Vempaty, Padmaja (ATSDR/OADS)</cp:lastModifiedBy>
  <cp:revision>15</cp:revision>
  <cp:lastPrinted>2016-11-09T19:07:00Z</cp:lastPrinted>
  <dcterms:created xsi:type="dcterms:W3CDTF">2017-04-11T18:21:00Z</dcterms:created>
  <dcterms:modified xsi:type="dcterms:W3CDTF">2017-05-17T16:03:00Z</dcterms:modified>
</cp:coreProperties>
</file>