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33" w:rsidRPr="006A4D33" w:rsidRDefault="006A4D33" w:rsidP="006A4D33">
      <w:pPr>
        <w:jc w:val="center"/>
        <w:rPr>
          <w:b/>
          <w:sz w:val="28"/>
          <w:szCs w:val="28"/>
        </w:rPr>
      </w:pPr>
      <w:bookmarkStart w:id="0" w:name="_GoBack"/>
      <w:bookmarkEnd w:id="0"/>
      <w:r w:rsidRPr="006A4D33">
        <w:rPr>
          <w:b/>
          <w:sz w:val="28"/>
          <w:szCs w:val="28"/>
        </w:rPr>
        <w:t>Attachment 6: Example Results Letter to the Participant (Adult or Parent of Child)</w:t>
      </w:r>
    </w:p>
    <w:p w:rsidR="006A4D33" w:rsidRPr="006A4D33" w:rsidRDefault="006A4D33" w:rsidP="006A4D33">
      <w:pPr>
        <w:widowControl w:val="0"/>
        <w:autoSpaceDE w:val="0"/>
        <w:autoSpaceDN w:val="0"/>
        <w:adjustRightInd w:val="0"/>
        <w:rPr>
          <w:i/>
          <w:sz w:val="28"/>
          <w:szCs w:val="28"/>
        </w:rPr>
      </w:pPr>
    </w:p>
    <w:p w:rsidR="006A4D33" w:rsidRPr="002C0414" w:rsidRDefault="006A4D33" w:rsidP="006A4D33">
      <w:pPr>
        <w:widowControl w:val="0"/>
        <w:autoSpaceDE w:val="0"/>
        <w:autoSpaceDN w:val="0"/>
        <w:adjustRightInd w:val="0"/>
        <w:rPr>
          <w:i/>
        </w:rPr>
      </w:pPr>
      <w:r w:rsidRPr="002C0414">
        <w:rPr>
          <w:i/>
        </w:rPr>
        <w:t>Note: The format and content of this example letter could change depending on the results of the EI. Final letters will also go through CDC/ATSDR clearance.</w:t>
      </w:r>
    </w:p>
    <w:p w:rsidR="006A4D33" w:rsidRPr="006452D5" w:rsidRDefault="006A4D33" w:rsidP="006A4D33">
      <w:pPr>
        <w:widowControl w:val="0"/>
        <w:tabs>
          <w:tab w:val="center" w:pos="4680"/>
          <w:tab w:val="right" w:pos="9360"/>
        </w:tabs>
        <w:autoSpaceDE w:val="0"/>
        <w:autoSpaceDN w:val="0"/>
        <w:adjustRightInd w:val="0"/>
      </w:pPr>
    </w:p>
    <w:p w:rsidR="006A4D33" w:rsidRDefault="006A4D33" w:rsidP="006A4D33">
      <w:pPr>
        <w:widowControl w:val="0"/>
        <w:tabs>
          <w:tab w:val="center" w:pos="4680"/>
          <w:tab w:val="right" w:pos="9360"/>
        </w:tabs>
        <w:autoSpaceDE w:val="0"/>
        <w:autoSpaceDN w:val="0"/>
        <w:adjustRightInd w:val="0"/>
        <w:jc w:val="center"/>
      </w:pPr>
      <w:r w:rsidRPr="006452D5">
        <w:t xml:space="preserve"> (Flesch-Kincaid Reading Leve</w:t>
      </w:r>
      <w:r>
        <w:t>l: grade XX</w:t>
      </w:r>
      <w:r w:rsidRPr="006452D5">
        <w:t>)</w:t>
      </w:r>
    </w:p>
    <w:p w:rsidR="006A4D33" w:rsidRDefault="006A4D33" w:rsidP="006A4D33">
      <w:pPr>
        <w:widowControl w:val="0"/>
        <w:tabs>
          <w:tab w:val="center" w:pos="4680"/>
          <w:tab w:val="right" w:pos="9360"/>
        </w:tabs>
        <w:autoSpaceDE w:val="0"/>
        <w:autoSpaceDN w:val="0"/>
        <w:adjustRightInd w:val="0"/>
        <w:jc w:val="center"/>
      </w:pPr>
    </w:p>
    <w:p w:rsidR="006A4D33" w:rsidRPr="006452D5" w:rsidRDefault="006A4D33" w:rsidP="006A4D33">
      <w:pPr>
        <w:widowControl w:val="0"/>
        <w:autoSpaceDE w:val="0"/>
        <w:autoSpaceDN w:val="0"/>
        <w:adjustRightInd w:val="0"/>
        <w:jc w:val="center"/>
        <w:rPr>
          <w:b/>
        </w:rPr>
      </w:pPr>
      <w:r w:rsidRPr="006452D5">
        <w:rPr>
          <w:b/>
        </w:rPr>
        <w:t>(ATSDR Letterhead)</w:t>
      </w:r>
    </w:p>
    <w:p w:rsidR="006A4D33" w:rsidRDefault="006A4D33" w:rsidP="006A4D33">
      <w:pPr>
        <w:widowControl w:val="0"/>
        <w:autoSpaceDE w:val="0"/>
        <w:autoSpaceDN w:val="0"/>
        <w:adjustRightInd w:val="0"/>
      </w:pPr>
    </w:p>
    <w:p w:rsidR="006A4D33" w:rsidRPr="00BA079E" w:rsidRDefault="006A4D33" w:rsidP="006A4D33">
      <w:pPr>
        <w:widowControl w:val="0"/>
        <w:autoSpaceDE w:val="0"/>
        <w:autoSpaceDN w:val="0"/>
        <w:adjustRightInd w:val="0"/>
      </w:pPr>
      <w:r>
        <w:t xml:space="preserve">DATE ________________ </w:t>
      </w:r>
    </w:p>
    <w:p w:rsidR="006A4D33" w:rsidRDefault="006A4D33" w:rsidP="006A4D33">
      <w:pPr>
        <w:widowControl w:val="0"/>
        <w:autoSpaceDE w:val="0"/>
        <w:autoSpaceDN w:val="0"/>
        <w:adjustRightInd w:val="0"/>
      </w:pPr>
    </w:p>
    <w:p w:rsidR="006A4D33" w:rsidRPr="002652F7" w:rsidRDefault="006A4D33" w:rsidP="006A4D33">
      <w:pPr>
        <w:widowControl w:val="0"/>
        <w:autoSpaceDE w:val="0"/>
        <w:autoSpaceDN w:val="0"/>
        <w:adjustRightInd w:val="0"/>
      </w:pPr>
      <w:r w:rsidRPr="002652F7">
        <w:t>Name</w:t>
      </w:r>
      <w:r w:rsidRPr="00D452E1">
        <w:t xml:space="preserve"> </w:t>
      </w:r>
      <w:r w:rsidRPr="002652F7">
        <w:t>XXXXX</w:t>
      </w:r>
    </w:p>
    <w:p w:rsidR="006A4D33" w:rsidRPr="00105A49" w:rsidRDefault="006A4D33" w:rsidP="006A4D33">
      <w:pPr>
        <w:widowControl w:val="0"/>
        <w:autoSpaceDE w:val="0"/>
        <w:autoSpaceDN w:val="0"/>
        <w:adjustRightInd w:val="0"/>
      </w:pPr>
      <w:r w:rsidRPr="00105A49">
        <w:t>Address XXXX</w:t>
      </w:r>
    </w:p>
    <w:p w:rsidR="006A4D33" w:rsidRPr="00105A49" w:rsidRDefault="006A4D33" w:rsidP="006A4D33">
      <w:pPr>
        <w:widowControl w:val="0"/>
        <w:autoSpaceDE w:val="0"/>
        <w:autoSpaceDN w:val="0"/>
        <w:adjustRightInd w:val="0"/>
      </w:pPr>
    </w:p>
    <w:p w:rsidR="006A4D33" w:rsidRPr="00105A49" w:rsidRDefault="006A4D33" w:rsidP="006A4D33">
      <w:pPr>
        <w:widowControl w:val="0"/>
        <w:autoSpaceDE w:val="0"/>
        <w:autoSpaceDN w:val="0"/>
        <w:adjustRightInd w:val="0"/>
      </w:pPr>
      <w:r w:rsidRPr="00105A49">
        <w:t>Dear ____________</w:t>
      </w:r>
    </w:p>
    <w:p w:rsidR="006A4D33" w:rsidRPr="00105A49"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86135C">
        <w:t xml:space="preserve">Thank you for </w:t>
      </w:r>
      <w:r>
        <w:t xml:space="preserve">participating in (or </w:t>
      </w:r>
      <w:r w:rsidRPr="0086135C">
        <w:t xml:space="preserve">allowing </w:t>
      </w:r>
      <w:r>
        <w:t xml:space="preserve">your child/ward, _______________, </w:t>
      </w:r>
      <w:r w:rsidRPr="0086135C">
        <w:t>to take part in</w:t>
      </w:r>
      <w:r>
        <w:t>)</w:t>
      </w:r>
      <w:r w:rsidRPr="0086135C">
        <w:t xml:space="preserve"> the </w:t>
      </w:r>
      <w:r>
        <w:t xml:space="preserve">Agency for Toxic Substances and Disease Registry’s (ATSDR) </w:t>
      </w:r>
      <w:r w:rsidRPr="0086135C">
        <w:t xml:space="preserve">Exposure Investigation in </w:t>
      </w:r>
      <w:r>
        <w:t xml:space="preserve">Anaconda, Montana. The </w:t>
      </w:r>
      <w:r w:rsidRPr="0086135C">
        <w:t xml:space="preserve">goal </w:t>
      </w:r>
      <w:r>
        <w:t xml:space="preserve">of the </w:t>
      </w:r>
      <w:r w:rsidRPr="0086135C">
        <w:t xml:space="preserve">Exposure Investigation </w:t>
      </w:r>
      <w:r>
        <w:t>is</w:t>
      </w:r>
      <w:r w:rsidRPr="0086135C">
        <w:t xml:space="preserve"> to determine w</w:t>
      </w:r>
      <w:r>
        <w:t xml:space="preserve">hether people </w:t>
      </w:r>
      <w:r w:rsidRPr="0086135C">
        <w:t xml:space="preserve">living </w:t>
      </w:r>
      <w:r>
        <w:t>in Anaconda, MT</w:t>
      </w:r>
      <w:r w:rsidRPr="0086135C">
        <w:t xml:space="preserve"> are being exposed to lead</w:t>
      </w:r>
      <w:r>
        <w:t xml:space="preserve"> and arsenic</w:t>
      </w:r>
      <w:r w:rsidRPr="0086135C">
        <w:t>.</w:t>
      </w:r>
      <w:r>
        <w:t xml:space="preserve"> </w:t>
      </w:r>
    </w:p>
    <w:p w:rsidR="006A4D33" w:rsidRDefault="006A4D33" w:rsidP="006A4D33">
      <w:pPr>
        <w:widowControl w:val="0"/>
        <w:autoSpaceDE w:val="0"/>
        <w:autoSpaceDN w:val="0"/>
        <w:adjustRightInd w:val="0"/>
        <w:spacing w:after="100" w:afterAutospacing="1" w:line="276" w:lineRule="auto"/>
      </w:pPr>
      <w:r>
        <w:t xml:space="preserve">This letter contains the results of your (your child’s/ward’s) blood lead and </w:t>
      </w:r>
      <w:r w:rsidRPr="001D7187">
        <w:t>urine</w:t>
      </w:r>
      <w:r>
        <w:t xml:space="preserve"> arsenic tests. ATSDR collected a blood and urine sample from you/your child/ward for testing on [Month Day, Year]. </w:t>
      </w:r>
    </w:p>
    <w:p w:rsidR="006A4D33" w:rsidRDefault="006A4D33" w:rsidP="006A4D33">
      <w:pPr>
        <w:widowControl w:val="0"/>
        <w:autoSpaceDE w:val="0"/>
        <w:autoSpaceDN w:val="0"/>
        <w:adjustRightInd w:val="0"/>
        <w:spacing w:after="100" w:afterAutospacing="1" w:line="276" w:lineRule="auto"/>
      </w:pPr>
      <w:r>
        <w:t xml:space="preserve">Test results of your (your child’s/ward’s) samples are shown in the enclosed Table 1. </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rPr>
          <w:b/>
        </w:rPr>
      </w:pPr>
      <w:r w:rsidRPr="00E70F00">
        <w:rPr>
          <w:b/>
        </w:rPr>
        <w:t>Lead</w:t>
      </w:r>
      <w:r>
        <w:rPr>
          <w:b/>
        </w:rPr>
        <w:t xml:space="preserve"> in Blood</w:t>
      </w:r>
      <w:r w:rsidRPr="00E70F00">
        <w:rPr>
          <w:b/>
        </w:rPr>
        <w:t>:</w:t>
      </w:r>
    </w:p>
    <w:p w:rsidR="006A4D33" w:rsidRPr="00E70F00" w:rsidRDefault="006A4D33" w:rsidP="006A4D33">
      <w:pPr>
        <w:widowControl w:val="0"/>
        <w:autoSpaceDE w:val="0"/>
        <w:autoSpaceDN w:val="0"/>
        <w:adjustRightInd w:val="0"/>
        <w:rPr>
          <w:b/>
        </w:rPr>
      </w:pPr>
    </w:p>
    <w:p w:rsidR="006A4D33" w:rsidRPr="00E70F00" w:rsidRDefault="006A4D33" w:rsidP="006A4D33">
      <w:pPr>
        <w:pStyle w:val="ListParagraph"/>
        <w:widowControl w:val="0"/>
        <w:numPr>
          <w:ilvl w:val="0"/>
          <w:numId w:val="1"/>
        </w:numPr>
        <w:autoSpaceDE w:val="0"/>
        <w:autoSpaceDN w:val="0"/>
        <w:adjustRightInd w:val="0"/>
        <w:rPr>
          <w:u w:val="single"/>
        </w:rPr>
      </w:pPr>
      <w:r w:rsidRPr="00E70F00">
        <w:rPr>
          <w:i/>
          <w:u w:val="single"/>
        </w:rPr>
        <w:t xml:space="preserve">if BLL is </w:t>
      </w:r>
      <w:r>
        <w:rPr>
          <w:i/>
          <w:u w:val="single"/>
        </w:rPr>
        <w:t>&lt;</w:t>
      </w:r>
      <w:r w:rsidRPr="00E70F00">
        <w:rPr>
          <w:i/>
          <w:u w:val="single"/>
        </w:rPr>
        <w:t>5 µg/dL</w:t>
      </w:r>
      <w:r w:rsidRPr="00E70F00">
        <w:rPr>
          <w:u w:val="single"/>
        </w:rPr>
        <w:t>:</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5C34C6">
        <w:t xml:space="preserve">Your </w:t>
      </w:r>
      <w:r>
        <w:t xml:space="preserve">(your </w:t>
      </w:r>
      <w:r w:rsidRPr="005C34C6">
        <w:t>child’s</w:t>
      </w:r>
      <w:r>
        <w:t>/ward’s)</w:t>
      </w:r>
      <w:r w:rsidRPr="005C34C6">
        <w:t xml:space="preserve"> blood lead level was </w:t>
      </w:r>
      <w:r w:rsidRPr="005C34C6">
        <w:rPr>
          <w:b/>
          <w:i/>
        </w:rPr>
        <w:t>below</w:t>
      </w:r>
      <w:r w:rsidRPr="005C34C6">
        <w:t xml:space="preserve"> the reference level for blood lead.</w:t>
      </w:r>
      <w:r>
        <w:t xml:space="preserve"> Although there is no safe level of blood lead, the results indicate that your (your child’s/ward’s) blood lead level is similar to most other people’s results in the United States. Therefore, no additional action with regard to lead is needed based on these results. </w:t>
      </w:r>
    </w:p>
    <w:p w:rsidR="006A4D33" w:rsidRDefault="006A4D33" w:rsidP="006A4D33">
      <w:pPr>
        <w:widowControl w:val="0"/>
        <w:autoSpaceDE w:val="0"/>
        <w:autoSpaceDN w:val="0"/>
        <w:adjustRightInd w:val="0"/>
      </w:pPr>
    </w:p>
    <w:p w:rsidR="006A4D33" w:rsidRPr="00E70F00" w:rsidRDefault="006A4D33" w:rsidP="006A4D33">
      <w:pPr>
        <w:pStyle w:val="ListParagraph"/>
        <w:widowControl w:val="0"/>
        <w:numPr>
          <w:ilvl w:val="0"/>
          <w:numId w:val="1"/>
        </w:numPr>
        <w:autoSpaceDE w:val="0"/>
        <w:autoSpaceDN w:val="0"/>
        <w:adjustRightInd w:val="0"/>
      </w:pPr>
      <w:r w:rsidRPr="0018286A">
        <w:rPr>
          <w:i/>
          <w:u w:val="single"/>
        </w:rPr>
        <w:t>if BLL is ≥5 µg/dL</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rsidRPr="005C34C6">
        <w:t xml:space="preserve">Your </w:t>
      </w:r>
      <w:r>
        <w:t xml:space="preserve">(your </w:t>
      </w:r>
      <w:r w:rsidRPr="005C34C6">
        <w:t>child’s</w:t>
      </w:r>
      <w:r>
        <w:t>/ward’s)</w:t>
      </w:r>
      <w:r w:rsidRPr="005C34C6">
        <w:t xml:space="preserve"> blood lead level was </w:t>
      </w:r>
      <w:r>
        <w:rPr>
          <w:b/>
          <w:i/>
        </w:rPr>
        <w:t>equal to or above</w:t>
      </w:r>
      <w:r w:rsidRPr="005C34C6">
        <w:t xml:space="preserve"> the reference level for blood lead.</w:t>
      </w:r>
      <w:r>
        <w:t xml:space="preserve"> As a result, t</w:t>
      </w:r>
      <w:r w:rsidRPr="0086135C">
        <w:t xml:space="preserve">he </w:t>
      </w:r>
      <w:r>
        <w:t>Anaconda Deer Lodge County (ADLC) health department</w:t>
      </w:r>
      <w:r w:rsidRPr="0086135C">
        <w:t xml:space="preserve"> </w:t>
      </w:r>
      <w:r>
        <w:t>will contact</w:t>
      </w:r>
      <w:r w:rsidRPr="0086135C">
        <w:t xml:space="preserve"> you </w:t>
      </w:r>
      <w:r>
        <w:t xml:space="preserve">to help </w:t>
      </w:r>
      <w:r w:rsidRPr="0086135C">
        <w:t>identify</w:t>
      </w:r>
      <w:r>
        <w:t xml:space="preserve"> the </w:t>
      </w:r>
      <w:r w:rsidRPr="0086135C">
        <w:t xml:space="preserve">possible source of exposure. </w:t>
      </w:r>
      <w:r>
        <w:t xml:space="preserve">ADLC is also available to speak with you about ways to reduce your exposure to lead. You can contact ADLC at XXX-XXX-XXXX. The exposure </w:t>
      </w:r>
      <w:r w:rsidRPr="0086135C">
        <w:t xml:space="preserve">could be </w:t>
      </w:r>
      <w:r>
        <w:t xml:space="preserve">coming from various sources including </w:t>
      </w:r>
      <w:r w:rsidRPr="0086135C">
        <w:t>hobbies, contaminated soil</w:t>
      </w:r>
      <w:r>
        <w:t xml:space="preserve"> and </w:t>
      </w:r>
      <w:r w:rsidRPr="0086135C">
        <w:t>dust, or lead-based paint.</w:t>
      </w:r>
    </w:p>
    <w:p w:rsidR="006A4D33" w:rsidRDefault="006A4D33" w:rsidP="006A4D33">
      <w:pPr>
        <w:widowControl w:val="0"/>
        <w:autoSpaceDE w:val="0"/>
        <w:autoSpaceDN w:val="0"/>
        <w:adjustRightInd w:val="0"/>
        <w:spacing w:after="100" w:afterAutospacing="1" w:line="276" w:lineRule="auto"/>
      </w:pPr>
    </w:p>
    <w:p w:rsidR="006A4D33" w:rsidRDefault="006A4D33" w:rsidP="006A4D33">
      <w:pPr>
        <w:widowControl w:val="0"/>
        <w:autoSpaceDE w:val="0"/>
        <w:autoSpaceDN w:val="0"/>
        <w:adjustRightInd w:val="0"/>
        <w:spacing w:after="100" w:afterAutospacing="1" w:line="276" w:lineRule="auto"/>
      </w:pPr>
      <w:r>
        <w:lastRenderedPageBreak/>
        <w:t>The U.S. Centers for Disease Control and Prevention (CDC) sets a reference level for blood lead for children under the age of 6 years. The current CDC reference level is 5 microgram of lead per deciliter of blood (µg/dL). Because lead can pass from a mother to her unborn baby, ATSDR uses this child blood lead reference level for pregnant women. For this Exposure Investigation, the level of 5 µg/dL is used for all age groups and pregnancy status.</w:t>
      </w:r>
    </w:p>
    <w:p w:rsidR="006A4D33" w:rsidRPr="0086135C" w:rsidRDefault="006A4D33" w:rsidP="006A4D33">
      <w:pPr>
        <w:widowControl w:val="0"/>
        <w:autoSpaceDE w:val="0"/>
        <w:autoSpaceDN w:val="0"/>
        <w:adjustRightInd w:val="0"/>
        <w:spacing w:after="100" w:afterAutospacing="1" w:line="276" w:lineRule="auto"/>
      </w:pPr>
      <w:r w:rsidRPr="0086135C">
        <w:t xml:space="preserve">Although there is no known safe exposure </w:t>
      </w:r>
      <w:r>
        <w:t xml:space="preserve">level </w:t>
      </w:r>
      <w:r w:rsidRPr="0086135C">
        <w:t xml:space="preserve">for lead, blood lead levels above the reference level do not mean </w:t>
      </w:r>
      <w:r>
        <w:t xml:space="preserve">that you or </w:t>
      </w:r>
      <w:r w:rsidRPr="0086135C">
        <w:t xml:space="preserve">your child will develop health effects. Health effects depend on </w:t>
      </w:r>
      <w:r>
        <w:t xml:space="preserve">the blood lead </w:t>
      </w:r>
      <w:r w:rsidRPr="0086135C">
        <w:t>level, length of exposure, age and present health</w:t>
      </w:r>
      <w:r>
        <w:t xml:space="preserve"> status</w:t>
      </w:r>
      <w:r w:rsidRPr="0086135C">
        <w:t>. Potential health effects</w:t>
      </w:r>
      <w:r>
        <w:t xml:space="preserve"> for pregnant women include increased risk of miscarriage, low birth weight or premature birth. Potential health effects for baby </w:t>
      </w:r>
      <w:r w:rsidRPr="0086135C">
        <w:t xml:space="preserve">from lead exposure </w:t>
      </w:r>
      <w:r>
        <w:t>can include: learning problems</w:t>
      </w:r>
      <w:r w:rsidRPr="004C7757">
        <w:t xml:space="preserve"> </w:t>
      </w:r>
      <w:r>
        <w:t xml:space="preserve">such as speech and </w:t>
      </w:r>
      <w:r w:rsidRPr="004C7757">
        <w:t>language delay</w:t>
      </w:r>
      <w:r>
        <w:t xml:space="preserve">; </w:t>
      </w:r>
      <w:r w:rsidRPr="00D76D8F">
        <w:t>problems with attention; decreased intelligence quotient (IQ); anemia (</w:t>
      </w:r>
      <w:r>
        <w:t>fewer</w:t>
      </w:r>
      <w:r w:rsidRPr="00D76D8F">
        <w:t xml:space="preserve"> red blood cell</w:t>
      </w:r>
      <w:r>
        <w:t>s than normal</w:t>
      </w:r>
      <w:r w:rsidRPr="00AF3009">
        <w:t>).</w:t>
      </w:r>
      <w:r>
        <w:t xml:space="preserve"> </w:t>
      </w:r>
    </w:p>
    <w:p w:rsidR="006A4D33" w:rsidRDefault="006A4D33" w:rsidP="006A4D33">
      <w:pPr>
        <w:widowControl w:val="0"/>
        <w:autoSpaceDE w:val="0"/>
        <w:autoSpaceDN w:val="0"/>
        <w:adjustRightInd w:val="0"/>
        <w:spacing w:after="100" w:afterAutospacing="1" w:line="276" w:lineRule="auto"/>
      </w:pPr>
      <w:r>
        <w:t xml:space="preserve"> Your health care provider should retest your blood lead level as soon as possible. </w:t>
      </w:r>
    </w:p>
    <w:p w:rsidR="006A4D33" w:rsidRDefault="006A4D33" w:rsidP="006A4D33">
      <w:pPr>
        <w:widowControl w:val="0"/>
        <w:autoSpaceDE w:val="0"/>
        <w:autoSpaceDN w:val="0"/>
        <w:adjustRightInd w:val="0"/>
      </w:pPr>
    </w:p>
    <w:p w:rsidR="006A4D33" w:rsidRPr="00E70F00" w:rsidRDefault="006A4D33" w:rsidP="006A4D33">
      <w:pPr>
        <w:widowControl w:val="0"/>
        <w:autoSpaceDE w:val="0"/>
        <w:autoSpaceDN w:val="0"/>
        <w:adjustRightInd w:val="0"/>
        <w:rPr>
          <w:b/>
        </w:rPr>
      </w:pPr>
      <w:r w:rsidRPr="00E70F00">
        <w:rPr>
          <w:b/>
        </w:rPr>
        <w:t>Arsenic in Urine:</w:t>
      </w:r>
    </w:p>
    <w:p w:rsidR="006A4D33" w:rsidRDefault="006A4D33" w:rsidP="006A4D33">
      <w:pPr>
        <w:widowControl w:val="0"/>
        <w:autoSpaceDE w:val="0"/>
        <w:autoSpaceDN w:val="0"/>
        <w:adjustRightInd w:val="0"/>
      </w:pPr>
    </w:p>
    <w:p w:rsidR="006A4D33" w:rsidRDefault="006A4D33" w:rsidP="006A4D33">
      <w:pPr>
        <w:widowControl w:val="0"/>
        <w:autoSpaceDE w:val="0"/>
        <w:autoSpaceDN w:val="0"/>
        <w:adjustRightInd w:val="0"/>
        <w:spacing w:after="100" w:afterAutospacing="1" w:line="276" w:lineRule="auto"/>
      </w:pPr>
      <w:r>
        <w:t xml:space="preserve">Total arsenic is measured by adding two different types of arsenic together: organic and inorganic. </w:t>
      </w:r>
    </w:p>
    <w:p w:rsidR="006A4D33" w:rsidRDefault="006A4D33" w:rsidP="006A4D33">
      <w:pPr>
        <w:pStyle w:val="ListParagraph"/>
        <w:widowControl w:val="0"/>
        <w:autoSpaceDE w:val="0"/>
        <w:autoSpaceDN w:val="0"/>
        <w:adjustRightInd w:val="0"/>
        <w:spacing w:after="100" w:afterAutospacing="1" w:line="276" w:lineRule="auto"/>
        <w:ind w:left="288"/>
      </w:pPr>
      <w:r w:rsidRPr="003F2B25">
        <w:rPr>
          <w:b/>
          <w:i/>
        </w:rPr>
        <w:t>Organic arsenic</w:t>
      </w:r>
      <w:r w:rsidRPr="003F2B25">
        <w:t>, often found in fish and seafood, is not typically associated with health concerns. Organic arsenic can be increased in urine when a person eats fish or seafood a few days before the urine is collected for testing</w:t>
      </w:r>
    </w:p>
    <w:p w:rsidR="006A4D33" w:rsidRPr="008A213A" w:rsidRDefault="006A4D33" w:rsidP="006A4D33">
      <w:pPr>
        <w:pStyle w:val="ListParagraph"/>
        <w:widowControl w:val="0"/>
        <w:autoSpaceDE w:val="0"/>
        <w:autoSpaceDN w:val="0"/>
        <w:adjustRightInd w:val="0"/>
        <w:spacing w:after="100" w:afterAutospacing="1" w:line="276" w:lineRule="auto"/>
        <w:ind w:left="360"/>
      </w:pPr>
    </w:p>
    <w:p w:rsidR="006A4D33" w:rsidRDefault="006A4D33" w:rsidP="006A4D33">
      <w:pPr>
        <w:pStyle w:val="ListParagraph"/>
        <w:widowControl w:val="0"/>
        <w:autoSpaceDE w:val="0"/>
        <w:autoSpaceDN w:val="0"/>
        <w:adjustRightInd w:val="0"/>
        <w:spacing w:after="100" w:afterAutospacing="1" w:line="276" w:lineRule="auto"/>
        <w:ind w:left="288"/>
      </w:pPr>
      <w:r w:rsidRPr="003F2B25">
        <w:rPr>
          <w:b/>
          <w:i/>
        </w:rPr>
        <w:t>Inorganic arsenic</w:t>
      </w:r>
      <w:r w:rsidRPr="003F2B25">
        <w:t xml:space="preserve">, found in many places in the environment including soil and water, is known to </w:t>
      </w:r>
      <w:r>
        <w:t xml:space="preserve">be </w:t>
      </w:r>
      <w:r w:rsidRPr="003F2B25">
        <w:t xml:space="preserve">associated with health concerns when elevated. </w:t>
      </w:r>
    </w:p>
    <w:p w:rsidR="006A4D33" w:rsidRDefault="006A4D33" w:rsidP="006A4D33">
      <w:pPr>
        <w:widowControl w:val="0"/>
        <w:autoSpaceDE w:val="0"/>
        <w:autoSpaceDN w:val="0"/>
        <w:adjustRightInd w:val="0"/>
        <w:spacing w:after="100" w:afterAutospacing="1" w:line="276" w:lineRule="auto"/>
      </w:pPr>
      <w:r>
        <w:t xml:space="preserve">ATSDR uses total arsenic levels as a first step in measuring a person’s exposure. If total arsenic is above the investigation follow-up level, we look to see what form of arsenic is in the sample: organic and inorganic forms. If a person’s organic arsenic measurement is above the follow-up level, it is usually the result of a recent meal that included food that may contain arsenic. If a person’s inorganic arsenic measurement is above the follow-up level, it means that person may consider ways to lower their exposure to arsenic or may see a healthcare provider if they are concerned about how arsenic may cause health problems. </w:t>
      </w:r>
    </w:p>
    <w:p w:rsidR="006A4D33" w:rsidRPr="00E70F00" w:rsidRDefault="006A4D33" w:rsidP="006A4D33">
      <w:pPr>
        <w:pStyle w:val="ListParagraph"/>
        <w:widowControl w:val="0"/>
        <w:numPr>
          <w:ilvl w:val="0"/>
          <w:numId w:val="1"/>
        </w:numPr>
        <w:autoSpaceDE w:val="0"/>
        <w:autoSpaceDN w:val="0"/>
        <w:adjustRightInd w:val="0"/>
        <w:spacing w:after="100" w:afterAutospacing="1" w:line="276" w:lineRule="auto"/>
        <w:rPr>
          <w:i/>
        </w:rPr>
      </w:pPr>
      <w:r w:rsidRPr="00E70F00">
        <w:rPr>
          <w:i/>
        </w:rPr>
        <w:t xml:space="preserve">If total arsenic was </w:t>
      </w:r>
      <w:r>
        <w:rPr>
          <w:i/>
        </w:rPr>
        <w:t>below</w:t>
      </w:r>
      <w:r w:rsidRPr="00E70F00">
        <w:rPr>
          <w:i/>
        </w:rPr>
        <w:t xml:space="preserve"> the NHANES:</w:t>
      </w:r>
    </w:p>
    <w:p w:rsidR="006A4D33" w:rsidRDefault="006A4D33" w:rsidP="006A4D33">
      <w:pPr>
        <w:widowControl w:val="0"/>
        <w:autoSpaceDE w:val="0"/>
        <w:autoSpaceDN w:val="0"/>
        <w:adjustRightInd w:val="0"/>
        <w:spacing w:after="100" w:afterAutospacing="1" w:line="276" w:lineRule="auto"/>
      </w:pPr>
      <w:r>
        <w:t>Y</w:t>
      </w:r>
      <w:r w:rsidRPr="00D452E1">
        <w:t>our</w:t>
      </w:r>
      <w:r>
        <w:t xml:space="preserve"> (your</w:t>
      </w:r>
      <w:r w:rsidRPr="00D452E1">
        <w:t xml:space="preserve"> child</w:t>
      </w:r>
      <w:r>
        <w:t xml:space="preserve">’s/ward’s) levels were </w:t>
      </w:r>
      <w:r w:rsidRPr="00DB18CC">
        <w:rPr>
          <w:b/>
          <w:i/>
        </w:rPr>
        <w:t>below</w:t>
      </w:r>
      <w:r w:rsidRPr="00CA215E">
        <w:rPr>
          <w:i/>
        </w:rPr>
        <w:t xml:space="preserve"> </w:t>
      </w:r>
      <w:r>
        <w:t>the reference level for total arsenic. This indicates that your (your child’s/ward’s) results are similar to most other people’s results in the United States. Therefore, no additional action is needed.</w:t>
      </w:r>
    </w:p>
    <w:p w:rsidR="006A4D33" w:rsidRDefault="006A4D33" w:rsidP="006A4D33">
      <w:pPr>
        <w:pStyle w:val="ListParagraph"/>
        <w:widowControl w:val="0"/>
        <w:numPr>
          <w:ilvl w:val="0"/>
          <w:numId w:val="1"/>
        </w:numPr>
        <w:autoSpaceDE w:val="0"/>
        <w:autoSpaceDN w:val="0"/>
        <w:adjustRightInd w:val="0"/>
        <w:spacing w:after="100" w:afterAutospacing="1" w:line="276" w:lineRule="auto"/>
      </w:pPr>
      <w:r w:rsidRPr="00E70F00">
        <w:rPr>
          <w:i/>
        </w:rPr>
        <w:t>If total arsenic was above the NHANES</w:t>
      </w:r>
      <w:r>
        <w:t>:</w:t>
      </w:r>
    </w:p>
    <w:p w:rsidR="006A4D33" w:rsidRDefault="006A4D33" w:rsidP="006A4D33">
      <w:pPr>
        <w:widowControl w:val="0"/>
        <w:autoSpaceDE w:val="0"/>
        <w:autoSpaceDN w:val="0"/>
        <w:adjustRightInd w:val="0"/>
        <w:spacing w:after="100" w:afterAutospacing="1" w:line="276" w:lineRule="auto"/>
      </w:pPr>
      <w:r>
        <w:t>Y</w:t>
      </w:r>
      <w:r w:rsidRPr="00D452E1">
        <w:t xml:space="preserve">our </w:t>
      </w:r>
      <w:r>
        <w:t xml:space="preserve">(your </w:t>
      </w:r>
      <w:r w:rsidRPr="00D452E1">
        <w:t>child</w:t>
      </w:r>
      <w:r>
        <w:t xml:space="preserve">’s/ward’s) total arsenic level(s) was </w:t>
      </w:r>
      <w:r w:rsidRPr="00E26814">
        <w:rPr>
          <w:b/>
          <w:i/>
        </w:rPr>
        <w:t>above</w:t>
      </w:r>
      <w:r w:rsidRPr="00E26814">
        <w:rPr>
          <w:i/>
        </w:rPr>
        <w:t xml:space="preserve"> </w:t>
      </w:r>
      <w:r>
        <w:t xml:space="preserve">the exposure investigation follow-up level. </w:t>
      </w:r>
      <w:r>
        <w:lastRenderedPageBreak/>
        <w:t xml:space="preserve">Because the level of total urine arsenic was </w:t>
      </w:r>
      <w:r w:rsidRPr="00E26814">
        <w:rPr>
          <w:b/>
          <w:i/>
        </w:rPr>
        <w:t>above</w:t>
      </w:r>
      <w:r>
        <w:t xml:space="preserve"> the follow-up level we looked at the additional test to determine the levels of organic and inorganic arsenic present in your (your child’s/ward’s) urine sample.</w:t>
      </w:r>
    </w:p>
    <w:p w:rsidR="006A4D33" w:rsidRDefault="006A4D33" w:rsidP="006A4D33">
      <w:pPr>
        <w:pStyle w:val="ListParagraph"/>
        <w:widowControl w:val="0"/>
        <w:numPr>
          <w:ilvl w:val="1"/>
          <w:numId w:val="1"/>
        </w:numPr>
        <w:autoSpaceDE w:val="0"/>
        <w:autoSpaceDN w:val="0"/>
        <w:adjustRightInd w:val="0"/>
        <w:spacing w:after="100" w:afterAutospacing="1" w:line="276" w:lineRule="auto"/>
        <w:rPr>
          <w:i/>
        </w:rPr>
      </w:pPr>
      <w:r w:rsidRPr="00E70F00">
        <w:rPr>
          <w:i/>
        </w:rPr>
        <w:t>Inorganic arsenic:</w:t>
      </w:r>
    </w:p>
    <w:p w:rsidR="006A4D33" w:rsidRDefault="006A4D33" w:rsidP="006A4D33">
      <w:pPr>
        <w:widowControl w:val="0"/>
        <w:autoSpaceDE w:val="0"/>
        <w:autoSpaceDN w:val="0"/>
        <w:adjustRightInd w:val="0"/>
        <w:spacing w:after="100" w:afterAutospacing="1" w:line="276" w:lineRule="auto"/>
      </w:pPr>
      <w:r>
        <w:t>The</w:t>
      </w:r>
      <w:r w:rsidRPr="008A213A">
        <w:t xml:space="preserve"> inorganic arsenic </w:t>
      </w:r>
      <w:r>
        <w:t>detected in your (your child’s/ward’s) urine samples wa</w:t>
      </w:r>
      <w:r w:rsidRPr="008A213A">
        <w:t>s</w:t>
      </w:r>
      <w:r>
        <w:t xml:space="preserve"> </w:t>
      </w:r>
      <w:r w:rsidRPr="00E26814">
        <w:rPr>
          <w:b/>
          <w:i/>
        </w:rPr>
        <w:t>below</w:t>
      </w:r>
      <w:r>
        <w:t xml:space="preserve"> the level that is representative of inorganic arsenic in the U.S. population, indicating that the elevated total arsenic level is not the result of inorganic arsenic and is probably the result of organic arsenic in your (your child’s/ward’s) diet.</w:t>
      </w:r>
    </w:p>
    <w:p w:rsidR="006A4D33" w:rsidRPr="00E70F00" w:rsidRDefault="006A4D33" w:rsidP="006A4D33">
      <w:pPr>
        <w:widowControl w:val="0"/>
        <w:autoSpaceDE w:val="0"/>
        <w:autoSpaceDN w:val="0"/>
        <w:adjustRightInd w:val="0"/>
        <w:spacing w:after="100" w:afterAutospacing="1" w:line="276" w:lineRule="auto"/>
        <w:ind w:firstLine="720"/>
        <w:rPr>
          <w:i/>
        </w:rPr>
      </w:pPr>
      <w:r w:rsidRPr="00E70F00">
        <w:rPr>
          <w:i/>
        </w:rPr>
        <w:t>OR</w:t>
      </w:r>
    </w:p>
    <w:p w:rsidR="006A4D33" w:rsidRDefault="006A4D33" w:rsidP="006A4D33">
      <w:pPr>
        <w:widowControl w:val="0"/>
        <w:autoSpaceDE w:val="0"/>
        <w:autoSpaceDN w:val="0"/>
        <w:adjustRightInd w:val="0"/>
        <w:spacing w:after="100" w:afterAutospacing="1" w:line="276" w:lineRule="auto"/>
      </w:pPr>
      <w:r>
        <w:t>The</w:t>
      </w:r>
      <w:r w:rsidRPr="008A213A">
        <w:t xml:space="preserve"> inorganic arsenic </w:t>
      </w:r>
      <w:r>
        <w:t>detected in your (your child’s/ward’s) urine samples wa</w:t>
      </w:r>
      <w:r w:rsidRPr="008A213A">
        <w:t>s</w:t>
      </w:r>
      <w:r>
        <w:t xml:space="preserve"> </w:t>
      </w:r>
      <w:r>
        <w:rPr>
          <w:b/>
          <w:i/>
        </w:rPr>
        <w:t>above</w:t>
      </w:r>
      <w:r>
        <w:t xml:space="preserve"> the level that is representative of inorganic arsenic in the U.S. population. This means that the increased total arsenic level in your (your child’s/ward’s) urine is the result of inorganic arsenic, which may cause health effects. It is recommended that people with higher inorganic arsenic levels may evaluate ways to reduce arsenic exposure and may consider seeing a physician if you are concerned about potential effects of arsenic on your (your child’s/ward’s) health. </w:t>
      </w:r>
    </w:p>
    <w:p w:rsidR="006A4D33" w:rsidRDefault="006A4D33" w:rsidP="006A4D33">
      <w:pPr>
        <w:pStyle w:val="ListParagraph"/>
        <w:widowControl w:val="0"/>
        <w:numPr>
          <w:ilvl w:val="1"/>
          <w:numId w:val="1"/>
        </w:numPr>
        <w:autoSpaceDE w:val="0"/>
        <w:autoSpaceDN w:val="0"/>
        <w:adjustRightInd w:val="0"/>
        <w:spacing w:after="100" w:afterAutospacing="1" w:line="276" w:lineRule="auto"/>
        <w:rPr>
          <w:i/>
        </w:rPr>
      </w:pPr>
      <w:r w:rsidRPr="00E70F00">
        <w:rPr>
          <w:i/>
        </w:rPr>
        <w:t>Organic arsenic:</w:t>
      </w:r>
    </w:p>
    <w:p w:rsidR="006A4D33" w:rsidRDefault="006A4D33" w:rsidP="006A4D33">
      <w:pPr>
        <w:widowControl w:val="0"/>
        <w:autoSpaceDE w:val="0"/>
        <w:autoSpaceDN w:val="0"/>
        <w:adjustRightInd w:val="0"/>
        <w:spacing w:after="100" w:afterAutospacing="1" w:line="276" w:lineRule="auto"/>
      </w:pPr>
      <w:r>
        <w:t xml:space="preserve">Organic arsenic in your (your child’s/ward’s) was </w:t>
      </w:r>
      <w:r w:rsidRPr="0018286A">
        <w:rPr>
          <w:b/>
          <w:i/>
        </w:rPr>
        <w:t>below</w:t>
      </w:r>
      <w:r>
        <w:t xml:space="preserve"> the level that is representative of organic arsenic in the U.S. population, indicating the elevated total arsenic level is not the result of organic arsenic and is likely the result of inorganic arsenic.</w:t>
      </w:r>
      <w:r w:rsidRPr="008A213A">
        <w:t xml:space="preserve"> </w:t>
      </w:r>
    </w:p>
    <w:p w:rsidR="006A4D33" w:rsidRPr="0018286A" w:rsidRDefault="006A4D33" w:rsidP="006A4D33">
      <w:pPr>
        <w:widowControl w:val="0"/>
        <w:autoSpaceDE w:val="0"/>
        <w:autoSpaceDN w:val="0"/>
        <w:adjustRightInd w:val="0"/>
        <w:spacing w:after="100" w:afterAutospacing="1" w:line="276" w:lineRule="auto"/>
        <w:rPr>
          <w:i/>
        </w:rPr>
      </w:pPr>
      <w:r>
        <w:tab/>
      </w:r>
      <w:r w:rsidRPr="0018286A">
        <w:rPr>
          <w:i/>
        </w:rPr>
        <w:t>OR</w:t>
      </w:r>
    </w:p>
    <w:p w:rsidR="006A4D33" w:rsidRDefault="006A4D33" w:rsidP="006A4D33">
      <w:pPr>
        <w:widowControl w:val="0"/>
        <w:autoSpaceDE w:val="0"/>
        <w:autoSpaceDN w:val="0"/>
        <w:adjustRightInd w:val="0"/>
        <w:spacing w:after="100" w:afterAutospacing="1" w:line="276" w:lineRule="auto"/>
      </w:pPr>
      <w:r>
        <w:t xml:space="preserve">Organic arsenic in your (your child’s/ward’s) was </w:t>
      </w:r>
      <w:r w:rsidRPr="00E70F00">
        <w:rPr>
          <w:b/>
          <w:i/>
        </w:rPr>
        <w:t>above</w:t>
      </w:r>
      <w:r>
        <w:t xml:space="preserve"> the level that is representative of organic arsenic in the U.S. population. Thi</w:t>
      </w:r>
      <w:r w:rsidRPr="008A213A">
        <w:t xml:space="preserve">s means the increased </w:t>
      </w:r>
      <w:r>
        <w:t xml:space="preserve">total </w:t>
      </w:r>
      <w:r w:rsidRPr="008A213A">
        <w:t xml:space="preserve">arsenic level in your </w:t>
      </w:r>
      <w:r>
        <w:t>(your child’s/ward’s)</w:t>
      </w:r>
      <w:r w:rsidRPr="008A213A">
        <w:t xml:space="preserve"> urine </w:t>
      </w:r>
      <w:r>
        <w:t xml:space="preserve">may contain </w:t>
      </w:r>
      <w:r w:rsidRPr="008A213A">
        <w:t>organic</w:t>
      </w:r>
      <w:r>
        <w:t xml:space="preserve"> arsenic,</w:t>
      </w:r>
      <w:r w:rsidRPr="008A213A">
        <w:t xml:space="preserve"> </w:t>
      </w:r>
      <w:r>
        <w:t xml:space="preserve">and suggests that </w:t>
      </w:r>
      <w:r w:rsidRPr="008A213A">
        <w:t>you</w:t>
      </w:r>
      <w:r>
        <w:t>r (your child’s/ward’s) diet likely contributed to the elevated level.</w:t>
      </w:r>
      <w:r w:rsidRPr="008A213A">
        <w:t xml:space="preserve"> </w:t>
      </w:r>
    </w:p>
    <w:p w:rsidR="001F03F4" w:rsidRPr="006B08BE" w:rsidRDefault="006A4D33" w:rsidP="00720A64">
      <w:pPr>
        <w:spacing w:after="100" w:afterAutospacing="1" w:line="276" w:lineRule="auto"/>
        <w:contextualSpacing/>
        <w:rPr>
          <w:b/>
        </w:rPr>
      </w:pPr>
      <w:r w:rsidRPr="0086135C">
        <w:t>If you have questions</w:t>
      </w:r>
      <w:r>
        <w:t xml:space="preserve"> concerning this Exposure Investigation or your (your child’s/ward’s) test results</w:t>
      </w:r>
      <w:r w:rsidRPr="0086135C">
        <w:t xml:space="preserve">, </w:t>
      </w:r>
      <w:r>
        <w:t xml:space="preserve">please </w:t>
      </w:r>
      <w:r w:rsidRPr="0086135C">
        <w:t>c</w:t>
      </w:r>
      <w:r>
        <w:t xml:space="preserve">ontact me </w:t>
      </w:r>
      <w:r w:rsidRPr="0086135C">
        <w:t xml:space="preserve">at </w:t>
      </w:r>
      <w:r w:rsidR="00AD6FE5" w:rsidRPr="00AD6FE5">
        <w:t>206-553-0454</w:t>
      </w:r>
      <w:r w:rsidR="00AD6FE5">
        <w:rPr>
          <w:b/>
        </w:rPr>
        <w:t xml:space="preserve"> </w:t>
      </w:r>
      <w:r w:rsidRPr="0086135C">
        <w:t xml:space="preserve">or </w:t>
      </w:r>
      <w:r>
        <w:t xml:space="preserve">by </w:t>
      </w:r>
      <w:r w:rsidRPr="0086135C">
        <w:t xml:space="preserve">email at </w:t>
      </w:r>
      <w:hyperlink r:id="rId6" w:history="1">
        <w:r w:rsidR="001F03F4" w:rsidRPr="000D6E1F">
          <w:rPr>
            <w:rStyle w:val="Hyperlink"/>
          </w:rPr>
          <w:t>AWendel@cdc.gov</w:t>
        </w:r>
      </w:hyperlink>
      <w:r w:rsidRPr="0086135C">
        <w:t>.</w:t>
      </w:r>
      <w:r w:rsidR="001F03F4" w:rsidRPr="001F03F4">
        <w:rPr>
          <w:b/>
        </w:rPr>
        <w:t xml:space="preserve"> </w:t>
      </w:r>
    </w:p>
    <w:p w:rsidR="006A4D33" w:rsidRPr="0086135C" w:rsidRDefault="006A4D33" w:rsidP="006A4D33">
      <w:pPr>
        <w:widowControl w:val="0"/>
        <w:autoSpaceDE w:val="0"/>
        <w:autoSpaceDN w:val="0"/>
        <w:adjustRightInd w:val="0"/>
        <w:spacing w:after="100" w:afterAutospacing="1" w:line="276" w:lineRule="auto"/>
      </w:pPr>
    </w:p>
    <w:p w:rsidR="006A4D33" w:rsidRPr="0086135C" w:rsidRDefault="006A4D33" w:rsidP="006A4D33">
      <w:pPr>
        <w:widowControl w:val="0"/>
        <w:autoSpaceDE w:val="0"/>
        <w:autoSpaceDN w:val="0"/>
        <w:adjustRightInd w:val="0"/>
        <w:spacing w:after="100" w:afterAutospacing="1"/>
      </w:pPr>
    </w:p>
    <w:p w:rsidR="006A4D33" w:rsidRDefault="006A4D33" w:rsidP="006A4D33">
      <w:pPr>
        <w:widowControl w:val="0"/>
        <w:autoSpaceDE w:val="0"/>
        <w:autoSpaceDN w:val="0"/>
        <w:adjustRightInd w:val="0"/>
        <w:spacing w:after="100" w:afterAutospacing="1"/>
      </w:pPr>
      <w:r w:rsidRPr="0086135C">
        <w:t>Sincerely,</w:t>
      </w:r>
      <w:r w:rsidRPr="0086135C" w:rsidDel="00871B8A">
        <w:t xml:space="preserve"> </w:t>
      </w:r>
    </w:p>
    <w:p w:rsidR="006A4D33" w:rsidRPr="0086135C" w:rsidRDefault="006A4D33" w:rsidP="006A4D33">
      <w:pPr>
        <w:widowControl w:val="0"/>
        <w:autoSpaceDE w:val="0"/>
        <w:autoSpaceDN w:val="0"/>
        <w:adjustRightInd w:val="0"/>
      </w:pPr>
    </w:p>
    <w:p w:rsidR="006A4D33" w:rsidRPr="0086135C" w:rsidRDefault="001F03F4" w:rsidP="006A4D33">
      <w:pPr>
        <w:widowControl w:val="0"/>
        <w:autoSpaceDE w:val="0"/>
        <w:autoSpaceDN w:val="0"/>
        <w:adjustRightInd w:val="0"/>
      </w:pPr>
      <w:r>
        <w:t>Arthur Wendel</w:t>
      </w:r>
      <w:r w:rsidR="006A4D33" w:rsidRPr="0086135C">
        <w:t>, MD</w:t>
      </w:r>
    </w:p>
    <w:p w:rsidR="006A4D33" w:rsidRPr="0086135C" w:rsidRDefault="006A4D33" w:rsidP="006A4D33">
      <w:pPr>
        <w:widowControl w:val="0"/>
        <w:autoSpaceDE w:val="0"/>
        <w:autoSpaceDN w:val="0"/>
        <w:adjustRightInd w:val="0"/>
      </w:pPr>
      <w:r>
        <w:t>Medical Officer – Anaconda MT</w:t>
      </w:r>
      <w:r w:rsidRPr="0086135C">
        <w:t xml:space="preserve"> E</w:t>
      </w:r>
      <w:r>
        <w:t>xposure Investigation</w:t>
      </w:r>
    </w:p>
    <w:p w:rsidR="006A4D33" w:rsidRDefault="006A4D33" w:rsidP="006A4D33">
      <w:r w:rsidRPr="0086135C">
        <w:t>ATSDR Division of Comm</w:t>
      </w:r>
      <w:r>
        <w:t xml:space="preserve">unity Health Investigations, </w:t>
      </w:r>
      <w:r w:rsidRPr="0086135C">
        <w:t>E</w:t>
      </w:r>
      <w:r>
        <w:t>xposure Investigation</w:t>
      </w:r>
      <w:r w:rsidRPr="0086135C">
        <w:t xml:space="preserve"> Team</w:t>
      </w:r>
    </w:p>
    <w:p w:rsidR="006A4D33" w:rsidRDefault="006A4D33" w:rsidP="006A4D33"/>
    <w:p w:rsidR="006A4D33" w:rsidRDefault="006A4D33" w:rsidP="006A4D33"/>
    <w:p w:rsidR="006A4D33" w:rsidRDefault="006A4D33" w:rsidP="006A4D33"/>
    <w:tbl>
      <w:tblPr>
        <w:tblStyle w:val="TableGrid"/>
        <w:tblW w:w="9738" w:type="dxa"/>
        <w:jc w:val="center"/>
        <w:tblLook w:val="04A0" w:firstRow="1" w:lastRow="0" w:firstColumn="1" w:lastColumn="0" w:noHBand="0" w:noVBand="1"/>
      </w:tblPr>
      <w:tblGrid>
        <w:gridCol w:w="2628"/>
        <w:gridCol w:w="2970"/>
        <w:gridCol w:w="4140"/>
      </w:tblGrid>
      <w:tr w:rsidR="006A4D33" w:rsidTr="00EF0566">
        <w:trPr>
          <w:jc w:val="center"/>
        </w:trPr>
        <w:tc>
          <w:tcPr>
            <w:tcW w:w="9738" w:type="dxa"/>
            <w:gridSpan w:val="3"/>
            <w:vAlign w:val="center"/>
          </w:tcPr>
          <w:p w:rsidR="006A4D33" w:rsidRPr="00D452E1" w:rsidRDefault="006A4D33" w:rsidP="00EF0566">
            <w:pPr>
              <w:widowControl w:val="0"/>
              <w:autoSpaceDE w:val="0"/>
              <w:autoSpaceDN w:val="0"/>
              <w:adjustRightInd w:val="0"/>
              <w:spacing w:before="60" w:after="60"/>
              <w:jc w:val="center"/>
              <w:rPr>
                <w:b/>
              </w:rPr>
            </w:pPr>
            <w:r w:rsidRPr="00760DCE">
              <w:rPr>
                <w:b/>
                <w:sz w:val="28"/>
                <w:szCs w:val="28"/>
              </w:rPr>
              <w:t>Table 1: Test Results for Firstname Lastname</w:t>
            </w:r>
          </w:p>
        </w:tc>
      </w:tr>
      <w:tr w:rsidR="006A4D33" w:rsidTr="00EF0566">
        <w:trPr>
          <w:jc w:val="center"/>
        </w:trPr>
        <w:tc>
          <w:tcPr>
            <w:tcW w:w="2628"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Test</w:t>
            </w:r>
          </w:p>
        </w:tc>
        <w:tc>
          <w:tcPr>
            <w:tcW w:w="2970"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Test Result</w:t>
            </w:r>
          </w:p>
        </w:tc>
        <w:tc>
          <w:tcPr>
            <w:tcW w:w="4140" w:type="dxa"/>
            <w:tcBorders>
              <w:bottom w:val="single" w:sz="4" w:space="0" w:color="auto"/>
            </w:tcBorders>
            <w:vAlign w:val="center"/>
          </w:tcPr>
          <w:p w:rsidR="006A4D33" w:rsidRPr="00D452E1" w:rsidRDefault="006A4D33" w:rsidP="00EF0566">
            <w:pPr>
              <w:widowControl w:val="0"/>
              <w:autoSpaceDE w:val="0"/>
              <w:autoSpaceDN w:val="0"/>
              <w:adjustRightInd w:val="0"/>
              <w:jc w:val="center"/>
              <w:rPr>
                <w:b/>
              </w:rPr>
            </w:pPr>
            <w:r>
              <w:rPr>
                <w:b/>
              </w:rPr>
              <w:t xml:space="preserve">Follow-Up Level                                                               </w:t>
            </w:r>
          </w:p>
        </w:tc>
      </w:tr>
      <w:tr w:rsidR="006A4D33" w:rsidTr="00EF0566">
        <w:trPr>
          <w:trHeight w:val="644"/>
          <w:jc w:val="center"/>
        </w:trPr>
        <w:tc>
          <w:tcPr>
            <w:tcW w:w="2628" w:type="dxa"/>
            <w:tcBorders>
              <w:bottom w:val="single" w:sz="4" w:space="0" w:color="auto"/>
            </w:tcBorders>
            <w:vAlign w:val="center"/>
          </w:tcPr>
          <w:p w:rsidR="006A4D33" w:rsidRDefault="006A4D33" w:rsidP="00EF0566">
            <w:pPr>
              <w:widowControl w:val="0"/>
              <w:autoSpaceDE w:val="0"/>
              <w:autoSpaceDN w:val="0"/>
              <w:adjustRightInd w:val="0"/>
              <w:jc w:val="center"/>
            </w:pPr>
            <w:r>
              <w:t>Blood Lead</w:t>
            </w:r>
          </w:p>
        </w:tc>
        <w:tc>
          <w:tcPr>
            <w:tcW w:w="2970" w:type="dxa"/>
            <w:tcBorders>
              <w:bottom w:val="single" w:sz="4" w:space="0" w:color="auto"/>
            </w:tcBorders>
            <w:vAlign w:val="center"/>
          </w:tcPr>
          <w:p w:rsidR="006A4D33" w:rsidRPr="00550CFE" w:rsidRDefault="006A4D33" w:rsidP="00EF0566">
            <w:pPr>
              <w:widowControl w:val="0"/>
              <w:autoSpaceDE w:val="0"/>
              <w:autoSpaceDN w:val="0"/>
              <w:adjustRightInd w:val="0"/>
              <w:jc w:val="center"/>
            </w:pPr>
            <w:r>
              <w:t xml:space="preserve">XXX </w:t>
            </w:r>
            <w:r w:rsidRPr="006452D5">
              <w:t>µ</w:t>
            </w:r>
            <w:r>
              <w:t>g/mL</w:t>
            </w:r>
          </w:p>
        </w:tc>
        <w:tc>
          <w:tcPr>
            <w:tcW w:w="4140" w:type="dxa"/>
            <w:tcBorders>
              <w:bottom w:val="single" w:sz="4" w:space="0" w:color="auto"/>
            </w:tcBorders>
            <w:vAlign w:val="center"/>
          </w:tcPr>
          <w:p w:rsidR="006A4D33" w:rsidRPr="00C00348" w:rsidRDefault="006A4D33" w:rsidP="00EF0566">
            <w:pPr>
              <w:widowControl w:val="0"/>
              <w:autoSpaceDE w:val="0"/>
              <w:autoSpaceDN w:val="0"/>
              <w:adjustRightInd w:val="0"/>
              <w:jc w:val="center"/>
              <w:rPr>
                <w:vertAlign w:val="superscript"/>
              </w:rPr>
            </w:pPr>
            <w:r>
              <w:t xml:space="preserve">5 </w:t>
            </w:r>
            <w:r w:rsidRPr="006452D5">
              <w:t>µ</w:t>
            </w:r>
            <w:r>
              <w:t>g/dL</w:t>
            </w:r>
            <w:r>
              <w:rPr>
                <w:vertAlign w:val="superscript"/>
              </w:rPr>
              <w:t>1</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Total Urine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 xml:space="preserve">XXX </w:t>
            </w:r>
            <w:r w:rsidRPr="009A3325">
              <w:t>µg</w:t>
            </w:r>
            <w:r>
              <w:t>/g of creatinine</w:t>
            </w:r>
          </w:p>
        </w:tc>
        <w:tc>
          <w:tcPr>
            <w:tcW w:w="4140" w:type="dxa"/>
            <w:tcBorders>
              <w:top w:val="single" w:sz="4" w:space="0" w:color="auto"/>
            </w:tcBorders>
            <w:vAlign w:val="center"/>
          </w:tcPr>
          <w:p w:rsidR="006A4D33" w:rsidRPr="00C00348" w:rsidRDefault="006A4D33" w:rsidP="00EF0566">
            <w:pPr>
              <w:widowControl w:val="0"/>
              <w:autoSpaceDE w:val="0"/>
              <w:autoSpaceDN w:val="0"/>
              <w:adjustRightInd w:val="0"/>
              <w:jc w:val="center"/>
              <w:rPr>
                <w:vertAlign w:val="superscript"/>
              </w:rPr>
            </w:pPr>
            <w:r w:rsidRPr="006F54EA">
              <w:t>XX</w:t>
            </w:r>
            <w:r>
              <w:rPr>
                <w:vertAlign w:val="superscript"/>
              </w:rPr>
              <w:t>2</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Inorganic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XX</w:t>
            </w:r>
          </w:p>
        </w:tc>
        <w:tc>
          <w:tcPr>
            <w:tcW w:w="4140" w:type="dxa"/>
            <w:tcBorders>
              <w:top w:val="single" w:sz="4" w:space="0" w:color="auto"/>
            </w:tcBorders>
            <w:vAlign w:val="center"/>
          </w:tcPr>
          <w:p w:rsidR="006A4D33" w:rsidRPr="006F54EA" w:rsidRDefault="006A4D33" w:rsidP="00EF0566">
            <w:pPr>
              <w:widowControl w:val="0"/>
              <w:autoSpaceDE w:val="0"/>
              <w:autoSpaceDN w:val="0"/>
              <w:adjustRightInd w:val="0"/>
              <w:jc w:val="center"/>
            </w:pPr>
            <w:r>
              <w:t>XX</w:t>
            </w:r>
          </w:p>
        </w:tc>
      </w:tr>
      <w:tr w:rsidR="006A4D33" w:rsidTr="00EF0566">
        <w:trPr>
          <w:trHeight w:val="644"/>
          <w:jc w:val="center"/>
        </w:trPr>
        <w:tc>
          <w:tcPr>
            <w:tcW w:w="2628" w:type="dxa"/>
            <w:tcBorders>
              <w:top w:val="single" w:sz="4" w:space="0" w:color="auto"/>
            </w:tcBorders>
            <w:vAlign w:val="center"/>
          </w:tcPr>
          <w:p w:rsidR="006A4D33" w:rsidRDefault="006A4D33" w:rsidP="00EF0566">
            <w:pPr>
              <w:widowControl w:val="0"/>
              <w:autoSpaceDE w:val="0"/>
              <w:autoSpaceDN w:val="0"/>
              <w:adjustRightInd w:val="0"/>
              <w:jc w:val="center"/>
            </w:pPr>
            <w:r>
              <w:t>Organic Arsenic</w:t>
            </w:r>
          </w:p>
        </w:tc>
        <w:tc>
          <w:tcPr>
            <w:tcW w:w="2970" w:type="dxa"/>
            <w:tcBorders>
              <w:top w:val="single" w:sz="4" w:space="0" w:color="auto"/>
            </w:tcBorders>
            <w:vAlign w:val="center"/>
          </w:tcPr>
          <w:p w:rsidR="006A4D33" w:rsidRDefault="006A4D33" w:rsidP="00EF0566">
            <w:pPr>
              <w:widowControl w:val="0"/>
              <w:autoSpaceDE w:val="0"/>
              <w:autoSpaceDN w:val="0"/>
              <w:adjustRightInd w:val="0"/>
              <w:jc w:val="center"/>
            </w:pPr>
            <w:r>
              <w:t>XX</w:t>
            </w:r>
          </w:p>
        </w:tc>
        <w:tc>
          <w:tcPr>
            <w:tcW w:w="4140" w:type="dxa"/>
            <w:tcBorders>
              <w:top w:val="single" w:sz="4" w:space="0" w:color="auto"/>
            </w:tcBorders>
            <w:vAlign w:val="center"/>
          </w:tcPr>
          <w:p w:rsidR="006A4D33" w:rsidRPr="006F54EA" w:rsidRDefault="006A4D33" w:rsidP="00EF0566">
            <w:pPr>
              <w:widowControl w:val="0"/>
              <w:autoSpaceDE w:val="0"/>
              <w:autoSpaceDN w:val="0"/>
              <w:adjustRightInd w:val="0"/>
              <w:jc w:val="center"/>
            </w:pPr>
            <w:r>
              <w:t>XX</w:t>
            </w:r>
          </w:p>
        </w:tc>
      </w:tr>
      <w:tr w:rsidR="006A4D33" w:rsidTr="00EF0566">
        <w:trPr>
          <w:jc w:val="center"/>
        </w:trPr>
        <w:tc>
          <w:tcPr>
            <w:tcW w:w="9738" w:type="dxa"/>
            <w:gridSpan w:val="3"/>
          </w:tcPr>
          <w:p w:rsidR="006A4D33" w:rsidRPr="004017F6" w:rsidRDefault="006A4D33" w:rsidP="00EF0566">
            <w:pPr>
              <w:widowControl w:val="0"/>
              <w:autoSpaceDE w:val="0"/>
              <w:autoSpaceDN w:val="0"/>
              <w:adjustRightInd w:val="0"/>
              <w:rPr>
                <w:sz w:val="18"/>
                <w:szCs w:val="18"/>
              </w:rPr>
            </w:pPr>
            <w:r w:rsidRPr="004017F6">
              <w:rPr>
                <w:sz w:val="18"/>
                <w:szCs w:val="18"/>
                <w:vertAlign w:val="superscript"/>
              </w:rPr>
              <w:t xml:space="preserve">1 </w:t>
            </w:r>
            <w:r w:rsidRPr="004017F6">
              <w:rPr>
                <w:sz w:val="18"/>
                <w:szCs w:val="18"/>
              </w:rPr>
              <w:t>The reference value for Blood Lead is taken from the CDC Response to Advisory Committee on Childhood Lead Poisoning Prevention</w:t>
            </w:r>
            <w:r>
              <w:rPr>
                <w:sz w:val="18"/>
                <w:szCs w:val="18"/>
              </w:rPr>
              <w:t xml:space="preserve"> [CDC</w:t>
            </w:r>
            <w:r w:rsidRPr="004017F6">
              <w:rPr>
                <w:sz w:val="18"/>
                <w:szCs w:val="18"/>
              </w:rPr>
              <w:t xml:space="preserve"> 2012</w:t>
            </w:r>
            <w:r>
              <w:rPr>
                <w:sz w:val="18"/>
                <w:szCs w:val="18"/>
              </w:rPr>
              <w:t>].</w:t>
            </w:r>
          </w:p>
          <w:p w:rsidR="006A4D33" w:rsidRPr="004017F6" w:rsidRDefault="006A4D33" w:rsidP="00EF0566">
            <w:pPr>
              <w:widowControl w:val="0"/>
              <w:autoSpaceDE w:val="0"/>
              <w:autoSpaceDN w:val="0"/>
              <w:adjustRightInd w:val="0"/>
              <w:rPr>
                <w:sz w:val="18"/>
                <w:szCs w:val="18"/>
              </w:rPr>
            </w:pPr>
          </w:p>
          <w:p w:rsidR="006A4D33" w:rsidRPr="00C00348" w:rsidRDefault="006A4D33" w:rsidP="00EF0566">
            <w:pPr>
              <w:widowControl w:val="0"/>
              <w:autoSpaceDE w:val="0"/>
              <w:autoSpaceDN w:val="0"/>
              <w:adjustRightInd w:val="0"/>
            </w:pPr>
            <w:r w:rsidRPr="004017F6">
              <w:rPr>
                <w:sz w:val="18"/>
                <w:szCs w:val="18"/>
                <w:vertAlign w:val="superscript"/>
              </w:rPr>
              <w:t>2</w:t>
            </w:r>
            <w:r w:rsidRPr="004017F6">
              <w:rPr>
                <w:sz w:val="18"/>
                <w:szCs w:val="18"/>
              </w:rPr>
              <w:t xml:space="preserve"> The </w:t>
            </w:r>
            <w:r>
              <w:rPr>
                <w:sz w:val="18"/>
                <w:szCs w:val="18"/>
              </w:rPr>
              <w:t>t</w:t>
            </w:r>
            <w:r w:rsidRPr="004017F6">
              <w:rPr>
                <w:sz w:val="18"/>
                <w:szCs w:val="18"/>
              </w:rPr>
              <w:t xml:space="preserve">otal </w:t>
            </w:r>
            <w:r>
              <w:rPr>
                <w:sz w:val="18"/>
                <w:szCs w:val="18"/>
              </w:rPr>
              <w:t>u</w:t>
            </w:r>
            <w:r w:rsidRPr="004017F6">
              <w:rPr>
                <w:sz w:val="18"/>
                <w:szCs w:val="18"/>
              </w:rPr>
              <w:t xml:space="preserve">rine </w:t>
            </w:r>
            <w:r>
              <w:rPr>
                <w:sz w:val="18"/>
                <w:szCs w:val="18"/>
              </w:rPr>
              <w:t>a</w:t>
            </w:r>
            <w:r w:rsidRPr="004017F6">
              <w:rPr>
                <w:sz w:val="18"/>
                <w:szCs w:val="18"/>
              </w:rPr>
              <w:t>rsenic reference value is the lowest 95</w:t>
            </w:r>
            <w:r w:rsidRPr="004017F6">
              <w:rPr>
                <w:sz w:val="18"/>
                <w:szCs w:val="18"/>
                <w:vertAlign w:val="superscript"/>
              </w:rPr>
              <w:t>th</w:t>
            </w:r>
            <w:r w:rsidRPr="004017F6">
              <w:rPr>
                <w:sz w:val="18"/>
                <w:szCs w:val="18"/>
              </w:rPr>
              <w:t xml:space="preserve"> percentile </w:t>
            </w:r>
            <w:r>
              <w:rPr>
                <w:sz w:val="18"/>
                <w:szCs w:val="18"/>
              </w:rPr>
              <w:t xml:space="preserve">total urine arsenic </w:t>
            </w:r>
            <w:r w:rsidRPr="004017F6">
              <w:rPr>
                <w:sz w:val="18"/>
                <w:szCs w:val="18"/>
              </w:rPr>
              <w:t xml:space="preserve">value </w:t>
            </w:r>
            <w:r>
              <w:rPr>
                <w:sz w:val="18"/>
                <w:szCs w:val="18"/>
              </w:rPr>
              <w:t>reported for the appropriate</w:t>
            </w:r>
            <w:r w:rsidRPr="004017F6">
              <w:rPr>
                <w:sz w:val="18"/>
                <w:szCs w:val="18"/>
              </w:rPr>
              <w:t xml:space="preserve"> age group in the </w:t>
            </w:r>
            <w:r>
              <w:rPr>
                <w:sz w:val="18"/>
                <w:szCs w:val="18"/>
              </w:rPr>
              <w:t>2013-2014</w:t>
            </w:r>
            <w:r w:rsidRPr="004017F6">
              <w:rPr>
                <w:sz w:val="18"/>
                <w:szCs w:val="18"/>
              </w:rPr>
              <w:t xml:space="preserve"> </w:t>
            </w:r>
            <w:r>
              <w:rPr>
                <w:sz w:val="18"/>
                <w:szCs w:val="18"/>
              </w:rPr>
              <w:t xml:space="preserve">CDC </w:t>
            </w:r>
            <w:r w:rsidRPr="004017F6">
              <w:rPr>
                <w:sz w:val="18"/>
                <w:szCs w:val="18"/>
              </w:rPr>
              <w:t>National Health and Nutrition Examination Survey</w:t>
            </w:r>
            <w:r>
              <w:rPr>
                <w:sz w:val="18"/>
                <w:szCs w:val="18"/>
              </w:rPr>
              <w:t>.</w:t>
            </w:r>
            <w:r w:rsidRPr="004017F6">
              <w:rPr>
                <w:sz w:val="18"/>
                <w:szCs w:val="18"/>
              </w:rPr>
              <w:t xml:space="preserve"> Results are reported in micrograms per gram of creatinine (</w:t>
            </w:r>
            <w:r>
              <w:rPr>
                <w:sz w:val="18"/>
                <w:szCs w:val="18"/>
              </w:rPr>
              <w:t>µ</w:t>
            </w:r>
            <w:r w:rsidRPr="004017F6">
              <w:rPr>
                <w:sz w:val="18"/>
                <w:szCs w:val="18"/>
              </w:rPr>
              <w:t>g/g)</w:t>
            </w:r>
            <w:r>
              <w:rPr>
                <w:sz w:val="18"/>
                <w:szCs w:val="18"/>
              </w:rPr>
              <w:t xml:space="preserve"> [CDC 2018]</w:t>
            </w:r>
            <w:r w:rsidRPr="004017F6">
              <w:rPr>
                <w:sz w:val="18"/>
                <w:szCs w:val="18"/>
              </w:rPr>
              <w:t>. Creatinine testing is a standard method used to measure the amount of arsenic present in urine samples.</w:t>
            </w:r>
          </w:p>
        </w:tc>
      </w:tr>
    </w:tbl>
    <w:p w:rsidR="006A4D33" w:rsidRDefault="006A4D33" w:rsidP="006A4D33">
      <w:pPr>
        <w:spacing w:after="100" w:afterAutospacing="1"/>
        <w:ind w:left="360"/>
        <w:rPr>
          <w:rFonts w:cs="Tahoma"/>
          <w:color w:val="auto"/>
          <w:lang w:bidi="en-US"/>
        </w:rPr>
      </w:pPr>
    </w:p>
    <w:p w:rsidR="006A4D33" w:rsidRDefault="006A4D33" w:rsidP="006A4D33">
      <w:pPr>
        <w:spacing w:after="100" w:afterAutospacing="1"/>
        <w:ind w:left="360"/>
        <w:rPr>
          <w:rFonts w:cs="Tahoma"/>
          <w:color w:val="auto"/>
          <w:lang w:bidi="en-US"/>
        </w:rPr>
      </w:pPr>
      <w:r>
        <w:rPr>
          <w:rFonts w:cs="Tahoma"/>
          <w:color w:val="auto"/>
          <w:lang w:bidi="en-US"/>
        </w:rPr>
        <w:t>References:</w:t>
      </w:r>
    </w:p>
    <w:p w:rsidR="006A4D33" w:rsidRDefault="006A4D33" w:rsidP="006A4D33">
      <w:pPr>
        <w:spacing w:after="100" w:afterAutospacing="1"/>
        <w:ind w:left="360"/>
        <w:rPr>
          <w:rFonts w:cs="Tahoma"/>
          <w:color w:val="0563C1" w:themeColor="hyperlink"/>
          <w:u w:val="single"/>
          <w:lang w:bidi="en-US"/>
        </w:rPr>
      </w:pPr>
      <w:r w:rsidRPr="00032AB3">
        <w:rPr>
          <w:rFonts w:cs="Tahoma"/>
          <w:color w:val="auto"/>
          <w:lang w:bidi="en-US"/>
        </w:rPr>
        <w:t xml:space="preserve">[CDC 2012] Centers for Disease Control and Prevention. 2012. CDC Response to Advisory Committee on Childhood Lead Poisoning Prevention Recommendations in "Low Level Lead Exposure Harms Children: A Renewed Call of Primary Prevention". Centers for Disease Control and Prevention, June 7, 2012.  Available at: </w:t>
      </w:r>
      <w:hyperlink r:id="rId7" w:history="1">
        <w:r w:rsidRPr="00032AB3">
          <w:rPr>
            <w:rFonts w:cs="Tahoma"/>
            <w:color w:val="0563C1" w:themeColor="hyperlink"/>
            <w:u w:val="single"/>
            <w:lang w:bidi="en-US"/>
          </w:rPr>
          <w:t>http://www.cdc.gov/nceh/lead/ACCLPP/CDC_Response_Lead_Exposure_Recs.pdf</w:t>
        </w:r>
      </w:hyperlink>
    </w:p>
    <w:p w:rsidR="006A4D33" w:rsidRPr="00032AB3" w:rsidRDefault="006A4D33" w:rsidP="006A4D33">
      <w:pPr>
        <w:spacing w:after="100" w:afterAutospacing="1"/>
        <w:ind w:left="360"/>
        <w:rPr>
          <w:rFonts w:cs="Tahoma"/>
          <w:color w:val="0563C1" w:themeColor="hyperlink"/>
          <w:u w:val="single"/>
          <w:lang w:bidi="en-US"/>
        </w:rPr>
      </w:pPr>
      <w:r>
        <w:rPr>
          <w:color w:val="333333"/>
        </w:rPr>
        <w:t xml:space="preserve">[CDC 2018] </w:t>
      </w:r>
      <w:r w:rsidRPr="00E70F00">
        <w:rPr>
          <w:color w:val="333333"/>
        </w:rPr>
        <w:t xml:space="preserve">Centers for Disease Control and Prevention. Fourth Report on Human Exposure to Environmental Chemicals, Updated Tables, (March 2018). Atlanta, GA: U.S. Department of Health and Human Services, Centers for Disease Control and Prevention. </w:t>
      </w:r>
      <w:hyperlink r:id="rId8" w:history="1">
        <w:r w:rsidRPr="00E70F00">
          <w:rPr>
            <w:color w:val="075290"/>
            <w:u w:val="single"/>
          </w:rPr>
          <w:t>https://www.cdc.gov/exposurereport/</w:t>
        </w:r>
      </w:hyperlink>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874"/>
    <w:multiLevelType w:val="hybridMultilevel"/>
    <w:tmpl w:val="CD9E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33"/>
    <w:rsid w:val="000B6A34"/>
    <w:rsid w:val="001F03F4"/>
    <w:rsid w:val="006A4D33"/>
    <w:rsid w:val="00720A64"/>
    <w:rsid w:val="00AD6FE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3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33"/>
    <w:pPr>
      <w:ind w:left="720"/>
      <w:contextualSpacing/>
    </w:pPr>
  </w:style>
  <w:style w:type="character" w:styleId="Hyperlink">
    <w:name w:val="Hyperlink"/>
    <w:uiPriority w:val="99"/>
    <w:rsid w:val="006A4D33"/>
    <w:rPr>
      <w:color w:val="0000FF"/>
      <w:u w:val="single"/>
    </w:rPr>
  </w:style>
  <w:style w:type="table" w:styleId="TableGrid">
    <w:name w:val="Table Grid"/>
    <w:basedOn w:val="TableNormal"/>
    <w:uiPriority w:val="39"/>
    <w:rsid w:val="006A4D33"/>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3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D33"/>
    <w:pPr>
      <w:ind w:left="720"/>
      <w:contextualSpacing/>
    </w:pPr>
  </w:style>
  <w:style w:type="character" w:styleId="Hyperlink">
    <w:name w:val="Hyperlink"/>
    <w:uiPriority w:val="99"/>
    <w:rsid w:val="006A4D33"/>
    <w:rPr>
      <w:color w:val="0000FF"/>
      <w:u w:val="single"/>
    </w:rPr>
  </w:style>
  <w:style w:type="table" w:styleId="TableGrid">
    <w:name w:val="Table Grid"/>
    <w:basedOn w:val="TableNormal"/>
    <w:uiPriority w:val="39"/>
    <w:rsid w:val="006A4D33"/>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exposurereport/" TargetMode="External"/><Relationship Id="rId3" Type="http://schemas.microsoft.com/office/2007/relationships/stylesWithEffects" Target="stylesWithEffects.xml"/><Relationship Id="rId7" Type="http://schemas.openxmlformats.org/officeDocument/2006/relationships/hyperlink" Target="http://www.cdc.gov/nceh/lead/ACCLPP/CDC_Response_Lead_Exposure_Rec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endel@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SYSTEM</cp:lastModifiedBy>
  <cp:revision>2</cp:revision>
  <dcterms:created xsi:type="dcterms:W3CDTF">2018-10-22T14:19:00Z</dcterms:created>
  <dcterms:modified xsi:type="dcterms:W3CDTF">2018-10-22T14:19:00Z</dcterms:modified>
</cp:coreProperties>
</file>