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23" w:rsidRPr="00B54823" w:rsidRDefault="00B54823" w:rsidP="00B54823">
      <w:pPr>
        <w:jc w:val="center"/>
        <w:rPr>
          <w:b/>
        </w:rPr>
      </w:pPr>
      <w:r w:rsidRPr="00B54823">
        <w:rPr>
          <w:b/>
        </w:rPr>
        <w:t>Supporting Statement for Paperwork Reduction Act Submissions</w:t>
      </w:r>
    </w:p>
    <w:p w:rsidR="00B54823" w:rsidRPr="00B54823" w:rsidRDefault="00B54823" w:rsidP="00B54823">
      <w:pPr>
        <w:jc w:val="center"/>
        <w:rPr>
          <w:b/>
        </w:rPr>
      </w:pPr>
      <w:r w:rsidRPr="00B54823">
        <w:rPr>
          <w:b/>
        </w:rPr>
        <w:t>Application for Individual Manufacturing Quota for a Basic Class of Controlled Substance and for Ephedrine, Pseudoephedrine, and Phenylpropanolamine                  (DEA Form 189)</w:t>
      </w:r>
    </w:p>
    <w:p w:rsidR="00B54823" w:rsidRPr="00B54823" w:rsidRDefault="00B54823" w:rsidP="00B54823">
      <w:pPr>
        <w:jc w:val="center"/>
        <w:rPr>
          <w:b/>
        </w:rPr>
      </w:pPr>
      <w:r w:rsidRPr="00B54823">
        <w:rPr>
          <w:b/>
        </w:rPr>
        <w:t>OMB Approval #1117-0006</w:t>
      </w:r>
    </w:p>
    <w:p w:rsidR="00B54823" w:rsidRPr="0086545A" w:rsidRDefault="00B54823" w:rsidP="00A84F9C">
      <w:pPr>
        <w:ind w:left="2160" w:firstLine="720"/>
        <w:rPr>
          <w:rFonts w:cs="Shruti"/>
          <w:b/>
        </w:rPr>
      </w:pPr>
    </w:p>
    <w:p w:rsidR="005038D3" w:rsidRDefault="005038D3" w:rsidP="005038D3"/>
    <w:p w:rsidR="00A84F9C" w:rsidRDefault="00A84F9C" w:rsidP="00E00A7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w:t>
      </w:r>
      <w:r w:rsidR="00B54823">
        <w:t>06</w:t>
      </w:r>
      <w:r>
        <w:t xml:space="preserve">, Application for </w:t>
      </w:r>
      <w:r w:rsidR="00B54823">
        <w:t>Individual Manufacturing Quota for a Basic Class of Controlled Substance and for Ephedrine, Pseudoephedrine, and Phenylpropanolamine</w:t>
      </w:r>
      <w:r w:rsidR="00840A55">
        <w:t xml:space="preserve"> (DEA Form </w:t>
      </w:r>
      <w:r w:rsidR="00B54823">
        <w:t>189</w:t>
      </w:r>
      <w:r w:rsidR="00840A55">
        <w:t>)</w:t>
      </w:r>
      <w:r w:rsidR="007C23B5">
        <w:t>.</w:t>
      </w:r>
    </w:p>
    <w:p w:rsidR="00A84F9C" w:rsidRDefault="00A84F9C" w:rsidP="005038D3"/>
    <w:p w:rsidR="005038D3" w:rsidRPr="0086545A" w:rsidRDefault="00F73DE8" w:rsidP="005038D3">
      <w:pPr>
        <w:rPr>
          <w:b/>
        </w:rPr>
      </w:pPr>
      <w:r w:rsidRPr="0086545A">
        <w:rPr>
          <w:b/>
        </w:rPr>
        <w:t>Part A.  Justification</w:t>
      </w:r>
    </w:p>
    <w:p w:rsidR="005038D3" w:rsidRDefault="005038D3" w:rsidP="005038D3"/>
    <w:p w:rsidR="00E76F31" w:rsidRDefault="005038D3" w:rsidP="005038D3">
      <w:r>
        <w:t xml:space="preserve">1. </w:t>
      </w:r>
      <w:r w:rsidR="005009E9">
        <w:t xml:space="preserve"> </w:t>
      </w:r>
      <w:r w:rsidR="00F73DE8" w:rsidRPr="0086545A">
        <w:rPr>
          <w:u w:val="single"/>
        </w:rPr>
        <w:t>Necessity of Information</w:t>
      </w:r>
      <w:r w:rsidR="00886498" w:rsidRPr="0086545A">
        <w:rPr>
          <w:u w:val="single"/>
        </w:rPr>
        <w:t>:</w:t>
      </w:r>
      <w:r w:rsidR="00886498">
        <w:t xml:space="preserve"> </w:t>
      </w:r>
    </w:p>
    <w:p w:rsidR="00E76F31" w:rsidRDefault="00E76F31" w:rsidP="005038D3"/>
    <w:p w:rsidR="00DE6049" w:rsidRDefault="00DE6049" w:rsidP="005038D3">
      <w:r>
        <w:t>The DEA implements and enforces titles II and III of the Comprehensive Drug Abuse Prevention and Control Act of 1970, Pub. L. No. 91-513, 84 Stat. 1242 (1970), as amended (the “CSA”).  21 U.S.C. 801–971.  Through the enactment of the CSA and its amendments, Congress has established a closed system of distribution making it unlawful to handle any controlled substance (manufacture, distribute, reverse distribute, dispense, conduct research, engage in narcotic treatment or maintenance, import, export, collect, conduct chemical analysis, dispose, or possess) any controlled substance except in a manner authorized by the CSA.  In order to maintain this closed system of distribution, the CSA generally requires all persons who handle controlled substances to obtain a registration issued by the Attorney General.</w:t>
      </w:r>
      <w:r w:rsidR="001067A0">
        <w:t xml:space="preserve"> </w:t>
      </w:r>
      <w:r>
        <w:t xml:space="preserve"> 21 U.S.C. 822, 823, 957, and 958</w:t>
      </w:r>
      <w:r w:rsidR="0062508A">
        <w:t>.</w:t>
      </w:r>
    </w:p>
    <w:p w:rsidR="00DE6049" w:rsidRDefault="00DE6049" w:rsidP="005038D3"/>
    <w:p w:rsidR="00991B94" w:rsidRDefault="00DE6049" w:rsidP="005038D3">
      <w:r>
        <w:t>A</w:t>
      </w:r>
      <w:r w:rsidR="000B2792" w:rsidRPr="00EB191A">
        <w:t>ny person who is registered to manufacture any basic class of controlled substances listed in Schedule I or II and who desires to manufacture a quantity of su</w:t>
      </w:r>
      <w:r w:rsidR="00B155F5">
        <w:t>ch class;</w:t>
      </w:r>
      <w:r w:rsidR="000B2792" w:rsidRPr="00EB191A">
        <w:t xml:space="preserve"> or who desires to manufacture using the List I chemicals ephedrine, pseudoephedrine, or phenylpropanolamine, must </w:t>
      </w:r>
      <w:r w:rsidR="000B2792">
        <w:t>complete the</w:t>
      </w:r>
      <w:r w:rsidR="00B155F5">
        <w:t xml:space="preserve"> DEA Form </w:t>
      </w:r>
      <w:r w:rsidR="000B2792" w:rsidRPr="00EB191A">
        <w:t xml:space="preserve">189 </w:t>
      </w:r>
      <w:r w:rsidR="000E18FF">
        <w:t xml:space="preserve">online, </w:t>
      </w:r>
      <w:r w:rsidR="000B2792" w:rsidRPr="00EB191A">
        <w:t>for a manufacturing quota for such quantity of such class or List I chemical.</w:t>
      </w:r>
      <w:r w:rsidR="001067A0">
        <w:t xml:space="preserve"> </w:t>
      </w:r>
      <w:r>
        <w:t xml:space="preserve"> </w:t>
      </w:r>
      <w:r w:rsidRPr="00EB191A">
        <w:t>21 U.S.C. 826 and 21 CFR 1303</w:t>
      </w:r>
      <w:r>
        <w:t>.22 and 1315.22</w:t>
      </w:r>
      <w:r w:rsidR="001067A0">
        <w:t>.</w:t>
      </w:r>
    </w:p>
    <w:p w:rsidR="000B2792" w:rsidRDefault="000B2792" w:rsidP="005038D3"/>
    <w:p w:rsidR="00E76F31" w:rsidRDefault="005D6B8B" w:rsidP="00364CDC">
      <w:r>
        <w:t xml:space="preserve">2. </w:t>
      </w:r>
      <w:r w:rsidR="005009E9">
        <w:t xml:space="preserve"> </w:t>
      </w:r>
      <w:r w:rsidRPr="0086545A">
        <w:rPr>
          <w:u w:val="single"/>
        </w:rPr>
        <w:t>Needs and Uses</w:t>
      </w:r>
      <w:r w:rsidR="00886498" w:rsidRPr="0086545A">
        <w:rPr>
          <w:u w:val="single"/>
        </w:rPr>
        <w:t>:</w:t>
      </w:r>
      <w:r w:rsidR="00886498">
        <w:t xml:space="preserve"> </w:t>
      </w:r>
    </w:p>
    <w:p w:rsidR="00E76F31" w:rsidRDefault="00E76F31" w:rsidP="00364CDC"/>
    <w:p w:rsidR="00D2434C" w:rsidRDefault="0062508A" w:rsidP="00991B94">
      <w:r>
        <w:t xml:space="preserve">DEA </w:t>
      </w:r>
      <w:r w:rsidR="00D2434C">
        <w:t>Form 189 is utilized by registered manufacture</w:t>
      </w:r>
      <w:r w:rsidR="009848C7">
        <w:t>s of</w:t>
      </w:r>
      <w:r w:rsidR="00D2434C">
        <w:t xml:space="preserve"> ephedrine, pseudoephedrine, or phenylpropanolamine and who desire to manufacture a quantity of the chemical</w:t>
      </w:r>
      <w:r w:rsidR="00AA149B">
        <w:t xml:space="preserve"> or who are</w:t>
      </w:r>
      <w:r w:rsidR="00D44840">
        <w:t xml:space="preserve"> registered to manufacture any basic class of controlled substa</w:t>
      </w:r>
      <w:r w:rsidR="00AA149B">
        <w:t xml:space="preserve">nce listed in </w:t>
      </w:r>
      <w:r w:rsidR="000B154D">
        <w:t>s</w:t>
      </w:r>
      <w:r w:rsidR="00AA149B">
        <w:t xml:space="preserve">chedule I or II.  </w:t>
      </w:r>
      <w:r w:rsidR="00D44840">
        <w:t>21 CFR 1303.22 and 1315.22</w:t>
      </w:r>
      <w:r w:rsidR="001067A0">
        <w:t>.</w:t>
      </w:r>
    </w:p>
    <w:p w:rsidR="00D2434C" w:rsidRDefault="00D2434C" w:rsidP="00991B94"/>
    <w:p w:rsidR="00991B94" w:rsidRPr="00DF04CA" w:rsidRDefault="0062508A" w:rsidP="00991B94">
      <w:r>
        <w:t xml:space="preserve">The </w:t>
      </w:r>
      <w:r w:rsidR="000B2792" w:rsidRPr="00EB191A">
        <w:t xml:space="preserve">DEA uses this information to determine the estimated legitimate need for </w:t>
      </w:r>
      <w:r w:rsidR="000B0C1B">
        <w:t>s</w:t>
      </w:r>
      <w:r w:rsidR="000B2792" w:rsidRPr="00EB191A">
        <w:t xml:space="preserve">chedule I and II controlled substances and for the List I chemicals ephedrine, pseudoephedrine, and phenylpropanolamine and to establish quotas for United States companies manufacturing these products.  United States companies involved in manufacturing </w:t>
      </w:r>
      <w:r w:rsidR="000B154D">
        <w:t>s</w:t>
      </w:r>
      <w:r w:rsidR="000B2792" w:rsidRPr="00EB191A">
        <w:t xml:space="preserve">chedule I and II </w:t>
      </w:r>
      <w:r w:rsidR="000B2792" w:rsidRPr="00EB191A">
        <w:lastRenderedPageBreak/>
        <w:t xml:space="preserve">controlled substances and the List I chemicals ephedrine, pseudoephedrine, and phenylpropanolamine must </w:t>
      </w:r>
      <w:r w:rsidR="000B2792">
        <w:t>complete a</w:t>
      </w:r>
      <w:r w:rsidR="000B2792" w:rsidRPr="00EB191A">
        <w:t xml:space="preserve"> DEA Form 189 </w:t>
      </w:r>
      <w:r w:rsidR="000B2792">
        <w:t xml:space="preserve">online </w:t>
      </w:r>
      <w:r w:rsidR="000B2792" w:rsidRPr="00EB191A">
        <w:t xml:space="preserve">each year for assignment of </w:t>
      </w:r>
      <w:r w:rsidR="000B2792">
        <w:t>a manufacturing quota</w:t>
      </w:r>
      <w:r w:rsidR="00991B94" w:rsidRPr="00DF04CA">
        <w:t>.</w:t>
      </w:r>
      <w:r w:rsidR="00D44840">
        <w:t xml:space="preserve"> 21 U.S.C. 826</w:t>
      </w:r>
      <w:r w:rsidR="001067A0">
        <w:t>.</w:t>
      </w:r>
    </w:p>
    <w:p w:rsidR="00703A7C" w:rsidRDefault="00703A7C" w:rsidP="00364CDC"/>
    <w:p w:rsidR="00E76F31" w:rsidRDefault="004150F8" w:rsidP="00364CDC">
      <w:r w:rsidRPr="00454C13">
        <w:t>3.</w:t>
      </w:r>
      <w:r w:rsidR="00406453" w:rsidRPr="00454C13">
        <w:t xml:space="preserve"> </w:t>
      </w:r>
      <w:r w:rsidR="005009E9" w:rsidRPr="00454C13">
        <w:t xml:space="preserve"> </w:t>
      </w:r>
      <w:r w:rsidR="00406453" w:rsidRPr="002B6FC5">
        <w:rPr>
          <w:u w:val="single"/>
        </w:rPr>
        <w:t>Use of</w:t>
      </w:r>
      <w:r w:rsidR="00A84F9C" w:rsidRPr="002B6FC5">
        <w:rPr>
          <w:u w:val="single"/>
        </w:rPr>
        <w:t xml:space="preserve"> Information</w:t>
      </w:r>
      <w:r w:rsidR="00406453" w:rsidRPr="002B6FC5">
        <w:rPr>
          <w:u w:val="single"/>
        </w:rPr>
        <w:t xml:space="preserve"> Technology</w:t>
      </w:r>
      <w:r w:rsidR="00886498" w:rsidRPr="0086545A">
        <w:rPr>
          <w:u w:val="single"/>
        </w:rPr>
        <w:t>:</w:t>
      </w:r>
      <w:r w:rsidR="00886498">
        <w:t xml:space="preserve"> </w:t>
      </w:r>
    </w:p>
    <w:p w:rsidR="00E76F31" w:rsidRDefault="00E76F31" w:rsidP="00364CDC"/>
    <w:p w:rsidR="00ED54CD" w:rsidRDefault="00991B94" w:rsidP="00991B94">
      <w:pPr>
        <w:rPr>
          <w:noProof/>
        </w:rPr>
      </w:pPr>
      <w:r w:rsidRPr="00454C13">
        <w:rPr>
          <w:noProof/>
        </w:rPr>
        <w:t xml:space="preserve">Since </w:t>
      </w:r>
      <w:r w:rsidRPr="002B6FC5">
        <w:rPr>
          <w:noProof/>
        </w:rPr>
        <w:t>September, 2011</w:t>
      </w:r>
      <w:r w:rsidRPr="00454C13">
        <w:rPr>
          <w:noProof/>
        </w:rPr>
        <w:t>,</w:t>
      </w:r>
      <w:r w:rsidRPr="00991B94">
        <w:rPr>
          <w:noProof/>
        </w:rPr>
        <w:t xml:space="preserve"> DEA Form </w:t>
      </w:r>
      <w:r w:rsidR="00ED54CD">
        <w:rPr>
          <w:noProof/>
        </w:rPr>
        <w:t>189</w:t>
      </w:r>
      <w:r w:rsidRPr="00991B94">
        <w:rPr>
          <w:noProof/>
        </w:rPr>
        <w:t xml:space="preserve"> has been available to be completed and submitted electronically.  DEA Form </w:t>
      </w:r>
      <w:r w:rsidR="00ED54CD">
        <w:rPr>
          <w:noProof/>
        </w:rPr>
        <w:t>189</w:t>
      </w:r>
      <w:r w:rsidRPr="00991B94">
        <w:rPr>
          <w:noProof/>
        </w:rPr>
        <w:t xml:space="preserve"> is also available on the DEA Diversion Control </w:t>
      </w:r>
      <w:r w:rsidR="000B0C1B">
        <w:rPr>
          <w:noProof/>
        </w:rPr>
        <w:t>W</w:t>
      </w:r>
      <w:r w:rsidRPr="00991B94">
        <w:rPr>
          <w:noProof/>
        </w:rPr>
        <w:t>eb site (</w:t>
      </w:r>
      <w:hyperlink r:id="rId9" w:history="1">
        <w:r w:rsidRPr="00991B94">
          <w:rPr>
            <w:noProof/>
            <w:color w:val="0000FF" w:themeColor="hyperlink"/>
            <w:u w:val="single"/>
          </w:rPr>
          <w:t>http://www.deadiversion.usdoj.gov</w:t>
        </w:r>
      </w:hyperlink>
      <w:r w:rsidRPr="00991B94">
        <w:rPr>
          <w:noProof/>
        </w:rPr>
        <w:t xml:space="preserve">) as a blank form that may be printed, completed, signed, and sent to </w:t>
      </w:r>
      <w:r w:rsidR="000B0C1B">
        <w:rPr>
          <w:noProof/>
        </w:rPr>
        <w:t xml:space="preserve">the </w:t>
      </w:r>
      <w:r w:rsidRPr="00991B94">
        <w:rPr>
          <w:noProof/>
        </w:rPr>
        <w:t xml:space="preserve">DEA.  </w:t>
      </w:r>
      <w:r w:rsidRPr="002B6FC5">
        <w:rPr>
          <w:noProof/>
        </w:rPr>
        <w:t>Currently, 100% of DEA Form</w:t>
      </w:r>
      <w:r w:rsidR="0062508A" w:rsidRPr="002B6FC5">
        <w:rPr>
          <w:noProof/>
        </w:rPr>
        <w:t>s</w:t>
      </w:r>
      <w:r w:rsidR="00FF4FC6" w:rsidRPr="002B6FC5">
        <w:rPr>
          <w:noProof/>
        </w:rPr>
        <w:t xml:space="preserve"> </w:t>
      </w:r>
      <w:r w:rsidR="000B2792" w:rsidRPr="002B6FC5">
        <w:rPr>
          <w:noProof/>
        </w:rPr>
        <w:t>189</w:t>
      </w:r>
      <w:r w:rsidR="00FF4FC6" w:rsidRPr="002B6FC5">
        <w:rPr>
          <w:noProof/>
        </w:rPr>
        <w:t xml:space="preserve"> </w:t>
      </w:r>
      <w:r w:rsidRPr="002B6FC5">
        <w:rPr>
          <w:noProof/>
        </w:rPr>
        <w:t>are submitted electronically.</w:t>
      </w:r>
    </w:p>
    <w:p w:rsidR="00ED54CD" w:rsidRPr="00991B94" w:rsidRDefault="00ED54CD" w:rsidP="00991B94">
      <w:pPr>
        <w:rPr>
          <w:noProof/>
        </w:rPr>
      </w:pPr>
    </w:p>
    <w:p w:rsidR="00E76F31" w:rsidRDefault="00A7508F" w:rsidP="00364CDC">
      <w:pPr>
        <w:rPr>
          <w:color w:val="000000"/>
        </w:rPr>
      </w:pPr>
      <w:r>
        <w:rPr>
          <w:color w:val="000000"/>
        </w:rPr>
        <w:t xml:space="preserve">4. </w:t>
      </w:r>
      <w:r w:rsidR="005009E9">
        <w:rPr>
          <w:color w:val="000000"/>
        </w:rPr>
        <w:t xml:space="preserve"> </w:t>
      </w:r>
      <w:r w:rsidRPr="0086545A">
        <w:rPr>
          <w:color w:val="000000"/>
          <w:u w:val="single"/>
        </w:rPr>
        <w:t>Efforts to Identify Duplication</w:t>
      </w:r>
      <w:r w:rsidR="00886498" w:rsidRPr="0086545A">
        <w:rPr>
          <w:color w:val="000000"/>
          <w:u w:val="single"/>
        </w:rPr>
        <w:t>:</w:t>
      </w:r>
      <w:r w:rsidR="00886498">
        <w:rPr>
          <w:color w:val="000000"/>
        </w:rPr>
        <w:t xml:space="preserve"> </w:t>
      </w:r>
    </w:p>
    <w:p w:rsidR="00E76F31" w:rsidRDefault="00E76F31" w:rsidP="00364CDC">
      <w:pPr>
        <w:rPr>
          <w:color w:val="000000"/>
        </w:rPr>
      </w:pPr>
    </w:p>
    <w:p w:rsidR="00AA149B" w:rsidRDefault="00AA149B" w:rsidP="00AA149B">
      <w:r>
        <w:t xml:space="preserve">Quotas are unique to </w:t>
      </w:r>
      <w:r w:rsidR="000B0C1B">
        <w:t xml:space="preserve">the </w:t>
      </w:r>
      <w:r>
        <w:t xml:space="preserve">DEA, therefore there is no duplication of information requested as part of </w:t>
      </w:r>
      <w:r w:rsidR="002B6FC5">
        <w:t>this collection</w:t>
      </w:r>
      <w:r>
        <w:t>.</w:t>
      </w:r>
    </w:p>
    <w:p w:rsidR="00ED54CD" w:rsidRDefault="00ED54CD" w:rsidP="00364CDC"/>
    <w:p w:rsidR="00E76F31" w:rsidRDefault="00A7508F" w:rsidP="00364CDC">
      <w:r>
        <w:t xml:space="preserve">5. </w:t>
      </w:r>
      <w:r w:rsidR="005009E9">
        <w:t xml:space="preserve">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rsidR="00E76F31" w:rsidRDefault="00E76F31" w:rsidP="00364CDC"/>
    <w:p w:rsidR="00A7508F" w:rsidRDefault="00362449" w:rsidP="00364CDC">
      <w:r>
        <w:t>This is a routine renewal of DEA Form</w:t>
      </w:r>
      <w:r w:rsidR="00C92D6D">
        <w:t xml:space="preserve"> 189</w:t>
      </w:r>
      <w:r>
        <w:t>.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w:t>
      </w:r>
      <w:r w:rsidR="004469C9">
        <w:t>–</w:t>
      </w:r>
      <w:r>
        <w:t xml:space="preserve">612.  </w:t>
      </w:r>
    </w:p>
    <w:p w:rsidR="00886498" w:rsidRDefault="00886498" w:rsidP="00364CDC"/>
    <w:p w:rsidR="00E76F31" w:rsidRDefault="00A7508F" w:rsidP="00364CDC">
      <w:r>
        <w:t xml:space="preserve">6. </w:t>
      </w:r>
      <w:r w:rsidR="005009E9">
        <w:t xml:space="preserve"> </w:t>
      </w:r>
      <w:r w:rsidRPr="0086545A">
        <w:rPr>
          <w:u w:val="single"/>
        </w:rPr>
        <w:t>Consequences of Less Frequent Collection</w:t>
      </w:r>
      <w:r w:rsidR="00886498" w:rsidRPr="0086545A">
        <w:rPr>
          <w:u w:val="single"/>
        </w:rPr>
        <w:t>:</w:t>
      </w:r>
      <w:r w:rsidR="00886498">
        <w:t xml:space="preserve"> </w:t>
      </w:r>
    </w:p>
    <w:p w:rsidR="00E76F31" w:rsidRDefault="00E76F31" w:rsidP="00364CDC"/>
    <w:p w:rsidR="00B5274C" w:rsidRDefault="00577441" w:rsidP="00596CD8">
      <w:r>
        <w:t>If the collection is not conducted or conducted less frequently, DEA would not have sufficient data to set production quotas and would be unable to determine the amounts necessary to meet medical, scientific, or other legitimate purposes</w:t>
      </w:r>
      <w:r w:rsidR="0062508A">
        <w:t>.</w:t>
      </w:r>
    </w:p>
    <w:p w:rsidR="00923609" w:rsidRDefault="00923609" w:rsidP="00364CDC"/>
    <w:p w:rsidR="00E76F31" w:rsidRDefault="00A7508F" w:rsidP="00364CDC">
      <w:r>
        <w:t>7.</w:t>
      </w:r>
      <w:r w:rsidR="005009E9">
        <w:t xml:space="preserve"> </w:t>
      </w:r>
      <w:r>
        <w:t xml:space="preserve"> </w:t>
      </w:r>
      <w:r w:rsidRPr="0086545A">
        <w:rPr>
          <w:u w:val="single"/>
        </w:rPr>
        <w:t>Special Circumstances Influencing Collection</w:t>
      </w:r>
      <w:r w:rsidR="00886498" w:rsidRPr="0086545A">
        <w:rPr>
          <w:u w:val="single"/>
        </w:rPr>
        <w:t>:</w:t>
      </w:r>
      <w:r w:rsidR="00886498">
        <w:t xml:space="preserve"> </w:t>
      </w:r>
    </w:p>
    <w:p w:rsidR="00E76F31" w:rsidRDefault="00E76F31" w:rsidP="00364CDC"/>
    <w:p w:rsidR="00A7508F" w:rsidRDefault="00B5274C" w:rsidP="00364CDC">
      <w:r>
        <w:t>There are no special circumstances applicable to this information collection.</w:t>
      </w:r>
      <w:r w:rsidR="00EA0412">
        <w:t xml:space="preserve">  </w:t>
      </w:r>
    </w:p>
    <w:p w:rsidR="00886498" w:rsidRDefault="00886498" w:rsidP="00364CDC"/>
    <w:p w:rsidR="00E76F31" w:rsidRDefault="00EA0412" w:rsidP="00364CDC">
      <w:r>
        <w:t xml:space="preserve">8. </w:t>
      </w:r>
      <w:r w:rsidR="005009E9">
        <w:t xml:space="preserve"> </w:t>
      </w:r>
      <w:r w:rsidR="00A84F9C" w:rsidRPr="0086545A">
        <w:rPr>
          <w:u w:val="single"/>
        </w:rPr>
        <w:t>Consultation with persons outside the Agency:</w:t>
      </w:r>
      <w:r w:rsidR="00A84F9C">
        <w:t xml:space="preserve"> </w:t>
      </w:r>
    </w:p>
    <w:p w:rsidR="00E76F31" w:rsidRDefault="00E76F31" w:rsidP="00364CDC"/>
    <w:p w:rsidR="00E91224" w:rsidRDefault="00015843" w:rsidP="00455755">
      <w:r>
        <w:t>Public comment was solicited in the 60-day Federal Register Notice o</w:t>
      </w:r>
      <w:r w:rsidR="005924C8">
        <w:t>f Information Collection,</w:t>
      </w:r>
      <w:r w:rsidR="00B611BD">
        <w:t xml:space="preserve"> 81</w:t>
      </w:r>
      <w:r w:rsidR="00E50782">
        <w:t xml:space="preserve"> FR</w:t>
      </w:r>
      <w:r w:rsidR="005924C8">
        <w:t xml:space="preserve"> </w:t>
      </w:r>
      <w:r w:rsidR="00B611BD">
        <w:t>1219</w:t>
      </w:r>
      <w:r w:rsidR="005924C8">
        <w:t xml:space="preserve">, published </w:t>
      </w:r>
      <w:r w:rsidR="00B611BD">
        <w:t>January 11</w:t>
      </w:r>
      <w:r w:rsidR="000A75C0">
        <w:t>, 2016</w:t>
      </w:r>
      <w:r>
        <w:t xml:space="preserve"> and the 30-day Federal Register Notice of Information Collection, </w:t>
      </w:r>
      <w:r w:rsidR="00B611BD">
        <w:t>81</w:t>
      </w:r>
      <w:r w:rsidR="00E50782">
        <w:t xml:space="preserve"> FR </w:t>
      </w:r>
      <w:r w:rsidR="003A3F1C">
        <w:t>13828</w:t>
      </w:r>
      <w:r w:rsidR="00E50782">
        <w:t>,</w:t>
      </w:r>
      <w:r w:rsidR="005C291B">
        <w:t xml:space="preserve"> </w:t>
      </w:r>
      <w:r>
        <w:t xml:space="preserve">published </w:t>
      </w:r>
      <w:r w:rsidR="003A3F1C">
        <w:t>March 15</w:t>
      </w:r>
      <w:bookmarkStart w:id="0" w:name="_GoBack"/>
      <w:bookmarkEnd w:id="0"/>
      <w:r w:rsidR="000A75C0">
        <w:t>, 2016</w:t>
      </w:r>
      <w:r>
        <w:t>.  The DEA did not receive any comments concerning this collection.</w:t>
      </w:r>
    </w:p>
    <w:p w:rsidR="00015843" w:rsidRDefault="00015843" w:rsidP="00455755"/>
    <w:p w:rsidR="00015843" w:rsidRDefault="00015843" w:rsidP="00455755">
      <w: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015843" w:rsidRDefault="00015843" w:rsidP="00455755"/>
    <w:p w:rsidR="00E76F31" w:rsidRDefault="00533C25" w:rsidP="00364CDC">
      <w:r>
        <w:lastRenderedPageBreak/>
        <w:t xml:space="preserve">9. </w:t>
      </w:r>
      <w:r w:rsidR="005009E9">
        <w:t xml:space="preserve"> </w:t>
      </w:r>
      <w:r w:rsidRPr="0086545A">
        <w:rPr>
          <w:u w:val="single"/>
        </w:rPr>
        <w:t>Payment or Gift to Claimants</w:t>
      </w:r>
      <w:r w:rsidR="00886498" w:rsidRPr="0086545A">
        <w:rPr>
          <w:u w:val="single"/>
        </w:rPr>
        <w:t>:</w:t>
      </w:r>
      <w:r w:rsidR="00886498">
        <w:t xml:space="preserve"> </w:t>
      </w:r>
    </w:p>
    <w:p w:rsidR="00E76F31" w:rsidRDefault="00E76F31" w:rsidP="00364CDC"/>
    <w:p w:rsidR="00533C25" w:rsidRDefault="00362449" w:rsidP="00364CDC">
      <w:r>
        <w:t>This collection of information does not propose to provide any payment o</w:t>
      </w:r>
      <w:r w:rsidR="00E719E1">
        <w:t>r</w:t>
      </w:r>
      <w:r>
        <w:t xml:space="preserve"> gift to respondents.  </w:t>
      </w:r>
    </w:p>
    <w:p w:rsidR="00886498" w:rsidRDefault="00886498" w:rsidP="00364CDC"/>
    <w:p w:rsidR="00E76F31" w:rsidRDefault="00410863" w:rsidP="00364CDC">
      <w:r>
        <w:t xml:space="preserve">10. </w:t>
      </w:r>
      <w:r w:rsidR="005009E9">
        <w:t xml:space="preserve"> </w:t>
      </w:r>
      <w:r w:rsidRPr="0086545A">
        <w:rPr>
          <w:u w:val="single"/>
        </w:rPr>
        <w:t>Assurance of Confidentiality</w:t>
      </w:r>
      <w:r w:rsidR="00886498" w:rsidRPr="0086545A">
        <w:rPr>
          <w:u w:val="single"/>
        </w:rPr>
        <w:t>:</w:t>
      </w:r>
      <w:r w:rsidR="00886498">
        <w:t xml:space="preserve"> </w:t>
      </w:r>
    </w:p>
    <w:p w:rsidR="007005F4" w:rsidRDefault="007005F4" w:rsidP="007005F4"/>
    <w:p w:rsidR="00410863" w:rsidRDefault="00E719E1" w:rsidP="00364CDC">
      <w:r w:rsidRPr="00E719E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834C96" w:rsidRDefault="00834C96" w:rsidP="00364CDC"/>
    <w:p w:rsidR="00E76F31" w:rsidRDefault="00410863" w:rsidP="00364CDC">
      <w:r>
        <w:t xml:space="preserve">11. </w:t>
      </w:r>
      <w:r w:rsidR="005009E9">
        <w:t xml:space="preserve"> </w:t>
      </w:r>
      <w:r w:rsidRPr="0086545A">
        <w:rPr>
          <w:u w:val="single"/>
        </w:rPr>
        <w:t>Justification for Sensitive Questions</w:t>
      </w:r>
      <w:r w:rsidR="00801C74" w:rsidRPr="0086545A">
        <w:rPr>
          <w:u w:val="single"/>
        </w:rPr>
        <w:t>:</w:t>
      </w:r>
      <w:r w:rsidR="00801C74">
        <w:t xml:space="preserve"> </w:t>
      </w:r>
    </w:p>
    <w:p w:rsidR="00E76F31" w:rsidRDefault="00E76F31" w:rsidP="00364CDC"/>
    <w:p w:rsidR="00410863" w:rsidRDefault="000A765F" w:rsidP="00364CDC">
      <w:r>
        <w:t xml:space="preserve">This collection of information does not ask any questions of a sensitive nature. </w:t>
      </w:r>
    </w:p>
    <w:p w:rsidR="00801C74" w:rsidRDefault="00801C74" w:rsidP="00364CDC"/>
    <w:p w:rsidR="001358D7" w:rsidRDefault="001358D7" w:rsidP="001358D7">
      <w:r>
        <w:t xml:space="preserve">12. </w:t>
      </w:r>
      <w:r w:rsidR="005009E9">
        <w:t xml:space="preserve"> </w:t>
      </w:r>
      <w:r w:rsidRPr="002B6FC5">
        <w:rPr>
          <w:u w:val="single"/>
        </w:rPr>
        <w:t>Estimate</w:t>
      </w:r>
      <w:r w:rsidR="00451924" w:rsidRPr="002B6FC5">
        <w:rPr>
          <w:u w:val="single"/>
        </w:rPr>
        <w:t xml:space="preserve"> of</w:t>
      </w:r>
      <w:r w:rsidRPr="002B6FC5">
        <w:rPr>
          <w:u w:val="single"/>
        </w:rPr>
        <w:t xml:space="preserve"> Hour Burden</w:t>
      </w:r>
      <w:r>
        <w:t>:</w:t>
      </w:r>
    </w:p>
    <w:p w:rsidR="001358D7" w:rsidRDefault="001358D7" w:rsidP="001358D7"/>
    <w:p w:rsidR="00577441" w:rsidRPr="00577441" w:rsidRDefault="00577441" w:rsidP="00577441">
      <w:pPr>
        <w:rPr>
          <w:noProof/>
        </w:rPr>
      </w:pPr>
      <w:r w:rsidRPr="00577441">
        <w:rPr>
          <w:noProof/>
        </w:rPr>
        <w:t xml:space="preserve">Respondents complete DEA Form </w:t>
      </w:r>
      <w:r w:rsidR="00C92D6D">
        <w:rPr>
          <w:noProof/>
        </w:rPr>
        <w:t>189</w:t>
      </w:r>
      <w:r w:rsidRPr="00577441">
        <w:rPr>
          <w:noProof/>
        </w:rPr>
        <w:t xml:space="preserve">, </w:t>
      </w:r>
      <w:r w:rsidR="000B2792" w:rsidRPr="00DF04CA">
        <w:t xml:space="preserve">Application for </w:t>
      </w:r>
      <w:r w:rsidR="000B2792">
        <w:t>Individual Manufacturing Quota for a Basic Class of Controlled Substance and for Ephedrine, Pseudoephedrine, and Phenylpropanolamine</w:t>
      </w:r>
      <w:r w:rsidR="000B2792" w:rsidRPr="00577441">
        <w:rPr>
          <w:noProof/>
        </w:rPr>
        <w:t xml:space="preserve"> </w:t>
      </w:r>
      <w:r w:rsidRPr="00577441">
        <w:rPr>
          <w:noProof/>
        </w:rPr>
        <w:t>(including Worksheet A), annually.  A respondent may submit multiple responses.</w:t>
      </w:r>
    </w:p>
    <w:p w:rsidR="00577441" w:rsidRPr="00577441" w:rsidRDefault="00577441" w:rsidP="00577441">
      <w:pPr>
        <w:rPr>
          <w:noProof/>
        </w:rPr>
      </w:pPr>
    </w:p>
    <w:p w:rsidR="00577441" w:rsidRPr="00577441" w:rsidRDefault="00577441" w:rsidP="00577441">
      <w:pPr>
        <w:rPr>
          <w:noProof/>
        </w:rPr>
      </w:pPr>
      <w:r w:rsidRPr="00577441">
        <w:rPr>
          <w:noProof/>
        </w:rPr>
        <w:t xml:space="preserve">DEA Form </w:t>
      </w:r>
      <w:r w:rsidR="00C92D6D">
        <w:rPr>
          <w:noProof/>
        </w:rPr>
        <w:t>189</w:t>
      </w:r>
      <w:r w:rsidRPr="00577441">
        <w:rPr>
          <w:noProof/>
        </w:rPr>
        <w:t>:</w:t>
      </w:r>
    </w:p>
    <w:p w:rsidR="00577441" w:rsidRPr="00577441" w:rsidRDefault="00577441" w:rsidP="00577441">
      <w:pPr>
        <w:rPr>
          <w:noProof/>
        </w:rPr>
      </w:pPr>
    </w:p>
    <w:p w:rsidR="00577441" w:rsidRDefault="00A11691" w:rsidP="00577441">
      <w:pPr>
        <w:rPr>
          <w:noProof/>
          <w:u w:val="single"/>
        </w:rPr>
      </w:pPr>
      <w:bookmarkStart w:id="1" w:name="OLE_LINK3"/>
      <w:bookmarkStart w:id="2" w:name="OLE_LINK4"/>
      <w:r>
        <w:rPr>
          <w:noProof/>
        </w:rPr>
        <w:t>Total n</w:t>
      </w:r>
      <w:r w:rsidRPr="00577441">
        <w:rPr>
          <w:noProof/>
        </w:rPr>
        <w:t xml:space="preserve">umber </w:t>
      </w:r>
      <w:r w:rsidR="00577441" w:rsidRPr="00577441">
        <w:rPr>
          <w:noProof/>
        </w:rPr>
        <w:t xml:space="preserve">of </w:t>
      </w:r>
      <w:r>
        <w:rPr>
          <w:noProof/>
        </w:rPr>
        <w:t>r</w:t>
      </w:r>
      <w:r w:rsidRPr="00577441">
        <w:rPr>
          <w:noProof/>
        </w:rPr>
        <w:t>espondents</w:t>
      </w:r>
      <w:r w:rsidR="00577441" w:rsidRPr="00577441">
        <w:rPr>
          <w:noProof/>
        </w:rPr>
        <w:t>:</w:t>
      </w:r>
      <w:r w:rsidR="002B6FC5">
        <w:rPr>
          <w:noProof/>
        </w:rPr>
        <w:t xml:space="preserve">  </w:t>
      </w:r>
      <w:r w:rsidR="00DA0707">
        <w:rPr>
          <w:noProof/>
        </w:rPr>
        <w:t>34</w:t>
      </w:r>
      <w:r w:rsidR="00C92D6D">
        <w:rPr>
          <w:noProof/>
          <w:u w:val="single"/>
        </w:rPr>
        <w:t xml:space="preserve">  </w:t>
      </w:r>
    </w:p>
    <w:p w:rsidR="00A11691" w:rsidRPr="00C92D6D" w:rsidRDefault="00A11691" w:rsidP="00577441">
      <w:pPr>
        <w:rPr>
          <w:noProof/>
          <w:u w:val="single"/>
        </w:rPr>
      </w:pPr>
    </w:p>
    <w:p w:rsidR="00577441" w:rsidRDefault="00A11691" w:rsidP="00577441">
      <w:pPr>
        <w:rPr>
          <w:noProof/>
        </w:rPr>
      </w:pPr>
      <w:r>
        <w:t>Number of responses per respondent per year</w:t>
      </w:r>
      <w:r w:rsidR="00577441" w:rsidRPr="00577441">
        <w:rPr>
          <w:noProof/>
        </w:rPr>
        <w:t>:</w:t>
      </w:r>
      <w:r w:rsidR="002B6FC5">
        <w:rPr>
          <w:noProof/>
        </w:rPr>
        <w:t xml:space="preserve"> </w:t>
      </w:r>
      <w:r w:rsidR="00577441" w:rsidRPr="00577441">
        <w:rPr>
          <w:noProof/>
        </w:rPr>
        <w:t xml:space="preserve"> </w:t>
      </w:r>
      <w:r w:rsidR="00255842">
        <w:rPr>
          <w:noProof/>
        </w:rPr>
        <w:t>Annually/as needed</w:t>
      </w:r>
    </w:p>
    <w:p w:rsidR="00A11691" w:rsidRPr="00577441" w:rsidRDefault="00A11691" w:rsidP="00577441">
      <w:pPr>
        <w:rPr>
          <w:noProof/>
        </w:rPr>
      </w:pPr>
    </w:p>
    <w:p w:rsidR="00577441" w:rsidRDefault="00577441" w:rsidP="00577441">
      <w:pPr>
        <w:rPr>
          <w:noProof/>
        </w:rPr>
      </w:pPr>
      <w:r w:rsidRPr="00577441">
        <w:rPr>
          <w:noProof/>
        </w:rPr>
        <w:t>Total annual responses:</w:t>
      </w:r>
      <w:r w:rsidR="002B6FC5">
        <w:rPr>
          <w:noProof/>
        </w:rPr>
        <w:t xml:space="preserve">  </w:t>
      </w:r>
      <w:r w:rsidR="00DA0707">
        <w:rPr>
          <w:noProof/>
        </w:rPr>
        <w:t>660</w:t>
      </w:r>
    </w:p>
    <w:p w:rsidR="00A11691" w:rsidRPr="00577441" w:rsidRDefault="00A11691" w:rsidP="00577441">
      <w:pPr>
        <w:rPr>
          <w:noProof/>
        </w:rPr>
      </w:pPr>
    </w:p>
    <w:bookmarkEnd w:id="1"/>
    <w:bookmarkEnd w:id="2"/>
    <w:p w:rsidR="00A11691" w:rsidRPr="00577441" w:rsidRDefault="00A11691" w:rsidP="00A11691">
      <w:pPr>
        <w:rPr>
          <w:noProof/>
        </w:rPr>
      </w:pPr>
      <w:r>
        <w:rPr>
          <w:noProof/>
        </w:rPr>
        <w:t xml:space="preserve">Average time per response:  </w:t>
      </w:r>
      <w:r w:rsidR="002B6FC5">
        <w:rPr>
          <w:noProof/>
        </w:rPr>
        <w:t>0</w:t>
      </w:r>
      <w:r w:rsidRPr="00331BAA">
        <w:rPr>
          <w:noProof/>
        </w:rPr>
        <w:t>.5</w:t>
      </w:r>
      <w:r>
        <w:rPr>
          <w:noProof/>
        </w:rPr>
        <w:t xml:space="preserve"> </w:t>
      </w:r>
      <w:r w:rsidRPr="00577441">
        <w:rPr>
          <w:noProof/>
        </w:rPr>
        <w:t xml:space="preserve"> hour</w:t>
      </w:r>
    </w:p>
    <w:p w:rsidR="00577441" w:rsidRPr="00577441" w:rsidRDefault="00577441" w:rsidP="00577441">
      <w:pPr>
        <w:rPr>
          <w:noProof/>
        </w:rPr>
      </w:pPr>
    </w:p>
    <w:p w:rsidR="00577441" w:rsidRDefault="00577441" w:rsidP="00577441">
      <w:pPr>
        <w:rPr>
          <w:noProof/>
        </w:rPr>
      </w:pPr>
      <w:r w:rsidRPr="00577441">
        <w:rPr>
          <w:noProof/>
        </w:rPr>
        <w:t xml:space="preserve">Total annual </w:t>
      </w:r>
      <w:r w:rsidR="00A11691">
        <w:rPr>
          <w:noProof/>
        </w:rPr>
        <w:t xml:space="preserve">hour </w:t>
      </w:r>
      <w:r w:rsidRPr="00577441">
        <w:rPr>
          <w:noProof/>
        </w:rPr>
        <w:t>burden:</w:t>
      </w:r>
      <w:r w:rsidR="002B6FC5">
        <w:rPr>
          <w:noProof/>
        </w:rPr>
        <w:t xml:space="preserve">  </w:t>
      </w:r>
      <w:r w:rsidR="00DA0707">
        <w:rPr>
          <w:noProof/>
        </w:rPr>
        <w:t>33</w:t>
      </w:r>
      <w:r w:rsidR="005E361D" w:rsidRPr="00331BAA">
        <w:rPr>
          <w:noProof/>
        </w:rPr>
        <w:t>0</w:t>
      </w:r>
      <w:r w:rsidRPr="00577441">
        <w:rPr>
          <w:noProof/>
        </w:rPr>
        <w:t xml:space="preserve"> hours</w:t>
      </w:r>
    </w:p>
    <w:p w:rsidR="002579A9" w:rsidRDefault="002579A9" w:rsidP="00577441">
      <w:pPr>
        <w:rPr>
          <w:noProof/>
        </w:rPr>
      </w:pPr>
    </w:p>
    <w:p w:rsidR="002579A9" w:rsidRDefault="002579A9" w:rsidP="00577441">
      <w:pPr>
        <w:rPr>
          <w:noProof/>
        </w:rPr>
      </w:pPr>
      <w:r>
        <w:rPr>
          <w:noProof/>
        </w:rPr>
        <w:t>Average Burden:</w:t>
      </w:r>
      <w:r>
        <w:rPr>
          <w:noProof/>
        </w:rPr>
        <w:tab/>
        <w:t xml:space="preserve">Per Collection: </w:t>
      </w:r>
      <w:r w:rsidR="007C23B5">
        <w:rPr>
          <w:noProof/>
        </w:rPr>
        <w:t xml:space="preserve"> </w:t>
      </w:r>
      <w:r w:rsidR="00255842">
        <w:rPr>
          <w:noProof/>
        </w:rPr>
        <w:t>0.5</w:t>
      </w:r>
    </w:p>
    <w:p w:rsidR="002579A9" w:rsidRDefault="002579A9" w:rsidP="00577441">
      <w:pPr>
        <w:rPr>
          <w:noProof/>
        </w:rPr>
      </w:pPr>
    </w:p>
    <w:p w:rsidR="002579A9" w:rsidRDefault="002579A9" w:rsidP="00577441">
      <w:pPr>
        <w:rPr>
          <w:noProof/>
        </w:rPr>
      </w:pPr>
      <w:r>
        <w:rPr>
          <w:noProof/>
        </w:rPr>
        <w:tab/>
      </w:r>
      <w:r>
        <w:rPr>
          <w:noProof/>
        </w:rPr>
        <w:tab/>
      </w:r>
      <w:r>
        <w:rPr>
          <w:noProof/>
        </w:rPr>
        <w:tab/>
      </w:r>
      <w:r w:rsidR="00C92D6D">
        <w:rPr>
          <w:noProof/>
        </w:rPr>
        <w:t xml:space="preserve">Per Respondent:  </w:t>
      </w:r>
      <w:r w:rsidR="00255842">
        <w:rPr>
          <w:noProof/>
        </w:rPr>
        <w:t>9.7</w:t>
      </w:r>
      <w:r>
        <w:rPr>
          <w:noProof/>
        </w:rPr>
        <w:t xml:space="preserve"> hours</w:t>
      </w:r>
    </w:p>
    <w:p w:rsidR="002579A9" w:rsidRDefault="002579A9" w:rsidP="00577441">
      <w:pPr>
        <w:rPr>
          <w:noProof/>
        </w:rPr>
      </w:pPr>
    </w:p>
    <w:p w:rsidR="002579A9" w:rsidRDefault="002579A9" w:rsidP="00577441">
      <w:pPr>
        <w:rPr>
          <w:noProof/>
        </w:rPr>
      </w:pPr>
      <w:r>
        <w:rPr>
          <w:noProof/>
        </w:rPr>
        <w:t>Total responses received on paper:</w:t>
      </w:r>
      <w:r w:rsidR="002B6FC5">
        <w:rPr>
          <w:noProof/>
        </w:rPr>
        <w:t xml:space="preserve"> </w:t>
      </w:r>
      <w:r w:rsidR="007C23B5">
        <w:rPr>
          <w:noProof/>
        </w:rPr>
        <w:t xml:space="preserve"> </w:t>
      </w:r>
      <w:r w:rsidR="00A11691">
        <w:rPr>
          <w:noProof/>
        </w:rPr>
        <w:t>0</w:t>
      </w:r>
    </w:p>
    <w:p w:rsidR="002579A9" w:rsidRDefault="002579A9" w:rsidP="00577441">
      <w:pPr>
        <w:rPr>
          <w:noProof/>
        </w:rPr>
      </w:pPr>
    </w:p>
    <w:p w:rsidR="002579A9" w:rsidRDefault="002579A9" w:rsidP="00577441">
      <w:pPr>
        <w:rPr>
          <w:noProof/>
        </w:rPr>
      </w:pPr>
      <w:r>
        <w:rPr>
          <w:noProof/>
        </w:rPr>
        <w:t>Total responses received online:</w:t>
      </w:r>
      <w:r w:rsidR="002B6FC5">
        <w:rPr>
          <w:noProof/>
        </w:rPr>
        <w:t xml:space="preserve"> </w:t>
      </w:r>
      <w:r w:rsidR="007C23B5">
        <w:rPr>
          <w:noProof/>
        </w:rPr>
        <w:t xml:space="preserve"> </w:t>
      </w:r>
      <w:r w:rsidR="00A11691">
        <w:rPr>
          <w:noProof/>
        </w:rPr>
        <w:t>660</w:t>
      </w:r>
    </w:p>
    <w:p w:rsidR="002579A9" w:rsidRDefault="002579A9" w:rsidP="00577441">
      <w:pPr>
        <w:rPr>
          <w:noProof/>
        </w:rPr>
      </w:pPr>
    </w:p>
    <w:p w:rsidR="002579A9" w:rsidRPr="00577441" w:rsidRDefault="002579A9" w:rsidP="00577441">
      <w:pPr>
        <w:rPr>
          <w:noProof/>
        </w:rPr>
      </w:pPr>
      <w:r>
        <w:rPr>
          <w:noProof/>
        </w:rPr>
        <w:t>Percent of responses received online:</w:t>
      </w:r>
      <w:r>
        <w:rPr>
          <w:noProof/>
        </w:rPr>
        <w:tab/>
      </w:r>
      <w:r w:rsidR="007C23B5">
        <w:rPr>
          <w:noProof/>
        </w:rPr>
        <w:t xml:space="preserve"> </w:t>
      </w:r>
      <w:r w:rsidR="00A11691">
        <w:rPr>
          <w:noProof/>
        </w:rPr>
        <w:t>1</w:t>
      </w:r>
      <w:r w:rsidR="001368FE">
        <w:rPr>
          <w:noProof/>
        </w:rPr>
        <w:t>00</w:t>
      </w:r>
      <w:r w:rsidR="00A11691">
        <w:rPr>
          <w:noProof/>
        </w:rPr>
        <w:t>%</w:t>
      </w:r>
    </w:p>
    <w:p w:rsidR="00577441" w:rsidRPr="00577441" w:rsidRDefault="00577441" w:rsidP="00577441">
      <w:pPr>
        <w:rPr>
          <w:noProof/>
        </w:rPr>
      </w:pPr>
    </w:p>
    <w:p w:rsidR="00577441" w:rsidRPr="00577441" w:rsidRDefault="001368FE" w:rsidP="00577441">
      <w:r>
        <w:rPr>
          <w:noProof/>
        </w:rPr>
        <w:t>B</w:t>
      </w:r>
      <w:r w:rsidR="00577441" w:rsidRPr="00577441">
        <w:rPr>
          <w:noProof/>
        </w:rPr>
        <w:t>ased on the population of the regulated industry participating in this business activity</w:t>
      </w:r>
      <w:r w:rsidR="002B6FC5">
        <w:rPr>
          <w:noProof/>
        </w:rPr>
        <w:t>,</w:t>
      </w:r>
      <w:r w:rsidR="00577441" w:rsidRPr="00577441">
        <w:rPr>
          <w:noProof/>
        </w:rPr>
        <w:t xml:space="preserve"> </w:t>
      </w:r>
      <w:r w:rsidR="002B6FC5">
        <w:rPr>
          <w:noProof/>
        </w:rPr>
        <w:t>t</w:t>
      </w:r>
      <w:r w:rsidR="0062508A">
        <w:rPr>
          <w:noProof/>
        </w:rPr>
        <w:t xml:space="preserve">he </w:t>
      </w:r>
      <w:r w:rsidR="00577441" w:rsidRPr="00577441">
        <w:rPr>
          <w:noProof/>
        </w:rPr>
        <w:t xml:space="preserve">DEA assumes that a </w:t>
      </w:r>
      <w:r>
        <w:rPr>
          <w:noProof/>
        </w:rPr>
        <w:t>“</w:t>
      </w:r>
      <w:r w:rsidR="00577441" w:rsidRPr="00577441">
        <w:rPr>
          <w:noProof/>
        </w:rPr>
        <w:t>purchasing manager</w:t>
      </w:r>
      <w:r>
        <w:rPr>
          <w:noProof/>
        </w:rPr>
        <w:t>”</w:t>
      </w:r>
      <w:r w:rsidR="00577441" w:rsidRPr="00577441">
        <w:rPr>
          <w:noProof/>
        </w:rPr>
        <w:t xml:space="preserve"> (SOC 11-3061 2010 Standard Occupational Classification) will complete the form on behalf of the registrant.  </w:t>
      </w:r>
      <w:r w:rsidR="00577441" w:rsidRPr="00577441">
        <w:t xml:space="preserve">The median hourly wage for that position according to the Bureau of Labor Statistics’ </w:t>
      </w:r>
      <w:r>
        <w:t xml:space="preserve">(BLS) </w:t>
      </w:r>
      <w:r w:rsidR="00577441" w:rsidRPr="00577441">
        <w:rPr>
          <w:noProof/>
        </w:rPr>
        <w:t>2014 National Occupational Employment and Wage Estimates</w:t>
      </w:r>
      <w:r>
        <w:rPr>
          <w:noProof/>
        </w:rPr>
        <w:t xml:space="preserve"> for</w:t>
      </w:r>
      <w:r w:rsidR="00577441" w:rsidRPr="00577441">
        <w:rPr>
          <w:noProof/>
        </w:rPr>
        <w:t xml:space="preserve"> NAICS 325400 – Pharmaceutical and Medicine Manufacturing </w:t>
      </w:r>
      <w:r w:rsidR="00577441" w:rsidRPr="00577441">
        <w:t xml:space="preserve">is $55.52 (http://www.bls.gov/oes/current/oes).  Based on the BLS report, “Employer Costs for Employee Compensation – </w:t>
      </w:r>
      <w:r>
        <w:t>September</w:t>
      </w:r>
      <w:r w:rsidRPr="00577441">
        <w:t xml:space="preserve"> </w:t>
      </w:r>
      <w:r w:rsidR="00577441" w:rsidRPr="00577441">
        <w:t>2015,” (http://www.bls.gov/news.release/pdf/ecec.pdf) an additional 43.</w:t>
      </w:r>
      <w:r>
        <w:t>5</w:t>
      </w:r>
      <w:r w:rsidR="00577441" w:rsidRPr="00577441">
        <w:t>% load (for “private industry”) is added to the wage rate to account for benefits.</w:t>
      </w:r>
      <w:r w:rsidR="002B6FC5">
        <w:t xml:space="preserve"> </w:t>
      </w:r>
      <w:r w:rsidR="00577441" w:rsidRPr="00577441">
        <w:t xml:space="preserve"> Therefore, the estimated cost of burden hours of this information collection is $</w:t>
      </w:r>
      <w:r>
        <w:t>26,291</w:t>
      </w:r>
      <w:r w:rsidR="00577441" w:rsidRPr="00577441">
        <w:t>.</w:t>
      </w:r>
    </w:p>
    <w:p w:rsidR="00015C6C" w:rsidRDefault="00015C6C" w:rsidP="009304DC"/>
    <w:p w:rsidR="000A08B0" w:rsidRDefault="000A08B0" w:rsidP="000A08B0">
      <w:r>
        <w:t xml:space="preserve">13. </w:t>
      </w:r>
      <w:r w:rsidR="005009E9">
        <w:t xml:space="preserve"> </w:t>
      </w:r>
      <w:r w:rsidRPr="002B6FC5">
        <w:rPr>
          <w:u w:val="single"/>
        </w:rPr>
        <w:t>Estimate of Cost Burden</w:t>
      </w:r>
      <w:r w:rsidRPr="00454C13">
        <w:rPr>
          <w:u w:val="single"/>
        </w:rPr>
        <w:t>:</w:t>
      </w:r>
      <w:r>
        <w:t xml:space="preserve">  </w:t>
      </w:r>
    </w:p>
    <w:p w:rsidR="000A08B0" w:rsidRDefault="000A08B0" w:rsidP="009304DC"/>
    <w:p w:rsidR="00577441" w:rsidRPr="00577441" w:rsidRDefault="00577441" w:rsidP="00577441">
      <w:pPr>
        <w:rPr>
          <w:noProof/>
        </w:rPr>
      </w:pPr>
      <w:r w:rsidRPr="00577441">
        <w:rPr>
          <w:noProof/>
        </w:rPr>
        <w:t>The estimated annual cost burden is zero.  Respondents are estimated to not incur any a) additional start-up cost or capital expenditure, or b) additional operation and maintenance costs or purchase services as a result of this information collection.</w:t>
      </w:r>
    </w:p>
    <w:p w:rsidR="000A08B0" w:rsidRDefault="000A08B0" w:rsidP="009304DC"/>
    <w:p w:rsidR="009304DC" w:rsidRDefault="009304DC" w:rsidP="009304DC">
      <w:r>
        <w:t xml:space="preserve">14. </w:t>
      </w:r>
      <w:r w:rsidR="005009E9">
        <w:t xml:space="preserve"> </w:t>
      </w:r>
      <w:r w:rsidRPr="002B6FC5">
        <w:rPr>
          <w:u w:val="single"/>
        </w:rPr>
        <w:t>Estimated Annualized Cost to</w:t>
      </w:r>
      <w:r w:rsidR="00A84F9C" w:rsidRPr="002B6FC5">
        <w:rPr>
          <w:u w:val="single"/>
        </w:rPr>
        <w:t xml:space="preserve"> the</w:t>
      </w:r>
      <w:r w:rsidRPr="002B6FC5">
        <w:rPr>
          <w:u w:val="single"/>
        </w:rPr>
        <w:t xml:space="preserve"> Federal Government</w:t>
      </w:r>
      <w:r w:rsidRPr="0086545A">
        <w:rPr>
          <w:u w:val="single"/>
        </w:rPr>
        <w:t>:</w:t>
      </w:r>
    </w:p>
    <w:p w:rsidR="00FD3D4C" w:rsidRDefault="00FD3D4C" w:rsidP="00FD3D4C"/>
    <w:p w:rsidR="0037062C" w:rsidRDefault="0037062C" w:rsidP="0037062C">
      <w:pPr>
        <w:rPr>
          <w:color w:val="000000"/>
        </w:rPr>
      </w:pPr>
      <w:r w:rsidRPr="008929A7">
        <w:rPr>
          <w:color w:val="000000"/>
        </w:rPr>
        <w:t>Estimated Annual Labor Cost to Government:</w:t>
      </w:r>
    </w:p>
    <w:tbl>
      <w:tblPr>
        <w:tblW w:w="8979" w:type="dxa"/>
        <w:tblInd w:w="93" w:type="dxa"/>
        <w:tblLook w:val="04A0" w:firstRow="1" w:lastRow="0" w:firstColumn="1" w:lastColumn="0" w:noHBand="0" w:noVBand="1"/>
      </w:tblPr>
      <w:tblGrid>
        <w:gridCol w:w="5193"/>
        <w:gridCol w:w="955"/>
        <w:gridCol w:w="1021"/>
        <w:gridCol w:w="1366"/>
        <w:gridCol w:w="222"/>
        <w:gridCol w:w="222"/>
      </w:tblGrid>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rPr>
                <w:b/>
                <w:bCs/>
                <w:color w:val="000000"/>
                <w:sz w:val="20"/>
                <w:szCs w:val="20"/>
              </w:rPr>
            </w:pPr>
            <w:r>
              <w:rPr>
                <w:b/>
                <w:bCs/>
                <w:color w:val="000000"/>
                <w:sz w:val="20"/>
                <w:szCs w:val="20"/>
              </w:rPr>
              <w:t xml:space="preserve">Labor Category </w:t>
            </w:r>
          </w:p>
        </w:tc>
        <w:tc>
          <w:tcPr>
            <w:tcW w:w="955" w:type="dxa"/>
            <w:tcBorders>
              <w:top w:val="nil"/>
              <w:left w:val="nil"/>
              <w:bottom w:val="nil"/>
              <w:right w:val="nil"/>
            </w:tcBorders>
            <w:shd w:val="clear" w:color="auto" w:fill="auto"/>
            <w:noWrap/>
            <w:vAlign w:val="bottom"/>
            <w:hideMark/>
          </w:tcPr>
          <w:p w:rsidR="0037062C" w:rsidRDefault="0037062C">
            <w:pPr>
              <w:rPr>
                <w:b/>
                <w:bCs/>
                <w:color w:val="000000"/>
                <w:sz w:val="20"/>
                <w:szCs w:val="20"/>
              </w:rPr>
            </w:pPr>
            <w:r>
              <w:rPr>
                <w:b/>
                <w:bCs/>
                <w:color w:val="000000"/>
                <w:sz w:val="20"/>
                <w:szCs w:val="20"/>
              </w:rPr>
              <w:t>Number</w:t>
            </w:r>
          </w:p>
        </w:tc>
        <w:tc>
          <w:tcPr>
            <w:tcW w:w="1021" w:type="dxa"/>
            <w:tcBorders>
              <w:top w:val="nil"/>
              <w:left w:val="nil"/>
              <w:bottom w:val="nil"/>
              <w:right w:val="nil"/>
            </w:tcBorders>
            <w:shd w:val="clear" w:color="auto" w:fill="auto"/>
            <w:noWrap/>
            <w:vAlign w:val="bottom"/>
            <w:hideMark/>
          </w:tcPr>
          <w:p w:rsidR="0037062C" w:rsidRDefault="0037062C" w:rsidP="0037062C">
            <w:pPr>
              <w:jc w:val="center"/>
              <w:rPr>
                <w:b/>
                <w:bCs/>
                <w:color w:val="000000"/>
                <w:sz w:val="20"/>
                <w:szCs w:val="20"/>
              </w:rPr>
            </w:pPr>
            <w:r>
              <w:rPr>
                <w:b/>
                <w:bCs/>
                <w:color w:val="000000"/>
                <w:sz w:val="20"/>
                <w:szCs w:val="20"/>
              </w:rPr>
              <w:t>% of time</w:t>
            </w:r>
          </w:p>
        </w:tc>
        <w:tc>
          <w:tcPr>
            <w:tcW w:w="1366" w:type="dxa"/>
            <w:tcBorders>
              <w:top w:val="nil"/>
              <w:left w:val="nil"/>
              <w:bottom w:val="nil"/>
              <w:right w:val="nil"/>
            </w:tcBorders>
            <w:shd w:val="clear" w:color="auto" w:fill="auto"/>
            <w:noWrap/>
            <w:vAlign w:val="bottom"/>
            <w:hideMark/>
          </w:tcPr>
          <w:p w:rsidR="0037062C" w:rsidRDefault="0037062C" w:rsidP="0037062C">
            <w:pPr>
              <w:jc w:val="center"/>
              <w:rPr>
                <w:b/>
                <w:bCs/>
                <w:color w:val="000000"/>
                <w:sz w:val="20"/>
                <w:szCs w:val="20"/>
              </w:rPr>
            </w:pPr>
            <w:r>
              <w:rPr>
                <w:b/>
                <w:bCs/>
                <w:color w:val="000000"/>
                <w:sz w:val="20"/>
                <w:szCs w:val="20"/>
              </w:rPr>
              <w:t>Cost*</w:t>
            </w:r>
          </w:p>
        </w:tc>
      </w:tr>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Section Chief/Supervisory Physical Scientist – GS-1301-15</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1</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10%</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22,788 </w:t>
            </w:r>
          </w:p>
        </w:tc>
      </w:tr>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Analysis of quota information:</w:t>
            </w:r>
          </w:p>
        </w:tc>
        <w:tc>
          <w:tcPr>
            <w:tcW w:w="955" w:type="dxa"/>
            <w:tcBorders>
              <w:top w:val="nil"/>
              <w:left w:val="nil"/>
              <w:bottom w:val="nil"/>
              <w:right w:val="nil"/>
            </w:tcBorders>
            <w:shd w:val="clear" w:color="auto" w:fill="auto"/>
            <w:noWrap/>
            <w:vAlign w:val="bottom"/>
            <w:hideMark/>
          </w:tcPr>
          <w:p w:rsidR="0037062C" w:rsidRDefault="0037062C">
            <w:pPr>
              <w:rPr>
                <w:color w:val="000000"/>
                <w:sz w:val="20"/>
                <w:szCs w:val="20"/>
              </w:rPr>
            </w:pP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p>
        </w:tc>
      </w:tr>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Drug Science Specialists – GS-601-12/14</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4</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18%</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139,484 </w:t>
            </w:r>
          </w:p>
        </w:tc>
      </w:tr>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Supervisory Physical Scientist - GS-1301-14</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1</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10%</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19,373 </w:t>
            </w:r>
          </w:p>
        </w:tc>
      </w:tr>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Secretaries - GS-318-7</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2</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19%</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29,533 </w:t>
            </w:r>
          </w:p>
        </w:tc>
      </w:tr>
      <w:tr w:rsidR="0037062C" w:rsidTr="0037062C">
        <w:trPr>
          <w:gridAfter w:val="2"/>
          <w:wAfter w:w="444" w:type="dxa"/>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Diversion Investigator/Executive Assistant– GS-1801-15</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1</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3%</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6,837 </w:t>
            </w:r>
          </w:p>
        </w:tc>
      </w:tr>
      <w:tr w:rsidR="0037062C" w:rsidTr="0037062C">
        <w:trPr>
          <w:trHeight w:val="300"/>
        </w:trPr>
        <w:tc>
          <w:tcPr>
            <w:tcW w:w="8979" w:type="dxa"/>
            <w:gridSpan w:val="6"/>
            <w:tcBorders>
              <w:top w:val="nil"/>
              <w:left w:val="nil"/>
              <w:bottom w:val="nil"/>
              <w:right w:val="nil"/>
            </w:tcBorders>
            <w:shd w:val="clear" w:color="auto" w:fill="auto"/>
            <w:noWrap/>
            <w:vAlign w:val="center"/>
            <w:hideMark/>
          </w:tcPr>
          <w:p w:rsidR="0037062C" w:rsidRDefault="0037062C">
            <w:pPr>
              <w:rPr>
                <w:color w:val="000000"/>
                <w:sz w:val="20"/>
                <w:szCs w:val="20"/>
              </w:rPr>
            </w:pPr>
            <w:r>
              <w:rPr>
                <w:color w:val="000000"/>
                <w:sz w:val="20"/>
                <w:szCs w:val="20"/>
              </w:rPr>
              <w:t>Analysis of Quota Information (List I chemicals ephedrine, pseudoephedrine, and phenylpropanolamine):</w:t>
            </w: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 xml:space="preserve">Drug Science Specialists – GS-601-12/14 </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4</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7,749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Supervisory Physical Scientist - GS-1301-14</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1</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1,937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Diversion Investigators/Staff Coordinators – GS-1801-14</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4</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7,749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Supervisory Physical Scientist - GS-1301-15</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1</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2,279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Secretaries - GS-318-7</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2</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w:t>
            </w:r>
          </w:p>
        </w:tc>
        <w:tc>
          <w:tcPr>
            <w:tcW w:w="1366" w:type="dxa"/>
            <w:tcBorders>
              <w:top w:val="nil"/>
              <w:left w:val="nil"/>
              <w:bottom w:val="nil"/>
              <w:right w:val="nil"/>
            </w:tcBorders>
            <w:shd w:val="clear" w:color="auto" w:fill="auto"/>
            <w:noWrap/>
            <w:vAlign w:val="bottom"/>
            <w:hideMark/>
          </w:tcPr>
          <w:p w:rsidR="0037062C" w:rsidRDefault="0037062C">
            <w:pPr>
              <w:rPr>
                <w:color w:val="000000"/>
                <w:sz w:val="20"/>
                <w:szCs w:val="20"/>
              </w:rPr>
            </w:pPr>
            <w:r>
              <w:rPr>
                <w:color w:val="000000"/>
                <w:sz w:val="20"/>
                <w:szCs w:val="20"/>
              </w:rPr>
              <w:t xml:space="preserve"> $        1,554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ind w:firstLineChars="100" w:firstLine="200"/>
              <w:rPr>
                <w:color w:val="000000"/>
                <w:sz w:val="20"/>
                <w:szCs w:val="20"/>
              </w:rPr>
            </w:pPr>
            <w:r>
              <w:rPr>
                <w:color w:val="000000"/>
                <w:sz w:val="20"/>
                <w:szCs w:val="20"/>
              </w:rPr>
              <w:t>Diversion Investigator/Executive Assistant– GS-1801-15 </w:t>
            </w:r>
          </w:p>
        </w:tc>
        <w:tc>
          <w:tcPr>
            <w:tcW w:w="955" w:type="dxa"/>
            <w:tcBorders>
              <w:top w:val="nil"/>
              <w:left w:val="nil"/>
              <w:bottom w:val="nil"/>
              <w:right w:val="nil"/>
            </w:tcBorders>
            <w:shd w:val="clear" w:color="auto" w:fill="auto"/>
            <w:noWrap/>
            <w:vAlign w:val="bottom"/>
            <w:hideMark/>
          </w:tcPr>
          <w:p w:rsidR="0037062C" w:rsidRDefault="0037062C">
            <w:pPr>
              <w:jc w:val="right"/>
              <w:rPr>
                <w:color w:val="000000"/>
                <w:sz w:val="20"/>
                <w:szCs w:val="20"/>
              </w:rPr>
            </w:pPr>
            <w:r>
              <w:rPr>
                <w:color w:val="000000"/>
                <w:sz w:val="20"/>
                <w:szCs w:val="20"/>
              </w:rPr>
              <w:t>1</w:t>
            </w:r>
          </w:p>
        </w:tc>
        <w:tc>
          <w:tcPr>
            <w:tcW w:w="1021" w:type="dxa"/>
            <w:tcBorders>
              <w:top w:val="nil"/>
              <w:left w:val="nil"/>
              <w:bottom w:val="nil"/>
              <w:right w:val="nil"/>
            </w:tcBorders>
            <w:shd w:val="clear" w:color="auto" w:fill="auto"/>
            <w:noWrap/>
            <w:vAlign w:val="center"/>
            <w:hideMark/>
          </w:tcPr>
          <w:p w:rsidR="0037062C" w:rsidRDefault="0037062C">
            <w:pPr>
              <w:jc w:val="right"/>
              <w:rPr>
                <w:color w:val="000000"/>
                <w:sz w:val="20"/>
                <w:szCs w:val="20"/>
              </w:rPr>
            </w:pPr>
            <w:r>
              <w:rPr>
                <w:color w:val="000000"/>
                <w:sz w:val="20"/>
                <w:szCs w:val="20"/>
              </w:rPr>
              <w:t>1%</w:t>
            </w:r>
          </w:p>
        </w:tc>
        <w:tc>
          <w:tcPr>
            <w:tcW w:w="1366" w:type="dxa"/>
            <w:tcBorders>
              <w:top w:val="nil"/>
              <w:left w:val="nil"/>
              <w:bottom w:val="nil"/>
              <w:right w:val="nil"/>
            </w:tcBorders>
            <w:shd w:val="clear" w:color="auto" w:fill="auto"/>
            <w:noWrap/>
            <w:vAlign w:val="bottom"/>
            <w:hideMark/>
          </w:tcPr>
          <w:p w:rsidR="0037062C" w:rsidRPr="0037062C" w:rsidRDefault="0037062C">
            <w:pPr>
              <w:rPr>
                <w:color w:val="000000"/>
                <w:sz w:val="20"/>
                <w:szCs w:val="20"/>
                <w:u w:val="single"/>
              </w:rPr>
            </w:pPr>
            <w:r w:rsidRPr="0037062C">
              <w:rPr>
                <w:color w:val="000000"/>
                <w:sz w:val="20"/>
                <w:szCs w:val="20"/>
                <w:u w:val="single"/>
              </w:rPr>
              <w:t xml:space="preserve"> $        2,279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r w:rsidR="0037062C" w:rsidTr="0037062C">
        <w:trPr>
          <w:trHeight w:val="300"/>
        </w:trPr>
        <w:tc>
          <w:tcPr>
            <w:tcW w:w="5193" w:type="dxa"/>
            <w:tcBorders>
              <w:top w:val="nil"/>
              <w:left w:val="nil"/>
              <w:bottom w:val="nil"/>
              <w:right w:val="nil"/>
            </w:tcBorders>
            <w:shd w:val="clear" w:color="auto" w:fill="auto"/>
            <w:noWrap/>
            <w:vAlign w:val="bottom"/>
            <w:hideMark/>
          </w:tcPr>
          <w:p w:rsidR="0037062C" w:rsidRDefault="0037062C">
            <w:pPr>
              <w:rPr>
                <w:b/>
                <w:bCs/>
                <w:color w:val="000000"/>
                <w:sz w:val="20"/>
                <w:szCs w:val="20"/>
              </w:rPr>
            </w:pPr>
            <w:r>
              <w:rPr>
                <w:b/>
                <w:bCs/>
                <w:color w:val="000000"/>
                <w:sz w:val="20"/>
                <w:szCs w:val="20"/>
              </w:rPr>
              <w:t>Total</w:t>
            </w:r>
          </w:p>
        </w:tc>
        <w:tc>
          <w:tcPr>
            <w:tcW w:w="955" w:type="dxa"/>
            <w:tcBorders>
              <w:top w:val="nil"/>
              <w:left w:val="nil"/>
              <w:bottom w:val="nil"/>
              <w:right w:val="nil"/>
            </w:tcBorders>
            <w:shd w:val="clear" w:color="auto" w:fill="auto"/>
            <w:noWrap/>
            <w:vAlign w:val="bottom"/>
            <w:hideMark/>
          </w:tcPr>
          <w:p w:rsidR="0037062C" w:rsidRDefault="0037062C">
            <w:pPr>
              <w:rPr>
                <w:b/>
                <w:bCs/>
                <w:color w:val="000000"/>
                <w:sz w:val="20"/>
                <w:szCs w:val="20"/>
              </w:rPr>
            </w:pPr>
          </w:p>
        </w:tc>
        <w:tc>
          <w:tcPr>
            <w:tcW w:w="1021" w:type="dxa"/>
            <w:tcBorders>
              <w:top w:val="nil"/>
              <w:left w:val="nil"/>
              <w:bottom w:val="nil"/>
              <w:right w:val="nil"/>
            </w:tcBorders>
            <w:shd w:val="clear" w:color="auto" w:fill="auto"/>
            <w:noWrap/>
            <w:vAlign w:val="bottom"/>
            <w:hideMark/>
          </w:tcPr>
          <w:p w:rsidR="0037062C" w:rsidRDefault="0037062C">
            <w:pPr>
              <w:rPr>
                <w:b/>
                <w:bCs/>
                <w:color w:val="000000"/>
                <w:sz w:val="20"/>
                <w:szCs w:val="20"/>
              </w:rPr>
            </w:pPr>
          </w:p>
        </w:tc>
        <w:tc>
          <w:tcPr>
            <w:tcW w:w="1366" w:type="dxa"/>
            <w:tcBorders>
              <w:top w:val="nil"/>
              <w:left w:val="nil"/>
              <w:bottom w:val="nil"/>
              <w:right w:val="nil"/>
            </w:tcBorders>
            <w:shd w:val="clear" w:color="auto" w:fill="auto"/>
            <w:noWrap/>
            <w:vAlign w:val="bottom"/>
            <w:hideMark/>
          </w:tcPr>
          <w:p w:rsidR="0037062C" w:rsidRDefault="0037062C">
            <w:pPr>
              <w:rPr>
                <w:b/>
                <w:bCs/>
                <w:color w:val="000000"/>
                <w:sz w:val="20"/>
                <w:szCs w:val="20"/>
              </w:rPr>
            </w:pPr>
            <w:r>
              <w:rPr>
                <w:b/>
                <w:bCs/>
                <w:color w:val="000000"/>
                <w:sz w:val="20"/>
                <w:szCs w:val="20"/>
              </w:rPr>
              <w:t xml:space="preserve"> $    241,562 </w:t>
            </w:r>
          </w:p>
        </w:tc>
        <w:tc>
          <w:tcPr>
            <w:tcW w:w="222" w:type="dxa"/>
            <w:vAlign w:val="center"/>
            <w:hideMark/>
          </w:tcPr>
          <w:p w:rsidR="0037062C" w:rsidRDefault="0037062C">
            <w:pPr>
              <w:rPr>
                <w:sz w:val="20"/>
                <w:szCs w:val="20"/>
              </w:rPr>
            </w:pPr>
          </w:p>
        </w:tc>
        <w:tc>
          <w:tcPr>
            <w:tcW w:w="222" w:type="dxa"/>
            <w:vAlign w:val="center"/>
            <w:hideMark/>
          </w:tcPr>
          <w:p w:rsidR="0037062C" w:rsidRDefault="0037062C">
            <w:pPr>
              <w:rPr>
                <w:sz w:val="20"/>
                <w:szCs w:val="20"/>
              </w:rPr>
            </w:pPr>
          </w:p>
        </w:tc>
      </w:tr>
    </w:tbl>
    <w:p w:rsidR="00577441" w:rsidRDefault="0037062C" w:rsidP="00577441">
      <w:pPr>
        <w:rPr>
          <w:color w:val="000000"/>
          <w:sz w:val="20"/>
        </w:rPr>
      </w:pPr>
      <w:r>
        <w:rPr>
          <w:color w:val="000000"/>
          <w:sz w:val="20"/>
        </w:rPr>
        <w:t>*</w:t>
      </w:r>
      <w:r w:rsidRPr="003238C7">
        <w:rPr>
          <w:color w:val="000000"/>
          <w:sz w:val="20"/>
        </w:rPr>
        <w:t>Figures are rounded.</w:t>
      </w:r>
      <w:r>
        <w:rPr>
          <w:color w:val="000000"/>
          <w:sz w:val="20"/>
        </w:rPr>
        <w:t xml:space="preserve">  </w:t>
      </w:r>
      <w:r w:rsidRPr="0062561C">
        <w:rPr>
          <w:color w:val="000000"/>
          <w:sz w:val="20"/>
        </w:rPr>
        <w:t>Government salary figures include 57% load for benefits based on the ECEC for “State and local government.”  The ECEC does not include figures for the Federal Government.</w:t>
      </w:r>
    </w:p>
    <w:p w:rsidR="0037062C" w:rsidRPr="00577441" w:rsidRDefault="0037062C" w:rsidP="00577441">
      <w:pPr>
        <w:rPr>
          <w:noProof/>
        </w:rPr>
      </w:pPr>
    </w:p>
    <w:p w:rsidR="00577441" w:rsidRPr="00577441" w:rsidRDefault="00577441" w:rsidP="00577441">
      <w:pPr>
        <w:rPr>
          <w:noProof/>
        </w:rPr>
      </w:pPr>
      <w:r w:rsidRPr="00577441">
        <w:rPr>
          <w:noProof/>
        </w:rPr>
        <w:lastRenderedPageBreak/>
        <w:t xml:space="preserve">All Government labor costs are rounded to the nearest dollar.  Costs are based on the DC-Baltimore </w:t>
      </w:r>
      <w:r w:rsidR="0037062C">
        <w:rPr>
          <w:noProof/>
        </w:rPr>
        <w:t>2016</w:t>
      </w:r>
      <w:r w:rsidR="0037062C" w:rsidRPr="00577441">
        <w:rPr>
          <w:noProof/>
        </w:rPr>
        <w:t xml:space="preserve"> </w:t>
      </w:r>
      <w:r w:rsidRPr="00577441">
        <w:rPr>
          <w:noProof/>
        </w:rPr>
        <w:t>pay tables for the grade listed, step 5.</w:t>
      </w:r>
    </w:p>
    <w:p w:rsidR="00577441" w:rsidRPr="00577441" w:rsidRDefault="00577441" w:rsidP="00577441">
      <w:pPr>
        <w:rPr>
          <w:noProof/>
        </w:rPr>
      </w:pPr>
    </w:p>
    <w:p w:rsidR="0037062C" w:rsidRPr="00F117FD" w:rsidRDefault="0037062C" w:rsidP="0037062C">
      <w:r>
        <w:rPr>
          <w:color w:val="000000"/>
        </w:rPr>
        <w:t>A</w:t>
      </w:r>
      <w:r w:rsidRPr="00F117FD">
        <w:rPr>
          <w:color w:val="000000"/>
        </w:rPr>
        <w:t>ll costs are recovered from registrants through registration fees, as required by the</w:t>
      </w:r>
      <w:r>
        <w:rPr>
          <w:color w:val="000000"/>
        </w:rPr>
        <w:t xml:space="preserve"> CSA</w:t>
      </w:r>
      <w:r w:rsidRPr="00F117FD">
        <w:rPr>
          <w:color w:val="000000"/>
        </w:rPr>
        <w:t>.</w:t>
      </w:r>
      <w:r>
        <w:rPr>
          <w:color w:val="000000"/>
        </w:rPr>
        <w:t xml:space="preserve">  21 U.S.C. 886a.</w:t>
      </w:r>
    </w:p>
    <w:p w:rsidR="00577441" w:rsidRPr="00577441" w:rsidRDefault="00577441" w:rsidP="00577441">
      <w:pPr>
        <w:rPr>
          <w:noProof/>
        </w:rPr>
      </w:pPr>
    </w:p>
    <w:p w:rsidR="00801C74" w:rsidRPr="00A74C21" w:rsidRDefault="00A34480" w:rsidP="00A74C21">
      <w:r w:rsidRPr="00A74C21">
        <w:t xml:space="preserve">15. </w:t>
      </w:r>
      <w:r w:rsidR="005009E9">
        <w:t xml:space="preserve"> </w:t>
      </w:r>
      <w:r w:rsidRPr="001C30C5">
        <w:rPr>
          <w:u w:val="single"/>
        </w:rPr>
        <w:t>Reasons for Change in Burden</w:t>
      </w:r>
      <w:r w:rsidR="00801C74" w:rsidRPr="0086545A">
        <w:rPr>
          <w:u w:val="single"/>
        </w:rPr>
        <w:t>:</w:t>
      </w:r>
      <w:r w:rsidR="00977C25" w:rsidRPr="00A74C21">
        <w:t xml:space="preserve"> </w:t>
      </w:r>
      <w:r w:rsidR="007B6879" w:rsidRPr="00A74C21">
        <w:t xml:space="preserve"> </w:t>
      </w:r>
    </w:p>
    <w:p w:rsidR="00015C6C" w:rsidRDefault="00015C6C" w:rsidP="00364CDC"/>
    <w:p w:rsidR="00577441" w:rsidRPr="00577441" w:rsidRDefault="002A763E" w:rsidP="00577441">
      <w:pPr>
        <w:rPr>
          <w:noProof/>
        </w:rPr>
      </w:pPr>
      <w:r>
        <w:t>Changes reflect a small increase in the number of respondents</w:t>
      </w:r>
      <w:r w:rsidR="00872D1F">
        <w:t xml:space="preserve"> and a change in calculation method</w:t>
      </w:r>
      <w:r w:rsidR="00353620">
        <w:t>*</w:t>
      </w:r>
      <w:r w:rsidR="00872D1F">
        <w:t>.</w:t>
      </w:r>
      <w:r>
        <w:t xml:space="preserve">  </w:t>
      </w:r>
      <w:r w:rsidR="00577441" w:rsidRPr="00577441">
        <w:rPr>
          <w:noProof/>
        </w:rPr>
        <w:t xml:space="preserve">There have been </w:t>
      </w:r>
      <w:r w:rsidR="00872D1F">
        <w:rPr>
          <w:noProof/>
        </w:rPr>
        <w:t>no statuory or regulatory</w:t>
      </w:r>
      <w:r w:rsidR="00577441" w:rsidRPr="00577441">
        <w:rPr>
          <w:noProof/>
        </w:rPr>
        <w:t xml:space="preserve"> changes</w:t>
      </w:r>
      <w:r w:rsidR="00872D1F">
        <w:rPr>
          <w:noProof/>
        </w:rPr>
        <w:t xml:space="preserve"> affecting this information collection</w:t>
      </w:r>
      <w:r w:rsidR="00577441" w:rsidRPr="00577441">
        <w:rPr>
          <w:noProof/>
        </w:rPr>
        <w:t>.  The table below summarizes the changes since the last renewal of this information collection.</w:t>
      </w:r>
    </w:p>
    <w:p w:rsidR="00577441" w:rsidRPr="00577441" w:rsidRDefault="00577441" w:rsidP="00577441">
      <w:pPr>
        <w:rPr>
          <w:noProof/>
        </w:rPr>
      </w:pPr>
    </w:p>
    <w:tbl>
      <w:tblPr>
        <w:tblStyle w:val="TableGrid1"/>
        <w:tblW w:w="0" w:type="auto"/>
        <w:tblInd w:w="108" w:type="dxa"/>
        <w:tblLook w:val="04A0" w:firstRow="1" w:lastRow="0" w:firstColumn="1" w:lastColumn="0" w:noHBand="0" w:noVBand="1"/>
      </w:tblPr>
      <w:tblGrid>
        <w:gridCol w:w="2427"/>
        <w:gridCol w:w="1533"/>
        <w:gridCol w:w="1710"/>
        <w:gridCol w:w="1440"/>
      </w:tblGrid>
      <w:tr w:rsidR="00872D1F" w:rsidRPr="002A763E" w:rsidTr="00872D1F">
        <w:tc>
          <w:tcPr>
            <w:tcW w:w="2427" w:type="dxa"/>
          </w:tcPr>
          <w:p w:rsidR="00577441" w:rsidRPr="002A763E" w:rsidRDefault="00577441" w:rsidP="00577441">
            <w:pPr>
              <w:rPr>
                <w:rFonts w:ascii="Times New Roman" w:hAnsi="Times New Roman"/>
                <w:noProof/>
                <w:sz w:val="20"/>
                <w:szCs w:val="20"/>
              </w:rPr>
            </w:pPr>
          </w:p>
        </w:tc>
        <w:tc>
          <w:tcPr>
            <w:tcW w:w="1533" w:type="dxa"/>
          </w:tcPr>
          <w:p w:rsidR="00577441" w:rsidRPr="002A763E" w:rsidRDefault="00577441" w:rsidP="002A763E">
            <w:pPr>
              <w:jc w:val="center"/>
              <w:rPr>
                <w:rFonts w:ascii="Times New Roman" w:hAnsi="Times New Roman"/>
                <w:b/>
                <w:noProof/>
                <w:sz w:val="20"/>
                <w:szCs w:val="20"/>
              </w:rPr>
            </w:pPr>
            <w:r w:rsidRPr="002A763E">
              <w:rPr>
                <w:rFonts w:ascii="Times New Roman" w:hAnsi="Times New Roman"/>
                <w:b/>
                <w:noProof/>
                <w:sz w:val="20"/>
                <w:szCs w:val="20"/>
              </w:rPr>
              <w:t>2012 Approved Burden</w:t>
            </w:r>
          </w:p>
        </w:tc>
        <w:tc>
          <w:tcPr>
            <w:tcW w:w="1710" w:type="dxa"/>
          </w:tcPr>
          <w:p w:rsidR="00577441" w:rsidRPr="002A763E" w:rsidRDefault="00577441" w:rsidP="002A763E">
            <w:pPr>
              <w:jc w:val="center"/>
              <w:rPr>
                <w:rFonts w:ascii="Times New Roman" w:hAnsi="Times New Roman"/>
                <w:b/>
                <w:noProof/>
                <w:sz w:val="20"/>
                <w:szCs w:val="20"/>
              </w:rPr>
            </w:pPr>
            <w:r w:rsidRPr="002A763E">
              <w:rPr>
                <w:rFonts w:ascii="Times New Roman" w:hAnsi="Times New Roman"/>
                <w:b/>
                <w:noProof/>
                <w:sz w:val="20"/>
                <w:szCs w:val="20"/>
              </w:rPr>
              <w:t>2015 Requested Burden</w:t>
            </w:r>
          </w:p>
        </w:tc>
        <w:tc>
          <w:tcPr>
            <w:tcW w:w="1440" w:type="dxa"/>
          </w:tcPr>
          <w:p w:rsidR="00577441" w:rsidRPr="002A763E" w:rsidRDefault="00577441" w:rsidP="002A763E">
            <w:pPr>
              <w:jc w:val="center"/>
              <w:rPr>
                <w:rFonts w:ascii="Times New Roman" w:hAnsi="Times New Roman"/>
                <w:b/>
                <w:noProof/>
                <w:sz w:val="20"/>
                <w:szCs w:val="20"/>
              </w:rPr>
            </w:pPr>
            <w:r w:rsidRPr="002A763E">
              <w:rPr>
                <w:rFonts w:ascii="Times New Roman" w:hAnsi="Times New Roman"/>
                <w:b/>
                <w:noProof/>
                <w:sz w:val="20"/>
                <w:szCs w:val="20"/>
              </w:rPr>
              <w:t>Difference</w:t>
            </w:r>
          </w:p>
        </w:tc>
      </w:tr>
      <w:tr w:rsidR="00872D1F" w:rsidRPr="002A763E" w:rsidTr="00872D1F">
        <w:tc>
          <w:tcPr>
            <w:tcW w:w="2427" w:type="dxa"/>
          </w:tcPr>
          <w:p w:rsidR="00577441" w:rsidRPr="002A763E" w:rsidRDefault="00577441" w:rsidP="00577441">
            <w:pPr>
              <w:rPr>
                <w:rFonts w:ascii="Times New Roman" w:hAnsi="Times New Roman"/>
                <w:noProof/>
                <w:sz w:val="20"/>
                <w:szCs w:val="20"/>
              </w:rPr>
            </w:pPr>
            <w:r w:rsidRPr="002A763E">
              <w:rPr>
                <w:rFonts w:ascii="Times New Roman" w:hAnsi="Times New Roman"/>
                <w:noProof/>
                <w:sz w:val="20"/>
                <w:szCs w:val="20"/>
              </w:rPr>
              <w:t>Annual responses</w:t>
            </w:r>
          </w:p>
        </w:tc>
        <w:tc>
          <w:tcPr>
            <w:tcW w:w="1533" w:type="dxa"/>
          </w:tcPr>
          <w:p w:rsidR="00577441" w:rsidRPr="002A763E" w:rsidRDefault="001065E8" w:rsidP="002A763E">
            <w:pPr>
              <w:jc w:val="right"/>
              <w:rPr>
                <w:rFonts w:ascii="Times New Roman" w:hAnsi="Times New Roman"/>
                <w:noProof/>
                <w:sz w:val="20"/>
                <w:szCs w:val="20"/>
              </w:rPr>
            </w:pPr>
            <w:r w:rsidRPr="002A763E">
              <w:rPr>
                <w:rFonts w:ascii="Times New Roman" w:hAnsi="Times New Roman"/>
                <w:noProof/>
                <w:sz w:val="20"/>
                <w:szCs w:val="20"/>
              </w:rPr>
              <w:t>641</w:t>
            </w:r>
          </w:p>
        </w:tc>
        <w:tc>
          <w:tcPr>
            <w:tcW w:w="1710" w:type="dxa"/>
          </w:tcPr>
          <w:p w:rsidR="00577441" w:rsidRPr="002A763E" w:rsidRDefault="00DA0707" w:rsidP="002A763E">
            <w:pPr>
              <w:jc w:val="right"/>
              <w:rPr>
                <w:rFonts w:ascii="Times New Roman" w:hAnsi="Times New Roman"/>
                <w:noProof/>
                <w:sz w:val="20"/>
                <w:szCs w:val="20"/>
              </w:rPr>
            </w:pPr>
            <w:r w:rsidRPr="002A763E">
              <w:rPr>
                <w:rFonts w:ascii="Times New Roman" w:hAnsi="Times New Roman"/>
                <w:noProof/>
                <w:sz w:val="20"/>
                <w:szCs w:val="20"/>
              </w:rPr>
              <w:t>660</w:t>
            </w:r>
          </w:p>
        </w:tc>
        <w:tc>
          <w:tcPr>
            <w:tcW w:w="1440" w:type="dxa"/>
          </w:tcPr>
          <w:p w:rsidR="00577441" w:rsidRPr="002A763E" w:rsidRDefault="002A763E" w:rsidP="002A763E">
            <w:pPr>
              <w:jc w:val="right"/>
              <w:rPr>
                <w:rFonts w:ascii="Times New Roman" w:hAnsi="Times New Roman"/>
                <w:noProof/>
                <w:sz w:val="20"/>
                <w:szCs w:val="20"/>
              </w:rPr>
            </w:pPr>
            <w:r>
              <w:rPr>
                <w:rFonts w:ascii="Times New Roman" w:hAnsi="Times New Roman"/>
                <w:noProof/>
                <w:sz w:val="20"/>
                <w:szCs w:val="20"/>
              </w:rPr>
              <w:t>19</w:t>
            </w:r>
          </w:p>
        </w:tc>
      </w:tr>
      <w:tr w:rsidR="00872D1F" w:rsidRPr="002A763E" w:rsidTr="00872D1F">
        <w:tc>
          <w:tcPr>
            <w:tcW w:w="2427" w:type="dxa"/>
          </w:tcPr>
          <w:p w:rsidR="00577441" w:rsidRPr="002A763E" w:rsidRDefault="00577441" w:rsidP="00577441">
            <w:pPr>
              <w:rPr>
                <w:rFonts w:ascii="Times New Roman" w:hAnsi="Times New Roman"/>
                <w:noProof/>
                <w:sz w:val="20"/>
                <w:szCs w:val="20"/>
              </w:rPr>
            </w:pPr>
            <w:r w:rsidRPr="002A763E">
              <w:rPr>
                <w:rFonts w:ascii="Times New Roman" w:hAnsi="Times New Roman"/>
                <w:noProof/>
                <w:sz w:val="20"/>
                <w:szCs w:val="20"/>
              </w:rPr>
              <w:t>Annual burden hours</w:t>
            </w:r>
          </w:p>
        </w:tc>
        <w:tc>
          <w:tcPr>
            <w:tcW w:w="1533" w:type="dxa"/>
          </w:tcPr>
          <w:p w:rsidR="00577441" w:rsidRPr="002A763E" w:rsidRDefault="001065E8" w:rsidP="002A763E">
            <w:pPr>
              <w:jc w:val="right"/>
              <w:rPr>
                <w:rFonts w:ascii="Times New Roman" w:hAnsi="Times New Roman"/>
                <w:noProof/>
                <w:sz w:val="20"/>
                <w:szCs w:val="20"/>
              </w:rPr>
            </w:pPr>
            <w:r w:rsidRPr="002A763E">
              <w:rPr>
                <w:rFonts w:ascii="Times New Roman" w:hAnsi="Times New Roman"/>
                <w:noProof/>
                <w:sz w:val="20"/>
                <w:szCs w:val="20"/>
              </w:rPr>
              <w:t>321</w:t>
            </w:r>
          </w:p>
        </w:tc>
        <w:tc>
          <w:tcPr>
            <w:tcW w:w="1710" w:type="dxa"/>
          </w:tcPr>
          <w:p w:rsidR="00577441" w:rsidRPr="002A763E" w:rsidRDefault="00DA0707" w:rsidP="002A763E">
            <w:pPr>
              <w:jc w:val="right"/>
              <w:rPr>
                <w:rFonts w:ascii="Times New Roman" w:hAnsi="Times New Roman"/>
                <w:noProof/>
                <w:sz w:val="20"/>
                <w:szCs w:val="20"/>
              </w:rPr>
            </w:pPr>
            <w:r w:rsidRPr="002A763E">
              <w:rPr>
                <w:rFonts w:ascii="Times New Roman" w:hAnsi="Times New Roman"/>
                <w:noProof/>
                <w:sz w:val="20"/>
                <w:szCs w:val="20"/>
              </w:rPr>
              <w:t>330</w:t>
            </w:r>
          </w:p>
        </w:tc>
        <w:tc>
          <w:tcPr>
            <w:tcW w:w="1440" w:type="dxa"/>
          </w:tcPr>
          <w:p w:rsidR="00577441" w:rsidRPr="002A763E" w:rsidRDefault="002A763E" w:rsidP="002A763E">
            <w:pPr>
              <w:jc w:val="right"/>
              <w:rPr>
                <w:rFonts w:ascii="Times New Roman" w:hAnsi="Times New Roman"/>
                <w:noProof/>
                <w:sz w:val="20"/>
                <w:szCs w:val="20"/>
              </w:rPr>
            </w:pPr>
            <w:r>
              <w:rPr>
                <w:rFonts w:ascii="Times New Roman" w:hAnsi="Times New Roman"/>
                <w:noProof/>
                <w:sz w:val="20"/>
                <w:szCs w:val="20"/>
              </w:rPr>
              <w:t>9</w:t>
            </w:r>
          </w:p>
        </w:tc>
      </w:tr>
      <w:tr w:rsidR="00872D1F" w:rsidRPr="002A763E" w:rsidTr="00872D1F">
        <w:tc>
          <w:tcPr>
            <w:tcW w:w="2427" w:type="dxa"/>
          </w:tcPr>
          <w:p w:rsidR="00577441" w:rsidRPr="002A763E" w:rsidRDefault="00577441" w:rsidP="0037062C">
            <w:pPr>
              <w:rPr>
                <w:rFonts w:ascii="Times New Roman" w:hAnsi="Times New Roman"/>
                <w:noProof/>
                <w:sz w:val="20"/>
                <w:szCs w:val="20"/>
              </w:rPr>
            </w:pPr>
            <w:r w:rsidRPr="002A763E">
              <w:rPr>
                <w:rFonts w:ascii="Times New Roman" w:hAnsi="Times New Roman"/>
                <w:noProof/>
                <w:sz w:val="20"/>
                <w:szCs w:val="20"/>
              </w:rPr>
              <w:t xml:space="preserve">Annual </w:t>
            </w:r>
            <w:r w:rsidR="0037062C" w:rsidRPr="002A763E">
              <w:rPr>
                <w:rFonts w:ascii="Times New Roman" w:hAnsi="Times New Roman"/>
                <w:noProof/>
                <w:sz w:val="20"/>
                <w:szCs w:val="20"/>
              </w:rPr>
              <w:t>burden dollars</w:t>
            </w:r>
          </w:p>
        </w:tc>
        <w:tc>
          <w:tcPr>
            <w:tcW w:w="1533" w:type="dxa"/>
          </w:tcPr>
          <w:p w:rsidR="00577441" w:rsidRPr="002A763E" w:rsidRDefault="00577441" w:rsidP="002A763E">
            <w:pPr>
              <w:jc w:val="right"/>
              <w:rPr>
                <w:rFonts w:ascii="Times New Roman" w:hAnsi="Times New Roman"/>
                <w:noProof/>
                <w:sz w:val="20"/>
                <w:szCs w:val="20"/>
              </w:rPr>
            </w:pPr>
            <w:r w:rsidRPr="002A763E">
              <w:rPr>
                <w:rFonts w:ascii="Times New Roman" w:hAnsi="Times New Roman"/>
                <w:noProof/>
                <w:sz w:val="20"/>
                <w:szCs w:val="20"/>
              </w:rPr>
              <w:t>$</w:t>
            </w:r>
            <w:r w:rsidR="001065E8" w:rsidRPr="002A763E">
              <w:rPr>
                <w:rFonts w:ascii="Times New Roman" w:hAnsi="Times New Roman"/>
                <w:noProof/>
                <w:sz w:val="20"/>
                <w:szCs w:val="20"/>
              </w:rPr>
              <w:t>0</w:t>
            </w:r>
          </w:p>
        </w:tc>
        <w:tc>
          <w:tcPr>
            <w:tcW w:w="1710" w:type="dxa"/>
          </w:tcPr>
          <w:p w:rsidR="00577441" w:rsidRPr="002A763E" w:rsidRDefault="00577441" w:rsidP="002A763E">
            <w:pPr>
              <w:jc w:val="right"/>
              <w:rPr>
                <w:rFonts w:ascii="Times New Roman" w:hAnsi="Times New Roman"/>
                <w:noProof/>
                <w:sz w:val="20"/>
                <w:szCs w:val="20"/>
              </w:rPr>
            </w:pPr>
            <w:r w:rsidRPr="002A763E">
              <w:rPr>
                <w:rFonts w:ascii="Times New Roman" w:hAnsi="Times New Roman"/>
                <w:noProof/>
                <w:sz w:val="20"/>
                <w:szCs w:val="20"/>
              </w:rPr>
              <w:t>$</w:t>
            </w:r>
            <w:r w:rsidR="002A763E">
              <w:rPr>
                <w:rFonts w:ascii="Times New Roman" w:hAnsi="Times New Roman"/>
                <w:noProof/>
                <w:sz w:val="20"/>
                <w:szCs w:val="20"/>
              </w:rPr>
              <w:t>26,291</w:t>
            </w:r>
          </w:p>
        </w:tc>
        <w:tc>
          <w:tcPr>
            <w:tcW w:w="1440" w:type="dxa"/>
          </w:tcPr>
          <w:p w:rsidR="00577441" w:rsidRPr="002A763E" w:rsidRDefault="00577441" w:rsidP="002A763E">
            <w:pPr>
              <w:jc w:val="right"/>
              <w:rPr>
                <w:rFonts w:ascii="Times New Roman" w:hAnsi="Times New Roman"/>
                <w:noProof/>
                <w:sz w:val="20"/>
                <w:szCs w:val="20"/>
              </w:rPr>
            </w:pPr>
            <w:r w:rsidRPr="002A763E">
              <w:rPr>
                <w:rFonts w:ascii="Times New Roman" w:hAnsi="Times New Roman"/>
                <w:noProof/>
                <w:sz w:val="20"/>
                <w:szCs w:val="20"/>
              </w:rPr>
              <w:t>$</w:t>
            </w:r>
            <w:r w:rsidR="002A763E">
              <w:rPr>
                <w:rFonts w:ascii="Times New Roman" w:hAnsi="Times New Roman"/>
                <w:noProof/>
                <w:sz w:val="20"/>
                <w:szCs w:val="20"/>
              </w:rPr>
              <w:t>26,291</w:t>
            </w:r>
          </w:p>
        </w:tc>
      </w:tr>
    </w:tbl>
    <w:p w:rsidR="00015C6C" w:rsidRDefault="00872D1F" w:rsidP="00364CDC">
      <w:pPr>
        <w:rPr>
          <w:sz w:val="20"/>
        </w:rPr>
      </w:pPr>
      <w:r w:rsidRPr="002C386F">
        <w:rPr>
          <w:sz w:val="20"/>
        </w:rPr>
        <w:t>(* In prior information collection requests, the</w:t>
      </w:r>
      <w:r>
        <w:rPr>
          <w:sz w:val="20"/>
        </w:rPr>
        <w:t xml:space="preserve"> estimated annual burden dollars was implied to be</w:t>
      </w:r>
      <w:r w:rsidRPr="00F12590">
        <w:rPr>
          <w:sz w:val="20"/>
        </w:rPr>
        <w:t xml:space="preserve"> usual and customary business expense not directly associated with this information collection</w:t>
      </w:r>
      <w:r>
        <w:rPr>
          <w:sz w:val="20"/>
        </w:rPr>
        <w:t xml:space="preserve">. </w:t>
      </w:r>
      <w:r w:rsidRPr="002C386F">
        <w:rPr>
          <w:sz w:val="20"/>
        </w:rPr>
        <w:t xml:space="preserve"> The DEA believes the </w:t>
      </w:r>
      <w:r>
        <w:rPr>
          <w:sz w:val="20"/>
        </w:rPr>
        <w:t>estimated annual burden associated with this</w:t>
      </w:r>
      <w:r w:rsidRPr="002C386F">
        <w:rPr>
          <w:sz w:val="20"/>
        </w:rPr>
        <w:t xml:space="preserve"> information collection </w:t>
      </w:r>
      <w:r>
        <w:rPr>
          <w:sz w:val="20"/>
        </w:rPr>
        <w:t>should be included</w:t>
      </w:r>
      <w:r w:rsidRPr="002C386F">
        <w:rPr>
          <w:sz w:val="20"/>
        </w:rPr>
        <w:t>.  This change in calculation method is employed in this and future information collection request</w:t>
      </w:r>
      <w:r>
        <w:rPr>
          <w:sz w:val="20"/>
        </w:rPr>
        <w:t>s</w:t>
      </w:r>
      <w:r w:rsidRPr="002C386F">
        <w:rPr>
          <w:sz w:val="20"/>
        </w:rPr>
        <w:t>.)</w:t>
      </w:r>
    </w:p>
    <w:p w:rsidR="00872D1F" w:rsidRDefault="00872D1F" w:rsidP="00364CDC"/>
    <w:p w:rsidR="00E76F31" w:rsidRDefault="00A34480" w:rsidP="00364CDC">
      <w:r>
        <w:t xml:space="preserve">16. </w:t>
      </w:r>
      <w:r w:rsidR="005009E9">
        <w:t xml:space="preserve"> </w:t>
      </w:r>
      <w:r w:rsidRPr="0086545A">
        <w:rPr>
          <w:u w:val="single"/>
        </w:rPr>
        <w:t>Plans for Publication</w:t>
      </w:r>
      <w:r w:rsidR="00801C74" w:rsidRPr="0086545A">
        <w:rPr>
          <w:u w:val="single"/>
        </w:rPr>
        <w:t>:</w:t>
      </w:r>
      <w:r w:rsidR="00801C74">
        <w:t xml:space="preserve"> </w:t>
      </w:r>
    </w:p>
    <w:p w:rsidR="00E76F31" w:rsidRDefault="00E76F31" w:rsidP="00364CDC"/>
    <w:p w:rsidR="00A34480" w:rsidRDefault="008C02AA" w:rsidP="00364CDC">
      <w:r>
        <w:t xml:space="preserve">The DEA will not publish the results of the information collected.  </w:t>
      </w:r>
    </w:p>
    <w:p w:rsidR="004A1568" w:rsidRDefault="004A1568" w:rsidP="00364CDC"/>
    <w:p w:rsidR="00E76F31" w:rsidRDefault="00A34480" w:rsidP="00364CDC">
      <w:r>
        <w:t xml:space="preserve">17. </w:t>
      </w:r>
      <w:r w:rsidR="005009E9">
        <w:t xml:space="preserve"> </w:t>
      </w:r>
      <w:r w:rsidRPr="0086545A">
        <w:rPr>
          <w:u w:val="single"/>
        </w:rPr>
        <w:t>Expiration Date Approval</w:t>
      </w:r>
      <w:r w:rsidR="00801C74" w:rsidRPr="0086545A">
        <w:rPr>
          <w:u w:val="single"/>
        </w:rPr>
        <w:t>:</w:t>
      </w:r>
      <w:r w:rsidR="00801C74">
        <w:t xml:space="preserve"> </w:t>
      </w:r>
    </w:p>
    <w:p w:rsidR="00E76F31" w:rsidRDefault="00E76F31" w:rsidP="00364CDC"/>
    <w:p w:rsidR="00A34480" w:rsidRDefault="003B5737" w:rsidP="00364CDC">
      <w:r w:rsidRPr="003B5737">
        <w:t xml:space="preserve">The DEA </w:t>
      </w:r>
      <w:r w:rsidR="009F6490">
        <w:t>does not object to</w:t>
      </w:r>
      <w:r w:rsidRPr="003B5737">
        <w:t xml:space="preserve"> OMB displaying the expiration date.</w:t>
      </w:r>
      <w:r w:rsidR="00BD5AA2">
        <w:t xml:space="preserve">  </w:t>
      </w:r>
    </w:p>
    <w:p w:rsidR="00095B45" w:rsidRDefault="00095B45" w:rsidP="00364CDC"/>
    <w:p w:rsidR="00E76F31" w:rsidRDefault="00A34480" w:rsidP="00364CDC">
      <w:r>
        <w:t xml:space="preserve">18. </w:t>
      </w:r>
      <w:r w:rsidR="005009E9">
        <w:t xml:space="preserve"> </w:t>
      </w:r>
      <w:r w:rsidRPr="0086545A">
        <w:rPr>
          <w:u w:val="single"/>
        </w:rPr>
        <w:t>Exceptions to the Certification Statement</w:t>
      </w:r>
      <w:r w:rsidR="007C695C" w:rsidRPr="0086545A">
        <w:rPr>
          <w:u w:val="single"/>
        </w:rPr>
        <w:t>:</w:t>
      </w:r>
      <w:r w:rsidR="007C695C">
        <w:t xml:space="preserve"> </w:t>
      </w:r>
    </w:p>
    <w:p w:rsidR="00E76F31" w:rsidRDefault="00E76F31" w:rsidP="00364CDC"/>
    <w:p w:rsidR="00A34480" w:rsidRDefault="008C02AA" w:rsidP="00364CDC">
      <w:r>
        <w:t xml:space="preserve">The DEA is not seeking an exception to the certification statement “Certification for Paperwork Reduction Act Submissions” for this collection of information.  </w:t>
      </w:r>
    </w:p>
    <w:p w:rsidR="002A2682" w:rsidRDefault="002A2682" w:rsidP="00364CDC">
      <w:pPr>
        <w:rPr>
          <w:b/>
        </w:rPr>
      </w:pPr>
    </w:p>
    <w:p w:rsidR="002420D6" w:rsidRDefault="002420D6" w:rsidP="00435623">
      <w:pPr>
        <w:rPr>
          <w:b/>
        </w:rPr>
      </w:pPr>
    </w:p>
    <w:p w:rsidR="008C02AA" w:rsidRDefault="00A34480" w:rsidP="00435623">
      <w:pPr>
        <w:rPr>
          <w:b/>
        </w:rPr>
      </w:pPr>
      <w:r w:rsidRPr="0086545A">
        <w:rPr>
          <w:b/>
        </w:rPr>
        <w:t>Part B.  Statistical Methods</w:t>
      </w:r>
    </w:p>
    <w:p w:rsidR="002420D6" w:rsidRDefault="002420D6" w:rsidP="00435623"/>
    <w:p w:rsidR="00B54823" w:rsidRDefault="007C695C" w:rsidP="00435623">
      <w:r>
        <w:t xml:space="preserve">The DEA </w:t>
      </w:r>
      <w:r w:rsidR="00A84F9C">
        <w:t xml:space="preserve">does </w:t>
      </w:r>
      <w:r>
        <w:t>not employ statistical methods in this information collection.</w:t>
      </w:r>
      <w:r w:rsidR="00435623" w:rsidRPr="009B6DB2">
        <w:t xml:space="preserve"> </w:t>
      </w:r>
    </w:p>
    <w:sectPr w:rsidR="00B54823" w:rsidSect="00E00A7B">
      <w:foot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DA" w:rsidRDefault="008C1FDA" w:rsidP="00A4604C">
      <w:r>
        <w:separator/>
      </w:r>
    </w:p>
  </w:endnote>
  <w:endnote w:type="continuationSeparator" w:id="0">
    <w:p w:rsidR="008C1FDA" w:rsidRDefault="008C1FDA"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rsidR="00656C6B" w:rsidRDefault="00656C6B">
        <w:pPr>
          <w:pStyle w:val="Footer"/>
          <w:jc w:val="center"/>
        </w:pPr>
        <w:r>
          <w:fldChar w:fldCharType="begin"/>
        </w:r>
        <w:r>
          <w:instrText xml:space="preserve"> PAGE   \* MERGEFORMAT </w:instrText>
        </w:r>
        <w:r>
          <w:fldChar w:fldCharType="separate"/>
        </w:r>
        <w:r w:rsidR="003A3F1C">
          <w:rPr>
            <w:noProof/>
          </w:rPr>
          <w:t>2</w:t>
        </w:r>
        <w:r>
          <w:rPr>
            <w:noProof/>
          </w:rPr>
          <w:fldChar w:fldCharType="end"/>
        </w:r>
      </w:p>
    </w:sdtContent>
  </w:sdt>
  <w:p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DA" w:rsidRDefault="008C1FDA" w:rsidP="00A4604C">
      <w:r>
        <w:separator/>
      </w:r>
    </w:p>
  </w:footnote>
  <w:footnote w:type="continuationSeparator" w:id="0">
    <w:p w:rsidR="008C1FDA" w:rsidRDefault="008C1FDA" w:rsidP="00A46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7249"/>
    <w:rsid w:val="00042A55"/>
    <w:rsid w:val="00046701"/>
    <w:rsid w:val="00046C80"/>
    <w:rsid w:val="00047647"/>
    <w:rsid w:val="0005161C"/>
    <w:rsid w:val="00053E10"/>
    <w:rsid w:val="000559CE"/>
    <w:rsid w:val="00056526"/>
    <w:rsid w:val="00062089"/>
    <w:rsid w:val="00065AA1"/>
    <w:rsid w:val="00075D28"/>
    <w:rsid w:val="00077AEE"/>
    <w:rsid w:val="00086C4E"/>
    <w:rsid w:val="00091222"/>
    <w:rsid w:val="000946E0"/>
    <w:rsid w:val="00095B45"/>
    <w:rsid w:val="000A0554"/>
    <w:rsid w:val="000A07AE"/>
    <w:rsid w:val="000A08B0"/>
    <w:rsid w:val="000A75C0"/>
    <w:rsid w:val="000A765F"/>
    <w:rsid w:val="000B0C1B"/>
    <w:rsid w:val="000B10DF"/>
    <w:rsid w:val="000B154D"/>
    <w:rsid w:val="000B2792"/>
    <w:rsid w:val="000C037D"/>
    <w:rsid w:val="000D0306"/>
    <w:rsid w:val="000D14F8"/>
    <w:rsid w:val="000E05DA"/>
    <w:rsid w:val="000E18FF"/>
    <w:rsid w:val="000F25F3"/>
    <w:rsid w:val="001003BA"/>
    <w:rsid w:val="0010615F"/>
    <w:rsid w:val="001065E8"/>
    <w:rsid w:val="001067A0"/>
    <w:rsid w:val="0011378A"/>
    <w:rsid w:val="00114925"/>
    <w:rsid w:val="0012601D"/>
    <w:rsid w:val="0013057A"/>
    <w:rsid w:val="0013097C"/>
    <w:rsid w:val="00131FAC"/>
    <w:rsid w:val="001358D7"/>
    <w:rsid w:val="00135F36"/>
    <w:rsid w:val="001368FE"/>
    <w:rsid w:val="0014509F"/>
    <w:rsid w:val="00146E47"/>
    <w:rsid w:val="001478D7"/>
    <w:rsid w:val="00151EBF"/>
    <w:rsid w:val="00153D60"/>
    <w:rsid w:val="00155F4A"/>
    <w:rsid w:val="00156A7C"/>
    <w:rsid w:val="001629EF"/>
    <w:rsid w:val="00170FF7"/>
    <w:rsid w:val="00180530"/>
    <w:rsid w:val="0018342A"/>
    <w:rsid w:val="00186A88"/>
    <w:rsid w:val="0019243D"/>
    <w:rsid w:val="00193A2A"/>
    <w:rsid w:val="001951FA"/>
    <w:rsid w:val="00196821"/>
    <w:rsid w:val="001A1D02"/>
    <w:rsid w:val="001A3426"/>
    <w:rsid w:val="001A3D1A"/>
    <w:rsid w:val="001A5790"/>
    <w:rsid w:val="001B03C9"/>
    <w:rsid w:val="001B0CE5"/>
    <w:rsid w:val="001C0719"/>
    <w:rsid w:val="001C30C5"/>
    <w:rsid w:val="001D57E4"/>
    <w:rsid w:val="001D6D3A"/>
    <w:rsid w:val="001E1897"/>
    <w:rsid w:val="001E289B"/>
    <w:rsid w:val="001F1F2B"/>
    <w:rsid w:val="002011D1"/>
    <w:rsid w:val="00202776"/>
    <w:rsid w:val="00206888"/>
    <w:rsid w:val="00206FBD"/>
    <w:rsid w:val="00212C00"/>
    <w:rsid w:val="00221BF3"/>
    <w:rsid w:val="00231A4D"/>
    <w:rsid w:val="00232B29"/>
    <w:rsid w:val="00233550"/>
    <w:rsid w:val="002420D6"/>
    <w:rsid w:val="00245D20"/>
    <w:rsid w:val="00252A0A"/>
    <w:rsid w:val="002534C3"/>
    <w:rsid w:val="00255842"/>
    <w:rsid w:val="002579A9"/>
    <w:rsid w:val="002614CC"/>
    <w:rsid w:val="00262356"/>
    <w:rsid w:val="00270E57"/>
    <w:rsid w:val="00270F93"/>
    <w:rsid w:val="0027139C"/>
    <w:rsid w:val="00271B7C"/>
    <w:rsid w:val="00275719"/>
    <w:rsid w:val="00275FD5"/>
    <w:rsid w:val="002767DD"/>
    <w:rsid w:val="00285933"/>
    <w:rsid w:val="00292A5D"/>
    <w:rsid w:val="002A2682"/>
    <w:rsid w:val="002A763E"/>
    <w:rsid w:val="002B62B3"/>
    <w:rsid w:val="002B6FC5"/>
    <w:rsid w:val="002C132D"/>
    <w:rsid w:val="002C13A1"/>
    <w:rsid w:val="002C386F"/>
    <w:rsid w:val="002C44C3"/>
    <w:rsid w:val="002D0920"/>
    <w:rsid w:val="002D26AD"/>
    <w:rsid w:val="002D2CEC"/>
    <w:rsid w:val="002E4F17"/>
    <w:rsid w:val="002E55EE"/>
    <w:rsid w:val="002E633E"/>
    <w:rsid w:val="002F0F67"/>
    <w:rsid w:val="003027E6"/>
    <w:rsid w:val="00302C34"/>
    <w:rsid w:val="003062B2"/>
    <w:rsid w:val="00307C6A"/>
    <w:rsid w:val="00312CA5"/>
    <w:rsid w:val="00320D44"/>
    <w:rsid w:val="003210C0"/>
    <w:rsid w:val="003239F1"/>
    <w:rsid w:val="00327860"/>
    <w:rsid w:val="00331399"/>
    <w:rsid w:val="00331BAA"/>
    <w:rsid w:val="00335F29"/>
    <w:rsid w:val="00341D99"/>
    <w:rsid w:val="00343F10"/>
    <w:rsid w:val="003442C9"/>
    <w:rsid w:val="00347E26"/>
    <w:rsid w:val="00350948"/>
    <w:rsid w:val="003515A2"/>
    <w:rsid w:val="00353620"/>
    <w:rsid w:val="0035642D"/>
    <w:rsid w:val="003603FE"/>
    <w:rsid w:val="00362449"/>
    <w:rsid w:val="00364CDC"/>
    <w:rsid w:val="0037062C"/>
    <w:rsid w:val="00376E84"/>
    <w:rsid w:val="00381061"/>
    <w:rsid w:val="003824C9"/>
    <w:rsid w:val="003827F4"/>
    <w:rsid w:val="003926D3"/>
    <w:rsid w:val="00392BC5"/>
    <w:rsid w:val="0039568F"/>
    <w:rsid w:val="003A3F1C"/>
    <w:rsid w:val="003A4D2E"/>
    <w:rsid w:val="003B5737"/>
    <w:rsid w:val="003C71F1"/>
    <w:rsid w:val="003D0831"/>
    <w:rsid w:val="003D2A99"/>
    <w:rsid w:val="003D515F"/>
    <w:rsid w:val="003E0DF7"/>
    <w:rsid w:val="003E1798"/>
    <w:rsid w:val="003E2EE3"/>
    <w:rsid w:val="003E6000"/>
    <w:rsid w:val="003E7902"/>
    <w:rsid w:val="003E7CEA"/>
    <w:rsid w:val="003F6E87"/>
    <w:rsid w:val="00406453"/>
    <w:rsid w:val="00410863"/>
    <w:rsid w:val="004139E9"/>
    <w:rsid w:val="004150F8"/>
    <w:rsid w:val="00425DB3"/>
    <w:rsid w:val="00434A29"/>
    <w:rsid w:val="0043504A"/>
    <w:rsid w:val="00435623"/>
    <w:rsid w:val="00435833"/>
    <w:rsid w:val="004469C9"/>
    <w:rsid w:val="00451924"/>
    <w:rsid w:val="00452D0C"/>
    <w:rsid w:val="00454C13"/>
    <w:rsid w:val="00455755"/>
    <w:rsid w:val="00462C7C"/>
    <w:rsid w:val="004639A7"/>
    <w:rsid w:val="00480329"/>
    <w:rsid w:val="004806A4"/>
    <w:rsid w:val="00481474"/>
    <w:rsid w:val="004872FE"/>
    <w:rsid w:val="00493CC5"/>
    <w:rsid w:val="004A1568"/>
    <w:rsid w:val="004A1C12"/>
    <w:rsid w:val="004A3C90"/>
    <w:rsid w:val="004A4023"/>
    <w:rsid w:val="004A7931"/>
    <w:rsid w:val="004B2158"/>
    <w:rsid w:val="004B3069"/>
    <w:rsid w:val="004C1008"/>
    <w:rsid w:val="004D3F41"/>
    <w:rsid w:val="004D4D8F"/>
    <w:rsid w:val="004E244E"/>
    <w:rsid w:val="004E36D0"/>
    <w:rsid w:val="004F0FEE"/>
    <w:rsid w:val="004F4E97"/>
    <w:rsid w:val="005009E9"/>
    <w:rsid w:val="005038D3"/>
    <w:rsid w:val="00505A4C"/>
    <w:rsid w:val="00505C03"/>
    <w:rsid w:val="0051491F"/>
    <w:rsid w:val="0051788D"/>
    <w:rsid w:val="005227F3"/>
    <w:rsid w:val="00523E6D"/>
    <w:rsid w:val="00533C25"/>
    <w:rsid w:val="00537E0D"/>
    <w:rsid w:val="00556234"/>
    <w:rsid w:val="00560BF9"/>
    <w:rsid w:val="00562D4A"/>
    <w:rsid w:val="005708BB"/>
    <w:rsid w:val="005717A0"/>
    <w:rsid w:val="00574861"/>
    <w:rsid w:val="00577441"/>
    <w:rsid w:val="0058315F"/>
    <w:rsid w:val="00584F37"/>
    <w:rsid w:val="00584FDC"/>
    <w:rsid w:val="005911E0"/>
    <w:rsid w:val="0059227E"/>
    <w:rsid w:val="005924C8"/>
    <w:rsid w:val="00596CD8"/>
    <w:rsid w:val="005A1F0F"/>
    <w:rsid w:val="005B2A88"/>
    <w:rsid w:val="005B7F2D"/>
    <w:rsid w:val="005C291B"/>
    <w:rsid w:val="005C713B"/>
    <w:rsid w:val="005D22EC"/>
    <w:rsid w:val="005D5AE4"/>
    <w:rsid w:val="005D5B3B"/>
    <w:rsid w:val="005D6B8B"/>
    <w:rsid w:val="005E361D"/>
    <w:rsid w:val="005F6E69"/>
    <w:rsid w:val="00610CC6"/>
    <w:rsid w:val="006137AD"/>
    <w:rsid w:val="0061433E"/>
    <w:rsid w:val="0062322F"/>
    <w:rsid w:val="00623FE9"/>
    <w:rsid w:val="006244C6"/>
    <w:rsid w:val="006246DC"/>
    <w:rsid w:val="0062508A"/>
    <w:rsid w:val="006264C0"/>
    <w:rsid w:val="00627475"/>
    <w:rsid w:val="0063143C"/>
    <w:rsid w:val="0063449E"/>
    <w:rsid w:val="006360DA"/>
    <w:rsid w:val="00637FFD"/>
    <w:rsid w:val="0064411B"/>
    <w:rsid w:val="00650ED9"/>
    <w:rsid w:val="00656C6B"/>
    <w:rsid w:val="00662FDA"/>
    <w:rsid w:val="00666307"/>
    <w:rsid w:val="00666907"/>
    <w:rsid w:val="00670012"/>
    <w:rsid w:val="0068538F"/>
    <w:rsid w:val="00687388"/>
    <w:rsid w:val="00694429"/>
    <w:rsid w:val="00694C8A"/>
    <w:rsid w:val="006A0FFE"/>
    <w:rsid w:val="006A352E"/>
    <w:rsid w:val="006B2A40"/>
    <w:rsid w:val="006C2659"/>
    <w:rsid w:val="006C3833"/>
    <w:rsid w:val="006C47B2"/>
    <w:rsid w:val="006C6685"/>
    <w:rsid w:val="006D55C0"/>
    <w:rsid w:val="006E6D94"/>
    <w:rsid w:val="006E6E0C"/>
    <w:rsid w:val="007005F4"/>
    <w:rsid w:val="00700DA6"/>
    <w:rsid w:val="00703A7C"/>
    <w:rsid w:val="007058D0"/>
    <w:rsid w:val="0070668A"/>
    <w:rsid w:val="007102D0"/>
    <w:rsid w:val="00713042"/>
    <w:rsid w:val="007151AE"/>
    <w:rsid w:val="00717016"/>
    <w:rsid w:val="0072110C"/>
    <w:rsid w:val="00721EBF"/>
    <w:rsid w:val="0072345B"/>
    <w:rsid w:val="00727906"/>
    <w:rsid w:val="00736E03"/>
    <w:rsid w:val="00745496"/>
    <w:rsid w:val="0075354D"/>
    <w:rsid w:val="00755569"/>
    <w:rsid w:val="0076615E"/>
    <w:rsid w:val="00766FB1"/>
    <w:rsid w:val="00773274"/>
    <w:rsid w:val="00780719"/>
    <w:rsid w:val="00781173"/>
    <w:rsid w:val="007826B9"/>
    <w:rsid w:val="00786BA5"/>
    <w:rsid w:val="007A17F4"/>
    <w:rsid w:val="007A3913"/>
    <w:rsid w:val="007A78EF"/>
    <w:rsid w:val="007B20B9"/>
    <w:rsid w:val="007B24CE"/>
    <w:rsid w:val="007B6879"/>
    <w:rsid w:val="007B7ED8"/>
    <w:rsid w:val="007C23B5"/>
    <w:rsid w:val="007C695C"/>
    <w:rsid w:val="007D0CE2"/>
    <w:rsid w:val="007E0121"/>
    <w:rsid w:val="007E2861"/>
    <w:rsid w:val="007F395D"/>
    <w:rsid w:val="00801C74"/>
    <w:rsid w:val="00803023"/>
    <w:rsid w:val="008043AF"/>
    <w:rsid w:val="008130FA"/>
    <w:rsid w:val="00817898"/>
    <w:rsid w:val="008232D8"/>
    <w:rsid w:val="00824B77"/>
    <w:rsid w:val="00834C96"/>
    <w:rsid w:val="00840A55"/>
    <w:rsid w:val="0084346A"/>
    <w:rsid w:val="00853E47"/>
    <w:rsid w:val="0085616F"/>
    <w:rsid w:val="00856CBE"/>
    <w:rsid w:val="008610A2"/>
    <w:rsid w:val="00863E5E"/>
    <w:rsid w:val="0086545A"/>
    <w:rsid w:val="00866748"/>
    <w:rsid w:val="00867042"/>
    <w:rsid w:val="0087035E"/>
    <w:rsid w:val="008710B5"/>
    <w:rsid w:val="00872D1F"/>
    <w:rsid w:val="00877CED"/>
    <w:rsid w:val="00881086"/>
    <w:rsid w:val="00881D7C"/>
    <w:rsid w:val="00885142"/>
    <w:rsid w:val="00885EF7"/>
    <w:rsid w:val="00886193"/>
    <w:rsid w:val="00886498"/>
    <w:rsid w:val="00890562"/>
    <w:rsid w:val="0089645F"/>
    <w:rsid w:val="008979DC"/>
    <w:rsid w:val="008A0981"/>
    <w:rsid w:val="008A440B"/>
    <w:rsid w:val="008B1B78"/>
    <w:rsid w:val="008B6018"/>
    <w:rsid w:val="008C02AA"/>
    <w:rsid w:val="008C1FDA"/>
    <w:rsid w:val="008C2979"/>
    <w:rsid w:val="008C4AA3"/>
    <w:rsid w:val="008D048E"/>
    <w:rsid w:val="008D1235"/>
    <w:rsid w:val="008D242E"/>
    <w:rsid w:val="008D3BC8"/>
    <w:rsid w:val="008E18A3"/>
    <w:rsid w:val="008E36E2"/>
    <w:rsid w:val="008E7F95"/>
    <w:rsid w:val="008F099D"/>
    <w:rsid w:val="008F3C9F"/>
    <w:rsid w:val="009156E7"/>
    <w:rsid w:val="00915B72"/>
    <w:rsid w:val="009166B0"/>
    <w:rsid w:val="00921343"/>
    <w:rsid w:val="00923609"/>
    <w:rsid w:val="009255D8"/>
    <w:rsid w:val="0092785D"/>
    <w:rsid w:val="009304DC"/>
    <w:rsid w:val="0093376D"/>
    <w:rsid w:val="00933B3B"/>
    <w:rsid w:val="00945902"/>
    <w:rsid w:val="00945E01"/>
    <w:rsid w:val="00947EC5"/>
    <w:rsid w:val="00950D4D"/>
    <w:rsid w:val="00960AD2"/>
    <w:rsid w:val="00962492"/>
    <w:rsid w:val="009720C2"/>
    <w:rsid w:val="009721D7"/>
    <w:rsid w:val="009778E1"/>
    <w:rsid w:val="00977C25"/>
    <w:rsid w:val="009848C7"/>
    <w:rsid w:val="00990D4B"/>
    <w:rsid w:val="00991B94"/>
    <w:rsid w:val="00992C31"/>
    <w:rsid w:val="0099417A"/>
    <w:rsid w:val="009A3212"/>
    <w:rsid w:val="009A45B5"/>
    <w:rsid w:val="009B6DB2"/>
    <w:rsid w:val="009B7731"/>
    <w:rsid w:val="009C3AC1"/>
    <w:rsid w:val="009D03DE"/>
    <w:rsid w:val="009D0413"/>
    <w:rsid w:val="009D0A9A"/>
    <w:rsid w:val="009D6AB7"/>
    <w:rsid w:val="009E2801"/>
    <w:rsid w:val="009E5AAB"/>
    <w:rsid w:val="009E5FA0"/>
    <w:rsid w:val="009E77FA"/>
    <w:rsid w:val="009E7E3D"/>
    <w:rsid w:val="009F6490"/>
    <w:rsid w:val="00A03D5B"/>
    <w:rsid w:val="00A114AE"/>
    <w:rsid w:val="00A11691"/>
    <w:rsid w:val="00A34480"/>
    <w:rsid w:val="00A345AB"/>
    <w:rsid w:val="00A36A29"/>
    <w:rsid w:val="00A40982"/>
    <w:rsid w:val="00A45884"/>
    <w:rsid w:val="00A4604C"/>
    <w:rsid w:val="00A60203"/>
    <w:rsid w:val="00A62026"/>
    <w:rsid w:val="00A7034E"/>
    <w:rsid w:val="00A71B57"/>
    <w:rsid w:val="00A72B23"/>
    <w:rsid w:val="00A72B84"/>
    <w:rsid w:val="00A74C21"/>
    <w:rsid w:val="00A7508F"/>
    <w:rsid w:val="00A8105C"/>
    <w:rsid w:val="00A83133"/>
    <w:rsid w:val="00A838A0"/>
    <w:rsid w:val="00A84F9C"/>
    <w:rsid w:val="00A9223F"/>
    <w:rsid w:val="00AA149B"/>
    <w:rsid w:val="00AA658E"/>
    <w:rsid w:val="00AB0C58"/>
    <w:rsid w:val="00AB2F43"/>
    <w:rsid w:val="00AC4C1F"/>
    <w:rsid w:val="00AE0252"/>
    <w:rsid w:val="00AE4694"/>
    <w:rsid w:val="00AE550C"/>
    <w:rsid w:val="00AF19D8"/>
    <w:rsid w:val="00AF1B49"/>
    <w:rsid w:val="00AF6A02"/>
    <w:rsid w:val="00B03934"/>
    <w:rsid w:val="00B049BF"/>
    <w:rsid w:val="00B07133"/>
    <w:rsid w:val="00B155F5"/>
    <w:rsid w:val="00B15827"/>
    <w:rsid w:val="00B17264"/>
    <w:rsid w:val="00B413E6"/>
    <w:rsid w:val="00B449EE"/>
    <w:rsid w:val="00B5274C"/>
    <w:rsid w:val="00B527A1"/>
    <w:rsid w:val="00B54823"/>
    <w:rsid w:val="00B55A48"/>
    <w:rsid w:val="00B611BD"/>
    <w:rsid w:val="00B636E8"/>
    <w:rsid w:val="00B718A3"/>
    <w:rsid w:val="00B7692D"/>
    <w:rsid w:val="00B771E3"/>
    <w:rsid w:val="00B77A08"/>
    <w:rsid w:val="00B87A66"/>
    <w:rsid w:val="00B95843"/>
    <w:rsid w:val="00B97CA7"/>
    <w:rsid w:val="00BA4D22"/>
    <w:rsid w:val="00BA6E87"/>
    <w:rsid w:val="00BC5231"/>
    <w:rsid w:val="00BC7FE3"/>
    <w:rsid w:val="00BD282E"/>
    <w:rsid w:val="00BD5AA2"/>
    <w:rsid w:val="00BE022B"/>
    <w:rsid w:val="00BE13E4"/>
    <w:rsid w:val="00BE13F7"/>
    <w:rsid w:val="00BF1951"/>
    <w:rsid w:val="00BF21C2"/>
    <w:rsid w:val="00BF773A"/>
    <w:rsid w:val="00BF7981"/>
    <w:rsid w:val="00C031DD"/>
    <w:rsid w:val="00C05A06"/>
    <w:rsid w:val="00C06F89"/>
    <w:rsid w:val="00C12A7A"/>
    <w:rsid w:val="00C140C8"/>
    <w:rsid w:val="00C17E77"/>
    <w:rsid w:val="00C254A4"/>
    <w:rsid w:val="00C30F94"/>
    <w:rsid w:val="00C37F02"/>
    <w:rsid w:val="00C40AF9"/>
    <w:rsid w:val="00C4278B"/>
    <w:rsid w:val="00C42A4D"/>
    <w:rsid w:val="00C44D90"/>
    <w:rsid w:val="00C459C6"/>
    <w:rsid w:val="00C551EA"/>
    <w:rsid w:val="00C552EF"/>
    <w:rsid w:val="00C6223A"/>
    <w:rsid w:val="00C70976"/>
    <w:rsid w:val="00C72F57"/>
    <w:rsid w:val="00C74B91"/>
    <w:rsid w:val="00C85509"/>
    <w:rsid w:val="00C90703"/>
    <w:rsid w:val="00C90E37"/>
    <w:rsid w:val="00C92D6D"/>
    <w:rsid w:val="00CA1CCF"/>
    <w:rsid w:val="00CA43A8"/>
    <w:rsid w:val="00CA54B7"/>
    <w:rsid w:val="00CB5DF4"/>
    <w:rsid w:val="00CC4706"/>
    <w:rsid w:val="00CC6474"/>
    <w:rsid w:val="00CD172B"/>
    <w:rsid w:val="00CD462E"/>
    <w:rsid w:val="00CD6ED6"/>
    <w:rsid w:val="00CE0980"/>
    <w:rsid w:val="00CE742E"/>
    <w:rsid w:val="00CF206B"/>
    <w:rsid w:val="00CF4354"/>
    <w:rsid w:val="00D046FC"/>
    <w:rsid w:val="00D2434C"/>
    <w:rsid w:val="00D24891"/>
    <w:rsid w:val="00D26599"/>
    <w:rsid w:val="00D26ED2"/>
    <w:rsid w:val="00D300EB"/>
    <w:rsid w:val="00D34B60"/>
    <w:rsid w:val="00D35796"/>
    <w:rsid w:val="00D370E1"/>
    <w:rsid w:val="00D4128B"/>
    <w:rsid w:val="00D44840"/>
    <w:rsid w:val="00D45522"/>
    <w:rsid w:val="00D53744"/>
    <w:rsid w:val="00D615C8"/>
    <w:rsid w:val="00D631DE"/>
    <w:rsid w:val="00D6703C"/>
    <w:rsid w:val="00D802BB"/>
    <w:rsid w:val="00D8320E"/>
    <w:rsid w:val="00D86746"/>
    <w:rsid w:val="00D86E87"/>
    <w:rsid w:val="00D9226D"/>
    <w:rsid w:val="00D947E9"/>
    <w:rsid w:val="00DA0707"/>
    <w:rsid w:val="00DA2ECF"/>
    <w:rsid w:val="00DA66EF"/>
    <w:rsid w:val="00DB0D34"/>
    <w:rsid w:val="00DB7039"/>
    <w:rsid w:val="00DB7C0D"/>
    <w:rsid w:val="00DC219C"/>
    <w:rsid w:val="00DC4D3A"/>
    <w:rsid w:val="00DD02F6"/>
    <w:rsid w:val="00DE52FE"/>
    <w:rsid w:val="00DE6049"/>
    <w:rsid w:val="00DE7517"/>
    <w:rsid w:val="00DF198E"/>
    <w:rsid w:val="00E00A7B"/>
    <w:rsid w:val="00E14E29"/>
    <w:rsid w:val="00E2099F"/>
    <w:rsid w:val="00E35E25"/>
    <w:rsid w:val="00E50782"/>
    <w:rsid w:val="00E56BFC"/>
    <w:rsid w:val="00E67DF1"/>
    <w:rsid w:val="00E71007"/>
    <w:rsid w:val="00E719E1"/>
    <w:rsid w:val="00E71A5F"/>
    <w:rsid w:val="00E74546"/>
    <w:rsid w:val="00E76F31"/>
    <w:rsid w:val="00E80C16"/>
    <w:rsid w:val="00E91224"/>
    <w:rsid w:val="00E97AF0"/>
    <w:rsid w:val="00EA0412"/>
    <w:rsid w:val="00EA598D"/>
    <w:rsid w:val="00EA7AF9"/>
    <w:rsid w:val="00EB08B4"/>
    <w:rsid w:val="00EC1D51"/>
    <w:rsid w:val="00EC1F28"/>
    <w:rsid w:val="00EC5A2D"/>
    <w:rsid w:val="00EC6337"/>
    <w:rsid w:val="00EC6602"/>
    <w:rsid w:val="00ED5273"/>
    <w:rsid w:val="00ED54CD"/>
    <w:rsid w:val="00ED786F"/>
    <w:rsid w:val="00EE089C"/>
    <w:rsid w:val="00EF04B8"/>
    <w:rsid w:val="00EF128B"/>
    <w:rsid w:val="00F0099A"/>
    <w:rsid w:val="00F1145F"/>
    <w:rsid w:val="00F17CA1"/>
    <w:rsid w:val="00F222E4"/>
    <w:rsid w:val="00F22F6C"/>
    <w:rsid w:val="00F25233"/>
    <w:rsid w:val="00F339B7"/>
    <w:rsid w:val="00F41A19"/>
    <w:rsid w:val="00F446CF"/>
    <w:rsid w:val="00F514F7"/>
    <w:rsid w:val="00F56586"/>
    <w:rsid w:val="00F62A23"/>
    <w:rsid w:val="00F63376"/>
    <w:rsid w:val="00F65F74"/>
    <w:rsid w:val="00F73DE8"/>
    <w:rsid w:val="00F8740D"/>
    <w:rsid w:val="00F90349"/>
    <w:rsid w:val="00F90F79"/>
    <w:rsid w:val="00FA1704"/>
    <w:rsid w:val="00FB2124"/>
    <w:rsid w:val="00FC55E4"/>
    <w:rsid w:val="00FD3D4C"/>
    <w:rsid w:val="00FD5C16"/>
    <w:rsid w:val="00FE002E"/>
    <w:rsid w:val="00FE4688"/>
    <w:rsid w:val="00FE5FC2"/>
    <w:rsid w:val="00FE6FAA"/>
    <w:rsid w:val="00FE7815"/>
    <w:rsid w:val="00FE7F86"/>
    <w:rsid w:val="00FF18CD"/>
    <w:rsid w:val="00FF4FC6"/>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69492033">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563954162">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796529800">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21527258">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adiversion.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149F-512E-4708-8C3E-D7B09F1E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Coward, Clifton A</cp:lastModifiedBy>
  <cp:revision>2</cp:revision>
  <cp:lastPrinted>2015-11-13T14:55:00Z</cp:lastPrinted>
  <dcterms:created xsi:type="dcterms:W3CDTF">2016-03-29T13:52:00Z</dcterms:created>
  <dcterms:modified xsi:type="dcterms:W3CDTF">2016-03-29T13:52:00Z</dcterms:modified>
</cp:coreProperties>
</file>