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9C1" w:rsidRPr="003C6047" w:rsidRDefault="00C379C1" w:rsidP="003C6047">
      <w:pPr>
        <w:tabs>
          <w:tab w:val="right" w:pos="10980"/>
        </w:tabs>
        <w:rPr>
          <w:rFonts w:ascii="Arial" w:hAnsi="Arial" w:cs="Arial"/>
          <w:sz w:val="24"/>
          <w:szCs w:val="24"/>
        </w:rPr>
      </w:pPr>
    </w:p>
    <w:p w:rsidR="00C379C1" w:rsidRDefault="00C379C1" w:rsidP="00C379C1">
      <w:pPr>
        <w:widowControl/>
        <w:jc w:val="both"/>
        <w:rPr>
          <w:color w:val="000000"/>
        </w:rPr>
      </w:pPr>
    </w:p>
    <w:tbl>
      <w:tblPr>
        <w:tblpPr w:leftFromText="187" w:rightFromText="187" w:vertAnchor="page" w:horzAnchor="page" w:tblpXSpec="center" w:tblpY="649"/>
        <w:tblW w:w="0" w:type="auto"/>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278"/>
        <w:gridCol w:w="3852"/>
        <w:gridCol w:w="2250"/>
        <w:gridCol w:w="3510"/>
      </w:tblGrid>
      <w:tr w:rsidR="00C379C1" w:rsidTr="00D9219D">
        <w:trPr>
          <w:cantSplit/>
        </w:trPr>
        <w:tc>
          <w:tcPr>
            <w:tcW w:w="1278" w:type="dxa"/>
            <w:tcBorders>
              <w:top w:val="single" w:sz="6" w:space="0" w:color="auto"/>
              <w:left w:val="single" w:sz="6" w:space="0" w:color="auto"/>
              <w:bottom w:val="nil"/>
              <w:right w:val="nil"/>
            </w:tcBorders>
          </w:tcPr>
          <w:p w:rsidR="00C379C1" w:rsidRDefault="00D979E4" w:rsidP="00D9219D">
            <w:pPr>
              <w:widowControl/>
              <w:tabs>
                <w:tab w:val="right" w:pos="10980"/>
              </w:tabs>
              <w:rPr>
                <w:rFonts w:ascii="PBGC Logo" w:hAnsi="PBGC Logo" w:cs="PBGC Logo"/>
                <w:bCs/>
                <w:sz w:val="96"/>
                <w:szCs w:val="96"/>
              </w:rPr>
            </w:pPr>
            <w:r w:rsidRPr="00B90DF3">
              <w:rPr>
                <w:rFonts w:ascii="Arial" w:hAnsi="Arial" w:cs="Arial"/>
                <w:b/>
                <w:noProof/>
                <w:color w:val="000000"/>
                <w:sz w:val="24"/>
              </w:rPr>
              <w:drawing>
                <wp:inline distT="0" distB="0" distL="0" distR="0">
                  <wp:extent cx="723900" cy="514350"/>
                  <wp:effectExtent l="0" t="0" r="0" b="0"/>
                  <wp:docPr id="1" name="Picture 1" descr="PBGC Logo (no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GC Logo (no curv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a:ln>
                            <a:noFill/>
                          </a:ln>
                        </pic:spPr>
                      </pic:pic>
                    </a:graphicData>
                  </a:graphic>
                </wp:inline>
              </w:drawing>
            </w:r>
          </w:p>
        </w:tc>
        <w:tc>
          <w:tcPr>
            <w:tcW w:w="6102" w:type="dxa"/>
            <w:gridSpan w:val="2"/>
            <w:tcBorders>
              <w:top w:val="single" w:sz="6" w:space="0" w:color="auto"/>
              <w:left w:val="nil"/>
              <w:bottom w:val="nil"/>
              <w:right w:val="nil"/>
            </w:tcBorders>
          </w:tcPr>
          <w:p w:rsidR="00C379C1" w:rsidRDefault="00C379C1" w:rsidP="00D9219D">
            <w:pPr>
              <w:widowControl/>
              <w:tabs>
                <w:tab w:val="right" w:pos="10980"/>
              </w:tabs>
              <w:rPr>
                <w:rFonts w:ascii="Arial" w:hAnsi="Arial" w:cs="Arial"/>
                <w:b/>
                <w:bCs/>
                <w:position w:val="-40"/>
                <w:sz w:val="36"/>
                <w:szCs w:val="36"/>
              </w:rPr>
            </w:pPr>
            <w:r>
              <w:rPr>
                <w:rFonts w:ascii="Arial" w:hAnsi="Arial" w:cs="Arial"/>
                <w:b/>
                <w:bCs/>
                <w:position w:val="-40"/>
                <w:sz w:val="36"/>
                <w:szCs w:val="36"/>
              </w:rPr>
              <w:t>Privacy Act Notice (Hardship)</w:t>
            </w:r>
          </w:p>
        </w:tc>
        <w:tc>
          <w:tcPr>
            <w:tcW w:w="3510" w:type="dxa"/>
            <w:tcBorders>
              <w:top w:val="single" w:sz="6" w:space="0" w:color="auto"/>
              <w:left w:val="nil"/>
              <w:bottom w:val="nil"/>
              <w:right w:val="single" w:sz="18" w:space="0" w:color="auto"/>
            </w:tcBorders>
          </w:tcPr>
          <w:p w:rsidR="00C379C1" w:rsidRDefault="00C379C1" w:rsidP="00D9219D">
            <w:pPr>
              <w:widowControl/>
              <w:tabs>
                <w:tab w:val="right" w:pos="10980"/>
              </w:tabs>
              <w:jc w:val="right"/>
              <w:rPr>
                <w:rFonts w:ascii="Arial" w:hAnsi="Arial" w:cs="Arial"/>
                <w:b/>
                <w:bCs/>
                <w:sz w:val="12"/>
                <w:szCs w:val="12"/>
              </w:rPr>
            </w:pPr>
          </w:p>
          <w:p w:rsidR="00C379C1" w:rsidRDefault="00C379C1" w:rsidP="00D9219D">
            <w:pPr>
              <w:widowControl/>
              <w:tabs>
                <w:tab w:val="right" w:pos="10980"/>
              </w:tabs>
              <w:jc w:val="right"/>
              <w:rPr>
                <w:rFonts w:ascii="Arial" w:hAnsi="Arial" w:cs="Arial"/>
                <w:b/>
                <w:bCs/>
                <w:sz w:val="16"/>
                <w:szCs w:val="16"/>
              </w:rPr>
            </w:pPr>
          </w:p>
          <w:p w:rsidR="00C379C1" w:rsidRDefault="00C379C1" w:rsidP="00D9219D">
            <w:pPr>
              <w:widowControl/>
              <w:tabs>
                <w:tab w:val="right" w:pos="10980"/>
              </w:tabs>
              <w:jc w:val="right"/>
              <w:rPr>
                <w:rFonts w:ascii="Arial" w:hAnsi="Arial" w:cs="Arial"/>
                <w:b/>
                <w:bCs/>
                <w:sz w:val="16"/>
                <w:szCs w:val="16"/>
              </w:rPr>
            </w:pPr>
            <w:r>
              <w:rPr>
                <w:rFonts w:ascii="Arial" w:hAnsi="Arial" w:cs="Arial"/>
                <w:b/>
                <w:bCs/>
                <w:sz w:val="16"/>
                <w:szCs w:val="16"/>
              </w:rPr>
              <w:t xml:space="preserve"> </w:t>
            </w:r>
          </w:p>
        </w:tc>
      </w:tr>
      <w:tr w:rsidR="00C379C1" w:rsidTr="00D9219D">
        <w:trPr>
          <w:cantSplit/>
        </w:trPr>
        <w:tc>
          <w:tcPr>
            <w:tcW w:w="5130" w:type="dxa"/>
            <w:gridSpan w:val="2"/>
            <w:tcBorders>
              <w:top w:val="nil"/>
              <w:left w:val="single" w:sz="6" w:space="0" w:color="auto"/>
              <w:bottom w:val="single" w:sz="18" w:space="0" w:color="auto"/>
              <w:right w:val="nil"/>
            </w:tcBorders>
          </w:tcPr>
          <w:p w:rsidR="00C379C1" w:rsidRDefault="00C379C1" w:rsidP="00D9219D">
            <w:pPr>
              <w:widowControl/>
              <w:tabs>
                <w:tab w:val="right" w:pos="10980"/>
              </w:tabs>
              <w:rPr>
                <w:rFonts w:ascii="Arial" w:hAnsi="Arial" w:cs="Arial"/>
                <w:sz w:val="18"/>
                <w:szCs w:val="18"/>
              </w:rPr>
            </w:pPr>
            <w:r>
              <w:rPr>
                <w:rFonts w:ascii="Arial" w:hAnsi="Arial" w:cs="Arial"/>
                <w:sz w:val="18"/>
                <w:szCs w:val="18"/>
              </w:rPr>
              <w:t>Pension Benefit Guaranty Corporation.</w:t>
            </w:r>
          </w:p>
          <w:p w:rsidR="00C379C1" w:rsidRDefault="00C379C1" w:rsidP="00D9219D">
            <w:pPr>
              <w:widowControl/>
              <w:tabs>
                <w:tab w:val="right" w:pos="10980"/>
              </w:tabs>
              <w:rPr>
                <w:rFonts w:ascii="Arial" w:hAnsi="Arial" w:cs="Arial"/>
                <w:sz w:val="18"/>
                <w:szCs w:val="18"/>
              </w:rPr>
            </w:pPr>
            <w:smartTag w:uri="urn:schemas-microsoft-com:office:smarttags" w:element="address">
              <w:smartTag w:uri="urn:schemas-microsoft-com:office:smarttags" w:element="Street">
                <w:r>
                  <w:rPr>
                    <w:rFonts w:ascii="Arial" w:hAnsi="Arial" w:cs="Arial"/>
                    <w:color w:val="000000"/>
                    <w:sz w:val="18"/>
                    <w:szCs w:val="18"/>
                  </w:rPr>
                  <w:t>P.O. Box 151750</w:t>
                </w:r>
              </w:smartTag>
              <w:r>
                <w:rPr>
                  <w:rFonts w:ascii="Arial" w:hAnsi="Arial" w:cs="Arial"/>
                  <w:color w:val="000000"/>
                  <w:sz w:val="18"/>
                  <w:szCs w:val="18"/>
                </w:rPr>
                <w:t xml:space="preserve"> </w:t>
              </w:r>
              <w:smartTag w:uri="urn:schemas-microsoft-com:office:smarttags" w:element="City">
                <w:r>
                  <w:rPr>
                    <w:rFonts w:ascii="Arial" w:hAnsi="Arial" w:cs="Arial"/>
                    <w:color w:val="000000"/>
                    <w:sz w:val="18"/>
                    <w:szCs w:val="18"/>
                  </w:rPr>
                  <w:t>Alexandria</w:t>
                </w:r>
              </w:smartTag>
              <w:r>
                <w:rPr>
                  <w:rFonts w:ascii="Arial" w:hAnsi="Arial" w:cs="Arial"/>
                  <w:color w:val="000000"/>
                  <w:sz w:val="18"/>
                  <w:szCs w:val="18"/>
                </w:rPr>
                <w:t xml:space="preserve">, </w:t>
              </w:r>
              <w:smartTag w:uri="urn:schemas-microsoft-com:office:smarttags" w:element="PersonName">
                <w:r>
                  <w:rPr>
                    <w:rFonts w:ascii="Arial" w:hAnsi="Arial" w:cs="Arial"/>
                    <w:color w:val="000000"/>
                    <w:sz w:val="18"/>
                    <w:szCs w:val="18"/>
                  </w:rPr>
                  <w:t>VA</w:t>
                </w:r>
              </w:smartTag>
              <w:r>
                <w:rPr>
                  <w:rFonts w:ascii="Arial" w:hAnsi="Arial" w:cs="Arial"/>
                  <w:color w:val="000000"/>
                  <w:sz w:val="18"/>
                  <w:szCs w:val="18"/>
                </w:rPr>
                <w:t xml:space="preserve">  </w:t>
              </w:r>
              <w:smartTag w:uri="urn:schemas-microsoft-com:office:smarttags" w:element="PostalCode">
                <w:r>
                  <w:rPr>
                    <w:rFonts w:ascii="Arial" w:hAnsi="Arial" w:cs="Arial"/>
                    <w:color w:val="000000"/>
                    <w:sz w:val="18"/>
                    <w:szCs w:val="18"/>
                  </w:rPr>
                  <w:t>22315-1750</w:t>
                </w:r>
              </w:smartTag>
            </w:smartTag>
          </w:p>
        </w:tc>
        <w:tc>
          <w:tcPr>
            <w:tcW w:w="5760" w:type="dxa"/>
            <w:gridSpan w:val="2"/>
            <w:tcBorders>
              <w:top w:val="nil"/>
              <w:left w:val="nil"/>
              <w:bottom w:val="single" w:sz="18" w:space="0" w:color="auto"/>
              <w:right w:val="single" w:sz="18" w:space="0" w:color="auto"/>
            </w:tcBorders>
          </w:tcPr>
          <w:p w:rsidR="00C379C1" w:rsidRDefault="00C379C1" w:rsidP="00D9219D">
            <w:pPr>
              <w:widowControl/>
              <w:tabs>
                <w:tab w:val="right" w:pos="10980"/>
              </w:tabs>
              <w:spacing w:before="120"/>
              <w:jc w:val="right"/>
              <w:rPr>
                <w:rFonts w:ascii="Arial" w:hAnsi="Arial" w:cs="Arial"/>
                <w:b/>
                <w:bCs/>
                <w:sz w:val="22"/>
                <w:szCs w:val="22"/>
              </w:rPr>
            </w:pPr>
            <w:r>
              <w:rPr>
                <w:rFonts w:ascii="Arial" w:hAnsi="Arial" w:cs="Arial"/>
                <w:b/>
                <w:bCs/>
                <w:sz w:val="24"/>
                <w:szCs w:val="24"/>
              </w:rPr>
              <w:t>For assistance, call 1-800-400-7242</w:t>
            </w:r>
          </w:p>
        </w:tc>
      </w:tr>
    </w:tbl>
    <w:p w:rsidR="00C379C1" w:rsidRDefault="003C6047" w:rsidP="00C379C1">
      <w:pPr>
        <w:widowControl/>
        <w:ind w:right="720"/>
        <w:jc w:val="center"/>
        <w:rPr>
          <w:rFonts w:ascii="Arial" w:hAnsi="Arial" w:cs="Arial"/>
          <w:b/>
          <w:bCs/>
          <w:color w:val="000000"/>
          <w:sz w:val="28"/>
          <w:szCs w:val="28"/>
        </w:rPr>
      </w:pPr>
      <w:r>
        <w:rPr>
          <w:rFonts w:ascii="Arial" w:hAnsi="Arial" w:cs="Arial"/>
          <w:b/>
          <w:bCs/>
          <w:color w:val="000000"/>
          <w:sz w:val="28"/>
          <w:szCs w:val="28"/>
        </w:rPr>
        <w:t>P</w:t>
      </w:r>
      <w:r w:rsidR="00C379C1">
        <w:rPr>
          <w:rFonts w:ascii="Arial" w:hAnsi="Arial" w:cs="Arial"/>
          <w:b/>
          <w:bCs/>
          <w:color w:val="000000"/>
          <w:sz w:val="28"/>
          <w:szCs w:val="28"/>
        </w:rPr>
        <w:t>RIVACY ACT NOTICE</w:t>
      </w:r>
    </w:p>
    <w:p w:rsidR="00C379C1" w:rsidRDefault="00C379C1" w:rsidP="00C379C1">
      <w:pPr>
        <w:widowControl/>
        <w:ind w:right="720"/>
        <w:jc w:val="center"/>
        <w:rPr>
          <w:rFonts w:ascii="Arial" w:hAnsi="Arial" w:cs="Arial"/>
          <w:b/>
          <w:bCs/>
          <w:color w:val="000000"/>
          <w:sz w:val="24"/>
          <w:szCs w:val="24"/>
        </w:rPr>
      </w:pPr>
    </w:p>
    <w:p w:rsidR="00C379C1" w:rsidRDefault="00C379C1" w:rsidP="00C379C1">
      <w:pPr>
        <w:widowControl/>
        <w:ind w:right="720"/>
        <w:rPr>
          <w:rFonts w:ascii="Arial" w:hAnsi="Arial" w:cs="Arial"/>
          <w:bCs/>
          <w:color w:val="000000"/>
          <w:sz w:val="24"/>
          <w:szCs w:val="24"/>
        </w:rPr>
      </w:pPr>
      <w:r>
        <w:rPr>
          <w:rFonts w:ascii="Arial" w:hAnsi="Arial" w:cs="Arial"/>
          <w:bCs/>
          <w:color w:val="000000"/>
          <w:sz w:val="24"/>
          <w:szCs w:val="24"/>
        </w:rPr>
        <w:t xml:space="preserve">The Privacy Act of 1974, as </w:t>
      </w:r>
      <w:r>
        <w:rPr>
          <w:rFonts w:ascii="Arial" w:hAnsi="Arial" w:cs="Arial"/>
          <w:bCs/>
          <w:i/>
          <w:color w:val="000000"/>
          <w:sz w:val="24"/>
          <w:szCs w:val="24"/>
        </w:rPr>
        <w:t>amended</w:t>
      </w:r>
      <w:r>
        <w:rPr>
          <w:rFonts w:ascii="Arial" w:hAnsi="Arial" w:cs="Arial"/>
          <w:bCs/>
          <w:color w:val="000000"/>
          <w:sz w:val="24"/>
          <w:szCs w:val="24"/>
        </w:rPr>
        <w:t>, 5 U.S.C. 552a (</w:t>
      </w:r>
      <w:r w:rsidR="00DD05C6" w:rsidRPr="00DD05C6">
        <w:rPr>
          <w:rFonts w:ascii="Arial" w:hAnsi="Arial" w:cs="Arial"/>
          <w:bCs/>
          <w:color w:val="000000"/>
          <w:sz w:val="24"/>
          <w:szCs w:val="24"/>
        </w:rPr>
        <w:t>2012 &amp; Supp. II 2014</w:t>
      </w:r>
      <w:r>
        <w:rPr>
          <w:rFonts w:ascii="Arial" w:hAnsi="Arial" w:cs="Arial"/>
          <w:bCs/>
          <w:color w:val="000000"/>
          <w:sz w:val="24"/>
          <w:szCs w:val="24"/>
        </w:rPr>
        <w:t>), requires PBGC to give you this notice when collecting information from you. PBGC uses this information to determine whether your financial status would justify the waiver by the PBGC of its right to collect all or some of the debt you owe the agency. Your Social Security Number is used by PBGC to identify your records within PBGC, to report income for tax purposes, and to respond to lawful requests for information about you from other individuals and entities. Your response is voluntary. However, failure to provide the requested information to PBGC, including your Social Security Number, may delay or prevent PBGC from considering your request for a waiver.</w:t>
      </w:r>
    </w:p>
    <w:p w:rsidR="00C379C1" w:rsidRDefault="00C379C1" w:rsidP="00C379C1">
      <w:pPr>
        <w:widowControl/>
        <w:ind w:right="720"/>
        <w:rPr>
          <w:rFonts w:ascii="Arial" w:hAnsi="Arial" w:cs="Arial"/>
          <w:bCs/>
          <w:color w:val="000000"/>
          <w:sz w:val="24"/>
          <w:szCs w:val="24"/>
        </w:rPr>
      </w:pPr>
    </w:p>
    <w:p w:rsidR="00C379C1" w:rsidRDefault="00C379C1" w:rsidP="00C379C1">
      <w:pPr>
        <w:widowControl/>
        <w:ind w:right="720"/>
        <w:rPr>
          <w:rFonts w:ascii="Arial" w:hAnsi="Arial" w:cs="Arial"/>
          <w:bCs/>
          <w:color w:val="000000"/>
          <w:sz w:val="24"/>
          <w:szCs w:val="24"/>
        </w:rPr>
      </w:pPr>
      <w:r>
        <w:rPr>
          <w:rFonts w:ascii="Arial" w:hAnsi="Arial" w:cs="Arial"/>
          <w:bCs/>
          <w:color w:val="000000"/>
          <w:sz w:val="24"/>
          <w:szCs w:val="24"/>
        </w:rPr>
        <w:t xml:space="preserve">PBGC may release information about you to other individuals and entities when necessary and appropriate under the Privacy Act, including: to the U.S. Department of the Treasury for cross-servicing to effect debt collection; and to appropriate law enforcement agencies when PBGC becomes aware of a possible violation of civil or criminal law. If PBGC, an employee of PBGC, the </w:t>
      </w:r>
      <w:smartTag w:uri="urn:schemas-microsoft-com:office:smarttags" w:element="country-region">
        <w:r>
          <w:rPr>
            <w:rFonts w:ascii="Arial" w:hAnsi="Arial" w:cs="Arial"/>
            <w:bCs/>
            <w:color w:val="000000"/>
            <w:sz w:val="24"/>
            <w:szCs w:val="24"/>
          </w:rPr>
          <w:t>United States</w:t>
        </w:r>
      </w:smartTag>
      <w:r>
        <w:rPr>
          <w:rFonts w:ascii="Arial" w:hAnsi="Arial" w:cs="Arial"/>
          <w:bCs/>
          <w:color w:val="000000"/>
          <w:sz w:val="24"/>
          <w:szCs w:val="24"/>
        </w:rPr>
        <w:t xml:space="preserve">, or another agency of the </w:t>
      </w:r>
      <w:smartTag w:uri="urn:schemas-microsoft-com:office:smarttags" w:element="place">
        <w:smartTag w:uri="urn:schemas-microsoft-com:office:smarttags" w:element="country-region">
          <w:r>
            <w:rPr>
              <w:rFonts w:ascii="Arial" w:hAnsi="Arial" w:cs="Arial"/>
              <w:bCs/>
              <w:color w:val="000000"/>
              <w:sz w:val="24"/>
              <w:szCs w:val="24"/>
            </w:rPr>
            <w:t>United States</w:t>
          </w:r>
        </w:smartTag>
      </w:smartTag>
      <w:r>
        <w:rPr>
          <w:rFonts w:ascii="Arial" w:hAnsi="Arial" w:cs="Arial"/>
          <w:bCs/>
          <w:color w:val="000000"/>
          <w:sz w:val="24"/>
          <w:szCs w:val="24"/>
        </w:rPr>
        <w:t>, is involved in litigation, PBGC may provide relevant information about you to a court or other adjudicative body or to the Department of Justice when it represents PBGC. PBGC may also provide information about you to the Office of Management and Budget in connection with review of private relief legislation or to a Congressional office in response to an inquiry that office makes about you at your request.</w:t>
      </w:r>
    </w:p>
    <w:p w:rsidR="00C379C1" w:rsidRDefault="00C379C1" w:rsidP="00C379C1">
      <w:pPr>
        <w:widowControl/>
        <w:ind w:right="720"/>
        <w:rPr>
          <w:rFonts w:ascii="Arial" w:hAnsi="Arial" w:cs="Arial"/>
          <w:bCs/>
          <w:color w:val="000000"/>
          <w:sz w:val="24"/>
          <w:szCs w:val="24"/>
        </w:rPr>
      </w:pPr>
    </w:p>
    <w:p w:rsidR="00C379C1" w:rsidRDefault="00C379C1" w:rsidP="00C379C1">
      <w:pPr>
        <w:widowControl/>
        <w:ind w:right="720"/>
        <w:rPr>
          <w:rFonts w:ascii="Arial" w:hAnsi="Arial" w:cs="Arial"/>
          <w:bCs/>
          <w:color w:val="000000"/>
          <w:sz w:val="24"/>
          <w:szCs w:val="24"/>
        </w:rPr>
      </w:pPr>
      <w:r>
        <w:rPr>
          <w:rFonts w:ascii="Arial" w:hAnsi="Arial" w:cs="Arial"/>
          <w:bCs/>
          <w:color w:val="000000"/>
          <w:sz w:val="24"/>
          <w:szCs w:val="24"/>
        </w:rPr>
        <w:t xml:space="preserve">PBGC's authority to collect information from you, including your Social Security Number, is derived from 29 U.S.C. 1055, 1056(d)(3), 1302, 1321, 1322, 1322a, 1341 and 1350 </w:t>
      </w:r>
      <w:r w:rsidRPr="00AA6E57">
        <w:rPr>
          <w:rFonts w:ascii="Arial" w:hAnsi="Arial" w:cs="Arial"/>
          <w:bCs/>
          <w:color w:val="000000"/>
          <w:sz w:val="24"/>
          <w:szCs w:val="24"/>
        </w:rPr>
        <w:t>(</w:t>
      </w:r>
      <w:r w:rsidR="00381531">
        <w:rPr>
          <w:rFonts w:ascii="Arial" w:hAnsi="Arial" w:cs="Arial"/>
          <w:bCs/>
          <w:color w:val="000000"/>
          <w:sz w:val="24"/>
          <w:szCs w:val="24"/>
        </w:rPr>
        <w:t>2012</w:t>
      </w:r>
      <w:r>
        <w:rPr>
          <w:rFonts w:ascii="Arial" w:hAnsi="Arial" w:cs="Arial"/>
          <w:bCs/>
          <w:color w:val="000000"/>
          <w:sz w:val="24"/>
          <w:szCs w:val="24"/>
        </w:rPr>
        <w:t xml:space="preserve"> &amp;</w:t>
      </w:r>
      <w:r w:rsidRPr="00AA6E57">
        <w:rPr>
          <w:rFonts w:ascii="Arial" w:hAnsi="Arial" w:cs="Arial"/>
          <w:bCs/>
          <w:color w:val="000000"/>
          <w:sz w:val="24"/>
          <w:szCs w:val="24"/>
        </w:rPr>
        <w:t xml:space="preserve"> Supp. </w:t>
      </w:r>
      <w:r w:rsidR="00381531">
        <w:rPr>
          <w:rFonts w:ascii="Arial" w:hAnsi="Arial" w:cs="Arial"/>
          <w:bCs/>
          <w:color w:val="000000"/>
          <w:sz w:val="24"/>
          <w:szCs w:val="24"/>
        </w:rPr>
        <w:t>II</w:t>
      </w:r>
      <w:r w:rsidRPr="00AA6E57">
        <w:rPr>
          <w:rFonts w:ascii="Arial" w:hAnsi="Arial" w:cs="Arial"/>
          <w:bCs/>
          <w:color w:val="000000"/>
          <w:sz w:val="24"/>
          <w:szCs w:val="24"/>
        </w:rPr>
        <w:t xml:space="preserve"> 201</w:t>
      </w:r>
      <w:r w:rsidR="00381531">
        <w:rPr>
          <w:rFonts w:ascii="Arial" w:hAnsi="Arial" w:cs="Arial"/>
          <w:bCs/>
          <w:color w:val="000000"/>
          <w:sz w:val="24"/>
          <w:szCs w:val="24"/>
        </w:rPr>
        <w:t>4</w:t>
      </w:r>
      <w:r w:rsidRPr="00AA6E57">
        <w:rPr>
          <w:rFonts w:ascii="Arial" w:hAnsi="Arial" w:cs="Arial"/>
          <w:bCs/>
          <w:color w:val="000000"/>
          <w:sz w:val="24"/>
          <w:szCs w:val="24"/>
        </w:rPr>
        <w:t>)</w:t>
      </w:r>
      <w:r>
        <w:rPr>
          <w:rFonts w:ascii="Arial" w:hAnsi="Arial" w:cs="Arial"/>
          <w:bCs/>
          <w:color w:val="000000"/>
          <w:sz w:val="24"/>
          <w:szCs w:val="24"/>
        </w:rPr>
        <w:t xml:space="preserve"> and 31 U.S.C. 3711 </w:t>
      </w:r>
      <w:r w:rsidRPr="00AA6E57">
        <w:rPr>
          <w:rFonts w:ascii="Arial" w:hAnsi="Arial" w:cs="Arial"/>
          <w:bCs/>
          <w:color w:val="000000"/>
          <w:sz w:val="24"/>
          <w:szCs w:val="24"/>
        </w:rPr>
        <w:t>(20</w:t>
      </w:r>
      <w:r w:rsidR="001D5989">
        <w:rPr>
          <w:rFonts w:ascii="Arial" w:hAnsi="Arial" w:cs="Arial"/>
          <w:bCs/>
          <w:color w:val="000000"/>
          <w:sz w:val="24"/>
          <w:szCs w:val="24"/>
        </w:rPr>
        <w:t>12</w:t>
      </w:r>
      <w:r>
        <w:rPr>
          <w:rFonts w:ascii="Arial" w:hAnsi="Arial" w:cs="Arial"/>
          <w:bCs/>
          <w:color w:val="000000"/>
          <w:sz w:val="24"/>
          <w:szCs w:val="24"/>
        </w:rPr>
        <w:t xml:space="preserve"> &amp;</w:t>
      </w:r>
      <w:r w:rsidRPr="00AA6E57">
        <w:rPr>
          <w:rFonts w:ascii="Arial" w:hAnsi="Arial" w:cs="Arial"/>
          <w:bCs/>
          <w:color w:val="000000"/>
          <w:sz w:val="24"/>
          <w:szCs w:val="24"/>
        </w:rPr>
        <w:t xml:space="preserve"> Supp. </w:t>
      </w:r>
      <w:r w:rsidR="001D5989">
        <w:rPr>
          <w:rFonts w:ascii="Arial" w:hAnsi="Arial" w:cs="Arial"/>
          <w:bCs/>
          <w:color w:val="000000"/>
          <w:sz w:val="24"/>
          <w:szCs w:val="24"/>
        </w:rPr>
        <w:t>II</w:t>
      </w:r>
      <w:r w:rsidRPr="00AA6E57">
        <w:rPr>
          <w:rFonts w:ascii="Arial" w:hAnsi="Arial" w:cs="Arial"/>
          <w:bCs/>
          <w:color w:val="000000"/>
          <w:sz w:val="24"/>
          <w:szCs w:val="24"/>
        </w:rPr>
        <w:t xml:space="preserve"> 201</w:t>
      </w:r>
      <w:r w:rsidR="001D5989">
        <w:rPr>
          <w:rFonts w:ascii="Arial" w:hAnsi="Arial" w:cs="Arial"/>
          <w:bCs/>
          <w:color w:val="000000"/>
          <w:sz w:val="24"/>
          <w:szCs w:val="24"/>
        </w:rPr>
        <w:t>4</w:t>
      </w:r>
      <w:r w:rsidRPr="00AA6E57">
        <w:rPr>
          <w:rFonts w:ascii="Arial" w:hAnsi="Arial" w:cs="Arial"/>
          <w:bCs/>
          <w:color w:val="000000"/>
          <w:sz w:val="24"/>
          <w:szCs w:val="24"/>
        </w:rPr>
        <w:t>)</w:t>
      </w:r>
      <w:r>
        <w:rPr>
          <w:rFonts w:ascii="Arial" w:hAnsi="Arial" w:cs="Arial"/>
          <w:bCs/>
          <w:color w:val="000000"/>
          <w:sz w:val="24"/>
          <w:szCs w:val="24"/>
        </w:rPr>
        <w:t>.</w:t>
      </w:r>
    </w:p>
    <w:p w:rsidR="00C379C1" w:rsidRDefault="00C379C1" w:rsidP="00C379C1">
      <w:pPr>
        <w:widowControl/>
        <w:jc w:val="both"/>
        <w:rPr>
          <w:color w:val="000000"/>
        </w:rPr>
      </w:pPr>
    </w:p>
    <w:p w:rsidR="004E4B67" w:rsidRDefault="004E4B67" w:rsidP="00C379C1">
      <w:pPr>
        <w:tabs>
          <w:tab w:val="right" w:pos="10980"/>
        </w:tabs>
        <w:rPr>
          <w:rFonts w:ascii="Arial" w:hAnsi="Arial" w:cs="Arial"/>
          <w:sz w:val="24"/>
          <w:szCs w:val="24"/>
        </w:rPr>
      </w:pPr>
      <w:bookmarkStart w:id="0" w:name="_GoBack"/>
      <w:bookmarkEnd w:id="0"/>
    </w:p>
    <w:sectPr w:rsidR="004E4B67" w:rsidSect="004E4B67">
      <w:pgSz w:w="12240" w:h="15840"/>
      <w:pgMar w:top="547" w:right="720" w:bottom="144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19D" w:rsidRDefault="00D9219D">
      <w:r>
        <w:separator/>
      </w:r>
    </w:p>
  </w:endnote>
  <w:endnote w:type="continuationSeparator" w:id="0">
    <w:p w:rsidR="00D9219D" w:rsidRDefault="00D9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BGC Logo">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19D" w:rsidRDefault="00D9219D">
      <w:r>
        <w:separator/>
      </w:r>
    </w:p>
  </w:footnote>
  <w:footnote w:type="continuationSeparator" w:id="0">
    <w:p w:rsidR="00D9219D" w:rsidRDefault="00D92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67"/>
    <w:rsid w:val="00016C08"/>
    <w:rsid w:val="00165703"/>
    <w:rsid w:val="001D5989"/>
    <w:rsid w:val="002319C2"/>
    <w:rsid w:val="002904A9"/>
    <w:rsid w:val="003179B3"/>
    <w:rsid w:val="00322F18"/>
    <w:rsid w:val="00340FC5"/>
    <w:rsid w:val="00366185"/>
    <w:rsid w:val="00381531"/>
    <w:rsid w:val="003B0637"/>
    <w:rsid w:val="003C6047"/>
    <w:rsid w:val="004277FB"/>
    <w:rsid w:val="00444439"/>
    <w:rsid w:val="004E4B67"/>
    <w:rsid w:val="00555EE2"/>
    <w:rsid w:val="00663DD6"/>
    <w:rsid w:val="00713877"/>
    <w:rsid w:val="00747AA5"/>
    <w:rsid w:val="007D598B"/>
    <w:rsid w:val="008A36BB"/>
    <w:rsid w:val="008D3A4A"/>
    <w:rsid w:val="008E701C"/>
    <w:rsid w:val="009F4052"/>
    <w:rsid w:val="00A1528A"/>
    <w:rsid w:val="00A8381C"/>
    <w:rsid w:val="00B90DF3"/>
    <w:rsid w:val="00BC500D"/>
    <w:rsid w:val="00BF0322"/>
    <w:rsid w:val="00BF2D17"/>
    <w:rsid w:val="00C209D8"/>
    <w:rsid w:val="00C379C1"/>
    <w:rsid w:val="00D703B1"/>
    <w:rsid w:val="00D87933"/>
    <w:rsid w:val="00D9219D"/>
    <w:rsid w:val="00D979E4"/>
    <w:rsid w:val="00DB482B"/>
    <w:rsid w:val="00DD05C6"/>
    <w:rsid w:val="00E64136"/>
    <w:rsid w:val="00FF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PersonNam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6BECB24B-A8D0-451D-8AC2-D78A0ECA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E4B67"/>
    <w:pPr>
      <w:widowControl w:val="0"/>
      <w:autoSpaceDE w:val="0"/>
      <w:autoSpaceDN w:val="0"/>
    </w:pPr>
  </w:style>
  <w:style w:type="paragraph" w:styleId="Heading1">
    <w:name w:val="heading 1"/>
    <w:basedOn w:val="Normal"/>
    <w:next w:val="Normal"/>
    <w:qFormat/>
    <w:rsid w:val="004E4B67"/>
    <w:pPr>
      <w:keepNext/>
      <w:outlineLvl w:val="0"/>
    </w:pPr>
    <w:rPr>
      <w:rFonts w:ascii="Arial" w:hAnsi="Arial" w:cs="Arial"/>
      <w:b/>
      <w:bCs/>
      <w:sz w:val="24"/>
      <w:szCs w:val="24"/>
    </w:rPr>
  </w:style>
  <w:style w:type="paragraph" w:styleId="Heading2">
    <w:name w:val="heading 2"/>
    <w:basedOn w:val="Normal"/>
    <w:next w:val="Normal"/>
    <w:qFormat/>
    <w:rsid w:val="004E4B67"/>
    <w:pPr>
      <w:keepNext/>
      <w:jc w:val="center"/>
      <w:outlineLvl w:val="1"/>
    </w:pPr>
    <w:rPr>
      <w:b/>
      <w:bCs/>
      <w:sz w:val="24"/>
      <w:szCs w:val="24"/>
    </w:rPr>
  </w:style>
  <w:style w:type="paragraph" w:styleId="Heading3">
    <w:name w:val="heading 3"/>
    <w:basedOn w:val="Normal"/>
    <w:next w:val="Normal"/>
    <w:qFormat/>
    <w:rsid w:val="004E4B67"/>
    <w:pPr>
      <w:keepNext/>
      <w:pBdr>
        <w:top w:val="single" w:sz="6" w:space="1" w:color="auto"/>
      </w:pBd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B67"/>
    <w:pPr>
      <w:jc w:val="center"/>
    </w:pPr>
    <w:rPr>
      <w:rFonts w:ascii="Arial" w:hAnsi="Arial" w:cs="Arial"/>
      <w:b/>
      <w:bCs/>
      <w:sz w:val="24"/>
      <w:szCs w:val="24"/>
    </w:rPr>
  </w:style>
  <w:style w:type="paragraph" w:styleId="Subtitle">
    <w:name w:val="Subtitle"/>
    <w:basedOn w:val="Normal"/>
    <w:qFormat/>
    <w:rsid w:val="004E4B67"/>
    <w:pPr>
      <w:jc w:val="center"/>
    </w:pPr>
    <w:rPr>
      <w:b/>
      <w:bCs/>
      <w:sz w:val="24"/>
      <w:szCs w:val="24"/>
    </w:rPr>
  </w:style>
  <w:style w:type="paragraph" w:styleId="Header">
    <w:name w:val="header"/>
    <w:basedOn w:val="Normal"/>
    <w:rsid w:val="004E4B67"/>
    <w:pPr>
      <w:tabs>
        <w:tab w:val="center" w:pos="4320"/>
        <w:tab w:val="right" w:pos="8640"/>
      </w:tabs>
    </w:pPr>
  </w:style>
  <w:style w:type="paragraph" w:styleId="Footer">
    <w:name w:val="footer"/>
    <w:basedOn w:val="Normal"/>
    <w:rsid w:val="004E4B67"/>
    <w:pPr>
      <w:tabs>
        <w:tab w:val="center" w:pos="4320"/>
        <w:tab w:val="right" w:pos="8640"/>
      </w:tabs>
    </w:pPr>
  </w:style>
  <w:style w:type="character" w:styleId="Strong">
    <w:name w:val="Strong"/>
    <w:qFormat/>
    <w:rsid w:val="004E4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SHORT PRIVACY ACT NOTICE</vt:lpstr>
    </vt:vector>
  </TitlesOfParts>
  <Company>PBGC</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PRIVACY ACT NOTICE</dc:title>
  <dc:subject/>
  <dc:creator>Joseph Whitmore</dc:creator>
  <cp:keywords/>
  <dc:description/>
  <cp:lastModifiedBy>Burns Jo Amato</cp:lastModifiedBy>
  <cp:revision>3</cp:revision>
  <dcterms:created xsi:type="dcterms:W3CDTF">2015-12-10T17:26:00Z</dcterms:created>
  <dcterms:modified xsi:type="dcterms:W3CDTF">2015-12-10T21:45:00Z</dcterms:modified>
</cp:coreProperties>
</file>