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C35" w:rsidRPr="00267E3E" w:rsidRDefault="00F86C35" w:rsidP="006F5765">
      <w:pPr>
        <w:pStyle w:val="Title1"/>
        <w:tabs>
          <w:tab w:val="clear" w:pos="2881"/>
          <w:tab w:val="clear" w:pos="3601"/>
          <w:tab w:val="clear" w:pos="4321"/>
          <w:tab w:val="clear" w:pos="5040"/>
          <w:tab w:val="clear" w:pos="5760"/>
          <w:tab w:val="clear" w:pos="6480"/>
          <w:tab w:val="clear" w:pos="7199"/>
          <w:tab w:val="clear" w:pos="7919"/>
          <w:tab w:val="clear" w:pos="8641"/>
          <w:tab w:val="clear" w:pos="9361"/>
          <w:tab w:val="clear" w:pos="10081"/>
          <w:tab w:val="clear" w:pos="10800"/>
          <w:tab w:val="clear" w:pos="11520"/>
          <w:tab w:val="clear" w:pos="12240"/>
          <w:tab w:val="clear" w:pos="12959"/>
          <w:tab w:val="clear" w:pos="13679"/>
          <w:tab w:val="clear" w:pos="14401"/>
          <w:tab w:val="clear" w:pos="15121"/>
          <w:tab w:val="clear" w:pos="15841"/>
          <w:tab w:val="clear" w:pos="16560"/>
          <w:tab w:val="clear" w:pos="17280"/>
          <w:tab w:val="clear" w:pos="18000"/>
          <w:tab w:val="clear" w:pos="18719"/>
          <w:tab w:val="clear" w:pos="19439"/>
          <w:tab w:val="clear" w:pos="20161"/>
          <w:tab w:val="clear" w:pos="20881"/>
          <w:tab w:val="clear" w:pos="21601"/>
          <w:tab w:val="left" w:pos="1530"/>
          <w:tab w:val="left" w:pos="2879"/>
          <w:tab w:val="left" w:pos="3599"/>
          <w:tab w:val="left" w:pos="4318"/>
          <w:tab w:val="left" w:pos="5038"/>
          <w:tab w:val="left" w:pos="5758"/>
          <w:tab w:val="left" w:pos="6477"/>
          <w:tab w:val="left" w:pos="7197"/>
          <w:tab w:val="left" w:pos="7917"/>
          <w:tab w:val="left" w:pos="8636"/>
          <w:tab w:val="left" w:pos="9356"/>
          <w:tab w:val="left" w:pos="10076"/>
          <w:tab w:val="left" w:pos="10796"/>
          <w:tab w:val="left" w:pos="11515"/>
          <w:tab w:val="left" w:pos="12235"/>
          <w:tab w:val="left" w:pos="12955"/>
          <w:tab w:val="left" w:pos="13674"/>
          <w:tab w:val="left" w:pos="14394"/>
          <w:tab w:val="left" w:pos="15114"/>
          <w:tab w:val="left" w:pos="15833"/>
          <w:tab w:val="left" w:pos="16553"/>
          <w:tab w:val="left" w:pos="17273"/>
          <w:tab w:val="left" w:pos="17993"/>
          <w:tab w:val="left" w:pos="18712"/>
          <w:tab w:val="left" w:pos="19432"/>
          <w:tab w:val="left" w:pos="20152"/>
          <w:tab w:val="left" w:pos="20871"/>
          <w:tab w:val="left" w:pos="21591"/>
        </w:tabs>
        <w:spacing w:line="240" w:lineRule="auto"/>
        <w:ind w:left="360"/>
        <w:jc w:val="both"/>
        <w:rPr>
          <w:rFonts w:ascii="Arial" w:hAnsi="Arial" w:cs="Arial"/>
          <w:smallCaps/>
          <w:sz w:val="20"/>
        </w:rPr>
      </w:pPr>
      <w:bookmarkStart w:id="0" w:name="_GoBack"/>
      <w:bookmarkEnd w:id="0"/>
      <w:r>
        <w:rPr>
          <w:rFonts w:ascii="Arial" w:hAnsi="Arial" w:cs="Arial"/>
          <w:b w:val="0"/>
          <w:smallCaps/>
          <w:sz w:val="20"/>
        </w:rPr>
        <w:t>2015 draft version</w:t>
      </w:r>
      <w:r w:rsidR="00274291">
        <w:rPr>
          <w:rFonts w:ascii="Arial" w:hAnsi="Arial" w:cs="Arial"/>
          <w:b w:val="0"/>
          <w:smallCaps/>
          <w:sz w:val="20"/>
        </w:rPr>
        <w:t xml:space="preserve">, </w:t>
      </w:r>
      <w:r w:rsidR="00C244B6">
        <w:rPr>
          <w:rFonts w:ascii="Arial" w:hAnsi="Arial" w:cs="Arial"/>
          <w:b w:val="0"/>
          <w:smallCaps/>
          <w:sz w:val="20"/>
        </w:rPr>
        <w:t>9/22</w:t>
      </w:r>
      <w:r w:rsidR="00274291">
        <w:rPr>
          <w:rFonts w:ascii="Arial" w:hAnsi="Arial" w:cs="Arial"/>
          <w:b w:val="0"/>
          <w:smallCaps/>
          <w:sz w:val="20"/>
        </w:rPr>
        <w:t>/15</w:t>
      </w:r>
      <w:r w:rsidR="003A35C3">
        <w:rPr>
          <w:rFonts w:ascii="Arial" w:hAnsi="Arial" w:cs="Arial"/>
          <w:b w:val="0"/>
          <w:smallCaps/>
          <w:sz w:val="20"/>
        </w:rPr>
        <w:t xml:space="preserve">, </w:t>
      </w:r>
      <w:r w:rsidR="003A35C3" w:rsidRPr="00267E3E">
        <w:rPr>
          <w:rFonts w:ascii="Arial" w:hAnsi="Arial" w:cs="Arial"/>
          <w:smallCaps/>
          <w:sz w:val="20"/>
        </w:rPr>
        <w:t>UNPUBLISHED.  This is a preliminary version which has yet to be edited by the BLS Publications Office.  As such, it is subject to change.</w:t>
      </w:r>
    </w:p>
    <w:p w:rsidR="00F86C35" w:rsidRDefault="00F86C35" w:rsidP="006F5765">
      <w:pPr>
        <w:pStyle w:val="Title1"/>
        <w:tabs>
          <w:tab w:val="clear" w:pos="2881"/>
          <w:tab w:val="clear" w:pos="3601"/>
          <w:tab w:val="clear" w:pos="4321"/>
          <w:tab w:val="clear" w:pos="5040"/>
          <w:tab w:val="clear" w:pos="5760"/>
          <w:tab w:val="clear" w:pos="6480"/>
          <w:tab w:val="clear" w:pos="7199"/>
          <w:tab w:val="clear" w:pos="7919"/>
          <w:tab w:val="clear" w:pos="8641"/>
          <w:tab w:val="clear" w:pos="9361"/>
          <w:tab w:val="clear" w:pos="10081"/>
          <w:tab w:val="clear" w:pos="10800"/>
          <w:tab w:val="clear" w:pos="11520"/>
          <w:tab w:val="clear" w:pos="12240"/>
          <w:tab w:val="clear" w:pos="12959"/>
          <w:tab w:val="clear" w:pos="13679"/>
          <w:tab w:val="clear" w:pos="14401"/>
          <w:tab w:val="clear" w:pos="15121"/>
          <w:tab w:val="clear" w:pos="15841"/>
          <w:tab w:val="clear" w:pos="16560"/>
          <w:tab w:val="clear" w:pos="17280"/>
          <w:tab w:val="clear" w:pos="18000"/>
          <w:tab w:val="clear" w:pos="18719"/>
          <w:tab w:val="clear" w:pos="19439"/>
          <w:tab w:val="clear" w:pos="20161"/>
          <w:tab w:val="clear" w:pos="20881"/>
          <w:tab w:val="clear" w:pos="21601"/>
          <w:tab w:val="left" w:pos="1530"/>
          <w:tab w:val="left" w:pos="2879"/>
          <w:tab w:val="left" w:pos="3599"/>
          <w:tab w:val="left" w:pos="4318"/>
          <w:tab w:val="left" w:pos="5038"/>
          <w:tab w:val="left" w:pos="5758"/>
          <w:tab w:val="left" w:pos="6477"/>
          <w:tab w:val="left" w:pos="7197"/>
          <w:tab w:val="left" w:pos="7917"/>
          <w:tab w:val="left" w:pos="8636"/>
          <w:tab w:val="left" w:pos="9356"/>
          <w:tab w:val="left" w:pos="10076"/>
          <w:tab w:val="left" w:pos="10796"/>
          <w:tab w:val="left" w:pos="11515"/>
          <w:tab w:val="left" w:pos="12235"/>
          <w:tab w:val="left" w:pos="12955"/>
          <w:tab w:val="left" w:pos="13674"/>
          <w:tab w:val="left" w:pos="14394"/>
          <w:tab w:val="left" w:pos="15114"/>
          <w:tab w:val="left" w:pos="15833"/>
          <w:tab w:val="left" w:pos="16553"/>
          <w:tab w:val="left" w:pos="17273"/>
          <w:tab w:val="left" w:pos="17993"/>
          <w:tab w:val="left" w:pos="18712"/>
          <w:tab w:val="left" w:pos="19432"/>
          <w:tab w:val="left" w:pos="20152"/>
          <w:tab w:val="left" w:pos="20871"/>
          <w:tab w:val="left" w:pos="21591"/>
        </w:tabs>
        <w:spacing w:line="240" w:lineRule="auto"/>
        <w:ind w:left="360"/>
        <w:jc w:val="both"/>
        <w:rPr>
          <w:rFonts w:ascii="Arial" w:hAnsi="Arial" w:cs="Arial"/>
          <w:b w:val="0"/>
          <w:smallCaps/>
          <w:sz w:val="20"/>
        </w:rPr>
      </w:pPr>
    </w:p>
    <w:p w:rsidR="006F5765" w:rsidRPr="006F5765" w:rsidRDefault="006F5765" w:rsidP="006F5765">
      <w:pPr>
        <w:pStyle w:val="Title1"/>
        <w:tabs>
          <w:tab w:val="clear" w:pos="2881"/>
          <w:tab w:val="clear" w:pos="3601"/>
          <w:tab w:val="clear" w:pos="4321"/>
          <w:tab w:val="clear" w:pos="5040"/>
          <w:tab w:val="clear" w:pos="5760"/>
          <w:tab w:val="clear" w:pos="6480"/>
          <w:tab w:val="clear" w:pos="7199"/>
          <w:tab w:val="clear" w:pos="7919"/>
          <w:tab w:val="clear" w:pos="8641"/>
          <w:tab w:val="clear" w:pos="9361"/>
          <w:tab w:val="clear" w:pos="10081"/>
          <w:tab w:val="clear" w:pos="10800"/>
          <w:tab w:val="clear" w:pos="11520"/>
          <w:tab w:val="clear" w:pos="12240"/>
          <w:tab w:val="clear" w:pos="12959"/>
          <w:tab w:val="clear" w:pos="13679"/>
          <w:tab w:val="clear" w:pos="14401"/>
          <w:tab w:val="clear" w:pos="15121"/>
          <w:tab w:val="clear" w:pos="15841"/>
          <w:tab w:val="clear" w:pos="16560"/>
          <w:tab w:val="clear" w:pos="17280"/>
          <w:tab w:val="clear" w:pos="18000"/>
          <w:tab w:val="clear" w:pos="18719"/>
          <w:tab w:val="clear" w:pos="19439"/>
          <w:tab w:val="clear" w:pos="20161"/>
          <w:tab w:val="clear" w:pos="20881"/>
          <w:tab w:val="clear" w:pos="21601"/>
          <w:tab w:val="left" w:pos="1530"/>
          <w:tab w:val="left" w:pos="2879"/>
          <w:tab w:val="left" w:pos="3599"/>
          <w:tab w:val="left" w:pos="4318"/>
          <w:tab w:val="left" w:pos="5038"/>
          <w:tab w:val="left" w:pos="5758"/>
          <w:tab w:val="left" w:pos="6477"/>
          <w:tab w:val="left" w:pos="7197"/>
          <w:tab w:val="left" w:pos="7917"/>
          <w:tab w:val="left" w:pos="8636"/>
          <w:tab w:val="left" w:pos="9356"/>
          <w:tab w:val="left" w:pos="10076"/>
          <w:tab w:val="left" w:pos="10796"/>
          <w:tab w:val="left" w:pos="11515"/>
          <w:tab w:val="left" w:pos="12235"/>
          <w:tab w:val="left" w:pos="12955"/>
          <w:tab w:val="left" w:pos="13674"/>
          <w:tab w:val="left" w:pos="14394"/>
          <w:tab w:val="left" w:pos="15114"/>
          <w:tab w:val="left" w:pos="15833"/>
          <w:tab w:val="left" w:pos="16553"/>
          <w:tab w:val="left" w:pos="17273"/>
          <w:tab w:val="left" w:pos="17993"/>
          <w:tab w:val="left" w:pos="18712"/>
          <w:tab w:val="left" w:pos="19432"/>
          <w:tab w:val="left" w:pos="20152"/>
          <w:tab w:val="left" w:pos="20871"/>
          <w:tab w:val="left" w:pos="21591"/>
        </w:tabs>
        <w:spacing w:line="240" w:lineRule="auto"/>
        <w:ind w:left="360"/>
        <w:jc w:val="both"/>
        <w:rPr>
          <w:rFonts w:ascii="Arial" w:hAnsi="Arial" w:cs="Arial"/>
          <w:b w:val="0"/>
          <w:smallCaps/>
          <w:sz w:val="20"/>
        </w:rPr>
      </w:pPr>
      <w:r w:rsidRPr="006F5765">
        <w:rPr>
          <w:rFonts w:ascii="Arial" w:hAnsi="Arial" w:cs="Arial"/>
          <w:b w:val="0"/>
          <w:smallCaps/>
          <w:sz w:val="20"/>
        </w:rPr>
        <w:t>In This Issue</w:t>
      </w:r>
    </w:p>
    <w:p w:rsidR="006F5765" w:rsidRDefault="006F5765" w:rsidP="006F5765">
      <w:pPr>
        <w:pStyle w:val="Title1"/>
        <w:tabs>
          <w:tab w:val="clear" w:pos="2881"/>
          <w:tab w:val="clear" w:pos="3601"/>
          <w:tab w:val="clear" w:pos="4321"/>
          <w:tab w:val="clear" w:pos="5040"/>
          <w:tab w:val="clear" w:pos="5760"/>
          <w:tab w:val="clear" w:pos="6480"/>
          <w:tab w:val="clear" w:pos="7199"/>
          <w:tab w:val="clear" w:pos="7919"/>
          <w:tab w:val="clear" w:pos="8641"/>
          <w:tab w:val="clear" w:pos="9361"/>
          <w:tab w:val="clear" w:pos="10081"/>
          <w:tab w:val="clear" w:pos="10800"/>
          <w:tab w:val="clear" w:pos="11520"/>
          <w:tab w:val="clear" w:pos="12240"/>
          <w:tab w:val="clear" w:pos="12959"/>
          <w:tab w:val="clear" w:pos="13679"/>
          <w:tab w:val="clear" w:pos="14401"/>
          <w:tab w:val="clear" w:pos="15121"/>
          <w:tab w:val="clear" w:pos="15841"/>
          <w:tab w:val="clear" w:pos="16560"/>
          <w:tab w:val="clear" w:pos="17280"/>
          <w:tab w:val="clear" w:pos="18000"/>
          <w:tab w:val="clear" w:pos="18719"/>
          <w:tab w:val="clear" w:pos="19439"/>
          <w:tab w:val="clear" w:pos="20161"/>
          <w:tab w:val="clear" w:pos="20881"/>
          <w:tab w:val="clear" w:pos="21601"/>
          <w:tab w:val="left" w:pos="1530"/>
          <w:tab w:val="left" w:pos="2879"/>
          <w:tab w:val="left" w:pos="3599"/>
          <w:tab w:val="left" w:pos="4318"/>
          <w:tab w:val="left" w:pos="5038"/>
          <w:tab w:val="left" w:pos="5758"/>
          <w:tab w:val="left" w:pos="6477"/>
          <w:tab w:val="left" w:pos="7197"/>
          <w:tab w:val="left" w:pos="7917"/>
          <w:tab w:val="left" w:pos="8636"/>
          <w:tab w:val="left" w:pos="9356"/>
          <w:tab w:val="left" w:pos="10076"/>
          <w:tab w:val="left" w:pos="10796"/>
          <w:tab w:val="left" w:pos="11515"/>
          <w:tab w:val="left" w:pos="12235"/>
          <w:tab w:val="left" w:pos="12955"/>
          <w:tab w:val="left" w:pos="13674"/>
          <w:tab w:val="left" w:pos="14394"/>
          <w:tab w:val="left" w:pos="15114"/>
          <w:tab w:val="left" w:pos="15833"/>
          <w:tab w:val="left" w:pos="16553"/>
          <w:tab w:val="left" w:pos="17273"/>
          <w:tab w:val="left" w:pos="17993"/>
          <w:tab w:val="left" w:pos="18712"/>
          <w:tab w:val="left" w:pos="19432"/>
          <w:tab w:val="left" w:pos="20152"/>
          <w:tab w:val="left" w:pos="20871"/>
          <w:tab w:val="left" w:pos="21591"/>
        </w:tabs>
        <w:spacing w:line="240" w:lineRule="auto"/>
        <w:ind w:left="360"/>
        <w:jc w:val="both"/>
        <w:rPr>
          <w:rFonts w:ascii="Arial" w:hAnsi="Arial" w:cs="Arial"/>
          <w:b w:val="0"/>
          <w:sz w:val="20"/>
        </w:rPr>
      </w:pPr>
    </w:p>
    <w:p w:rsidR="003B511B" w:rsidRDefault="003B511B" w:rsidP="00274291">
      <w:pPr>
        <w:pStyle w:val="Title1"/>
        <w:numPr>
          <w:ilvl w:val="0"/>
          <w:numId w:val="8"/>
        </w:numPr>
        <w:tabs>
          <w:tab w:val="clear" w:pos="2881"/>
          <w:tab w:val="clear" w:pos="3601"/>
          <w:tab w:val="clear" w:pos="4321"/>
          <w:tab w:val="clear" w:pos="5040"/>
          <w:tab w:val="clear" w:pos="5760"/>
          <w:tab w:val="clear" w:pos="6480"/>
          <w:tab w:val="clear" w:pos="7199"/>
          <w:tab w:val="clear" w:pos="7919"/>
          <w:tab w:val="clear" w:pos="8641"/>
          <w:tab w:val="clear" w:pos="9361"/>
          <w:tab w:val="clear" w:pos="10081"/>
          <w:tab w:val="clear" w:pos="10800"/>
          <w:tab w:val="clear" w:pos="11520"/>
          <w:tab w:val="clear" w:pos="12240"/>
          <w:tab w:val="clear" w:pos="12959"/>
          <w:tab w:val="clear" w:pos="13679"/>
          <w:tab w:val="clear" w:pos="14401"/>
          <w:tab w:val="clear" w:pos="15121"/>
          <w:tab w:val="clear" w:pos="15841"/>
          <w:tab w:val="clear" w:pos="16560"/>
          <w:tab w:val="clear" w:pos="17280"/>
          <w:tab w:val="clear" w:pos="18000"/>
          <w:tab w:val="clear" w:pos="18719"/>
          <w:tab w:val="clear" w:pos="19439"/>
          <w:tab w:val="clear" w:pos="20161"/>
          <w:tab w:val="clear" w:pos="20881"/>
          <w:tab w:val="clear" w:pos="21601"/>
          <w:tab w:val="left" w:pos="1530"/>
          <w:tab w:val="left" w:pos="2879"/>
          <w:tab w:val="left" w:pos="3599"/>
          <w:tab w:val="left" w:pos="4318"/>
          <w:tab w:val="left" w:pos="5038"/>
          <w:tab w:val="left" w:pos="5758"/>
          <w:tab w:val="left" w:pos="6477"/>
          <w:tab w:val="left" w:pos="7197"/>
          <w:tab w:val="left" w:pos="7917"/>
          <w:tab w:val="left" w:pos="8636"/>
          <w:tab w:val="left" w:pos="9356"/>
          <w:tab w:val="left" w:pos="10076"/>
          <w:tab w:val="left" w:pos="10796"/>
          <w:tab w:val="left" w:pos="11515"/>
          <w:tab w:val="left" w:pos="12235"/>
          <w:tab w:val="left" w:pos="12955"/>
          <w:tab w:val="left" w:pos="13674"/>
          <w:tab w:val="left" w:pos="14394"/>
          <w:tab w:val="left" w:pos="15114"/>
          <w:tab w:val="left" w:pos="15833"/>
          <w:tab w:val="left" w:pos="16553"/>
          <w:tab w:val="left" w:pos="17273"/>
          <w:tab w:val="left" w:pos="17993"/>
          <w:tab w:val="left" w:pos="18712"/>
          <w:tab w:val="left" w:pos="19432"/>
          <w:tab w:val="left" w:pos="20152"/>
          <w:tab w:val="left" w:pos="20871"/>
          <w:tab w:val="left" w:pos="21591"/>
        </w:tabs>
        <w:spacing w:line="240" w:lineRule="auto"/>
        <w:jc w:val="both"/>
        <w:rPr>
          <w:rFonts w:ascii="Arial" w:hAnsi="Arial" w:cs="Arial"/>
          <w:sz w:val="24"/>
          <w:szCs w:val="24"/>
        </w:rPr>
      </w:pPr>
      <w:r>
        <w:rPr>
          <w:rFonts w:ascii="Arial" w:hAnsi="Arial" w:cs="Arial"/>
          <w:sz w:val="24"/>
          <w:szCs w:val="24"/>
        </w:rPr>
        <w:t>Overview</w:t>
      </w:r>
      <w:r w:rsidR="00274291">
        <w:rPr>
          <w:rFonts w:ascii="Arial" w:hAnsi="Arial" w:cs="Arial"/>
          <w:sz w:val="24"/>
          <w:szCs w:val="24"/>
        </w:rPr>
        <w:t xml:space="preserve"> and Quick Facts</w:t>
      </w:r>
    </w:p>
    <w:p w:rsidR="003B511B" w:rsidRDefault="003B511B" w:rsidP="00274291">
      <w:pPr>
        <w:pStyle w:val="Title1"/>
        <w:numPr>
          <w:ilvl w:val="0"/>
          <w:numId w:val="8"/>
        </w:numPr>
        <w:tabs>
          <w:tab w:val="clear" w:pos="2881"/>
          <w:tab w:val="clear" w:pos="3601"/>
          <w:tab w:val="clear" w:pos="4321"/>
          <w:tab w:val="clear" w:pos="5040"/>
          <w:tab w:val="clear" w:pos="5760"/>
          <w:tab w:val="clear" w:pos="6480"/>
          <w:tab w:val="clear" w:pos="7199"/>
          <w:tab w:val="clear" w:pos="7919"/>
          <w:tab w:val="clear" w:pos="8641"/>
          <w:tab w:val="clear" w:pos="9361"/>
          <w:tab w:val="clear" w:pos="10081"/>
          <w:tab w:val="clear" w:pos="10800"/>
          <w:tab w:val="clear" w:pos="11520"/>
          <w:tab w:val="clear" w:pos="12240"/>
          <w:tab w:val="clear" w:pos="12959"/>
          <w:tab w:val="clear" w:pos="13679"/>
          <w:tab w:val="clear" w:pos="14401"/>
          <w:tab w:val="clear" w:pos="15121"/>
          <w:tab w:val="clear" w:pos="15841"/>
          <w:tab w:val="clear" w:pos="16560"/>
          <w:tab w:val="clear" w:pos="17280"/>
          <w:tab w:val="clear" w:pos="18000"/>
          <w:tab w:val="clear" w:pos="18719"/>
          <w:tab w:val="clear" w:pos="19439"/>
          <w:tab w:val="clear" w:pos="20161"/>
          <w:tab w:val="clear" w:pos="20881"/>
          <w:tab w:val="clear" w:pos="21601"/>
          <w:tab w:val="left" w:pos="1530"/>
          <w:tab w:val="left" w:pos="2879"/>
          <w:tab w:val="left" w:pos="3599"/>
          <w:tab w:val="left" w:pos="4318"/>
          <w:tab w:val="left" w:pos="5038"/>
          <w:tab w:val="left" w:pos="5758"/>
          <w:tab w:val="left" w:pos="6477"/>
          <w:tab w:val="left" w:pos="7197"/>
          <w:tab w:val="left" w:pos="7917"/>
          <w:tab w:val="left" w:pos="8636"/>
          <w:tab w:val="left" w:pos="9356"/>
          <w:tab w:val="left" w:pos="10076"/>
          <w:tab w:val="left" w:pos="10796"/>
          <w:tab w:val="left" w:pos="11515"/>
          <w:tab w:val="left" w:pos="12235"/>
          <w:tab w:val="left" w:pos="12955"/>
          <w:tab w:val="left" w:pos="13674"/>
          <w:tab w:val="left" w:pos="14394"/>
          <w:tab w:val="left" w:pos="15114"/>
          <w:tab w:val="left" w:pos="15833"/>
          <w:tab w:val="left" w:pos="16553"/>
          <w:tab w:val="left" w:pos="17273"/>
          <w:tab w:val="left" w:pos="17993"/>
          <w:tab w:val="left" w:pos="18712"/>
          <w:tab w:val="left" w:pos="19432"/>
          <w:tab w:val="left" w:pos="20152"/>
          <w:tab w:val="left" w:pos="20871"/>
          <w:tab w:val="left" w:pos="21591"/>
        </w:tabs>
        <w:spacing w:line="240" w:lineRule="auto"/>
        <w:jc w:val="both"/>
        <w:rPr>
          <w:rFonts w:ascii="Arial" w:hAnsi="Arial" w:cs="Arial"/>
          <w:sz w:val="24"/>
          <w:szCs w:val="24"/>
        </w:rPr>
      </w:pPr>
      <w:r>
        <w:rPr>
          <w:rFonts w:ascii="Arial" w:hAnsi="Arial" w:cs="Arial"/>
          <w:sz w:val="24"/>
          <w:szCs w:val="24"/>
        </w:rPr>
        <w:t>Concepts</w:t>
      </w:r>
    </w:p>
    <w:p w:rsidR="003B511B" w:rsidRDefault="003B511B" w:rsidP="00274291">
      <w:pPr>
        <w:pStyle w:val="Title1"/>
        <w:numPr>
          <w:ilvl w:val="0"/>
          <w:numId w:val="8"/>
        </w:numPr>
        <w:tabs>
          <w:tab w:val="clear" w:pos="2881"/>
          <w:tab w:val="clear" w:pos="3601"/>
          <w:tab w:val="clear" w:pos="4321"/>
          <w:tab w:val="clear" w:pos="5040"/>
          <w:tab w:val="clear" w:pos="5760"/>
          <w:tab w:val="clear" w:pos="6480"/>
          <w:tab w:val="clear" w:pos="7199"/>
          <w:tab w:val="clear" w:pos="7919"/>
          <w:tab w:val="clear" w:pos="8641"/>
          <w:tab w:val="clear" w:pos="9361"/>
          <w:tab w:val="clear" w:pos="10081"/>
          <w:tab w:val="clear" w:pos="10800"/>
          <w:tab w:val="clear" w:pos="11520"/>
          <w:tab w:val="clear" w:pos="12240"/>
          <w:tab w:val="clear" w:pos="12959"/>
          <w:tab w:val="clear" w:pos="13679"/>
          <w:tab w:val="clear" w:pos="14401"/>
          <w:tab w:val="clear" w:pos="15121"/>
          <w:tab w:val="clear" w:pos="15841"/>
          <w:tab w:val="clear" w:pos="16560"/>
          <w:tab w:val="clear" w:pos="17280"/>
          <w:tab w:val="clear" w:pos="18000"/>
          <w:tab w:val="clear" w:pos="18719"/>
          <w:tab w:val="clear" w:pos="19439"/>
          <w:tab w:val="clear" w:pos="20161"/>
          <w:tab w:val="clear" w:pos="20881"/>
          <w:tab w:val="clear" w:pos="21601"/>
          <w:tab w:val="left" w:pos="1530"/>
          <w:tab w:val="left" w:pos="2879"/>
          <w:tab w:val="left" w:pos="3599"/>
          <w:tab w:val="left" w:pos="4318"/>
          <w:tab w:val="left" w:pos="5038"/>
          <w:tab w:val="left" w:pos="5758"/>
          <w:tab w:val="left" w:pos="6477"/>
          <w:tab w:val="left" w:pos="7197"/>
          <w:tab w:val="left" w:pos="7917"/>
          <w:tab w:val="left" w:pos="8636"/>
          <w:tab w:val="left" w:pos="9356"/>
          <w:tab w:val="left" w:pos="10076"/>
          <w:tab w:val="left" w:pos="10796"/>
          <w:tab w:val="left" w:pos="11515"/>
          <w:tab w:val="left" w:pos="12235"/>
          <w:tab w:val="left" w:pos="12955"/>
          <w:tab w:val="left" w:pos="13674"/>
          <w:tab w:val="left" w:pos="14394"/>
          <w:tab w:val="left" w:pos="15114"/>
          <w:tab w:val="left" w:pos="15833"/>
          <w:tab w:val="left" w:pos="16553"/>
          <w:tab w:val="left" w:pos="17273"/>
          <w:tab w:val="left" w:pos="17993"/>
          <w:tab w:val="left" w:pos="18712"/>
          <w:tab w:val="left" w:pos="19432"/>
          <w:tab w:val="left" w:pos="20152"/>
          <w:tab w:val="left" w:pos="20871"/>
          <w:tab w:val="left" w:pos="21591"/>
        </w:tabs>
        <w:spacing w:line="240" w:lineRule="auto"/>
        <w:jc w:val="both"/>
        <w:rPr>
          <w:rFonts w:ascii="Arial" w:hAnsi="Arial" w:cs="Arial"/>
          <w:sz w:val="24"/>
          <w:szCs w:val="24"/>
        </w:rPr>
      </w:pPr>
      <w:r>
        <w:rPr>
          <w:rFonts w:ascii="Arial" w:hAnsi="Arial" w:cs="Arial"/>
          <w:sz w:val="24"/>
          <w:szCs w:val="24"/>
        </w:rPr>
        <w:t>Data Sources</w:t>
      </w:r>
    </w:p>
    <w:p w:rsidR="003B511B" w:rsidRDefault="003B511B" w:rsidP="00274291">
      <w:pPr>
        <w:pStyle w:val="Title1"/>
        <w:numPr>
          <w:ilvl w:val="0"/>
          <w:numId w:val="8"/>
        </w:numPr>
        <w:tabs>
          <w:tab w:val="clear" w:pos="2881"/>
          <w:tab w:val="clear" w:pos="3601"/>
          <w:tab w:val="clear" w:pos="4321"/>
          <w:tab w:val="clear" w:pos="5040"/>
          <w:tab w:val="clear" w:pos="5760"/>
          <w:tab w:val="clear" w:pos="6480"/>
          <w:tab w:val="clear" w:pos="7199"/>
          <w:tab w:val="clear" w:pos="7919"/>
          <w:tab w:val="clear" w:pos="8641"/>
          <w:tab w:val="clear" w:pos="9361"/>
          <w:tab w:val="clear" w:pos="10081"/>
          <w:tab w:val="clear" w:pos="10800"/>
          <w:tab w:val="clear" w:pos="11520"/>
          <w:tab w:val="clear" w:pos="12240"/>
          <w:tab w:val="clear" w:pos="12959"/>
          <w:tab w:val="clear" w:pos="13679"/>
          <w:tab w:val="clear" w:pos="14401"/>
          <w:tab w:val="clear" w:pos="15121"/>
          <w:tab w:val="clear" w:pos="15841"/>
          <w:tab w:val="clear" w:pos="16560"/>
          <w:tab w:val="clear" w:pos="17280"/>
          <w:tab w:val="clear" w:pos="18000"/>
          <w:tab w:val="clear" w:pos="18719"/>
          <w:tab w:val="clear" w:pos="19439"/>
          <w:tab w:val="clear" w:pos="20161"/>
          <w:tab w:val="clear" w:pos="20881"/>
          <w:tab w:val="clear" w:pos="21601"/>
          <w:tab w:val="left" w:pos="1530"/>
          <w:tab w:val="left" w:pos="2879"/>
          <w:tab w:val="left" w:pos="3599"/>
          <w:tab w:val="left" w:pos="4318"/>
          <w:tab w:val="left" w:pos="5038"/>
          <w:tab w:val="left" w:pos="5758"/>
          <w:tab w:val="left" w:pos="6477"/>
          <w:tab w:val="left" w:pos="7197"/>
          <w:tab w:val="left" w:pos="7917"/>
          <w:tab w:val="left" w:pos="8636"/>
          <w:tab w:val="left" w:pos="9356"/>
          <w:tab w:val="left" w:pos="10076"/>
          <w:tab w:val="left" w:pos="10796"/>
          <w:tab w:val="left" w:pos="11515"/>
          <w:tab w:val="left" w:pos="12235"/>
          <w:tab w:val="left" w:pos="12955"/>
          <w:tab w:val="left" w:pos="13674"/>
          <w:tab w:val="left" w:pos="14394"/>
          <w:tab w:val="left" w:pos="15114"/>
          <w:tab w:val="left" w:pos="15833"/>
          <w:tab w:val="left" w:pos="16553"/>
          <w:tab w:val="left" w:pos="17273"/>
          <w:tab w:val="left" w:pos="17993"/>
          <w:tab w:val="left" w:pos="18712"/>
          <w:tab w:val="left" w:pos="19432"/>
          <w:tab w:val="left" w:pos="20152"/>
          <w:tab w:val="left" w:pos="20871"/>
          <w:tab w:val="left" w:pos="21591"/>
        </w:tabs>
        <w:spacing w:line="240" w:lineRule="auto"/>
        <w:jc w:val="both"/>
        <w:rPr>
          <w:rFonts w:ascii="Arial" w:hAnsi="Arial" w:cs="Arial"/>
          <w:sz w:val="24"/>
          <w:szCs w:val="24"/>
        </w:rPr>
      </w:pPr>
      <w:r>
        <w:rPr>
          <w:rFonts w:ascii="Arial" w:hAnsi="Arial" w:cs="Arial"/>
          <w:sz w:val="24"/>
          <w:szCs w:val="24"/>
        </w:rPr>
        <w:t>Design</w:t>
      </w:r>
    </w:p>
    <w:p w:rsidR="003B511B" w:rsidRDefault="003B511B" w:rsidP="00274291">
      <w:pPr>
        <w:pStyle w:val="Title1"/>
        <w:numPr>
          <w:ilvl w:val="0"/>
          <w:numId w:val="8"/>
        </w:numPr>
        <w:tabs>
          <w:tab w:val="clear" w:pos="2881"/>
          <w:tab w:val="clear" w:pos="3601"/>
          <w:tab w:val="clear" w:pos="4321"/>
          <w:tab w:val="clear" w:pos="5040"/>
          <w:tab w:val="clear" w:pos="5760"/>
          <w:tab w:val="clear" w:pos="6480"/>
          <w:tab w:val="clear" w:pos="7199"/>
          <w:tab w:val="clear" w:pos="7919"/>
          <w:tab w:val="clear" w:pos="8641"/>
          <w:tab w:val="clear" w:pos="9361"/>
          <w:tab w:val="clear" w:pos="10081"/>
          <w:tab w:val="clear" w:pos="10800"/>
          <w:tab w:val="clear" w:pos="11520"/>
          <w:tab w:val="clear" w:pos="12240"/>
          <w:tab w:val="clear" w:pos="12959"/>
          <w:tab w:val="clear" w:pos="13679"/>
          <w:tab w:val="clear" w:pos="14401"/>
          <w:tab w:val="clear" w:pos="15121"/>
          <w:tab w:val="clear" w:pos="15841"/>
          <w:tab w:val="clear" w:pos="16560"/>
          <w:tab w:val="clear" w:pos="17280"/>
          <w:tab w:val="clear" w:pos="18000"/>
          <w:tab w:val="clear" w:pos="18719"/>
          <w:tab w:val="clear" w:pos="19439"/>
          <w:tab w:val="clear" w:pos="20161"/>
          <w:tab w:val="clear" w:pos="20881"/>
          <w:tab w:val="clear" w:pos="21601"/>
          <w:tab w:val="left" w:pos="1530"/>
          <w:tab w:val="left" w:pos="2879"/>
          <w:tab w:val="left" w:pos="3599"/>
          <w:tab w:val="left" w:pos="4318"/>
          <w:tab w:val="left" w:pos="5038"/>
          <w:tab w:val="left" w:pos="5758"/>
          <w:tab w:val="left" w:pos="6477"/>
          <w:tab w:val="left" w:pos="7197"/>
          <w:tab w:val="left" w:pos="7917"/>
          <w:tab w:val="left" w:pos="8636"/>
          <w:tab w:val="left" w:pos="9356"/>
          <w:tab w:val="left" w:pos="10076"/>
          <w:tab w:val="left" w:pos="10796"/>
          <w:tab w:val="left" w:pos="11515"/>
          <w:tab w:val="left" w:pos="12235"/>
          <w:tab w:val="left" w:pos="12955"/>
          <w:tab w:val="left" w:pos="13674"/>
          <w:tab w:val="left" w:pos="14394"/>
          <w:tab w:val="left" w:pos="15114"/>
          <w:tab w:val="left" w:pos="15833"/>
          <w:tab w:val="left" w:pos="16553"/>
          <w:tab w:val="left" w:pos="17273"/>
          <w:tab w:val="left" w:pos="17993"/>
          <w:tab w:val="left" w:pos="18712"/>
          <w:tab w:val="left" w:pos="19432"/>
          <w:tab w:val="left" w:pos="20152"/>
          <w:tab w:val="left" w:pos="20871"/>
          <w:tab w:val="left" w:pos="21591"/>
        </w:tabs>
        <w:spacing w:line="240" w:lineRule="auto"/>
        <w:jc w:val="both"/>
        <w:rPr>
          <w:rFonts w:ascii="Arial" w:hAnsi="Arial" w:cs="Arial"/>
          <w:sz w:val="24"/>
          <w:szCs w:val="24"/>
        </w:rPr>
      </w:pPr>
      <w:r>
        <w:rPr>
          <w:rFonts w:ascii="Arial" w:hAnsi="Arial" w:cs="Arial"/>
          <w:sz w:val="24"/>
          <w:szCs w:val="24"/>
        </w:rPr>
        <w:t>Calculation</w:t>
      </w:r>
    </w:p>
    <w:p w:rsidR="003B511B" w:rsidRDefault="003B511B" w:rsidP="00274291">
      <w:pPr>
        <w:pStyle w:val="Title1"/>
        <w:numPr>
          <w:ilvl w:val="0"/>
          <w:numId w:val="8"/>
        </w:numPr>
        <w:tabs>
          <w:tab w:val="clear" w:pos="2881"/>
          <w:tab w:val="clear" w:pos="3601"/>
          <w:tab w:val="clear" w:pos="4321"/>
          <w:tab w:val="clear" w:pos="5040"/>
          <w:tab w:val="clear" w:pos="5760"/>
          <w:tab w:val="clear" w:pos="6480"/>
          <w:tab w:val="clear" w:pos="7199"/>
          <w:tab w:val="clear" w:pos="7919"/>
          <w:tab w:val="clear" w:pos="8641"/>
          <w:tab w:val="clear" w:pos="9361"/>
          <w:tab w:val="clear" w:pos="10081"/>
          <w:tab w:val="clear" w:pos="10800"/>
          <w:tab w:val="clear" w:pos="11520"/>
          <w:tab w:val="clear" w:pos="12240"/>
          <w:tab w:val="clear" w:pos="12959"/>
          <w:tab w:val="clear" w:pos="13679"/>
          <w:tab w:val="clear" w:pos="14401"/>
          <w:tab w:val="clear" w:pos="15121"/>
          <w:tab w:val="clear" w:pos="15841"/>
          <w:tab w:val="clear" w:pos="16560"/>
          <w:tab w:val="clear" w:pos="17280"/>
          <w:tab w:val="clear" w:pos="18000"/>
          <w:tab w:val="clear" w:pos="18719"/>
          <w:tab w:val="clear" w:pos="19439"/>
          <w:tab w:val="clear" w:pos="20161"/>
          <w:tab w:val="clear" w:pos="20881"/>
          <w:tab w:val="clear" w:pos="21601"/>
          <w:tab w:val="left" w:pos="1530"/>
          <w:tab w:val="left" w:pos="2879"/>
          <w:tab w:val="left" w:pos="3599"/>
          <w:tab w:val="left" w:pos="4318"/>
          <w:tab w:val="left" w:pos="5038"/>
          <w:tab w:val="left" w:pos="5758"/>
          <w:tab w:val="left" w:pos="6477"/>
          <w:tab w:val="left" w:pos="7197"/>
          <w:tab w:val="left" w:pos="7917"/>
          <w:tab w:val="left" w:pos="8636"/>
          <w:tab w:val="left" w:pos="9356"/>
          <w:tab w:val="left" w:pos="10076"/>
          <w:tab w:val="left" w:pos="10796"/>
          <w:tab w:val="left" w:pos="11515"/>
          <w:tab w:val="left" w:pos="12235"/>
          <w:tab w:val="left" w:pos="12955"/>
          <w:tab w:val="left" w:pos="13674"/>
          <w:tab w:val="left" w:pos="14394"/>
          <w:tab w:val="left" w:pos="15114"/>
          <w:tab w:val="left" w:pos="15833"/>
          <w:tab w:val="left" w:pos="16553"/>
          <w:tab w:val="left" w:pos="17273"/>
          <w:tab w:val="left" w:pos="17993"/>
          <w:tab w:val="left" w:pos="18712"/>
          <w:tab w:val="left" w:pos="19432"/>
          <w:tab w:val="left" w:pos="20152"/>
          <w:tab w:val="left" w:pos="20871"/>
          <w:tab w:val="left" w:pos="21591"/>
        </w:tabs>
        <w:spacing w:line="240" w:lineRule="auto"/>
        <w:jc w:val="both"/>
        <w:rPr>
          <w:rFonts w:ascii="Arial" w:hAnsi="Arial" w:cs="Arial"/>
          <w:sz w:val="24"/>
          <w:szCs w:val="24"/>
        </w:rPr>
      </w:pPr>
      <w:r>
        <w:rPr>
          <w:rFonts w:ascii="Arial" w:hAnsi="Arial" w:cs="Arial"/>
          <w:sz w:val="24"/>
          <w:szCs w:val="24"/>
        </w:rPr>
        <w:t>Presentation</w:t>
      </w:r>
    </w:p>
    <w:p w:rsidR="003B511B" w:rsidRDefault="003B511B" w:rsidP="00274291">
      <w:pPr>
        <w:pStyle w:val="Title1"/>
        <w:numPr>
          <w:ilvl w:val="0"/>
          <w:numId w:val="8"/>
        </w:numPr>
        <w:tabs>
          <w:tab w:val="clear" w:pos="2881"/>
          <w:tab w:val="clear" w:pos="3601"/>
          <w:tab w:val="clear" w:pos="4321"/>
          <w:tab w:val="clear" w:pos="5040"/>
          <w:tab w:val="clear" w:pos="5760"/>
          <w:tab w:val="clear" w:pos="6480"/>
          <w:tab w:val="clear" w:pos="7199"/>
          <w:tab w:val="clear" w:pos="7919"/>
          <w:tab w:val="clear" w:pos="8641"/>
          <w:tab w:val="clear" w:pos="9361"/>
          <w:tab w:val="clear" w:pos="10081"/>
          <w:tab w:val="clear" w:pos="10800"/>
          <w:tab w:val="clear" w:pos="11520"/>
          <w:tab w:val="clear" w:pos="12240"/>
          <w:tab w:val="clear" w:pos="12959"/>
          <w:tab w:val="clear" w:pos="13679"/>
          <w:tab w:val="clear" w:pos="14401"/>
          <w:tab w:val="clear" w:pos="15121"/>
          <w:tab w:val="clear" w:pos="15841"/>
          <w:tab w:val="clear" w:pos="16560"/>
          <w:tab w:val="clear" w:pos="17280"/>
          <w:tab w:val="clear" w:pos="18000"/>
          <w:tab w:val="clear" w:pos="18719"/>
          <w:tab w:val="clear" w:pos="19439"/>
          <w:tab w:val="clear" w:pos="20161"/>
          <w:tab w:val="clear" w:pos="20881"/>
          <w:tab w:val="clear" w:pos="21601"/>
          <w:tab w:val="left" w:pos="1530"/>
          <w:tab w:val="left" w:pos="2879"/>
          <w:tab w:val="left" w:pos="3599"/>
          <w:tab w:val="left" w:pos="4318"/>
          <w:tab w:val="left" w:pos="5038"/>
          <w:tab w:val="left" w:pos="5758"/>
          <w:tab w:val="left" w:pos="6477"/>
          <w:tab w:val="left" w:pos="7197"/>
          <w:tab w:val="left" w:pos="7917"/>
          <w:tab w:val="left" w:pos="8636"/>
          <w:tab w:val="left" w:pos="9356"/>
          <w:tab w:val="left" w:pos="10076"/>
          <w:tab w:val="left" w:pos="10796"/>
          <w:tab w:val="left" w:pos="11515"/>
          <w:tab w:val="left" w:pos="12235"/>
          <w:tab w:val="left" w:pos="12955"/>
          <w:tab w:val="left" w:pos="13674"/>
          <w:tab w:val="left" w:pos="14394"/>
          <w:tab w:val="left" w:pos="15114"/>
          <w:tab w:val="left" w:pos="15833"/>
          <w:tab w:val="left" w:pos="16553"/>
          <w:tab w:val="left" w:pos="17273"/>
          <w:tab w:val="left" w:pos="17993"/>
          <w:tab w:val="left" w:pos="18712"/>
          <w:tab w:val="left" w:pos="19432"/>
          <w:tab w:val="left" w:pos="20152"/>
          <w:tab w:val="left" w:pos="20871"/>
          <w:tab w:val="left" w:pos="21591"/>
        </w:tabs>
        <w:spacing w:line="240" w:lineRule="auto"/>
        <w:jc w:val="both"/>
        <w:rPr>
          <w:rFonts w:ascii="Arial" w:hAnsi="Arial" w:cs="Arial"/>
          <w:sz w:val="24"/>
          <w:szCs w:val="24"/>
        </w:rPr>
      </w:pPr>
      <w:r>
        <w:rPr>
          <w:rFonts w:ascii="Arial" w:hAnsi="Arial" w:cs="Arial"/>
          <w:sz w:val="24"/>
          <w:szCs w:val="24"/>
        </w:rPr>
        <w:t>History</w:t>
      </w:r>
    </w:p>
    <w:p w:rsidR="003B511B" w:rsidRPr="003B511B" w:rsidRDefault="003B511B" w:rsidP="00274291">
      <w:pPr>
        <w:pStyle w:val="Title1"/>
        <w:numPr>
          <w:ilvl w:val="0"/>
          <w:numId w:val="8"/>
        </w:numPr>
        <w:tabs>
          <w:tab w:val="clear" w:pos="2881"/>
          <w:tab w:val="clear" w:pos="3601"/>
          <w:tab w:val="clear" w:pos="4321"/>
          <w:tab w:val="clear" w:pos="5040"/>
          <w:tab w:val="clear" w:pos="5760"/>
          <w:tab w:val="clear" w:pos="6480"/>
          <w:tab w:val="clear" w:pos="7199"/>
          <w:tab w:val="clear" w:pos="7919"/>
          <w:tab w:val="clear" w:pos="8641"/>
          <w:tab w:val="clear" w:pos="9361"/>
          <w:tab w:val="clear" w:pos="10081"/>
          <w:tab w:val="clear" w:pos="10800"/>
          <w:tab w:val="clear" w:pos="11520"/>
          <w:tab w:val="clear" w:pos="12240"/>
          <w:tab w:val="clear" w:pos="12959"/>
          <w:tab w:val="clear" w:pos="13679"/>
          <w:tab w:val="clear" w:pos="14401"/>
          <w:tab w:val="clear" w:pos="15121"/>
          <w:tab w:val="clear" w:pos="15841"/>
          <w:tab w:val="clear" w:pos="16560"/>
          <w:tab w:val="clear" w:pos="17280"/>
          <w:tab w:val="clear" w:pos="18000"/>
          <w:tab w:val="clear" w:pos="18719"/>
          <w:tab w:val="clear" w:pos="19439"/>
          <w:tab w:val="clear" w:pos="20161"/>
          <w:tab w:val="clear" w:pos="20881"/>
          <w:tab w:val="clear" w:pos="21601"/>
          <w:tab w:val="left" w:pos="1530"/>
          <w:tab w:val="left" w:pos="2879"/>
          <w:tab w:val="left" w:pos="3599"/>
          <w:tab w:val="left" w:pos="4318"/>
          <w:tab w:val="left" w:pos="5038"/>
          <w:tab w:val="left" w:pos="5758"/>
          <w:tab w:val="left" w:pos="6477"/>
          <w:tab w:val="left" w:pos="7197"/>
          <w:tab w:val="left" w:pos="7917"/>
          <w:tab w:val="left" w:pos="8636"/>
          <w:tab w:val="left" w:pos="9356"/>
          <w:tab w:val="left" w:pos="10076"/>
          <w:tab w:val="left" w:pos="10796"/>
          <w:tab w:val="left" w:pos="11515"/>
          <w:tab w:val="left" w:pos="12235"/>
          <w:tab w:val="left" w:pos="12955"/>
          <w:tab w:val="left" w:pos="13674"/>
          <w:tab w:val="left" w:pos="14394"/>
          <w:tab w:val="left" w:pos="15114"/>
          <w:tab w:val="left" w:pos="15833"/>
          <w:tab w:val="left" w:pos="16553"/>
          <w:tab w:val="left" w:pos="17273"/>
          <w:tab w:val="left" w:pos="17993"/>
          <w:tab w:val="left" w:pos="18712"/>
          <w:tab w:val="left" w:pos="19432"/>
          <w:tab w:val="left" w:pos="20152"/>
          <w:tab w:val="left" w:pos="20871"/>
          <w:tab w:val="left" w:pos="21591"/>
        </w:tabs>
        <w:spacing w:line="240" w:lineRule="auto"/>
        <w:jc w:val="both"/>
        <w:rPr>
          <w:rFonts w:ascii="Arial" w:hAnsi="Arial" w:cs="Arial"/>
          <w:sz w:val="24"/>
          <w:szCs w:val="24"/>
        </w:rPr>
      </w:pPr>
      <w:r>
        <w:rPr>
          <w:rFonts w:ascii="Arial" w:hAnsi="Arial" w:cs="Arial"/>
          <w:sz w:val="24"/>
          <w:szCs w:val="24"/>
        </w:rPr>
        <w:t>More Information</w:t>
      </w:r>
    </w:p>
    <w:p w:rsidR="003B511B" w:rsidRDefault="003B511B" w:rsidP="006F5765">
      <w:pPr>
        <w:pStyle w:val="Title1"/>
        <w:tabs>
          <w:tab w:val="clear" w:pos="2881"/>
          <w:tab w:val="clear" w:pos="3601"/>
          <w:tab w:val="clear" w:pos="4321"/>
          <w:tab w:val="clear" w:pos="5040"/>
          <w:tab w:val="clear" w:pos="5760"/>
          <w:tab w:val="clear" w:pos="6480"/>
          <w:tab w:val="clear" w:pos="7199"/>
          <w:tab w:val="clear" w:pos="7919"/>
          <w:tab w:val="clear" w:pos="8641"/>
          <w:tab w:val="clear" w:pos="9361"/>
          <w:tab w:val="clear" w:pos="10081"/>
          <w:tab w:val="clear" w:pos="10800"/>
          <w:tab w:val="clear" w:pos="11520"/>
          <w:tab w:val="clear" w:pos="12240"/>
          <w:tab w:val="clear" w:pos="12959"/>
          <w:tab w:val="clear" w:pos="13679"/>
          <w:tab w:val="clear" w:pos="14401"/>
          <w:tab w:val="clear" w:pos="15121"/>
          <w:tab w:val="clear" w:pos="15841"/>
          <w:tab w:val="clear" w:pos="16560"/>
          <w:tab w:val="clear" w:pos="17280"/>
          <w:tab w:val="clear" w:pos="18000"/>
          <w:tab w:val="clear" w:pos="18719"/>
          <w:tab w:val="clear" w:pos="19439"/>
          <w:tab w:val="clear" w:pos="20161"/>
          <w:tab w:val="clear" w:pos="20881"/>
          <w:tab w:val="clear" w:pos="21601"/>
          <w:tab w:val="left" w:pos="1530"/>
          <w:tab w:val="left" w:pos="2879"/>
          <w:tab w:val="left" w:pos="3599"/>
          <w:tab w:val="left" w:pos="4318"/>
          <w:tab w:val="left" w:pos="5038"/>
          <w:tab w:val="left" w:pos="5758"/>
          <w:tab w:val="left" w:pos="6477"/>
          <w:tab w:val="left" w:pos="7197"/>
          <w:tab w:val="left" w:pos="7917"/>
          <w:tab w:val="left" w:pos="8636"/>
          <w:tab w:val="left" w:pos="9356"/>
          <w:tab w:val="left" w:pos="10076"/>
          <w:tab w:val="left" w:pos="10796"/>
          <w:tab w:val="left" w:pos="11515"/>
          <w:tab w:val="left" w:pos="12235"/>
          <w:tab w:val="left" w:pos="12955"/>
          <w:tab w:val="left" w:pos="13674"/>
          <w:tab w:val="left" w:pos="14394"/>
          <w:tab w:val="left" w:pos="15114"/>
          <w:tab w:val="left" w:pos="15833"/>
          <w:tab w:val="left" w:pos="16553"/>
          <w:tab w:val="left" w:pos="17273"/>
          <w:tab w:val="left" w:pos="17993"/>
          <w:tab w:val="left" w:pos="18712"/>
          <w:tab w:val="left" w:pos="19432"/>
          <w:tab w:val="left" w:pos="20152"/>
          <w:tab w:val="left" w:pos="20871"/>
          <w:tab w:val="left" w:pos="21591"/>
        </w:tabs>
        <w:spacing w:line="240" w:lineRule="auto"/>
        <w:ind w:left="360"/>
        <w:jc w:val="both"/>
        <w:rPr>
          <w:rFonts w:ascii="Arial" w:hAnsi="Arial" w:cs="Arial"/>
          <w:b w:val="0"/>
          <w:sz w:val="20"/>
        </w:rPr>
      </w:pPr>
    </w:p>
    <w:p w:rsidR="00211BBB" w:rsidRPr="00865263" w:rsidRDefault="00211BBB" w:rsidP="006B3366">
      <w:pPr>
        <w:pStyle w:val="Title1"/>
        <w:tabs>
          <w:tab w:val="clear" w:pos="2881"/>
          <w:tab w:val="clear" w:pos="3601"/>
          <w:tab w:val="clear" w:pos="4321"/>
          <w:tab w:val="clear" w:pos="5040"/>
          <w:tab w:val="clear" w:pos="5760"/>
          <w:tab w:val="clear" w:pos="6480"/>
          <w:tab w:val="clear" w:pos="7199"/>
          <w:tab w:val="clear" w:pos="7919"/>
          <w:tab w:val="clear" w:pos="8641"/>
          <w:tab w:val="clear" w:pos="9361"/>
          <w:tab w:val="clear" w:pos="10081"/>
          <w:tab w:val="clear" w:pos="10800"/>
          <w:tab w:val="clear" w:pos="11520"/>
          <w:tab w:val="clear" w:pos="12240"/>
          <w:tab w:val="clear" w:pos="12959"/>
          <w:tab w:val="clear" w:pos="13679"/>
          <w:tab w:val="clear" w:pos="14401"/>
          <w:tab w:val="clear" w:pos="15121"/>
          <w:tab w:val="clear" w:pos="15841"/>
          <w:tab w:val="clear" w:pos="16560"/>
          <w:tab w:val="clear" w:pos="17280"/>
          <w:tab w:val="clear" w:pos="18000"/>
          <w:tab w:val="clear" w:pos="18719"/>
          <w:tab w:val="clear" w:pos="19439"/>
          <w:tab w:val="clear" w:pos="20161"/>
          <w:tab w:val="clear" w:pos="20881"/>
          <w:tab w:val="clear" w:pos="21601"/>
          <w:tab w:val="left" w:pos="1530"/>
          <w:tab w:val="left" w:pos="2879"/>
          <w:tab w:val="left" w:pos="3599"/>
          <w:tab w:val="left" w:pos="4318"/>
          <w:tab w:val="left" w:pos="5038"/>
          <w:tab w:val="left" w:pos="5758"/>
          <w:tab w:val="left" w:pos="6477"/>
          <w:tab w:val="left" w:pos="7197"/>
          <w:tab w:val="left" w:pos="7917"/>
          <w:tab w:val="left" w:pos="8636"/>
          <w:tab w:val="left" w:pos="9356"/>
          <w:tab w:val="left" w:pos="10076"/>
          <w:tab w:val="left" w:pos="10796"/>
          <w:tab w:val="left" w:pos="11515"/>
          <w:tab w:val="left" w:pos="12235"/>
          <w:tab w:val="left" w:pos="12955"/>
          <w:tab w:val="left" w:pos="13674"/>
          <w:tab w:val="left" w:pos="14394"/>
          <w:tab w:val="left" w:pos="15114"/>
          <w:tab w:val="left" w:pos="15833"/>
          <w:tab w:val="left" w:pos="16553"/>
          <w:tab w:val="left" w:pos="17273"/>
          <w:tab w:val="left" w:pos="17993"/>
          <w:tab w:val="left" w:pos="18712"/>
          <w:tab w:val="left" w:pos="19432"/>
          <w:tab w:val="left" w:pos="20152"/>
          <w:tab w:val="left" w:pos="20871"/>
          <w:tab w:val="left" w:pos="21591"/>
        </w:tabs>
        <w:spacing w:line="360" w:lineRule="auto"/>
        <w:jc w:val="both"/>
        <w:rPr>
          <w:rFonts w:ascii="Times New Roman" w:hAnsi="Times New Roman"/>
          <w:sz w:val="28"/>
          <w:szCs w:val="28"/>
        </w:rPr>
      </w:pPr>
      <w:r w:rsidRPr="00865263">
        <w:rPr>
          <w:rFonts w:ascii="Times New Roman" w:hAnsi="Times New Roman"/>
          <w:sz w:val="28"/>
          <w:szCs w:val="28"/>
        </w:rPr>
        <w:t>Chapter 16</w:t>
      </w:r>
      <w:r w:rsidR="006B3366">
        <w:rPr>
          <w:rFonts w:ascii="Times New Roman" w:hAnsi="Times New Roman"/>
          <w:sz w:val="28"/>
          <w:szCs w:val="28"/>
        </w:rPr>
        <w:t>.</w:t>
      </w:r>
      <w:r w:rsidR="009C0FEB">
        <w:rPr>
          <w:rFonts w:ascii="Times New Roman" w:hAnsi="Times New Roman"/>
          <w:sz w:val="28"/>
          <w:szCs w:val="28"/>
        </w:rPr>
        <w:t xml:space="preserve"> </w:t>
      </w:r>
    </w:p>
    <w:p w:rsidR="00211BBB" w:rsidRDefault="00211BBB" w:rsidP="008974E4">
      <w:pPr>
        <w:pStyle w:val="Title1"/>
        <w:tabs>
          <w:tab w:val="clear" w:pos="2881"/>
          <w:tab w:val="clear" w:pos="3601"/>
          <w:tab w:val="clear" w:pos="4321"/>
          <w:tab w:val="clear" w:pos="5040"/>
          <w:tab w:val="clear" w:pos="5760"/>
          <w:tab w:val="clear" w:pos="6480"/>
          <w:tab w:val="clear" w:pos="7199"/>
          <w:tab w:val="clear" w:pos="7919"/>
          <w:tab w:val="clear" w:pos="8641"/>
          <w:tab w:val="clear" w:pos="9361"/>
          <w:tab w:val="clear" w:pos="10081"/>
          <w:tab w:val="clear" w:pos="10800"/>
          <w:tab w:val="clear" w:pos="11520"/>
          <w:tab w:val="clear" w:pos="12240"/>
          <w:tab w:val="clear" w:pos="12959"/>
          <w:tab w:val="clear" w:pos="13679"/>
          <w:tab w:val="clear" w:pos="14401"/>
          <w:tab w:val="clear" w:pos="15121"/>
          <w:tab w:val="clear" w:pos="15841"/>
          <w:tab w:val="clear" w:pos="16560"/>
          <w:tab w:val="clear" w:pos="17280"/>
          <w:tab w:val="clear" w:pos="18000"/>
          <w:tab w:val="clear" w:pos="18719"/>
          <w:tab w:val="clear" w:pos="19439"/>
          <w:tab w:val="clear" w:pos="20161"/>
          <w:tab w:val="clear" w:pos="20881"/>
          <w:tab w:val="clear" w:pos="21601"/>
          <w:tab w:val="left" w:pos="2879"/>
          <w:tab w:val="left" w:pos="3599"/>
          <w:tab w:val="left" w:pos="4318"/>
          <w:tab w:val="left" w:pos="5038"/>
          <w:tab w:val="left" w:pos="5758"/>
          <w:tab w:val="left" w:pos="6477"/>
          <w:tab w:val="left" w:pos="7197"/>
          <w:tab w:val="left" w:pos="7917"/>
          <w:tab w:val="left" w:pos="8636"/>
          <w:tab w:val="left" w:pos="9356"/>
          <w:tab w:val="left" w:pos="10076"/>
          <w:tab w:val="left" w:pos="10796"/>
          <w:tab w:val="left" w:pos="11515"/>
          <w:tab w:val="left" w:pos="12235"/>
          <w:tab w:val="left" w:pos="12955"/>
          <w:tab w:val="left" w:pos="13674"/>
          <w:tab w:val="left" w:pos="14394"/>
          <w:tab w:val="left" w:pos="15114"/>
          <w:tab w:val="left" w:pos="15833"/>
          <w:tab w:val="left" w:pos="16553"/>
          <w:tab w:val="left" w:pos="17273"/>
          <w:tab w:val="left" w:pos="17993"/>
          <w:tab w:val="left" w:pos="18712"/>
          <w:tab w:val="left" w:pos="19432"/>
          <w:tab w:val="left" w:pos="20152"/>
          <w:tab w:val="left" w:pos="20871"/>
          <w:tab w:val="left" w:pos="21591"/>
        </w:tabs>
        <w:spacing w:line="360" w:lineRule="auto"/>
        <w:jc w:val="both"/>
        <w:rPr>
          <w:rFonts w:ascii="Times New Roman" w:hAnsi="Times New Roman"/>
          <w:sz w:val="28"/>
          <w:szCs w:val="28"/>
        </w:rPr>
      </w:pPr>
      <w:r w:rsidRPr="00865263">
        <w:rPr>
          <w:rFonts w:ascii="Times New Roman" w:hAnsi="Times New Roman"/>
          <w:sz w:val="28"/>
          <w:szCs w:val="28"/>
        </w:rPr>
        <w:t>Consumer Expenditure</w:t>
      </w:r>
      <w:r w:rsidR="003B511B">
        <w:rPr>
          <w:rFonts w:ascii="Times New Roman" w:hAnsi="Times New Roman"/>
          <w:sz w:val="28"/>
          <w:szCs w:val="28"/>
        </w:rPr>
        <w:t xml:space="preserve"> Survey</w:t>
      </w:r>
    </w:p>
    <w:p w:rsidR="003B511B" w:rsidRPr="00411FFD" w:rsidRDefault="003B511B" w:rsidP="00274291">
      <w:pPr>
        <w:pStyle w:val="ListParagraph"/>
        <w:numPr>
          <w:ilvl w:val="0"/>
          <w:numId w:val="9"/>
        </w:numPr>
        <w:shd w:val="clear" w:color="auto" w:fill="FFFFFF"/>
        <w:spacing w:before="120" w:after="105"/>
        <w:outlineLvl w:val="2"/>
        <w:rPr>
          <w:rFonts w:ascii="Arial" w:hAnsi="Arial" w:cs="Arial"/>
          <w:b/>
          <w:bCs/>
          <w:color w:val="C0504D" w:themeColor="accent2"/>
          <w:sz w:val="24"/>
          <w:szCs w:val="24"/>
        </w:rPr>
      </w:pPr>
      <w:r w:rsidRPr="00411FFD">
        <w:rPr>
          <w:rFonts w:ascii="Arial" w:hAnsi="Arial" w:cs="Arial"/>
          <w:b/>
          <w:bCs/>
          <w:color w:val="C0504D" w:themeColor="accent2"/>
          <w:sz w:val="24"/>
          <w:szCs w:val="24"/>
        </w:rPr>
        <w:t>Overview</w:t>
      </w:r>
      <w:r w:rsidR="00784887" w:rsidRPr="00411FFD">
        <w:rPr>
          <w:rFonts w:ascii="Arial" w:hAnsi="Arial" w:cs="Arial"/>
          <w:b/>
          <w:bCs/>
          <w:color w:val="C0504D" w:themeColor="accent2"/>
          <w:sz w:val="24"/>
          <w:szCs w:val="24"/>
        </w:rPr>
        <w:t xml:space="preserve"> and Quick Facts</w:t>
      </w:r>
    </w:p>
    <w:p w:rsidR="008D47E7" w:rsidRPr="00AD530E" w:rsidRDefault="008D47E7" w:rsidP="00E220E6">
      <w:pPr>
        <w:spacing w:before="120" w:line="360" w:lineRule="auto"/>
        <w:ind w:firstLine="360"/>
        <w:rPr>
          <w:sz w:val="24"/>
          <w:szCs w:val="24"/>
        </w:rPr>
      </w:pPr>
      <w:r w:rsidRPr="00AD530E">
        <w:rPr>
          <w:sz w:val="24"/>
          <w:szCs w:val="24"/>
        </w:rPr>
        <w:t xml:space="preserve">The </w:t>
      </w:r>
      <w:r w:rsidRPr="00AD530E">
        <w:rPr>
          <w:b/>
          <w:bCs/>
          <w:sz w:val="24"/>
          <w:szCs w:val="24"/>
        </w:rPr>
        <w:t>Consumer Expenditure Survey (CE)</w:t>
      </w:r>
      <w:r w:rsidRPr="00AD530E">
        <w:rPr>
          <w:sz w:val="24"/>
          <w:szCs w:val="24"/>
        </w:rPr>
        <w:t xml:space="preserve"> is a nationwide household survey conducted by the U.S. Bureau of Labor Statistics (BLS) to find out how Americans spend their money.  It is the only federal government survey that provides information on the complete range of consumers’ expenditures as well as their incomes and demographic characteristics.  The BLS publishes 12-month estimates of </w:t>
      </w:r>
      <w:r w:rsidR="00111514" w:rsidRPr="00BE53FE">
        <w:rPr>
          <w:sz w:val="24"/>
          <w:szCs w:val="24"/>
        </w:rPr>
        <w:t>consumer</w:t>
      </w:r>
      <w:r w:rsidRPr="00BE53FE">
        <w:rPr>
          <w:sz w:val="24"/>
          <w:szCs w:val="24"/>
        </w:rPr>
        <w:t xml:space="preserve"> </w:t>
      </w:r>
      <w:r w:rsidRPr="00AD530E">
        <w:rPr>
          <w:sz w:val="24"/>
          <w:szCs w:val="24"/>
        </w:rPr>
        <w:t>expenditures with the estimates summarized by various income levels and household characteristics.  The BLS also produces public use microdata files to help researchers analyze the data in more detail.</w:t>
      </w:r>
    </w:p>
    <w:p w:rsidR="008D47E7" w:rsidRPr="00AD530E" w:rsidRDefault="008D47E7" w:rsidP="00E220E6">
      <w:pPr>
        <w:spacing w:before="120" w:line="360" w:lineRule="auto"/>
        <w:rPr>
          <w:sz w:val="24"/>
          <w:szCs w:val="24"/>
        </w:rPr>
      </w:pPr>
    </w:p>
    <w:p w:rsidR="003B511B" w:rsidRPr="00E220E6" w:rsidRDefault="008D47E7" w:rsidP="00E220E6">
      <w:pPr>
        <w:spacing w:before="120" w:line="360" w:lineRule="auto"/>
        <w:ind w:firstLine="360"/>
        <w:rPr>
          <w:rFonts w:ascii="Tahoma" w:hAnsi="Tahoma" w:cs="Tahoma"/>
          <w:sz w:val="24"/>
          <w:szCs w:val="24"/>
        </w:rPr>
      </w:pPr>
      <w:r w:rsidRPr="00AD530E">
        <w:rPr>
          <w:sz w:val="24"/>
          <w:szCs w:val="24"/>
        </w:rPr>
        <w:t xml:space="preserve">The CE consists of </w:t>
      </w:r>
      <w:r w:rsidR="00111514">
        <w:rPr>
          <w:sz w:val="24"/>
          <w:szCs w:val="24"/>
        </w:rPr>
        <w:t xml:space="preserve">estimates derived from </w:t>
      </w:r>
      <w:r w:rsidRPr="00AD530E">
        <w:rPr>
          <w:sz w:val="24"/>
          <w:szCs w:val="24"/>
        </w:rPr>
        <w:t xml:space="preserve">two </w:t>
      </w:r>
      <w:r w:rsidR="00111514">
        <w:rPr>
          <w:sz w:val="24"/>
          <w:szCs w:val="24"/>
        </w:rPr>
        <w:t xml:space="preserve">separate </w:t>
      </w:r>
      <w:r w:rsidRPr="00AD530E">
        <w:rPr>
          <w:sz w:val="24"/>
          <w:szCs w:val="24"/>
        </w:rPr>
        <w:t xml:space="preserve">surveys, the Quarterly Interview Survey and the Diary Survey.  The Quarterly Interview Survey is designed to collect data on large and recurring expenditures that consumers can be expected to recall for a period of 3 months or longer such as rent and utilities, while the Diary Survey is designed to collect data on small, frequently purchased items including </w:t>
      </w:r>
      <w:r w:rsidR="00E220E6">
        <w:rPr>
          <w:sz w:val="24"/>
          <w:szCs w:val="24"/>
        </w:rPr>
        <w:t>most f</w:t>
      </w:r>
      <w:r w:rsidR="00E220E6" w:rsidRPr="00AD530E">
        <w:rPr>
          <w:sz w:val="24"/>
          <w:szCs w:val="24"/>
        </w:rPr>
        <w:t xml:space="preserve">ood </w:t>
      </w:r>
      <w:r w:rsidRPr="00AD530E">
        <w:rPr>
          <w:sz w:val="24"/>
          <w:szCs w:val="24"/>
        </w:rPr>
        <w:t xml:space="preserve">and clothing.  Together the data from the two surveys cover the complete range of consumers’ expenditures.  The CE’s data are collected for BLS by the U.S. Census Bureau.  </w:t>
      </w:r>
      <w:r w:rsidRPr="00E220E6">
        <w:rPr>
          <w:rFonts w:ascii="Tahoma" w:hAnsi="Tahoma" w:cs="Tahoma"/>
          <w:sz w:val="24"/>
          <w:szCs w:val="24"/>
        </w:rPr>
        <w:br/>
      </w:r>
    </w:p>
    <w:tbl>
      <w:tblPr>
        <w:tblW w:w="10050" w:type="dxa"/>
        <w:tblCellSpacing w:w="15" w:type="dxa"/>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1491"/>
        <w:gridCol w:w="8559"/>
      </w:tblGrid>
      <w:tr w:rsidR="003B511B" w:rsidRPr="003B511B" w:rsidTr="00AD530E">
        <w:trPr>
          <w:trHeight w:val="681"/>
          <w:tblHeader/>
          <w:tblCellSpacing w:w="15" w:type="dxa"/>
        </w:trPr>
        <w:tc>
          <w:tcPr>
            <w:tcW w:w="0" w:type="auto"/>
            <w:gridSpan w:val="2"/>
            <w:tcBorders>
              <w:top w:val="nil"/>
              <w:left w:val="nil"/>
              <w:bottom w:val="nil"/>
              <w:right w:val="nil"/>
            </w:tcBorders>
            <w:tcMar>
              <w:top w:w="45" w:type="dxa"/>
              <w:left w:w="45" w:type="dxa"/>
              <w:bottom w:w="45" w:type="dxa"/>
              <w:right w:w="45" w:type="dxa"/>
            </w:tcMar>
            <w:vAlign w:val="center"/>
            <w:hideMark/>
          </w:tcPr>
          <w:p w:rsidR="003B511B" w:rsidRPr="003B511B" w:rsidRDefault="003B511B" w:rsidP="00B2458C">
            <w:pPr>
              <w:spacing w:before="240" w:after="240"/>
              <w:jc w:val="center"/>
              <w:rPr>
                <w:rFonts w:ascii="Tahoma" w:hAnsi="Tahoma" w:cs="Tahoma"/>
                <w:b/>
                <w:bCs/>
                <w:sz w:val="18"/>
                <w:szCs w:val="18"/>
              </w:rPr>
            </w:pPr>
            <w:r w:rsidRPr="003B511B">
              <w:rPr>
                <w:rFonts w:ascii="Tahoma" w:hAnsi="Tahoma" w:cs="Tahoma"/>
                <w:b/>
                <w:bCs/>
                <w:sz w:val="18"/>
                <w:szCs w:val="18"/>
              </w:rPr>
              <w:lastRenderedPageBreak/>
              <w:t xml:space="preserve">Quick Facts: </w:t>
            </w:r>
            <w:r w:rsidR="005847EC">
              <w:rPr>
                <w:rFonts w:ascii="Tahoma" w:hAnsi="Tahoma" w:cs="Tahoma"/>
                <w:b/>
                <w:bCs/>
                <w:sz w:val="18"/>
                <w:szCs w:val="18"/>
              </w:rPr>
              <w:t>Consumer Expenditure S</w:t>
            </w:r>
            <w:r w:rsidR="00B2458C">
              <w:rPr>
                <w:rFonts w:ascii="Tahoma" w:hAnsi="Tahoma" w:cs="Tahoma"/>
                <w:b/>
                <w:bCs/>
                <w:sz w:val="18"/>
                <w:szCs w:val="18"/>
              </w:rPr>
              <w:t>urvey</w:t>
            </w:r>
          </w:p>
        </w:tc>
      </w:tr>
      <w:tr w:rsidR="00B966A4" w:rsidRPr="003B511B" w:rsidTr="00AD530E">
        <w:trPr>
          <w:trHeight w:val="696"/>
          <w:tblCellSpacing w:w="15" w:type="dxa"/>
        </w:trPr>
        <w:tc>
          <w:tcPr>
            <w:tcW w:w="0" w:type="auto"/>
            <w:tcBorders>
              <w:top w:val="nil"/>
              <w:left w:val="nil"/>
              <w:bottom w:val="nil"/>
              <w:right w:val="nil"/>
            </w:tcBorders>
            <w:tcMar>
              <w:top w:w="45" w:type="dxa"/>
              <w:left w:w="45" w:type="dxa"/>
              <w:bottom w:w="45" w:type="dxa"/>
              <w:right w:w="45" w:type="dxa"/>
            </w:tcMar>
            <w:vAlign w:val="center"/>
            <w:hideMark/>
          </w:tcPr>
          <w:p w:rsidR="003B511B" w:rsidRPr="003B511B" w:rsidRDefault="003B511B" w:rsidP="003B511B">
            <w:pPr>
              <w:spacing w:before="240" w:after="240"/>
              <w:jc w:val="center"/>
              <w:rPr>
                <w:rFonts w:ascii="Tahoma" w:hAnsi="Tahoma" w:cs="Tahoma"/>
                <w:b/>
                <w:bCs/>
                <w:sz w:val="18"/>
                <w:szCs w:val="18"/>
              </w:rPr>
            </w:pPr>
            <w:r w:rsidRPr="003B511B">
              <w:rPr>
                <w:rFonts w:ascii="Tahoma" w:hAnsi="Tahoma" w:cs="Tahoma"/>
                <w:b/>
                <w:bCs/>
                <w:sz w:val="18"/>
                <w:szCs w:val="18"/>
              </w:rPr>
              <w:t>Subject areas</w:t>
            </w:r>
          </w:p>
        </w:tc>
        <w:tc>
          <w:tcPr>
            <w:tcW w:w="0" w:type="auto"/>
            <w:tcMar>
              <w:top w:w="45" w:type="dxa"/>
              <w:left w:w="45" w:type="dxa"/>
              <w:bottom w:w="45" w:type="dxa"/>
              <w:right w:w="45" w:type="dxa"/>
            </w:tcMar>
            <w:vAlign w:val="center"/>
            <w:hideMark/>
          </w:tcPr>
          <w:p w:rsidR="003B511B" w:rsidRPr="003B511B" w:rsidRDefault="002778D9" w:rsidP="003B511B">
            <w:pPr>
              <w:spacing w:before="240" w:after="240"/>
              <w:rPr>
                <w:rFonts w:ascii="Tahoma" w:hAnsi="Tahoma" w:cs="Tahoma"/>
                <w:sz w:val="18"/>
                <w:szCs w:val="18"/>
              </w:rPr>
            </w:pPr>
            <w:r>
              <w:rPr>
                <w:rFonts w:ascii="Tahoma" w:hAnsi="Tahoma" w:cs="Tahoma"/>
                <w:sz w:val="18"/>
                <w:szCs w:val="18"/>
              </w:rPr>
              <w:t>Consumer spending</w:t>
            </w:r>
          </w:p>
        </w:tc>
      </w:tr>
      <w:tr w:rsidR="00B966A4" w:rsidRPr="003B511B" w:rsidTr="00AD530E">
        <w:trPr>
          <w:trHeight w:val="904"/>
          <w:tblCellSpacing w:w="15" w:type="dxa"/>
        </w:trPr>
        <w:tc>
          <w:tcPr>
            <w:tcW w:w="0" w:type="auto"/>
            <w:tcBorders>
              <w:top w:val="nil"/>
              <w:left w:val="nil"/>
              <w:bottom w:val="nil"/>
              <w:right w:val="nil"/>
            </w:tcBorders>
            <w:tcMar>
              <w:top w:w="45" w:type="dxa"/>
              <w:left w:w="45" w:type="dxa"/>
              <w:bottom w:w="45" w:type="dxa"/>
              <w:right w:w="45" w:type="dxa"/>
            </w:tcMar>
            <w:vAlign w:val="center"/>
            <w:hideMark/>
          </w:tcPr>
          <w:p w:rsidR="003B511B" w:rsidRPr="003B511B" w:rsidRDefault="003B511B" w:rsidP="003B511B">
            <w:pPr>
              <w:spacing w:before="240" w:after="240"/>
              <w:jc w:val="center"/>
              <w:rPr>
                <w:rFonts w:ascii="Tahoma" w:hAnsi="Tahoma" w:cs="Tahoma"/>
                <w:b/>
                <w:bCs/>
                <w:sz w:val="18"/>
                <w:szCs w:val="18"/>
              </w:rPr>
            </w:pPr>
            <w:r w:rsidRPr="003B511B">
              <w:rPr>
                <w:rFonts w:ascii="Tahoma" w:hAnsi="Tahoma" w:cs="Tahoma"/>
                <w:b/>
                <w:bCs/>
                <w:sz w:val="18"/>
                <w:szCs w:val="18"/>
              </w:rPr>
              <w:t>Key measures</w:t>
            </w:r>
          </w:p>
        </w:tc>
        <w:tc>
          <w:tcPr>
            <w:tcW w:w="0" w:type="auto"/>
            <w:tcMar>
              <w:top w:w="45" w:type="dxa"/>
              <w:left w:w="45" w:type="dxa"/>
              <w:bottom w:w="45" w:type="dxa"/>
              <w:right w:w="45" w:type="dxa"/>
            </w:tcMar>
            <w:vAlign w:val="center"/>
            <w:hideMark/>
          </w:tcPr>
          <w:p w:rsidR="003B511B" w:rsidRPr="00D43074" w:rsidRDefault="000E14D9" w:rsidP="001701BC">
            <w:pPr>
              <w:spacing w:before="240" w:after="240"/>
              <w:rPr>
                <w:rFonts w:ascii="Tahoma" w:hAnsi="Tahoma" w:cs="Tahoma"/>
                <w:sz w:val="18"/>
                <w:szCs w:val="18"/>
              </w:rPr>
            </w:pPr>
            <w:r w:rsidRPr="00D43074">
              <w:rPr>
                <w:rFonts w:ascii="Tahoma" w:hAnsi="Tahoma" w:cs="Tahoma"/>
                <w:sz w:val="18"/>
                <w:szCs w:val="18"/>
              </w:rPr>
              <w:t xml:space="preserve">12 month tables of consumer spending with variances, relative shares of expenditures, </w:t>
            </w:r>
            <w:r w:rsidR="00EB7428" w:rsidRPr="00D43074">
              <w:rPr>
                <w:rFonts w:ascii="Tahoma" w:hAnsi="Tahoma" w:cs="Tahoma"/>
                <w:sz w:val="18"/>
                <w:szCs w:val="18"/>
              </w:rPr>
              <w:t xml:space="preserve">and </w:t>
            </w:r>
            <w:r w:rsidRPr="001701BC">
              <w:rPr>
                <w:rFonts w:ascii="Tahoma" w:hAnsi="Tahoma" w:cs="Tahoma"/>
                <w:sz w:val="18"/>
                <w:szCs w:val="18"/>
              </w:rPr>
              <w:t xml:space="preserve">cross tabulations by demographic characteristics </w:t>
            </w:r>
            <w:r w:rsidR="001701BC">
              <w:rPr>
                <w:rFonts w:ascii="Tahoma" w:hAnsi="Tahoma" w:cs="Tahoma"/>
                <w:sz w:val="18"/>
                <w:szCs w:val="18"/>
              </w:rPr>
              <w:t>including</w:t>
            </w:r>
            <w:r w:rsidRPr="001701BC">
              <w:rPr>
                <w:rFonts w:ascii="Tahoma" w:hAnsi="Tahoma" w:cs="Tahoma"/>
                <w:sz w:val="18"/>
                <w:szCs w:val="18"/>
              </w:rPr>
              <w:t xml:space="preserve"> </w:t>
            </w:r>
            <w:r w:rsidR="00BE53FE" w:rsidRPr="001701BC">
              <w:rPr>
                <w:rFonts w:ascii="Tahoma" w:hAnsi="Tahoma" w:cs="Tahoma"/>
                <w:sz w:val="18"/>
                <w:szCs w:val="18"/>
              </w:rPr>
              <w:t xml:space="preserve">income or </w:t>
            </w:r>
            <w:r w:rsidRPr="001701BC">
              <w:rPr>
                <w:rFonts w:ascii="Tahoma" w:hAnsi="Tahoma" w:cs="Tahoma"/>
                <w:sz w:val="18"/>
                <w:szCs w:val="18"/>
              </w:rPr>
              <w:t>race or education, and public use microdata</w:t>
            </w:r>
            <w:r w:rsidR="00B966A4" w:rsidRPr="001701BC">
              <w:rPr>
                <w:rFonts w:ascii="Tahoma" w:hAnsi="Tahoma" w:cs="Tahoma"/>
                <w:sz w:val="18"/>
                <w:szCs w:val="18"/>
              </w:rPr>
              <w:t xml:space="preserve">. </w:t>
            </w:r>
            <w:r w:rsidR="00B966A4" w:rsidRPr="00C244B6">
              <w:rPr>
                <w:rFonts w:ascii="Tahoma" w:hAnsi="Tahoma" w:cs="Tahoma"/>
                <w:sz w:val="18"/>
                <w:szCs w:val="18"/>
              </w:rPr>
              <w:t xml:space="preserve">The tables and microdata allow users to examine </w:t>
            </w:r>
            <w:r w:rsidR="001701BC">
              <w:rPr>
                <w:rFonts w:ascii="Tahoma" w:hAnsi="Tahoma" w:cs="Tahoma"/>
                <w:sz w:val="18"/>
                <w:szCs w:val="18"/>
              </w:rPr>
              <w:t xml:space="preserve">the </w:t>
            </w:r>
            <w:r w:rsidR="00B966A4" w:rsidRPr="00C244B6">
              <w:rPr>
                <w:rFonts w:ascii="Tahoma" w:hAnsi="Tahoma" w:cs="Tahoma"/>
                <w:sz w:val="18"/>
                <w:szCs w:val="18"/>
              </w:rPr>
              <w:t>association of expenditures and income of consumers to consumer characteristics.</w:t>
            </w:r>
          </w:p>
        </w:tc>
      </w:tr>
      <w:tr w:rsidR="00B966A4" w:rsidRPr="003B511B" w:rsidTr="00AD530E">
        <w:trPr>
          <w:trHeight w:val="904"/>
          <w:tblCellSpacing w:w="15" w:type="dxa"/>
        </w:trPr>
        <w:tc>
          <w:tcPr>
            <w:tcW w:w="0" w:type="auto"/>
            <w:tcBorders>
              <w:top w:val="nil"/>
              <w:left w:val="nil"/>
              <w:bottom w:val="nil"/>
              <w:right w:val="nil"/>
            </w:tcBorders>
            <w:tcMar>
              <w:top w:w="45" w:type="dxa"/>
              <w:left w:w="45" w:type="dxa"/>
              <w:bottom w:w="45" w:type="dxa"/>
              <w:right w:w="45" w:type="dxa"/>
            </w:tcMar>
            <w:vAlign w:val="center"/>
            <w:hideMark/>
          </w:tcPr>
          <w:p w:rsidR="003B511B" w:rsidRPr="003B511B" w:rsidRDefault="003B511B" w:rsidP="003B511B">
            <w:pPr>
              <w:spacing w:before="240" w:after="240"/>
              <w:jc w:val="center"/>
              <w:rPr>
                <w:rFonts w:ascii="Tahoma" w:hAnsi="Tahoma" w:cs="Tahoma"/>
                <w:b/>
                <w:bCs/>
                <w:sz w:val="18"/>
                <w:szCs w:val="18"/>
              </w:rPr>
            </w:pPr>
            <w:r w:rsidRPr="003B511B">
              <w:rPr>
                <w:rFonts w:ascii="Tahoma" w:hAnsi="Tahoma" w:cs="Tahoma"/>
                <w:b/>
                <w:bCs/>
                <w:sz w:val="18"/>
                <w:szCs w:val="18"/>
              </w:rPr>
              <w:t>How the data are obtained</w:t>
            </w:r>
          </w:p>
        </w:tc>
        <w:tc>
          <w:tcPr>
            <w:tcW w:w="0" w:type="auto"/>
            <w:tcMar>
              <w:top w:w="45" w:type="dxa"/>
              <w:left w:w="45" w:type="dxa"/>
              <w:bottom w:w="45" w:type="dxa"/>
              <w:right w:w="45" w:type="dxa"/>
            </w:tcMar>
            <w:vAlign w:val="center"/>
            <w:hideMark/>
          </w:tcPr>
          <w:p w:rsidR="003B511B" w:rsidRPr="003B511B" w:rsidRDefault="002778D9" w:rsidP="003B511B">
            <w:pPr>
              <w:spacing w:before="240" w:after="240"/>
              <w:rPr>
                <w:rFonts w:ascii="Tahoma" w:hAnsi="Tahoma" w:cs="Tahoma"/>
                <w:sz w:val="18"/>
                <w:szCs w:val="18"/>
              </w:rPr>
            </w:pPr>
            <w:r>
              <w:rPr>
                <w:rFonts w:ascii="Tahoma" w:hAnsi="Tahoma" w:cs="Tahoma"/>
                <w:sz w:val="18"/>
                <w:szCs w:val="18"/>
              </w:rPr>
              <w:t>Interview and Diary surveys of households are collected for BLS by the U.S. Census Bureau</w:t>
            </w:r>
            <w:r w:rsidR="003B511B" w:rsidRPr="003B511B">
              <w:rPr>
                <w:rFonts w:ascii="Tahoma" w:hAnsi="Tahoma" w:cs="Tahoma"/>
                <w:sz w:val="18"/>
                <w:szCs w:val="18"/>
              </w:rPr>
              <w:t xml:space="preserve"> </w:t>
            </w:r>
          </w:p>
        </w:tc>
      </w:tr>
      <w:tr w:rsidR="00B966A4" w:rsidRPr="003B511B" w:rsidTr="00AD530E">
        <w:trPr>
          <w:trHeight w:val="696"/>
          <w:tblCellSpacing w:w="15" w:type="dxa"/>
        </w:trPr>
        <w:tc>
          <w:tcPr>
            <w:tcW w:w="0" w:type="auto"/>
            <w:tcBorders>
              <w:top w:val="nil"/>
              <w:left w:val="nil"/>
              <w:bottom w:val="nil"/>
              <w:right w:val="nil"/>
            </w:tcBorders>
            <w:tcMar>
              <w:top w:w="45" w:type="dxa"/>
              <w:left w:w="45" w:type="dxa"/>
              <w:bottom w:w="45" w:type="dxa"/>
              <w:right w:w="45" w:type="dxa"/>
            </w:tcMar>
            <w:vAlign w:val="center"/>
            <w:hideMark/>
          </w:tcPr>
          <w:p w:rsidR="003B511B" w:rsidRPr="003B511B" w:rsidRDefault="003B511B" w:rsidP="003B511B">
            <w:pPr>
              <w:spacing w:before="240" w:after="240"/>
              <w:jc w:val="center"/>
              <w:rPr>
                <w:rFonts w:ascii="Tahoma" w:hAnsi="Tahoma" w:cs="Tahoma"/>
                <w:b/>
                <w:bCs/>
                <w:sz w:val="18"/>
                <w:szCs w:val="18"/>
              </w:rPr>
            </w:pPr>
            <w:r w:rsidRPr="003B511B">
              <w:rPr>
                <w:rFonts w:ascii="Tahoma" w:hAnsi="Tahoma" w:cs="Tahoma"/>
                <w:b/>
                <w:bCs/>
                <w:sz w:val="18"/>
                <w:szCs w:val="18"/>
              </w:rPr>
              <w:t>Geographic detail</w:t>
            </w:r>
          </w:p>
        </w:tc>
        <w:tc>
          <w:tcPr>
            <w:tcW w:w="0" w:type="auto"/>
            <w:tcMar>
              <w:top w:w="45" w:type="dxa"/>
              <w:left w:w="45" w:type="dxa"/>
              <w:bottom w:w="45" w:type="dxa"/>
              <w:right w:w="45" w:type="dxa"/>
            </w:tcMar>
            <w:vAlign w:val="center"/>
            <w:hideMark/>
          </w:tcPr>
          <w:p w:rsidR="003B511B" w:rsidRPr="003B511B" w:rsidRDefault="003B511B" w:rsidP="002778D9">
            <w:pPr>
              <w:spacing w:before="240" w:after="240"/>
              <w:rPr>
                <w:rFonts w:ascii="Tahoma" w:hAnsi="Tahoma" w:cs="Tahoma"/>
                <w:sz w:val="18"/>
                <w:szCs w:val="18"/>
              </w:rPr>
            </w:pPr>
            <w:r w:rsidRPr="003B511B">
              <w:rPr>
                <w:rFonts w:ascii="Tahoma" w:hAnsi="Tahoma" w:cs="Tahoma"/>
                <w:sz w:val="18"/>
                <w:szCs w:val="18"/>
              </w:rPr>
              <w:t>National; Census region</w:t>
            </w:r>
            <w:r w:rsidR="002778D9">
              <w:rPr>
                <w:rFonts w:ascii="Tahoma" w:hAnsi="Tahoma" w:cs="Tahoma"/>
                <w:sz w:val="18"/>
                <w:szCs w:val="18"/>
              </w:rPr>
              <w:t xml:space="preserve">; </w:t>
            </w:r>
            <w:r w:rsidR="000E14D9">
              <w:rPr>
                <w:rFonts w:ascii="Tahoma" w:hAnsi="Tahoma" w:cs="Tahoma"/>
                <w:sz w:val="18"/>
                <w:szCs w:val="18"/>
              </w:rPr>
              <w:t xml:space="preserve">urban and rural, </w:t>
            </w:r>
            <w:r w:rsidR="002778D9">
              <w:rPr>
                <w:rFonts w:ascii="Tahoma" w:hAnsi="Tahoma" w:cs="Tahoma"/>
                <w:sz w:val="18"/>
                <w:szCs w:val="18"/>
              </w:rPr>
              <w:t>major metropolitan areas.</w:t>
            </w:r>
          </w:p>
        </w:tc>
      </w:tr>
      <w:tr w:rsidR="00B966A4" w:rsidRPr="003B511B" w:rsidTr="00AD530E">
        <w:trPr>
          <w:trHeight w:val="904"/>
          <w:tblCellSpacing w:w="15" w:type="dxa"/>
        </w:trPr>
        <w:tc>
          <w:tcPr>
            <w:tcW w:w="0" w:type="auto"/>
            <w:tcBorders>
              <w:top w:val="nil"/>
              <w:left w:val="nil"/>
              <w:bottom w:val="nil"/>
              <w:right w:val="nil"/>
            </w:tcBorders>
            <w:tcMar>
              <w:top w:w="45" w:type="dxa"/>
              <w:left w:w="45" w:type="dxa"/>
              <w:bottom w:w="45" w:type="dxa"/>
              <w:right w:w="45" w:type="dxa"/>
            </w:tcMar>
            <w:vAlign w:val="center"/>
            <w:hideMark/>
          </w:tcPr>
          <w:p w:rsidR="003B511B" w:rsidRPr="003B511B" w:rsidRDefault="003B511B" w:rsidP="003B511B">
            <w:pPr>
              <w:spacing w:before="240" w:after="240"/>
              <w:jc w:val="center"/>
              <w:rPr>
                <w:rFonts w:ascii="Tahoma" w:hAnsi="Tahoma" w:cs="Tahoma"/>
                <w:b/>
                <w:bCs/>
                <w:sz w:val="18"/>
                <w:szCs w:val="18"/>
              </w:rPr>
            </w:pPr>
            <w:r w:rsidRPr="003B511B">
              <w:rPr>
                <w:rFonts w:ascii="Tahoma" w:hAnsi="Tahoma" w:cs="Tahoma"/>
                <w:b/>
                <w:bCs/>
                <w:sz w:val="18"/>
                <w:szCs w:val="18"/>
              </w:rPr>
              <w:t>Periodicity of data availability</w:t>
            </w:r>
          </w:p>
        </w:tc>
        <w:tc>
          <w:tcPr>
            <w:tcW w:w="0" w:type="auto"/>
            <w:tcMar>
              <w:top w:w="45" w:type="dxa"/>
              <w:left w:w="45" w:type="dxa"/>
              <w:bottom w:w="45" w:type="dxa"/>
              <w:right w:w="45" w:type="dxa"/>
            </w:tcMar>
            <w:vAlign w:val="center"/>
            <w:hideMark/>
          </w:tcPr>
          <w:p w:rsidR="003B511B" w:rsidRPr="003B511B" w:rsidRDefault="002778D9" w:rsidP="003B511B">
            <w:pPr>
              <w:spacing w:before="240" w:after="240"/>
              <w:rPr>
                <w:rFonts w:ascii="Tahoma" w:hAnsi="Tahoma" w:cs="Tahoma"/>
                <w:sz w:val="18"/>
                <w:szCs w:val="18"/>
              </w:rPr>
            </w:pPr>
            <w:r>
              <w:rPr>
                <w:rFonts w:ascii="Tahoma" w:hAnsi="Tahoma" w:cs="Tahoma"/>
                <w:sz w:val="18"/>
                <w:szCs w:val="18"/>
              </w:rPr>
              <w:t>Data tables containing 12 months of data are produced twice a year on a rolling basis.  Detailed public use microdata are produced annually.</w:t>
            </w:r>
          </w:p>
        </w:tc>
      </w:tr>
      <w:tr w:rsidR="00B966A4" w:rsidRPr="003B511B" w:rsidTr="00AD530E">
        <w:trPr>
          <w:trHeight w:val="681"/>
          <w:tblCellSpacing w:w="15" w:type="dxa"/>
        </w:trPr>
        <w:tc>
          <w:tcPr>
            <w:tcW w:w="0" w:type="auto"/>
            <w:tcBorders>
              <w:top w:val="nil"/>
              <w:left w:val="nil"/>
              <w:bottom w:val="nil"/>
              <w:right w:val="nil"/>
            </w:tcBorders>
            <w:tcMar>
              <w:top w:w="45" w:type="dxa"/>
              <w:left w:w="45" w:type="dxa"/>
              <w:bottom w:w="45" w:type="dxa"/>
              <w:right w:w="45" w:type="dxa"/>
            </w:tcMar>
            <w:vAlign w:val="center"/>
            <w:hideMark/>
          </w:tcPr>
          <w:p w:rsidR="003B511B" w:rsidRPr="003B511B" w:rsidRDefault="003B511B" w:rsidP="003B511B">
            <w:pPr>
              <w:spacing w:before="240" w:after="240"/>
              <w:jc w:val="center"/>
              <w:rPr>
                <w:rFonts w:ascii="Tahoma" w:hAnsi="Tahoma" w:cs="Tahoma"/>
                <w:b/>
                <w:bCs/>
                <w:sz w:val="18"/>
                <w:szCs w:val="18"/>
              </w:rPr>
            </w:pPr>
            <w:r w:rsidRPr="003B511B">
              <w:rPr>
                <w:rFonts w:ascii="Tahoma" w:hAnsi="Tahoma" w:cs="Tahoma"/>
                <w:b/>
                <w:bCs/>
                <w:sz w:val="18"/>
                <w:szCs w:val="18"/>
              </w:rPr>
              <w:t>Scope</w:t>
            </w:r>
          </w:p>
        </w:tc>
        <w:tc>
          <w:tcPr>
            <w:tcW w:w="0" w:type="auto"/>
            <w:tcMar>
              <w:top w:w="45" w:type="dxa"/>
              <w:left w:w="45" w:type="dxa"/>
              <w:bottom w:w="45" w:type="dxa"/>
              <w:right w:w="45" w:type="dxa"/>
            </w:tcMar>
            <w:vAlign w:val="center"/>
            <w:hideMark/>
          </w:tcPr>
          <w:p w:rsidR="003B511B" w:rsidRPr="003B511B" w:rsidRDefault="000E14D9" w:rsidP="003B511B">
            <w:pPr>
              <w:spacing w:before="240" w:after="240"/>
              <w:rPr>
                <w:rFonts w:ascii="Tahoma" w:hAnsi="Tahoma" w:cs="Tahoma"/>
                <w:sz w:val="18"/>
                <w:szCs w:val="18"/>
              </w:rPr>
            </w:pPr>
            <w:r>
              <w:rPr>
                <w:rFonts w:ascii="Tahoma" w:hAnsi="Tahoma" w:cs="Tahoma"/>
                <w:sz w:val="18"/>
                <w:szCs w:val="18"/>
              </w:rPr>
              <w:t>All non-institutionalized households in the U.S.</w:t>
            </w:r>
          </w:p>
        </w:tc>
      </w:tr>
      <w:tr w:rsidR="00B966A4" w:rsidRPr="003B511B" w:rsidTr="00AD530E">
        <w:trPr>
          <w:trHeight w:val="2282"/>
          <w:tblCellSpacing w:w="15" w:type="dxa"/>
        </w:trPr>
        <w:tc>
          <w:tcPr>
            <w:tcW w:w="0" w:type="auto"/>
            <w:tcBorders>
              <w:top w:val="nil"/>
              <w:left w:val="nil"/>
              <w:bottom w:val="nil"/>
              <w:right w:val="nil"/>
            </w:tcBorders>
            <w:tcMar>
              <w:top w:w="45" w:type="dxa"/>
              <w:left w:w="45" w:type="dxa"/>
              <w:bottom w:w="45" w:type="dxa"/>
              <w:right w:w="45" w:type="dxa"/>
            </w:tcMar>
            <w:vAlign w:val="center"/>
            <w:hideMark/>
          </w:tcPr>
          <w:p w:rsidR="003B511B" w:rsidRPr="003B511B" w:rsidRDefault="003B511B" w:rsidP="003B511B">
            <w:pPr>
              <w:spacing w:before="240" w:after="240"/>
              <w:jc w:val="center"/>
              <w:rPr>
                <w:rFonts w:ascii="Tahoma" w:hAnsi="Tahoma" w:cs="Tahoma"/>
                <w:b/>
                <w:bCs/>
                <w:sz w:val="18"/>
                <w:szCs w:val="18"/>
              </w:rPr>
            </w:pPr>
            <w:r w:rsidRPr="003B511B">
              <w:rPr>
                <w:rFonts w:ascii="Tahoma" w:hAnsi="Tahoma" w:cs="Tahoma"/>
                <w:b/>
                <w:bCs/>
                <w:sz w:val="18"/>
                <w:szCs w:val="18"/>
              </w:rPr>
              <w:t>Key products</w:t>
            </w:r>
          </w:p>
        </w:tc>
        <w:tc>
          <w:tcPr>
            <w:tcW w:w="0" w:type="auto"/>
            <w:tcMar>
              <w:top w:w="45" w:type="dxa"/>
              <w:left w:w="45" w:type="dxa"/>
              <w:bottom w:w="45" w:type="dxa"/>
              <w:right w:w="45" w:type="dxa"/>
            </w:tcMar>
            <w:vAlign w:val="center"/>
            <w:hideMark/>
          </w:tcPr>
          <w:p w:rsidR="003B511B" w:rsidRPr="003B511B" w:rsidRDefault="003B511B" w:rsidP="003B511B">
            <w:pPr>
              <w:spacing w:before="240" w:after="240"/>
              <w:rPr>
                <w:rFonts w:ascii="Tahoma" w:hAnsi="Tahoma" w:cs="Tahoma"/>
                <w:sz w:val="18"/>
                <w:szCs w:val="18"/>
              </w:rPr>
            </w:pPr>
            <w:r w:rsidRPr="003B511B">
              <w:rPr>
                <w:rFonts w:ascii="Tahoma" w:hAnsi="Symbol" w:cs="Tahoma"/>
                <w:sz w:val="18"/>
                <w:szCs w:val="18"/>
              </w:rPr>
              <w:t></w:t>
            </w:r>
            <w:r w:rsidRPr="003B511B">
              <w:rPr>
                <w:rFonts w:ascii="Tahoma" w:hAnsi="Tahoma" w:cs="Tahoma"/>
                <w:sz w:val="18"/>
                <w:szCs w:val="18"/>
              </w:rPr>
              <w:t xml:space="preserve">  </w:t>
            </w:r>
            <w:r w:rsidR="00B729EE">
              <w:rPr>
                <w:rFonts w:ascii="Tahoma" w:hAnsi="Tahoma" w:cs="Tahoma"/>
                <w:sz w:val="18"/>
                <w:szCs w:val="18"/>
              </w:rPr>
              <w:t xml:space="preserve">Consumer Expenditure News Releases </w:t>
            </w:r>
            <w:hyperlink r:id="rId7" w:history="1">
              <w:r w:rsidR="00B729EE" w:rsidRPr="005847EC">
                <w:rPr>
                  <w:rStyle w:val="Hyperlink"/>
                  <w:rFonts w:ascii="Tahoma" w:hAnsi="Tahoma" w:cs="Tahoma"/>
                  <w:sz w:val="18"/>
                  <w:szCs w:val="18"/>
                </w:rPr>
                <w:t>http://www.bls.gov/cex/news.htm</w:t>
              </w:r>
            </w:hyperlink>
          </w:p>
          <w:p w:rsidR="003B511B" w:rsidRPr="003B511B" w:rsidRDefault="003B511B" w:rsidP="003B511B">
            <w:pPr>
              <w:spacing w:before="240" w:after="240"/>
              <w:rPr>
                <w:rFonts w:ascii="Tahoma" w:hAnsi="Tahoma" w:cs="Tahoma"/>
                <w:sz w:val="18"/>
                <w:szCs w:val="18"/>
              </w:rPr>
            </w:pPr>
            <w:r w:rsidRPr="003B511B">
              <w:rPr>
                <w:rFonts w:ascii="Tahoma" w:hAnsi="Symbol" w:cs="Tahoma"/>
                <w:sz w:val="18"/>
                <w:szCs w:val="18"/>
              </w:rPr>
              <w:t></w:t>
            </w:r>
            <w:r w:rsidRPr="003B511B">
              <w:rPr>
                <w:rFonts w:ascii="Tahoma" w:hAnsi="Tahoma" w:cs="Tahoma"/>
                <w:sz w:val="18"/>
                <w:szCs w:val="18"/>
              </w:rPr>
              <w:t xml:space="preserve">  </w:t>
            </w:r>
            <w:r w:rsidR="00B729EE">
              <w:rPr>
                <w:rFonts w:ascii="Tahoma" w:hAnsi="Tahoma" w:cs="Tahoma"/>
                <w:sz w:val="18"/>
                <w:szCs w:val="18"/>
              </w:rPr>
              <w:t>Annual and Midyear</w:t>
            </w:r>
            <w:r w:rsidR="005847EC">
              <w:rPr>
                <w:rFonts w:ascii="Tahoma" w:hAnsi="Tahoma" w:cs="Tahoma"/>
                <w:sz w:val="18"/>
                <w:szCs w:val="18"/>
              </w:rPr>
              <w:t xml:space="preserve"> Data T</w:t>
            </w:r>
            <w:r w:rsidR="00B729EE">
              <w:rPr>
                <w:rFonts w:ascii="Tahoma" w:hAnsi="Tahoma" w:cs="Tahoma"/>
                <w:sz w:val="18"/>
                <w:szCs w:val="18"/>
              </w:rPr>
              <w:t xml:space="preserve">ables </w:t>
            </w:r>
            <w:hyperlink r:id="rId8" w:history="1">
              <w:r w:rsidR="005847EC" w:rsidRPr="005847EC">
                <w:rPr>
                  <w:rStyle w:val="Hyperlink"/>
                  <w:rFonts w:ascii="Tahoma" w:hAnsi="Tahoma" w:cs="Tahoma"/>
                  <w:sz w:val="18"/>
                  <w:szCs w:val="18"/>
                </w:rPr>
                <w:t>http://www.bls.gov/cex/tables.htm</w:t>
              </w:r>
            </w:hyperlink>
          </w:p>
          <w:p w:rsidR="005847EC" w:rsidRDefault="003B511B" w:rsidP="005847EC">
            <w:pPr>
              <w:spacing w:before="240" w:after="240"/>
              <w:rPr>
                <w:rFonts w:ascii="Tahoma" w:hAnsi="Tahoma" w:cs="Tahoma"/>
                <w:sz w:val="18"/>
                <w:szCs w:val="18"/>
              </w:rPr>
            </w:pPr>
            <w:r w:rsidRPr="003B511B">
              <w:rPr>
                <w:rFonts w:ascii="Tahoma" w:hAnsi="Symbol" w:cs="Tahoma"/>
                <w:sz w:val="18"/>
                <w:szCs w:val="18"/>
              </w:rPr>
              <w:t></w:t>
            </w:r>
            <w:r w:rsidRPr="003B511B">
              <w:rPr>
                <w:rFonts w:ascii="Tahoma" w:hAnsi="Tahoma" w:cs="Tahoma"/>
                <w:sz w:val="18"/>
                <w:szCs w:val="18"/>
              </w:rPr>
              <w:t xml:space="preserve"> </w:t>
            </w:r>
            <w:r w:rsidR="005847EC">
              <w:rPr>
                <w:rFonts w:ascii="Tahoma" w:hAnsi="Tahoma" w:cs="Tahoma"/>
                <w:sz w:val="18"/>
                <w:szCs w:val="18"/>
              </w:rPr>
              <w:t xml:space="preserve">Annual Public Use Microdata </w:t>
            </w:r>
            <w:hyperlink r:id="rId9" w:history="1">
              <w:r w:rsidR="005847EC" w:rsidRPr="004038BA">
                <w:rPr>
                  <w:rStyle w:val="Hyperlink"/>
                  <w:rFonts w:ascii="Tahoma" w:hAnsi="Tahoma" w:cs="Tahoma"/>
                  <w:sz w:val="18"/>
                  <w:szCs w:val="18"/>
                </w:rPr>
                <w:t>http://www.bls.gov/cex/pumdhome.htm</w:t>
              </w:r>
            </w:hyperlink>
          </w:p>
          <w:p w:rsidR="005847EC" w:rsidRPr="003B511B" w:rsidRDefault="005847EC" w:rsidP="005847EC">
            <w:pPr>
              <w:spacing w:before="240" w:after="240"/>
              <w:rPr>
                <w:rFonts w:ascii="Tahoma" w:hAnsi="Tahoma" w:cs="Tahoma"/>
                <w:sz w:val="18"/>
                <w:szCs w:val="18"/>
              </w:rPr>
            </w:pPr>
            <w:r w:rsidRPr="003B511B">
              <w:rPr>
                <w:rFonts w:ascii="Tahoma" w:hAnsi="Symbol" w:cs="Tahoma"/>
                <w:sz w:val="18"/>
                <w:szCs w:val="18"/>
              </w:rPr>
              <w:t></w:t>
            </w:r>
            <w:r w:rsidRPr="003B511B">
              <w:rPr>
                <w:rFonts w:ascii="Tahoma" w:hAnsi="Tahoma" w:cs="Tahoma"/>
                <w:sz w:val="18"/>
                <w:szCs w:val="18"/>
              </w:rPr>
              <w:t xml:space="preserve">  </w:t>
            </w:r>
            <w:r>
              <w:rPr>
                <w:rFonts w:ascii="Tahoma" w:hAnsi="Tahoma" w:cs="Tahoma"/>
                <w:sz w:val="18"/>
                <w:szCs w:val="18"/>
              </w:rPr>
              <w:t xml:space="preserve">Consumer </w:t>
            </w:r>
            <w:r w:rsidR="00D7478A">
              <w:rPr>
                <w:rFonts w:ascii="Tahoma" w:hAnsi="Tahoma" w:cs="Tahoma"/>
                <w:sz w:val="18"/>
                <w:szCs w:val="18"/>
              </w:rPr>
              <w:t>spending a</w:t>
            </w:r>
            <w:r>
              <w:rPr>
                <w:rFonts w:ascii="Tahoma" w:hAnsi="Tahoma" w:cs="Tahoma"/>
                <w:sz w:val="18"/>
                <w:szCs w:val="18"/>
              </w:rPr>
              <w:t xml:space="preserve">nalytical articles and data comparisons  </w:t>
            </w:r>
            <w:hyperlink r:id="rId10" w:history="1">
              <w:r w:rsidRPr="005847EC">
                <w:rPr>
                  <w:rStyle w:val="Hyperlink"/>
                  <w:rFonts w:ascii="Tahoma" w:hAnsi="Tahoma" w:cs="Tahoma"/>
                  <w:sz w:val="18"/>
                  <w:szCs w:val="18"/>
                </w:rPr>
                <w:t>http://www.bls.gov/cex/home.htm#publications</w:t>
              </w:r>
            </w:hyperlink>
          </w:p>
        </w:tc>
      </w:tr>
      <w:tr w:rsidR="00B966A4" w:rsidRPr="003B511B" w:rsidTr="00AD530E">
        <w:trPr>
          <w:trHeight w:val="681"/>
          <w:tblCellSpacing w:w="15" w:type="dxa"/>
        </w:trPr>
        <w:tc>
          <w:tcPr>
            <w:tcW w:w="0" w:type="auto"/>
            <w:tcBorders>
              <w:top w:val="nil"/>
              <w:left w:val="nil"/>
              <w:bottom w:val="nil"/>
              <w:right w:val="nil"/>
            </w:tcBorders>
            <w:tcMar>
              <w:top w:w="45" w:type="dxa"/>
              <w:left w:w="45" w:type="dxa"/>
              <w:bottom w:w="45" w:type="dxa"/>
              <w:right w:w="45" w:type="dxa"/>
            </w:tcMar>
            <w:vAlign w:val="center"/>
            <w:hideMark/>
          </w:tcPr>
          <w:p w:rsidR="003B511B" w:rsidRPr="003B511B" w:rsidRDefault="003B511B" w:rsidP="003B511B">
            <w:pPr>
              <w:spacing w:before="240" w:after="240"/>
              <w:jc w:val="center"/>
              <w:rPr>
                <w:rFonts w:ascii="Tahoma" w:hAnsi="Tahoma" w:cs="Tahoma"/>
                <w:b/>
                <w:bCs/>
                <w:sz w:val="18"/>
                <w:szCs w:val="18"/>
              </w:rPr>
            </w:pPr>
            <w:r w:rsidRPr="003B511B">
              <w:rPr>
                <w:rFonts w:ascii="Tahoma" w:hAnsi="Tahoma" w:cs="Tahoma"/>
                <w:b/>
                <w:bCs/>
                <w:sz w:val="18"/>
                <w:szCs w:val="18"/>
              </w:rPr>
              <w:t>Program webpage</w:t>
            </w:r>
          </w:p>
        </w:tc>
        <w:tc>
          <w:tcPr>
            <w:tcW w:w="0" w:type="auto"/>
            <w:tcMar>
              <w:top w:w="45" w:type="dxa"/>
              <w:left w:w="45" w:type="dxa"/>
              <w:bottom w:w="45" w:type="dxa"/>
              <w:right w:w="45" w:type="dxa"/>
            </w:tcMar>
            <w:vAlign w:val="center"/>
            <w:hideMark/>
          </w:tcPr>
          <w:p w:rsidR="003B511B" w:rsidRPr="003B511B" w:rsidRDefault="00267E3E" w:rsidP="003B511B">
            <w:pPr>
              <w:spacing w:before="240" w:after="240"/>
              <w:rPr>
                <w:rFonts w:ascii="Tahoma" w:hAnsi="Tahoma" w:cs="Tahoma"/>
                <w:sz w:val="18"/>
                <w:szCs w:val="18"/>
              </w:rPr>
            </w:pPr>
            <w:hyperlink r:id="rId11" w:history="1">
              <w:r w:rsidR="00C35DAA" w:rsidRPr="005847EC">
                <w:rPr>
                  <w:rStyle w:val="Hyperlink"/>
                  <w:rFonts w:ascii="Tahoma" w:hAnsi="Tahoma" w:cs="Tahoma"/>
                  <w:sz w:val="18"/>
                  <w:szCs w:val="18"/>
                </w:rPr>
                <w:t>http://www.bls.gov/cex/</w:t>
              </w:r>
            </w:hyperlink>
          </w:p>
        </w:tc>
      </w:tr>
    </w:tbl>
    <w:p w:rsidR="003B511B" w:rsidRPr="00865263" w:rsidRDefault="003B511B" w:rsidP="008974E4">
      <w:pPr>
        <w:pStyle w:val="Title1"/>
        <w:tabs>
          <w:tab w:val="clear" w:pos="2881"/>
          <w:tab w:val="clear" w:pos="3601"/>
          <w:tab w:val="clear" w:pos="4321"/>
          <w:tab w:val="clear" w:pos="5040"/>
          <w:tab w:val="clear" w:pos="5760"/>
          <w:tab w:val="clear" w:pos="6480"/>
          <w:tab w:val="clear" w:pos="7199"/>
          <w:tab w:val="clear" w:pos="7919"/>
          <w:tab w:val="clear" w:pos="8641"/>
          <w:tab w:val="clear" w:pos="9361"/>
          <w:tab w:val="clear" w:pos="10081"/>
          <w:tab w:val="clear" w:pos="10800"/>
          <w:tab w:val="clear" w:pos="11520"/>
          <w:tab w:val="clear" w:pos="12240"/>
          <w:tab w:val="clear" w:pos="12959"/>
          <w:tab w:val="clear" w:pos="13679"/>
          <w:tab w:val="clear" w:pos="14401"/>
          <w:tab w:val="clear" w:pos="15121"/>
          <w:tab w:val="clear" w:pos="15841"/>
          <w:tab w:val="clear" w:pos="16560"/>
          <w:tab w:val="clear" w:pos="17280"/>
          <w:tab w:val="clear" w:pos="18000"/>
          <w:tab w:val="clear" w:pos="18719"/>
          <w:tab w:val="clear" w:pos="19439"/>
          <w:tab w:val="clear" w:pos="20161"/>
          <w:tab w:val="clear" w:pos="20881"/>
          <w:tab w:val="clear" w:pos="21601"/>
          <w:tab w:val="left" w:pos="2879"/>
          <w:tab w:val="left" w:pos="3599"/>
          <w:tab w:val="left" w:pos="4318"/>
          <w:tab w:val="left" w:pos="5038"/>
          <w:tab w:val="left" w:pos="5758"/>
          <w:tab w:val="left" w:pos="6477"/>
          <w:tab w:val="left" w:pos="7197"/>
          <w:tab w:val="left" w:pos="7917"/>
          <w:tab w:val="left" w:pos="8636"/>
          <w:tab w:val="left" w:pos="9356"/>
          <w:tab w:val="left" w:pos="10076"/>
          <w:tab w:val="left" w:pos="10796"/>
          <w:tab w:val="left" w:pos="11515"/>
          <w:tab w:val="left" w:pos="12235"/>
          <w:tab w:val="left" w:pos="12955"/>
          <w:tab w:val="left" w:pos="13674"/>
          <w:tab w:val="left" w:pos="14394"/>
          <w:tab w:val="left" w:pos="15114"/>
          <w:tab w:val="left" w:pos="15833"/>
          <w:tab w:val="left" w:pos="16553"/>
          <w:tab w:val="left" w:pos="17273"/>
          <w:tab w:val="left" w:pos="17993"/>
          <w:tab w:val="left" w:pos="18712"/>
          <w:tab w:val="left" w:pos="19432"/>
          <w:tab w:val="left" w:pos="20152"/>
          <w:tab w:val="left" w:pos="20871"/>
          <w:tab w:val="left" w:pos="21591"/>
        </w:tabs>
        <w:spacing w:line="360" w:lineRule="auto"/>
        <w:jc w:val="both"/>
        <w:rPr>
          <w:rFonts w:ascii="Times New Roman" w:hAnsi="Times New Roman"/>
          <w:sz w:val="28"/>
          <w:szCs w:val="28"/>
        </w:rPr>
      </w:pPr>
    </w:p>
    <w:p w:rsidR="00274291" w:rsidRPr="00182585" w:rsidRDefault="00274291" w:rsidP="00274291">
      <w:pPr>
        <w:pStyle w:val="Title1"/>
        <w:numPr>
          <w:ilvl w:val="0"/>
          <w:numId w:val="9"/>
        </w:numPr>
        <w:tabs>
          <w:tab w:val="clear" w:pos="2881"/>
          <w:tab w:val="clear" w:pos="3601"/>
          <w:tab w:val="clear" w:pos="4321"/>
          <w:tab w:val="clear" w:pos="5040"/>
          <w:tab w:val="clear" w:pos="5760"/>
          <w:tab w:val="clear" w:pos="6480"/>
          <w:tab w:val="clear" w:pos="7199"/>
          <w:tab w:val="clear" w:pos="7919"/>
          <w:tab w:val="clear" w:pos="8641"/>
          <w:tab w:val="clear" w:pos="9361"/>
          <w:tab w:val="clear" w:pos="10081"/>
          <w:tab w:val="clear" w:pos="10800"/>
          <w:tab w:val="clear" w:pos="11520"/>
          <w:tab w:val="clear" w:pos="12240"/>
          <w:tab w:val="clear" w:pos="12959"/>
          <w:tab w:val="clear" w:pos="13679"/>
          <w:tab w:val="clear" w:pos="14401"/>
          <w:tab w:val="clear" w:pos="15121"/>
          <w:tab w:val="clear" w:pos="15841"/>
          <w:tab w:val="clear" w:pos="16560"/>
          <w:tab w:val="clear" w:pos="17280"/>
          <w:tab w:val="clear" w:pos="18000"/>
          <w:tab w:val="clear" w:pos="18719"/>
          <w:tab w:val="clear" w:pos="19439"/>
          <w:tab w:val="clear" w:pos="20161"/>
          <w:tab w:val="clear" w:pos="20881"/>
          <w:tab w:val="clear" w:pos="21601"/>
          <w:tab w:val="left" w:pos="1530"/>
          <w:tab w:val="left" w:pos="2879"/>
          <w:tab w:val="left" w:pos="3599"/>
          <w:tab w:val="left" w:pos="4318"/>
          <w:tab w:val="left" w:pos="5038"/>
          <w:tab w:val="left" w:pos="5758"/>
          <w:tab w:val="left" w:pos="6477"/>
          <w:tab w:val="left" w:pos="7197"/>
          <w:tab w:val="left" w:pos="7917"/>
          <w:tab w:val="left" w:pos="8636"/>
          <w:tab w:val="left" w:pos="9356"/>
          <w:tab w:val="left" w:pos="10076"/>
          <w:tab w:val="left" w:pos="10796"/>
          <w:tab w:val="left" w:pos="11515"/>
          <w:tab w:val="left" w:pos="12235"/>
          <w:tab w:val="left" w:pos="12955"/>
          <w:tab w:val="left" w:pos="13674"/>
          <w:tab w:val="left" w:pos="14394"/>
          <w:tab w:val="left" w:pos="15114"/>
          <w:tab w:val="left" w:pos="15833"/>
          <w:tab w:val="left" w:pos="16553"/>
          <w:tab w:val="left" w:pos="17273"/>
          <w:tab w:val="left" w:pos="17993"/>
          <w:tab w:val="left" w:pos="18712"/>
          <w:tab w:val="left" w:pos="19432"/>
          <w:tab w:val="left" w:pos="20152"/>
          <w:tab w:val="left" w:pos="20871"/>
          <w:tab w:val="left" w:pos="21591"/>
        </w:tabs>
        <w:spacing w:line="240" w:lineRule="auto"/>
        <w:jc w:val="both"/>
        <w:rPr>
          <w:rFonts w:ascii="Arial" w:hAnsi="Arial" w:cs="Arial"/>
          <w:color w:val="C0504D" w:themeColor="accent2"/>
          <w:sz w:val="24"/>
          <w:szCs w:val="24"/>
        </w:rPr>
      </w:pPr>
      <w:r w:rsidRPr="004B2B26">
        <w:rPr>
          <w:rFonts w:ascii="Arial" w:hAnsi="Arial" w:cs="Arial"/>
          <w:color w:val="C0504D" w:themeColor="accent2"/>
          <w:sz w:val="24"/>
          <w:szCs w:val="24"/>
        </w:rPr>
        <w:t>Concepts</w:t>
      </w:r>
      <w:r w:rsidR="008C6C4F" w:rsidRPr="004B2B26">
        <w:rPr>
          <w:rFonts w:ascii="Arial" w:hAnsi="Arial" w:cs="Arial"/>
          <w:color w:val="C0504D" w:themeColor="accent2"/>
          <w:sz w:val="24"/>
          <w:szCs w:val="24"/>
        </w:rPr>
        <w:t xml:space="preserve"> and Uses</w:t>
      </w:r>
    </w:p>
    <w:p w:rsidR="003D516B" w:rsidRDefault="003D516B" w:rsidP="003D516B">
      <w:pPr>
        <w:pStyle w:val="Title1"/>
        <w:tabs>
          <w:tab w:val="clear" w:pos="2881"/>
          <w:tab w:val="clear" w:pos="3601"/>
          <w:tab w:val="clear" w:pos="4321"/>
          <w:tab w:val="clear" w:pos="5040"/>
          <w:tab w:val="clear" w:pos="5760"/>
          <w:tab w:val="clear" w:pos="6480"/>
          <w:tab w:val="clear" w:pos="7199"/>
          <w:tab w:val="clear" w:pos="7919"/>
          <w:tab w:val="clear" w:pos="8641"/>
          <w:tab w:val="clear" w:pos="9361"/>
          <w:tab w:val="clear" w:pos="10081"/>
          <w:tab w:val="clear" w:pos="10800"/>
          <w:tab w:val="clear" w:pos="11520"/>
          <w:tab w:val="clear" w:pos="12240"/>
          <w:tab w:val="clear" w:pos="12959"/>
          <w:tab w:val="clear" w:pos="13679"/>
          <w:tab w:val="clear" w:pos="14401"/>
          <w:tab w:val="clear" w:pos="15121"/>
          <w:tab w:val="clear" w:pos="15841"/>
          <w:tab w:val="clear" w:pos="16560"/>
          <w:tab w:val="clear" w:pos="17280"/>
          <w:tab w:val="clear" w:pos="18000"/>
          <w:tab w:val="clear" w:pos="18719"/>
          <w:tab w:val="clear" w:pos="19439"/>
          <w:tab w:val="clear" w:pos="20161"/>
          <w:tab w:val="clear" w:pos="20881"/>
          <w:tab w:val="clear" w:pos="21601"/>
          <w:tab w:val="left" w:pos="1530"/>
          <w:tab w:val="left" w:pos="2879"/>
          <w:tab w:val="left" w:pos="3599"/>
          <w:tab w:val="left" w:pos="4318"/>
          <w:tab w:val="left" w:pos="5038"/>
          <w:tab w:val="left" w:pos="5758"/>
          <w:tab w:val="left" w:pos="6477"/>
          <w:tab w:val="left" w:pos="7197"/>
          <w:tab w:val="left" w:pos="7917"/>
          <w:tab w:val="left" w:pos="8636"/>
          <w:tab w:val="left" w:pos="9356"/>
          <w:tab w:val="left" w:pos="10076"/>
          <w:tab w:val="left" w:pos="10796"/>
          <w:tab w:val="left" w:pos="11515"/>
          <w:tab w:val="left" w:pos="12235"/>
          <w:tab w:val="left" w:pos="12955"/>
          <w:tab w:val="left" w:pos="13674"/>
          <w:tab w:val="left" w:pos="14394"/>
          <w:tab w:val="left" w:pos="15114"/>
          <w:tab w:val="left" w:pos="15833"/>
          <w:tab w:val="left" w:pos="16553"/>
          <w:tab w:val="left" w:pos="17273"/>
          <w:tab w:val="left" w:pos="17993"/>
          <w:tab w:val="left" w:pos="18712"/>
          <w:tab w:val="left" w:pos="19432"/>
          <w:tab w:val="left" w:pos="20152"/>
          <w:tab w:val="left" w:pos="20871"/>
          <w:tab w:val="left" w:pos="21591"/>
        </w:tabs>
        <w:spacing w:line="240" w:lineRule="auto"/>
        <w:jc w:val="both"/>
        <w:rPr>
          <w:rFonts w:ascii="Arial" w:hAnsi="Arial" w:cs="Arial"/>
          <w:color w:val="C0504D" w:themeColor="accent2"/>
          <w:sz w:val="24"/>
          <w:szCs w:val="24"/>
        </w:rPr>
      </w:pPr>
    </w:p>
    <w:p w:rsidR="003D516B" w:rsidRDefault="008C6C4F" w:rsidP="00AD530E">
      <w:pPr>
        <w:pStyle w:val="left"/>
        <w:tabs>
          <w:tab w:val="left" w:pos="1530"/>
        </w:tabs>
        <w:spacing w:before="121" w:line="360" w:lineRule="auto"/>
        <w:ind w:firstLine="0"/>
        <w:jc w:val="left"/>
        <w:rPr>
          <w:rFonts w:ascii="Times New Roman" w:hAnsi="Times New Roman"/>
          <w:sz w:val="24"/>
        </w:rPr>
      </w:pPr>
      <w:r>
        <w:rPr>
          <w:rFonts w:ascii="Times New Roman" w:hAnsi="Times New Roman"/>
          <w:sz w:val="24"/>
        </w:rPr>
        <w:tab/>
      </w:r>
      <w:r w:rsidR="003D516B">
        <w:rPr>
          <w:rFonts w:ascii="Times New Roman" w:hAnsi="Times New Roman"/>
          <w:sz w:val="24"/>
        </w:rPr>
        <w:t>A c</w:t>
      </w:r>
      <w:r w:rsidR="004932EF">
        <w:rPr>
          <w:rFonts w:ascii="Times New Roman" w:hAnsi="Times New Roman"/>
          <w:sz w:val="24"/>
        </w:rPr>
        <w:t>onsumer expenditure survey</w:t>
      </w:r>
      <w:r w:rsidR="003D516B">
        <w:rPr>
          <w:rFonts w:ascii="Times New Roman" w:hAnsi="Times New Roman"/>
          <w:sz w:val="24"/>
        </w:rPr>
        <w:t xml:space="preserve"> is a specialized study</w:t>
      </w:r>
      <w:r w:rsidR="003D516B" w:rsidRPr="003D516B">
        <w:rPr>
          <w:rFonts w:ascii="Times New Roman" w:hAnsi="Times New Roman"/>
          <w:sz w:val="24"/>
        </w:rPr>
        <w:t xml:space="preserve"> in which the emphasis is on data related to family expenditures for goods and services used in day-to-day living. In </w:t>
      </w:r>
      <w:r w:rsidR="003D516B" w:rsidRPr="003D516B">
        <w:rPr>
          <w:rFonts w:ascii="Times New Roman" w:hAnsi="Times New Roman"/>
          <w:sz w:val="24"/>
        </w:rPr>
        <w:lastRenderedPageBreak/>
        <w:t xml:space="preserve">addition to data on family expenditures, the </w:t>
      </w:r>
      <w:r w:rsidR="00B64219">
        <w:rPr>
          <w:rFonts w:ascii="Times New Roman" w:hAnsi="Times New Roman"/>
          <w:sz w:val="24"/>
        </w:rPr>
        <w:t>CE</w:t>
      </w:r>
      <w:r w:rsidR="003D516B" w:rsidRPr="003D516B">
        <w:rPr>
          <w:rFonts w:ascii="Times New Roman" w:hAnsi="Times New Roman"/>
          <w:sz w:val="24"/>
        </w:rPr>
        <w:t xml:space="preserve"> collects information on the amount and sources of family income, changes in assets and liabilities, and demographic and economic characteristics of family members.</w:t>
      </w:r>
    </w:p>
    <w:p w:rsidR="008C6C4F" w:rsidRPr="008C6C4F" w:rsidRDefault="00EB7428" w:rsidP="008C6C4F">
      <w:pPr>
        <w:tabs>
          <w:tab w:val="left" w:pos="1530"/>
        </w:tabs>
        <w:spacing w:line="360" w:lineRule="auto"/>
        <w:rPr>
          <w:sz w:val="24"/>
        </w:rPr>
      </w:pPr>
      <w:r>
        <w:rPr>
          <w:sz w:val="24"/>
        </w:rPr>
        <w:tab/>
      </w:r>
      <w:r w:rsidR="008C6C4F" w:rsidRPr="008C6C4F">
        <w:rPr>
          <w:sz w:val="24"/>
        </w:rPr>
        <w:t xml:space="preserve">The importance of the CE is its ability to allow data users to examine the association of expenditures and income of consumers to consumer characteristics. CE survey data are of value to government and private agencies interested in studying the welfare of particular segments of the population, such as the elderly, low-income families, urban families, and those receiving food stamps. Data also are used by economic policymakers interested in the effects of policy changes on levels of living among diverse socioeconomic groups, and econometricians find the data useful in constructing economic models. Market researchers find consumer expenditure data valuable in analyzing the demand for groups of goods and services. </w:t>
      </w:r>
      <w:r w:rsidR="008C6C4F">
        <w:rPr>
          <w:sz w:val="24"/>
        </w:rPr>
        <w:t>T</w:t>
      </w:r>
      <w:r w:rsidR="008C6C4F" w:rsidRPr="008C6C4F">
        <w:rPr>
          <w:sz w:val="24"/>
        </w:rPr>
        <w:t xml:space="preserve">he Department of Commerce uses the survey data as a source of information for </w:t>
      </w:r>
      <w:r w:rsidR="008C6C4F">
        <w:rPr>
          <w:sz w:val="24"/>
        </w:rPr>
        <w:t xml:space="preserve">calculating the Supplemental Poverty Measure, and in </w:t>
      </w:r>
      <w:r w:rsidR="008C6C4F" w:rsidRPr="008C6C4F">
        <w:rPr>
          <w:sz w:val="24"/>
        </w:rPr>
        <w:t>revising its benchmark estimates of selected items in the expenditure and income components of the national accounts</w:t>
      </w:r>
      <w:r w:rsidR="008C6C4F">
        <w:rPr>
          <w:sz w:val="24"/>
        </w:rPr>
        <w:t>. T</w:t>
      </w:r>
      <w:r w:rsidR="008C6C4F" w:rsidRPr="008C6C4F">
        <w:rPr>
          <w:sz w:val="24"/>
        </w:rPr>
        <w:t xml:space="preserve">he </w:t>
      </w:r>
      <w:r w:rsidR="008C6C4F">
        <w:rPr>
          <w:sz w:val="24"/>
        </w:rPr>
        <w:t xml:space="preserve">Department of Agriculture uses CE information to estimate the cost of raising a child from birth to age 18, and the </w:t>
      </w:r>
      <w:r w:rsidR="008C6C4F" w:rsidRPr="008C6C4F">
        <w:rPr>
          <w:sz w:val="24"/>
        </w:rPr>
        <w:t>Internal Revenue Service uses expenditures to calculate alternate</w:t>
      </w:r>
      <w:r w:rsidR="008C6C4F">
        <w:rPr>
          <w:sz w:val="24"/>
        </w:rPr>
        <w:t xml:space="preserve"> sales tax standard deductions. T</w:t>
      </w:r>
      <w:r w:rsidR="008C6C4F" w:rsidRPr="008C6C4F">
        <w:rPr>
          <w:sz w:val="24"/>
        </w:rPr>
        <w:t xml:space="preserve">he Department of Defense uses the data in determining cost-of-living allowances for military personnel living off military bases. </w:t>
      </w:r>
    </w:p>
    <w:p w:rsidR="00B6636A" w:rsidRDefault="008C6C4F" w:rsidP="008C6C4F">
      <w:pPr>
        <w:tabs>
          <w:tab w:val="left" w:pos="1530"/>
        </w:tabs>
        <w:spacing w:line="360" w:lineRule="auto"/>
        <w:ind w:firstLine="720"/>
        <w:rPr>
          <w:sz w:val="24"/>
        </w:rPr>
      </w:pPr>
      <w:r w:rsidRPr="008C6C4F">
        <w:rPr>
          <w:sz w:val="24"/>
        </w:rPr>
        <w:t>As in the past, the</w:t>
      </w:r>
      <w:r>
        <w:rPr>
          <w:sz w:val="24"/>
        </w:rPr>
        <w:t xml:space="preserve"> regular</w:t>
      </w:r>
      <w:r w:rsidRPr="008C6C4F">
        <w:rPr>
          <w:sz w:val="24"/>
        </w:rPr>
        <w:t xml:space="preserve"> revision of the Consumer Price Index remains a primary reason for undertaking the Bureau’s extensive Consumer Expenditure Survey. Results of the CE are used to select new “market baskets” of goods and services for the index, to determine the relative importance of components, and to derive cost weights for the baskets. </w:t>
      </w:r>
    </w:p>
    <w:p w:rsidR="008C6C4F" w:rsidRPr="008C6C4F" w:rsidRDefault="008C6C4F" w:rsidP="008C6C4F">
      <w:pPr>
        <w:tabs>
          <w:tab w:val="left" w:pos="1530"/>
        </w:tabs>
        <w:spacing w:line="360" w:lineRule="auto"/>
        <w:ind w:firstLine="720"/>
        <w:rPr>
          <w:sz w:val="24"/>
        </w:rPr>
      </w:pPr>
      <w:r w:rsidRPr="008C6C4F">
        <w:rPr>
          <w:sz w:val="24"/>
        </w:rPr>
        <w:t xml:space="preserve">In August 2002, the Bureau of Labor Statistics began publishing another index, the Chained Consumer Price Index for All Consumers (C-CPI-U), which supplements the CPI for All Urban Consumers (CPI-U) index and the CPI for Urban Wage Earners and Clerical Workers (CPI-W) index. The use of expenditure data from different time periods distinguishes the C-CPI-U from the other two CPI measures, which use a single expenditure base period to compute price change over time. The chained index is designed to better measure the change in the cost of living, as compared with the CPI-U </w:t>
      </w:r>
      <w:r w:rsidRPr="008C6C4F">
        <w:rPr>
          <w:sz w:val="24"/>
        </w:rPr>
        <w:lastRenderedPageBreak/>
        <w:t xml:space="preserve">and CPI-W, </w:t>
      </w:r>
      <w:r w:rsidRPr="008C6C4F">
        <w:rPr>
          <w:sz w:val="24"/>
          <w:szCs w:val="24"/>
        </w:rPr>
        <w:t xml:space="preserve">which </w:t>
      </w:r>
      <w:r w:rsidRPr="008C6C4F">
        <w:rPr>
          <w:sz w:val="24"/>
        </w:rPr>
        <w:t>measure the change in a fixed market basket of goods and services in retail outlets. The C-CPI-U uses expenditure data from different time periods to reflect the effect of substitution that consumers make across item categories, in response to changes in the relative prices of goods and services.</w:t>
      </w:r>
      <w:r w:rsidR="00EB7428">
        <w:rPr>
          <w:sz w:val="24"/>
        </w:rPr>
        <w:t xml:space="preserve">  For more information, see: </w:t>
      </w:r>
      <w:r w:rsidR="00EB7428" w:rsidRPr="00EB7428">
        <w:rPr>
          <w:sz w:val="24"/>
        </w:rPr>
        <w:t>http://www.bls.gov/cpi/cpisuperlink.htm</w:t>
      </w:r>
    </w:p>
    <w:p w:rsidR="003D516B" w:rsidRPr="003D516B" w:rsidRDefault="00743F10" w:rsidP="003D516B">
      <w:pPr>
        <w:pStyle w:val="left"/>
        <w:spacing w:line="360" w:lineRule="auto"/>
        <w:ind w:firstLine="0"/>
        <w:jc w:val="left"/>
        <w:rPr>
          <w:rFonts w:ascii="Times New Roman" w:hAnsi="Times New Roman"/>
          <w:sz w:val="24"/>
          <w:szCs w:val="24"/>
        </w:rPr>
      </w:pPr>
      <w:r>
        <w:rPr>
          <w:rFonts w:ascii="Times New Roman" w:hAnsi="Times New Roman"/>
          <w:sz w:val="24"/>
        </w:rPr>
        <w:tab/>
      </w:r>
      <w:r w:rsidR="003D516B" w:rsidRPr="003D516B">
        <w:rPr>
          <w:rFonts w:ascii="Times New Roman" w:hAnsi="Times New Roman"/>
          <w:sz w:val="24"/>
        </w:rPr>
        <w:t xml:space="preserve">The </w:t>
      </w:r>
      <w:r w:rsidR="00D7478A">
        <w:rPr>
          <w:rFonts w:ascii="Times New Roman" w:hAnsi="Times New Roman"/>
          <w:sz w:val="24"/>
        </w:rPr>
        <w:t xml:space="preserve">measurement </w:t>
      </w:r>
      <w:r w:rsidR="003D516B" w:rsidRPr="003D516B">
        <w:rPr>
          <w:rFonts w:ascii="Times New Roman" w:hAnsi="Times New Roman"/>
          <w:sz w:val="24"/>
        </w:rPr>
        <w:t xml:space="preserve">unit for which expenditure reports are collected is the set of eligible individuals constituting a </w:t>
      </w:r>
      <w:r w:rsidR="00AD530E">
        <w:rPr>
          <w:rFonts w:ascii="Times New Roman" w:hAnsi="Times New Roman"/>
          <w:sz w:val="24"/>
        </w:rPr>
        <w:t>consumer unit (</w:t>
      </w:r>
      <w:r w:rsidR="00D7478A">
        <w:rPr>
          <w:rFonts w:ascii="Times New Roman" w:hAnsi="Times New Roman"/>
          <w:sz w:val="24"/>
        </w:rPr>
        <w:t>CU.</w:t>
      </w:r>
      <w:r w:rsidR="00AD530E">
        <w:rPr>
          <w:rFonts w:ascii="Times New Roman" w:hAnsi="Times New Roman"/>
          <w:sz w:val="24"/>
        </w:rPr>
        <w:t>)</w:t>
      </w:r>
      <w:r w:rsidR="00D7478A">
        <w:rPr>
          <w:rFonts w:ascii="Times New Roman" w:hAnsi="Times New Roman"/>
          <w:sz w:val="24"/>
        </w:rPr>
        <w:t xml:space="preserve">  The CU</w:t>
      </w:r>
      <w:r w:rsidR="003D516B" w:rsidRPr="003D516B">
        <w:rPr>
          <w:rFonts w:ascii="Times New Roman" w:hAnsi="Times New Roman"/>
          <w:sz w:val="24"/>
        </w:rPr>
        <w:t xml:space="preserve"> is defined as 1) all members of a particular housing unit who are related by blood, marriage, adoption, or some other legal arrangement, such as foster children; 2) a person living alone or sharing a household with others, or living as a roomer in a private home, lodging house, or in permanent living quarters in a hotel or motel, but who is financially independent; or 3) two or more unrelated persons living together who pool their income to make joint expenditure decisions. Students living in university-sponsored housing are also included in the sample as separate consumer units.  Information on members living in the consumer unit is identified by their relationship to the reference person, who is defined </w:t>
      </w:r>
      <w:r w:rsidR="003D516B" w:rsidRPr="003D516B">
        <w:rPr>
          <w:rFonts w:ascii="Times New Roman" w:hAnsi="Times New Roman"/>
          <w:sz w:val="24"/>
          <w:szCs w:val="24"/>
        </w:rPr>
        <w:t>as the first member mentioned by the respondent when asked to "Start with the name of the person or one of the persons who owns or rents the home."</w:t>
      </w:r>
    </w:p>
    <w:p w:rsidR="003D516B" w:rsidRPr="003D516B" w:rsidRDefault="003D516B" w:rsidP="003D516B">
      <w:pPr>
        <w:pStyle w:val="left"/>
        <w:spacing w:line="360" w:lineRule="auto"/>
        <w:ind w:firstLine="0"/>
        <w:jc w:val="left"/>
        <w:rPr>
          <w:rFonts w:ascii="Times New Roman" w:hAnsi="Times New Roman"/>
          <w:sz w:val="24"/>
        </w:rPr>
      </w:pPr>
      <w:r w:rsidRPr="003D516B">
        <w:rPr>
          <w:rFonts w:ascii="Times New Roman" w:hAnsi="Times New Roman"/>
          <w:sz w:val="24"/>
        </w:rPr>
        <w:tab/>
        <w:t>Survey participants report dollar amounts for goods and services purchased by any member of the consumer unit during the reporting period, regardless of whether payment was made at the time of purchase. Expenditure amounts for items purchased by the consumer unit include all applicable sales and excise taxes. Excluded from expenditure total amounts are any business-related expenditures and expenditures for which the family is reimbursed.</w:t>
      </w:r>
    </w:p>
    <w:p w:rsidR="00B64219" w:rsidRDefault="003D516B" w:rsidP="00B64219">
      <w:pPr>
        <w:pStyle w:val="left"/>
        <w:spacing w:line="360" w:lineRule="auto"/>
        <w:ind w:firstLine="0"/>
        <w:jc w:val="left"/>
        <w:rPr>
          <w:rFonts w:ascii="Times New Roman" w:hAnsi="Times New Roman"/>
          <w:sz w:val="24"/>
        </w:rPr>
      </w:pPr>
      <w:r w:rsidRPr="003D516B">
        <w:rPr>
          <w:rFonts w:ascii="Times New Roman" w:hAnsi="Times New Roman"/>
          <w:sz w:val="24"/>
        </w:rPr>
        <w:tab/>
      </w:r>
      <w:r w:rsidR="00B64219" w:rsidRPr="003D516B">
        <w:rPr>
          <w:rFonts w:ascii="Times New Roman" w:hAnsi="Times New Roman"/>
          <w:sz w:val="24"/>
        </w:rPr>
        <w:t xml:space="preserve">The Interview Survey is designed to collect data on the types of expenditures that respondents can be expected to recall for a period of 3 months or longer. In general, expenditures reported in the Interview Survey are either relatively large, such as those for property, automobiles, and major appliances, </w:t>
      </w:r>
      <w:r w:rsidR="00687CA7">
        <w:rPr>
          <w:rFonts w:ascii="Times New Roman" w:hAnsi="Times New Roman"/>
          <w:sz w:val="24"/>
        </w:rPr>
        <w:t>or</w:t>
      </w:r>
      <w:r w:rsidR="00687CA7" w:rsidRPr="003D516B">
        <w:rPr>
          <w:rFonts w:ascii="Times New Roman" w:hAnsi="Times New Roman"/>
          <w:sz w:val="24"/>
        </w:rPr>
        <w:t xml:space="preserve"> </w:t>
      </w:r>
      <w:r w:rsidR="00B64219" w:rsidRPr="003D516B">
        <w:rPr>
          <w:rFonts w:ascii="Times New Roman" w:hAnsi="Times New Roman"/>
          <w:sz w:val="24"/>
        </w:rPr>
        <w:t>that occur on a fairly regular basis, such as for rent, utilities, or insurance.</w:t>
      </w:r>
    </w:p>
    <w:p w:rsidR="00D42A02" w:rsidRPr="00707577" w:rsidRDefault="00D7478A" w:rsidP="00C244B6">
      <w:pPr>
        <w:spacing w:line="360" w:lineRule="auto"/>
        <w:rPr>
          <w:rFonts w:ascii="Arial" w:hAnsi="Arial" w:cs="Arial"/>
        </w:rPr>
      </w:pPr>
      <w:r w:rsidRPr="00C244B6">
        <w:rPr>
          <w:sz w:val="24"/>
        </w:rPr>
        <w:t>The</w:t>
      </w:r>
      <w:r w:rsidR="003D516B" w:rsidRPr="00C244B6">
        <w:rPr>
          <w:sz w:val="24"/>
        </w:rPr>
        <w:t xml:space="preserve"> Interview Survey collects detailed data on an estimated 60 to 70 percent of total family expenditures. In addition, global estimates are obtained for food and other selected items</w:t>
      </w:r>
      <w:r w:rsidR="006811F0" w:rsidRPr="00C244B6">
        <w:rPr>
          <w:sz w:val="24"/>
        </w:rPr>
        <w:t xml:space="preserve"> such as alcoholic beverages and tobacco products</w:t>
      </w:r>
      <w:r w:rsidR="003D516B" w:rsidRPr="00C244B6">
        <w:rPr>
          <w:sz w:val="24"/>
        </w:rPr>
        <w:t xml:space="preserve">. These global estimates account </w:t>
      </w:r>
      <w:r w:rsidR="003D516B" w:rsidRPr="00C244B6">
        <w:rPr>
          <w:sz w:val="24"/>
        </w:rPr>
        <w:lastRenderedPageBreak/>
        <w:t xml:space="preserve">for an additional 20 to 25 percent of total expenditures. </w:t>
      </w:r>
      <w:r w:rsidR="00D42A02" w:rsidRPr="003550F4">
        <w:rPr>
          <w:rFonts w:ascii="Arial" w:hAnsi="Arial" w:cs="Arial"/>
        </w:rPr>
        <w:t>A global question is designed to elicit comprehensive information about multipl</w:t>
      </w:r>
      <w:r w:rsidR="00D42A02" w:rsidRPr="000F2D02">
        <w:rPr>
          <w:rFonts w:ascii="Arial" w:hAnsi="Arial" w:cs="Arial"/>
        </w:rPr>
        <w:t xml:space="preserve">e subcategories using a single question. Global questions can be contrasted with detailed questions, in which a series of questions about specific types within a larger category are asked. For example, rather than asking individual detailed questions about </w:t>
      </w:r>
      <w:r w:rsidR="00B5564F" w:rsidRPr="000F2D02">
        <w:rPr>
          <w:rFonts w:ascii="Arial" w:hAnsi="Arial" w:cs="Arial"/>
        </w:rPr>
        <w:t>purchases of</w:t>
      </w:r>
      <w:r w:rsidR="00D42A02" w:rsidRPr="00707577">
        <w:rPr>
          <w:rFonts w:ascii="Arial" w:hAnsi="Arial" w:cs="Arial"/>
        </w:rPr>
        <w:t xml:space="preserve"> pants, dresses, and footwear, and then aggregating to a total expenditure amount, a global question might ask for the total amount spent on clothing.</w:t>
      </w:r>
    </w:p>
    <w:p w:rsidR="003D516B" w:rsidRPr="003D516B" w:rsidRDefault="003D516B" w:rsidP="003D516B">
      <w:pPr>
        <w:pStyle w:val="left"/>
        <w:tabs>
          <w:tab w:val="left" w:pos="1530"/>
        </w:tabs>
        <w:spacing w:line="360" w:lineRule="auto"/>
        <w:ind w:firstLine="0"/>
        <w:jc w:val="left"/>
        <w:rPr>
          <w:rFonts w:ascii="Times New Roman" w:hAnsi="Times New Roman"/>
          <w:sz w:val="24"/>
        </w:rPr>
      </w:pPr>
      <w:r w:rsidRPr="003D516B">
        <w:rPr>
          <w:rFonts w:ascii="Times New Roman" w:hAnsi="Times New Roman"/>
          <w:sz w:val="24"/>
        </w:rPr>
        <w:t>On average, it takes 60 minutes to complete the interview.</w:t>
      </w:r>
    </w:p>
    <w:p w:rsidR="003D516B" w:rsidRPr="003D516B" w:rsidRDefault="003D516B" w:rsidP="003D516B">
      <w:pPr>
        <w:pStyle w:val="left"/>
        <w:spacing w:line="360" w:lineRule="auto"/>
        <w:ind w:firstLine="0"/>
        <w:jc w:val="left"/>
        <w:rPr>
          <w:rFonts w:ascii="Times New Roman" w:hAnsi="Times New Roman"/>
          <w:sz w:val="24"/>
        </w:rPr>
      </w:pPr>
      <w:r w:rsidRPr="003D516B">
        <w:rPr>
          <w:rFonts w:ascii="Times New Roman" w:hAnsi="Times New Roman"/>
          <w:sz w:val="24"/>
        </w:rPr>
        <w:tab/>
      </w:r>
      <w:r w:rsidR="00B64219" w:rsidRPr="003D516B">
        <w:rPr>
          <w:rFonts w:ascii="Times New Roman" w:hAnsi="Times New Roman"/>
          <w:sz w:val="24"/>
        </w:rPr>
        <w:t xml:space="preserve">The primary objective of the Diary Survey is to obtain expenditure data on small, frequently purchased items, which can be difficult to recall even a few weeks later. These items include food and beverage expenditures at home and in eating places; housekeeping supplies and services; nonprescription drugs; </w:t>
      </w:r>
      <w:r w:rsidR="00687CA7">
        <w:rPr>
          <w:rFonts w:ascii="Times New Roman" w:hAnsi="Times New Roman"/>
          <w:sz w:val="24"/>
        </w:rPr>
        <w:t xml:space="preserve">most clothing items, </w:t>
      </w:r>
      <w:r w:rsidR="00B64219" w:rsidRPr="003D516B">
        <w:rPr>
          <w:rFonts w:ascii="Times New Roman" w:hAnsi="Times New Roman"/>
          <w:sz w:val="24"/>
        </w:rPr>
        <w:t xml:space="preserve">and personal care products and services. The Diary Survey is not limited to these types of expenditures but, rather, includes </w:t>
      </w:r>
      <w:r w:rsidR="009235B8">
        <w:rPr>
          <w:rFonts w:ascii="Times New Roman" w:hAnsi="Times New Roman"/>
          <w:sz w:val="24"/>
        </w:rPr>
        <w:t xml:space="preserve">almost </w:t>
      </w:r>
      <w:r w:rsidR="00B64219" w:rsidRPr="003D516B">
        <w:rPr>
          <w:rFonts w:ascii="Times New Roman" w:hAnsi="Times New Roman"/>
          <w:sz w:val="24"/>
        </w:rPr>
        <w:t xml:space="preserve">all expenses that the consumer unit incurs during the survey week. Expenses incurred by family members while away from home overnight </w:t>
      </w:r>
      <w:r w:rsidR="005B39DF">
        <w:rPr>
          <w:rFonts w:ascii="Times New Roman" w:hAnsi="Times New Roman"/>
          <w:sz w:val="24"/>
        </w:rPr>
        <w:t xml:space="preserve">or on vacation, </w:t>
      </w:r>
      <w:r w:rsidR="00B64219" w:rsidRPr="003D516B">
        <w:rPr>
          <w:rFonts w:ascii="Times New Roman" w:hAnsi="Times New Roman"/>
          <w:sz w:val="24"/>
        </w:rPr>
        <w:t>and for credit and installment plan payments are excluded.</w:t>
      </w:r>
      <w:r w:rsidRPr="003D516B">
        <w:rPr>
          <w:rFonts w:ascii="Times New Roman" w:hAnsi="Times New Roman"/>
          <w:sz w:val="24"/>
        </w:rPr>
        <w:t xml:space="preserve"> It takes approximately 25 minutes over three visits for the interviewer to collect the demographic data and to instruct the respondent on how to keep the diary. It is estimated that it takes the respondent 15 minutes each day to complete the diary.</w:t>
      </w:r>
    </w:p>
    <w:p w:rsidR="003D516B" w:rsidRPr="003D516B" w:rsidRDefault="003D516B" w:rsidP="00560ED0">
      <w:pPr>
        <w:pStyle w:val="left"/>
        <w:tabs>
          <w:tab w:val="left" w:pos="1530"/>
        </w:tabs>
        <w:spacing w:line="360" w:lineRule="auto"/>
        <w:ind w:firstLine="0"/>
        <w:jc w:val="left"/>
        <w:rPr>
          <w:rFonts w:ascii="Times New Roman" w:hAnsi="Times New Roman"/>
          <w:sz w:val="24"/>
        </w:rPr>
      </w:pPr>
      <w:r w:rsidRPr="003D516B">
        <w:rPr>
          <w:rFonts w:ascii="Times New Roman" w:hAnsi="Times New Roman"/>
          <w:sz w:val="24"/>
        </w:rPr>
        <w:tab/>
      </w:r>
    </w:p>
    <w:p w:rsidR="00274291" w:rsidRPr="004B2B26" w:rsidRDefault="00274291" w:rsidP="00743F10">
      <w:pPr>
        <w:pStyle w:val="Title1"/>
        <w:numPr>
          <w:ilvl w:val="0"/>
          <w:numId w:val="9"/>
        </w:numPr>
        <w:tabs>
          <w:tab w:val="clear" w:pos="2881"/>
          <w:tab w:val="clear" w:pos="3601"/>
          <w:tab w:val="clear" w:pos="4321"/>
          <w:tab w:val="clear" w:pos="5040"/>
          <w:tab w:val="clear" w:pos="5760"/>
          <w:tab w:val="clear" w:pos="6480"/>
          <w:tab w:val="clear" w:pos="7199"/>
          <w:tab w:val="clear" w:pos="7919"/>
          <w:tab w:val="clear" w:pos="8641"/>
          <w:tab w:val="clear" w:pos="9361"/>
          <w:tab w:val="clear" w:pos="10081"/>
          <w:tab w:val="clear" w:pos="10800"/>
          <w:tab w:val="clear" w:pos="11520"/>
          <w:tab w:val="clear" w:pos="12240"/>
          <w:tab w:val="clear" w:pos="12959"/>
          <w:tab w:val="clear" w:pos="13679"/>
          <w:tab w:val="clear" w:pos="14401"/>
          <w:tab w:val="clear" w:pos="15121"/>
          <w:tab w:val="clear" w:pos="15841"/>
          <w:tab w:val="clear" w:pos="16560"/>
          <w:tab w:val="clear" w:pos="17280"/>
          <w:tab w:val="clear" w:pos="18000"/>
          <w:tab w:val="clear" w:pos="18719"/>
          <w:tab w:val="clear" w:pos="19439"/>
          <w:tab w:val="clear" w:pos="20161"/>
          <w:tab w:val="clear" w:pos="20881"/>
          <w:tab w:val="clear" w:pos="21601"/>
          <w:tab w:val="left" w:pos="1530"/>
          <w:tab w:val="left" w:pos="2879"/>
          <w:tab w:val="left" w:pos="3599"/>
          <w:tab w:val="left" w:pos="4318"/>
          <w:tab w:val="left" w:pos="5038"/>
          <w:tab w:val="left" w:pos="5758"/>
          <w:tab w:val="left" w:pos="6477"/>
          <w:tab w:val="left" w:pos="7197"/>
          <w:tab w:val="left" w:pos="7917"/>
          <w:tab w:val="left" w:pos="8636"/>
          <w:tab w:val="left" w:pos="9356"/>
          <w:tab w:val="left" w:pos="10076"/>
          <w:tab w:val="left" w:pos="10796"/>
          <w:tab w:val="left" w:pos="11515"/>
          <w:tab w:val="left" w:pos="12235"/>
          <w:tab w:val="left" w:pos="12955"/>
          <w:tab w:val="left" w:pos="13674"/>
          <w:tab w:val="left" w:pos="14394"/>
          <w:tab w:val="left" w:pos="15114"/>
          <w:tab w:val="left" w:pos="15833"/>
          <w:tab w:val="left" w:pos="16553"/>
          <w:tab w:val="left" w:pos="17273"/>
          <w:tab w:val="left" w:pos="17993"/>
          <w:tab w:val="left" w:pos="18712"/>
          <w:tab w:val="left" w:pos="19432"/>
          <w:tab w:val="left" w:pos="20152"/>
          <w:tab w:val="left" w:pos="20871"/>
          <w:tab w:val="left" w:pos="21591"/>
        </w:tabs>
        <w:spacing w:line="240" w:lineRule="auto"/>
        <w:jc w:val="both"/>
        <w:rPr>
          <w:rFonts w:ascii="Arial" w:hAnsi="Arial" w:cs="Arial"/>
          <w:color w:val="C0504D" w:themeColor="accent2"/>
          <w:sz w:val="24"/>
          <w:szCs w:val="24"/>
        </w:rPr>
      </w:pPr>
      <w:r w:rsidRPr="004B2B26">
        <w:rPr>
          <w:rFonts w:ascii="Arial" w:hAnsi="Arial" w:cs="Arial"/>
          <w:color w:val="C0504D" w:themeColor="accent2"/>
          <w:sz w:val="24"/>
          <w:szCs w:val="24"/>
        </w:rPr>
        <w:t>Data Sources</w:t>
      </w:r>
      <w:r w:rsidR="00560ED0" w:rsidRPr="004B2B26">
        <w:rPr>
          <w:rFonts w:ascii="Arial" w:hAnsi="Arial" w:cs="Arial"/>
          <w:color w:val="C0504D" w:themeColor="accent2"/>
          <w:sz w:val="24"/>
          <w:szCs w:val="24"/>
        </w:rPr>
        <w:t xml:space="preserve"> and </w:t>
      </w:r>
      <w:r w:rsidR="00E24511" w:rsidRPr="004B2B26">
        <w:rPr>
          <w:rFonts w:ascii="Arial" w:hAnsi="Arial" w:cs="Arial"/>
          <w:color w:val="C0504D" w:themeColor="accent2"/>
          <w:sz w:val="24"/>
          <w:szCs w:val="24"/>
        </w:rPr>
        <w:t xml:space="preserve">Collection </w:t>
      </w:r>
      <w:r w:rsidR="00560ED0" w:rsidRPr="004B2B26">
        <w:rPr>
          <w:rFonts w:ascii="Arial" w:hAnsi="Arial" w:cs="Arial"/>
          <w:color w:val="C0504D" w:themeColor="accent2"/>
          <w:sz w:val="24"/>
          <w:szCs w:val="24"/>
        </w:rPr>
        <w:t>Procedures</w:t>
      </w:r>
    </w:p>
    <w:p w:rsidR="003D516B" w:rsidRDefault="003D516B" w:rsidP="003D516B">
      <w:pPr>
        <w:pStyle w:val="Title1"/>
        <w:tabs>
          <w:tab w:val="clear" w:pos="2881"/>
          <w:tab w:val="clear" w:pos="3601"/>
          <w:tab w:val="clear" w:pos="4321"/>
          <w:tab w:val="clear" w:pos="5040"/>
          <w:tab w:val="clear" w:pos="5760"/>
          <w:tab w:val="clear" w:pos="6480"/>
          <w:tab w:val="clear" w:pos="7199"/>
          <w:tab w:val="clear" w:pos="7919"/>
          <w:tab w:val="clear" w:pos="8641"/>
          <w:tab w:val="clear" w:pos="9361"/>
          <w:tab w:val="clear" w:pos="10081"/>
          <w:tab w:val="clear" w:pos="10800"/>
          <w:tab w:val="clear" w:pos="11520"/>
          <w:tab w:val="clear" w:pos="12240"/>
          <w:tab w:val="clear" w:pos="12959"/>
          <w:tab w:val="clear" w:pos="13679"/>
          <w:tab w:val="clear" w:pos="14401"/>
          <w:tab w:val="clear" w:pos="15121"/>
          <w:tab w:val="clear" w:pos="15841"/>
          <w:tab w:val="clear" w:pos="16560"/>
          <w:tab w:val="clear" w:pos="17280"/>
          <w:tab w:val="clear" w:pos="18000"/>
          <w:tab w:val="clear" w:pos="18719"/>
          <w:tab w:val="clear" w:pos="19439"/>
          <w:tab w:val="clear" w:pos="20161"/>
          <w:tab w:val="clear" w:pos="20881"/>
          <w:tab w:val="clear" w:pos="21601"/>
          <w:tab w:val="left" w:pos="1530"/>
          <w:tab w:val="left" w:pos="2879"/>
          <w:tab w:val="left" w:pos="3599"/>
          <w:tab w:val="left" w:pos="4318"/>
          <w:tab w:val="left" w:pos="5038"/>
          <w:tab w:val="left" w:pos="5758"/>
          <w:tab w:val="left" w:pos="6477"/>
          <w:tab w:val="left" w:pos="7197"/>
          <w:tab w:val="left" w:pos="7917"/>
          <w:tab w:val="left" w:pos="8636"/>
          <w:tab w:val="left" w:pos="9356"/>
          <w:tab w:val="left" w:pos="10076"/>
          <w:tab w:val="left" w:pos="10796"/>
          <w:tab w:val="left" w:pos="11515"/>
          <w:tab w:val="left" w:pos="12235"/>
          <w:tab w:val="left" w:pos="12955"/>
          <w:tab w:val="left" w:pos="13674"/>
          <w:tab w:val="left" w:pos="14394"/>
          <w:tab w:val="left" w:pos="15114"/>
          <w:tab w:val="left" w:pos="15833"/>
          <w:tab w:val="left" w:pos="16553"/>
          <w:tab w:val="left" w:pos="17273"/>
          <w:tab w:val="left" w:pos="17993"/>
          <w:tab w:val="left" w:pos="18712"/>
          <w:tab w:val="left" w:pos="19432"/>
          <w:tab w:val="left" w:pos="20152"/>
          <w:tab w:val="left" w:pos="20871"/>
          <w:tab w:val="left" w:pos="21591"/>
        </w:tabs>
        <w:spacing w:line="240" w:lineRule="auto"/>
        <w:jc w:val="both"/>
        <w:rPr>
          <w:rFonts w:ascii="Arial" w:hAnsi="Arial" w:cs="Arial"/>
          <w:color w:val="C0504D" w:themeColor="accent2"/>
          <w:sz w:val="24"/>
          <w:szCs w:val="24"/>
        </w:rPr>
      </w:pPr>
    </w:p>
    <w:p w:rsidR="00E24511" w:rsidRDefault="002E026A" w:rsidP="003D516B">
      <w:pPr>
        <w:pStyle w:val="sidehead"/>
        <w:tabs>
          <w:tab w:val="clear" w:pos="2881"/>
          <w:tab w:val="clear" w:pos="3601"/>
          <w:tab w:val="clear" w:pos="4321"/>
          <w:tab w:val="clear" w:pos="5040"/>
          <w:tab w:val="clear" w:pos="5760"/>
          <w:tab w:val="clear" w:pos="6480"/>
          <w:tab w:val="clear" w:pos="7199"/>
          <w:tab w:val="clear" w:pos="7919"/>
          <w:tab w:val="clear" w:pos="8641"/>
          <w:tab w:val="clear" w:pos="9361"/>
          <w:tab w:val="clear" w:pos="10081"/>
          <w:tab w:val="clear" w:pos="10800"/>
          <w:tab w:val="clear" w:pos="11520"/>
          <w:tab w:val="clear" w:pos="12240"/>
          <w:tab w:val="clear" w:pos="12959"/>
          <w:tab w:val="clear" w:pos="13679"/>
          <w:tab w:val="clear" w:pos="14401"/>
          <w:tab w:val="clear" w:pos="15121"/>
          <w:tab w:val="clear" w:pos="15841"/>
          <w:tab w:val="clear" w:pos="16560"/>
          <w:tab w:val="clear" w:pos="17280"/>
          <w:tab w:val="clear" w:pos="18000"/>
          <w:tab w:val="clear" w:pos="18719"/>
          <w:tab w:val="clear" w:pos="19439"/>
          <w:tab w:val="clear" w:pos="20161"/>
          <w:tab w:val="clear" w:pos="20881"/>
          <w:tab w:val="clear" w:pos="21601"/>
          <w:tab w:val="left" w:pos="2879"/>
          <w:tab w:val="left" w:pos="3599"/>
          <w:tab w:val="left" w:pos="4318"/>
          <w:tab w:val="left" w:pos="5038"/>
          <w:tab w:val="left" w:pos="5758"/>
          <w:tab w:val="left" w:pos="6477"/>
          <w:tab w:val="left" w:pos="7197"/>
          <w:tab w:val="left" w:pos="7917"/>
          <w:tab w:val="left" w:pos="8636"/>
          <w:tab w:val="left" w:pos="9356"/>
          <w:tab w:val="left" w:pos="10076"/>
          <w:tab w:val="left" w:pos="10796"/>
          <w:tab w:val="left" w:pos="11515"/>
          <w:tab w:val="left" w:pos="12235"/>
          <w:tab w:val="left" w:pos="12955"/>
          <w:tab w:val="left" w:pos="13674"/>
          <w:tab w:val="left" w:pos="14394"/>
          <w:tab w:val="left" w:pos="15114"/>
          <w:tab w:val="left" w:pos="15833"/>
          <w:tab w:val="left" w:pos="16553"/>
          <w:tab w:val="left" w:pos="17273"/>
          <w:tab w:val="left" w:pos="17993"/>
          <w:tab w:val="left" w:pos="18712"/>
          <w:tab w:val="left" w:pos="19432"/>
          <w:tab w:val="left" w:pos="20152"/>
          <w:tab w:val="left" w:pos="20871"/>
          <w:tab w:val="left" w:pos="21591"/>
        </w:tabs>
        <w:spacing w:before="140" w:line="360" w:lineRule="auto"/>
        <w:jc w:val="both"/>
        <w:rPr>
          <w:rFonts w:ascii="Times New Roman" w:hAnsi="Times New Roman"/>
          <w:sz w:val="24"/>
        </w:rPr>
      </w:pPr>
      <w:r>
        <w:rPr>
          <w:rFonts w:ascii="Times New Roman" w:hAnsi="Times New Roman"/>
          <w:sz w:val="24"/>
        </w:rPr>
        <w:t>Survey Notification and Collection Method</w:t>
      </w:r>
    </w:p>
    <w:p w:rsidR="00E24511" w:rsidRPr="003D516B" w:rsidRDefault="00E24511" w:rsidP="00E24511">
      <w:pPr>
        <w:pStyle w:val="left"/>
        <w:spacing w:line="360" w:lineRule="auto"/>
        <w:ind w:firstLine="0"/>
        <w:jc w:val="left"/>
        <w:rPr>
          <w:rFonts w:ascii="Times New Roman" w:hAnsi="Times New Roman"/>
          <w:sz w:val="24"/>
        </w:rPr>
      </w:pPr>
      <w:r>
        <w:rPr>
          <w:rFonts w:ascii="Times New Roman" w:hAnsi="Times New Roman"/>
          <w:sz w:val="24"/>
        </w:rPr>
        <w:tab/>
        <w:t>A selected</w:t>
      </w:r>
      <w:r w:rsidRPr="003D516B">
        <w:rPr>
          <w:rFonts w:ascii="Times New Roman" w:hAnsi="Times New Roman"/>
          <w:sz w:val="24"/>
        </w:rPr>
        <w:t xml:space="preserve"> sample housing unit is notified in advance by a letter informing the occupants about the purpose of the survey and the upcoming visit by the interviewer. Both the Interview Survey and the Diary Survey are conducted primarily by personal visit with some telephone </w:t>
      </w:r>
      <w:r w:rsidR="008642ED">
        <w:rPr>
          <w:rFonts w:ascii="Times New Roman" w:hAnsi="Times New Roman"/>
          <w:sz w:val="24"/>
        </w:rPr>
        <w:t>interviewing</w:t>
      </w:r>
      <w:r w:rsidRPr="003D516B">
        <w:rPr>
          <w:rFonts w:ascii="Times New Roman" w:hAnsi="Times New Roman"/>
          <w:sz w:val="24"/>
        </w:rPr>
        <w:t>. The interviewer uses a structured questionnaire to collect both the demographic and expenditure data in the Interview Survey. The demographic data for the Diary Survey are collected by the interviewer, whereas the expenditure data are entered on the diary form by the respondent. Any eligible household member who is at least 16 years old can serve as the respondent in either survey.</w:t>
      </w:r>
    </w:p>
    <w:p w:rsidR="003D516B" w:rsidRPr="004B2B26" w:rsidRDefault="003D516B" w:rsidP="003D516B">
      <w:pPr>
        <w:pStyle w:val="sidehead"/>
        <w:tabs>
          <w:tab w:val="clear" w:pos="2881"/>
          <w:tab w:val="clear" w:pos="3601"/>
          <w:tab w:val="clear" w:pos="4321"/>
          <w:tab w:val="clear" w:pos="5040"/>
          <w:tab w:val="clear" w:pos="5760"/>
          <w:tab w:val="clear" w:pos="6480"/>
          <w:tab w:val="clear" w:pos="7199"/>
          <w:tab w:val="clear" w:pos="7919"/>
          <w:tab w:val="clear" w:pos="8641"/>
          <w:tab w:val="clear" w:pos="9361"/>
          <w:tab w:val="clear" w:pos="10081"/>
          <w:tab w:val="clear" w:pos="10800"/>
          <w:tab w:val="clear" w:pos="11520"/>
          <w:tab w:val="clear" w:pos="12240"/>
          <w:tab w:val="clear" w:pos="12959"/>
          <w:tab w:val="clear" w:pos="13679"/>
          <w:tab w:val="clear" w:pos="14401"/>
          <w:tab w:val="clear" w:pos="15121"/>
          <w:tab w:val="clear" w:pos="15841"/>
          <w:tab w:val="clear" w:pos="16560"/>
          <w:tab w:val="clear" w:pos="17280"/>
          <w:tab w:val="clear" w:pos="18000"/>
          <w:tab w:val="clear" w:pos="18719"/>
          <w:tab w:val="clear" w:pos="19439"/>
          <w:tab w:val="clear" w:pos="20161"/>
          <w:tab w:val="clear" w:pos="20881"/>
          <w:tab w:val="clear" w:pos="21601"/>
          <w:tab w:val="left" w:pos="2879"/>
          <w:tab w:val="left" w:pos="3599"/>
          <w:tab w:val="left" w:pos="4318"/>
          <w:tab w:val="left" w:pos="5038"/>
          <w:tab w:val="left" w:pos="5758"/>
          <w:tab w:val="left" w:pos="6477"/>
          <w:tab w:val="left" w:pos="7197"/>
          <w:tab w:val="left" w:pos="7917"/>
          <w:tab w:val="left" w:pos="8636"/>
          <w:tab w:val="left" w:pos="9356"/>
          <w:tab w:val="left" w:pos="10076"/>
          <w:tab w:val="left" w:pos="10796"/>
          <w:tab w:val="left" w:pos="11515"/>
          <w:tab w:val="left" w:pos="12235"/>
          <w:tab w:val="left" w:pos="12955"/>
          <w:tab w:val="left" w:pos="13674"/>
          <w:tab w:val="left" w:pos="14394"/>
          <w:tab w:val="left" w:pos="15114"/>
          <w:tab w:val="left" w:pos="15833"/>
          <w:tab w:val="left" w:pos="16553"/>
          <w:tab w:val="left" w:pos="17273"/>
          <w:tab w:val="left" w:pos="17993"/>
          <w:tab w:val="left" w:pos="18712"/>
          <w:tab w:val="left" w:pos="19432"/>
          <w:tab w:val="left" w:pos="20152"/>
          <w:tab w:val="left" w:pos="20871"/>
          <w:tab w:val="left" w:pos="21591"/>
        </w:tabs>
        <w:spacing w:before="140" w:line="360" w:lineRule="auto"/>
        <w:jc w:val="both"/>
        <w:rPr>
          <w:rFonts w:ascii="Times New Roman" w:hAnsi="Times New Roman"/>
          <w:sz w:val="24"/>
          <w:szCs w:val="24"/>
        </w:rPr>
      </w:pPr>
      <w:r w:rsidRPr="004B2B26">
        <w:rPr>
          <w:rFonts w:ascii="Times New Roman" w:hAnsi="Times New Roman"/>
          <w:sz w:val="24"/>
          <w:szCs w:val="24"/>
        </w:rPr>
        <w:lastRenderedPageBreak/>
        <w:t>Interview Survey</w:t>
      </w:r>
      <w:r w:rsidR="00E24511" w:rsidRPr="004B2B26">
        <w:rPr>
          <w:rFonts w:ascii="Times New Roman" w:hAnsi="Times New Roman"/>
          <w:sz w:val="24"/>
          <w:szCs w:val="24"/>
        </w:rPr>
        <w:t xml:space="preserve"> Details</w:t>
      </w:r>
    </w:p>
    <w:p w:rsidR="00B64219" w:rsidRPr="003D516B" w:rsidRDefault="00560ED0" w:rsidP="00B64219">
      <w:pPr>
        <w:pStyle w:val="left"/>
        <w:spacing w:line="360" w:lineRule="auto"/>
        <w:ind w:firstLine="0"/>
        <w:jc w:val="left"/>
        <w:rPr>
          <w:rFonts w:ascii="Times New Roman" w:hAnsi="Times New Roman"/>
          <w:sz w:val="24"/>
        </w:rPr>
      </w:pPr>
      <w:r>
        <w:rPr>
          <w:rFonts w:ascii="Times New Roman" w:hAnsi="Times New Roman"/>
          <w:sz w:val="24"/>
        </w:rPr>
        <w:tab/>
      </w:r>
      <w:r w:rsidR="00B64219" w:rsidRPr="003D516B">
        <w:rPr>
          <w:rFonts w:ascii="Times New Roman" w:hAnsi="Times New Roman"/>
          <w:sz w:val="24"/>
        </w:rPr>
        <w:t xml:space="preserve">In the Interview Survey, each family in the sample is interviewed every 3 months over </w:t>
      </w:r>
      <w:r w:rsidR="00B64219">
        <w:rPr>
          <w:rFonts w:ascii="Times New Roman" w:hAnsi="Times New Roman"/>
          <w:sz w:val="24"/>
        </w:rPr>
        <w:t>four</w:t>
      </w:r>
      <w:r w:rsidR="00B64219" w:rsidRPr="003D516B">
        <w:rPr>
          <w:rFonts w:ascii="Times New Roman" w:hAnsi="Times New Roman"/>
          <w:sz w:val="24"/>
        </w:rPr>
        <w:t xml:space="preserve"> calendar quarters. The sample for each quarter is divided into three </w:t>
      </w:r>
      <w:r w:rsidR="005E48BD">
        <w:rPr>
          <w:rFonts w:ascii="Times New Roman" w:hAnsi="Times New Roman"/>
          <w:sz w:val="24"/>
        </w:rPr>
        <w:t>monthly p</w:t>
      </w:r>
      <w:r w:rsidR="005E48BD" w:rsidRPr="003D516B">
        <w:rPr>
          <w:rFonts w:ascii="Times New Roman" w:hAnsi="Times New Roman"/>
          <w:sz w:val="24"/>
        </w:rPr>
        <w:t>anels</w:t>
      </w:r>
      <w:r w:rsidR="00B64219" w:rsidRPr="003D516B">
        <w:rPr>
          <w:rFonts w:ascii="Times New Roman" w:hAnsi="Times New Roman"/>
          <w:sz w:val="24"/>
        </w:rPr>
        <w:t xml:space="preserve">, with </w:t>
      </w:r>
      <w:r w:rsidR="008642ED">
        <w:rPr>
          <w:rFonts w:ascii="Times New Roman" w:hAnsi="Times New Roman"/>
          <w:sz w:val="24"/>
        </w:rPr>
        <w:t>CUs</w:t>
      </w:r>
      <w:r w:rsidR="00B64219" w:rsidRPr="003D516B">
        <w:rPr>
          <w:rFonts w:ascii="Times New Roman" w:hAnsi="Times New Roman"/>
          <w:sz w:val="24"/>
        </w:rPr>
        <w:t xml:space="preserve"> being interviewed every 3 months in the same panel of every quarter. </w:t>
      </w:r>
    </w:p>
    <w:p w:rsidR="003D516B" w:rsidRDefault="00560ED0" w:rsidP="00743F10">
      <w:pPr>
        <w:pStyle w:val="left"/>
        <w:spacing w:line="360" w:lineRule="auto"/>
        <w:ind w:firstLine="0"/>
        <w:jc w:val="left"/>
        <w:rPr>
          <w:rFonts w:ascii="Times New Roman" w:hAnsi="Times New Roman"/>
          <w:sz w:val="24"/>
        </w:rPr>
      </w:pPr>
      <w:r>
        <w:rPr>
          <w:rFonts w:ascii="Times New Roman" w:hAnsi="Times New Roman"/>
          <w:sz w:val="24"/>
        </w:rPr>
        <w:tab/>
      </w:r>
      <w:r w:rsidR="00E24511">
        <w:rPr>
          <w:rFonts w:ascii="Times New Roman" w:hAnsi="Times New Roman"/>
          <w:sz w:val="24"/>
        </w:rPr>
        <w:t>After the fourth</w:t>
      </w:r>
      <w:r w:rsidR="003D516B" w:rsidRPr="003D516B">
        <w:rPr>
          <w:rFonts w:ascii="Times New Roman" w:hAnsi="Times New Roman"/>
          <w:sz w:val="24"/>
        </w:rPr>
        <w:t xml:space="preserve"> interview, the sample unit is dropped from the survey and replaced by a new sample uni</w:t>
      </w:r>
      <w:r w:rsidR="00E24511">
        <w:rPr>
          <w:rFonts w:ascii="Times New Roman" w:hAnsi="Times New Roman"/>
          <w:sz w:val="24"/>
        </w:rPr>
        <w:t>t. For the survey as a whole, 25</w:t>
      </w:r>
      <w:r w:rsidR="003D516B" w:rsidRPr="003D516B">
        <w:rPr>
          <w:rFonts w:ascii="Times New Roman" w:hAnsi="Times New Roman"/>
          <w:sz w:val="24"/>
        </w:rPr>
        <w:t xml:space="preserve"> percent of the sample in each quarter are new families introduced into the sample, to replace families that have completed their participation. Data collected in each quarter are treated independently, so that </w:t>
      </w:r>
      <w:r w:rsidR="00465730">
        <w:rPr>
          <w:rFonts w:ascii="Times New Roman" w:hAnsi="Times New Roman"/>
          <w:sz w:val="24"/>
        </w:rPr>
        <w:t xml:space="preserve">published 12-month </w:t>
      </w:r>
      <w:r w:rsidR="003D516B" w:rsidRPr="003D516B">
        <w:rPr>
          <w:rFonts w:ascii="Times New Roman" w:hAnsi="Times New Roman"/>
          <w:sz w:val="24"/>
        </w:rPr>
        <w:t>estimates are not dependent upon a particular family participati</w:t>
      </w:r>
      <w:r w:rsidR="00E24511">
        <w:rPr>
          <w:rFonts w:ascii="Times New Roman" w:hAnsi="Times New Roman"/>
          <w:sz w:val="24"/>
        </w:rPr>
        <w:t>ng in the survey for a full four</w:t>
      </w:r>
      <w:r w:rsidR="003D516B" w:rsidRPr="003D516B">
        <w:rPr>
          <w:rFonts w:ascii="Times New Roman" w:hAnsi="Times New Roman"/>
          <w:sz w:val="24"/>
        </w:rPr>
        <w:t xml:space="preserve"> quarters.</w:t>
      </w:r>
    </w:p>
    <w:p w:rsidR="00010259" w:rsidRDefault="00010259" w:rsidP="00743F10">
      <w:pPr>
        <w:pStyle w:val="left"/>
        <w:spacing w:line="360" w:lineRule="auto"/>
        <w:ind w:firstLine="0"/>
        <w:jc w:val="left"/>
        <w:rPr>
          <w:rFonts w:ascii="Times New Roman" w:hAnsi="Times New Roman"/>
          <w:sz w:val="24"/>
        </w:rPr>
      </w:pPr>
      <w:r>
        <w:rPr>
          <w:rFonts w:ascii="Times New Roman" w:hAnsi="Times New Roman"/>
          <w:sz w:val="24"/>
        </w:rPr>
        <w:t xml:space="preserve">Table 1 shows how Interview consumer units rotate in and out of the sample.  In this example, the first interviews start in April, May, and June 2015.  Three months later, the second interviews begin.  Consumer units interviewed in April 2015 are </w:t>
      </w:r>
      <w:proofErr w:type="spellStart"/>
      <w:r>
        <w:rPr>
          <w:rFonts w:ascii="Times New Roman" w:hAnsi="Times New Roman"/>
          <w:sz w:val="24"/>
        </w:rPr>
        <w:t>reinterviewed</w:t>
      </w:r>
      <w:proofErr w:type="spellEnd"/>
      <w:r>
        <w:rPr>
          <w:rFonts w:ascii="Times New Roman" w:hAnsi="Times New Roman"/>
          <w:sz w:val="24"/>
        </w:rPr>
        <w:t xml:space="preserve"> in July, October, December, and January 2016.  And while the second set of interviews begins in July 2015 for the units first interviewed in April, a new set of addresses is starting their set of four interviews.</w:t>
      </w:r>
    </w:p>
    <w:p w:rsidR="00010259" w:rsidRPr="005E48BD" w:rsidRDefault="00010259" w:rsidP="005E48BD">
      <w:pPr>
        <w:pStyle w:val="left"/>
        <w:spacing w:line="360" w:lineRule="auto"/>
        <w:ind w:firstLine="0"/>
        <w:jc w:val="center"/>
        <w:rPr>
          <w:rFonts w:ascii="Times New Roman" w:hAnsi="Times New Roman"/>
          <w:b/>
          <w:sz w:val="24"/>
        </w:rPr>
      </w:pPr>
      <w:r w:rsidRPr="00411FFD">
        <w:rPr>
          <w:rFonts w:ascii="Times New Roman" w:hAnsi="Times New Roman"/>
          <w:sz w:val="24"/>
        </w:rPr>
        <w:t>Table 1</w:t>
      </w:r>
      <w:r w:rsidR="00182585">
        <w:rPr>
          <w:rFonts w:ascii="Times New Roman" w:hAnsi="Times New Roman"/>
          <w:b/>
          <w:sz w:val="24"/>
        </w:rPr>
        <w:t xml:space="preserve">. </w:t>
      </w:r>
      <w:r w:rsidR="004B2B26" w:rsidRPr="004B2B26">
        <w:rPr>
          <w:rFonts w:ascii="Times New Roman" w:hAnsi="Times New Roman"/>
          <w:b/>
          <w:sz w:val="24"/>
        </w:rPr>
        <w:t>Interview Quarterly Rotation</w:t>
      </w:r>
    </w:p>
    <w:p w:rsidR="00010259" w:rsidRDefault="00010259" w:rsidP="00010259">
      <w:pPr>
        <w:rPr>
          <w:color w:val="FF0000"/>
        </w:rPr>
      </w:pPr>
      <w:r>
        <w:rPr>
          <w:sz w:val="24"/>
        </w:rPr>
        <w:t xml:space="preserve"> </w:t>
      </w:r>
    </w:p>
    <w:tbl>
      <w:tblPr>
        <w:tblW w:w="7680" w:type="dxa"/>
        <w:tblInd w:w="2" w:type="dxa"/>
        <w:tblCellMar>
          <w:left w:w="0" w:type="dxa"/>
          <w:right w:w="0" w:type="dxa"/>
        </w:tblCellMar>
        <w:tblLook w:val="04A0" w:firstRow="1" w:lastRow="0" w:firstColumn="1" w:lastColumn="0" w:noHBand="0" w:noVBand="1"/>
      </w:tblPr>
      <w:tblGrid>
        <w:gridCol w:w="960"/>
        <w:gridCol w:w="960"/>
        <w:gridCol w:w="960"/>
        <w:gridCol w:w="960"/>
        <w:gridCol w:w="960"/>
        <w:gridCol w:w="960"/>
        <w:gridCol w:w="960"/>
        <w:gridCol w:w="960"/>
      </w:tblGrid>
      <w:tr w:rsidR="00010259" w:rsidTr="00010259">
        <w:trPr>
          <w:trHeight w:val="315"/>
        </w:trPr>
        <w:tc>
          <w:tcPr>
            <w:tcW w:w="1920" w:type="dxa"/>
            <w:gridSpan w:val="2"/>
            <w:tcBorders>
              <w:top w:val="single" w:sz="8" w:space="0" w:color="000000"/>
              <w:left w:val="single" w:sz="8" w:space="0" w:color="000000"/>
              <w:bottom w:val="nil"/>
              <w:right w:val="single" w:sz="8" w:space="0" w:color="000000"/>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t xml:space="preserve">Interview </w:t>
            </w:r>
          </w:p>
        </w:tc>
        <w:tc>
          <w:tcPr>
            <w:tcW w:w="5760" w:type="dxa"/>
            <w:gridSpan w:val="6"/>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b/>
                <w:bCs/>
                <w:color w:val="000000"/>
                <w:sz w:val="24"/>
                <w:szCs w:val="24"/>
              </w:rPr>
            </w:pPr>
            <w:r>
              <w:rPr>
                <w:b/>
                <w:bCs/>
                <w:color w:val="000000"/>
                <w:sz w:val="24"/>
                <w:szCs w:val="24"/>
              </w:rPr>
              <w:t>Quarterly Interview Number </w:t>
            </w:r>
          </w:p>
        </w:tc>
      </w:tr>
      <w:tr w:rsidR="00010259" w:rsidTr="00010259">
        <w:trPr>
          <w:trHeight w:val="330"/>
        </w:trPr>
        <w:tc>
          <w:tcPr>
            <w:tcW w:w="192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t>Year &amp; Month</w:t>
            </w:r>
          </w:p>
        </w:tc>
        <w:tc>
          <w:tcPr>
            <w:tcW w:w="0" w:type="auto"/>
            <w:gridSpan w:val="6"/>
            <w:vMerge/>
            <w:tcBorders>
              <w:top w:val="single" w:sz="8" w:space="0" w:color="000000"/>
              <w:left w:val="nil"/>
              <w:bottom w:val="single" w:sz="8" w:space="0" w:color="000000"/>
              <w:right w:val="single" w:sz="8" w:space="0" w:color="000000"/>
            </w:tcBorders>
            <w:vAlign w:val="center"/>
            <w:hideMark/>
          </w:tcPr>
          <w:p w:rsidR="00010259" w:rsidRDefault="00010259">
            <w:pPr>
              <w:rPr>
                <w:rFonts w:ascii="Calibri" w:eastAsiaTheme="minorHAnsi" w:hAnsi="Calibri" w:cs="Calibri"/>
                <w:b/>
                <w:bCs/>
                <w:color w:val="000000"/>
                <w:sz w:val="24"/>
                <w:szCs w:val="24"/>
              </w:rPr>
            </w:pPr>
          </w:p>
        </w:tc>
      </w:tr>
      <w:tr w:rsidR="00010259" w:rsidTr="00010259">
        <w:trPr>
          <w:trHeight w:val="330"/>
        </w:trPr>
        <w:tc>
          <w:tcPr>
            <w:tcW w:w="960"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010259" w:rsidRDefault="00010259">
            <w:pPr>
              <w:jc w:val="right"/>
              <w:rPr>
                <w:b/>
                <w:bCs/>
                <w:color w:val="000000"/>
                <w:sz w:val="24"/>
                <w:szCs w:val="24"/>
              </w:rPr>
            </w:pPr>
            <w:r>
              <w:rPr>
                <w:b/>
                <w:bCs/>
                <w:color w:val="000000"/>
                <w:sz w:val="24"/>
                <w:szCs w:val="24"/>
              </w:rPr>
              <w:t>2015</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t>APR</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1</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r>
      <w:tr w:rsidR="00010259" w:rsidTr="00010259">
        <w:trPr>
          <w:trHeight w:val="330"/>
        </w:trPr>
        <w:tc>
          <w:tcPr>
            <w:tcW w:w="960"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t>MAY</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1</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r>
      <w:tr w:rsidR="00010259" w:rsidTr="00010259">
        <w:trPr>
          <w:trHeight w:val="330"/>
        </w:trPr>
        <w:tc>
          <w:tcPr>
            <w:tcW w:w="960"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t>JUN</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1</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r>
      <w:tr w:rsidR="00010259" w:rsidTr="00010259">
        <w:trPr>
          <w:trHeight w:val="330"/>
        </w:trPr>
        <w:tc>
          <w:tcPr>
            <w:tcW w:w="960"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t>JUL</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2</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1</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r>
      <w:tr w:rsidR="00010259" w:rsidTr="00010259">
        <w:trPr>
          <w:trHeight w:val="330"/>
        </w:trPr>
        <w:tc>
          <w:tcPr>
            <w:tcW w:w="960"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t>AUG</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2</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1</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r>
      <w:tr w:rsidR="00010259" w:rsidTr="00010259">
        <w:trPr>
          <w:trHeight w:val="330"/>
        </w:trPr>
        <w:tc>
          <w:tcPr>
            <w:tcW w:w="960"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t>SEPT</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2</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1</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r>
      <w:tr w:rsidR="00010259" w:rsidTr="00010259">
        <w:trPr>
          <w:trHeight w:val="330"/>
        </w:trPr>
        <w:tc>
          <w:tcPr>
            <w:tcW w:w="960"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t>OCT</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3</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2</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1</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r>
      <w:tr w:rsidR="00010259" w:rsidTr="00010259">
        <w:trPr>
          <w:trHeight w:val="330"/>
        </w:trPr>
        <w:tc>
          <w:tcPr>
            <w:tcW w:w="960"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t>NOV</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3</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2</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1</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r>
      <w:tr w:rsidR="00010259" w:rsidTr="00010259">
        <w:trPr>
          <w:trHeight w:val="330"/>
        </w:trPr>
        <w:tc>
          <w:tcPr>
            <w:tcW w:w="960"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t>DEC</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3</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2</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1</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r>
      <w:tr w:rsidR="00010259" w:rsidTr="00010259">
        <w:trPr>
          <w:trHeight w:val="330"/>
        </w:trPr>
        <w:tc>
          <w:tcPr>
            <w:tcW w:w="960"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010259" w:rsidRDefault="00010259">
            <w:pPr>
              <w:jc w:val="right"/>
              <w:rPr>
                <w:b/>
                <w:bCs/>
                <w:color w:val="000000"/>
                <w:sz w:val="24"/>
                <w:szCs w:val="24"/>
              </w:rPr>
            </w:pPr>
            <w:r>
              <w:rPr>
                <w:b/>
                <w:bCs/>
                <w:color w:val="000000"/>
                <w:sz w:val="24"/>
                <w:szCs w:val="24"/>
              </w:rPr>
              <w:t>2016</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t>JAN</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4</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3</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2</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1</w:t>
            </w:r>
          </w:p>
        </w:tc>
        <w:tc>
          <w:tcPr>
            <w:tcW w:w="96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010259" w:rsidRDefault="00010259">
            <w:pPr>
              <w:rPr>
                <w:color w:val="000000"/>
                <w:sz w:val="22"/>
                <w:szCs w:val="22"/>
              </w:rPr>
            </w:pPr>
            <w:r>
              <w:rPr>
                <w:color w:val="000000"/>
              </w:rPr>
              <w:t> </w:t>
            </w:r>
          </w:p>
        </w:tc>
        <w:tc>
          <w:tcPr>
            <w:tcW w:w="96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010259" w:rsidRDefault="00010259">
            <w:pPr>
              <w:rPr>
                <w:color w:val="000000"/>
              </w:rPr>
            </w:pPr>
            <w:r>
              <w:rPr>
                <w:color w:val="000000"/>
              </w:rPr>
              <w:t> </w:t>
            </w:r>
          </w:p>
        </w:tc>
      </w:tr>
      <w:tr w:rsidR="00010259" w:rsidTr="00010259">
        <w:trPr>
          <w:trHeight w:val="330"/>
        </w:trPr>
        <w:tc>
          <w:tcPr>
            <w:tcW w:w="960"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t>FEB</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4</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3</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2</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1</w:t>
            </w:r>
          </w:p>
        </w:tc>
        <w:tc>
          <w:tcPr>
            <w:tcW w:w="96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010259" w:rsidRDefault="00010259">
            <w:pPr>
              <w:rPr>
                <w:color w:val="000000"/>
                <w:sz w:val="22"/>
                <w:szCs w:val="22"/>
              </w:rPr>
            </w:pPr>
            <w:r>
              <w:rPr>
                <w:color w:val="000000"/>
              </w:rPr>
              <w:t> </w:t>
            </w:r>
          </w:p>
        </w:tc>
        <w:tc>
          <w:tcPr>
            <w:tcW w:w="96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010259" w:rsidRDefault="00010259">
            <w:pPr>
              <w:rPr>
                <w:color w:val="000000"/>
              </w:rPr>
            </w:pPr>
            <w:r>
              <w:rPr>
                <w:color w:val="000000"/>
              </w:rPr>
              <w:t> </w:t>
            </w:r>
          </w:p>
        </w:tc>
      </w:tr>
      <w:tr w:rsidR="00010259" w:rsidTr="00010259">
        <w:trPr>
          <w:trHeight w:val="330"/>
        </w:trPr>
        <w:tc>
          <w:tcPr>
            <w:tcW w:w="960"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t>MAR</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4</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3</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2</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1</w:t>
            </w:r>
          </w:p>
        </w:tc>
        <w:tc>
          <w:tcPr>
            <w:tcW w:w="96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010259" w:rsidRDefault="00010259">
            <w:pPr>
              <w:rPr>
                <w:color w:val="000000"/>
                <w:sz w:val="22"/>
                <w:szCs w:val="22"/>
              </w:rPr>
            </w:pPr>
            <w:r>
              <w:rPr>
                <w:color w:val="000000"/>
              </w:rPr>
              <w:t> </w:t>
            </w:r>
          </w:p>
        </w:tc>
        <w:tc>
          <w:tcPr>
            <w:tcW w:w="96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010259" w:rsidRDefault="00010259">
            <w:pPr>
              <w:rPr>
                <w:color w:val="000000"/>
              </w:rPr>
            </w:pPr>
            <w:r>
              <w:rPr>
                <w:color w:val="000000"/>
              </w:rPr>
              <w:t> </w:t>
            </w:r>
          </w:p>
        </w:tc>
      </w:tr>
      <w:tr w:rsidR="00010259" w:rsidTr="00010259">
        <w:trPr>
          <w:trHeight w:val="330"/>
        </w:trPr>
        <w:tc>
          <w:tcPr>
            <w:tcW w:w="960"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t>APR</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4</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3</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2</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1</w:t>
            </w:r>
          </w:p>
        </w:tc>
        <w:tc>
          <w:tcPr>
            <w:tcW w:w="96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010259" w:rsidRDefault="00010259">
            <w:pPr>
              <w:rPr>
                <w:color w:val="000000"/>
                <w:sz w:val="22"/>
                <w:szCs w:val="22"/>
              </w:rPr>
            </w:pPr>
            <w:r>
              <w:rPr>
                <w:color w:val="000000"/>
              </w:rPr>
              <w:t> </w:t>
            </w:r>
          </w:p>
        </w:tc>
      </w:tr>
      <w:tr w:rsidR="00010259" w:rsidTr="00010259">
        <w:trPr>
          <w:trHeight w:val="330"/>
        </w:trPr>
        <w:tc>
          <w:tcPr>
            <w:tcW w:w="960"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t>MAY</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4</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3</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2</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1</w:t>
            </w:r>
          </w:p>
        </w:tc>
        <w:tc>
          <w:tcPr>
            <w:tcW w:w="96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010259" w:rsidRDefault="00010259">
            <w:pPr>
              <w:rPr>
                <w:color w:val="000000"/>
                <w:sz w:val="22"/>
                <w:szCs w:val="22"/>
              </w:rPr>
            </w:pPr>
            <w:r>
              <w:rPr>
                <w:color w:val="000000"/>
              </w:rPr>
              <w:t> </w:t>
            </w:r>
          </w:p>
        </w:tc>
      </w:tr>
      <w:tr w:rsidR="00010259" w:rsidTr="00010259">
        <w:trPr>
          <w:trHeight w:val="330"/>
        </w:trPr>
        <w:tc>
          <w:tcPr>
            <w:tcW w:w="960"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lastRenderedPageBreak/>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t>JUN</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4</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3</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2</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1</w:t>
            </w:r>
          </w:p>
        </w:tc>
        <w:tc>
          <w:tcPr>
            <w:tcW w:w="96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010259" w:rsidRDefault="00010259">
            <w:pPr>
              <w:rPr>
                <w:color w:val="000000"/>
                <w:sz w:val="22"/>
                <w:szCs w:val="22"/>
              </w:rPr>
            </w:pPr>
            <w:r>
              <w:rPr>
                <w:color w:val="000000"/>
              </w:rPr>
              <w:t> </w:t>
            </w:r>
          </w:p>
        </w:tc>
      </w:tr>
      <w:tr w:rsidR="00010259" w:rsidTr="00010259">
        <w:trPr>
          <w:trHeight w:val="330"/>
        </w:trPr>
        <w:tc>
          <w:tcPr>
            <w:tcW w:w="960"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t>JUL</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4</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3</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2</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1</w:t>
            </w:r>
          </w:p>
        </w:tc>
      </w:tr>
      <w:tr w:rsidR="00010259" w:rsidTr="00010259">
        <w:trPr>
          <w:trHeight w:val="330"/>
        </w:trPr>
        <w:tc>
          <w:tcPr>
            <w:tcW w:w="960"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t>AUG</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4</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3</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2</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1</w:t>
            </w:r>
          </w:p>
        </w:tc>
      </w:tr>
      <w:tr w:rsidR="00010259" w:rsidTr="00010259">
        <w:trPr>
          <w:trHeight w:val="330"/>
        </w:trPr>
        <w:tc>
          <w:tcPr>
            <w:tcW w:w="960"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t>SEPT</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4</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3</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2</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1</w:t>
            </w:r>
          </w:p>
        </w:tc>
      </w:tr>
      <w:tr w:rsidR="00010259" w:rsidTr="00010259">
        <w:trPr>
          <w:trHeight w:val="330"/>
        </w:trPr>
        <w:tc>
          <w:tcPr>
            <w:tcW w:w="960"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t>OCT</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4</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3</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2</w:t>
            </w:r>
          </w:p>
        </w:tc>
      </w:tr>
      <w:tr w:rsidR="00010259" w:rsidTr="00010259">
        <w:trPr>
          <w:trHeight w:val="330"/>
        </w:trPr>
        <w:tc>
          <w:tcPr>
            <w:tcW w:w="960"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t>NOV</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4</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3</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2</w:t>
            </w:r>
          </w:p>
        </w:tc>
      </w:tr>
      <w:tr w:rsidR="00010259" w:rsidTr="00010259">
        <w:trPr>
          <w:trHeight w:val="330"/>
        </w:trPr>
        <w:tc>
          <w:tcPr>
            <w:tcW w:w="960"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t>DEC</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4</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3</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2</w:t>
            </w:r>
          </w:p>
        </w:tc>
      </w:tr>
      <w:tr w:rsidR="00010259" w:rsidTr="00010259">
        <w:trPr>
          <w:trHeight w:val="330"/>
        </w:trPr>
        <w:tc>
          <w:tcPr>
            <w:tcW w:w="960"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010259" w:rsidRDefault="00010259">
            <w:pPr>
              <w:jc w:val="right"/>
              <w:rPr>
                <w:b/>
                <w:bCs/>
                <w:color w:val="000000"/>
                <w:sz w:val="24"/>
                <w:szCs w:val="24"/>
              </w:rPr>
            </w:pPr>
            <w:r>
              <w:rPr>
                <w:b/>
                <w:bCs/>
                <w:color w:val="000000"/>
                <w:sz w:val="24"/>
                <w:szCs w:val="24"/>
              </w:rPr>
              <w:t>2017</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t>JAN</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4</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3</w:t>
            </w:r>
          </w:p>
        </w:tc>
      </w:tr>
      <w:tr w:rsidR="00010259" w:rsidTr="00010259">
        <w:trPr>
          <w:trHeight w:val="330"/>
        </w:trPr>
        <w:tc>
          <w:tcPr>
            <w:tcW w:w="960"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t>FEB</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4</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3</w:t>
            </w:r>
          </w:p>
        </w:tc>
      </w:tr>
      <w:tr w:rsidR="00010259" w:rsidTr="00010259">
        <w:trPr>
          <w:trHeight w:val="330"/>
        </w:trPr>
        <w:tc>
          <w:tcPr>
            <w:tcW w:w="960"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t>MAR</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4</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3</w:t>
            </w:r>
          </w:p>
        </w:tc>
      </w:tr>
      <w:tr w:rsidR="00010259" w:rsidTr="00010259">
        <w:trPr>
          <w:trHeight w:val="330"/>
        </w:trPr>
        <w:tc>
          <w:tcPr>
            <w:tcW w:w="960"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t>APR</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4</w:t>
            </w:r>
          </w:p>
        </w:tc>
      </w:tr>
      <w:tr w:rsidR="00010259" w:rsidTr="00010259">
        <w:trPr>
          <w:trHeight w:val="330"/>
        </w:trPr>
        <w:tc>
          <w:tcPr>
            <w:tcW w:w="960"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t>MAY</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4</w:t>
            </w:r>
          </w:p>
        </w:tc>
      </w:tr>
      <w:tr w:rsidR="00010259" w:rsidTr="00010259">
        <w:trPr>
          <w:trHeight w:val="330"/>
        </w:trPr>
        <w:tc>
          <w:tcPr>
            <w:tcW w:w="960"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rPr>
                <w:b/>
                <w:bCs/>
                <w:color w:val="000000"/>
                <w:sz w:val="24"/>
                <w:szCs w:val="24"/>
              </w:rPr>
            </w:pPr>
            <w:r>
              <w:rPr>
                <w:b/>
                <w:bCs/>
                <w:color w:val="000000"/>
                <w:sz w:val="24"/>
                <w:szCs w:val="24"/>
              </w:rPr>
              <w:t>JUN</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 </w:t>
            </w:r>
          </w:p>
        </w:tc>
        <w:tc>
          <w:tcPr>
            <w:tcW w:w="960" w:type="dxa"/>
            <w:tcBorders>
              <w:top w:val="nil"/>
              <w:left w:val="nil"/>
              <w:bottom w:val="single" w:sz="8" w:space="0" w:color="000000"/>
              <w:right w:val="single" w:sz="8" w:space="0" w:color="000000"/>
            </w:tcBorders>
            <w:shd w:val="clear" w:color="auto" w:fill="FFC000"/>
            <w:tcMar>
              <w:top w:w="0" w:type="dxa"/>
              <w:left w:w="108" w:type="dxa"/>
              <w:bottom w:w="0" w:type="dxa"/>
              <w:right w:w="108" w:type="dxa"/>
            </w:tcMar>
            <w:vAlign w:val="center"/>
            <w:hideMark/>
          </w:tcPr>
          <w:p w:rsidR="00010259" w:rsidRDefault="00010259">
            <w:pPr>
              <w:jc w:val="center"/>
              <w:rPr>
                <w:color w:val="000000"/>
                <w:sz w:val="24"/>
                <w:szCs w:val="24"/>
              </w:rPr>
            </w:pPr>
            <w:r>
              <w:rPr>
                <w:color w:val="000000"/>
                <w:sz w:val="24"/>
                <w:szCs w:val="24"/>
              </w:rPr>
              <w:t>4</w:t>
            </w:r>
          </w:p>
        </w:tc>
      </w:tr>
    </w:tbl>
    <w:p w:rsidR="00010259" w:rsidRPr="003D516B" w:rsidRDefault="00010259" w:rsidP="00743F10">
      <w:pPr>
        <w:pStyle w:val="left"/>
        <w:spacing w:line="360" w:lineRule="auto"/>
        <w:ind w:firstLine="0"/>
        <w:jc w:val="left"/>
        <w:rPr>
          <w:rFonts w:ascii="Times New Roman" w:hAnsi="Times New Roman"/>
          <w:sz w:val="24"/>
        </w:rPr>
      </w:pPr>
    </w:p>
    <w:p w:rsidR="003D516B" w:rsidRPr="003D516B" w:rsidRDefault="003D516B" w:rsidP="003D516B">
      <w:pPr>
        <w:pStyle w:val="left"/>
        <w:tabs>
          <w:tab w:val="left" w:pos="1530"/>
        </w:tabs>
        <w:spacing w:line="360" w:lineRule="auto"/>
        <w:ind w:firstLine="0"/>
        <w:jc w:val="left"/>
        <w:rPr>
          <w:rFonts w:ascii="Times New Roman" w:hAnsi="Times New Roman"/>
          <w:sz w:val="24"/>
        </w:rPr>
      </w:pPr>
      <w:r w:rsidRPr="003D516B">
        <w:rPr>
          <w:rFonts w:ascii="Times New Roman" w:hAnsi="Times New Roman"/>
          <w:sz w:val="24"/>
        </w:rPr>
        <w:tab/>
      </w:r>
      <w:r w:rsidR="00687CA7">
        <w:rPr>
          <w:rFonts w:ascii="Times New Roman" w:hAnsi="Times New Roman"/>
          <w:sz w:val="24"/>
        </w:rPr>
        <w:t>During</w:t>
      </w:r>
      <w:r w:rsidR="00687CA7" w:rsidRPr="003D516B">
        <w:rPr>
          <w:rFonts w:ascii="Times New Roman" w:hAnsi="Times New Roman"/>
          <w:sz w:val="24"/>
        </w:rPr>
        <w:t xml:space="preserve"> </w:t>
      </w:r>
      <w:r w:rsidRPr="003D516B">
        <w:rPr>
          <w:rFonts w:ascii="Times New Roman" w:hAnsi="Times New Roman"/>
          <w:sz w:val="24"/>
        </w:rPr>
        <w:t>the initial interview</w:t>
      </w:r>
      <w:r w:rsidR="004F728B">
        <w:rPr>
          <w:rFonts w:ascii="Times New Roman" w:hAnsi="Times New Roman"/>
          <w:sz w:val="24"/>
        </w:rPr>
        <w:t xml:space="preserve"> number 1</w:t>
      </w:r>
      <w:r w:rsidRPr="003D516B">
        <w:rPr>
          <w:rFonts w:ascii="Times New Roman" w:hAnsi="Times New Roman"/>
          <w:sz w:val="24"/>
        </w:rPr>
        <w:t>, information is collected on demographic and family characteristics and on the inventory of major durable goods</w:t>
      </w:r>
      <w:r w:rsidR="00C172FA">
        <w:rPr>
          <w:rFonts w:ascii="Times New Roman" w:hAnsi="Times New Roman"/>
          <w:sz w:val="24"/>
        </w:rPr>
        <w:t xml:space="preserve"> </w:t>
      </w:r>
      <w:r w:rsidRPr="003D516B">
        <w:rPr>
          <w:rFonts w:ascii="Times New Roman" w:hAnsi="Times New Roman"/>
          <w:sz w:val="24"/>
        </w:rPr>
        <w:t>of each consumer unit. Expenditure information is also collected in this interview</w:t>
      </w:r>
      <w:r w:rsidR="00E24511">
        <w:rPr>
          <w:rFonts w:ascii="Times New Roman" w:hAnsi="Times New Roman"/>
          <w:sz w:val="24"/>
        </w:rPr>
        <w:t xml:space="preserve"> using 3 months of recall.</w:t>
      </w:r>
    </w:p>
    <w:p w:rsidR="003D516B" w:rsidRPr="003D516B" w:rsidRDefault="003D516B" w:rsidP="003D516B">
      <w:pPr>
        <w:pStyle w:val="left"/>
        <w:tabs>
          <w:tab w:val="left" w:pos="1530"/>
        </w:tabs>
        <w:spacing w:line="360" w:lineRule="auto"/>
        <w:ind w:firstLine="0"/>
        <w:jc w:val="left"/>
        <w:rPr>
          <w:rFonts w:ascii="Times New Roman" w:hAnsi="Times New Roman"/>
          <w:sz w:val="24"/>
        </w:rPr>
      </w:pPr>
      <w:r w:rsidRPr="003D516B">
        <w:rPr>
          <w:rFonts w:ascii="Times New Roman" w:hAnsi="Times New Roman"/>
          <w:sz w:val="24"/>
        </w:rPr>
        <w:tab/>
        <w:t>Data collected</w:t>
      </w:r>
      <w:r w:rsidR="00E24511">
        <w:rPr>
          <w:rFonts w:ascii="Times New Roman" w:hAnsi="Times New Roman"/>
          <w:sz w:val="24"/>
        </w:rPr>
        <w:t xml:space="preserve"> in these questionnaires </w:t>
      </w:r>
      <w:r w:rsidRPr="003D516B">
        <w:rPr>
          <w:rFonts w:ascii="Times New Roman" w:hAnsi="Times New Roman"/>
          <w:sz w:val="24"/>
        </w:rPr>
        <w:t xml:space="preserve">are arranged by major expenditure component (for example, housing, transportation, medical, and education), </w:t>
      </w:r>
      <w:r w:rsidR="00E24511">
        <w:rPr>
          <w:rFonts w:ascii="Times New Roman" w:hAnsi="Times New Roman"/>
          <w:sz w:val="24"/>
        </w:rPr>
        <w:t xml:space="preserve">and </w:t>
      </w:r>
      <w:r w:rsidRPr="003D516B">
        <w:rPr>
          <w:rFonts w:ascii="Times New Roman" w:hAnsi="Times New Roman"/>
          <w:sz w:val="24"/>
        </w:rPr>
        <w:t xml:space="preserve">form the basis of the expenditure estimates derived from the Interview Survey. Wage, salary, and other information on the employment of each member of a consumer unit </w:t>
      </w:r>
      <w:r w:rsidR="00E24511">
        <w:rPr>
          <w:rFonts w:ascii="Times New Roman" w:hAnsi="Times New Roman"/>
          <w:sz w:val="24"/>
        </w:rPr>
        <w:t>are also collected in the first</w:t>
      </w:r>
      <w:r w:rsidRPr="003D516B">
        <w:rPr>
          <w:rFonts w:ascii="Times New Roman" w:hAnsi="Times New Roman"/>
          <w:sz w:val="24"/>
        </w:rPr>
        <w:t xml:space="preserve"> in</w:t>
      </w:r>
      <w:r w:rsidR="00E24511">
        <w:rPr>
          <w:rFonts w:ascii="Times New Roman" w:hAnsi="Times New Roman"/>
          <w:sz w:val="24"/>
        </w:rPr>
        <w:t>terview and updated in the fourth</w:t>
      </w:r>
      <w:r w:rsidRPr="003D516B">
        <w:rPr>
          <w:rFonts w:ascii="Times New Roman" w:hAnsi="Times New Roman"/>
          <w:sz w:val="24"/>
        </w:rPr>
        <w:t xml:space="preserve"> interview. Expenditure data are collected via two major types of questions. The first set of questions asks the respondent for the month of purchase of each reported expenditure. The second asks for a quarterly amount of expenditures. The use of these two questions varies, depending on the types of expenditures collected. Most of the data are collected using the direct monthly method. </w:t>
      </w:r>
      <w:r w:rsidRPr="003D516B">
        <w:rPr>
          <w:rFonts w:ascii="Times New Roman" w:hAnsi="Times New Roman"/>
          <w:sz w:val="24"/>
          <w:szCs w:val="24"/>
        </w:rPr>
        <w:t xml:space="preserve">A portion of the data </w:t>
      </w:r>
      <w:r w:rsidR="008642ED">
        <w:rPr>
          <w:rFonts w:ascii="Times New Roman" w:hAnsi="Times New Roman"/>
          <w:sz w:val="24"/>
          <w:szCs w:val="24"/>
        </w:rPr>
        <w:t>are</w:t>
      </w:r>
      <w:r w:rsidR="008642ED" w:rsidRPr="003D516B">
        <w:rPr>
          <w:rFonts w:ascii="Times New Roman" w:hAnsi="Times New Roman"/>
          <w:sz w:val="24"/>
          <w:szCs w:val="24"/>
        </w:rPr>
        <w:t xml:space="preserve"> </w:t>
      </w:r>
      <w:r w:rsidRPr="003D516B">
        <w:rPr>
          <w:rFonts w:ascii="Times New Roman" w:hAnsi="Times New Roman"/>
          <w:sz w:val="24"/>
          <w:szCs w:val="24"/>
        </w:rPr>
        <w:t>collected by asking for quarterly expenses, but this also includes asking for the amount that was spent in the current month so as to only have the expenses that occur in the 3-month reference period.</w:t>
      </w:r>
      <w:r w:rsidRPr="003D516B">
        <w:t xml:space="preserve"> </w:t>
      </w:r>
      <w:r w:rsidR="00D66AE7">
        <w:rPr>
          <w:rFonts w:ascii="Times New Roman" w:hAnsi="Times New Roman"/>
          <w:sz w:val="24"/>
        </w:rPr>
        <w:t xml:space="preserve">In the </w:t>
      </w:r>
      <w:r w:rsidRPr="003D516B">
        <w:rPr>
          <w:rFonts w:ascii="Times New Roman" w:hAnsi="Times New Roman"/>
          <w:sz w:val="24"/>
        </w:rPr>
        <w:t>final interview, an annual supplement is used to obtain a financial profile of the consumer unit. This profile consists of information on the income of the consumer unit as a whole, including unemployment compensation; income from royalties, dividends, and estates; alimony and child support. A 12-month recall period is used in the collection of income- and asset-type data.</w:t>
      </w:r>
    </w:p>
    <w:p w:rsidR="003D516B" w:rsidRPr="003D516B" w:rsidRDefault="003D516B" w:rsidP="003D516B">
      <w:pPr>
        <w:pStyle w:val="sidehead"/>
        <w:spacing w:before="116" w:line="360" w:lineRule="auto"/>
        <w:jc w:val="both"/>
        <w:rPr>
          <w:rFonts w:ascii="Times New Roman" w:hAnsi="Times New Roman"/>
          <w:sz w:val="24"/>
        </w:rPr>
      </w:pPr>
      <w:r w:rsidRPr="003D516B">
        <w:rPr>
          <w:rFonts w:ascii="Times New Roman" w:hAnsi="Times New Roman"/>
          <w:sz w:val="24"/>
        </w:rPr>
        <w:lastRenderedPageBreak/>
        <w:t>Diary Survey</w:t>
      </w:r>
      <w:r w:rsidR="003C6430">
        <w:rPr>
          <w:rFonts w:ascii="Times New Roman" w:hAnsi="Times New Roman"/>
          <w:sz w:val="24"/>
        </w:rPr>
        <w:t xml:space="preserve"> Details</w:t>
      </w:r>
    </w:p>
    <w:p w:rsidR="00E24511" w:rsidRPr="003D516B" w:rsidRDefault="003D516B" w:rsidP="00E24511">
      <w:pPr>
        <w:pStyle w:val="left"/>
        <w:spacing w:line="360" w:lineRule="auto"/>
        <w:ind w:firstLine="0"/>
        <w:jc w:val="left"/>
        <w:rPr>
          <w:rFonts w:ascii="Times New Roman" w:hAnsi="Times New Roman"/>
          <w:sz w:val="24"/>
        </w:rPr>
      </w:pPr>
      <w:r w:rsidRPr="003D516B">
        <w:rPr>
          <w:rFonts w:ascii="Times New Roman" w:hAnsi="Times New Roman"/>
          <w:sz w:val="24"/>
        </w:rPr>
        <w:tab/>
      </w:r>
      <w:r w:rsidR="00E24511" w:rsidRPr="003D516B">
        <w:rPr>
          <w:rFonts w:ascii="Times New Roman" w:hAnsi="Times New Roman"/>
          <w:sz w:val="24"/>
        </w:rPr>
        <w:t>The</w:t>
      </w:r>
      <w:r w:rsidR="006179F0">
        <w:rPr>
          <w:rFonts w:ascii="Times New Roman" w:hAnsi="Times New Roman"/>
          <w:sz w:val="24"/>
        </w:rPr>
        <w:t xml:space="preserve"> separate</w:t>
      </w:r>
      <w:r w:rsidR="00E24511" w:rsidRPr="003D516B">
        <w:rPr>
          <w:rFonts w:ascii="Times New Roman" w:hAnsi="Times New Roman"/>
          <w:sz w:val="24"/>
        </w:rPr>
        <w:t xml:space="preserve"> Diary Survey is completed by the respondent family for two consecutive 1-week periods.</w:t>
      </w:r>
    </w:p>
    <w:p w:rsidR="003D516B" w:rsidRPr="003D516B" w:rsidRDefault="00E24511" w:rsidP="003D516B">
      <w:pPr>
        <w:pStyle w:val="left"/>
        <w:spacing w:line="360" w:lineRule="auto"/>
        <w:ind w:firstLine="0"/>
        <w:jc w:val="left"/>
        <w:rPr>
          <w:rFonts w:ascii="Times New Roman" w:hAnsi="Times New Roman"/>
          <w:sz w:val="24"/>
        </w:rPr>
      </w:pPr>
      <w:r>
        <w:rPr>
          <w:rFonts w:ascii="Times New Roman" w:hAnsi="Times New Roman"/>
          <w:sz w:val="24"/>
        </w:rPr>
        <w:tab/>
      </w:r>
      <w:r w:rsidR="003D516B" w:rsidRPr="003D516B">
        <w:rPr>
          <w:rFonts w:ascii="Times New Roman" w:hAnsi="Times New Roman"/>
          <w:sz w:val="24"/>
        </w:rPr>
        <w:t>Two separate questionnaires are used to collect Diary data: a Household Characteristics Questionnaire and a Record of Daily Expenses. In the Household Characteristics Questionnaire, the interviewer records information pertaining to age, sex, race, marital status, and family composition, as well as information on the work experience and earnings of each member of the consumer unit. This socioeconomic information is used by the Bureau to classify the consumer unit for publication of statistical tables, as well as for economic analysis. Data on household characteristics also provide the link in the integration of Diary expenditure data with Interview expenditure data that permit the publication of a full profile of consumer expenditures by demographic characteristics.</w:t>
      </w:r>
    </w:p>
    <w:p w:rsidR="003D516B" w:rsidRDefault="003D516B" w:rsidP="003D516B">
      <w:pPr>
        <w:pStyle w:val="left"/>
        <w:tabs>
          <w:tab w:val="left" w:pos="1530"/>
        </w:tabs>
        <w:spacing w:line="360" w:lineRule="auto"/>
        <w:ind w:firstLine="0"/>
        <w:jc w:val="left"/>
        <w:rPr>
          <w:rFonts w:ascii="Times New Roman" w:hAnsi="Times New Roman"/>
          <w:sz w:val="24"/>
        </w:rPr>
      </w:pPr>
      <w:r w:rsidRPr="003D516B">
        <w:rPr>
          <w:rFonts w:ascii="Times New Roman" w:hAnsi="Times New Roman"/>
          <w:sz w:val="24"/>
        </w:rPr>
        <w:tab/>
        <w:t>The daily expense record is designed as a self-reporting, product-oriented diary, in which respondents record a detailed description of all expenses for two consecutive 1-week periods. Diary keeping can start on any day of the week.  Data collected each week are treated as statistically independent. The diary is divided by day of purchase and by four classifications of goods and services—food away from home, food at home, clothing, and all other goods and services—a breakdown designed to aid the respondent in recording the entire consumer unit’s daily purchases. The items reported are subsequently coded by the Census Bureau, so BLS can aggregate individual purchases for representation in the CPI and for presentation in statistical tables.</w:t>
      </w:r>
    </w:p>
    <w:p w:rsidR="00F91D7E" w:rsidRPr="003D516B" w:rsidRDefault="00F91D7E" w:rsidP="00F91D7E">
      <w:pPr>
        <w:pStyle w:val="sidehead"/>
        <w:spacing w:line="360" w:lineRule="auto"/>
        <w:jc w:val="both"/>
        <w:rPr>
          <w:rFonts w:ascii="Times New Roman" w:hAnsi="Times New Roman"/>
          <w:sz w:val="24"/>
        </w:rPr>
      </w:pPr>
      <w:r w:rsidRPr="003D516B">
        <w:rPr>
          <w:rFonts w:ascii="Times New Roman" w:hAnsi="Times New Roman"/>
          <w:sz w:val="24"/>
        </w:rPr>
        <w:t>Integrated survey data</w:t>
      </w:r>
    </w:p>
    <w:p w:rsidR="00F91D7E" w:rsidRPr="003D516B" w:rsidRDefault="00743F10" w:rsidP="00F91D7E">
      <w:pPr>
        <w:pStyle w:val="left"/>
        <w:tabs>
          <w:tab w:val="left" w:pos="1530"/>
        </w:tabs>
        <w:spacing w:line="360" w:lineRule="auto"/>
        <w:ind w:firstLine="0"/>
        <w:jc w:val="left"/>
        <w:rPr>
          <w:rFonts w:ascii="Times New Roman" w:hAnsi="Times New Roman"/>
          <w:sz w:val="24"/>
        </w:rPr>
      </w:pPr>
      <w:r>
        <w:rPr>
          <w:rFonts w:ascii="Times New Roman" w:hAnsi="Times New Roman"/>
          <w:sz w:val="24"/>
        </w:rPr>
        <w:tab/>
      </w:r>
      <w:r w:rsidR="00F91D7E" w:rsidRPr="003D516B">
        <w:rPr>
          <w:rFonts w:ascii="Times New Roman" w:hAnsi="Times New Roman"/>
          <w:sz w:val="24"/>
        </w:rPr>
        <w:t>Integrated data from the BLS Di</w:t>
      </w:r>
      <w:r>
        <w:rPr>
          <w:rFonts w:ascii="Times New Roman" w:hAnsi="Times New Roman"/>
          <w:sz w:val="24"/>
        </w:rPr>
        <w:t>ary and Interview s</w:t>
      </w:r>
      <w:r w:rsidR="00F91D7E" w:rsidRPr="003D516B">
        <w:rPr>
          <w:rFonts w:ascii="Times New Roman" w:hAnsi="Times New Roman"/>
          <w:sz w:val="24"/>
        </w:rPr>
        <w:t xml:space="preserve">urveys provide a complete accounting of consumer expenditures and income, which neither survey component alone is designed to do. Some expenditure items are collected only by the Diary or Interview Survey. For example, the Diary collects data on detailed food expenditures and items, such as postage and nonprescription drugs, which are not collected in the Interview. The Interview collects data on expenditures for overnight travel and information on insurance reimbursements for medical-care costs and automobile repairs, which are not collected in the Diary. Data on average annual expenditures that come exclusively from the Interview </w:t>
      </w:r>
      <w:r w:rsidR="00F91D7E" w:rsidRPr="003D516B">
        <w:rPr>
          <w:rFonts w:ascii="Times New Roman" w:hAnsi="Times New Roman"/>
          <w:sz w:val="24"/>
        </w:rPr>
        <w:lastRenderedPageBreak/>
        <w:t>Survey, including global estimates, such as those for food and alcoholic beverages, average about 95 percent of the total estimated spending, based on integrated Diary and Interview data. For items unique to one or the other survey, the choice of which survey to use as the source of data is obvious. However, there is considerable overlap in coverage between the surveys. Because of the overlap, the integration of the data presents the problem of determining the appropriate survey component from which to select the expenditure items. When data are available from both survey sources, the more reliable of the two is selected, as determined by statistical methods. The selection of the survey source is evaluated every 2 years.</w:t>
      </w:r>
      <w:r w:rsidR="003C6430">
        <w:rPr>
          <w:rFonts w:ascii="Times New Roman" w:hAnsi="Times New Roman"/>
          <w:sz w:val="24"/>
        </w:rPr>
        <w:t xml:space="preserve">  </w:t>
      </w:r>
      <w:r w:rsidR="003C6430" w:rsidRPr="00743F10">
        <w:rPr>
          <w:rFonts w:ascii="Times New Roman" w:hAnsi="Times New Roman"/>
          <w:color w:val="FF0000"/>
          <w:sz w:val="24"/>
        </w:rPr>
        <w:t>&lt;</w:t>
      </w:r>
      <w:r w:rsidR="00B66D4C" w:rsidRPr="00B66D4C">
        <w:rPr>
          <w:rFonts w:ascii="Times New Roman" w:hAnsi="Times New Roman"/>
          <w:color w:val="FF0000"/>
          <w:sz w:val="24"/>
        </w:rPr>
        <w:t>http://www.bls.gov/cex/anthology11/csxanth3.pdf</w:t>
      </w:r>
      <w:r w:rsidR="003C6430" w:rsidRPr="00743F10">
        <w:rPr>
          <w:rFonts w:ascii="Times New Roman" w:hAnsi="Times New Roman"/>
          <w:color w:val="FF0000"/>
          <w:sz w:val="24"/>
        </w:rPr>
        <w:t>&gt;</w:t>
      </w:r>
    </w:p>
    <w:p w:rsidR="00430C88" w:rsidRPr="00430C88" w:rsidRDefault="00430C88" w:rsidP="003D516B">
      <w:pPr>
        <w:pStyle w:val="left"/>
        <w:tabs>
          <w:tab w:val="left" w:pos="1530"/>
        </w:tabs>
        <w:spacing w:line="360" w:lineRule="auto"/>
        <w:ind w:firstLine="0"/>
        <w:jc w:val="left"/>
        <w:rPr>
          <w:rFonts w:ascii="Times New Roman" w:hAnsi="Times New Roman"/>
          <w:b/>
          <w:sz w:val="24"/>
        </w:rPr>
      </w:pPr>
      <w:r w:rsidRPr="00430C88">
        <w:rPr>
          <w:rFonts w:ascii="Times New Roman" w:hAnsi="Times New Roman"/>
          <w:b/>
          <w:sz w:val="24"/>
        </w:rPr>
        <w:t>Quality Control and Confidentiality</w:t>
      </w:r>
    </w:p>
    <w:p w:rsidR="00560ED0" w:rsidRPr="000700C1" w:rsidRDefault="00430C88" w:rsidP="00560ED0">
      <w:pPr>
        <w:pStyle w:val="left"/>
        <w:tabs>
          <w:tab w:val="left" w:pos="1530"/>
        </w:tabs>
        <w:spacing w:line="360" w:lineRule="auto"/>
        <w:ind w:firstLine="0"/>
        <w:jc w:val="left"/>
        <w:rPr>
          <w:rFonts w:ascii="Times New Roman" w:hAnsi="Times New Roman"/>
          <w:sz w:val="24"/>
        </w:rPr>
      </w:pPr>
      <w:r>
        <w:rPr>
          <w:rFonts w:ascii="Times New Roman" w:hAnsi="Times New Roman"/>
          <w:sz w:val="24"/>
        </w:rPr>
        <w:tab/>
      </w:r>
      <w:r w:rsidR="00560ED0" w:rsidRPr="000700C1">
        <w:rPr>
          <w:rFonts w:ascii="Times New Roman" w:hAnsi="Times New Roman"/>
          <w:sz w:val="24"/>
        </w:rPr>
        <w:t xml:space="preserve">Quality control </w:t>
      </w:r>
      <w:r w:rsidR="00C172FA">
        <w:rPr>
          <w:rFonts w:ascii="Times New Roman" w:hAnsi="Times New Roman"/>
          <w:sz w:val="24"/>
        </w:rPr>
        <w:t>and data integrity are</w:t>
      </w:r>
      <w:r w:rsidR="00C172FA" w:rsidRPr="000700C1">
        <w:rPr>
          <w:rFonts w:ascii="Times New Roman" w:hAnsi="Times New Roman"/>
          <w:sz w:val="24"/>
        </w:rPr>
        <w:t xml:space="preserve"> </w:t>
      </w:r>
      <w:r w:rsidR="00560ED0" w:rsidRPr="000700C1">
        <w:rPr>
          <w:rFonts w:ascii="Times New Roman" w:hAnsi="Times New Roman"/>
          <w:sz w:val="24"/>
        </w:rPr>
        <w:t>provided by a re-interview program, which evaluates the performance of the individual interviewer, to determine how well the procedures are being carried out in the field. The re-interview is conducted by a Census Bureau supervisor</w:t>
      </w:r>
      <w:r w:rsidR="006275B8" w:rsidRPr="000700C1">
        <w:rPr>
          <w:rFonts w:ascii="Times New Roman" w:hAnsi="Times New Roman"/>
          <w:sz w:val="24"/>
        </w:rPr>
        <w:t xml:space="preserve"> or Data Contact Center</w:t>
      </w:r>
      <w:r w:rsidR="00560ED0" w:rsidRPr="000700C1">
        <w:rPr>
          <w:rFonts w:ascii="Times New Roman" w:hAnsi="Times New Roman"/>
          <w:sz w:val="24"/>
        </w:rPr>
        <w:t xml:space="preserve">.  Subsamples </w:t>
      </w:r>
      <w:r w:rsidR="00560ED0" w:rsidRPr="000700C1">
        <w:rPr>
          <w:rFonts w:ascii="Times New Roman" w:hAnsi="Times New Roman"/>
          <w:sz w:val="24"/>
          <w:szCs w:val="24"/>
        </w:rPr>
        <w:t>of approximately 9 percent of households in both the Interview and Diary Survey are re-interviewed on an ongoing basis.</w:t>
      </w:r>
    </w:p>
    <w:p w:rsidR="003C6430" w:rsidRDefault="00560ED0" w:rsidP="00560ED0">
      <w:pPr>
        <w:pStyle w:val="left"/>
        <w:tabs>
          <w:tab w:val="left" w:pos="1530"/>
        </w:tabs>
        <w:spacing w:line="360" w:lineRule="auto"/>
        <w:ind w:firstLine="0"/>
        <w:jc w:val="left"/>
        <w:rPr>
          <w:rFonts w:ascii="Times New Roman" w:hAnsi="Times New Roman"/>
          <w:sz w:val="24"/>
        </w:rPr>
      </w:pPr>
      <w:r w:rsidRPr="003D516B">
        <w:rPr>
          <w:rFonts w:ascii="Times New Roman" w:hAnsi="Times New Roman"/>
          <w:sz w:val="24"/>
        </w:rPr>
        <w:tab/>
        <w:t xml:space="preserve">All data collected in both surveys are subject to Census Bureau and BLS confidentiality requirements that prevent the disclosure of the respondents' identities. The information that respondents provide is used solely for statistical purposes. All Census Bureau and BLS employees who work with the CE data take an oath of confidentiality and are subject to fines and imprisonment for improperly disclosing information provided by respondents. </w:t>
      </w:r>
      <w:r w:rsidR="003C6430">
        <w:rPr>
          <w:rFonts w:ascii="Times New Roman" w:hAnsi="Times New Roman"/>
          <w:sz w:val="24"/>
        </w:rPr>
        <w:t>Confidentiality certification training is required annually.</w:t>
      </w:r>
    </w:p>
    <w:p w:rsidR="00560ED0" w:rsidRPr="003D516B" w:rsidRDefault="003C6430" w:rsidP="00560ED0">
      <w:pPr>
        <w:pStyle w:val="left"/>
        <w:tabs>
          <w:tab w:val="left" w:pos="1530"/>
        </w:tabs>
        <w:spacing w:line="360" w:lineRule="auto"/>
        <w:ind w:firstLine="0"/>
        <w:jc w:val="left"/>
        <w:rPr>
          <w:rFonts w:ascii="Times New Roman" w:hAnsi="Times New Roman"/>
          <w:sz w:val="24"/>
        </w:rPr>
      </w:pPr>
      <w:r>
        <w:rPr>
          <w:rFonts w:ascii="Times New Roman" w:hAnsi="Times New Roman"/>
          <w:sz w:val="24"/>
        </w:rPr>
        <w:tab/>
      </w:r>
      <w:r w:rsidR="00560ED0" w:rsidRPr="003D516B">
        <w:rPr>
          <w:rFonts w:ascii="Times New Roman" w:hAnsi="Times New Roman"/>
          <w:sz w:val="24"/>
        </w:rPr>
        <w:t>Names and addresses are removed from all forms and datasets prior to transmission from the Census Bureau to BLS and are not included in any statistical releases. At BLS, the data are processed and stored on secure servers, with access limited to employees having security clearances. As a further precaution, BLS applies certain restrictions to the microdata available on the public-use files. These include geographical and value restrictions that prevent identification of respondents.</w:t>
      </w:r>
    </w:p>
    <w:p w:rsidR="003D516B" w:rsidRPr="003D516B" w:rsidRDefault="003D516B" w:rsidP="003D516B">
      <w:pPr>
        <w:spacing w:line="360" w:lineRule="auto"/>
        <w:rPr>
          <w:b/>
          <w:sz w:val="24"/>
        </w:rPr>
      </w:pPr>
      <w:r w:rsidRPr="003D516B">
        <w:rPr>
          <w:b/>
          <w:sz w:val="24"/>
        </w:rPr>
        <w:t>Data collection and processing</w:t>
      </w:r>
    </w:p>
    <w:p w:rsidR="003D516B" w:rsidRPr="003D516B" w:rsidRDefault="00743F10" w:rsidP="003D516B">
      <w:pPr>
        <w:pStyle w:val="left"/>
        <w:tabs>
          <w:tab w:val="left" w:pos="1530"/>
        </w:tabs>
        <w:spacing w:line="360" w:lineRule="auto"/>
        <w:ind w:firstLine="0"/>
        <w:jc w:val="left"/>
        <w:rPr>
          <w:rFonts w:ascii="Times New Roman" w:hAnsi="Times New Roman"/>
          <w:sz w:val="24"/>
        </w:rPr>
      </w:pPr>
      <w:r>
        <w:rPr>
          <w:sz w:val="24"/>
        </w:rPr>
        <w:tab/>
      </w:r>
      <w:r w:rsidR="003D516B" w:rsidRPr="003D516B">
        <w:rPr>
          <w:sz w:val="24"/>
        </w:rPr>
        <w:t xml:space="preserve">Due to differences in format and design, the Interview Survey and the Diary Survey are collected and processed separately. The U.S. Census Bureau, under contract </w:t>
      </w:r>
      <w:r w:rsidR="003D516B" w:rsidRPr="003D516B">
        <w:rPr>
          <w:sz w:val="24"/>
        </w:rPr>
        <w:lastRenderedPageBreak/>
        <w:t xml:space="preserve">with BLS, carries out data collection for both surveys. In addition to its collection duties, the </w:t>
      </w:r>
      <w:smartTag w:uri="urn:schemas-microsoft-com:office:smarttags" w:element="PersonName">
        <w:r w:rsidR="003D516B" w:rsidRPr="003D516B">
          <w:rPr>
            <w:sz w:val="24"/>
          </w:rPr>
          <w:t>Census</w:t>
        </w:r>
      </w:smartTag>
      <w:r w:rsidR="003D516B" w:rsidRPr="003D516B">
        <w:rPr>
          <w:sz w:val="24"/>
        </w:rPr>
        <w:t xml:space="preserve"> Bureau does field editing and coding, checks consistency, ensures quality control, and transmits the data to BLS. In preparing the data for analysis and publication, BLS performs additional review and editing procedures. </w:t>
      </w:r>
    </w:p>
    <w:p w:rsidR="00743F10" w:rsidRDefault="003D516B" w:rsidP="00743F10">
      <w:pPr>
        <w:pStyle w:val="left"/>
        <w:tabs>
          <w:tab w:val="left" w:pos="1530"/>
        </w:tabs>
        <w:spacing w:line="360" w:lineRule="auto"/>
        <w:ind w:firstLine="0"/>
        <w:jc w:val="left"/>
        <w:rPr>
          <w:sz w:val="24"/>
          <w:szCs w:val="24"/>
        </w:rPr>
      </w:pPr>
      <w:r w:rsidRPr="003D516B">
        <w:rPr>
          <w:i/>
          <w:sz w:val="24"/>
        </w:rPr>
        <w:t>Interview Survey</w:t>
      </w:r>
      <w:r w:rsidRPr="003D516B">
        <w:rPr>
          <w:sz w:val="24"/>
        </w:rPr>
        <w:t xml:space="preserve">. </w:t>
      </w:r>
      <w:r w:rsidRPr="003D516B">
        <w:rPr>
          <w:sz w:val="24"/>
          <w:szCs w:val="24"/>
        </w:rPr>
        <w:t xml:space="preserve">Beginning April 2003, Census field representatives (FR) started collecting the Interview data using a Computer Assisted Personal Interview (CAPI) instrument. This was a major improvement from the paper-and-pencil data collection that had been in place since 1980. The CAPI instrument enforces question skip patterns, allows for data confirmation of high expenditure values, and reduces processing time. The FR performs some coding of expenses—by selecting from a predetermined list—for example, vehicle make and model; trip destination; and types of services for alterations, maintenance, and repair on owned and rented properties. </w:t>
      </w:r>
      <w:r w:rsidR="00802E9D">
        <w:rPr>
          <w:sz w:val="24"/>
          <w:szCs w:val="24"/>
        </w:rPr>
        <w:t>See Illustration 1 for the diagram of the process flow from collection by the FR to delivering the data to the CPI and publishing the information for the public.</w:t>
      </w:r>
    </w:p>
    <w:p w:rsidR="000F2D02" w:rsidRDefault="00802E9D" w:rsidP="00743F10">
      <w:pPr>
        <w:pStyle w:val="left"/>
        <w:tabs>
          <w:tab w:val="left" w:pos="1530"/>
        </w:tabs>
        <w:spacing w:line="360" w:lineRule="auto"/>
        <w:ind w:firstLine="0"/>
        <w:jc w:val="left"/>
        <w:rPr>
          <w:sz w:val="24"/>
          <w:szCs w:val="24"/>
        </w:rPr>
      </w:pPr>
      <w:r>
        <w:rPr>
          <w:sz w:val="24"/>
          <w:szCs w:val="24"/>
        </w:rPr>
        <w:t xml:space="preserve">Illustration 1.  </w:t>
      </w:r>
      <w:r w:rsidR="000F2D02" w:rsidRPr="00411FFD">
        <w:rPr>
          <w:b/>
          <w:sz w:val="24"/>
          <w:szCs w:val="24"/>
        </w:rPr>
        <w:t>Interview Process flow diagram</w:t>
      </w:r>
      <w:r w:rsidR="000F2D02">
        <w:rPr>
          <w:sz w:val="24"/>
          <w:szCs w:val="24"/>
        </w:rPr>
        <w:t xml:space="preserve"> </w:t>
      </w:r>
    </w:p>
    <w:p w:rsidR="000F2D02" w:rsidRDefault="000F2D02" w:rsidP="000F2D02">
      <w:pPr>
        <w:rPr>
          <w:color w:val="FF0000"/>
        </w:rPr>
      </w:pPr>
      <w:r>
        <w:rPr>
          <w:color w:val="FF0000"/>
        </w:rPr>
        <w:lastRenderedPageBreak/>
        <w:t xml:space="preserve"> </w:t>
      </w:r>
      <w:r w:rsidR="00802E9D">
        <w:rPr>
          <w:noProof/>
          <w:color w:val="FF0000"/>
        </w:rPr>
        <w:drawing>
          <wp:inline distT="0" distB="0" distL="0" distR="0" wp14:anchorId="0FB14D4A" wp14:editId="02B7BF0E">
            <wp:extent cx="5486400" cy="42392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rview Overview - 201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86400" cy="4239260"/>
                    </a:xfrm>
                    <a:prstGeom prst="rect">
                      <a:avLst/>
                    </a:prstGeom>
                  </pic:spPr>
                </pic:pic>
              </a:graphicData>
            </a:graphic>
          </wp:inline>
        </w:drawing>
      </w:r>
    </w:p>
    <w:p w:rsidR="000F2D02" w:rsidRDefault="000F2D02" w:rsidP="00743F10">
      <w:pPr>
        <w:pStyle w:val="left"/>
        <w:tabs>
          <w:tab w:val="left" w:pos="1530"/>
        </w:tabs>
        <w:spacing w:line="360" w:lineRule="auto"/>
        <w:ind w:firstLine="0"/>
        <w:jc w:val="left"/>
        <w:rPr>
          <w:sz w:val="24"/>
          <w:szCs w:val="24"/>
        </w:rPr>
      </w:pPr>
    </w:p>
    <w:p w:rsidR="003D516B" w:rsidRPr="00743F10" w:rsidRDefault="00743F10" w:rsidP="00743F10">
      <w:pPr>
        <w:pStyle w:val="left"/>
        <w:tabs>
          <w:tab w:val="left" w:pos="1530"/>
        </w:tabs>
        <w:spacing w:line="360" w:lineRule="auto"/>
        <w:ind w:firstLine="0"/>
        <w:jc w:val="left"/>
        <w:rPr>
          <w:rFonts w:ascii="Times New Roman" w:hAnsi="Times New Roman"/>
          <w:sz w:val="24"/>
        </w:rPr>
      </w:pPr>
      <w:r>
        <w:rPr>
          <w:sz w:val="24"/>
          <w:szCs w:val="24"/>
        </w:rPr>
        <w:tab/>
      </w:r>
      <w:r w:rsidR="003D516B" w:rsidRPr="003D516B">
        <w:rPr>
          <w:sz w:val="24"/>
          <w:szCs w:val="24"/>
        </w:rPr>
        <w:t>Data are electronically transferred from a</w:t>
      </w:r>
      <w:r w:rsidR="006179F0">
        <w:rPr>
          <w:sz w:val="24"/>
          <w:szCs w:val="24"/>
        </w:rPr>
        <w:t>n</w:t>
      </w:r>
      <w:r w:rsidR="003D516B" w:rsidRPr="003D516B">
        <w:rPr>
          <w:sz w:val="24"/>
          <w:szCs w:val="24"/>
        </w:rPr>
        <w:t xml:space="preserve"> FR’s laptop at completion of the interview to the Census Master Control System. The Census Bureau’s Demographics Surveys Division then reformats the data into datasets and performs special processing, </w:t>
      </w:r>
      <w:r w:rsidR="003C6430">
        <w:rPr>
          <w:sz w:val="24"/>
          <w:szCs w:val="24"/>
        </w:rPr>
        <w:t>including</w:t>
      </w:r>
      <w:r w:rsidR="003D516B" w:rsidRPr="003D516B">
        <w:rPr>
          <w:sz w:val="24"/>
          <w:szCs w:val="24"/>
        </w:rPr>
        <w:t xml:space="preserve"> converting missing values to special characters and merging data records into the required BLS output structure. Some data, like vehicle and mortgage records, are copied into an input file that is loaded on the laptops for subsequent interviews the next quarter. This way, a few fields are updated each quarter, rather than an entire data record. As mentioned earlier, names and addresses of respondents are not transmitted</w:t>
      </w:r>
      <w:r w:rsidR="00687CA7">
        <w:rPr>
          <w:sz w:val="24"/>
          <w:szCs w:val="24"/>
        </w:rPr>
        <w:t xml:space="preserve"> to BLS</w:t>
      </w:r>
      <w:r w:rsidR="003D516B" w:rsidRPr="003D516B">
        <w:rPr>
          <w:sz w:val="24"/>
          <w:szCs w:val="24"/>
        </w:rPr>
        <w:t>.</w:t>
      </w:r>
    </w:p>
    <w:p w:rsidR="003D516B" w:rsidRPr="003D516B" w:rsidRDefault="003D516B" w:rsidP="003D516B">
      <w:pPr>
        <w:tabs>
          <w:tab w:val="left" w:pos="1530"/>
        </w:tabs>
        <w:spacing w:line="360" w:lineRule="auto"/>
        <w:ind w:firstLine="720"/>
        <w:rPr>
          <w:sz w:val="24"/>
          <w:szCs w:val="24"/>
        </w:rPr>
      </w:pPr>
      <w:r w:rsidRPr="003D516B">
        <w:rPr>
          <w:sz w:val="24"/>
          <w:szCs w:val="24"/>
        </w:rPr>
        <w:t xml:space="preserve">At BLS, a series of automated edits are applied to monthly data. These edits check for inconsistencies, identify missing expenditure amounts for later imputation, impute values for missing demographic variables, calculate weights, and adjust data to include sales tax, exclude business expenses, and net out reimbursed expenditures. </w:t>
      </w:r>
    </w:p>
    <w:p w:rsidR="003D516B" w:rsidRPr="003D516B" w:rsidRDefault="003D516B" w:rsidP="003D516B">
      <w:pPr>
        <w:pStyle w:val="left"/>
        <w:tabs>
          <w:tab w:val="left" w:pos="1530"/>
        </w:tabs>
        <w:spacing w:line="360" w:lineRule="auto"/>
        <w:ind w:firstLine="0"/>
        <w:jc w:val="left"/>
        <w:rPr>
          <w:rFonts w:ascii="Times New Roman" w:hAnsi="Times New Roman"/>
          <w:sz w:val="24"/>
        </w:rPr>
      </w:pPr>
      <w:r w:rsidRPr="003D516B">
        <w:rPr>
          <w:sz w:val="24"/>
        </w:rPr>
        <w:lastRenderedPageBreak/>
        <w:tab/>
        <w:t xml:space="preserve">Monthly data files then are combined into quarterly databases, and a more extensive data review is carried out. During this data review, BLS conducts the following steps: verifies counts and means by region, checks family relationship coding inconsistencies, and inspects selected extreme values for expenditure and income categories. </w:t>
      </w:r>
      <w:r w:rsidR="00A313C0" w:rsidRPr="00A313C0">
        <w:rPr>
          <w:sz w:val="24"/>
        </w:rPr>
        <w:t xml:space="preserve">Outlier values are confirmed or corrected. </w:t>
      </w:r>
      <w:r w:rsidRPr="003D516B">
        <w:rPr>
          <w:sz w:val="24"/>
        </w:rPr>
        <w:t xml:space="preserve">Other adjustments convert mortgage and vehicle loan payments into principal and interest (using associated data on the interest rate and term of the loan). In addition, BLS verifies the various data transformations it performs. </w:t>
      </w:r>
      <w:r w:rsidR="00A313C0">
        <w:rPr>
          <w:sz w:val="24"/>
        </w:rPr>
        <w:t>As with outlier values, other c</w:t>
      </w:r>
      <w:r w:rsidRPr="003D516B">
        <w:rPr>
          <w:sz w:val="24"/>
        </w:rPr>
        <w:t xml:space="preserve">ases of questionable data values or relationships are investigated, and errors are corrected prior to release of the data for public use. </w:t>
      </w:r>
    </w:p>
    <w:p w:rsidR="003D516B" w:rsidRPr="003D516B" w:rsidRDefault="003D516B" w:rsidP="003D516B">
      <w:pPr>
        <w:pStyle w:val="left"/>
        <w:tabs>
          <w:tab w:val="left" w:pos="1530"/>
        </w:tabs>
        <w:spacing w:line="360" w:lineRule="auto"/>
        <w:ind w:firstLine="0"/>
        <w:jc w:val="left"/>
        <w:rPr>
          <w:rFonts w:ascii="Times New Roman" w:hAnsi="Times New Roman"/>
          <w:sz w:val="24"/>
        </w:rPr>
      </w:pPr>
      <w:r w:rsidRPr="003D516B">
        <w:rPr>
          <w:sz w:val="24"/>
        </w:rPr>
        <w:tab/>
        <w:t>Three major types of data adjustment routines—imputation,</w:t>
      </w:r>
      <w:r w:rsidRPr="003D516B" w:rsidDel="000C62A5">
        <w:rPr>
          <w:sz w:val="24"/>
        </w:rPr>
        <w:t xml:space="preserve"> </w:t>
      </w:r>
      <w:r w:rsidRPr="003D516B">
        <w:rPr>
          <w:sz w:val="24"/>
        </w:rPr>
        <w:t xml:space="preserve">allocation, and time adjustment—improve estimates derived from the Interview Survey. Data imputation routines account for missing or invalid entries and address all fields in the database, except assets.  Allocation routines are applied, when respondents provide insufficient detail to meet tabulation requirements. For example, combined expenditures for the fuels and utilities group are allocated among the components of that group, such as natural gas and electricity. Time adjustment routines are used to classify expenditures by month, prior to aggregation of the data to calendar-year expenditures. Tabulations are made before and after data adjustment routines, to analyze the results. </w:t>
      </w:r>
    </w:p>
    <w:p w:rsidR="003D516B" w:rsidRDefault="003D516B" w:rsidP="003D516B">
      <w:pPr>
        <w:pStyle w:val="left"/>
        <w:tabs>
          <w:tab w:val="left" w:pos="1530"/>
        </w:tabs>
        <w:spacing w:line="360" w:lineRule="auto"/>
        <w:ind w:firstLine="0"/>
        <w:jc w:val="left"/>
        <w:rPr>
          <w:sz w:val="24"/>
        </w:rPr>
      </w:pPr>
      <w:r w:rsidRPr="003D516B">
        <w:rPr>
          <w:sz w:val="24"/>
        </w:rPr>
        <w:tab/>
        <w:t>The CE implemented mult</w:t>
      </w:r>
      <w:r w:rsidR="00743F10">
        <w:rPr>
          <w:sz w:val="24"/>
        </w:rPr>
        <w:t>iple imputations of income data</w:t>
      </w:r>
      <w:r w:rsidRPr="003D516B">
        <w:rPr>
          <w:sz w:val="24"/>
        </w:rPr>
        <w:t xml:space="preserve"> starting with the publication of 2004 data. Prior to that, only income data collected from complete income reporters </w:t>
      </w:r>
      <w:r w:rsidR="00A313C0">
        <w:rPr>
          <w:sz w:val="24"/>
        </w:rPr>
        <w:t xml:space="preserve">(those CU’s whose reference person provided answers to most major sources of income) </w:t>
      </w:r>
      <w:r w:rsidRPr="003D516B">
        <w:rPr>
          <w:sz w:val="24"/>
        </w:rPr>
        <w:t xml:space="preserve">were published. However, even complete income reporters may not have provided information on all sources of income for which they reported receipt. With the collection of bracketed income data starting in 2001, this problem was reduced but not eliminated. One limitation was that bracketed data only provided a range in which income falls, rather than a precise value for that income. In contrast, imputation allows income values to be estimated when they are not reported. In multiple imputations, several estimates are made for the same consumer unit, and the average of these estimates is published. </w:t>
      </w:r>
      <w:r w:rsidR="000100CC">
        <w:rPr>
          <w:sz w:val="24"/>
        </w:rPr>
        <w:t xml:space="preserve">See </w:t>
      </w:r>
      <w:hyperlink r:id="rId13" w:history="1">
        <w:r w:rsidR="000100CC" w:rsidRPr="00866D8C">
          <w:rPr>
            <w:rStyle w:val="Hyperlink"/>
            <w:sz w:val="24"/>
          </w:rPr>
          <w:t>http://www.bls.gov/cex/csximpute.htm</w:t>
        </w:r>
      </w:hyperlink>
      <w:r w:rsidR="000100CC">
        <w:rPr>
          <w:sz w:val="24"/>
        </w:rPr>
        <w:t xml:space="preserve"> and </w:t>
      </w:r>
      <w:hyperlink r:id="rId14" w:history="1">
        <w:r w:rsidR="0007273D" w:rsidRPr="00866D8C">
          <w:rPr>
            <w:rStyle w:val="Hyperlink"/>
            <w:sz w:val="24"/>
          </w:rPr>
          <w:t>http://www.bls.gov/opub/mlr/2009/08/art3full.pdf</w:t>
        </w:r>
      </w:hyperlink>
    </w:p>
    <w:p w:rsidR="00743F10" w:rsidRDefault="003C6430" w:rsidP="00A01A11">
      <w:pPr>
        <w:pStyle w:val="left"/>
        <w:tabs>
          <w:tab w:val="left" w:pos="1530"/>
        </w:tabs>
        <w:spacing w:line="360" w:lineRule="auto"/>
        <w:ind w:firstLine="0"/>
        <w:jc w:val="left"/>
        <w:rPr>
          <w:rFonts w:ascii="Times New Roman" w:hAnsi="Times New Roman"/>
          <w:sz w:val="24"/>
        </w:rPr>
      </w:pPr>
      <w:r>
        <w:rPr>
          <w:sz w:val="24"/>
        </w:rPr>
        <w:lastRenderedPageBreak/>
        <w:tab/>
        <w:t xml:space="preserve">Beginning with the 2014 published data, the CE imputes all state and federal income taxes for all consumer units.  The CE uses an internal BLS version of the National Bureau of Economic Research’s TaxSim software in estimating tax liabilities.  Starting in 2015, respondents </w:t>
      </w:r>
      <w:r w:rsidR="00796EED">
        <w:rPr>
          <w:sz w:val="24"/>
        </w:rPr>
        <w:t xml:space="preserve">are </w:t>
      </w:r>
      <w:r>
        <w:rPr>
          <w:sz w:val="24"/>
        </w:rPr>
        <w:t>no longer asked questions about their income taxes</w:t>
      </w:r>
      <w:r w:rsidR="0007273D">
        <w:rPr>
          <w:sz w:val="24"/>
        </w:rPr>
        <w:t xml:space="preserve">, </w:t>
      </w:r>
      <w:r w:rsidR="0007273D" w:rsidRPr="00A01A11">
        <w:rPr>
          <w:sz w:val="24"/>
        </w:rPr>
        <w:t>which reduced respondent cognitive burden</w:t>
      </w:r>
      <w:r>
        <w:rPr>
          <w:sz w:val="24"/>
        </w:rPr>
        <w:t>.</w:t>
      </w:r>
    </w:p>
    <w:p w:rsidR="00A01A11" w:rsidRDefault="003D516B" w:rsidP="00A01A11">
      <w:pPr>
        <w:spacing w:line="360" w:lineRule="auto"/>
        <w:ind w:firstLine="720"/>
        <w:rPr>
          <w:sz w:val="24"/>
          <w:szCs w:val="24"/>
        </w:rPr>
      </w:pPr>
      <w:r w:rsidRPr="00A01A11">
        <w:rPr>
          <w:sz w:val="24"/>
          <w:szCs w:val="24"/>
        </w:rPr>
        <w:t xml:space="preserve">The CE Interview questionnaire is revised every 2 years to incorporate new products and services, to clarify instructions, to improve navigation through the instrument, to incorporate changes required for the CPI, and to streamline the interview by deleting outdated items. Whereas changes to the questionnaire are made biennially, CE staff continuously monitors the emergence of new goods and services available in the marketplace, as well as changes in the relative importance of existing items in consumers’ budgets. </w:t>
      </w:r>
    </w:p>
    <w:p w:rsidR="00707577" w:rsidRPr="00A01A11" w:rsidRDefault="00A01A11" w:rsidP="00A01A11">
      <w:pPr>
        <w:pStyle w:val="left"/>
        <w:tabs>
          <w:tab w:val="left" w:pos="1530"/>
        </w:tabs>
        <w:spacing w:line="360" w:lineRule="auto"/>
        <w:ind w:firstLine="0"/>
        <w:jc w:val="left"/>
        <w:rPr>
          <w:sz w:val="24"/>
          <w:szCs w:val="24"/>
        </w:rPr>
      </w:pPr>
      <w:r>
        <w:rPr>
          <w:rFonts w:ascii="Times New Roman" w:hAnsi="Times New Roman"/>
          <w:sz w:val="24"/>
        </w:rPr>
        <w:tab/>
        <w:t>U</w:t>
      </w:r>
      <w:r w:rsidRPr="003D516B">
        <w:rPr>
          <w:rFonts w:ascii="Times New Roman" w:hAnsi="Times New Roman"/>
          <w:sz w:val="24"/>
        </w:rPr>
        <w:t>pdated information on how to report new goods and services is provided to the field representatives on a regular basis.</w:t>
      </w:r>
      <w:r>
        <w:rPr>
          <w:rFonts w:ascii="Times New Roman" w:hAnsi="Times New Roman"/>
          <w:sz w:val="24"/>
        </w:rPr>
        <w:t xml:space="preserve">  Also, </w:t>
      </w:r>
      <w:r>
        <w:rPr>
          <w:sz w:val="24"/>
          <w:szCs w:val="24"/>
        </w:rPr>
        <w:t>n</w:t>
      </w:r>
      <w:r w:rsidR="003D516B" w:rsidRPr="00A01A11">
        <w:rPr>
          <w:sz w:val="24"/>
          <w:szCs w:val="24"/>
        </w:rPr>
        <w:t xml:space="preserve">ew items are incorporated in a product index that enables Census field representatives to classify these new items by the appropriate item codes. </w:t>
      </w:r>
      <w:r w:rsidR="00707577" w:rsidRPr="00A01A11">
        <w:rPr>
          <w:sz w:val="24"/>
          <w:szCs w:val="24"/>
        </w:rPr>
        <w:t xml:space="preserve">The product index is a file that contains a list of items that could be found under a particular item code. Given the space limitation in the information book shown to respondents, </w:t>
      </w:r>
      <w:r>
        <w:rPr>
          <w:sz w:val="24"/>
          <w:szCs w:val="24"/>
        </w:rPr>
        <w:t>the Census Bureau is</w:t>
      </w:r>
      <w:r w:rsidR="00707577" w:rsidRPr="00A01A11">
        <w:rPr>
          <w:sz w:val="24"/>
          <w:szCs w:val="24"/>
        </w:rPr>
        <w:t xml:space="preserve"> not able to include a lot of items under each category. The product index contains more descriptions or examples of items. For example, camping equipment has “tent” as an example in the information booklet, but not “tent poles</w:t>
      </w:r>
      <w:r w:rsidR="00AB6BB8" w:rsidRPr="00A01A11">
        <w:rPr>
          <w:sz w:val="24"/>
          <w:szCs w:val="24"/>
        </w:rPr>
        <w:t xml:space="preserve">.” </w:t>
      </w:r>
      <w:r w:rsidR="00707577" w:rsidRPr="00A01A11">
        <w:rPr>
          <w:sz w:val="24"/>
          <w:szCs w:val="24"/>
        </w:rPr>
        <w:t xml:space="preserve"> So the field representative could look up tent poles in the product index and see which item code it belongs under. This is a file that is accessible through the CEQ CAPI instrument. It is maintained by the BLS CE Production and Control staff as part of normal revisions to the survey.</w:t>
      </w:r>
    </w:p>
    <w:p w:rsidR="00FB1AEB" w:rsidRDefault="00FB1AEB" w:rsidP="00A01A11">
      <w:pPr>
        <w:pStyle w:val="left"/>
        <w:tabs>
          <w:tab w:val="left" w:pos="1530"/>
        </w:tabs>
        <w:spacing w:line="360" w:lineRule="auto"/>
        <w:ind w:firstLine="0"/>
        <w:jc w:val="left"/>
        <w:rPr>
          <w:rFonts w:ascii="Times New Roman" w:hAnsi="Times New Roman"/>
          <w:sz w:val="24"/>
        </w:rPr>
      </w:pPr>
    </w:p>
    <w:p w:rsidR="00657800" w:rsidRPr="00E3599F" w:rsidRDefault="003D516B" w:rsidP="00657800">
      <w:pPr>
        <w:pStyle w:val="left"/>
        <w:tabs>
          <w:tab w:val="left" w:pos="1530"/>
        </w:tabs>
        <w:spacing w:line="360" w:lineRule="auto"/>
        <w:ind w:firstLine="0"/>
        <w:jc w:val="left"/>
        <w:rPr>
          <w:color w:val="0070C0"/>
          <w:sz w:val="24"/>
        </w:rPr>
      </w:pPr>
      <w:r w:rsidRPr="003D516B">
        <w:rPr>
          <w:i/>
          <w:sz w:val="24"/>
        </w:rPr>
        <w:t>Diary Survey</w:t>
      </w:r>
      <w:r w:rsidRPr="003D516B">
        <w:rPr>
          <w:sz w:val="24"/>
        </w:rPr>
        <w:t xml:space="preserve">. At the beginning of the 2-week collection period, the </w:t>
      </w:r>
      <w:smartTag w:uri="urn:schemas-microsoft-com:office:smarttags" w:element="PersonName">
        <w:r w:rsidRPr="003D516B">
          <w:rPr>
            <w:sz w:val="24"/>
          </w:rPr>
          <w:t>Census</w:t>
        </w:r>
      </w:smartTag>
      <w:r w:rsidRPr="003D516B">
        <w:rPr>
          <w:sz w:val="24"/>
        </w:rPr>
        <w:t xml:space="preserve"> Bureau interviewer, using the Household Characteristics Questionnaire (a CAPI instrument), records demographic information on members of each sampled consumer unit. </w:t>
      </w:r>
    </w:p>
    <w:p w:rsidR="00657800" w:rsidRDefault="00657800" w:rsidP="00657800">
      <w:pPr>
        <w:pStyle w:val="left"/>
        <w:tabs>
          <w:tab w:val="left" w:pos="1530"/>
        </w:tabs>
        <w:spacing w:line="360" w:lineRule="auto"/>
        <w:ind w:firstLine="0"/>
        <w:jc w:val="left"/>
        <w:rPr>
          <w:sz w:val="24"/>
        </w:rPr>
      </w:pPr>
      <w:r w:rsidRPr="00AD530E">
        <w:rPr>
          <w:sz w:val="24"/>
        </w:rPr>
        <w:t xml:space="preserve">At the end of the first week, the interviewer collects the diary, reviews the entries, answers any questions that the respondent may have, and leaves a second diary. At the end of the second week, the interviewer picks up the second diary and reviews the </w:t>
      </w:r>
      <w:r w:rsidRPr="00AD530E">
        <w:rPr>
          <w:sz w:val="24"/>
        </w:rPr>
        <w:lastRenderedPageBreak/>
        <w:t xml:space="preserve">entries. </w:t>
      </w:r>
      <w:r w:rsidRPr="003D516B">
        <w:rPr>
          <w:sz w:val="24"/>
        </w:rPr>
        <w:t xml:space="preserve">During this time, the interviewer again uses the Household Characteristics Questionnaire to collect previous-year information on work experience and income. </w:t>
      </w:r>
    </w:p>
    <w:p w:rsidR="00657800" w:rsidRDefault="00657800" w:rsidP="00657800">
      <w:pPr>
        <w:pStyle w:val="left"/>
        <w:tabs>
          <w:tab w:val="left" w:pos="1530"/>
        </w:tabs>
        <w:spacing w:line="360" w:lineRule="auto"/>
        <w:ind w:firstLine="0"/>
        <w:jc w:val="left"/>
        <w:rPr>
          <w:sz w:val="24"/>
        </w:rPr>
      </w:pPr>
      <w:r>
        <w:rPr>
          <w:sz w:val="24"/>
        </w:rPr>
        <w:tab/>
        <w:t>Diaries for both week 1 and week 2 may be placed at the first week interview under certain circumstances depending on distance and special circumstances for the respondent.  When the interviewer places both diaries at the first week drop off, the interviewer conducts all first week drop off procedures and informs the respondent of the need to keep two weeks of diaries.  At the end of the two</w:t>
      </w:r>
      <w:r w:rsidR="006E7640">
        <w:rPr>
          <w:sz w:val="24"/>
        </w:rPr>
        <w:t>-</w:t>
      </w:r>
      <w:r>
        <w:rPr>
          <w:sz w:val="24"/>
        </w:rPr>
        <w:t xml:space="preserve">week collection period, the interviewer conducts all other necessary interview activities that occur at the end of the two week period. </w:t>
      </w:r>
      <w:r w:rsidRPr="003D516B">
        <w:rPr>
          <w:sz w:val="24"/>
        </w:rPr>
        <w:t xml:space="preserve">Each week of a consumer unit's participation in the survey is treated as a separate entity. </w:t>
      </w:r>
      <w:r w:rsidR="00802E9D">
        <w:rPr>
          <w:sz w:val="24"/>
        </w:rPr>
        <w:t>See Illustration 2 for a description of the process from data collection by the  FR to the Regional Office (RO) to the National Processing Center (NPC) or directly to the Census headquarters, all the way to delivering the data to the CPI and making the information available to the public.</w:t>
      </w:r>
    </w:p>
    <w:p w:rsidR="00802E9D" w:rsidRDefault="00802E9D" w:rsidP="00802E9D">
      <w:pPr>
        <w:pStyle w:val="left"/>
        <w:tabs>
          <w:tab w:val="left" w:pos="1530"/>
        </w:tabs>
        <w:spacing w:line="360" w:lineRule="auto"/>
        <w:ind w:firstLine="0"/>
        <w:jc w:val="left"/>
        <w:rPr>
          <w:sz w:val="24"/>
          <w:szCs w:val="24"/>
        </w:rPr>
      </w:pPr>
      <w:r>
        <w:rPr>
          <w:sz w:val="24"/>
          <w:szCs w:val="24"/>
        </w:rPr>
        <w:t xml:space="preserve">Illustration 2.  </w:t>
      </w:r>
      <w:r>
        <w:rPr>
          <w:b/>
          <w:sz w:val="24"/>
          <w:szCs w:val="24"/>
        </w:rPr>
        <w:t>Diary</w:t>
      </w:r>
      <w:r w:rsidRPr="00C23FF7">
        <w:rPr>
          <w:b/>
          <w:sz w:val="24"/>
          <w:szCs w:val="24"/>
        </w:rPr>
        <w:t xml:space="preserve"> Process flow diagram</w:t>
      </w:r>
      <w:r>
        <w:rPr>
          <w:sz w:val="24"/>
          <w:szCs w:val="24"/>
        </w:rPr>
        <w:t xml:space="preserve"> </w:t>
      </w:r>
    </w:p>
    <w:p w:rsidR="00802E9D" w:rsidRDefault="00802E9D" w:rsidP="00657800">
      <w:pPr>
        <w:pStyle w:val="left"/>
        <w:tabs>
          <w:tab w:val="left" w:pos="1530"/>
        </w:tabs>
        <w:spacing w:line="360" w:lineRule="auto"/>
        <w:ind w:firstLine="0"/>
        <w:jc w:val="left"/>
        <w:rPr>
          <w:sz w:val="24"/>
        </w:rPr>
      </w:pPr>
    </w:p>
    <w:p w:rsidR="00802E9D" w:rsidRDefault="00802E9D" w:rsidP="00657800">
      <w:pPr>
        <w:pStyle w:val="left"/>
        <w:tabs>
          <w:tab w:val="left" w:pos="1530"/>
        </w:tabs>
        <w:spacing w:line="360" w:lineRule="auto"/>
        <w:ind w:firstLine="0"/>
        <w:jc w:val="left"/>
        <w:rPr>
          <w:sz w:val="24"/>
        </w:rPr>
      </w:pPr>
    </w:p>
    <w:p w:rsidR="000F2D02" w:rsidRDefault="00802E9D" w:rsidP="00657800">
      <w:pPr>
        <w:pStyle w:val="left"/>
        <w:tabs>
          <w:tab w:val="left" w:pos="1530"/>
        </w:tabs>
        <w:spacing w:line="360" w:lineRule="auto"/>
        <w:ind w:firstLine="0"/>
        <w:jc w:val="left"/>
        <w:rPr>
          <w:sz w:val="24"/>
        </w:rPr>
      </w:pPr>
      <w:r>
        <w:rPr>
          <w:noProof/>
          <w:sz w:val="24"/>
        </w:rPr>
        <w:lastRenderedPageBreak/>
        <w:drawing>
          <wp:inline distT="0" distB="0" distL="0" distR="0" wp14:anchorId="57EECD2A" wp14:editId="5E557637">
            <wp:extent cx="5486400" cy="42392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ary Overview - 2015.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86400" cy="4239260"/>
                    </a:xfrm>
                    <a:prstGeom prst="rect">
                      <a:avLst/>
                    </a:prstGeom>
                  </pic:spPr>
                </pic:pic>
              </a:graphicData>
            </a:graphic>
          </wp:inline>
        </w:drawing>
      </w:r>
    </w:p>
    <w:p w:rsidR="003D516B" w:rsidRPr="003D516B" w:rsidRDefault="003D516B" w:rsidP="003D516B">
      <w:pPr>
        <w:pStyle w:val="left"/>
        <w:tabs>
          <w:tab w:val="left" w:pos="1530"/>
        </w:tabs>
        <w:spacing w:line="360" w:lineRule="auto"/>
        <w:ind w:firstLine="0"/>
        <w:jc w:val="left"/>
        <w:rPr>
          <w:rFonts w:ascii="Times New Roman" w:hAnsi="Times New Roman"/>
          <w:sz w:val="24"/>
        </w:rPr>
      </w:pPr>
      <w:r w:rsidRPr="003D516B">
        <w:rPr>
          <w:sz w:val="24"/>
        </w:rPr>
        <w:tab/>
        <w:t>The Census Bureau performs preliminary processing activities, including a number of data edits and adjustments. Data in the diaries are reviewed during a field edit for completeness and consistency. After the diaries are sent to the Census Bureau’s National Processing Center, expenditure data captured in the diaries are key-entered into electronic formats</w:t>
      </w:r>
      <w:r w:rsidR="009F1755">
        <w:rPr>
          <w:sz w:val="24"/>
        </w:rPr>
        <w:t xml:space="preserve"> assisted by auto-coding</w:t>
      </w:r>
      <w:r w:rsidR="00707577">
        <w:rPr>
          <w:sz w:val="24"/>
        </w:rPr>
        <w:t xml:space="preserve"> to fill in typical descriptions</w:t>
      </w:r>
      <w:r w:rsidRPr="003D516B">
        <w:rPr>
          <w:sz w:val="24"/>
        </w:rPr>
        <w:t>; and a computer file of the database containing these data is produced and transmitted monthly to Census headquarters, along with image files of the diaries.</w:t>
      </w:r>
      <w:r w:rsidR="00707577">
        <w:rPr>
          <w:sz w:val="24"/>
        </w:rPr>
        <w:t xml:space="preserve"> </w:t>
      </w:r>
      <w:r w:rsidRPr="003D516B">
        <w:rPr>
          <w:sz w:val="24"/>
        </w:rPr>
        <w:t xml:space="preserve">Census headquarters merges the expenditure data with the data collected in the Household Characteristics Questionnaire, removes personal identifying information, and transmits the merged file monthly to BLS. At BLS, data are processed by computer to calculate population weights, to impute demographic characteristics for missing or inconsistent demographic data, to impute values for weeks worked when nonresponse is encountered, and to apply appropriate sales taxes to the expenditure items.  </w:t>
      </w:r>
    </w:p>
    <w:p w:rsidR="003D516B" w:rsidRPr="003D516B" w:rsidRDefault="003D516B" w:rsidP="003D516B">
      <w:pPr>
        <w:pStyle w:val="left"/>
        <w:tabs>
          <w:tab w:val="left" w:pos="1530"/>
        </w:tabs>
        <w:spacing w:line="360" w:lineRule="auto"/>
        <w:ind w:firstLine="0"/>
        <w:jc w:val="left"/>
        <w:rPr>
          <w:rFonts w:ascii="Times New Roman" w:hAnsi="Times New Roman"/>
          <w:sz w:val="24"/>
        </w:rPr>
      </w:pPr>
      <w:r w:rsidRPr="003D516B">
        <w:rPr>
          <w:sz w:val="24"/>
        </w:rPr>
        <w:tab/>
        <w:t xml:space="preserve">Like the Interview Survey, three monthly diary data files are combined into quarterly databases; and BLS screens the data for invalid coding and inconsistent </w:t>
      </w:r>
      <w:r w:rsidRPr="003D516B">
        <w:rPr>
          <w:sz w:val="24"/>
        </w:rPr>
        <w:lastRenderedPageBreak/>
        <w:t xml:space="preserve">relationships, as well as for extreme values recorded or keyed erroneously. BLS then corrects any coding and extreme-value errors found. </w:t>
      </w:r>
    </w:p>
    <w:p w:rsidR="003D516B" w:rsidRPr="003D516B" w:rsidRDefault="003D516B" w:rsidP="003D516B">
      <w:pPr>
        <w:pStyle w:val="left"/>
        <w:tabs>
          <w:tab w:val="left" w:pos="1530"/>
        </w:tabs>
        <w:spacing w:line="360" w:lineRule="auto"/>
        <w:ind w:firstLine="0"/>
        <w:jc w:val="left"/>
        <w:rPr>
          <w:rFonts w:ascii="Times New Roman" w:hAnsi="Times New Roman"/>
          <w:sz w:val="24"/>
        </w:rPr>
      </w:pPr>
      <w:r w:rsidRPr="003D516B">
        <w:rPr>
          <w:sz w:val="24"/>
        </w:rPr>
        <w:tab/>
        <w:t xml:space="preserve">Two types of data adjustment routines—allocation and imputation—improve the Diary Survey estimates. Allocation routines transform reports of nonspecific items into specific ones. For example, when respondents report expenditures for </w:t>
      </w:r>
      <w:r w:rsidRPr="003D516B">
        <w:rPr>
          <w:i/>
          <w:sz w:val="24"/>
        </w:rPr>
        <w:t>meat</w:t>
      </w:r>
      <w:r w:rsidRPr="003D516B">
        <w:rPr>
          <w:sz w:val="24"/>
        </w:rPr>
        <w:t xml:space="preserve"> rather than beef or pork, allocations are made, using proportions derived from item-specific reports in other completed diaries. BLS imputes missing attributes, such as age or sex, or a product’s type of packaging needed for mapping Diary expenditures. Income data from the Diary Survey are processed in the same way as in the Interview Survey. </w:t>
      </w:r>
      <w:r w:rsidR="002E29C2">
        <w:rPr>
          <w:sz w:val="24"/>
        </w:rPr>
        <w:t xml:space="preserve">  Income tax data are not estimated for the Diary</w:t>
      </w:r>
      <w:r w:rsidR="000663D6">
        <w:rPr>
          <w:sz w:val="24"/>
        </w:rPr>
        <w:t xml:space="preserve"> because the published integrated information uses Interview Survey after-tax income information, and because of the limited amount of background detail collected in the Diary.</w:t>
      </w:r>
      <w:r w:rsidR="002E29C2">
        <w:rPr>
          <w:sz w:val="24"/>
        </w:rPr>
        <w:t>.</w:t>
      </w:r>
    </w:p>
    <w:p w:rsidR="003D516B" w:rsidRPr="003D516B" w:rsidRDefault="003D516B" w:rsidP="003D516B">
      <w:pPr>
        <w:spacing w:line="360" w:lineRule="auto"/>
        <w:rPr>
          <w:sz w:val="24"/>
        </w:rPr>
      </w:pPr>
    </w:p>
    <w:p w:rsidR="00274291" w:rsidRPr="004B2B26" w:rsidRDefault="00274291" w:rsidP="00806EB9">
      <w:pPr>
        <w:pStyle w:val="ListParagraph"/>
        <w:numPr>
          <w:ilvl w:val="0"/>
          <w:numId w:val="9"/>
        </w:numPr>
        <w:spacing w:line="360" w:lineRule="auto"/>
        <w:rPr>
          <w:rFonts w:ascii="Arial" w:hAnsi="Arial" w:cs="Arial"/>
          <w:color w:val="C0504D" w:themeColor="accent2"/>
          <w:sz w:val="24"/>
          <w:szCs w:val="24"/>
        </w:rPr>
      </w:pPr>
      <w:r w:rsidRPr="004B2B26">
        <w:rPr>
          <w:rFonts w:ascii="Arial" w:hAnsi="Arial" w:cs="Arial"/>
          <w:color w:val="C0504D" w:themeColor="accent2"/>
          <w:sz w:val="24"/>
          <w:szCs w:val="24"/>
        </w:rPr>
        <w:t>Design</w:t>
      </w:r>
    </w:p>
    <w:p w:rsidR="00A30E06" w:rsidRDefault="00A30E06" w:rsidP="00A30E06">
      <w:pPr>
        <w:pStyle w:val="Title1"/>
        <w:tabs>
          <w:tab w:val="clear" w:pos="2881"/>
          <w:tab w:val="clear" w:pos="3601"/>
          <w:tab w:val="clear" w:pos="4321"/>
          <w:tab w:val="clear" w:pos="5040"/>
          <w:tab w:val="clear" w:pos="5760"/>
          <w:tab w:val="clear" w:pos="6480"/>
          <w:tab w:val="clear" w:pos="7199"/>
          <w:tab w:val="clear" w:pos="7919"/>
          <w:tab w:val="clear" w:pos="8641"/>
          <w:tab w:val="clear" w:pos="9361"/>
          <w:tab w:val="clear" w:pos="10081"/>
          <w:tab w:val="clear" w:pos="10800"/>
          <w:tab w:val="clear" w:pos="11520"/>
          <w:tab w:val="clear" w:pos="12240"/>
          <w:tab w:val="clear" w:pos="12959"/>
          <w:tab w:val="clear" w:pos="13679"/>
          <w:tab w:val="clear" w:pos="14401"/>
          <w:tab w:val="clear" w:pos="15121"/>
          <w:tab w:val="clear" w:pos="15841"/>
          <w:tab w:val="clear" w:pos="16560"/>
          <w:tab w:val="clear" w:pos="17280"/>
          <w:tab w:val="clear" w:pos="18000"/>
          <w:tab w:val="clear" w:pos="18719"/>
          <w:tab w:val="clear" w:pos="19439"/>
          <w:tab w:val="clear" w:pos="20161"/>
          <w:tab w:val="clear" w:pos="20881"/>
          <w:tab w:val="clear" w:pos="21601"/>
          <w:tab w:val="left" w:pos="1530"/>
          <w:tab w:val="left" w:pos="2879"/>
          <w:tab w:val="left" w:pos="3599"/>
          <w:tab w:val="left" w:pos="4318"/>
          <w:tab w:val="left" w:pos="5038"/>
          <w:tab w:val="left" w:pos="5758"/>
          <w:tab w:val="left" w:pos="6477"/>
          <w:tab w:val="left" w:pos="7197"/>
          <w:tab w:val="left" w:pos="7917"/>
          <w:tab w:val="left" w:pos="8636"/>
          <w:tab w:val="left" w:pos="9356"/>
          <w:tab w:val="left" w:pos="10076"/>
          <w:tab w:val="left" w:pos="10796"/>
          <w:tab w:val="left" w:pos="11515"/>
          <w:tab w:val="left" w:pos="12235"/>
          <w:tab w:val="left" w:pos="12955"/>
          <w:tab w:val="left" w:pos="13674"/>
          <w:tab w:val="left" w:pos="14394"/>
          <w:tab w:val="left" w:pos="15114"/>
          <w:tab w:val="left" w:pos="15833"/>
          <w:tab w:val="left" w:pos="16553"/>
          <w:tab w:val="left" w:pos="17273"/>
          <w:tab w:val="left" w:pos="17993"/>
          <w:tab w:val="left" w:pos="18712"/>
          <w:tab w:val="left" w:pos="19432"/>
          <w:tab w:val="left" w:pos="20152"/>
          <w:tab w:val="left" w:pos="20871"/>
          <w:tab w:val="left" w:pos="21591"/>
        </w:tabs>
        <w:spacing w:line="240" w:lineRule="auto"/>
        <w:jc w:val="both"/>
        <w:rPr>
          <w:rFonts w:ascii="Arial" w:hAnsi="Arial" w:cs="Arial"/>
          <w:sz w:val="24"/>
          <w:szCs w:val="24"/>
        </w:rPr>
      </w:pPr>
    </w:p>
    <w:p w:rsidR="00784887" w:rsidRPr="002B11BA" w:rsidRDefault="00784887" w:rsidP="00784887">
      <w:pPr>
        <w:pStyle w:val="Heading4"/>
        <w:spacing w:line="360" w:lineRule="auto"/>
      </w:pPr>
      <w:r>
        <w:t xml:space="preserve">Design </w:t>
      </w:r>
      <w:r w:rsidRPr="002B11BA">
        <w:t>Selection of households</w:t>
      </w:r>
    </w:p>
    <w:p w:rsidR="00784887" w:rsidRPr="00E145EE" w:rsidRDefault="00784887" w:rsidP="00784887">
      <w:pPr>
        <w:tabs>
          <w:tab w:val="left" w:pos="1530"/>
        </w:tabs>
        <w:spacing w:line="360" w:lineRule="auto"/>
        <w:ind w:firstLine="720"/>
        <w:rPr>
          <w:sz w:val="24"/>
          <w:szCs w:val="24"/>
        </w:rPr>
      </w:pPr>
      <w:r w:rsidRPr="00E145EE">
        <w:rPr>
          <w:sz w:val="24"/>
          <w:szCs w:val="24"/>
        </w:rPr>
        <w:t xml:space="preserve">The CE is a nationwide household survey representing the entire U.S. civilian noninstitutional population. It includes people living in houses, condominiums, apartments, and group quarters such as college dormitories. It excludes military personnel living </w:t>
      </w:r>
      <w:r w:rsidR="00657FAE">
        <w:rPr>
          <w:sz w:val="24"/>
          <w:szCs w:val="24"/>
        </w:rPr>
        <w:t xml:space="preserve">overseas or </w:t>
      </w:r>
      <w:r w:rsidRPr="00E145EE">
        <w:rPr>
          <w:sz w:val="24"/>
          <w:szCs w:val="24"/>
        </w:rPr>
        <w:t>on base, nursing home residents, and people in prisons. The civilian noninstitutional population represents more than 98 percent of the total U.S. population.</w:t>
      </w:r>
    </w:p>
    <w:p w:rsidR="00784887" w:rsidRPr="002B11BA" w:rsidRDefault="00784887" w:rsidP="00784887">
      <w:pPr>
        <w:pStyle w:val="NormalWeb"/>
        <w:tabs>
          <w:tab w:val="left" w:pos="1530"/>
        </w:tabs>
        <w:spacing w:before="0" w:beforeAutospacing="0" w:after="0" w:afterAutospacing="0" w:line="360" w:lineRule="auto"/>
        <w:ind w:firstLine="720"/>
        <w:rPr>
          <w:rFonts w:ascii="Times New Roman" w:hAnsi="Times New Roman"/>
          <w:color w:val="auto"/>
          <w:sz w:val="24"/>
          <w:szCs w:val="24"/>
        </w:rPr>
      </w:pPr>
      <w:r w:rsidRPr="00E145EE">
        <w:rPr>
          <w:rFonts w:ascii="Times New Roman" w:hAnsi="Times New Roman"/>
          <w:color w:val="auto"/>
          <w:sz w:val="24"/>
          <w:szCs w:val="24"/>
        </w:rPr>
        <w:t xml:space="preserve">The selection of households for the survey begins with the definition and selection of primary sampling units (PSUs). PSUs are small clusters of counties grouped together into geographic entities called “core-based statistical areas” (CBSAs), </w:t>
      </w:r>
      <w:r w:rsidRPr="00E145EE">
        <w:rPr>
          <w:rFonts w:ascii="Times New Roman" w:hAnsi="Times New Roman"/>
          <w:bCs/>
          <w:iCs/>
          <w:color w:val="auto"/>
          <w:sz w:val="24"/>
          <w:szCs w:val="24"/>
        </w:rPr>
        <w:t>which are defined by the Office of Management and Budget (OMB) for use by federal statistical agencies in collecting, tabulating, and publishing federal statistics.</w:t>
      </w:r>
      <w:r w:rsidRPr="00E145EE">
        <w:rPr>
          <w:rFonts w:ascii="Times New Roman" w:hAnsi="Times New Roman"/>
          <w:color w:val="auto"/>
          <w:sz w:val="24"/>
          <w:szCs w:val="24"/>
        </w:rPr>
        <w:t xml:space="preserve"> The CE currently uses OMB’s definitions from 2012.  There are two types of CBSAs: metropolitan and </w:t>
      </w:r>
      <w:proofErr w:type="spellStart"/>
      <w:r w:rsidRPr="00E145EE">
        <w:rPr>
          <w:rFonts w:ascii="Times New Roman" w:hAnsi="Times New Roman"/>
          <w:color w:val="auto"/>
          <w:sz w:val="24"/>
          <w:szCs w:val="24"/>
        </w:rPr>
        <w:t>micropolitan</w:t>
      </w:r>
      <w:proofErr w:type="spellEnd"/>
      <w:r w:rsidRPr="002B11BA">
        <w:rPr>
          <w:rFonts w:ascii="Times New Roman" w:hAnsi="Times New Roman"/>
          <w:color w:val="auto"/>
          <w:sz w:val="24"/>
          <w:szCs w:val="24"/>
        </w:rPr>
        <w:t xml:space="preserve">. Metropolitan CBSAs are </w:t>
      </w:r>
      <w:r>
        <w:rPr>
          <w:rFonts w:ascii="Times New Roman" w:hAnsi="Times New Roman"/>
          <w:color w:val="auto"/>
          <w:sz w:val="24"/>
          <w:szCs w:val="24"/>
        </w:rPr>
        <w:t>areas</w:t>
      </w:r>
      <w:r w:rsidRPr="002B11BA">
        <w:rPr>
          <w:rFonts w:ascii="Times New Roman" w:hAnsi="Times New Roman"/>
          <w:color w:val="auto"/>
          <w:sz w:val="24"/>
          <w:szCs w:val="24"/>
        </w:rPr>
        <w:t xml:space="preserve"> that have an urban “core” of 50,000 or more people, plus </w:t>
      </w:r>
      <w:r>
        <w:rPr>
          <w:rFonts w:ascii="Times New Roman" w:hAnsi="Times New Roman"/>
          <w:color w:val="auto"/>
          <w:sz w:val="24"/>
          <w:szCs w:val="24"/>
        </w:rPr>
        <w:t xml:space="preserve">the </w:t>
      </w:r>
      <w:r w:rsidRPr="002B11BA">
        <w:rPr>
          <w:rFonts w:ascii="Times New Roman" w:hAnsi="Times New Roman"/>
          <w:color w:val="auto"/>
          <w:sz w:val="24"/>
          <w:szCs w:val="24"/>
        </w:rPr>
        <w:t xml:space="preserve">adjacent counties that have a high degree of social and economic integration with the core as measured by commuting ties. </w:t>
      </w:r>
      <w:proofErr w:type="spellStart"/>
      <w:r w:rsidRPr="002B11BA">
        <w:rPr>
          <w:rFonts w:ascii="Times New Roman" w:hAnsi="Times New Roman"/>
          <w:color w:val="auto"/>
          <w:sz w:val="24"/>
          <w:szCs w:val="24"/>
        </w:rPr>
        <w:t>Micropolitan</w:t>
      </w:r>
      <w:proofErr w:type="spellEnd"/>
      <w:r w:rsidRPr="002B11BA">
        <w:rPr>
          <w:rFonts w:ascii="Times New Roman" w:hAnsi="Times New Roman"/>
          <w:color w:val="auto"/>
          <w:sz w:val="24"/>
          <w:szCs w:val="24"/>
        </w:rPr>
        <w:t xml:space="preserve"> CBSAs are similar to metropolitan CBSAs but </w:t>
      </w:r>
      <w:r>
        <w:rPr>
          <w:rFonts w:ascii="Times New Roman" w:hAnsi="Times New Roman"/>
          <w:color w:val="auto"/>
          <w:sz w:val="24"/>
          <w:szCs w:val="24"/>
        </w:rPr>
        <w:t xml:space="preserve">they </w:t>
      </w:r>
      <w:r w:rsidRPr="002B11BA">
        <w:rPr>
          <w:rFonts w:ascii="Times New Roman" w:hAnsi="Times New Roman"/>
          <w:color w:val="auto"/>
          <w:sz w:val="24"/>
          <w:szCs w:val="24"/>
        </w:rPr>
        <w:t>have an urban core of 10,000 to 50,000 people.</w:t>
      </w:r>
      <w:r>
        <w:rPr>
          <w:rFonts w:ascii="Times New Roman" w:hAnsi="Times New Roman"/>
          <w:color w:val="auto"/>
          <w:sz w:val="24"/>
          <w:szCs w:val="24"/>
        </w:rPr>
        <w:t xml:space="preserve">  Areas without an urban </w:t>
      </w:r>
      <w:r>
        <w:rPr>
          <w:rFonts w:ascii="Times New Roman" w:hAnsi="Times New Roman"/>
          <w:color w:val="auto"/>
          <w:sz w:val="24"/>
          <w:szCs w:val="24"/>
        </w:rPr>
        <w:lastRenderedPageBreak/>
        <w:t>core or whose urban core is under 10,000 people are called non-CBSA areas.</w:t>
      </w:r>
      <w:r w:rsidR="00B05B23">
        <w:rPr>
          <w:rFonts w:ascii="Times New Roman" w:hAnsi="Times New Roman"/>
          <w:color w:val="auto"/>
          <w:sz w:val="24"/>
          <w:szCs w:val="24"/>
        </w:rPr>
        <w:t xml:space="preserve">  See </w:t>
      </w:r>
      <w:hyperlink r:id="rId16" w:history="1">
        <w:r w:rsidR="00B05B23">
          <w:rPr>
            <w:rStyle w:val="Hyperlink"/>
            <w:shd w:val="clear" w:color="auto" w:fill="FFFFFF"/>
          </w:rPr>
          <w:t>http://www.census.gov/population/metro/</w:t>
        </w:r>
      </w:hyperlink>
    </w:p>
    <w:p w:rsidR="00784887" w:rsidRPr="002B11BA" w:rsidRDefault="00784887" w:rsidP="00784887">
      <w:pPr>
        <w:spacing w:line="360" w:lineRule="auto"/>
        <w:rPr>
          <w:sz w:val="24"/>
          <w:szCs w:val="24"/>
        </w:rPr>
      </w:pPr>
      <w:r w:rsidRPr="002B11BA">
        <w:rPr>
          <w:sz w:val="24"/>
          <w:szCs w:val="24"/>
        </w:rPr>
        <w:tab/>
        <w:t>The current geographic sample used in the survey consists of 91 PSUs</w:t>
      </w:r>
      <w:r w:rsidR="005F2860" w:rsidRPr="00D03957">
        <w:rPr>
          <w:sz w:val="24"/>
          <w:szCs w:val="24"/>
        </w:rPr>
        <w:t>,</w:t>
      </w:r>
      <w:r w:rsidRPr="00D03957">
        <w:rPr>
          <w:sz w:val="24"/>
          <w:szCs w:val="24"/>
        </w:rPr>
        <w:t xml:space="preserve"> </w:t>
      </w:r>
      <w:r w:rsidR="005F2860" w:rsidRPr="00D03957">
        <w:rPr>
          <w:sz w:val="24"/>
          <w:szCs w:val="24"/>
        </w:rPr>
        <w:t xml:space="preserve">based on population numbers from the 2010 Decennial </w:t>
      </w:r>
      <w:r w:rsidR="00C66C58" w:rsidRPr="00D03957">
        <w:rPr>
          <w:sz w:val="24"/>
          <w:szCs w:val="24"/>
        </w:rPr>
        <w:t>Census,</w:t>
      </w:r>
      <w:r w:rsidR="00C66C58">
        <w:rPr>
          <w:sz w:val="24"/>
          <w:szCs w:val="24"/>
        </w:rPr>
        <w:t xml:space="preserve"> </w:t>
      </w:r>
      <w:r w:rsidR="00C66C58" w:rsidRPr="00D03957">
        <w:rPr>
          <w:sz w:val="24"/>
          <w:szCs w:val="24"/>
        </w:rPr>
        <w:t>which</w:t>
      </w:r>
      <w:r w:rsidRPr="00D03957">
        <w:rPr>
          <w:sz w:val="24"/>
          <w:szCs w:val="24"/>
        </w:rPr>
        <w:t xml:space="preserve"> </w:t>
      </w:r>
      <w:r w:rsidRPr="002B11BA">
        <w:rPr>
          <w:sz w:val="24"/>
          <w:szCs w:val="24"/>
        </w:rPr>
        <w:t xml:space="preserve">are classified into </w:t>
      </w:r>
      <w:r>
        <w:rPr>
          <w:sz w:val="24"/>
          <w:szCs w:val="24"/>
        </w:rPr>
        <w:t>three</w:t>
      </w:r>
      <w:r w:rsidRPr="002B11BA">
        <w:rPr>
          <w:sz w:val="24"/>
          <w:szCs w:val="24"/>
        </w:rPr>
        <w:t xml:space="preserve"> categories:</w:t>
      </w:r>
    </w:p>
    <w:p w:rsidR="00784887" w:rsidRPr="002B11BA" w:rsidRDefault="00784887" w:rsidP="00784887">
      <w:pPr>
        <w:spacing w:line="360" w:lineRule="auto"/>
        <w:rPr>
          <w:sz w:val="24"/>
          <w:szCs w:val="24"/>
        </w:rPr>
      </w:pPr>
    </w:p>
    <w:p w:rsidR="00784887" w:rsidRPr="002B11BA" w:rsidRDefault="00784887" w:rsidP="00784887">
      <w:pPr>
        <w:numPr>
          <w:ilvl w:val="0"/>
          <w:numId w:val="1"/>
        </w:numPr>
        <w:tabs>
          <w:tab w:val="clear" w:pos="360"/>
          <w:tab w:val="num" w:pos="420"/>
        </w:tabs>
        <w:spacing w:line="360" w:lineRule="auto"/>
        <w:ind w:left="420"/>
        <w:rPr>
          <w:sz w:val="24"/>
          <w:szCs w:val="24"/>
        </w:rPr>
      </w:pPr>
      <w:r w:rsidRPr="002B11BA">
        <w:rPr>
          <w:sz w:val="24"/>
          <w:szCs w:val="24"/>
        </w:rPr>
        <w:t>2</w:t>
      </w:r>
      <w:r>
        <w:rPr>
          <w:sz w:val="24"/>
          <w:szCs w:val="24"/>
        </w:rPr>
        <w:t>3</w:t>
      </w:r>
      <w:r w:rsidRPr="002B11BA">
        <w:rPr>
          <w:sz w:val="24"/>
          <w:szCs w:val="24"/>
        </w:rPr>
        <w:t xml:space="preserve"> “</w:t>
      </w:r>
      <w:r>
        <w:rPr>
          <w:sz w:val="24"/>
          <w:szCs w:val="24"/>
        </w:rPr>
        <w:t>S</w:t>
      </w:r>
      <w:r w:rsidRPr="002B11BA">
        <w:rPr>
          <w:sz w:val="24"/>
          <w:szCs w:val="24"/>
        </w:rPr>
        <w:t>” PSUs, which are metropolitan CBSAs with a population over 2.</w:t>
      </w:r>
      <w:r>
        <w:rPr>
          <w:sz w:val="24"/>
          <w:szCs w:val="24"/>
        </w:rPr>
        <w:t>5</w:t>
      </w:r>
      <w:r w:rsidRPr="002B11BA">
        <w:rPr>
          <w:sz w:val="24"/>
          <w:szCs w:val="24"/>
        </w:rPr>
        <w:t xml:space="preserve"> million people</w:t>
      </w:r>
      <w:r>
        <w:rPr>
          <w:sz w:val="24"/>
          <w:szCs w:val="24"/>
        </w:rPr>
        <w:t xml:space="preserve"> (self-representing PSUs)</w:t>
      </w:r>
    </w:p>
    <w:p w:rsidR="00784887" w:rsidRPr="002B11BA" w:rsidRDefault="00784887" w:rsidP="00784887">
      <w:pPr>
        <w:numPr>
          <w:ilvl w:val="0"/>
          <w:numId w:val="1"/>
        </w:numPr>
        <w:tabs>
          <w:tab w:val="clear" w:pos="360"/>
          <w:tab w:val="num" w:pos="420"/>
        </w:tabs>
        <w:spacing w:line="360" w:lineRule="auto"/>
        <w:ind w:left="420"/>
        <w:rPr>
          <w:sz w:val="24"/>
          <w:szCs w:val="24"/>
        </w:rPr>
      </w:pPr>
      <w:r>
        <w:rPr>
          <w:sz w:val="24"/>
          <w:szCs w:val="24"/>
        </w:rPr>
        <w:t>52</w:t>
      </w:r>
      <w:r w:rsidRPr="002B11BA">
        <w:rPr>
          <w:sz w:val="24"/>
          <w:szCs w:val="24"/>
        </w:rPr>
        <w:t xml:space="preserve"> “</w:t>
      </w:r>
      <w:r>
        <w:rPr>
          <w:sz w:val="24"/>
          <w:szCs w:val="24"/>
        </w:rPr>
        <w:t>N</w:t>
      </w:r>
      <w:r w:rsidRPr="002B11BA">
        <w:rPr>
          <w:sz w:val="24"/>
          <w:szCs w:val="24"/>
        </w:rPr>
        <w:t xml:space="preserve">” PSUs, which are metropolitan </w:t>
      </w:r>
      <w:r>
        <w:rPr>
          <w:sz w:val="24"/>
          <w:szCs w:val="24"/>
        </w:rPr>
        <w:t xml:space="preserve">and </w:t>
      </w:r>
      <w:proofErr w:type="spellStart"/>
      <w:r>
        <w:rPr>
          <w:sz w:val="24"/>
          <w:szCs w:val="24"/>
        </w:rPr>
        <w:t>micropolitan</w:t>
      </w:r>
      <w:proofErr w:type="spellEnd"/>
      <w:r>
        <w:rPr>
          <w:sz w:val="24"/>
          <w:szCs w:val="24"/>
        </w:rPr>
        <w:t xml:space="preserve"> </w:t>
      </w:r>
      <w:r w:rsidRPr="002B11BA">
        <w:rPr>
          <w:sz w:val="24"/>
          <w:szCs w:val="24"/>
        </w:rPr>
        <w:t>CBSAs with a population under 2.</w:t>
      </w:r>
      <w:r>
        <w:rPr>
          <w:sz w:val="24"/>
          <w:szCs w:val="24"/>
        </w:rPr>
        <w:t>5</w:t>
      </w:r>
      <w:r w:rsidRPr="002B11BA">
        <w:rPr>
          <w:sz w:val="24"/>
          <w:szCs w:val="24"/>
        </w:rPr>
        <w:t xml:space="preserve"> million people</w:t>
      </w:r>
      <w:r>
        <w:rPr>
          <w:sz w:val="24"/>
          <w:szCs w:val="24"/>
        </w:rPr>
        <w:t xml:space="preserve"> (</w:t>
      </w:r>
      <w:proofErr w:type="spellStart"/>
      <w:r>
        <w:rPr>
          <w:sz w:val="24"/>
          <w:szCs w:val="24"/>
        </w:rPr>
        <w:t>nonself</w:t>
      </w:r>
      <w:proofErr w:type="spellEnd"/>
      <w:r>
        <w:rPr>
          <w:sz w:val="24"/>
          <w:szCs w:val="24"/>
        </w:rPr>
        <w:t>-representing PSUs)</w:t>
      </w:r>
    </w:p>
    <w:p w:rsidR="00784887" w:rsidRPr="002B11BA" w:rsidRDefault="00784887" w:rsidP="00784887">
      <w:pPr>
        <w:numPr>
          <w:ilvl w:val="0"/>
          <w:numId w:val="1"/>
        </w:numPr>
        <w:tabs>
          <w:tab w:val="clear" w:pos="360"/>
          <w:tab w:val="num" w:pos="420"/>
        </w:tabs>
        <w:spacing w:line="360" w:lineRule="auto"/>
        <w:ind w:left="420"/>
        <w:rPr>
          <w:sz w:val="24"/>
          <w:szCs w:val="24"/>
        </w:rPr>
      </w:pPr>
      <w:r w:rsidRPr="002B11BA">
        <w:rPr>
          <w:sz w:val="24"/>
          <w:szCs w:val="24"/>
        </w:rPr>
        <w:t>16 “</w:t>
      </w:r>
      <w:r>
        <w:rPr>
          <w:sz w:val="24"/>
          <w:szCs w:val="24"/>
        </w:rPr>
        <w:t>R</w:t>
      </w:r>
      <w:r w:rsidRPr="002B11BA">
        <w:rPr>
          <w:sz w:val="24"/>
          <w:szCs w:val="24"/>
        </w:rPr>
        <w:t xml:space="preserve">” PSUs, which are non-CBSA areas </w:t>
      </w:r>
      <w:r>
        <w:rPr>
          <w:sz w:val="24"/>
          <w:szCs w:val="24"/>
        </w:rPr>
        <w:t>(</w:t>
      </w:r>
      <w:r w:rsidRPr="002B11BA">
        <w:rPr>
          <w:sz w:val="24"/>
          <w:szCs w:val="24"/>
        </w:rPr>
        <w:t>“rural” PSUs</w:t>
      </w:r>
      <w:r>
        <w:rPr>
          <w:sz w:val="24"/>
          <w:szCs w:val="24"/>
        </w:rPr>
        <w:t>)</w:t>
      </w:r>
    </w:p>
    <w:p w:rsidR="00784887" w:rsidRPr="002B11BA" w:rsidRDefault="00784887" w:rsidP="00784887">
      <w:pPr>
        <w:spacing w:line="360" w:lineRule="auto"/>
        <w:rPr>
          <w:sz w:val="24"/>
          <w:szCs w:val="24"/>
        </w:rPr>
      </w:pPr>
    </w:p>
    <w:p w:rsidR="00784887" w:rsidRPr="002B11BA" w:rsidRDefault="00784887" w:rsidP="00784887">
      <w:pPr>
        <w:spacing w:line="360" w:lineRule="auto"/>
        <w:rPr>
          <w:sz w:val="24"/>
          <w:szCs w:val="24"/>
        </w:rPr>
      </w:pPr>
      <w:r w:rsidRPr="00BE54FB">
        <w:rPr>
          <w:sz w:val="24"/>
          <w:szCs w:val="24"/>
        </w:rPr>
        <w:t>The 23 “S” PSUs are the largest CBSAs in the country, and they were selected with certainty for the CE’s sample.  The 52 “N” and 16 “R” PSUs are smaller CBSAs that were randomly selected from the rest</w:t>
      </w:r>
      <w:r>
        <w:rPr>
          <w:sz w:val="24"/>
          <w:szCs w:val="24"/>
        </w:rPr>
        <w:t xml:space="preserve"> of the country</w:t>
      </w:r>
      <w:r w:rsidR="00B05B23" w:rsidRPr="00B05B23">
        <w:rPr>
          <w:sz w:val="24"/>
          <w:szCs w:val="24"/>
        </w:rPr>
        <w:t xml:space="preserve">, </w:t>
      </w:r>
      <w:r w:rsidR="00B05B23" w:rsidRPr="00B05B23">
        <w:rPr>
          <w:bCs/>
          <w:iCs/>
          <w:sz w:val="24"/>
          <w:szCs w:val="24"/>
          <w:shd w:val="clear" w:color="auto" w:fill="FFFFFF"/>
        </w:rPr>
        <w:t>with their probabilities being proportional to their populations</w:t>
      </w:r>
      <w:r w:rsidR="00B05B23" w:rsidRPr="00B05B23">
        <w:rPr>
          <w:sz w:val="24"/>
          <w:szCs w:val="24"/>
          <w:shd w:val="clear" w:color="auto" w:fill="FFFFFF"/>
        </w:rPr>
        <w:t>.</w:t>
      </w:r>
      <w:r w:rsidR="00B05B23">
        <w:rPr>
          <w:sz w:val="24"/>
          <w:szCs w:val="24"/>
        </w:rPr>
        <w:t xml:space="preserve"> </w:t>
      </w:r>
      <w:r>
        <w:rPr>
          <w:sz w:val="24"/>
          <w:szCs w:val="24"/>
        </w:rPr>
        <w:t xml:space="preserve"> The 23</w:t>
      </w:r>
      <w:r w:rsidRPr="002B11BA">
        <w:rPr>
          <w:sz w:val="24"/>
          <w:szCs w:val="24"/>
        </w:rPr>
        <w:t xml:space="preserve"> </w:t>
      </w:r>
      <w:r>
        <w:rPr>
          <w:sz w:val="24"/>
          <w:szCs w:val="24"/>
        </w:rPr>
        <w:t>“S” and 52 “N”</w:t>
      </w:r>
      <w:r w:rsidRPr="002B11BA">
        <w:rPr>
          <w:sz w:val="24"/>
          <w:szCs w:val="24"/>
        </w:rPr>
        <w:t xml:space="preserve"> PSUs are also used by the Consumer Price Index </w:t>
      </w:r>
      <w:r>
        <w:rPr>
          <w:sz w:val="24"/>
          <w:szCs w:val="24"/>
        </w:rPr>
        <w:t xml:space="preserve">(CPI) </w:t>
      </w:r>
      <w:r w:rsidRPr="002B11BA">
        <w:rPr>
          <w:sz w:val="24"/>
          <w:szCs w:val="24"/>
        </w:rPr>
        <w:t>program</w:t>
      </w:r>
      <w:r>
        <w:rPr>
          <w:sz w:val="24"/>
          <w:szCs w:val="24"/>
        </w:rPr>
        <w:t>, but not the 16 “R” PSUs because the CPI measures inflation only in urban areas of the country.</w:t>
      </w:r>
    </w:p>
    <w:p w:rsidR="00784887" w:rsidRPr="002B11BA" w:rsidRDefault="00784887" w:rsidP="00784887">
      <w:pPr>
        <w:spacing w:line="360" w:lineRule="auto"/>
        <w:rPr>
          <w:sz w:val="24"/>
          <w:szCs w:val="24"/>
        </w:rPr>
      </w:pPr>
      <w:r>
        <w:rPr>
          <w:sz w:val="24"/>
          <w:szCs w:val="24"/>
        </w:rPr>
        <w:tab/>
      </w:r>
      <w:r w:rsidRPr="002B11BA">
        <w:rPr>
          <w:sz w:val="24"/>
          <w:szCs w:val="24"/>
        </w:rPr>
        <w:t xml:space="preserve">Within these 91 PSUs, the list of addresses from which the sample is drawn comes from </w:t>
      </w:r>
      <w:r>
        <w:rPr>
          <w:sz w:val="24"/>
          <w:szCs w:val="24"/>
        </w:rPr>
        <w:t>two</w:t>
      </w:r>
      <w:r w:rsidRPr="002B11BA">
        <w:rPr>
          <w:sz w:val="24"/>
          <w:szCs w:val="24"/>
        </w:rPr>
        <w:t xml:space="preserve"> sources called “sampling frames.” The </w:t>
      </w:r>
      <w:r>
        <w:rPr>
          <w:sz w:val="24"/>
          <w:szCs w:val="24"/>
        </w:rPr>
        <w:t>primary</w:t>
      </w:r>
      <w:r w:rsidRPr="002B11BA">
        <w:rPr>
          <w:sz w:val="24"/>
          <w:szCs w:val="24"/>
        </w:rPr>
        <w:t xml:space="preserve"> sampling frame</w:t>
      </w:r>
      <w:r w:rsidR="005F2860">
        <w:rPr>
          <w:sz w:val="24"/>
          <w:szCs w:val="24"/>
        </w:rPr>
        <w:t xml:space="preserve"> for both the Diary Survey and the Interview Survey</w:t>
      </w:r>
      <w:r w:rsidRPr="002B11BA">
        <w:rPr>
          <w:sz w:val="24"/>
          <w:szCs w:val="24"/>
        </w:rPr>
        <w:t xml:space="preserve"> is the </w:t>
      </w:r>
      <w:r>
        <w:rPr>
          <w:sz w:val="24"/>
          <w:szCs w:val="24"/>
        </w:rPr>
        <w:t>Census Bureau’s Master Address File (MAF).  That file has all residential addresses identified in the 2010 census and is updated twice per year with the U.S. Postal Service’s Delivery Sequence File.  Over</w:t>
      </w:r>
      <w:r w:rsidRPr="002B11BA">
        <w:rPr>
          <w:sz w:val="24"/>
          <w:szCs w:val="24"/>
        </w:rPr>
        <w:t xml:space="preserve"> </w:t>
      </w:r>
      <w:r>
        <w:rPr>
          <w:sz w:val="24"/>
          <w:szCs w:val="24"/>
        </w:rPr>
        <w:t>99</w:t>
      </w:r>
      <w:r w:rsidRPr="002B11BA">
        <w:rPr>
          <w:sz w:val="24"/>
          <w:szCs w:val="24"/>
        </w:rPr>
        <w:t xml:space="preserve"> percent of the addresses </w:t>
      </w:r>
      <w:r>
        <w:rPr>
          <w:sz w:val="24"/>
          <w:szCs w:val="24"/>
        </w:rPr>
        <w:t>used in the survey come from the MAF</w:t>
      </w:r>
      <w:r w:rsidRPr="002B11BA">
        <w:rPr>
          <w:sz w:val="24"/>
          <w:szCs w:val="24"/>
        </w:rPr>
        <w:t xml:space="preserve">. </w:t>
      </w:r>
      <w:r>
        <w:rPr>
          <w:sz w:val="24"/>
          <w:szCs w:val="24"/>
        </w:rPr>
        <w:t>It</w:t>
      </w:r>
      <w:r w:rsidRPr="002B11BA">
        <w:rPr>
          <w:sz w:val="24"/>
          <w:szCs w:val="24"/>
        </w:rPr>
        <w:t xml:space="preserve"> is supplemented by </w:t>
      </w:r>
      <w:r>
        <w:rPr>
          <w:sz w:val="24"/>
          <w:szCs w:val="24"/>
        </w:rPr>
        <w:t>a small Group Quarters frame, which</w:t>
      </w:r>
      <w:r w:rsidRPr="002B11BA">
        <w:rPr>
          <w:sz w:val="24"/>
          <w:szCs w:val="24"/>
        </w:rPr>
        <w:t xml:space="preserve"> is a list of housing units that are owned or managed by organizations for residents who live in group arrangements such as college dormitories and reti</w:t>
      </w:r>
      <w:r>
        <w:rPr>
          <w:sz w:val="24"/>
          <w:szCs w:val="24"/>
        </w:rPr>
        <w:t>r</w:t>
      </w:r>
      <w:r w:rsidRPr="002B11BA">
        <w:rPr>
          <w:sz w:val="24"/>
          <w:szCs w:val="24"/>
        </w:rPr>
        <w:t>ement communities.</w:t>
      </w:r>
      <w:r>
        <w:rPr>
          <w:sz w:val="24"/>
          <w:szCs w:val="24"/>
        </w:rPr>
        <w:t xml:space="preserve">  Less than 1 percent of the addresses used in the CE come from the Group Quarters frame.</w:t>
      </w:r>
    </w:p>
    <w:p w:rsidR="00784887" w:rsidRPr="002B11BA" w:rsidRDefault="00784887" w:rsidP="00784887">
      <w:pPr>
        <w:tabs>
          <w:tab w:val="left" w:pos="1530"/>
        </w:tabs>
        <w:spacing w:line="360" w:lineRule="auto"/>
        <w:ind w:firstLine="720"/>
        <w:rPr>
          <w:sz w:val="24"/>
          <w:szCs w:val="24"/>
        </w:rPr>
      </w:pPr>
      <w:r w:rsidRPr="002B11BA">
        <w:rPr>
          <w:sz w:val="24"/>
          <w:szCs w:val="24"/>
        </w:rPr>
        <w:t>The Census Bureau selects a sample of approximately 12,</w:t>
      </w:r>
      <w:r>
        <w:rPr>
          <w:sz w:val="24"/>
          <w:szCs w:val="24"/>
        </w:rPr>
        <w:t>0</w:t>
      </w:r>
      <w:r w:rsidRPr="002B11BA">
        <w:rPr>
          <w:sz w:val="24"/>
          <w:szCs w:val="24"/>
        </w:rPr>
        <w:t xml:space="preserve">00 addresses per year </w:t>
      </w:r>
      <w:r>
        <w:rPr>
          <w:sz w:val="24"/>
          <w:szCs w:val="24"/>
        </w:rPr>
        <w:t xml:space="preserve">from these two frames </w:t>
      </w:r>
      <w:r w:rsidRPr="002B11BA">
        <w:rPr>
          <w:sz w:val="24"/>
          <w:szCs w:val="24"/>
        </w:rPr>
        <w:t xml:space="preserve">to participate in the Diary Survey. Usable diaries </w:t>
      </w:r>
      <w:r w:rsidR="00D469C3">
        <w:rPr>
          <w:sz w:val="24"/>
          <w:szCs w:val="24"/>
        </w:rPr>
        <w:t xml:space="preserve">(two 1-week diaries per household) </w:t>
      </w:r>
      <w:r w:rsidRPr="002B11BA">
        <w:rPr>
          <w:sz w:val="24"/>
          <w:szCs w:val="24"/>
        </w:rPr>
        <w:t xml:space="preserve">are obtained from approximately </w:t>
      </w:r>
      <w:r>
        <w:rPr>
          <w:sz w:val="24"/>
          <w:szCs w:val="24"/>
        </w:rPr>
        <w:t>6,900</w:t>
      </w:r>
      <w:r w:rsidRPr="002B11BA">
        <w:rPr>
          <w:sz w:val="24"/>
          <w:szCs w:val="24"/>
        </w:rPr>
        <w:t xml:space="preserve"> households at those </w:t>
      </w:r>
      <w:r w:rsidRPr="002B11BA">
        <w:rPr>
          <w:sz w:val="24"/>
          <w:szCs w:val="24"/>
        </w:rPr>
        <w:lastRenderedPageBreak/>
        <w:t>addresses. Diaries are not obtained from the other addresses due to refusals, vacancies, ineligibility, or the nonexistence of a housing unit at the selected address. The placement of diaries is spread equally over all 52 weeks of the year.</w:t>
      </w:r>
    </w:p>
    <w:p w:rsidR="00784887" w:rsidRDefault="00784887" w:rsidP="00EE7295">
      <w:pPr>
        <w:autoSpaceDE w:val="0"/>
        <w:autoSpaceDN w:val="0"/>
        <w:adjustRightInd w:val="0"/>
        <w:spacing w:line="360" w:lineRule="auto"/>
        <w:ind w:firstLine="720"/>
        <w:rPr>
          <w:sz w:val="24"/>
          <w:szCs w:val="24"/>
        </w:rPr>
      </w:pPr>
      <w:r w:rsidRPr="002B11BA">
        <w:rPr>
          <w:sz w:val="24"/>
          <w:szCs w:val="24"/>
        </w:rPr>
        <w:t>The Interview Survey is a rotating panel survey in which approximately 1</w:t>
      </w:r>
      <w:r>
        <w:rPr>
          <w:sz w:val="24"/>
          <w:szCs w:val="24"/>
        </w:rPr>
        <w:t>2</w:t>
      </w:r>
      <w:r w:rsidRPr="002B11BA">
        <w:rPr>
          <w:sz w:val="24"/>
          <w:szCs w:val="24"/>
        </w:rPr>
        <w:t>,000 addresses are contacted each calendar quarter of the year</w:t>
      </w:r>
      <w:r>
        <w:rPr>
          <w:sz w:val="24"/>
          <w:szCs w:val="24"/>
        </w:rPr>
        <w:t xml:space="preserve"> for the survey</w:t>
      </w:r>
      <w:r w:rsidRPr="002B11BA">
        <w:rPr>
          <w:sz w:val="24"/>
          <w:szCs w:val="24"/>
        </w:rPr>
        <w:t>. One-f</w:t>
      </w:r>
      <w:r>
        <w:rPr>
          <w:sz w:val="24"/>
          <w:szCs w:val="24"/>
        </w:rPr>
        <w:t>ourth</w:t>
      </w:r>
      <w:r w:rsidRPr="002B11BA">
        <w:rPr>
          <w:sz w:val="24"/>
          <w:szCs w:val="24"/>
        </w:rPr>
        <w:t xml:space="preserve"> of the addresses contacted each quarter are new to the survey. </w:t>
      </w:r>
      <w:r>
        <w:rPr>
          <w:sz w:val="24"/>
          <w:szCs w:val="24"/>
        </w:rPr>
        <w:t xml:space="preserve">Usable interviews are obtained from approximately 6,900 households at those addresses each quarter of the year. </w:t>
      </w:r>
      <w:r w:rsidRPr="002B11BA">
        <w:rPr>
          <w:sz w:val="24"/>
          <w:szCs w:val="24"/>
        </w:rPr>
        <w:t>After a housing unit has been in the sample for f</w:t>
      </w:r>
      <w:r>
        <w:rPr>
          <w:sz w:val="24"/>
          <w:szCs w:val="24"/>
        </w:rPr>
        <w:t>our</w:t>
      </w:r>
      <w:r w:rsidRPr="002B11BA">
        <w:rPr>
          <w:sz w:val="24"/>
          <w:szCs w:val="24"/>
        </w:rPr>
        <w:t xml:space="preserve"> consecutive quarters, it is dropped from the survey, and a new address is selected to replace it.</w:t>
      </w:r>
      <w:r w:rsidR="002D6457">
        <w:rPr>
          <w:sz w:val="24"/>
          <w:szCs w:val="24"/>
        </w:rPr>
        <w:t xml:space="preserve">  </w:t>
      </w:r>
      <w:r w:rsidR="002D6457" w:rsidRPr="000700C1">
        <w:rPr>
          <w:sz w:val="24"/>
          <w:szCs w:val="24"/>
        </w:rPr>
        <w:t>Prior to 2015 the CE Interview survey included a bounding interview</w:t>
      </w:r>
      <w:r w:rsidR="00657FAE" w:rsidRPr="000700C1">
        <w:rPr>
          <w:sz w:val="24"/>
          <w:szCs w:val="24"/>
        </w:rPr>
        <w:t>,</w:t>
      </w:r>
      <w:r w:rsidR="002D6457" w:rsidRPr="000700C1">
        <w:rPr>
          <w:sz w:val="24"/>
          <w:szCs w:val="24"/>
        </w:rPr>
        <w:t xml:space="preserve"> and each </w:t>
      </w:r>
      <w:r w:rsidR="00657FAE" w:rsidRPr="000700C1">
        <w:rPr>
          <w:sz w:val="24"/>
          <w:szCs w:val="24"/>
        </w:rPr>
        <w:t>CU</w:t>
      </w:r>
      <w:r w:rsidR="002D6457" w:rsidRPr="000700C1">
        <w:rPr>
          <w:sz w:val="24"/>
          <w:szCs w:val="24"/>
        </w:rPr>
        <w:t xml:space="preserve"> could be contacted up to five times over five quarters.  The bounding interview was d</w:t>
      </w:r>
      <w:r w:rsidR="005252CF">
        <w:rPr>
          <w:sz w:val="24"/>
          <w:szCs w:val="24"/>
        </w:rPr>
        <w:t>etermined to be unnecessary, and was d</w:t>
      </w:r>
      <w:r w:rsidR="002D6457" w:rsidRPr="000700C1">
        <w:rPr>
          <w:sz w:val="24"/>
          <w:szCs w:val="24"/>
        </w:rPr>
        <w:t>ropped at the beginning of 2015</w:t>
      </w:r>
      <w:r w:rsidR="005252CF">
        <w:rPr>
          <w:sz w:val="24"/>
          <w:szCs w:val="24"/>
        </w:rPr>
        <w:t xml:space="preserve"> to save money and reduce respondent burden and collection costs. </w:t>
      </w:r>
      <w:r w:rsidR="00BC64CA">
        <w:rPr>
          <w:sz w:val="24"/>
          <w:szCs w:val="24"/>
        </w:rPr>
        <w:t>&lt;</w:t>
      </w:r>
      <w:r w:rsidR="001819B9" w:rsidRPr="00F60085">
        <w:rPr>
          <w:sz w:val="24"/>
          <w:szCs w:val="24"/>
        </w:rPr>
        <w:t xml:space="preserve">Link to </w:t>
      </w:r>
      <w:r w:rsidR="00BC64CA">
        <w:rPr>
          <w:sz w:val="24"/>
          <w:szCs w:val="24"/>
        </w:rPr>
        <w:t>“</w:t>
      </w:r>
      <w:r w:rsidR="001819B9" w:rsidRPr="008E2DAD">
        <w:rPr>
          <w:bCs/>
          <w:sz w:val="24"/>
          <w:szCs w:val="24"/>
        </w:rPr>
        <w:t>RECOMMENDATION REGARDING THE USE OF A CE BOUNDING INTERVIEW</w:t>
      </w:r>
      <w:r w:rsidR="00BC64CA">
        <w:rPr>
          <w:bCs/>
          <w:sz w:val="24"/>
          <w:szCs w:val="24"/>
        </w:rPr>
        <w:t>”</w:t>
      </w:r>
      <w:r w:rsidR="001819B9" w:rsidRPr="00F60085">
        <w:rPr>
          <w:sz w:val="24"/>
          <w:szCs w:val="24"/>
        </w:rPr>
        <w:t xml:space="preserve"> will be inserted here.  The link should be available the end of September.</w:t>
      </w:r>
      <w:r w:rsidR="00BC64CA">
        <w:rPr>
          <w:sz w:val="24"/>
          <w:szCs w:val="24"/>
        </w:rPr>
        <w:t>&gt;</w:t>
      </w:r>
    </w:p>
    <w:p w:rsidR="00F60085" w:rsidRPr="00F60085" w:rsidRDefault="00F60085" w:rsidP="00EE7295">
      <w:pPr>
        <w:autoSpaceDE w:val="0"/>
        <w:autoSpaceDN w:val="0"/>
        <w:adjustRightInd w:val="0"/>
        <w:rPr>
          <w:sz w:val="24"/>
          <w:szCs w:val="24"/>
        </w:rPr>
      </w:pPr>
    </w:p>
    <w:p w:rsidR="00784887" w:rsidRPr="002B11BA" w:rsidRDefault="00784887" w:rsidP="00784887">
      <w:pPr>
        <w:spacing w:line="360" w:lineRule="auto"/>
        <w:rPr>
          <w:sz w:val="24"/>
        </w:rPr>
      </w:pPr>
      <w:r w:rsidRPr="002B11BA">
        <w:rPr>
          <w:b/>
          <w:sz w:val="24"/>
        </w:rPr>
        <w:t>Cooperation levels</w:t>
      </w:r>
    </w:p>
    <w:p w:rsidR="00784887" w:rsidRPr="002B11BA" w:rsidRDefault="00784887" w:rsidP="00784887">
      <w:pPr>
        <w:tabs>
          <w:tab w:val="left" w:pos="1530"/>
        </w:tabs>
        <w:spacing w:line="360" w:lineRule="auto"/>
        <w:rPr>
          <w:sz w:val="24"/>
        </w:rPr>
      </w:pPr>
      <w:r w:rsidRPr="002B11BA">
        <w:rPr>
          <w:sz w:val="24"/>
        </w:rPr>
        <w:t>Response data for the 201</w:t>
      </w:r>
      <w:r>
        <w:rPr>
          <w:sz w:val="24"/>
        </w:rPr>
        <w:t>3</w:t>
      </w:r>
      <w:r w:rsidRPr="002B11BA">
        <w:rPr>
          <w:sz w:val="24"/>
        </w:rPr>
        <w:t xml:space="preserve"> CE are shown in table 1. For the Interview Survey, </w:t>
      </w:r>
      <w:r w:rsidRPr="002B11BA">
        <w:rPr>
          <w:sz w:val="24"/>
          <w:szCs w:val="24"/>
        </w:rPr>
        <w:t xml:space="preserve">each unique housing unit provides up to four usable interviews per year. </w:t>
      </w:r>
      <w:r w:rsidRPr="007000ED">
        <w:rPr>
          <w:sz w:val="24"/>
          <w:szCs w:val="24"/>
        </w:rPr>
        <w:t>For the Diary Survey, each unique housing unit provides up to two usable diaries (weeks 1 and 2)</w:t>
      </w:r>
      <w:r w:rsidRPr="007000ED">
        <w:rPr>
          <w:sz w:val="24"/>
        </w:rPr>
        <w:t>. Most Diary</w:t>
      </w:r>
      <w:r w:rsidRPr="002B11BA">
        <w:rPr>
          <w:sz w:val="24"/>
        </w:rPr>
        <w:t xml:space="preserve"> respondents participate in both weeks.</w:t>
      </w:r>
    </w:p>
    <w:p w:rsidR="00784887" w:rsidRPr="002B11BA" w:rsidRDefault="00784887" w:rsidP="00784887">
      <w:pPr>
        <w:spacing w:line="360" w:lineRule="auto"/>
        <w:ind w:firstLine="360"/>
        <w:rPr>
          <w:sz w:val="24"/>
        </w:rPr>
      </w:pPr>
      <w:r w:rsidRPr="002B11BA">
        <w:rPr>
          <w:sz w:val="24"/>
        </w:rPr>
        <w:t>There are three general categories of nonresponse:</w:t>
      </w:r>
    </w:p>
    <w:p w:rsidR="00784887" w:rsidRPr="002B11BA" w:rsidRDefault="00784887" w:rsidP="00784887">
      <w:pPr>
        <w:numPr>
          <w:ilvl w:val="0"/>
          <w:numId w:val="2"/>
        </w:numPr>
        <w:spacing w:line="360" w:lineRule="auto"/>
        <w:rPr>
          <w:sz w:val="24"/>
        </w:rPr>
      </w:pPr>
      <w:r w:rsidRPr="002B11BA">
        <w:rPr>
          <w:i/>
          <w:sz w:val="24"/>
        </w:rPr>
        <w:t>Type A nonresponses</w:t>
      </w:r>
      <w:r w:rsidRPr="002B11BA">
        <w:rPr>
          <w:sz w:val="24"/>
        </w:rPr>
        <w:t xml:space="preserve"> are refusals, temporary absences, and noncontacts.</w:t>
      </w:r>
    </w:p>
    <w:p w:rsidR="00784887" w:rsidRPr="002B11BA" w:rsidRDefault="00784887" w:rsidP="00784887">
      <w:pPr>
        <w:numPr>
          <w:ilvl w:val="0"/>
          <w:numId w:val="2"/>
        </w:numPr>
        <w:spacing w:line="360" w:lineRule="auto"/>
        <w:rPr>
          <w:sz w:val="24"/>
        </w:rPr>
      </w:pPr>
      <w:r w:rsidRPr="002B11BA">
        <w:rPr>
          <w:i/>
          <w:sz w:val="24"/>
        </w:rPr>
        <w:t>Type B nonresponses</w:t>
      </w:r>
      <w:r w:rsidRPr="002B11BA">
        <w:rPr>
          <w:sz w:val="24"/>
        </w:rPr>
        <w:t xml:space="preserve"> are vacant housing units, housing units with temporary residents, and housing units under construction.</w:t>
      </w:r>
    </w:p>
    <w:p w:rsidR="00784887" w:rsidRPr="002B11BA" w:rsidRDefault="00784887" w:rsidP="00784887">
      <w:pPr>
        <w:numPr>
          <w:ilvl w:val="0"/>
          <w:numId w:val="2"/>
        </w:numPr>
        <w:spacing w:line="360" w:lineRule="auto"/>
        <w:rPr>
          <w:sz w:val="24"/>
        </w:rPr>
      </w:pPr>
      <w:r w:rsidRPr="002B11BA">
        <w:rPr>
          <w:i/>
          <w:sz w:val="24"/>
        </w:rPr>
        <w:t>Type C nonresponses</w:t>
      </w:r>
      <w:r w:rsidRPr="002B11BA">
        <w:rPr>
          <w:sz w:val="24"/>
        </w:rPr>
        <w:t xml:space="preserve"> are nonresidential addresses, such as destroyed or abandoned housing units, and housing units converted to nonresidential use.</w:t>
      </w:r>
    </w:p>
    <w:p w:rsidR="00784887" w:rsidRPr="002B11BA" w:rsidRDefault="00784887" w:rsidP="00784887">
      <w:pPr>
        <w:spacing w:line="240" w:lineRule="atLeast"/>
        <w:rPr>
          <w:sz w:val="24"/>
        </w:rPr>
      </w:pPr>
    </w:p>
    <w:p w:rsidR="00784887" w:rsidRPr="002B11BA" w:rsidRDefault="00784887" w:rsidP="00784887">
      <w:pPr>
        <w:tabs>
          <w:tab w:val="left" w:pos="1530"/>
        </w:tabs>
        <w:spacing w:line="360" w:lineRule="auto"/>
        <w:ind w:firstLine="720"/>
        <w:rPr>
          <w:sz w:val="24"/>
        </w:rPr>
      </w:pPr>
      <w:r w:rsidRPr="002B11BA">
        <w:rPr>
          <w:sz w:val="24"/>
        </w:rPr>
        <w:t xml:space="preserve">Response rates are defined </w:t>
      </w:r>
      <w:r>
        <w:rPr>
          <w:sz w:val="24"/>
        </w:rPr>
        <w:t>as</w:t>
      </w:r>
      <w:r w:rsidRPr="002B11BA">
        <w:rPr>
          <w:sz w:val="24"/>
        </w:rPr>
        <w:t xml:space="preserve"> the percent of eligible housing units (that is, the designated sample less Type B and Type C nonresponses) from which usable interviews are collected</w:t>
      </w:r>
      <w:r w:rsidR="005629BD">
        <w:rPr>
          <w:sz w:val="24"/>
        </w:rPr>
        <w:t xml:space="preserve"> </w:t>
      </w:r>
      <w:r w:rsidR="005629BD" w:rsidRPr="000700C1">
        <w:rPr>
          <w:sz w:val="24"/>
        </w:rPr>
        <w:t>by the Census Bureau</w:t>
      </w:r>
      <w:r w:rsidRPr="000700C1">
        <w:rPr>
          <w:sz w:val="24"/>
        </w:rPr>
        <w:t xml:space="preserve">. </w:t>
      </w:r>
      <w:r w:rsidRPr="002B11BA">
        <w:rPr>
          <w:sz w:val="24"/>
        </w:rPr>
        <w:t>In the 201</w:t>
      </w:r>
      <w:r>
        <w:rPr>
          <w:sz w:val="24"/>
        </w:rPr>
        <w:t>3</w:t>
      </w:r>
      <w:r w:rsidRPr="002B11BA">
        <w:rPr>
          <w:sz w:val="24"/>
        </w:rPr>
        <w:t xml:space="preserve"> Interview Survey</w:t>
      </w:r>
      <w:r w:rsidR="00637853">
        <w:rPr>
          <w:sz w:val="24"/>
        </w:rPr>
        <w:t>,</w:t>
      </w:r>
      <w:r w:rsidRPr="002B11BA">
        <w:rPr>
          <w:sz w:val="24"/>
        </w:rPr>
        <w:t xml:space="preserve"> there were 4</w:t>
      </w:r>
      <w:r>
        <w:rPr>
          <w:sz w:val="24"/>
        </w:rPr>
        <w:t>8,920</w:t>
      </w:r>
      <w:r w:rsidRPr="002B11BA">
        <w:rPr>
          <w:sz w:val="24"/>
        </w:rPr>
        <w:t xml:space="preserve"> eligible housing units from which 3</w:t>
      </w:r>
      <w:r>
        <w:rPr>
          <w:sz w:val="24"/>
        </w:rPr>
        <w:t>2,822</w:t>
      </w:r>
      <w:r w:rsidRPr="002B11BA">
        <w:rPr>
          <w:sz w:val="24"/>
        </w:rPr>
        <w:t xml:space="preserve"> usable interviews were collected, resulting in a </w:t>
      </w:r>
      <w:r w:rsidRPr="002B11BA">
        <w:rPr>
          <w:sz w:val="24"/>
        </w:rPr>
        <w:lastRenderedPageBreak/>
        <w:t xml:space="preserve">response rate of </w:t>
      </w:r>
      <w:r>
        <w:rPr>
          <w:sz w:val="24"/>
        </w:rPr>
        <w:t>67.1</w:t>
      </w:r>
      <w:r w:rsidRPr="002B11BA">
        <w:rPr>
          <w:sz w:val="24"/>
        </w:rPr>
        <w:t xml:space="preserve"> percent. In the 201</w:t>
      </w:r>
      <w:r>
        <w:rPr>
          <w:sz w:val="24"/>
        </w:rPr>
        <w:t>3</w:t>
      </w:r>
      <w:r w:rsidRPr="002B11BA">
        <w:rPr>
          <w:sz w:val="24"/>
        </w:rPr>
        <w:t xml:space="preserve"> Diary Survey</w:t>
      </w:r>
      <w:r w:rsidR="00637853">
        <w:rPr>
          <w:sz w:val="24"/>
        </w:rPr>
        <w:t>,</w:t>
      </w:r>
      <w:r w:rsidRPr="002B11BA">
        <w:rPr>
          <w:sz w:val="24"/>
        </w:rPr>
        <w:t xml:space="preserve"> there were 1</w:t>
      </w:r>
      <w:r>
        <w:rPr>
          <w:sz w:val="24"/>
        </w:rPr>
        <w:t>9,252</w:t>
      </w:r>
      <w:r w:rsidRPr="002B11BA">
        <w:rPr>
          <w:sz w:val="24"/>
        </w:rPr>
        <w:t xml:space="preserve"> eligible housing units from which 1</w:t>
      </w:r>
      <w:r>
        <w:rPr>
          <w:sz w:val="24"/>
        </w:rPr>
        <w:t>2,511</w:t>
      </w:r>
      <w:r w:rsidRPr="002B11BA">
        <w:rPr>
          <w:sz w:val="24"/>
        </w:rPr>
        <w:t xml:space="preserve"> usable interviews were collected, resulting in a response rate of </w:t>
      </w:r>
      <w:r>
        <w:rPr>
          <w:sz w:val="24"/>
        </w:rPr>
        <w:t>65.0</w:t>
      </w:r>
      <w:r w:rsidRPr="002B11BA">
        <w:rPr>
          <w:sz w:val="24"/>
        </w:rPr>
        <w:t xml:space="preserve"> percent. (See </w:t>
      </w:r>
      <w:r>
        <w:rPr>
          <w:sz w:val="24"/>
        </w:rPr>
        <w:t>T</w:t>
      </w:r>
      <w:r w:rsidRPr="002B11BA">
        <w:rPr>
          <w:sz w:val="24"/>
        </w:rPr>
        <w:t xml:space="preserve">able </w:t>
      </w:r>
      <w:r w:rsidR="004B2B26">
        <w:rPr>
          <w:sz w:val="24"/>
        </w:rPr>
        <w:t>2</w:t>
      </w:r>
      <w:r w:rsidRPr="002B11BA">
        <w:rPr>
          <w:sz w:val="24"/>
        </w:rPr>
        <w:t>.)</w:t>
      </w:r>
    </w:p>
    <w:p w:rsidR="00784887" w:rsidRPr="002B11BA" w:rsidRDefault="00784887" w:rsidP="00784887">
      <w:pPr>
        <w:spacing w:line="360" w:lineRule="auto"/>
        <w:rPr>
          <w:rStyle w:val="Strong"/>
          <w:sz w:val="24"/>
        </w:rPr>
      </w:pPr>
    </w:p>
    <w:p w:rsidR="00784887" w:rsidRPr="002B11BA" w:rsidRDefault="00784887" w:rsidP="00784887">
      <w:pPr>
        <w:rPr>
          <w:rStyle w:val="Strong"/>
          <w:sz w:val="24"/>
        </w:rPr>
      </w:pPr>
      <w:r w:rsidRPr="002B11BA">
        <w:rPr>
          <w:rStyle w:val="Strong"/>
          <w:b w:val="0"/>
          <w:sz w:val="24"/>
        </w:rPr>
        <w:t xml:space="preserve">Table </w:t>
      </w:r>
      <w:r w:rsidR="004B2B26">
        <w:rPr>
          <w:rStyle w:val="Strong"/>
          <w:b w:val="0"/>
          <w:sz w:val="24"/>
        </w:rPr>
        <w:t>2</w:t>
      </w:r>
      <w:r w:rsidRPr="002B11BA">
        <w:rPr>
          <w:rStyle w:val="Strong"/>
          <w:b w:val="0"/>
          <w:sz w:val="24"/>
        </w:rPr>
        <w:t>.</w:t>
      </w:r>
      <w:r w:rsidRPr="002B11BA">
        <w:rPr>
          <w:rStyle w:val="Strong"/>
          <w:sz w:val="24"/>
        </w:rPr>
        <w:t xml:space="preserve"> Analysis of response in the Consumer Expenditure Survey, 201</w:t>
      </w:r>
      <w:r>
        <w:rPr>
          <w:rStyle w:val="Strong"/>
          <w:sz w:val="24"/>
        </w:rPr>
        <w:t>3</w:t>
      </w:r>
    </w:p>
    <w:p w:rsidR="00784887" w:rsidRPr="002B11BA" w:rsidRDefault="00784887" w:rsidP="00784887">
      <w:pPr>
        <w:rPr>
          <w:rStyle w:val="Strong"/>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8"/>
        <w:gridCol w:w="1440"/>
        <w:gridCol w:w="540"/>
        <w:gridCol w:w="1350"/>
        <w:gridCol w:w="468"/>
      </w:tblGrid>
      <w:tr w:rsidR="00784887" w:rsidRPr="002B11BA" w:rsidTr="002D6457">
        <w:tc>
          <w:tcPr>
            <w:tcW w:w="5058" w:type="dxa"/>
            <w:tcBorders>
              <w:bottom w:val="single" w:sz="4" w:space="0" w:color="auto"/>
            </w:tcBorders>
          </w:tcPr>
          <w:p w:rsidR="00784887" w:rsidRPr="002B11BA" w:rsidRDefault="00784887" w:rsidP="002D6457">
            <w:pPr>
              <w:jc w:val="center"/>
              <w:rPr>
                <w:rStyle w:val="Strong"/>
                <w:sz w:val="24"/>
              </w:rPr>
            </w:pPr>
            <w:r w:rsidRPr="002B11BA">
              <w:rPr>
                <w:rStyle w:val="Strong"/>
                <w:sz w:val="24"/>
              </w:rPr>
              <w:t>Sample unit</w:t>
            </w:r>
          </w:p>
        </w:tc>
        <w:tc>
          <w:tcPr>
            <w:tcW w:w="1980" w:type="dxa"/>
            <w:gridSpan w:val="2"/>
            <w:tcBorders>
              <w:bottom w:val="single" w:sz="4" w:space="0" w:color="auto"/>
            </w:tcBorders>
          </w:tcPr>
          <w:p w:rsidR="00784887" w:rsidRPr="002B11BA" w:rsidRDefault="00784887" w:rsidP="002D6457">
            <w:pPr>
              <w:pStyle w:val="Heading1"/>
              <w:rPr>
                <w:rStyle w:val="Strong"/>
                <w:rFonts w:ascii="Times New Roman" w:hAnsi="Times New Roman"/>
                <w:sz w:val="24"/>
              </w:rPr>
            </w:pPr>
            <w:r w:rsidRPr="002B11BA">
              <w:rPr>
                <w:rStyle w:val="Strong"/>
                <w:rFonts w:ascii="Times New Roman" w:hAnsi="Times New Roman"/>
                <w:sz w:val="24"/>
              </w:rPr>
              <w:t>Interview Survey</w:t>
            </w:r>
          </w:p>
        </w:tc>
        <w:tc>
          <w:tcPr>
            <w:tcW w:w="1818" w:type="dxa"/>
            <w:gridSpan w:val="2"/>
            <w:tcBorders>
              <w:bottom w:val="single" w:sz="4" w:space="0" w:color="auto"/>
            </w:tcBorders>
          </w:tcPr>
          <w:p w:rsidR="00784887" w:rsidRPr="002B11BA" w:rsidRDefault="00784887" w:rsidP="002D6457">
            <w:pPr>
              <w:jc w:val="center"/>
              <w:rPr>
                <w:rStyle w:val="Strong"/>
                <w:sz w:val="24"/>
              </w:rPr>
            </w:pPr>
            <w:r w:rsidRPr="002B11BA">
              <w:rPr>
                <w:rStyle w:val="Strong"/>
                <w:sz w:val="24"/>
              </w:rPr>
              <w:t>Diary Survey</w:t>
            </w:r>
          </w:p>
        </w:tc>
      </w:tr>
      <w:tr w:rsidR="00784887" w:rsidRPr="002B11BA" w:rsidTr="002D6457">
        <w:tc>
          <w:tcPr>
            <w:tcW w:w="5058" w:type="dxa"/>
            <w:tcBorders>
              <w:bottom w:val="nil"/>
            </w:tcBorders>
          </w:tcPr>
          <w:p w:rsidR="00784887" w:rsidRPr="002B11BA" w:rsidRDefault="00784887" w:rsidP="002D6457">
            <w:pPr>
              <w:rPr>
                <w:rStyle w:val="Strong"/>
                <w:b w:val="0"/>
                <w:sz w:val="24"/>
              </w:rPr>
            </w:pPr>
            <w:r w:rsidRPr="002B11BA">
              <w:rPr>
                <w:rStyle w:val="Strong"/>
                <w:b w:val="0"/>
                <w:sz w:val="24"/>
              </w:rPr>
              <w:t>Housing units designated for survey</w:t>
            </w:r>
          </w:p>
        </w:tc>
        <w:tc>
          <w:tcPr>
            <w:tcW w:w="1440" w:type="dxa"/>
            <w:tcBorders>
              <w:bottom w:val="nil"/>
              <w:right w:val="nil"/>
            </w:tcBorders>
          </w:tcPr>
          <w:p w:rsidR="00784887" w:rsidRPr="002B11BA" w:rsidRDefault="00784887" w:rsidP="002D6457">
            <w:pPr>
              <w:jc w:val="right"/>
              <w:rPr>
                <w:rStyle w:val="Strong"/>
                <w:b w:val="0"/>
                <w:sz w:val="24"/>
              </w:rPr>
            </w:pPr>
            <w:r w:rsidRPr="002B11BA">
              <w:rPr>
                <w:sz w:val="24"/>
              </w:rPr>
              <w:t>60,</w:t>
            </w:r>
            <w:r>
              <w:rPr>
                <w:sz w:val="24"/>
              </w:rPr>
              <w:t>166</w:t>
            </w:r>
            <w:r w:rsidRPr="00937D37">
              <w:rPr>
                <w:sz w:val="24"/>
                <w:vertAlign w:val="superscript"/>
              </w:rPr>
              <w:t>1</w:t>
            </w:r>
          </w:p>
        </w:tc>
        <w:tc>
          <w:tcPr>
            <w:tcW w:w="540" w:type="dxa"/>
            <w:tcBorders>
              <w:left w:val="nil"/>
              <w:bottom w:val="nil"/>
            </w:tcBorders>
          </w:tcPr>
          <w:p w:rsidR="00784887" w:rsidRPr="002B11BA" w:rsidRDefault="00784887" w:rsidP="002D6457">
            <w:pPr>
              <w:jc w:val="center"/>
              <w:rPr>
                <w:rStyle w:val="Strong"/>
                <w:b w:val="0"/>
                <w:sz w:val="24"/>
              </w:rPr>
            </w:pPr>
          </w:p>
        </w:tc>
        <w:tc>
          <w:tcPr>
            <w:tcW w:w="1350" w:type="dxa"/>
            <w:tcBorders>
              <w:bottom w:val="nil"/>
              <w:right w:val="nil"/>
            </w:tcBorders>
          </w:tcPr>
          <w:p w:rsidR="00784887" w:rsidRPr="002B11BA" w:rsidRDefault="00784887" w:rsidP="002D6457">
            <w:pPr>
              <w:jc w:val="right"/>
              <w:rPr>
                <w:rStyle w:val="Strong"/>
                <w:b w:val="0"/>
                <w:sz w:val="24"/>
              </w:rPr>
            </w:pPr>
            <w:r w:rsidRPr="002B11BA">
              <w:rPr>
                <w:rStyle w:val="Strong"/>
                <w:b w:val="0"/>
                <w:sz w:val="24"/>
              </w:rPr>
              <w:t>25,</w:t>
            </w:r>
            <w:r>
              <w:rPr>
                <w:rStyle w:val="Strong"/>
                <w:b w:val="0"/>
                <w:sz w:val="24"/>
              </w:rPr>
              <w:t>480</w:t>
            </w:r>
            <w:r>
              <w:rPr>
                <w:rStyle w:val="Strong"/>
                <w:b w:val="0"/>
                <w:sz w:val="24"/>
                <w:vertAlign w:val="superscript"/>
              </w:rPr>
              <w:t>2</w:t>
            </w:r>
          </w:p>
        </w:tc>
        <w:tc>
          <w:tcPr>
            <w:tcW w:w="468" w:type="dxa"/>
            <w:tcBorders>
              <w:left w:val="nil"/>
              <w:bottom w:val="nil"/>
            </w:tcBorders>
          </w:tcPr>
          <w:p w:rsidR="00784887" w:rsidRPr="002B11BA" w:rsidRDefault="00784887" w:rsidP="002D6457">
            <w:pPr>
              <w:jc w:val="center"/>
              <w:rPr>
                <w:rStyle w:val="Strong"/>
                <w:b w:val="0"/>
                <w:sz w:val="24"/>
              </w:rPr>
            </w:pPr>
          </w:p>
        </w:tc>
      </w:tr>
      <w:tr w:rsidR="00784887" w:rsidRPr="002B11BA" w:rsidTr="002D6457">
        <w:tc>
          <w:tcPr>
            <w:tcW w:w="5058" w:type="dxa"/>
          </w:tcPr>
          <w:p w:rsidR="00784887" w:rsidRPr="002B11BA" w:rsidRDefault="00784887" w:rsidP="002D6457">
            <w:pPr>
              <w:tabs>
                <w:tab w:val="left" w:pos="1530"/>
              </w:tabs>
              <w:rPr>
                <w:rStyle w:val="Strong"/>
                <w:b w:val="0"/>
                <w:sz w:val="24"/>
              </w:rPr>
            </w:pPr>
            <w:r w:rsidRPr="002B11BA">
              <w:rPr>
                <w:rStyle w:val="Strong"/>
                <w:b w:val="0"/>
                <w:sz w:val="24"/>
              </w:rPr>
              <w:t xml:space="preserve">  Less: Type B and type C nonresponses</w:t>
            </w:r>
          </w:p>
        </w:tc>
        <w:tc>
          <w:tcPr>
            <w:tcW w:w="1440" w:type="dxa"/>
            <w:tcBorders>
              <w:right w:val="nil"/>
            </w:tcBorders>
          </w:tcPr>
          <w:p w:rsidR="00784887" w:rsidRPr="002B11BA" w:rsidRDefault="00784887" w:rsidP="002D6457">
            <w:pPr>
              <w:jc w:val="right"/>
              <w:rPr>
                <w:rStyle w:val="Strong"/>
                <w:b w:val="0"/>
                <w:sz w:val="24"/>
              </w:rPr>
            </w:pPr>
            <w:r w:rsidRPr="002B11BA">
              <w:rPr>
                <w:sz w:val="24"/>
              </w:rPr>
              <w:t>1</w:t>
            </w:r>
            <w:r>
              <w:rPr>
                <w:sz w:val="24"/>
              </w:rPr>
              <w:t>1,246</w:t>
            </w:r>
          </w:p>
        </w:tc>
        <w:tc>
          <w:tcPr>
            <w:tcW w:w="540" w:type="dxa"/>
            <w:tcBorders>
              <w:left w:val="nil"/>
            </w:tcBorders>
          </w:tcPr>
          <w:p w:rsidR="00784887" w:rsidRPr="002B11BA" w:rsidRDefault="00784887" w:rsidP="002D6457">
            <w:pPr>
              <w:jc w:val="center"/>
              <w:rPr>
                <w:rStyle w:val="Strong"/>
                <w:b w:val="0"/>
                <w:sz w:val="24"/>
              </w:rPr>
            </w:pPr>
          </w:p>
        </w:tc>
        <w:tc>
          <w:tcPr>
            <w:tcW w:w="1350" w:type="dxa"/>
            <w:tcBorders>
              <w:right w:val="nil"/>
            </w:tcBorders>
          </w:tcPr>
          <w:p w:rsidR="00784887" w:rsidRPr="002B11BA" w:rsidRDefault="00784887" w:rsidP="002D6457">
            <w:pPr>
              <w:jc w:val="right"/>
              <w:rPr>
                <w:rStyle w:val="Strong"/>
                <w:b w:val="0"/>
                <w:sz w:val="24"/>
              </w:rPr>
            </w:pPr>
            <w:r w:rsidRPr="002B11BA">
              <w:rPr>
                <w:rStyle w:val="Strong"/>
                <w:b w:val="0"/>
                <w:sz w:val="24"/>
              </w:rPr>
              <w:t>6,</w:t>
            </w:r>
            <w:r>
              <w:rPr>
                <w:rStyle w:val="Strong"/>
                <w:b w:val="0"/>
                <w:sz w:val="24"/>
              </w:rPr>
              <w:t>228</w:t>
            </w:r>
          </w:p>
        </w:tc>
        <w:tc>
          <w:tcPr>
            <w:tcW w:w="468" w:type="dxa"/>
            <w:tcBorders>
              <w:left w:val="nil"/>
            </w:tcBorders>
          </w:tcPr>
          <w:p w:rsidR="00784887" w:rsidRPr="002B11BA" w:rsidRDefault="00784887" w:rsidP="002D6457">
            <w:pPr>
              <w:jc w:val="center"/>
              <w:rPr>
                <w:rStyle w:val="Strong"/>
                <w:b w:val="0"/>
                <w:sz w:val="24"/>
              </w:rPr>
            </w:pPr>
          </w:p>
        </w:tc>
      </w:tr>
      <w:tr w:rsidR="00784887" w:rsidRPr="002B11BA" w:rsidTr="002D6457">
        <w:tc>
          <w:tcPr>
            <w:tcW w:w="5058" w:type="dxa"/>
            <w:tcBorders>
              <w:top w:val="nil"/>
              <w:bottom w:val="nil"/>
            </w:tcBorders>
          </w:tcPr>
          <w:p w:rsidR="00784887" w:rsidRPr="002B11BA" w:rsidRDefault="00784887" w:rsidP="002D6457">
            <w:pPr>
              <w:tabs>
                <w:tab w:val="left" w:pos="1530"/>
              </w:tabs>
              <w:rPr>
                <w:rStyle w:val="Strong"/>
                <w:b w:val="0"/>
                <w:sz w:val="24"/>
              </w:rPr>
            </w:pPr>
            <w:r w:rsidRPr="002B11BA">
              <w:rPr>
                <w:rStyle w:val="Strong"/>
                <w:b w:val="0"/>
                <w:sz w:val="24"/>
              </w:rPr>
              <w:t xml:space="preserve">    Equals: Eligible units</w:t>
            </w:r>
          </w:p>
        </w:tc>
        <w:tc>
          <w:tcPr>
            <w:tcW w:w="1440" w:type="dxa"/>
            <w:tcBorders>
              <w:top w:val="nil"/>
              <w:bottom w:val="nil"/>
              <w:right w:val="nil"/>
            </w:tcBorders>
          </w:tcPr>
          <w:p w:rsidR="00784887" w:rsidRPr="002B11BA" w:rsidRDefault="00784887" w:rsidP="002D6457">
            <w:pPr>
              <w:jc w:val="right"/>
              <w:rPr>
                <w:rStyle w:val="Strong"/>
                <w:b w:val="0"/>
                <w:sz w:val="24"/>
              </w:rPr>
            </w:pPr>
            <w:r w:rsidRPr="002B11BA">
              <w:rPr>
                <w:sz w:val="24"/>
              </w:rPr>
              <w:t>4</w:t>
            </w:r>
            <w:r>
              <w:rPr>
                <w:sz w:val="24"/>
              </w:rPr>
              <w:t>8,920</w:t>
            </w:r>
          </w:p>
        </w:tc>
        <w:tc>
          <w:tcPr>
            <w:tcW w:w="540" w:type="dxa"/>
            <w:tcBorders>
              <w:top w:val="nil"/>
              <w:left w:val="nil"/>
              <w:bottom w:val="nil"/>
            </w:tcBorders>
          </w:tcPr>
          <w:p w:rsidR="00784887" w:rsidRPr="002B11BA" w:rsidRDefault="00784887" w:rsidP="002D6457">
            <w:pPr>
              <w:jc w:val="center"/>
              <w:rPr>
                <w:rStyle w:val="Strong"/>
                <w:b w:val="0"/>
                <w:sz w:val="24"/>
              </w:rPr>
            </w:pPr>
          </w:p>
        </w:tc>
        <w:tc>
          <w:tcPr>
            <w:tcW w:w="1350" w:type="dxa"/>
            <w:tcBorders>
              <w:top w:val="nil"/>
              <w:bottom w:val="nil"/>
              <w:right w:val="nil"/>
            </w:tcBorders>
          </w:tcPr>
          <w:p w:rsidR="00784887" w:rsidRPr="002B11BA" w:rsidRDefault="00784887" w:rsidP="002D6457">
            <w:pPr>
              <w:jc w:val="right"/>
              <w:rPr>
                <w:rStyle w:val="Strong"/>
                <w:b w:val="0"/>
                <w:sz w:val="24"/>
              </w:rPr>
            </w:pPr>
            <w:r w:rsidRPr="002B11BA">
              <w:rPr>
                <w:rStyle w:val="Strong"/>
                <w:b w:val="0"/>
                <w:sz w:val="24"/>
              </w:rPr>
              <w:t>1</w:t>
            </w:r>
            <w:r>
              <w:rPr>
                <w:rStyle w:val="Strong"/>
                <w:b w:val="0"/>
                <w:sz w:val="24"/>
              </w:rPr>
              <w:t>9,252</w:t>
            </w:r>
          </w:p>
        </w:tc>
        <w:tc>
          <w:tcPr>
            <w:tcW w:w="468" w:type="dxa"/>
            <w:tcBorders>
              <w:top w:val="nil"/>
              <w:left w:val="nil"/>
              <w:bottom w:val="nil"/>
            </w:tcBorders>
          </w:tcPr>
          <w:p w:rsidR="00784887" w:rsidRPr="002B11BA" w:rsidRDefault="00784887" w:rsidP="002D6457">
            <w:pPr>
              <w:jc w:val="center"/>
              <w:rPr>
                <w:rStyle w:val="Strong"/>
                <w:b w:val="0"/>
                <w:sz w:val="24"/>
              </w:rPr>
            </w:pPr>
          </w:p>
        </w:tc>
      </w:tr>
      <w:tr w:rsidR="00784887" w:rsidRPr="002B11BA" w:rsidTr="002D6457">
        <w:tc>
          <w:tcPr>
            <w:tcW w:w="5058" w:type="dxa"/>
          </w:tcPr>
          <w:p w:rsidR="00784887" w:rsidRPr="002B11BA" w:rsidRDefault="00784887" w:rsidP="002D6457">
            <w:pPr>
              <w:tabs>
                <w:tab w:val="left" w:pos="1530"/>
              </w:tabs>
              <w:rPr>
                <w:rStyle w:val="Strong"/>
                <w:b w:val="0"/>
                <w:sz w:val="24"/>
              </w:rPr>
            </w:pPr>
            <w:r w:rsidRPr="002B11BA">
              <w:rPr>
                <w:rStyle w:val="Strong"/>
                <w:b w:val="0"/>
                <w:sz w:val="24"/>
              </w:rPr>
              <w:t xml:space="preserve">  Less: Type A nonresponses</w:t>
            </w:r>
          </w:p>
        </w:tc>
        <w:tc>
          <w:tcPr>
            <w:tcW w:w="1440" w:type="dxa"/>
            <w:tcBorders>
              <w:right w:val="nil"/>
            </w:tcBorders>
          </w:tcPr>
          <w:p w:rsidR="00784887" w:rsidRPr="002B11BA" w:rsidRDefault="00784887" w:rsidP="002D6457">
            <w:pPr>
              <w:jc w:val="right"/>
              <w:rPr>
                <w:rStyle w:val="Strong"/>
                <w:b w:val="0"/>
                <w:sz w:val="24"/>
              </w:rPr>
            </w:pPr>
            <w:r w:rsidRPr="002B11BA">
              <w:rPr>
                <w:sz w:val="24"/>
              </w:rPr>
              <w:t>1</w:t>
            </w:r>
            <w:r>
              <w:rPr>
                <w:sz w:val="24"/>
              </w:rPr>
              <w:t>6,098</w:t>
            </w:r>
          </w:p>
        </w:tc>
        <w:tc>
          <w:tcPr>
            <w:tcW w:w="540" w:type="dxa"/>
            <w:tcBorders>
              <w:left w:val="nil"/>
            </w:tcBorders>
          </w:tcPr>
          <w:p w:rsidR="00784887" w:rsidRPr="002B11BA" w:rsidRDefault="00784887" w:rsidP="002D6457">
            <w:pPr>
              <w:jc w:val="center"/>
              <w:rPr>
                <w:rStyle w:val="Strong"/>
                <w:b w:val="0"/>
                <w:sz w:val="24"/>
              </w:rPr>
            </w:pPr>
          </w:p>
        </w:tc>
        <w:tc>
          <w:tcPr>
            <w:tcW w:w="1350" w:type="dxa"/>
            <w:tcBorders>
              <w:right w:val="nil"/>
            </w:tcBorders>
          </w:tcPr>
          <w:p w:rsidR="00784887" w:rsidRPr="002B11BA" w:rsidRDefault="00784887" w:rsidP="002D6457">
            <w:pPr>
              <w:jc w:val="right"/>
              <w:rPr>
                <w:rStyle w:val="Strong"/>
                <w:b w:val="0"/>
                <w:sz w:val="24"/>
              </w:rPr>
            </w:pPr>
            <w:r>
              <w:rPr>
                <w:rStyle w:val="Strong"/>
                <w:b w:val="0"/>
                <w:sz w:val="24"/>
              </w:rPr>
              <w:t>6,741</w:t>
            </w:r>
          </w:p>
        </w:tc>
        <w:tc>
          <w:tcPr>
            <w:tcW w:w="468" w:type="dxa"/>
            <w:tcBorders>
              <w:left w:val="nil"/>
            </w:tcBorders>
          </w:tcPr>
          <w:p w:rsidR="00784887" w:rsidRPr="002B11BA" w:rsidRDefault="00784887" w:rsidP="002D6457">
            <w:pPr>
              <w:jc w:val="center"/>
              <w:rPr>
                <w:rStyle w:val="Strong"/>
                <w:b w:val="0"/>
                <w:sz w:val="24"/>
              </w:rPr>
            </w:pPr>
          </w:p>
        </w:tc>
      </w:tr>
      <w:tr w:rsidR="00784887" w:rsidRPr="002B11BA" w:rsidTr="002D6457">
        <w:tc>
          <w:tcPr>
            <w:tcW w:w="5058" w:type="dxa"/>
          </w:tcPr>
          <w:p w:rsidR="00784887" w:rsidRPr="002B11BA" w:rsidRDefault="00784887" w:rsidP="002D6457">
            <w:pPr>
              <w:tabs>
                <w:tab w:val="left" w:pos="1530"/>
              </w:tabs>
              <w:rPr>
                <w:rStyle w:val="Strong"/>
                <w:b w:val="0"/>
                <w:sz w:val="24"/>
              </w:rPr>
            </w:pPr>
            <w:r w:rsidRPr="002B11BA">
              <w:rPr>
                <w:rStyle w:val="Strong"/>
                <w:b w:val="0"/>
                <w:sz w:val="24"/>
              </w:rPr>
              <w:t xml:space="preserve">    Equals: Interviewed units</w:t>
            </w:r>
          </w:p>
        </w:tc>
        <w:tc>
          <w:tcPr>
            <w:tcW w:w="1440" w:type="dxa"/>
            <w:tcBorders>
              <w:right w:val="nil"/>
            </w:tcBorders>
          </w:tcPr>
          <w:p w:rsidR="00784887" w:rsidRPr="002B11BA" w:rsidRDefault="00784887" w:rsidP="002D6457">
            <w:pPr>
              <w:jc w:val="right"/>
              <w:rPr>
                <w:rStyle w:val="Strong"/>
                <w:b w:val="0"/>
                <w:sz w:val="24"/>
              </w:rPr>
            </w:pPr>
            <w:r w:rsidRPr="002B11BA">
              <w:rPr>
                <w:sz w:val="24"/>
              </w:rPr>
              <w:t>3</w:t>
            </w:r>
            <w:r>
              <w:rPr>
                <w:sz w:val="24"/>
              </w:rPr>
              <w:t>2,822</w:t>
            </w:r>
          </w:p>
        </w:tc>
        <w:tc>
          <w:tcPr>
            <w:tcW w:w="540" w:type="dxa"/>
            <w:tcBorders>
              <w:left w:val="nil"/>
            </w:tcBorders>
          </w:tcPr>
          <w:p w:rsidR="00784887" w:rsidRPr="002B11BA" w:rsidRDefault="00784887" w:rsidP="002D6457">
            <w:pPr>
              <w:jc w:val="center"/>
              <w:rPr>
                <w:rStyle w:val="Strong"/>
                <w:b w:val="0"/>
                <w:sz w:val="24"/>
              </w:rPr>
            </w:pPr>
          </w:p>
        </w:tc>
        <w:tc>
          <w:tcPr>
            <w:tcW w:w="1350" w:type="dxa"/>
            <w:tcBorders>
              <w:right w:val="nil"/>
            </w:tcBorders>
          </w:tcPr>
          <w:p w:rsidR="00784887" w:rsidRPr="002B11BA" w:rsidRDefault="00784887" w:rsidP="002D6457">
            <w:pPr>
              <w:jc w:val="right"/>
              <w:rPr>
                <w:rStyle w:val="Strong"/>
                <w:b w:val="0"/>
                <w:sz w:val="24"/>
              </w:rPr>
            </w:pPr>
            <w:r w:rsidRPr="002B11BA">
              <w:rPr>
                <w:rStyle w:val="Strong"/>
                <w:b w:val="0"/>
                <w:sz w:val="24"/>
              </w:rPr>
              <w:t>1</w:t>
            </w:r>
            <w:r>
              <w:rPr>
                <w:rStyle w:val="Strong"/>
                <w:b w:val="0"/>
                <w:sz w:val="24"/>
              </w:rPr>
              <w:t>2,511</w:t>
            </w:r>
          </w:p>
        </w:tc>
        <w:tc>
          <w:tcPr>
            <w:tcW w:w="468" w:type="dxa"/>
            <w:tcBorders>
              <w:left w:val="nil"/>
            </w:tcBorders>
          </w:tcPr>
          <w:p w:rsidR="00784887" w:rsidRPr="002B11BA" w:rsidRDefault="00784887" w:rsidP="002D6457">
            <w:pPr>
              <w:jc w:val="center"/>
              <w:rPr>
                <w:rStyle w:val="Strong"/>
                <w:b w:val="0"/>
                <w:sz w:val="24"/>
              </w:rPr>
            </w:pPr>
          </w:p>
        </w:tc>
      </w:tr>
      <w:tr w:rsidR="00784887" w:rsidRPr="002B11BA" w:rsidTr="002D6457">
        <w:tc>
          <w:tcPr>
            <w:tcW w:w="5058" w:type="dxa"/>
            <w:tcBorders>
              <w:top w:val="nil"/>
              <w:bottom w:val="single" w:sz="4" w:space="0" w:color="auto"/>
            </w:tcBorders>
          </w:tcPr>
          <w:p w:rsidR="00784887" w:rsidRPr="002B11BA" w:rsidRDefault="00784887" w:rsidP="002D6457">
            <w:pPr>
              <w:rPr>
                <w:rStyle w:val="Strong"/>
                <w:b w:val="0"/>
                <w:sz w:val="24"/>
              </w:rPr>
            </w:pPr>
            <w:r w:rsidRPr="002B11BA">
              <w:rPr>
                <w:rStyle w:val="Strong"/>
                <w:b w:val="0"/>
                <w:sz w:val="24"/>
              </w:rPr>
              <w:t>Percent of eligible units interviewed</w:t>
            </w:r>
          </w:p>
        </w:tc>
        <w:tc>
          <w:tcPr>
            <w:tcW w:w="1440" w:type="dxa"/>
            <w:tcBorders>
              <w:top w:val="nil"/>
              <w:bottom w:val="single" w:sz="4" w:space="0" w:color="auto"/>
              <w:right w:val="nil"/>
            </w:tcBorders>
          </w:tcPr>
          <w:p w:rsidR="00784887" w:rsidRPr="002B11BA" w:rsidRDefault="00784887" w:rsidP="002D6457">
            <w:pPr>
              <w:jc w:val="right"/>
              <w:rPr>
                <w:rStyle w:val="Strong"/>
                <w:b w:val="0"/>
                <w:sz w:val="24"/>
              </w:rPr>
            </w:pPr>
            <w:r>
              <w:rPr>
                <w:sz w:val="24"/>
              </w:rPr>
              <w:t>67.1</w:t>
            </w:r>
          </w:p>
        </w:tc>
        <w:tc>
          <w:tcPr>
            <w:tcW w:w="540" w:type="dxa"/>
            <w:tcBorders>
              <w:top w:val="nil"/>
              <w:left w:val="nil"/>
              <w:bottom w:val="single" w:sz="4" w:space="0" w:color="auto"/>
            </w:tcBorders>
          </w:tcPr>
          <w:p w:rsidR="00784887" w:rsidRPr="002B11BA" w:rsidRDefault="00784887" w:rsidP="002D6457">
            <w:pPr>
              <w:jc w:val="center"/>
              <w:rPr>
                <w:rStyle w:val="Strong"/>
                <w:b w:val="0"/>
                <w:sz w:val="24"/>
              </w:rPr>
            </w:pPr>
          </w:p>
        </w:tc>
        <w:tc>
          <w:tcPr>
            <w:tcW w:w="1350" w:type="dxa"/>
            <w:tcBorders>
              <w:top w:val="nil"/>
              <w:bottom w:val="single" w:sz="4" w:space="0" w:color="auto"/>
              <w:right w:val="nil"/>
            </w:tcBorders>
          </w:tcPr>
          <w:p w:rsidR="00784887" w:rsidRPr="002B11BA" w:rsidRDefault="00784887" w:rsidP="002D6457">
            <w:pPr>
              <w:jc w:val="right"/>
              <w:rPr>
                <w:rStyle w:val="Strong"/>
                <w:b w:val="0"/>
                <w:sz w:val="24"/>
              </w:rPr>
            </w:pPr>
            <w:r>
              <w:rPr>
                <w:rStyle w:val="Strong"/>
                <w:b w:val="0"/>
                <w:sz w:val="24"/>
              </w:rPr>
              <w:t>65.0</w:t>
            </w:r>
          </w:p>
        </w:tc>
        <w:tc>
          <w:tcPr>
            <w:tcW w:w="468" w:type="dxa"/>
            <w:tcBorders>
              <w:top w:val="nil"/>
              <w:left w:val="nil"/>
              <w:bottom w:val="single" w:sz="4" w:space="0" w:color="auto"/>
            </w:tcBorders>
          </w:tcPr>
          <w:p w:rsidR="00784887" w:rsidRPr="002B11BA" w:rsidRDefault="00784887" w:rsidP="002D6457">
            <w:pPr>
              <w:jc w:val="center"/>
              <w:rPr>
                <w:rStyle w:val="Strong"/>
                <w:b w:val="0"/>
                <w:sz w:val="24"/>
              </w:rPr>
            </w:pPr>
          </w:p>
        </w:tc>
      </w:tr>
      <w:tr w:rsidR="00784887" w:rsidRPr="002B11BA" w:rsidTr="002D6457">
        <w:trPr>
          <w:trHeight w:val="387"/>
        </w:trPr>
        <w:tc>
          <w:tcPr>
            <w:tcW w:w="8856" w:type="dxa"/>
            <w:gridSpan w:val="5"/>
            <w:tcBorders>
              <w:top w:val="single" w:sz="4" w:space="0" w:color="auto"/>
            </w:tcBorders>
            <w:vAlign w:val="bottom"/>
          </w:tcPr>
          <w:p w:rsidR="00784887" w:rsidRPr="00937D37" w:rsidRDefault="00784887" w:rsidP="002D6457">
            <w:pPr>
              <w:rPr>
                <w:rStyle w:val="Strong"/>
                <w:b w:val="0"/>
                <w:sz w:val="24"/>
              </w:rPr>
            </w:pPr>
            <w:r w:rsidRPr="00937D37">
              <w:rPr>
                <w:rStyle w:val="Strong"/>
                <w:b w:val="0"/>
                <w:sz w:val="24"/>
                <w:vertAlign w:val="superscript"/>
              </w:rPr>
              <w:t>1</w:t>
            </w:r>
            <w:r w:rsidRPr="00937D37">
              <w:rPr>
                <w:rStyle w:val="Strong"/>
                <w:b w:val="0"/>
                <w:sz w:val="24"/>
              </w:rPr>
              <w:t xml:space="preserve"> </w:t>
            </w:r>
            <w:r>
              <w:rPr>
                <w:rStyle w:val="Strong"/>
                <w:b w:val="0"/>
                <w:sz w:val="24"/>
              </w:rPr>
              <w:t>In 2015 the number of interviews per household decreased from 5 to 4.  The data in this table are from 2013, so the numbers in the Interview column are approximately 25% larger than they will be starting in 2015.</w:t>
            </w:r>
          </w:p>
          <w:p w:rsidR="00784887" w:rsidRPr="002B11BA" w:rsidRDefault="00784887" w:rsidP="002D6457">
            <w:pPr>
              <w:rPr>
                <w:rStyle w:val="Strong"/>
                <w:b w:val="0"/>
                <w:sz w:val="24"/>
              </w:rPr>
            </w:pPr>
            <w:r>
              <w:rPr>
                <w:rStyle w:val="Strong"/>
                <w:b w:val="0"/>
                <w:sz w:val="24"/>
                <w:vertAlign w:val="superscript"/>
              </w:rPr>
              <w:t>2</w:t>
            </w:r>
            <w:r w:rsidRPr="002B11BA">
              <w:rPr>
                <w:rStyle w:val="Strong"/>
                <w:b w:val="0"/>
                <w:sz w:val="24"/>
              </w:rPr>
              <w:t xml:space="preserve"> The number of Diary Survey addresses (12,</w:t>
            </w:r>
            <w:r>
              <w:rPr>
                <w:rStyle w:val="Strong"/>
                <w:b w:val="0"/>
                <w:sz w:val="24"/>
              </w:rPr>
              <w:t>740</w:t>
            </w:r>
            <w:r w:rsidRPr="002B11BA">
              <w:rPr>
                <w:rStyle w:val="Strong"/>
                <w:b w:val="0"/>
                <w:sz w:val="24"/>
              </w:rPr>
              <w:t>) multiplied by two weekly diaries.</w:t>
            </w:r>
          </w:p>
          <w:p w:rsidR="00784887" w:rsidRPr="002B11BA" w:rsidRDefault="00784887" w:rsidP="002D6457">
            <w:pPr>
              <w:rPr>
                <w:rStyle w:val="Strong"/>
                <w:b w:val="0"/>
                <w:sz w:val="24"/>
              </w:rPr>
            </w:pPr>
          </w:p>
        </w:tc>
      </w:tr>
    </w:tbl>
    <w:p w:rsidR="00A30E06" w:rsidRDefault="00A30E06" w:rsidP="00A30E06">
      <w:pPr>
        <w:pStyle w:val="Title1"/>
        <w:tabs>
          <w:tab w:val="clear" w:pos="2881"/>
          <w:tab w:val="clear" w:pos="3601"/>
          <w:tab w:val="clear" w:pos="4321"/>
          <w:tab w:val="clear" w:pos="5040"/>
          <w:tab w:val="clear" w:pos="5760"/>
          <w:tab w:val="clear" w:pos="6480"/>
          <w:tab w:val="clear" w:pos="7199"/>
          <w:tab w:val="clear" w:pos="7919"/>
          <w:tab w:val="clear" w:pos="8641"/>
          <w:tab w:val="clear" w:pos="9361"/>
          <w:tab w:val="clear" w:pos="10081"/>
          <w:tab w:val="clear" w:pos="10800"/>
          <w:tab w:val="clear" w:pos="11520"/>
          <w:tab w:val="clear" w:pos="12240"/>
          <w:tab w:val="clear" w:pos="12959"/>
          <w:tab w:val="clear" w:pos="13679"/>
          <w:tab w:val="clear" w:pos="14401"/>
          <w:tab w:val="clear" w:pos="15121"/>
          <w:tab w:val="clear" w:pos="15841"/>
          <w:tab w:val="clear" w:pos="16560"/>
          <w:tab w:val="clear" w:pos="17280"/>
          <w:tab w:val="clear" w:pos="18000"/>
          <w:tab w:val="clear" w:pos="18719"/>
          <w:tab w:val="clear" w:pos="19439"/>
          <w:tab w:val="clear" w:pos="20161"/>
          <w:tab w:val="clear" w:pos="20881"/>
          <w:tab w:val="clear" w:pos="21601"/>
          <w:tab w:val="left" w:pos="1530"/>
          <w:tab w:val="left" w:pos="2879"/>
          <w:tab w:val="left" w:pos="3599"/>
          <w:tab w:val="left" w:pos="4318"/>
          <w:tab w:val="left" w:pos="5038"/>
          <w:tab w:val="left" w:pos="5758"/>
          <w:tab w:val="left" w:pos="6477"/>
          <w:tab w:val="left" w:pos="7197"/>
          <w:tab w:val="left" w:pos="7917"/>
          <w:tab w:val="left" w:pos="8636"/>
          <w:tab w:val="left" w:pos="9356"/>
          <w:tab w:val="left" w:pos="10076"/>
          <w:tab w:val="left" w:pos="10796"/>
          <w:tab w:val="left" w:pos="11515"/>
          <w:tab w:val="left" w:pos="12235"/>
          <w:tab w:val="left" w:pos="12955"/>
          <w:tab w:val="left" w:pos="13674"/>
          <w:tab w:val="left" w:pos="14394"/>
          <w:tab w:val="left" w:pos="15114"/>
          <w:tab w:val="left" w:pos="15833"/>
          <w:tab w:val="left" w:pos="16553"/>
          <w:tab w:val="left" w:pos="17273"/>
          <w:tab w:val="left" w:pos="17993"/>
          <w:tab w:val="left" w:pos="18712"/>
          <w:tab w:val="left" w:pos="19432"/>
          <w:tab w:val="left" w:pos="20152"/>
          <w:tab w:val="left" w:pos="20871"/>
          <w:tab w:val="left" w:pos="21591"/>
        </w:tabs>
        <w:spacing w:line="240" w:lineRule="auto"/>
        <w:jc w:val="both"/>
        <w:rPr>
          <w:rFonts w:ascii="Arial" w:hAnsi="Arial" w:cs="Arial"/>
          <w:sz w:val="24"/>
          <w:szCs w:val="24"/>
        </w:rPr>
      </w:pPr>
    </w:p>
    <w:p w:rsidR="00A30E06" w:rsidRDefault="00A30E06" w:rsidP="00A30E06">
      <w:pPr>
        <w:pStyle w:val="Title1"/>
        <w:tabs>
          <w:tab w:val="clear" w:pos="2881"/>
          <w:tab w:val="clear" w:pos="3601"/>
          <w:tab w:val="clear" w:pos="4321"/>
          <w:tab w:val="clear" w:pos="5040"/>
          <w:tab w:val="clear" w:pos="5760"/>
          <w:tab w:val="clear" w:pos="6480"/>
          <w:tab w:val="clear" w:pos="7199"/>
          <w:tab w:val="clear" w:pos="7919"/>
          <w:tab w:val="clear" w:pos="8641"/>
          <w:tab w:val="clear" w:pos="9361"/>
          <w:tab w:val="clear" w:pos="10081"/>
          <w:tab w:val="clear" w:pos="10800"/>
          <w:tab w:val="clear" w:pos="11520"/>
          <w:tab w:val="clear" w:pos="12240"/>
          <w:tab w:val="clear" w:pos="12959"/>
          <w:tab w:val="clear" w:pos="13679"/>
          <w:tab w:val="clear" w:pos="14401"/>
          <w:tab w:val="clear" w:pos="15121"/>
          <w:tab w:val="clear" w:pos="15841"/>
          <w:tab w:val="clear" w:pos="16560"/>
          <w:tab w:val="clear" w:pos="17280"/>
          <w:tab w:val="clear" w:pos="18000"/>
          <w:tab w:val="clear" w:pos="18719"/>
          <w:tab w:val="clear" w:pos="19439"/>
          <w:tab w:val="clear" w:pos="20161"/>
          <w:tab w:val="clear" w:pos="20881"/>
          <w:tab w:val="clear" w:pos="21601"/>
          <w:tab w:val="left" w:pos="1530"/>
          <w:tab w:val="left" w:pos="2879"/>
          <w:tab w:val="left" w:pos="3599"/>
          <w:tab w:val="left" w:pos="4318"/>
          <w:tab w:val="left" w:pos="5038"/>
          <w:tab w:val="left" w:pos="5758"/>
          <w:tab w:val="left" w:pos="6477"/>
          <w:tab w:val="left" w:pos="7197"/>
          <w:tab w:val="left" w:pos="7917"/>
          <w:tab w:val="left" w:pos="8636"/>
          <w:tab w:val="left" w:pos="9356"/>
          <w:tab w:val="left" w:pos="10076"/>
          <w:tab w:val="left" w:pos="10796"/>
          <w:tab w:val="left" w:pos="11515"/>
          <w:tab w:val="left" w:pos="12235"/>
          <w:tab w:val="left" w:pos="12955"/>
          <w:tab w:val="left" w:pos="13674"/>
          <w:tab w:val="left" w:pos="14394"/>
          <w:tab w:val="left" w:pos="15114"/>
          <w:tab w:val="left" w:pos="15833"/>
          <w:tab w:val="left" w:pos="16553"/>
          <w:tab w:val="left" w:pos="17273"/>
          <w:tab w:val="left" w:pos="17993"/>
          <w:tab w:val="left" w:pos="18712"/>
          <w:tab w:val="left" w:pos="19432"/>
          <w:tab w:val="left" w:pos="20152"/>
          <w:tab w:val="left" w:pos="20871"/>
          <w:tab w:val="left" w:pos="21591"/>
        </w:tabs>
        <w:spacing w:line="240" w:lineRule="auto"/>
        <w:jc w:val="both"/>
        <w:rPr>
          <w:rFonts w:ascii="Arial" w:hAnsi="Arial" w:cs="Arial"/>
          <w:sz w:val="24"/>
          <w:szCs w:val="24"/>
        </w:rPr>
      </w:pPr>
    </w:p>
    <w:p w:rsidR="00274291" w:rsidRPr="00784887" w:rsidRDefault="00274291" w:rsidP="00274291">
      <w:pPr>
        <w:pStyle w:val="Title1"/>
        <w:numPr>
          <w:ilvl w:val="0"/>
          <w:numId w:val="9"/>
        </w:numPr>
        <w:tabs>
          <w:tab w:val="clear" w:pos="2881"/>
          <w:tab w:val="clear" w:pos="3601"/>
          <w:tab w:val="clear" w:pos="4321"/>
          <w:tab w:val="clear" w:pos="5040"/>
          <w:tab w:val="clear" w:pos="5760"/>
          <w:tab w:val="clear" w:pos="6480"/>
          <w:tab w:val="clear" w:pos="7199"/>
          <w:tab w:val="clear" w:pos="7919"/>
          <w:tab w:val="clear" w:pos="8641"/>
          <w:tab w:val="clear" w:pos="9361"/>
          <w:tab w:val="clear" w:pos="10081"/>
          <w:tab w:val="clear" w:pos="10800"/>
          <w:tab w:val="clear" w:pos="11520"/>
          <w:tab w:val="clear" w:pos="12240"/>
          <w:tab w:val="clear" w:pos="12959"/>
          <w:tab w:val="clear" w:pos="13679"/>
          <w:tab w:val="clear" w:pos="14401"/>
          <w:tab w:val="clear" w:pos="15121"/>
          <w:tab w:val="clear" w:pos="15841"/>
          <w:tab w:val="clear" w:pos="16560"/>
          <w:tab w:val="clear" w:pos="17280"/>
          <w:tab w:val="clear" w:pos="18000"/>
          <w:tab w:val="clear" w:pos="18719"/>
          <w:tab w:val="clear" w:pos="19439"/>
          <w:tab w:val="clear" w:pos="20161"/>
          <w:tab w:val="clear" w:pos="20881"/>
          <w:tab w:val="clear" w:pos="21601"/>
          <w:tab w:val="left" w:pos="1530"/>
          <w:tab w:val="left" w:pos="2879"/>
          <w:tab w:val="left" w:pos="3599"/>
          <w:tab w:val="left" w:pos="4318"/>
          <w:tab w:val="left" w:pos="5038"/>
          <w:tab w:val="left" w:pos="5758"/>
          <w:tab w:val="left" w:pos="6477"/>
          <w:tab w:val="left" w:pos="7197"/>
          <w:tab w:val="left" w:pos="7917"/>
          <w:tab w:val="left" w:pos="8636"/>
          <w:tab w:val="left" w:pos="9356"/>
          <w:tab w:val="left" w:pos="10076"/>
          <w:tab w:val="left" w:pos="10796"/>
          <w:tab w:val="left" w:pos="11515"/>
          <w:tab w:val="left" w:pos="12235"/>
          <w:tab w:val="left" w:pos="12955"/>
          <w:tab w:val="left" w:pos="13674"/>
          <w:tab w:val="left" w:pos="14394"/>
          <w:tab w:val="left" w:pos="15114"/>
          <w:tab w:val="left" w:pos="15833"/>
          <w:tab w:val="left" w:pos="16553"/>
          <w:tab w:val="left" w:pos="17273"/>
          <w:tab w:val="left" w:pos="17993"/>
          <w:tab w:val="left" w:pos="18712"/>
          <w:tab w:val="left" w:pos="19432"/>
          <w:tab w:val="left" w:pos="20152"/>
          <w:tab w:val="left" w:pos="20871"/>
          <w:tab w:val="left" w:pos="21591"/>
        </w:tabs>
        <w:spacing w:line="240" w:lineRule="auto"/>
        <w:jc w:val="both"/>
        <w:rPr>
          <w:rFonts w:ascii="Arial" w:hAnsi="Arial" w:cs="Arial"/>
          <w:color w:val="C0504D" w:themeColor="accent2"/>
          <w:sz w:val="24"/>
          <w:szCs w:val="24"/>
        </w:rPr>
      </w:pPr>
      <w:r w:rsidRPr="00784887">
        <w:rPr>
          <w:rFonts w:ascii="Arial" w:hAnsi="Arial" w:cs="Arial"/>
          <w:color w:val="C0504D" w:themeColor="accent2"/>
          <w:sz w:val="24"/>
          <w:szCs w:val="24"/>
        </w:rPr>
        <w:t>Calculation</w:t>
      </w:r>
    </w:p>
    <w:p w:rsidR="00784887" w:rsidRDefault="00784887" w:rsidP="00784887">
      <w:pPr>
        <w:pStyle w:val="Title1"/>
        <w:tabs>
          <w:tab w:val="clear" w:pos="2881"/>
          <w:tab w:val="clear" w:pos="3601"/>
          <w:tab w:val="clear" w:pos="4321"/>
          <w:tab w:val="clear" w:pos="5040"/>
          <w:tab w:val="clear" w:pos="5760"/>
          <w:tab w:val="clear" w:pos="6480"/>
          <w:tab w:val="clear" w:pos="7199"/>
          <w:tab w:val="clear" w:pos="7919"/>
          <w:tab w:val="clear" w:pos="8641"/>
          <w:tab w:val="clear" w:pos="9361"/>
          <w:tab w:val="clear" w:pos="10081"/>
          <w:tab w:val="clear" w:pos="10800"/>
          <w:tab w:val="clear" w:pos="11520"/>
          <w:tab w:val="clear" w:pos="12240"/>
          <w:tab w:val="clear" w:pos="12959"/>
          <w:tab w:val="clear" w:pos="13679"/>
          <w:tab w:val="clear" w:pos="14401"/>
          <w:tab w:val="clear" w:pos="15121"/>
          <w:tab w:val="clear" w:pos="15841"/>
          <w:tab w:val="clear" w:pos="16560"/>
          <w:tab w:val="clear" w:pos="17280"/>
          <w:tab w:val="clear" w:pos="18000"/>
          <w:tab w:val="clear" w:pos="18719"/>
          <w:tab w:val="clear" w:pos="19439"/>
          <w:tab w:val="clear" w:pos="20161"/>
          <w:tab w:val="clear" w:pos="20881"/>
          <w:tab w:val="clear" w:pos="21601"/>
          <w:tab w:val="left" w:pos="1530"/>
          <w:tab w:val="left" w:pos="2879"/>
          <w:tab w:val="left" w:pos="3599"/>
          <w:tab w:val="left" w:pos="4318"/>
          <w:tab w:val="left" w:pos="5038"/>
          <w:tab w:val="left" w:pos="5758"/>
          <w:tab w:val="left" w:pos="6477"/>
          <w:tab w:val="left" w:pos="7197"/>
          <w:tab w:val="left" w:pos="7917"/>
          <w:tab w:val="left" w:pos="8636"/>
          <w:tab w:val="left" w:pos="9356"/>
          <w:tab w:val="left" w:pos="10076"/>
          <w:tab w:val="left" w:pos="10796"/>
          <w:tab w:val="left" w:pos="11515"/>
          <w:tab w:val="left" w:pos="12235"/>
          <w:tab w:val="left" w:pos="12955"/>
          <w:tab w:val="left" w:pos="13674"/>
          <w:tab w:val="left" w:pos="14394"/>
          <w:tab w:val="left" w:pos="15114"/>
          <w:tab w:val="left" w:pos="15833"/>
          <w:tab w:val="left" w:pos="16553"/>
          <w:tab w:val="left" w:pos="17273"/>
          <w:tab w:val="left" w:pos="17993"/>
          <w:tab w:val="left" w:pos="18712"/>
          <w:tab w:val="left" w:pos="19432"/>
          <w:tab w:val="left" w:pos="20152"/>
          <w:tab w:val="left" w:pos="20871"/>
          <w:tab w:val="left" w:pos="21591"/>
        </w:tabs>
        <w:spacing w:line="240" w:lineRule="auto"/>
        <w:jc w:val="both"/>
        <w:rPr>
          <w:rFonts w:ascii="Arial" w:hAnsi="Arial" w:cs="Arial"/>
          <w:sz w:val="24"/>
          <w:szCs w:val="24"/>
        </w:rPr>
      </w:pPr>
    </w:p>
    <w:p w:rsidR="00784887" w:rsidRPr="002B11BA" w:rsidRDefault="007C5C87" w:rsidP="007C5C87">
      <w:pPr>
        <w:tabs>
          <w:tab w:val="left" w:pos="1530"/>
        </w:tabs>
        <w:spacing w:line="360" w:lineRule="auto"/>
        <w:rPr>
          <w:sz w:val="24"/>
        </w:rPr>
      </w:pPr>
      <w:r>
        <w:rPr>
          <w:b/>
          <w:sz w:val="24"/>
        </w:rPr>
        <w:t>Calculation Methodology</w:t>
      </w:r>
      <w:r w:rsidR="00784887" w:rsidRPr="006C67A8">
        <w:rPr>
          <w:b/>
          <w:sz w:val="24"/>
        </w:rPr>
        <w:br/>
      </w:r>
      <w:r>
        <w:rPr>
          <w:sz w:val="24"/>
        </w:rPr>
        <w:t xml:space="preserve">       </w:t>
      </w:r>
      <w:r w:rsidR="00784887" w:rsidRPr="002B11BA">
        <w:rPr>
          <w:sz w:val="24"/>
        </w:rPr>
        <w:t xml:space="preserve">The </w:t>
      </w:r>
      <w:r w:rsidR="00784887">
        <w:rPr>
          <w:sz w:val="24"/>
        </w:rPr>
        <w:t>use of CE’s sample data to estimate</w:t>
      </w:r>
      <w:r w:rsidR="00784887" w:rsidRPr="002B11BA">
        <w:rPr>
          <w:sz w:val="24"/>
        </w:rPr>
        <w:t xml:space="preserve"> population quantities of interest, such as the average expenditure per consumer unit on a particular item category, is achieved through the use of weights. Each consumer unit in the survey is assigned a weight that is the number of similar consumer units in the U.S. civilian noninstitutional population the sampled consumer unit represents. Using these weights, the average expenditure per consumer unit on a particular item category is estimated with the </w:t>
      </w:r>
      <w:r w:rsidR="00784887">
        <w:rPr>
          <w:sz w:val="24"/>
        </w:rPr>
        <w:t xml:space="preserve">standard weighted average </w:t>
      </w:r>
      <w:r w:rsidR="00784887" w:rsidRPr="002B11BA">
        <w:rPr>
          <w:sz w:val="24"/>
        </w:rPr>
        <w:t>formula:</w:t>
      </w:r>
    </w:p>
    <w:p w:rsidR="00784887" w:rsidRPr="002B11BA" w:rsidRDefault="00784887" w:rsidP="00784887">
      <w:pPr>
        <w:spacing w:line="360" w:lineRule="auto"/>
        <w:jc w:val="center"/>
        <w:rPr>
          <w:sz w:val="24"/>
        </w:rPr>
      </w:pPr>
      <w:r w:rsidRPr="002B11BA">
        <w:rPr>
          <w:position w:val="-40"/>
          <w:sz w:val="24"/>
        </w:rPr>
        <w:object w:dxaOrig="1020" w:dyaOrig="900" w14:anchorId="0FADF6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1in" o:ole="" fillcolor="window">
            <v:imagedata r:id="rId17" o:title=""/>
          </v:shape>
          <o:OLEObject Type="Embed" ProgID="Equation.3" ShapeID="_x0000_i1025" DrawAspect="Content" ObjectID="_1509521960" r:id="rId18"/>
        </w:object>
      </w:r>
    </w:p>
    <w:p w:rsidR="00784887" w:rsidRPr="002B11BA" w:rsidRDefault="00784887" w:rsidP="00784887">
      <w:pPr>
        <w:spacing w:line="360" w:lineRule="auto"/>
        <w:rPr>
          <w:sz w:val="24"/>
        </w:rPr>
      </w:pPr>
      <w:r w:rsidRPr="002B11BA">
        <w:rPr>
          <w:sz w:val="24"/>
        </w:rPr>
        <w:t>where</w:t>
      </w:r>
    </w:p>
    <w:p w:rsidR="00784887" w:rsidRPr="002B11BA" w:rsidRDefault="00784887" w:rsidP="00784887">
      <w:pPr>
        <w:spacing w:line="360" w:lineRule="auto"/>
        <w:rPr>
          <w:sz w:val="24"/>
        </w:rPr>
      </w:pPr>
      <w:r w:rsidRPr="002B11BA">
        <w:rPr>
          <w:position w:val="-10"/>
          <w:sz w:val="24"/>
        </w:rPr>
        <w:object w:dxaOrig="200" w:dyaOrig="279" w14:anchorId="1FE22B6F">
          <v:shape id="_x0000_i1026" type="#_x0000_t75" style="width:14.25pt;height:14.25pt" o:ole="" fillcolor="window">
            <v:imagedata r:id="rId19" o:title=""/>
          </v:shape>
          <o:OLEObject Type="Embed" ProgID="Equation.3" ShapeID="_x0000_i1026" DrawAspect="Content" ObjectID="_1509521961" r:id="rId20"/>
        </w:object>
      </w:r>
      <w:r w:rsidRPr="002B11BA">
        <w:rPr>
          <w:sz w:val="24"/>
        </w:rPr>
        <w:t>= the average expenditure per consumer unit on the item category,</w:t>
      </w:r>
    </w:p>
    <w:p w:rsidR="00784887" w:rsidRPr="002B11BA" w:rsidRDefault="00784887" w:rsidP="00784887">
      <w:pPr>
        <w:tabs>
          <w:tab w:val="left" w:pos="1530"/>
        </w:tabs>
        <w:spacing w:line="360" w:lineRule="auto"/>
        <w:rPr>
          <w:sz w:val="24"/>
        </w:rPr>
      </w:pPr>
      <w:proofErr w:type="spellStart"/>
      <w:r w:rsidRPr="002B11BA">
        <w:rPr>
          <w:i/>
          <w:sz w:val="24"/>
        </w:rPr>
        <w:lastRenderedPageBreak/>
        <w:t>y</w:t>
      </w:r>
      <w:r w:rsidRPr="002B11BA">
        <w:rPr>
          <w:i/>
          <w:sz w:val="24"/>
          <w:vertAlign w:val="subscript"/>
        </w:rPr>
        <w:t>i</w:t>
      </w:r>
      <w:proofErr w:type="spellEnd"/>
      <w:r w:rsidRPr="002B11BA">
        <w:rPr>
          <w:i/>
          <w:sz w:val="24"/>
          <w:vertAlign w:val="subscript"/>
        </w:rPr>
        <w:t xml:space="preserve"> </w:t>
      </w:r>
      <w:r w:rsidRPr="002B11BA">
        <w:rPr>
          <w:sz w:val="24"/>
        </w:rPr>
        <w:t xml:space="preserve">= the expenditure made by the </w:t>
      </w:r>
      <w:proofErr w:type="spellStart"/>
      <w:r w:rsidRPr="002B11BA">
        <w:rPr>
          <w:i/>
          <w:sz w:val="24"/>
        </w:rPr>
        <w:t>i</w:t>
      </w:r>
      <w:proofErr w:type="spellEnd"/>
      <w:r w:rsidRPr="002B11BA">
        <w:rPr>
          <w:i/>
          <w:sz w:val="24"/>
        </w:rPr>
        <w:t xml:space="preserve"> </w:t>
      </w:r>
      <w:proofErr w:type="spellStart"/>
      <w:r w:rsidRPr="002B11BA">
        <w:rPr>
          <w:i/>
          <w:sz w:val="24"/>
          <w:vertAlign w:val="superscript"/>
        </w:rPr>
        <w:t>th</w:t>
      </w:r>
      <w:proofErr w:type="spellEnd"/>
      <w:r w:rsidRPr="002B11BA">
        <w:rPr>
          <w:sz w:val="24"/>
        </w:rPr>
        <w:t xml:space="preserve"> consumer unit on the item category,</w:t>
      </w:r>
    </w:p>
    <w:p w:rsidR="00784887" w:rsidRPr="002B11BA" w:rsidRDefault="00784887" w:rsidP="00784887">
      <w:pPr>
        <w:tabs>
          <w:tab w:val="left" w:pos="1530"/>
        </w:tabs>
        <w:spacing w:line="360" w:lineRule="auto"/>
        <w:rPr>
          <w:sz w:val="24"/>
        </w:rPr>
      </w:pPr>
      <w:proofErr w:type="spellStart"/>
      <w:r w:rsidRPr="002B11BA">
        <w:rPr>
          <w:i/>
          <w:sz w:val="24"/>
        </w:rPr>
        <w:t>w</w:t>
      </w:r>
      <w:r w:rsidRPr="002B11BA">
        <w:rPr>
          <w:i/>
          <w:sz w:val="24"/>
          <w:vertAlign w:val="subscript"/>
        </w:rPr>
        <w:t>i</w:t>
      </w:r>
      <w:proofErr w:type="spellEnd"/>
      <w:r w:rsidRPr="002B11BA">
        <w:rPr>
          <w:i/>
          <w:sz w:val="24"/>
        </w:rPr>
        <w:t xml:space="preserve"> </w:t>
      </w:r>
      <w:r w:rsidRPr="002B11BA">
        <w:rPr>
          <w:sz w:val="24"/>
        </w:rPr>
        <w:t xml:space="preserve">= the weight of the </w:t>
      </w:r>
      <w:proofErr w:type="spellStart"/>
      <w:r w:rsidRPr="002B11BA">
        <w:rPr>
          <w:i/>
          <w:sz w:val="24"/>
        </w:rPr>
        <w:t>i</w:t>
      </w:r>
      <w:proofErr w:type="spellEnd"/>
      <w:r w:rsidRPr="002B11BA">
        <w:rPr>
          <w:i/>
          <w:sz w:val="24"/>
        </w:rPr>
        <w:t xml:space="preserve"> </w:t>
      </w:r>
      <w:proofErr w:type="spellStart"/>
      <w:r w:rsidRPr="002B11BA">
        <w:rPr>
          <w:i/>
          <w:sz w:val="24"/>
          <w:vertAlign w:val="superscript"/>
        </w:rPr>
        <w:t>th</w:t>
      </w:r>
      <w:proofErr w:type="spellEnd"/>
      <w:r w:rsidRPr="002B11BA">
        <w:rPr>
          <w:sz w:val="24"/>
        </w:rPr>
        <w:t xml:space="preserve"> consumer unit in the sample, and</w:t>
      </w:r>
    </w:p>
    <w:p w:rsidR="00784887" w:rsidRPr="002B11BA" w:rsidRDefault="00784887" w:rsidP="00784887">
      <w:pPr>
        <w:spacing w:line="360" w:lineRule="auto"/>
        <w:rPr>
          <w:sz w:val="24"/>
        </w:rPr>
      </w:pPr>
      <w:r w:rsidRPr="002B11BA">
        <w:rPr>
          <w:i/>
          <w:sz w:val="24"/>
        </w:rPr>
        <w:t xml:space="preserve">S </w:t>
      </w:r>
      <w:r w:rsidRPr="002B11BA">
        <w:rPr>
          <w:sz w:val="24"/>
        </w:rPr>
        <w:t>= the sample of consumer units that participated in the survey.</w:t>
      </w:r>
    </w:p>
    <w:p w:rsidR="00784887" w:rsidRPr="002B11BA" w:rsidRDefault="00784887" w:rsidP="00784887">
      <w:pPr>
        <w:spacing w:line="360" w:lineRule="auto"/>
        <w:rPr>
          <w:sz w:val="24"/>
        </w:rPr>
      </w:pPr>
    </w:p>
    <w:p w:rsidR="00784887" w:rsidRPr="002B11BA" w:rsidRDefault="00784887" w:rsidP="00784887">
      <w:pPr>
        <w:spacing w:line="360" w:lineRule="auto"/>
        <w:ind w:firstLine="720"/>
        <w:rPr>
          <w:sz w:val="24"/>
        </w:rPr>
      </w:pPr>
      <w:r w:rsidRPr="002B11BA">
        <w:rPr>
          <w:sz w:val="24"/>
        </w:rPr>
        <w:t xml:space="preserve">For example, if </w:t>
      </w:r>
      <w:proofErr w:type="spellStart"/>
      <w:r w:rsidRPr="002B11BA">
        <w:rPr>
          <w:i/>
          <w:sz w:val="24"/>
        </w:rPr>
        <w:t>y</w:t>
      </w:r>
      <w:r w:rsidRPr="002B11BA">
        <w:rPr>
          <w:i/>
          <w:sz w:val="24"/>
          <w:vertAlign w:val="subscript"/>
        </w:rPr>
        <w:t>i</w:t>
      </w:r>
      <w:proofErr w:type="spellEnd"/>
      <w:r w:rsidRPr="002B11BA">
        <w:rPr>
          <w:sz w:val="24"/>
        </w:rPr>
        <w:t xml:space="preserve"> is the expenditure on eggs made by the </w:t>
      </w:r>
      <w:proofErr w:type="spellStart"/>
      <w:r w:rsidRPr="002B11BA">
        <w:rPr>
          <w:i/>
          <w:sz w:val="24"/>
        </w:rPr>
        <w:t>i</w:t>
      </w:r>
      <w:proofErr w:type="spellEnd"/>
      <w:r w:rsidRPr="002B11BA">
        <w:rPr>
          <w:i/>
          <w:sz w:val="24"/>
        </w:rPr>
        <w:t xml:space="preserve"> </w:t>
      </w:r>
      <w:proofErr w:type="spellStart"/>
      <w:r w:rsidRPr="002B11BA">
        <w:rPr>
          <w:i/>
          <w:sz w:val="24"/>
          <w:vertAlign w:val="superscript"/>
        </w:rPr>
        <w:t>th</w:t>
      </w:r>
      <w:proofErr w:type="spellEnd"/>
      <w:r w:rsidRPr="002B11BA">
        <w:rPr>
          <w:sz w:val="24"/>
        </w:rPr>
        <w:t xml:space="preserve"> consumer unit in the sample during a given time period, then </w:t>
      </w:r>
      <w:r w:rsidRPr="002B11BA">
        <w:rPr>
          <w:position w:val="-10"/>
          <w:sz w:val="24"/>
        </w:rPr>
        <w:object w:dxaOrig="200" w:dyaOrig="279" w14:anchorId="42A8F8B2">
          <v:shape id="_x0000_i1027" type="#_x0000_t75" style="width:14.25pt;height:14.25pt" o:ole="" fillcolor="window">
            <v:imagedata r:id="rId21" o:title=""/>
          </v:shape>
          <o:OLEObject Type="Embed" ProgID="Equation.3" ShapeID="_x0000_i1027" DrawAspect="Content" ObjectID="_1509521962" r:id="rId22"/>
        </w:object>
      </w:r>
      <w:r w:rsidRPr="002B11BA">
        <w:rPr>
          <w:sz w:val="24"/>
        </w:rPr>
        <w:t xml:space="preserve"> is an estimate of the average expenditure on eggs made by all consumer units in the U.S. civilian noninstitutional population during that time period.</w:t>
      </w:r>
    </w:p>
    <w:p w:rsidR="00784887" w:rsidRPr="002B11BA" w:rsidRDefault="00784887" w:rsidP="00784887">
      <w:pPr>
        <w:tabs>
          <w:tab w:val="left" w:pos="1530"/>
        </w:tabs>
        <w:spacing w:line="360" w:lineRule="auto"/>
        <w:ind w:firstLine="720"/>
        <w:rPr>
          <w:sz w:val="24"/>
        </w:rPr>
      </w:pPr>
      <w:r w:rsidRPr="002B11BA">
        <w:rPr>
          <w:sz w:val="24"/>
        </w:rPr>
        <w:t xml:space="preserve">If one wants to estimate the proportion of consumer units that purchased eggs during a given time period, then the same formula is applied, where </w:t>
      </w:r>
      <w:proofErr w:type="spellStart"/>
      <w:r w:rsidRPr="002B11BA">
        <w:rPr>
          <w:i/>
          <w:sz w:val="24"/>
        </w:rPr>
        <w:t>y</w:t>
      </w:r>
      <w:r w:rsidRPr="002B11BA">
        <w:rPr>
          <w:i/>
          <w:sz w:val="24"/>
          <w:vertAlign w:val="subscript"/>
        </w:rPr>
        <w:t>i</w:t>
      </w:r>
      <w:proofErr w:type="spellEnd"/>
      <w:r w:rsidRPr="002B11BA">
        <w:rPr>
          <w:sz w:val="24"/>
        </w:rPr>
        <w:t xml:space="preserve"> is set equal to 1 if the </w:t>
      </w:r>
      <w:proofErr w:type="spellStart"/>
      <w:r w:rsidRPr="002B11BA">
        <w:rPr>
          <w:i/>
          <w:sz w:val="24"/>
        </w:rPr>
        <w:t>i</w:t>
      </w:r>
      <w:proofErr w:type="spellEnd"/>
      <w:r w:rsidRPr="002B11BA">
        <w:rPr>
          <w:i/>
          <w:sz w:val="24"/>
        </w:rPr>
        <w:t xml:space="preserve"> </w:t>
      </w:r>
      <w:proofErr w:type="spellStart"/>
      <w:r w:rsidRPr="002B11BA">
        <w:rPr>
          <w:i/>
          <w:sz w:val="24"/>
          <w:vertAlign w:val="superscript"/>
        </w:rPr>
        <w:t>th</w:t>
      </w:r>
      <w:proofErr w:type="spellEnd"/>
      <w:r w:rsidRPr="002B11BA">
        <w:rPr>
          <w:sz w:val="24"/>
        </w:rPr>
        <w:t xml:space="preserve"> consumer unit purchased eggs during the time period, and 0 if it did not. When this binary definition of </w:t>
      </w:r>
      <w:proofErr w:type="spellStart"/>
      <w:r w:rsidRPr="002B11BA">
        <w:rPr>
          <w:i/>
          <w:sz w:val="24"/>
        </w:rPr>
        <w:t>y</w:t>
      </w:r>
      <w:r w:rsidRPr="002B11BA">
        <w:rPr>
          <w:i/>
          <w:sz w:val="24"/>
          <w:vertAlign w:val="subscript"/>
        </w:rPr>
        <w:t>i</w:t>
      </w:r>
      <w:proofErr w:type="spellEnd"/>
      <w:r w:rsidRPr="002B11BA">
        <w:rPr>
          <w:sz w:val="24"/>
        </w:rPr>
        <w:t xml:space="preserve"> is used, </w:t>
      </w:r>
      <w:r w:rsidRPr="002B11BA">
        <w:rPr>
          <w:position w:val="-10"/>
          <w:sz w:val="24"/>
        </w:rPr>
        <w:object w:dxaOrig="200" w:dyaOrig="279" w14:anchorId="6759A76B">
          <v:shape id="_x0000_i1028" type="#_x0000_t75" style="width:14.25pt;height:14.25pt" o:ole="" fillcolor="window">
            <v:imagedata r:id="rId23" o:title=""/>
          </v:shape>
          <o:OLEObject Type="Embed" ProgID="Equation.3" ShapeID="_x0000_i1028" DrawAspect="Content" ObjectID="_1509521963" r:id="rId24"/>
        </w:object>
      </w:r>
      <w:r w:rsidRPr="002B11BA">
        <w:rPr>
          <w:sz w:val="24"/>
        </w:rPr>
        <w:t xml:space="preserve"> is an estimate of the proportion of all consumer units in the U.S. civilian noninstitutional population that purchased eggs during the given time period.</w:t>
      </w:r>
    </w:p>
    <w:p w:rsidR="00784887" w:rsidRPr="002B11BA" w:rsidRDefault="00784887" w:rsidP="00784887">
      <w:pPr>
        <w:tabs>
          <w:tab w:val="left" w:pos="1530"/>
        </w:tabs>
        <w:spacing w:line="360" w:lineRule="auto"/>
        <w:ind w:firstLine="720"/>
        <w:rPr>
          <w:sz w:val="24"/>
          <w:szCs w:val="24"/>
        </w:rPr>
      </w:pPr>
      <w:r w:rsidRPr="002B11BA">
        <w:rPr>
          <w:sz w:val="24"/>
          <w:szCs w:val="24"/>
        </w:rPr>
        <w:t xml:space="preserve">Several factors are involved in computing the weight of each consumer unit from which a usable interview is received. Each consumer unit is initially assigned a </w:t>
      </w:r>
      <w:r w:rsidRPr="002B11BA">
        <w:rPr>
          <w:i/>
          <w:sz w:val="24"/>
          <w:szCs w:val="24"/>
        </w:rPr>
        <w:t>base weight</w:t>
      </w:r>
      <w:r w:rsidRPr="002B11BA">
        <w:rPr>
          <w:sz w:val="24"/>
          <w:szCs w:val="24"/>
        </w:rPr>
        <w:t xml:space="preserve"> equal to the inverse of the consumer unit’s probability of being selected for the sample. </w:t>
      </w:r>
      <w:r w:rsidR="005252CF">
        <w:rPr>
          <w:sz w:val="24"/>
          <w:szCs w:val="24"/>
        </w:rPr>
        <w:t xml:space="preserve">The total U.S. </w:t>
      </w:r>
      <w:r w:rsidR="0082312D">
        <w:rPr>
          <w:sz w:val="24"/>
          <w:szCs w:val="24"/>
        </w:rPr>
        <w:t xml:space="preserve">target </w:t>
      </w:r>
      <w:r w:rsidR="005252CF">
        <w:rPr>
          <w:sz w:val="24"/>
          <w:szCs w:val="24"/>
        </w:rPr>
        <w:t xml:space="preserve">population counts for these base weights come from the Census Current Population Survey.  </w:t>
      </w:r>
      <w:r w:rsidRPr="002B11BA">
        <w:rPr>
          <w:sz w:val="24"/>
          <w:szCs w:val="24"/>
        </w:rPr>
        <w:t xml:space="preserve">Base weights in the CE are typically around 10,000, which means a consumer unit in the sample represents 10,000 consumer units in the U.S. civilian noninstitutional population―itself plus 9,999 other consumer units that were not selected for the sample. The base weight is then adjusted by the following factors to correct for certain </w:t>
      </w:r>
      <w:proofErr w:type="spellStart"/>
      <w:r w:rsidRPr="002B11BA">
        <w:rPr>
          <w:sz w:val="24"/>
          <w:szCs w:val="24"/>
        </w:rPr>
        <w:t>nonsampling</w:t>
      </w:r>
      <w:proofErr w:type="spellEnd"/>
      <w:r w:rsidRPr="002B11BA">
        <w:rPr>
          <w:sz w:val="24"/>
          <w:szCs w:val="24"/>
        </w:rPr>
        <w:t xml:space="preserve"> errors:</w:t>
      </w:r>
    </w:p>
    <w:p w:rsidR="00784887" w:rsidRPr="002B11BA" w:rsidRDefault="00784887" w:rsidP="00784887">
      <w:pPr>
        <w:spacing w:line="360" w:lineRule="auto"/>
        <w:rPr>
          <w:sz w:val="24"/>
          <w:szCs w:val="24"/>
        </w:rPr>
      </w:pPr>
    </w:p>
    <w:p w:rsidR="00784887" w:rsidRPr="002B11BA" w:rsidRDefault="00784887" w:rsidP="00784887">
      <w:pPr>
        <w:tabs>
          <w:tab w:val="left" w:pos="1530"/>
        </w:tabs>
        <w:spacing w:line="360" w:lineRule="auto"/>
        <w:rPr>
          <w:sz w:val="24"/>
        </w:rPr>
      </w:pPr>
      <w:r w:rsidRPr="002B11BA">
        <w:rPr>
          <w:i/>
          <w:sz w:val="24"/>
        </w:rPr>
        <w:t>Weighting control factor</w:t>
      </w:r>
      <w:r w:rsidRPr="002B11BA">
        <w:rPr>
          <w:sz w:val="24"/>
        </w:rPr>
        <w:t>. This adjusts for subsampling in the field. Subsampling occurs when a data collector visits a particular address and discovers multiple housing units where only one housing unit was expected.</w:t>
      </w:r>
    </w:p>
    <w:p w:rsidR="00784887" w:rsidRDefault="00784887" w:rsidP="00784887">
      <w:pPr>
        <w:tabs>
          <w:tab w:val="left" w:pos="1530"/>
        </w:tabs>
        <w:spacing w:line="360" w:lineRule="auto"/>
        <w:rPr>
          <w:sz w:val="24"/>
        </w:rPr>
      </w:pPr>
      <w:proofErr w:type="spellStart"/>
      <w:r w:rsidRPr="002B11BA">
        <w:rPr>
          <w:i/>
          <w:sz w:val="24"/>
        </w:rPr>
        <w:t>Noninterview</w:t>
      </w:r>
      <w:proofErr w:type="spellEnd"/>
      <w:r w:rsidRPr="002B11BA">
        <w:rPr>
          <w:i/>
          <w:sz w:val="24"/>
        </w:rPr>
        <w:t xml:space="preserve"> adjustment factor</w:t>
      </w:r>
      <w:r w:rsidRPr="002B11BA">
        <w:rPr>
          <w:sz w:val="24"/>
        </w:rPr>
        <w:t xml:space="preserve">. This adjusts for interviews that cannot be conducted in occupied housing units due to a consumer unit’s refusal to participate in the survey or the inability to contact anyone at the housing unit in spite of repeated attempts. This adjustment is based on region of the country, consumer unit size, </w:t>
      </w:r>
      <w:r>
        <w:rPr>
          <w:sz w:val="24"/>
        </w:rPr>
        <w:t xml:space="preserve">number of contact </w:t>
      </w:r>
      <w:r>
        <w:rPr>
          <w:sz w:val="24"/>
        </w:rPr>
        <w:lastRenderedPageBreak/>
        <w:t>attempts, and the average adjusted gross income in the consumer unit’s zip code according to a publicly available database from the Internal Revenue Service.</w:t>
      </w:r>
    </w:p>
    <w:p w:rsidR="00784887" w:rsidRPr="002B11BA" w:rsidRDefault="00784887" w:rsidP="00784887">
      <w:pPr>
        <w:tabs>
          <w:tab w:val="left" w:pos="1530"/>
        </w:tabs>
        <w:spacing w:line="360" w:lineRule="auto"/>
        <w:rPr>
          <w:sz w:val="24"/>
          <w:szCs w:val="24"/>
        </w:rPr>
      </w:pPr>
      <w:r w:rsidRPr="002B11BA">
        <w:rPr>
          <w:i/>
          <w:sz w:val="24"/>
          <w:szCs w:val="24"/>
        </w:rPr>
        <w:t>Calibration factor</w:t>
      </w:r>
      <w:r w:rsidRPr="002B11BA">
        <w:rPr>
          <w:sz w:val="24"/>
          <w:szCs w:val="24"/>
        </w:rPr>
        <w:t xml:space="preserve">. This adjusts the weights to 24 “known” population counts to account for frame </w:t>
      </w:r>
      <w:proofErr w:type="spellStart"/>
      <w:r w:rsidRPr="002B11BA">
        <w:rPr>
          <w:sz w:val="24"/>
          <w:szCs w:val="24"/>
        </w:rPr>
        <w:t>undercoverage</w:t>
      </w:r>
      <w:proofErr w:type="spellEnd"/>
      <w:r w:rsidRPr="002B11BA">
        <w:rPr>
          <w:sz w:val="24"/>
          <w:szCs w:val="24"/>
        </w:rPr>
        <w:t xml:space="preserve">. These known population counts are for age, race, household tenure (owner or renter), region of the country, and urban or rural. The population counts are updated quarterly using the Current Population Survey estimates. Each consumer unit is given its own unique calibration factor. There are infinitely many sets of calibration factors that </w:t>
      </w:r>
      <w:r>
        <w:rPr>
          <w:sz w:val="24"/>
          <w:szCs w:val="24"/>
        </w:rPr>
        <w:t xml:space="preserve">can </w:t>
      </w:r>
      <w:r w:rsidRPr="002B11BA">
        <w:rPr>
          <w:sz w:val="24"/>
          <w:szCs w:val="24"/>
        </w:rPr>
        <w:t xml:space="preserve">make the weights add up to the 24 known population counts, and the CE uses nonlinear programming to select the set that minimizes the amount of change made to the “initial weights” (initial weight = base weight </w:t>
      </w:r>
      <w:r w:rsidRPr="002B11BA">
        <w:rPr>
          <w:sz w:val="24"/>
          <w:szCs w:val="24"/>
        </w:rPr>
        <w:sym w:font="Symbol" w:char="F0B4"/>
      </w:r>
      <w:r w:rsidRPr="002B11BA">
        <w:rPr>
          <w:sz w:val="24"/>
          <w:szCs w:val="24"/>
        </w:rPr>
        <w:t xml:space="preserve"> weighting control factor </w:t>
      </w:r>
      <w:r w:rsidRPr="002B11BA">
        <w:rPr>
          <w:sz w:val="24"/>
          <w:szCs w:val="24"/>
        </w:rPr>
        <w:sym w:font="Symbol" w:char="F0B4"/>
      </w:r>
      <w:r w:rsidRPr="002B11BA">
        <w:rPr>
          <w:sz w:val="24"/>
          <w:szCs w:val="24"/>
        </w:rPr>
        <w:t xml:space="preserve"> </w:t>
      </w:r>
      <w:proofErr w:type="spellStart"/>
      <w:r w:rsidRPr="002B11BA">
        <w:rPr>
          <w:sz w:val="24"/>
          <w:szCs w:val="24"/>
        </w:rPr>
        <w:t>noninterview</w:t>
      </w:r>
      <w:proofErr w:type="spellEnd"/>
      <w:r w:rsidRPr="002B11BA">
        <w:rPr>
          <w:sz w:val="24"/>
          <w:szCs w:val="24"/>
        </w:rPr>
        <w:t xml:space="preserve"> adjustment factor).</w:t>
      </w:r>
    </w:p>
    <w:p w:rsidR="00784887" w:rsidRDefault="00784887" w:rsidP="00784887">
      <w:pPr>
        <w:spacing w:line="360" w:lineRule="auto"/>
        <w:rPr>
          <w:sz w:val="24"/>
        </w:rPr>
      </w:pPr>
      <w:r>
        <w:rPr>
          <w:sz w:val="24"/>
        </w:rPr>
        <w:tab/>
        <w:t>After adjusting the base weights by these factors</w:t>
      </w:r>
      <w:r w:rsidR="004B3251">
        <w:rPr>
          <w:sz w:val="24"/>
        </w:rPr>
        <w:t>,</w:t>
      </w:r>
      <w:r>
        <w:rPr>
          <w:sz w:val="24"/>
        </w:rPr>
        <w:t xml:space="preserve"> the </w:t>
      </w:r>
      <w:r w:rsidRPr="007000ED">
        <w:rPr>
          <w:i/>
          <w:sz w:val="24"/>
        </w:rPr>
        <w:t>final weights</w:t>
      </w:r>
      <w:r>
        <w:rPr>
          <w:sz w:val="24"/>
        </w:rPr>
        <w:t xml:space="preserve"> are typically around 17,000, which means an interviewed consumer unit represents 17,000 consumer units in the U.S. civilian noninstitutional population</w:t>
      </w:r>
      <w:r w:rsidRPr="002B11BA">
        <w:rPr>
          <w:sz w:val="24"/>
          <w:szCs w:val="24"/>
        </w:rPr>
        <w:t xml:space="preserve">―itself plus </w:t>
      </w:r>
      <w:r>
        <w:rPr>
          <w:sz w:val="24"/>
          <w:szCs w:val="24"/>
        </w:rPr>
        <w:t>16</w:t>
      </w:r>
      <w:r w:rsidRPr="002B11BA">
        <w:rPr>
          <w:sz w:val="24"/>
          <w:szCs w:val="24"/>
        </w:rPr>
        <w:t xml:space="preserve">,999 other consumer units that </w:t>
      </w:r>
      <w:r>
        <w:rPr>
          <w:sz w:val="24"/>
          <w:szCs w:val="24"/>
        </w:rPr>
        <w:t>did not participate in the survey.</w:t>
      </w:r>
    </w:p>
    <w:p w:rsidR="00784887" w:rsidRPr="002B11BA" w:rsidRDefault="00784887" w:rsidP="00784887">
      <w:pPr>
        <w:pStyle w:val="Heading1"/>
        <w:spacing w:line="360" w:lineRule="auto"/>
        <w:jc w:val="left"/>
        <w:rPr>
          <w:rFonts w:ascii="Times New Roman" w:hAnsi="Times New Roman"/>
          <w:b/>
          <w:sz w:val="24"/>
        </w:rPr>
      </w:pPr>
      <w:r>
        <w:rPr>
          <w:rFonts w:ascii="Times New Roman" w:hAnsi="Times New Roman"/>
          <w:b/>
          <w:sz w:val="24"/>
        </w:rPr>
        <w:t>Calculation precision</w:t>
      </w:r>
    </w:p>
    <w:p w:rsidR="00784887" w:rsidRPr="002B11BA" w:rsidRDefault="006A351F" w:rsidP="00784887">
      <w:pPr>
        <w:tabs>
          <w:tab w:val="left" w:pos="1530"/>
        </w:tabs>
        <w:spacing w:line="360" w:lineRule="auto"/>
        <w:rPr>
          <w:sz w:val="24"/>
        </w:rPr>
      </w:pPr>
      <w:r>
        <w:rPr>
          <w:sz w:val="24"/>
        </w:rPr>
        <w:tab/>
      </w:r>
      <w:r w:rsidR="00784887" w:rsidRPr="002B11BA">
        <w:rPr>
          <w:sz w:val="24"/>
        </w:rPr>
        <w:t xml:space="preserve">The precision of the estimator </w:t>
      </w:r>
      <w:r w:rsidR="00784887" w:rsidRPr="002B11BA">
        <w:rPr>
          <w:position w:val="-10"/>
          <w:sz w:val="24"/>
        </w:rPr>
        <w:object w:dxaOrig="200" w:dyaOrig="279" w14:anchorId="75789D24">
          <v:shape id="_x0000_i1029" type="#_x0000_t75" style="width:14.25pt;height:14.25pt" o:ole="" fillcolor="window">
            <v:imagedata r:id="rId25" o:title=""/>
          </v:shape>
          <o:OLEObject Type="Embed" ProgID="Equation.3" ShapeID="_x0000_i1029" DrawAspect="Content" ObjectID="_1509521964" r:id="rId26"/>
        </w:object>
      </w:r>
      <w:r w:rsidR="00784887" w:rsidRPr="002B11BA">
        <w:rPr>
          <w:sz w:val="24"/>
        </w:rPr>
        <w:t xml:space="preserve"> is measured by its standard error. Standard errors measure the sampling variability of the CE estimates. That is, standard errors measure the uncertainty in the survey estimates caused by the fact that a random sample of consumer units from across the United States is used instead of every consumer unit in the nation.</w:t>
      </w:r>
    </w:p>
    <w:p w:rsidR="00784887" w:rsidRPr="002B11BA" w:rsidRDefault="00784887" w:rsidP="00784887">
      <w:pPr>
        <w:tabs>
          <w:tab w:val="left" w:pos="1530"/>
        </w:tabs>
        <w:spacing w:line="360" w:lineRule="auto"/>
        <w:ind w:firstLine="720"/>
        <w:rPr>
          <w:sz w:val="24"/>
          <w:szCs w:val="24"/>
        </w:rPr>
      </w:pPr>
      <w:r w:rsidRPr="002B11BA">
        <w:rPr>
          <w:sz w:val="24"/>
          <w:szCs w:val="24"/>
        </w:rPr>
        <w:t>The CE’s standard errors are estimated using the method of “balanced repeated replication.” In this method</w:t>
      </w:r>
      <w:r w:rsidR="004B3251">
        <w:rPr>
          <w:sz w:val="24"/>
          <w:szCs w:val="24"/>
        </w:rPr>
        <w:t>,</w:t>
      </w:r>
      <w:r w:rsidRPr="002B11BA">
        <w:rPr>
          <w:sz w:val="24"/>
          <w:szCs w:val="24"/>
        </w:rPr>
        <w:t xml:space="preserve"> the sampled PSUs are divided into 43 groups (called </w:t>
      </w:r>
      <w:r w:rsidRPr="002B11BA">
        <w:rPr>
          <w:i/>
          <w:sz w:val="24"/>
          <w:szCs w:val="24"/>
        </w:rPr>
        <w:t>strata</w:t>
      </w:r>
      <w:r w:rsidRPr="002B11BA">
        <w:rPr>
          <w:sz w:val="24"/>
          <w:szCs w:val="24"/>
        </w:rPr>
        <w:t xml:space="preserve">), and the consumer units within each stratum are randomly divided into two </w:t>
      </w:r>
      <w:r w:rsidRPr="002B11BA">
        <w:rPr>
          <w:i/>
          <w:sz w:val="24"/>
          <w:szCs w:val="24"/>
        </w:rPr>
        <w:t>half samples</w:t>
      </w:r>
      <w:r w:rsidRPr="002B11BA">
        <w:rPr>
          <w:sz w:val="24"/>
          <w:szCs w:val="24"/>
        </w:rPr>
        <w:t xml:space="preserve">. Half of the consumer units are assigned to one half sample, and the other half are assigned to the other half sample. Then 44 different estimates of </w:t>
      </w:r>
      <w:r w:rsidRPr="002B11BA">
        <w:rPr>
          <w:position w:val="-10"/>
          <w:sz w:val="24"/>
          <w:szCs w:val="24"/>
        </w:rPr>
        <w:object w:dxaOrig="200" w:dyaOrig="279" w14:anchorId="2F317626">
          <v:shape id="_x0000_i1030" type="#_x0000_t75" style="width:14.25pt;height:14.25pt" o:ole="" fillcolor="window">
            <v:imagedata r:id="rId25" o:title=""/>
          </v:shape>
          <o:OLEObject Type="Embed" ProgID="Equation.3" ShapeID="_x0000_i1030" DrawAspect="Content" ObjectID="_1509521965" r:id="rId27"/>
        </w:object>
      </w:r>
      <w:r w:rsidRPr="002B11BA">
        <w:rPr>
          <w:sz w:val="24"/>
          <w:szCs w:val="24"/>
        </w:rPr>
        <w:t xml:space="preserve"> are created using data from only one half sample per stratum. There are many combinations of half samples that can be used to create these replicate estimates, and the CE uses 44 of them that are created in a “balanced” way with a 44</w:t>
      </w:r>
      <w:r w:rsidRPr="002B11BA">
        <w:rPr>
          <w:sz w:val="24"/>
          <w:szCs w:val="24"/>
        </w:rPr>
        <w:sym w:font="Symbol" w:char="F0B4"/>
      </w:r>
      <w:r w:rsidRPr="002B11BA">
        <w:rPr>
          <w:sz w:val="24"/>
          <w:szCs w:val="24"/>
        </w:rPr>
        <w:t xml:space="preserve">44 </w:t>
      </w:r>
      <w:proofErr w:type="spellStart"/>
      <w:r w:rsidRPr="002B11BA">
        <w:rPr>
          <w:sz w:val="24"/>
          <w:szCs w:val="24"/>
        </w:rPr>
        <w:t>Hadamard</w:t>
      </w:r>
      <w:proofErr w:type="spellEnd"/>
      <w:r w:rsidRPr="002B11BA">
        <w:rPr>
          <w:sz w:val="24"/>
          <w:szCs w:val="24"/>
        </w:rPr>
        <w:t xml:space="preserve"> matrix.  The standard error of </w:t>
      </w:r>
      <w:r w:rsidRPr="002B11BA">
        <w:rPr>
          <w:position w:val="-8"/>
          <w:sz w:val="24"/>
          <w:szCs w:val="24"/>
        </w:rPr>
        <w:object w:dxaOrig="180" w:dyaOrig="260" w14:anchorId="178E6440">
          <v:shape id="_x0000_i1031" type="#_x0000_t75" style="width:7.5pt;height:14.25pt" o:ole="" fillcolor="window">
            <v:imagedata r:id="rId28" o:title=""/>
          </v:shape>
          <o:OLEObject Type="Embed" ProgID="Equation.3" ShapeID="_x0000_i1031" DrawAspect="Content" ObjectID="_1509521966" r:id="rId29"/>
        </w:object>
      </w:r>
      <w:r w:rsidRPr="002B11BA">
        <w:rPr>
          <w:sz w:val="24"/>
          <w:szCs w:val="24"/>
        </w:rPr>
        <w:t xml:space="preserve"> is then estimated by:</w:t>
      </w:r>
    </w:p>
    <w:p w:rsidR="00784887" w:rsidRPr="002B11BA" w:rsidRDefault="00784887" w:rsidP="00784887">
      <w:pPr>
        <w:spacing w:line="360" w:lineRule="auto"/>
        <w:jc w:val="center"/>
        <w:rPr>
          <w:sz w:val="24"/>
        </w:rPr>
      </w:pPr>
      <w:r w:rsidRPr="002B11BA">
        <w:rPr>
          <w:position w:val="-32"/>
          <w:sz w:val="24"/>
        </w:rPr>
        <w:object w:dxaOrig="2020" w:dyaOrig="760" w14:anchorId="4CA8B9ED">
          <v:shape id="_x0000_i1032" type="#_x0000_t75" style="width:136.5pt;height:50.25pt" o:ole="" fillcolor="window">
            <v:imagedata r:id="rId30" o:title=""/>
          </v:shape>
          <o:OLEObject Type="Embed" ProgID="Equation.3" ShapeID="_x0000_i1032" DrawAspect="Content" ObjectID="_1509521967" r:id="rId31"/>
        </w:object>
      </w:r>
    </w:p>
    <w:p w:rsidR="00784887" w:rsidRDefault="00784887" w:rsidP="00784887">
      <w:pPr>
        <w:spacing w:line="360" w:lineRule="auto"/>
        <w:rPr>
          <w:sz w:val="24"/>
        </w:rPr>
      </w:pPr>
      <w:r w:rsidRPr="002B11BA">
        <w:rPr>
          <w:sz w:val="24"/>
        </w:rPr>
        <w:t>where</w:t>
      </w:r>
    </w:p>
    <w:p w:rsidR="00784887" w:rsidRPr="002B11BA" w:rsidRDefault="00784887" w:rsidP="00784887">
      <w:pPr>
        <w:spacing w:line="360" w:lineRule="auto"/>
        <w:rPr>
          <w:sz w:val="24"/>
        </w:rPr>
      </w:pPr>
      <w:r w:rsidRPr="002B11BA">
        <w:rPr>
          <w:position w:val="-10"/>
          <w:sz w:val="24"/>
        </w:rPr>
        <w:object w:dxaOrig="240" w:dyaOrig="279" w14:anchorId="7FF1884B">
          <v:shape id="_x0000_i1033" type="#_x0000_t75" style="width:14.25pt;height:14.25pt" o:ole="" fillcolor="window">
            <v:imagedata r:id="rId32" o:title=""/>
          </v:shape>
          <o:OLEObject Type="Embed" ProgID="Equation.3" ShapeID="_x0000_i1033" DrawAspect="Content" ObjectID="_1509521968" r:id="rId33"/>
        </w:object>
      </w:r>
      <w:r w:rsidRPr="002B11BA">
        <w:rPr>
          <w:sz w:val="24"/>
        </w:rPr>
        <w:t xml:space="preserve"> </w:t>
      </w:r>
      <w:proofErr w:type="gramStart"/>
      <w:r w:rsidRPr="002B11BA">
        <w:rPr>
          <w:sz w:val="24"/>
        </w:rPr>
        <w:t>is</w:t>
      </w:r>
      <w:proofErr w:type="gramEnd"/>
      <w:r w:rsidRPr="002B11BA">
        <w:rPr>
          <w:sz w:val="24"/>
        </w:rPr>
        <w:t xml:space="preserve"> the </w:t>
      </w:r>
      <w:r w:rsidRPr="002B11BA">
        <w:rPr>
          <w:i/>
          <w:sz w:val="24"/>
        </w:rPr>
        <w:t xml:space="preserve">r </w:t>
      </w:r>
      <w:proofErr w:type="spellStart"/>
      <w:r w:rsidRPr="002B11BA">
        <w:rPr>
          <w:i/>
          <w:sz w:val="24"/>
          <w:vertAlign w:val="superscript"/>
        </w:rPr>
        <w:t>th</w:t>
      </w:r>
      <w:proofErr w:type="spellEnd"/>
      <w:r w:rsidRPr="002B11BA">
        <w:rPr>
          <w:sz w:val="24"/>
        </w:rPr>
        <w:t xml:space="preserve"> replicate estimate of </w:t>
      </w:r>
      <w:r w:rsidRPr="002B11BA">
        <w:rPr>
          <w:position w:val="-8"/>
          <w:sz w:val="24"/>
        </w:rPr>
        <w:object w:dxaOrig="180" w:dyaOrig="260" w14:anchorId="7006A539">
          <v:shape id="_x0000_i1034" type="#_x0000_t75" style="width:7.5pt;height:14.25pt" o:ole="" fillcolor="window">
            <v:imagedata r:id="rId34" o:title=""/>
          </v:shape>
          <o:OLEObject Type="Embed" ProgID="Equation.3" ShapeID="_x0000_i1034" DrawAspect="Content" ObjectID="_1509521969" r:id="rId35"/>
        </w:object>
      </w:r>
      <w:r w:rsidRPr="002B11BA">
        <w:rPr>
          <w:sz w:val="24"/>
        </w:rPr>
        <w:t>.</w:t>
      </w:r>
    </w:p>
    <w:p w:rsidR="00784887" w:rsidRPr="002B11BA" w:rsidRDefault="00784887" w:rsidP="00784887">
      <w:pPr>
        <w:tabs>
          <w:tab w:val="left" w:pos="1530"/>
        </w:tabs>
        <w:spacing w:line="360" w:lineRule="auto"/>
        <w:rPr>
          <w:sz w:val="24"/>
        </w:rPr>
      </w:pPr>
    </w:p>
    <w:p w:rsidR="00784887" w:rsidRPr="002B11BA" w:rsidRDefault="00784887" w:rsidP="00784887">
      <w:pPr>
        <w:tabs>
          <w:tab w:val="left" w:pos="1530"/>
        </w:tabs>
        <w:spacing w:line="360" w:lineRule="auto"/>
        <w:rPr>
          <w:sz w:val="24"/>
        </w:rPr>
      </w:pPr>
      <w:r w:rsidRPr="002B11BA">
        <w:rPr>
          <w:sz w:val="24"/>
        </w:rPr>
        <w:t>The coefficient of variation is a related measure of sampling variability that measures the variability of the survey estimate relative to the mean. It is defined by the equation:</w:t>
      </w:r>
    </w:p>
    <w:p w:rsidR="00784887" w:rsidRPr="002B11BA" w:rsidRDefault="00784887" w:rsidP="00784887">
      <w:pPr>
        <w:spacing w:line="360" w:lineRule="auto"/>
        <w:jc w:val="center"/>
        <w:rPr>
          <w:sz w:val="24"/>
        </w:rPr>
      </w:pPr>
      <w:r w:rsidRPr="002B11BA">
        <w:rPr>
          <w:position w:val="-24"/>
          <w:sz w:val="24"/>
        </w:rPr>
        <w:object w:dxaOrig="1780" w:dyaOrig="540" w14:anchorId="49FD5ED6">
          <v:shape id="_x0000_i1035" type="#_x0000_t75" style="width:2in;height:43.5pt" o:ole="" fillcolor="window">
            <v:imagedata r:id="rId36" o:title=""/>
          </v:shape>
          <o:OLEObject Type="Embed" ProgID="Equation.3" ShapeID="_x0000_i1035" DrawAspect="Content" ObjectID="_1509521970" r:id="rId37"/>
        </w:object>
      </w:r>
      <w:r w:rsidRPr="002B11BA">
        <w:rPr>
          <w:position w:val="-24"/>
          <w:sz w:val="24"/>
        </w:rPr>
        <w:t xml:space="preserve"> .</w:t>
      </w:r>
    </w:p>
    <w:p w:rsidR="00784887" w:rsidRPr="002B11BA" w:rsidRDefault="00784887" w:rsidP="00784887">
      <w:pPr>
        <w:spacing w:line="360" w:lineRule="auto"/>
        <w:rPr>
          <w:sz w:val="24"/>
        </w:rPr>
      </w:pPr>
    </w:p>
    <w:p w:rsidR="00784887" w:rsidRPr="002B11BA" w:rsidRDefault="00784887" w:rsidP="00784887">
      <w:pPr>
        <w:pStyle w:val="Heading2"/>
        <w:spacing w:line="360" w:lineRule="auto"/>
        <w:ind w:left="900"/>
        <w:rPr>
          <w:rFonts w:ascii="Times New Roman" w:hAnsi="Times New Roman"/>
          <w:sz w:val="24"/>
        </w:rPr>
      </w:pPr>
      <w:r w:rsidRPr="002B11BA">
        <w:rPr>
          <w:rFonts w:ascii="Times New Roman" w:hAnsi="Times New Roman"/>
          <w:b w:val="0"/>
          <w:sz w:val="24"/>
        </w:rPr>
        <w:t xml:space="preserve">Table </w:t>
      </w:r>
      <w:r w:rsidR="00B924F3">
        <w:rPr>
          <w:rFonts w:ascii="Times New Roman" w:hAnsi="Times New Roman"/>
          <w:b w:val="0"/>
          <w:sz w:val="24"/>
        </w:rPr>
        <w:t>3</w:t>
      </w:r>
      <w:r w:rsidRPr="002B11BA">
        <w:rPr>
          <w:rFonts w:ascii="Times New Roman" w:hAnsi="Times New Roman"/>
          <w:b w:val="0"/>
          <w:sz w:val="24"/>
        </w:rPr>
        <w:t>.</w:t>
      </w:r>
      <w:r w:rsidRPr="002B11BA">
        <w:rPr>
          <w:rFonts w:ascii="Times New Roman" w:hAnsi="Times New Roman"/>
          <w:sz w:val="24"/>
        </w:rPr>
        <w:t xml:space="preserve"> Precision of the Consumer Expenditure Survey expenditure estimates, integrated Diary and Interview Survey data, 201</w:t>
      </w:r>
      <w:r>
        <w:rPr>
          <w:rFonts w:ascii="Times New Roman" w:hAnsi="Times New Roman"/>
          <w:sz w:val="24"/>
        </w:rPr>
        <w:t>3</w:t>
      </w:r>
    </w:p>
    <w:p w:rsidR="00784887" w:rsidRPr="002B11BA" w:rsidRDefault="00784887" w:rsidP="00784887">
      <w:pPr>
        <w:spacing w:line="360" w:lineRule="auto"/>
        <w:rPr>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60"/>
        <w:gridCol w:w="1170"/>
        <w:gridCol w:w="537"/>
        <w:gridCol w:w="1085"/>
        <w:gridCol w:w="450"/>
        <w:gridCol w:w="1168"/>
        <w:gridCol w:w="452"/>
      </w:tblGrid>
      <w:tr w:rsidR="00784887" w:rsidRPr="002B11BA" w:rsidTr="002D6457">
        <w:trPr>
          <w:jc w:val="center"/>
        </w:trPr>
        <w:tc>
          <w:tcPr>
            <w:tcW w:w="2160" w:type="dxa"/>
            <w:tcBorders>
              <w:top w:val="nil"/>
              <w:left w:val="nil"/>
              <w:bottom w:val="single" w:sz="4" w:space="0" w:color="auto"/>
            </w:tcBorders>
          </w:tcPr>
          <w:p w:rsidR="00784887" w:rsidRPr="002B11BA" w:rsidRDefault="00784887" w:rsidP="002D6457">
            <w:pPr>
              <w:jc w:val="center"/>
              <w:rPr>
                <w:b/>
                <w:sz w:val="24"/>
              </w:rPr>
            </w:pPr>
            <w:r w:rsidRPr="002B11BA">
              <w:rPr>
                <w:b/>
                <w:sz w:val="24"/>
              </w:rPr>
              <w:t>Item</w:t>
            </w:r>
          </w:p>
          <w:p w:rsidR="00784887" w:rsidRPr="002B11BA" w:rsidRDefault="00784887" w:rsidP="002D6457">
            <w:pPr>
              <w:jc w:val="center"/>
              <w:rPr>
                <w:b/>
                <w:sz w:val="24"/>
              </w:rPr>
            </w:pPr>
            <w:r w:rsidRPr="002B11BA">
              <w:rPr>
                <w:b/>
                <w:sz w:val="24"/>
              </w:rPr>
              <w:t>category</w:t>
            </w:r>
          </w:p>
        </w:tc>
        <w:tc>
          <w:tcPr>
            <w:tcW w:w="1707" w:type="dxa"/>
            <w:gridSpan w:val="2"/>
            <w:tcBorders>
              <w:top w:val="nil"/>
              <w:bottom w:val="single" w:sz="4" w:space="0" w:color="auto"/>
            </w:tcBorders>
          </w:tcPr>
          <w:p w:rsidR="00784887" w:rsidRPr="002B11BA" w:rsidRDefault="00784887" w:rsidP="002D6457">
            <w:pPr>
              <w:pStyle w:val="BodyText"/>
              <w:rPr>
                <w:rFonts w:ascii="Times New Roman" w:hAnsi="Times New Roman"/>
                <w:b/>
                <w:sz w:val="24"/>
              </w:rPr>
            </w:pPr>
            <w:r w:rsidRPr="002B11BA">
              <w:rPr>
                <w:rFonts w:ascii="Times New Roman" w:hAnsi="Times New Roman"/>
                <w:b/>
                <w:sz w:val="24"/>
              </w:rPr>
              <w:t>Average annual expenditure</w:t>
            </w:r>
          </w:p>
          <w:p w:rsidR="00784887" w:rsidRPr="002B11BA" w:rsidRDefault="00784887" w:rsidP="002D6457">
            <w:pPr>
              <w:jc w:val="center"/>
              <w:rPr>
                <w:b/>
                <w:sz w:val="24"/>
              </w:rPr>
            </w:pPr>
            <w:r w:rsidRPr="002B11BA">
              <w:rPr>
                <w:b/>
                <w:sz w:val="24"/>
              </w:rPr>
              <w:t xml:space="preserve">per consumer unit, </w:t>
            </w:r>
            <w:r w:rsidRPr="002B11BA">
              <w:rPr>
                <w:b/>
                <w:position w:val="-8"/>
                <w:sz w:val="24"/>
              </w:rPr>
              <w:object w:dxaOrig="180" w:dyaOrig="260" w14:anchorId="182C1D93">
                <v:shape id="_x0000_i1036" type="#_x0000_t75" style="width:7.5pt;height:14.25pt" o:ole="" fillcolor="window">
                  <v:imagedata r:id="rId38" o:title=""/>
                </v:shape>
                <o:OLEObject Type="Embed" ProgID="Equation.3" ShapeID="_x0000_i1036" DrawAspect="Content" ObjectID="_1509521971" r:id="rId39"/>
              </w:object>
            </w:r>
          </w:p>
        </w:tc>
        <w:tc>
          <w:tcPr>
            <w:tcW w:w="1535" w:type="dxa"/>
            <w:gridSpan w:val="2"/>
            <w:tcBorders>
              <w:top w:val="nil"/>
              <w:bottom w:val="single" w:sz="4" w:space="0" w:color="auto"/>
            </w:tcBorders>
          </w:tcPr>
          <w:p w:rsidR="00784887" w:rsidRPr="002B11BA" w:rsidRDefault="00784887" w:rsidP="002D6457">
            <w:pPr>
              <w:jc w:val="center"/>
              <w:rPr>
                <w:b/>
                <w:sz w:val="24"/>
              </w:rPr>
            </w:pPr>
            <w:r w:rsidRPr="002B11BA">
              <w:rPr>
                <w:b/>
                <w:sz w:val="24"/>
              </w:rPr>
              <w:t>Standard error, SE(</w:t>
            </w:r>
            <w:r w:rsidRPr="002B11BA">
              <w:rPr>
                <w:b/>
                <w:position w:val="-8"/>
                <w:sz w:val="24"/>
              </w:rPr>
              <w:object w:dxaOrig="180" w:dyaOrig="260" w14:anchorId="6F773E1B">
                <v:shape id="_x0000_i1037" type="#_x0000_t75" style="width:7.5pt;height:14.25pt" o:ole="" fillcolor="window">
                  <v:imagedata r:id="rId40" o:title=""/>
                </v:shape>
                <o:OLEObject Type="Embed" ProgID="Equation.3" ShapeID="_x0000_i1037" DrawAspect="Content" ObjectID="_1509521972" r:id="rId41"/>
              </w:object>
            </w:r>
            <w:r w:rsidRPr="002B11BA">
              <w:rPr>
                <w:b/>
                <w:sz w:val="24"/>
              </w:rPr>
              <w:t>)</w:t>
            </w:r>
          </w:p>
        </w:tc>
        <w:tc>
          <w:tcPr>
            <w:tcW w:w="1620" w:type="dxa"/>
            <w:gridSpan w:val="2"/>
            <w:tcBorders>
              <w:top w:val="nil"/>
              <w:bottom w:val="single" w:sz="4" w:space="0" w:color="auto"/>
              <w:right w:val="nil"/>
            </w:tcBorders>
          </w:tcPr>
          <w:p w:rsidR="00784887" w:rsidRPr="002B11BA" w:rsidRDefault="00784887" w:rsidP="002D6457">
            <w:pPr>
              <w:jc w:val="center"/>
              <w:rPr>
                <w:b/>
                <w:sz w:val="24"/>
              </w:rPr>
            </w:pPr>
            <w:r w:rsidRPr="002B11BA">
              <w:rPr>
                <w:b/>
                <w:sz w:val="24"/>
              </w:rPr>
              <w:t>Coefficient of</w:t>
            </w:r>
          </w:p>
          <w:p w:rsidR="00784887" w:rsidRPr="002B11BA" w:rsidRDefault="00784887" w:rsidP="002D6457">
            <w:pPr>
              <w:jc w:val="center"/>
              <w:rPr>
                <w:b/>
                <w:sz w:val="24"/>
              </w:rPr>
            </w:pPr>
            <w:r w:rsidRPr="002B11BA">
              <w:rPr>
                <w:b/>
                <w:sz w:val="24"/>
              </w:rPr>
              <w:t>variation, CV(</w:t>
            </w:r>
            <w:r w:rsidRPr="002B11BA">
              <w:rPr>
                <w:b/>
                <w:position w:val="-8"/>
                <w:sz w:val="24"/>
              </w:rPr>
              <w:object w:dxaOrig="180" w:dyaOrig="260" w14:anchorId="4C968A5E">
                <v:shape id="_x0000_i1038" type="#_x0000_t75" style="width:7.5pt;height:14.25pt" o:ole="" fillcolor="window">
                  <v:imagedata r:id="rId42" o:title=""/>
                </v:shape>
                <o:OLEObject Type="Embed" ProgID="Equation.3" ShapeID="_x0000_i1038" DrawAspect="Content" ObjectID="_1509521973" r:id="rId43"/>
              </w:object>
            </w:r>
            <w:r w:rsidRPr="002B11BA">
              <w:rPr>
                <w:b/>
                <w:sz w:val="24"/>
              </w:rPr>
              <w:t>)</w:t>
            </w:r>
          </w:p>
          <w:p w:rsidR="00784887" w:rsidRPr="002B11BA" w:rsidRDefault="00784887" w:rsidP="002D6457">
            <w:pPr>
              <w:jc w:val="center"/>
              <w:rPr>
                <w:b/>
                <w:sz w:val="24"/>
              </w:rPr>
            </w:pPr>
            <w:r w:rsidRPr="002B11BA">
              <w:rPr>
                <w:b/>
                <w:sz w:val="24"/>
              </w:rPr>
              <w:t>(in percent)</w:t>
            </w:r>
          </w:p>
        </w:tc>
      </w:tr>
      <w:tr w:rsidR="00784887" w:rsidRPr="002B11BA" w:rsidTr="002D6457">
        <w:trPr>
          <w:jc w:val="center"/>
        </w:trPr>
        <w:tc>
          <w:tcPr>
            <w:tcW w:w="2160" w:type="dxa"/>
            <w:tcBorders>
              <w:top w:val="single" w:sz="4" w:space="0" w:color="auto"/>
              <w:left w:val="nil"/>
              <w:bottom w:val="nil"/>
            </w:tcBorders>
          </w:tcPr>
          <w:p w:rsidR="00784887" w:rsidRPr="002B11BA" w:rsidRDefault="00784887" w:rsidP="002D6457">
            <w:pPr>
              <w:rPr>
                <w:sz w:val="24"/>
              </w:rPr>
            </w:pPr>
            <w:r w:rsidRPr="002B11BA">
              <w:rPr>
                <w:sz w:val="24"/>
              </w:rPr>
              <w:t>Total expenditures</w:t>
            </w:r>
          </w:p>
        </w:tc>
        <w:tc>
          <w:tcPr>
            <w:tcW w:w="1170" w:type="dxa"/>
            <w:tcBorders>
              <w:top w:val="single" w:sz="4" w:space="0" w:color="auto"/>
              <w:bottom w:val="nil"/>
            </w:tcBorders>
          </w:tcPr>
          <w:p w:rsidR="00784887" w:rsidRPr="002B11BA" w:rsidRDefault="00784887" w:rsidP="002D6457">
            <w:pPr>
              <w:jc w:val="right"/>
              <w:rPr>
                <w:sz w:val="24"/>
              </w:rPr>
            </w:pPr>
            <w:r w:rsidRPr="002B11BA">
              <w:rPr>
                <w:sz w:val="24"/>
              </w:rPr>
              <w:t>$</w:t>
            </w:r>
            <w:r>
              <w:rPr>
                <w:sz w:val="24"/>
              </w:rPr>
              <w:t>51,100</w:t>
            </w:r>
          </w:p>
        </w:tc>
        <w:tc>
          <w:tcPr>
            <w:tcW w:w="537" w:type="dxa"/>
            <w:tcBorders>
              <w:top w:val="single" w:sz="4" w:space="0" w:color="auto"/>
              <w:bottom w:val="nil"/>
            </w:tcBorders>
          </w:tcPr>
          <w:p w:rsidR="00784887" w:rsidRPr="002B11BA" w:rsidRDefault="00784887" w:rsidP="002D6457">
            <w:pPr>
              <w:jc w:val="right"/>
              <w:rPr>
                <w:sz w:val="24"/>
              </w:rPr>
            </w:pPr>
          </w:p>
        </w:tc>
        <w:tc>
          <w:tcPr>
            <w:tcW w:w="1085" w:type="dxa"/>
            <w:tcBorders>
              <w:top w:val="single" w:sz="4" w:space="0" w:color="auto"/>
              <w:bottom w:val="nil"/>
            </w:tcBorders>
          </w:tcPr>
          <w:p w:rsidR="00784887" w:rsidRPr="002B11BA" w:rsidRDefault="00784887" w:rsidP="002D6457">
            <w:pPr>
              <w:jc w:val="right"/>
              <w:rPr>
                <w:sz w:val="24"/>
              </w:rPr>
            </w:pPr>
            <w:r w:rsidRPr="002B11BA">
              <w:rPr>
                <w:sz w:val="24"/>
              </w:rPr>
              <w:t>$</w:t>
            </w:r>
            <w:r>
              <w:rPr>
                <w:sz w:val="24"/>
              </w:rPr>
              <w:t>520</w:t>
            </w:r>
          </w:p>
        </w:tc>
        <w:tc>
          <w:tcPr>
            <w:tcW w:w="450" w:type="dxa"/>
            <w:tcBorders>
              <w:top w:val="single" w:sz="4" w:space="0" w:color="auto"/>
              <w:bottom w:val="nil"/>
            </w:tcBorders>
          </w:tcPr>
          <w:p w:rsidR="00784887" w:rsidRPr="002B11BA" w:rsidRDefault="00784887" w:rsidP="002D6457">
            <w:pPr>
              <w:jc w:val="right"/>
              <w:rPr>
                <w:sz w:val="24"/>
              </w:rPr>
            </w:pPr>
          </w:p>
        </w:tc>
        <w:tc>
          <w:tcPr>
            <w:tcW w:w="1168" w:type="dxa"/>
            <w:tcBorders>
              <w:top w:val="single" w:sz="4" w:space="0" w:color="auto"/>
              <w:bottom w:val="nil"/>
            </w:tcBorders>
          </w:tcPr>
          <w:p w:rsidR="00784887" w:rsidRPr="002B11BA" w:rsidRDefault="00784887" w:rsidP="002D6457">
            <w:pPr>
              <w:jc w:val="right"/>
              <w:rPr>
                <w:sz w:val="24"/>
              </w:rPr>
            </w:pPr>
            <w:r>
              <w:rPr>
                <w:sz w:val="24"/>
              </w:rPr>
              <w:t>1.02</w:t>
            </w:r>
          </w:p>
        </w:tc>
        <w:tc>
          <w:tcPr>
            <w:tcW w:w="452" w:type="dxa"/>
            <w:tcBorders>
              <w:top w:val="single" w:sz="4" w:space="0" w:color="auto"/>
              <w:bottom w:val="nil"/>
              <w:right w:val="nil"/>
            </w:tcBorders>
          </w:tcPr>
          <w:p w:rsidR="00784887" w:rsidRPr="002B11BA" w:rsidRDefault="00784887" w:rsidP="002D6457">
            <w:pPr>
              <w:jc w:val="right"/>
              <w:rPr>
                <w:sz w:val="24"/>
              </w:rPr>
            </w:pPr>
          </w:p>
        </w:tc>
      </w:tr>
      <w:tr w:rsidR="00784887" w:rsidRPr="002B11BA" w:rsidTr="002D6457">
        <w:trPr>
          <w:jc w:val="center"/>
        </w:trPr>
        <w:tc>
          <w:tcPr>
            <w:tcW w:w="2160" w:type="dxa"/>
            <w:tcBorders>
              <w:top w:val="nil"/>
              <w:left w:val="nil"/>
            </w:tcBorders>
          </w:tcPr>
          <w:p w:rsidR="00784887" w:rsidRPr="002B11BA" w:rsidRDefault="00784887" w:rsidP="002D6457">
            <w:pPr>
              <w:tabs>
                <w:tab w:val="left" w:pos="1530"/>
              </w:tabs>
              <w:rPr>
                <w:sz w:val="24"/>
              </w:rPr>
            </w:pPr>
            <w:r w:rsidRPr="002B11BA">
              <w:rPr>
                <w:sz w:val="24"/>
              </w:rPr>
              <w:t xml:space="preserve"> Food</w:t>
            </w:r>
          </w:p>
        </w:tc>
        <w:tc>
          <w:tcPr>
            <w:tcW w:w="1170" w:type="dxa"/>
            <w:tcBorders>
              <w:top w:val="nil"/>
            </w:tcBorders>
          </w:tcPr>
          <w:p w:rsidR="00784887" w:rsidRPr="002B11BA" w:rsidRDefault="00784887" w:rsidP="002D6457">
            <w:pPr>
              <w:jc w:val="right"/>
              <w:rPr>
                <w:sz w:val="24"/>
              </w:rPr>
            </w:pPr>
            <w:r w:rsidRPr="002B11BA">
              <w:rPr>
                <w:sz w:val="24"/>
              </w:rPr>
              <w:t>6,</w:t>
            </w:r>
            <w:r>
              <w:rPr>
                <w:sz w:val="24"/>
              </w:rPr>
              <w:t>602</w:t>
            </w:r>
          </w:p>
        </w:tc>
        <w:tc>
          <w:tcPr>
            <w:tcW w:w="537" w:type="dxa"/>
            <w:tcBorders>
              <w:top w:val="nil"/>
            </w:tcBorders>
          </w:tcPr>
          <w:p w:rsidR="00784887" w:rsidRPr="002B11BA" w:rsidRDefault="00784887" w:rsidP="002D6457">
            <w:pPr>
              <w:jc w:val="right"/>
              <w:rPr>
                <w:sz w:val="24"/>
              </w:rPr>
            </w:pPr>
          </w:p>
        </w:tc>
        <w:tc>
          <w:tcPr>
            <w:tcW w:w="1085" w:type="dxa"/>
            <w:tcBorders>
              <w:top w:val="nil"/>
            </w:tcBorders>
          </w:tcPr>
          <w:p w:rsidR="00784887" w:rsidRPr="002B11BA" w:rsidRDefault="00784887" w:rsidP="002D6457">
            <w:pPr>
              <w:jc w:val="right"/>
              <w:rPr>
                <w:sz w:val="24"/>
              </w:rPr>
            </w:pPr>
            <w:r>
              <w:rPr>
                <w:sz w:val="24"/>
              </w:rPr>
              <w:t>100</w:t>
            </w:r>
          </w:p>
        </w:tc>
        <w:tc>
          <w:tcPr>
            <w:tcW w:w="450" w:type="dxa"/>
            <w:tcBorders>
              <w:top w:val="nil"/>
            </w:tcBorders>
          </w:tcPr>
          <w:p w:rsidR="00784887" w:rsidRPr="002B11BA" w:rsidRDefault="00784887" w:rsidP="002D6457">
            <w:pPr>
              <w:jc w:val="right"/>
              <w:rPr>
                <w:sz w:val="24"/>
              </w:rPr>
            </w:pPr>
          </w:p>
        </w:tc>
        <w:tc>
          <w:tcPr>
            <w:tcW w:w="1168" w:type="dxa"/>
            <w:tcBorders>
              <w:top w:val="nil"/>
            </w:tcBorders>
          </w:tcPr>
          <w:p w:rsidR="00784887" w:rsidRPr="002B11BA" w:rsidRDefault="00784887" w:rsidP="002D6457">
            <w:pPr>
              <w:jc w:val="right"/>
              <w:rPr>
                <w:sz w:val="24"/>
              </w:rPr>
            </w:pPr>
            <w:r w:rsidRPr="002B11BA">
              <w:rPr>
                <w:sz w:val="24"/>
              </w:rPr>
              <w:t>1.</w:t>
            </w:r>
            <w:r>
              <w:rPr>
                <w:sz w:val="24"/>
              </w:rPr>
              <w:t>51</w:t>
            </w:r>
          </w:p>
        </w:tc>
        <w:tc>
          <w:tcPr>
            <w:tcW w:w="452" w:type="dxa"/>
            <w:tcBorders>
              <w:top w:val="nil"/>
              <w:right w:val="nil"/>
            </w:tcBorders>
          </w:tcPr>
          <w:p w:rsidR="00784887" w:rsidRPr="002B11BA" w:rsidRDefault="00784887" w:rsidP="002D6457">
            <w:pPr>
              <w:jc w:val="right"/>
              <w:rPr>
                <w:sz w:val="24"/>
              </w:rPr>
            </w:pPr>
          </w:p>
        </w:tc>
      </w:tr>
      <w:tr w:rsidR="00784887" w:rsidRPr="002B11BA" w:rsidTr="002D6457">
        <w:trPr>
          <w:jc w:val="center"/>
        </w:trPr>
        <w:tc>
          <w:tcPr>
            <w:tcW w:w="2160" w:type="dxa"/>
            <w:tcBorders>
              <w:left w:val="nil"/>
            </w:tcBorders>
          </w:tcPr>
          <w:p w:rsidR="00784887" w:rsidRPr="002B11BA" w:rsidRDefault="00784887" w:rsidP="002D6457">
            <w:pPr>
              <w:tabs>
                <w:tab w:val="left" w:pos="1530"/>
              </w:tabs>
              <w:rPr>
                <w:sz w:val="24"/>
              </w:rPr>
            </w:pPr>
            <w:r w:rsidRPr="002B11BA">
              <w:rPr>
                <w:sz w:val="24"/>
              </w:rPr>
              <w:t xml:space="preserve"> Housing</w:t>
            </w:r>
          </w:p>
        </w:tc>
        <w:tc>
          <w:tcPr>
            <w:tcW w:w="1170" w:type="dxa"/>
          </w:tcPr>
          <w:p w:rsidR="00784887" w:rsidRPr="002B11BA" w:rsidRDefault="00784887" w:rsidP="002D6457">
            <w:pPr>
              <w:jc w:val="right"/>
              <w:rPr>
                <w:sz w:val="24"/>
              </w:rPr>
            </w:pPr>
            <w:r>
              <w:rPr>
                <w:sz w:val="24"/>
              </w:rPr>
              <w:t>17,148</w:t>
            </w:r>
          </w:p>
        </w:tc>
        <w:tc>
          <w:tcPr>
            <w:tcW w:w="537" w:type="dxa"/>
          </w:tcPr>
          <w:p w:rsidR="00784887" w:rsidRPr="002B11BA" w:rsidRDefault="00784887" w:rsidP="002D6457">
            <w:pPr>
              <w:jc w:val="right"/>
              <w:rPr>
                <w:sz w:val="24"/>
              </w:rPr>
            </w:pPr>
          </w:p>
        </w:tc>
        <w:tc>
          <w:tcPr>
            <w:tcW w:w="1085" w:type="dxa"/>
          </w:tcPr>
          <w:p w:rsidR="00784887" w:rsidRPr="002B11BA" w:rsidRDefault="00784887" w:rsidP="002D6457">
            <w:pPr>
              <w:jc w:val="right"/>
              <w:rPr>
                <w:sz w:val="24"/>
              </w:rPr>
            </w:pPr>
            <w:r>
              <w:rPr>
                <w:sz w:val="24"/>
              </w:rPr>
              <w:t>171</w:t>
            </w:r>
          </w:p>
        </w:tc>
        <w:tc>
          <w:tcPr>
            <w:tcW w:w="450" w:type="dxa"/>
          </w:tcPr>
          <w:p w:rsidR="00784887" w:rsidRPr="002B11BA" w:rsidRDefault="00784887" w:rsidP="002D6457">
            <w:pPr>
              <w:jc w:val="right"/>
              <w:rPr>
                <w:sz w:val="24"/>
              </w:rPr>
            </w:pPr>
          </w:p>
        </w:tc>
        <w:tc>
          <w:tcPr>
            <w:tcW w:w="1168" w:type="dxa"/>
          </w:tcPr>
          <w:p w:rsidR="00784887" w:rsidRPr="002B11BA" w:rsidRDefault="00784887" w:rsidP="002D6457">
            <w:pPr>
              <w:jc w:val="right"/>
              <w:rPr>
                <w:sz w:val="24"/>
              </w:rPr>
            </w:pPr>
            <w:r>
              <w:rPr>
                <w:sz w:val="24"/>
              </w:rPr>
              <w:t>1.00</w:t>
            </w:r>
          </w:p>
        </w:tc>
        <w:tc>
          <w:tcPr>
            <w:tcW w:w="452" w:type="dxa"/>
            <w:tcBorders>
              <w:right w:val="nil"/>
            </w:tcBorders>
          </w:tcPr>
          <w:p w:rsidR="00784887" w:rsidRPr="002B11BA" w:rsidRDefault="00784887" w:rsidP="002D6457">
            <w:pPr>
              <w:jc w:val="right"/>
              <w:rPr>
                <w:sz w:val="24"/>
              </w:rPr>
            </w:pPr>
          </w:p>
        </w:tc>
      </w:tr>
      <w:tr w:rsidR="00784887" w:rsidRPr="002B11BA" w:rsidTr="002D6457">
        <w:trPr>
          <w:jc w:val="center"/>
        </w:trPr>
        <w:tc>
          <w:tcPr>
            <w:tcW w:w="2160" w:type="dxa"/>
            <w:tcBorders>
              <w:left w:val="nil"/>
            </w:tcBorders>
          </w:tcPr>
          <w:p w:rsidR="00784887" w:rsidRPr="002B11BA" w:rsidRDefault="00784887" w:rsidP="002D6457">
            <w:pPr>
              <w:tabs>
                <w:tab w:val="left" w:pos="1530"/>
              </w:tabs>
              <w:rPr>
                <w:sz w:val="24"/>
              </w:rPr>
            </w:pPr>
            <w:r w:rsidRPr="002B11BA">
              <w:rPr>
                <w:sz w:val="24"/>
              </w:rPr>
              <w:t xml:space="preserve"> Apparel</w:t>
            </w:r>
          </w:p>
        </w:tc>
        <w:tc>
          <w:tcPr>
            <w:tcW w:w="1170" w:type="dxa"/>
          </w:tcPr>
          <w:p w:rsidR="00784887" w:rsidRPr="002B11BA" w:rsidRDefault="00784887" w:rsidP="002D6457">
            <w:pPr>
              <w:jc w:val="right"/>
              <w:rPr>
                <w:sz w:val="24"/>
              </w:rPr>
            </w:pPr>
            <w:r w:rsidRPr="002B11BA">
              <w:rPr>
                <w:sz w:val="24"/>
              </w:rPr>
              <w:t>1,</w:t>
            </w:r>
            <w:r>
              <w:rPr>
                <w:sz w:val="24"/>
              </w:rPr>
              <w:t>604</w:t>
            </w:r>
          </w:p>
        </w:tc>
        <w:tc>
          <w:tcPr>
            <w:tcW w:w="537" w:type="dxa"/>
          </w:tcPr>
          <w:p w:rsidR="00784887" w:rsidRPr="002B11BA" w:rsidRDefault="00784887" w:rsidP="002D6457">
            <w:pPr>
              <w:jc w:val="right"/>
              <w:rPr>
                <w:sz w:val="24"/>
              </w:rPr>
            </w:pPr>
          </w:p>
        </w:tc>
        <w:tc>
          <w:tcPr>
            <w:tcW w:w="1085" w:type="dxa"/>
          </w:tcPr>
          <w:p w:rsidR="00784887" w:rsidRPr="002B11BA" w:rsidRDefault="00784887" w:rsidP="002D6457">
            <w:pPr>
              <w:jc w:val="right"/>
              <w:rPr>
                <w:sz w:val="24"/>
              </w:rPr>
            </w:pPr>
            <w:r w:rsidRPr="002B11BA">
              <w:rPr>
                <w:sz w:val="24"/>
              </w:rPr>
              <w:t>36</w:t>
            </w:r>
          </w:p>
        </w:tc>
        <w:tc>
          <w:tcPr>
            <w:tcW w:w="450" w:type="dxa"/>
          </w:tcPr>
          <w:p w:rsidR="00784887" w:rsidRPr="002B11BA" w:rsidRDefault="00784887" w:rsidP="002D6457">
            <w:pPr>
              <w:jc w:val="right"/>
              <w:rPr>
                <w:sz w:val="24"/>
              </w:rPr>
            </w:pPr>
          </w:p>
        </w:tc>
        <w:tc>
          <w:tcPr>
            <w:tcW w:w="1168" w:type="dxa"/>
          </w:tcPr>
          <w:p w:rsidR="00784887" w:rsidRPr="002B11BA" w:rsidRDefault="00784887" w:rsidP="002D6457">
            <w:pPr>
              <w:jc w:val="right"/>
              <w:rPr>
                <w:sz w:val="24"/>
              </w:rPr>
            </w:pPr>
            <w:r w:rsidRPr="002B11BA">
              <w:rPr>
                <w:sz w:val="24"/>
              </w:rPr>
              <w:t>2.</w:t>
            </w:r>
            <w:r>
              <w:rPr>
                <w:sz w:val="24"/>
              </w:rPr>
              <w:t>2</w:t>
            </w:r>
            <w:r w:rsidRPr="002B11BA">
              <w:rPr>
                <w:sz w:val="24"/>
              </w:rPr>
              <w:t>6</w:t>
            </w:r>
          </w:p>
        </w:tc>
        <w:tc>
          <w:tcPr>
            <w:tcW w:w="452" w:type="dxa"/>
            <w:tcBorders>
              <w:right w:val="nil"/>
            </w:tcBorders>
          </w:tcPr>
          <w:p w:rsidR="00784887" w:rsidRPr="002B11BA" w:rsidRDefault="00784887" w:rsidP="002D6457">
            <w:pPr>
              <w:jc w:val="right"/>
              <w:rPr>
                <w:sz w:val="24"/>
              </w:rPr>
            </w:pPr>
          </w:p>
        </w:tc>
      </w:tr>
      <w:tr w:rsidR="00784887" w:rsidRPr="002B11BA" w:rsidTr="002D6457">
        <w:trPr>
          <w:jc w:val="center"/>
        </w:trPr>
        <w:tc>
          <w:tcPr>
            <w:tcW w:w="2160" w:type="dxa"/>
            <w:tcBorders>
              <w:left w:val="nil"/>
            </w:tcBorders>
          </w:tcPr>
          <w:p w:rsidR="00784887" w:rsidRPr="002B11BA" w:rsidRDefault="00784887" w:rsidP="002D6457">
            <w:pPr>
              <w:tabs>
                <w:tab w:val="left" w:pos="1530"/>
              </w:tabs>
              <w:rPr>
                <w:sz w:val="24"/>
              </w:rPr>
            </w:pPr>
            <w:r w:rsidRPr="002B11BA">
              <w:rPr>
                <w:sz w:val="24"/>
              </w:rPr>
              <w:t xml:space="preserve"> Transportation</w:t>
            </w:r>
          </w:p>
        </w:tc>
        <w:tc>
          <w:tcPr>
            <w:tcW w:w="1170" w:type="dxa"/>
          </w:tcPr>
          <w:p w:rsidR="00784887" w:rsidRPr="002B11BA" w:rsidRDefault="00784887" w:rsidP="002D6457">
            <w:pPr>
              <w:jc w:val="right"/>
              <w:rPr>
                <w:sz w:val="24"/>
              </w:rPr>
            </w:pPr>
            <w:r>
              <w:rPr>
                <w:sz w:val="24"/>
              </w:rPr>
              <w:t>9,004</w:t>
            </w:r>
          </w:p>
        </w:tc>
        <w:tc>
          <w:tcPr>
            <w:tcW w:w="537" w:type="dxa"/>
          </w:tcPr>
          <w:p w:rsidR="00784887" w:rsidRPr="002B11BA" w:rsidRDefault="00784887" w:rsidP="002D6457">
            <w:pPr>
              <w:jc w:val="right"/>
              <w:rPr>
                <w:sz w:val="24"/>
              </w:rPr>
            </w:pPr>
          </w:p>
        </w:tc>
        <w:tc>
          <w:tcPr>
            <w:tcW w:w="1085" w:type="dxa"/>
          </w:tcPr>
          <w:p w:rsidR="00784887" w:rsidRPr="002B11BA" w:rsidRDefault="00784887" w:rsidP="002D6457">
            <w:pPr>
              <w:jc w:val="right"/>
              <w:rPr>
                <w:sz w:val="24"/>
              </w:rPr>
            </w:pPr>
            <w:r w:rsidRPr="002B11BA">
              <w:rPr>
                <w:sz w:val="24"/>
              </w:rPr>
              <w:t>14</w:t>
            </w:r>
            <w:r>
              <w:rPr>
                <w:sz w:val="24"/>
              </w:rPr>
              <w:t>8</w:t>
            </w:r>
          </w:p>
        </w:tc>
        <w:tc>
          <w:tcPr>
            <w:tcW w:w="450" w:type="dxa"/>
          </w:tcPr>
          <w:p w:rsidR="00784887" w:rsidRPr="002B11BA" w:rsidRDefault="00784887" w:rsidP="002D6457">
            <w:pPr>
              <w:jc w:val="right"/>
              <w:rPr>
                <w:sz w:val="24"/>
              </w:rPr>
            </w:pPr>
          </w:p>
        </w:tc>
        <w:tc>
          <w:tcPr>
            <w:tcW w:w="1168" w:type="dxa"/>
          </w:tcPr>
          <w:p w:rsidR="00784887" w:rsidRPr="002B11BA" w:rsidRDefault="00784887" w:rsidP="002D6457">
            <w:pPr>
              <w:jc w:val="right"/>
              <w:rPr>
                <w:sz w:val="24"/>
              </w:rPr>
            </w:pPr>
            <w:r w:rsidRPr="002B11BA">
              <w:rPr>
                <w:sz w:val="24"/>
              </w:rPr>
              <w:t>1.</w:t>
            </w:r>
            <w:r>
              <w:rPr>
                <w:sz w:val="24"/>
              </w:rPr>
              <w:t>64</w:t>
            </w:r>
          </w:p>
        </w:tc>
        <w:tc>
          <w:tcPr>
            <w:tcW w:w="452" w:type="dxa"/>
            <w:tcBorders>
              <w:right w:val="nil"/>
            </w:tcBorders>
          </w:tcPr>
          <w:p w:rsidR="00784887" w:rsidRPr="002B11BA" w:rsidRDefault="00784887" w:rsidP="002D6457">
            <w:pPr>
              <w:jc w:val="right"/>
              <w:rPr>
                <w:sz w:val="24"/>
              </w:rPr>
            </w:pPr>
          </w:p>
        </w:tc>
      </w:tr>
      <w:tr w:rsidR="00784887" w:rsidRPr="002B11BA" w:rsidTr="002D6457">
        <w:trPr>
          <w:jc w:val="center"/>
        </w:trPr>
        <w:tc>
          <w:tcPr>
            <w:tcW w:w="2160" w:type="dxa"/>
            <w:tcBorders>
              <w:left w:val="nil"/>
            </w:tcBorders>
          </w:tcPr>
          <w:p w:rsidR="00784887" w:rsidRPr="002B11BA" w:rsidRDefault="00784887" w:rsidP="002D6457">
            <w:pPr>
              <w:tabs>
                <w:tab w:val="left" w:pos="1530"/>
              </w:tabs>
              <w:rPr>
                <w:sz w:val="24"/>
              </w:rPr>
            </w:pPr>
            <w:r w:rsidRPr="002B11BA">
              <w:rPr>
                <w:sz w:val="24"/>
              </w:rPr>
              <w:t xml:space="preserve"> Healthcare</w:t>
            </w:r>
          </w:p>
        </w:tc>
        <w:tc>
          <w:tcPr>
            <w:tcW w:w="1170" w:type="dxa"/>
          </w:tcPr>
          <w:p w:rsidR="00784887" w:rsidRPr="002B11BA" w:rsidRDefault="00784887" w:rsidP="002D6457">
            <w:pPr>
              <w:jc w:val="right"/>
              <w:rPr>
                <w:sz w:val="24"/>
              </w:rPr>
            </w:pPr>
            <w:r w:rsidRPr="002B11BA">
              <w:rPr>
                <w:sz w:val="24"/>
              </w:rPr>
              <w:t>3,</w:t>
            </w:r>
            <w:r>
              <w:rPr>
                <w:sz w:val="24"/>
              </w:rPr>
              <w:t>631</w:t>
            </w:r>
          </w:p>
        </w:tc>
        <w:tc>
          <w:tcPr>
            <w:tcW w:w="537" w:type="dxa"/>
          </w:tcPr>
          <w:p w:rsidR="00784887" w:rsidRPr="002B11BA" w:rsidRDefault="00784887" w:rsidP="002D6457">
            <w:pPr>
              <w:jc w:val="right"/>
              <w:rPr>
                <w:sz w:val="24"/>
              </w:rPr>
            </w:pPr>
          </w:p>
        </w:tc>
        <w:tc>
          <w:tcPr>
            <w:tcW w:w="1085" w:type="dxa"/>
          </w:tcPr>
          <w:p w:rsidR="00784887" w:rsidRPr="002B11BA" w:rsidRDefault="00784887" w:rsidP="002D6457">
            <w:pPr>
              <w:jc w:val="right"/>
              <w:rPr>
                <w:sz w:val="24"/>
              </w:rPr>
            </w:pPr>
            <w:r>
              <w:rPr>
                <w:sz w:val="24"/>
              </w:rPr>
              <w:t>53</w:t>
            </w:r>
          </w:p>
        </w:tc>
        <w:tc>
          <w:tcPr>
            <w:tcW w:w="450" w:type="dxa"/>
          </w:tcPr>
          <w:p w:rsidR="00784887" w:rsidRPr="002B11BA" w:rsidRDefault="00784887" w:rsidP="002D6457">
            <w:pPr>
              <w:jc w:val="right"/>
              <w:rPr>
                <w:sz w:val="24"/>
              </w:rPr>
            </w:pPr>
          </w:p>
        </w:tc>
        <w:tc>
          <w:tcPr>
            <w:tcW w:w="1168" w:type="dxa"/>
          </w:tcPr>
          <w:p w:rsidR="00784887" w:rsidRPr="002B11BA" w:rsidRDefault="00784887" w:rsidP="002D6457">
            <w:pPr>
              <w:jc w:val="right"/>
              <w:rPr>
                <w:sz w:val="24"/>
              </w:rPr>
            </w:pPr>
            <w:r w:rsidRPr="002B11BA">
              <w:rPr>
                <w:sz w:val="24"/>
              </w:rPr>
              <w:t>1.</w:t>
            </w:r>
            <w:r>
              <w:rPr>
                <w:sz w:val="24"/>
              </w:rPr>
              <w:t>47</w:t>
            </w:r>
          </w:p>
        </w:tc>
        <w:tc>
          <w:tcPr>
            <w:tcW w:w="452" w:type="dxa"/>
            <w:tcBorders>
              <w:right w:val="nil"/>
            </w:tcBorders>
          </w:tcPr>
          <w:p w:rsidR="00784887" w:rsidRPr="002B11BA" w:rsidRDefault="00784887" w:rsidP="002D6457">
            <w:pPr>
              <w:jc w:val="right"/>
              <w:rPr>
                <w:sz w:val="24"/>
              </w:rPr>
            </w:pPr>
          </w:p>
        </w:tc>
      </w:tr>
      <w:tr w:rsidR="00784887" w:rsidRPr="002B11BA" w:rsidTr="002D6457">
        <w:trPr>
          <w:jc w:val="center"/>
        </w:trPr>
        <w:tc>
          <w:tcPr>
            <w:tcW w:w="2160" w:type="dxa"/>
            <w:tcBorders>
              <w:left w:val="nil"/>
            </w:tcBorders>
          </w:tcPr>
          <w:p w:rsidR="00784887" w:rsidRPr="002B11BA" w:rsidRDefault="00784887" w:rsidP="002D6457">
            <w:pPr>
              <w:tabs>
                <w:tab w:val="left" w:pos="1530"/>
              </w:tabs>
              <w:rPr>
                <w:sz w:val="24"/>
              </w:rPr>
            </w:pPr>
            <w:r w:rsidRPr="002B11BA">
              <w:rPr>
                <w:sz w:val="24"/>
              </w:rPr>
              <w:t xml:space="preserve"> Entertainment</w:t>
            </w:r>
          </w:p>
        </w:tc>
        <w:tc>
          <w:tcPr>
            <w:tcW w:w="1170" w:type="dxa"/>
          </w:tcPr>
          <w:p w:rsidR="00784887" w:rsidRPr="002B11BA" w:rsidRDefault="00784887" w:rsidP="002D6457">
            <w:pPr>
              <w:jc w:val="right"/>
              <w:rPr>
                <w:sz w:val="24"/>
              </w:rPr>
            </w:pPr>
            <w:r w:rsidRPr="002B11BA">
              <w:rPr>
                <w:sz w:val="24"/>
              </w:rPr>
              <w:t>2,</w:t>
            </w:r>
            <w:r>
              <w:rPr>
                <w:sz w:val="24"/>
              </w:rPr>
              <w:t>482</w:t>
            </w:r>
          </w:p>
        </w:tc>
        <w:tc>
          <w:tcPr>
            <w:tcW w:w="537" w:type="dxa"/>
          </w:tcPr>
          <w:p w:rsidR="00784887" w:rsidRPr="002B11BA" w:rsidRDefault="00784887" w:rsidP="002D6457">
            <w:pPr>
              <w:jc w:val="right"/>
              <w:rPr>
                <w:sz w:val="24"/>
              </w:rPr>
            </w:pPr>
          </w:p>
        </w:tc>
        <w:tc>
          <w:tcPr>
            <w:tcW w:w="1085" w:type="dxa"/>
          </w:tcPr>
          <w:p w:rsidR="00784887" w:rsidRPr="002B11BA" w:rsidRDefault="00784887" w:rsidP="002D6457">
            <w:pPr>
              <w:jc w:val="right"/>
              <w:rPr>
                <w:sz w:val="24"/>
              </w:rPr>
            </w:pPr>
            <w:r w:rsidRPr="002B11BA">
              <w:rPr>
                <w:sz w:val="24"/>
              </w:rPr>
              <w:t>4</w:t>
            </w:r>
            <w:r>
              <w:rPr>
                <w:sz w:val="24"/>
              </w:rPr>
              <w:t>9</w:t>
            </w:r>
          </w:p>
        </w:tc>
        <w:tc>
          <w:tcPr>
            <w:tcW w:w="450" w:type="dxa"/>
          </w:tcPr>
          <w:p w:rsidR="00784887" w:rsidRPr="002B11BA" w:rsidRDefault="00784887" w:rsidP="002D6457">
            <w:pPr>
              <w:jc w:val="right"/>
              <w:rPr>
                <w:sz w:val="24"/>
              </w:rPr>
            </w:pPr>
          </w:p>
        </w:tc>
        <w:tc>
          <w:tcPr>
            <w:tcW w:w="1168" w:type="dxa"/>
          </w:tcPr>
          <w:p w:rsidR="00784887" w:rsidRPr="002B11BA" w:rsidRDefault="00784887" w:rsidP="002D6457">
            <w:pPr>
              <w:jc w:val="right"/>
              <w:rPr>
                <w:sz w:val="24"/>
              </w:rPr>
            </w:pPr>
            <w:r w:rsidRPr="002B11BA">
              <w:rPr>
                <w:sz w:val="24"/>
              </w:rPr>
              <w:t>1.</w:t>
            </w:r>
            <w:r>
              <w:rPr>
                <w:sz w:val="24"/>
              </w:rPr>
              <w:t>98</w:t>
            </w:r>
          </w:p>
        </w:tc>
        <w:tc>
          <w:tcPr>
            <w:tcW w:w="452" w:type="dxa"/>
            <w:tcBorders>
              <w:right w:val="nil"/>
            </w:tcBorders>
          </w:tcPr>
          <w:p w:rsidR="00784887" w:rsidRPr="002B11BA" w:rsidRDefault="00784887" w:rsidP="002D6457">
            <w:pPr>
              <w:jc w:val="right"/>
              <w:rPr>
                <w:sz w:val="24"/>
              </w:rPr>
            </w:pPr>
          </w:p>
        </w:tc>
      </w:tr>
      <w:tr w:rsidR="00784887" w:rsidRPr="002B11BA" w:rsidTr="002D6457">
        <w:trPr>
          <w:jc w:val="center"/>
        </w:trPr>
        <w:tc>
          <w:tcPr>
            <w:tcW w:w="2160" w:type="dxa"/>
            <w:tcBorders>
              <w:left w:val="nil"/>
            </w:tcBorders>
          </w:tcPr>
          <w:p w:rsidR="00784887" w:rsidRPr="002B11BA" w:rsidRDefault="00784887" w:rsidP="002D6457">
            <w:pPr>
              <w:tabs>
                <w:tab w:val="left" w:pos="1530"/>
              </w:tabs>
              <w:rPr>
                <w:sz w:val="24"/>
              </w:rPr>
            </w:pPr>
            <w:r w:rsidRPr="002B11BA">
              <w:rPr>
                <w:sz w:val="24"/>
              </w:rPr>
              <w:t xml:space="preserve"> Personal care</w:t>
            </w:r>
          </w:p>
        </w:tc>
        <w:tc>
          <w:tcPr>
            <w:tcW w:w="1170" w:type="dxa"/>
          </w:tcPr>
          <w:p w:rsidR="00784887" w:rsidRPr="002B11BA" w:rsidRDefault="00784887" w:rsidP="002D6457">
            <w:pPr>
              <w:jc w:val="right"/>
              <w:rPr>
                <w:sz w:val="24"/>
              </w:rPr>
            </w:pPr>
            <w:r w:rsidRPr="002B11BA">
              <w:rPr>
                <w:sz w:val="24"/>
              </w:rPr>
              <w:t>6</w:t>
            </w:r>
            <w:r>
              <w:rPr>
                <w:sz w:val="24"/>
              </w:rPr>
              <w:t>08</w:t>
            </w:r>
          </w:p>
        </w:tc>
        <w:tc>
          <w:tcPr>
            <w:tcW w:w="537" w:type="dxa"/>
          </w:tcPr>
          <w:p w:rsidR="00784887" w:rsidRPr="002B11BA" w:rsidRDefault="00784887" w:rsidP="002D6457">
            <w:pPr>
              <w:jc w:val="right"/>
              <w:rPr>
                <w:sz w:val="24"/>
              </w:rPr>
            </w:pPr>
          </w:p>
        </w:tc>
        <w:tc>
          <w:tcPr>
            <w:tcW w:w="1085" w:type="dxa"/>
          </w:tcPr>
          <w:p w:rsidR="00784887" w:rsidRPr="002B11BA" w:rsidRDefault="00784887" w:rsidP="002D6457">
            <w:pPr>
              <w:jc w:val="right"/>
              <w:rPr>
                <w:sz w:val="24"/>
              </w:rPr>
            </w:pPr>
            <w:r w:rsidRPr="002B11BA">
              <w:rPr>
                <w:sz w:val="24"/>
              </w:rPr>
              <w:t>1</w:t>
            </w:r>
            <w:r>
              <w:rPr>
                <w:sz w:val="24"/>
              </w:rPr>
              <w:t>5</w:t>
            </w:r>
          </w:p>
        </w:tc>
        <w:tc>
          <w:tcPr>
            <w:tcW w:w="450" w:type="dxa"/>
          </w:tcPr>
          <w:p w:rsidR="00784887" w:rsidRPr="002B11BA" w:rsidRDefault="00784887" w:rsidP="002D6457">
            <w:pPr>
              <w:jc w:val="right"/>
              <w:rPr>
                <w:sz w:val="24"/>
              </w:rPr>
            </w:pPr>
          </w:p>
        </w:tc>
        <w:tc>
          <w:tcPr>
            <w:tcW w:w="1168" w:type="dxa"/>
          </w:tcPr>
          <w:p w:rsidR="00784887" w:rsidRPr="002B11BA" w:rsidRDefault="00784887" w:rsidP="002D6457">
            <w:pPr>
              <w:jc w:val="right"/>
              <w:rPr>
                <w:sz w:val="24"/>
              </w:rPr>
            </w:pPr>
            <w:r>
              <w:rPr>
                <w:sz w:val="24"/>
              </w:rPr>
              <w:t>2.46</w:t>
            </w:r>
          </w:p>
        </w:tc>
        <w:tc>
          <w:tcPr>
            <w:tcW w:w="452" w:type="dxa"/>
            <w:tcBorders>
              <w:right w:val="nil"/>
            </w:tcBorders>
          </w:tcPr>
          <w:p w:rsidR="00784887" w:rsidRPr="002B11BA" w:rsidRDefault="00784887" w:rsidP="002D6457">
            <w:pPr>
              <w:jc w:val="right"/>
              <w:rPr>
                <w:sz w:val="24"/>
              </w:rPr>
            </w:pPr>
          </w:p>
        </w:tc>
      </w:tr>
      <w:tr w:rsidR="00784887" w:rsidRPr="002B11BA" w:rsidTr="002D6457">
        <w:trPr>
          <w:jc w:val="center"/>
        </w:trPr>
        <w:tc>
          <w:tcPr>
            <w:tcW w:w="2160" w:type="dxa"/>
            <w:tcBorders>
              <w:left w:val="nil"/>
            </w:tcBorders>
          </w:tcPr>
          <w:p w:rsidR="00784887" w:rsidRPr="002B11BA" w:rsidRDefault="00784887" w:rsidP="002D6457">
            <w:pPr>
              <w:tabs>
                <w:tab w:val="left" w:pos="1530"/>
              </w:tabs>
              <w:rPr>
                <w:sz w:val="24"/>
              </w:rPr>
            </w:pPr>
            <w:r w:rsidRPr="002B11BA">
              <w:rPr>
                <w:sz w:val="24"/>
              </w:rPr>
              <w:t xml:space="preserve"> Cash contributions</w:t>
            </w:r>
          </w:p>
        </w:tc>
        <w:tc>
          <w:tcPr>
            <w:tcW w:w="1170" w:type="dxa"/>
          </w:tcPr>
          <w:p w:rsidR="00784887" w:rsidRPr="002B11BA" w:rsidRDefault="00784887" w:rsidP="002D6457">
            <w:pPr>
              <w:jc w:val="right"/>
              <w:rPr>
                <w:sz w:val="24"/>
              </w:rPr>
            </w:pPr>
            <w:r w:rsidRPr="002B11BA">
              <w:rPr>
                <w:sz w:val="24"/>
              </w:rPr>
              <w:t>1,</w:t>
            </w:r>
            <w:r>
              <w:rPr>
                <w:sz w:val="24"/>
              </w:rPr>
              <w:t>834</w:t>
            </w:r>
          </w:p>
        </w:tc>
        <w:tc>
          <w:tcPr>
            <w:tcW w:w="537" w:type="dxa"/>
          </w:tcPr>
          <w:p w:rsidR="00784887" w:rsidRPr="002B11BA" w:rsidRDefault="00784887" w:rsidP="002D6457">
            <w:pPr>
              <w:jc w:val="right"/>
              <w:rPr>
                <w:sz w:val="24"/>
              </w:rPr>
            </w:pPr>
          </w:p>
        </w:tc>
        <w:tc>
          <w:tcPr>
            <w:tcW w:w="1085" w:type="dxa"/>
          </w:tcPr>
          <w:p w:rsidR="00784887" w:rsidRPr="002B11BA" w:rsidRDefault="00784887" w:rsidP="002D6457">
            <w:pPr>
              <w:jc w:val="right"/>
              <w:rPr>
                <w:sz w:val="24"/>
              </w:rPr>
            </w:pPr>
            <w:r>
              <w:rPr>
                <w:sz w:val="24"/>
              </w:rPr>
              <w:t>97</w:t>
            </w:r>
          </w:p>
        </w:tc>
        <w:tc>
          <w:tcPr>
            <w:tcW w:w="450" w:type="dxa"/>
          </w:tcPr>
          <w:p w:rsidR="00784887" w:rsidRPr="002B11BA" w:rsidRDefault="00784887" w:rsidP="002D6457">
            <w:pPr>
              <w:jc w:val="right"/>
              <w:rPr>
                <w:sz w:val="24"/>
              </w:rPr>
            </w:pPr>
          </w:p>
        </w:tc>
        <w:tc>
          <w:tcPr>
            <w:tcW w:w="1168" w:type="dxa"/>
          </w:tcPr>
          <w:p w:rsidR="00784887" w:rsidRPr="002B11BA" w:rsidRDefault="00784887" w:rsidP="002D6457">
            <w:pPr>
              <w:jc w:val="right"/>
              <w:rPr>
                <w:sz w:val="24"/>
              </w:rPr>
            </w:pPr>
            <w:r>
              <w:rPr>
                <w:sz w:val="24"/>
              </w:rPr>
              <w:t>5.29</w:t>
            </w:r>
          </w:p>
        </w:tc>
        <w:tc>
          <w:tcPr>
            <w:tcW w:w="452" w:type="dxa"/>
            <w:tcBorders>
              <w:right w:val="nil"/>
            </w:tcBorders>
          </w:tcPr>
          <w:p w:rsidR="00784887" w:rsidRPr="002B11BA" w:rsidRDefault="00784887" w:rsidP="002D6457">
            <w:pPr>
              <w:jc w:val="right"/>
              <w:rPr>
                <w:sz w:val="24"/>
              </w:rPr>
            </w:pPr>
          </w:p>
        </w:tc>
      </w:tr>
      <w:tr w:rsidR="00784887" w:rsidRPr="002B11BA" w:rsidTr="002D6457">
        <w:trPr>
          <w:jc w:val="center"/>
        </w:trPr>
        <w:tc>
          <w:tcPr>
            <w:tcW w:w="2160" w:type="dxa"/>
            <w:tcBorders>
              <w:left w:val="nil"/>
            </w:tcBorders>
          </w:tcPr>
          <w:p w:rsidR="00784887" w:rsidRDefault="00784887" w:rsidP="002D6457">
            <w:pPr>
              <w:tabs>
                <w:tab w:val="left" w:pos="1530"/>
              </w:tabs>
              <w:rPr>
                <w:sz w:val="24"/>
              </w:rPr>
            </w:pPr>
            <w:r w:rsidRPr="002B11BA">
              <w:rPr>
                <w:sz w:val="24"/>
              </w:rPr>
              <w:t xml:space="preserve"> Personal insurance</w:t>
            </w:r>
          </w:p>
          <w:p w:rsidR="00784887" w:rsidRPr="002B11BA" w:rsidRDefault="00784887" w:rsidP="002D6457">
            <w:pPr>
              <w:tabs>
                <w:tab w:val="left" w:pos="1530"/>
              </w:tabs>
              <w:rPr>
                <w:sz w:val="24"/>
              </w:rPr>
            </w:pPr>
            <w:r w:rsidRPr="002B11BA">
              <w:rPr>
                <w:sz w:val="24"/>
              </w:rPr>
              <w:t xml:space="preserve">   and pensions</w:t>
            </w:r>
          </w:p>
        </w:tc>
        <w:tc>
          <w:tcPr>
            <w:tcW w:w="1170" w:type="dxa"/>
          </w:tcPr>
          <w:p w:rsidR="00784887" w:rsidRPr="002B11BA" w:rsidRDefault="00784887" w:rsidP="002D6457">
            <w:pPr>
              <w:jc w:val="right"/>
              <w:rPr>
                <w:sz w:val="24"/>
              </w:rPr>
            </w:pPr>
          </w:p>
          <w:p w:rsidR="00784887" w:rsidRPr="002B11BA" w:rsidRDefault="00784887" w:rsidP="002D6457">
            <w:pPr>
              <w:jc w:val="right"/>
              <w:rPr>
                <w:sz w:val="24"/>
              </w:rPr>
            </w:pPr>
            <w:r>
              <w:rPr>
                <w:sz w:val="24"/>
              </w:rPr>
              <w:t>5,528</w:t>
            </w:r>
          </w:p>
        </w:tc>
        <w:tc>
          <w:tcPr>
            <w:tcW w:w="537" w:type="dxa"/>
          </w:tcPr>
          <w:p w:rsidR="00784887" w:rsidRPr="002B11BA" w:rsidRDefault="00784887" w:rsidP="002D6457">
            <w:pPr>
              <w:jc w:val="right"/>
              <w:rPr>
                <w:sz w:val="24"/>
              </w:rPr>
            </w:pPr>
          </w:p>
        </w:tc>
        <w:tc>
          <w:tcPr>
            <w:tcW w:w="1085" w:type="dxa"/>
          </w:tcPr>
          <w:p w:rsidR="00784887" w:rsidRPr="002B11BA" w:rsidRDefault="00784887" w:rsidP="002D6457">
            <w:pPr>
              <w:jc w:val="right"/>
              <w:rPr>
                <w:sz w:val="24"/>
              </w:rPr>
            </w:pPr>
          </w:p>
          <w:p w:rsidR="00784887" w:rsidRPr="002B11BA" w:rsidRDefault="00784887" w:rsidP="002D6457">
            <w:pPr>
              <w:jc w:val="right"/>
              <w:rPr>
                <w:sz w:val="24"/>
              </w:rPr>
            </w:pPr>
            <w:r>
              <w:rPr>
                <w:sz w:val="24"/>
              </w:rPr>
              <w:t>116</w:t>
            </w:r>
          </w:p>
        </w:tc>
        <w:tc>
          <w:tcPr>
            <w:tcW w:w="450" w:type="dxa"/>
          </w:tcPr>
          <w:p w:rsidR="00784887" w:rsidRPr="002B11BA" w:rsidRDefault="00784887" w:rsidP="002D6457">
            <w:pPr>
              <w:jc w:val="right"/>
              <w:rPr>
                <w:sz w:val="24"/>
              </w:rPr>
            </w:pPr>
          </w:p>
        </w:tc>
        <w:tc>
          <w:tcPr>
            <w:tcW w:w="1168" w:type="dxa"/>
          </w:tcPr>
          <w:p w:rsidR="00784887" w:rsidRPr="002B11BA" w:rsidRDefault="00784887" w:rsidP="002D6457">
            <w:pPr>
              <w:jc w:val="right"/>
              <w:rPr>
                <w:sz w:val="24"/>
              </w:rPr>
            </w:pPr>
          </w:p>
          <w:p w:rsidR="00784887" w:rsidRPr="002B11BA" w:rsidRDefault="00784887" w:rsidP="002D6457">
            <w:pPr>
              <w:jc w:val="right"/>
              <w:rPr>
                <w:sz w:val="24"/>
              </w:rPr>
            </w:pPr>
            <w:r>
              <w:rPr>
                <w:sz w:val="24"/>
              </w:rPr>
              <w:t>2.09</w:t>
            </w:r>
          </w:p>
        </w:tc>
        <w:tc>
          <w:tcPr>
            <w:tcW w:w="452" w:type="dxa"/>
            <w:tcBorders>
              <w:right w:val="nil"/>
            </w:tcBorders>
          </w:tcPr>
          <w:p w:rsidR="00784887" w:rsidRPr="002B11BA" w:rsidRDefault="00784887" w:rsidP="002D6457">
            <w:pPr>
              <w:jc w:val="right"/>
              <w:rPr>
                <w:sz w:val="24"/>
              </w:rPr>
            </w:pPr>
          </w:p>
        </w:tc>
      </w:tr>
      <w:tr w:rsidR="00784887" w:rsidRPr="002B11BA" w:rsidTr="002D6457">
        <w:trPr>
          <w:jc w:val="center"/>
        </w:trPr>
        <w:tc>
          <w:tcPr>
            <w:tcW w:w="2160" w:type="dxa"/>
            <w:tcBorders>
              <w:left w:val="nil"/>
            </w:tcBorders>
          </w:tcPr>
          <w:p w:rsidR="00784887" w:rsidRPr="002B11BA" w:rsidRDefault="00784887" w:rsidP="002D6457">
            <w:pPr>
              <w:tabs>
                <w:tab w:val="left" w:pos="1530"/>
              </w:tabs>
              <w:rPr>
                <w:sz w:val="24"/>
              </w:rPr>
            </w:pPr>
            <w:r w:rsidRPr="002B11BA">
              <w:rPr>
                <w:sz w:val="24"/>
              </w:rPr>
              <w:t xml:space="preserve"> Other</w:t>
            </w:r>
          </w:p>
        </w:tc>
        <w:tc>
          <w:tcPr>
            <w:tcW w:w="1170" w:type="dxa"/>
          </w:tcPr>
          <w:p w:rsidR="00784887" w:rsidRPr="002B11BA" w:rsidRDefault="00784887" w:rsidP="002D6457">
            <w:pPr>
              <w:jc w:val="right"/>
              <w:rPr>
                <w:sz w:val="24"/>
              </w:rPr>
            </w:pPr>
            <w:r w:rsidRPr="002B11BA">
              <w:rPr>
                <w:sz w:val="24"/>
              </w:rPr>
              <w:t>2,</w:t>
            </w:r>
            <w:r>
              <w:rPr>
                <w:sz w:val="24"/>
              </w:rPr>
              <w:t>659</w:t>
            </w:r>
          </w:p>
        </w:tc>
        <w:tc>
          <w:tcPr>
            <w:tcW w:w="537" w:type="dxa"/>
          </w:tcPr>
          <w:p w:rsidR="00784887" w:rsidRPr="002B11BA" w:rsidRDefault="00784887" w:rsidP="002D6457">
            <w:pPr>
              <w:jc w:val="right"/>
              <w:rPr>
                <w:sz w:val="24"/>
              </w:rPr>
            </w:pPr>
          </w:p>
        </w:tc>
        <w:tc>
          <w:tcPr>
            <w:tcW w:w="1085" w:type="dxa"/>
          </w:tcPr>
          <w:p w:rsidR="00784887" w:rsidRPr="002B11BA" w:rsidRDefault="00784887" w:rsidP="002D6457">
            <w:pPr>
              <w:jc w:val="right"/>
              <w:rPr>
                <w:sz w:val="24"/>
              </w:rPr>
            </w:pPr>
            <w:r>
              <w:rPr>
                <w:sz w:val="24"/>
              </w:rPr>
              <w:t>59</w:t>
            </w:r>
          </w:p>
        </w:tc>
        <w:tc>
          <w:tcPr>
            <w:tcW w:w="450" w:type="dxa"/>
          </w:tcPr>
          <w:p w:rsidR="00784887" w:rsidRPr="002B11BA" w:rsidRDefault="00784887" w:rsidP="002D6457">
            <w:pPr>
              <w:jc w:val="right"/>
              <w:rPr>
                <w:sz w:val="24"/>
              </w:rPr>
            </w:pPr>
          </w:p>
        </w:tc>
        <w:tc>
          <w:tcPr>
            <w:tcW w:w="1168" w:type="dxa"/>
          </w:tcPr>
          <w:p w:rsidR="00784887" w:rsidRPr="002B11BA" w:rsidRDefault="00784887" w:rsidP="002D6457">
            <w:pPr>
              <w:jc w:val="right"/>
              <w:rPr>
                <w:sz w:val="24"/>
              </w:rPr>
            </w:pPr>
            <w:r>
              <w:rPr>
                <w:sz w:val="24"/>
              </w:rPr>
              <w:t>2.21</w:t>
            </w:r>
          </w:p>
        </w:tc>
        <w:tc>
          <w:tcPr>
            <w:tcW w:w="452" w:type="dxa"/>
            <w:tcBorders>
              <w:right w:val="nil"/>
            </w:tcBorders>
          </w:tcPr>
          <w:p w:rsidR="00784887" w:rsidRPr="002B11BA" w:rsidRDefault="00784887" w:rsidP="002D6457">
            <w:pPr>
              <w:jc w:val="right"/>
              <w:rPr>
                <w:sz w:val="24"/>
              </w:rPr>
            </w:pPr>
          </w:p>
        </w:tc>
      </w:tr>
      <w:tr w:rsidR="00784887" w:rsidRPr="002B11BA" w:rsidTr="002D6457">
        <w:trPr>
          <w:jc w:val="center"/>
        </w:trPr>
        <w:tc>
          <w:tcPr>
            <w:tcW w:w="2160" w:type="dxa"/>
            <w:tcBorders>
              <w:left w:val="nil"/>
            </w:tcBorders>
          </w:tcPr>
          <w:p w:rsidR="00784887" w:rsidRPr="002B11BA" w:rsidRDefault="00784887" w:rsidP="002D6457">
            <w:pPr>
              <w:rPr>
                <w:sz w:val="24"/>
              </w:rPr>
            </w:pPr>
          </w:p>
        </w:tc>
        <w:tc>
          <w:tcPr>
            <w:tcW w:w="1170" w:type="dxa"/>
          </w:tcPr>
          <w:p w:rsidR="00784887" w:rsidRPr="002B11BA" w:rsidRDefault="00784887" w:rsidP="002D6457">
            <w:pPr>
              <w:jc w:val="right"/>
              <w:rPr>
                <w:sz w:val="24"/>
              </w:rPr>
            </w:pPr>
          </w:p>
        </w:tc>
        <w:tc>
          <w:tcPr>
            <w:tcW w:w="537" w:type="dxa"/>
          </w:tcPr>
          <w:p w:rsidR="00784887" w:rsidRPr="002B11BA" w:rsidRDefault="00784887" w:rsidP="002D6457">
            <w:pPr>
              <w:jc w:val="right"/>
              <w:rPr>
                <w:sz w:val="24"/>
              </w:rPr>
            </w:pPr>
          </w:p>
        </w:tc>
        <w:tc>
          <w:tcPr>
            <w:tcW w:w="1085" w:type="dxa"/>
          </w:tcPr>
          <w:p w:rsidR="00784887" w:rsidRPr="002B11BA" w:rsidRDefault="00784887" w:rsidP="002D6457">
            <w:pPr>
              <w:jc w:val="right"/>
              <w:rPr>
                <w:sz w:val="24"/>
              </w:rPr>
            </w:pPr>
          </w:p>
        </w:tc>
        <w:tc>
          <w:tcPr>
            <w:tcW w:w="450" w:type="dxa"/>
          </w:tcPr>
          <w:p w:rsidR="00784887" w:rsidRPr="002B11BA" w:rsidRDefault="00784887" w:rsidP="002D6457">
            <w:pPr>
              <w:jc w:val="right"/>
              <w:rPr>
                <w:sz w:val="24"/>
              </w:rPr>
            </w:pPr>
          </w:p>
        </w:tc>
        <w:tc>
          <w:tcPr>
            <w:tcW w:w="1168" w:type="dxa"/>
          </w:tcPr>
          <w:p w:rsidR="00784887" w:rsidRPr="002B11BA" w:rsidRDefault="00784887" w:rsidP="002D6457">
            <w:pPr>
              <w:jc w:val="right"/>
              <w:rPr>
                <w:sz w:val="24"/>
              </w:rPr>
            </w:pPr>
          </w:p>
        </w:tc>
        <w:tc>
          <w:tcPr>
            <w:tcW w:w="452" w:type="dxa"/>
            <w:tcBorders>
              <w:right w:val="nil"/>
            </w:tcBorders>
          </w:tcPr>
          <w:p w:rsidR="00784887" w:rsidRPr="002B11BA" w:rsidRDefault="00784887" w:rsidP="002D6457">
            <w:pPr>
              <w:jc w:val="right"/>
              <w:rPr>
                <w:sz w:val="24"/>
              </w:rPr>
            </w:pPr>
          </w:p>
        </w:tc>
      </w:tr>
    </w:tbl>
    <w:p w:rsidR="00784887" w:rsidRDefault="00784887" w:rsidP="00784887">
      <w:pPr>
        <w:pStyle w:val="Title1"/>
        <w:tabs>
          <w:tab w:val="clear" w:pos="2881"/>
          <w:tab w:val="clear" w:pos="3601"/>
          <w:tab w:val="clear" w:pos="4321"/>
          <w:tab w:val="clear" w:pos="5040"/>
          <w:tab w:val="clear" w:pos="5760"/>
          <w:tab w:val="clear" w:pos="6480"/>
          <w:tab w:val="clear" w:pos="7199"/>
          <w:tab w:val="clear" w:pos="7919"/>
          <w:tab w:val="clear" w:pos="8641"/>
          <w:tab w:val="clear" w:pos="9361"/>
          <w:tab w:val="clear" w:pos="10081"/>
          <w:tab w:val="clear" w:pos="10800"/>
          <w:tab w:val="clear" w:pos="11520"/>
          <w:tab w:val="clear" w:pos="12240"/>
          <w:tab w:val="clear" w:pos="12959"/>
          <w:tab w:val="clear" w:pos="13679"/>
          <w:tab w:val="clear" w:pos="14401"/>
          <w:tab w:val="clear" w:pos="15121"/>
          <w:tab w:val="clear" w:pos="15841"/>
          <w:tab w:val="clear" w:pos="16560"/>
          <w:tab w:val="clear" w:pos="17280"/>
          <w:tab w:val="clear" w:pos="18000"/>
          <w:tab w:val="clear" w:pos="18719"/>
          <w:tab w:val="clear" w:pos="19439"/>
          <w:tab w:val="clear" w:pos="20161"/>
          <w:tab w:val="clear" w:pos="20881"/>
          <w:tab w:val="clear" w:pos="21601"/>
          <w:tab w:val="left" w:pos="1530"/>
          <w:tab w:val="left" w:pos="2879"/>
          <w:tab w:val="left" w:pos="3599"/>
          <w:tab w:val="left" w:pos="4318"/>
          <w:tab w:val="left" w:pos="5038"/>
          <w:tab w:val="left" w:pos="5758"/>
          <w:tab w:val="left" w:pos="6477"/>
          <w:tab w:val="left" w:pos="7197"/>
          <w:tab w:val="left" w:pos="7917"/>
          <w:tab w:val="left" w:pos="8636"/>
          <w:tab w:val="left" w:pos="9356"/>
          <w:tab w:val="left" w:pos="10076"/>
          <w:tab w:val="left" w:pos="10796"/>
          <w:tab w:val="left" w:pos="11515"/>
          <w:tab w:val="left" w:pos="12235"/>
          <w:tab w:val="left" w:pos="12955"/>
          <w:tab w:val="left" w:pos="13674"/>
          <w:tab w:val="left" w:pos="14394"/>
          <w:tab w:val="left" w:pos="15114"/>
          <w:tab w:val="left" w:pos="15833"/>
          <w:tab w:val="left" w:pos="16553"/>
          <w:tab w:val="left" w:pos="17273"/>
          <w:tab w:val="left" w:pos="17993"/>
          <w:tab w:val="left" w:pos="18712"/>
          <w:tab w:val="left" w:pos="19432"/>
          <w:tab w:val="left" w:pos="20152"/>
          <w:tab w:val="left" w:pos="20871"/>
          <w:tab w:val="left" w:pos="21591"/>
        </w:tabs>
        <w:spacing w:line="240" w:lineRule="auto"/>
        <w:jc w:val="both"/>
        <w:rPr>
          <w:rFonts w:ascii="Arial" w:hAnsi="Arial" w:cs="Arial"/>
          <w:sz w:val="24"/>
          <w:szCs w:val="24"/>
        </w:rPr>
      </w:pPr>
    </w:p>
    <w:p w:rsidR="00274291" w:rsidRPr="003F39C6" w:rsidRDefault="00274291" w:rsidP="00274291">
      <w:pPr>
        <w:pStyle w:val="Title1"/>
        <w:numPr>
          <w:ilvl w:val="0"/>
          <w:numId w:val="9"/>
        </w:numPr>
        <w:tabs>
          <w:tab w:val="clear" w:pos="2881"/>
          <w:tab w:val="clear" w:pos="3601"/>
          <w:tab w:val="clear" w:pos="4321"/>
          <w:tab w:val="clear" w:pos="5040"/>
          <w:tab w:val="clear" w:pos="5760"/>
          <w:tab w:val="clear" w:pos="6480"/>
          <w:tab w:val="clear" w:pos="7199"/>
          <w:tab w:val="clear" w:pos="7919"/>
          <w:tab w:val="clear" w:pos="8641"/>
          <w:tab w:val="clear" w:pos="9361"/>
          <w:tab w:val="clear" w:pos="10081"/>
          <w:tab w:val="clear" w:pos="10800"/>
          <w:tab w:val="clear" w:pos="11520"/>
          <w:tab w:val="clear" w:pos="12240"/>
          <w:tab w:val="clear" w:pos="12959"/>
          <w:tab w:val="clear" w:pos="13679"/>
          <w:tab w:val="clear" w:pos="14401"/>
          <w:tab w:val="clear" w:pos="15121"/>
          <w:tab w:val="clear" w:pos="15841"/>
          <w:tab w:val="clear" w:pos="16560"/>
          <w:tab w:val="clear" w:pos="17280"/>
          <w:tab w:val="clear" w:pos="18000"/>
          <w:tab w:val="clear" w:pos="18719"/>
          <w:tab w:val="clear" w:pos="19439"/>
          <w:tab w:val="clear" w:pos="20161"/>
          <w:tab w:val="clear" w:pos="20881"/>
          <w:tab w:val="clear" w:pos="21601"/>
          <w:tab w:val="left" w:pos="1530"/>
          <w:tab w:val="left" w:pos="2879"/>
          <w:tab w:val="left" w:pos="3599"/>
          <w:tab w:val="left" w:pos="4318"/>
          <w:tab w:val="left" w:pos="5038"/>
          <w:tab w:val="left" w:pos="5758"/>
          <w:tab w:val="left" w:pos="6477"/>
          <w:tab w:val="left" w:pos="7197"/>
          <w:tab w:val="left" w:pos="7917"/>
          <w:tab w:val="left" w:pos="8636"/>
          <w:tab w:val="left" w:pos="9356"/>
          <w:tab w:val="left" w:pos="10076"/>
          <w:tab w:val="left" w:pos="10796"/>
          <w:tab w:val="left" w:pos="11515"/>
          <w:tab w:val="left" w:pos="12235"/>
          <w:tab w:val="left" w:pos="12955"/>
          <w:tab w:val="left" w:pos="13674"/>
          <w:tab w:val="left" w:pos="14394"/>
          <w:tab w:val="left" w:pos="15114"/>
          <w:tab w:val="left" w:pos="15833"/>
          <w:tab w:val="left" w:pos="16553"/>
          <w:tab w:val="left" w:pos="17273"/>
          <w:tab w:val="left" w:pos="17993"/>
          <w:tab w:val="left" w:pos="18712"/>
          <w:tab w:val="left" w:pos="19432"/>
          <w:tab w:val="left" w:pos="20152"/>
          <w:tab w:val="left" w:pos="20871"/>
          <w:tab w:val="left" w:pos="21591"/>
        </w:tabs>
        <w:spacing w:line="240" w:lineRule="auto"/>
        <w:jc w:val="both"/>
        <w:rPr>
          <w:rFonts w:ascii="Arial" w:hAnsi="Arial" w:cs="Arial"/>
          <w:color w:val="C0504D" w:themeColor="accent2"/>
          <w:sz w:val="24"/>
          <w:szCs w:val="24"/>
        </w:rPr>
      </w:pPr>
      <w:r w:rsidRPr="003F39C6">
        <w:rPr>
          <w:rFonts w:ascii="Arial" w:hAnsi="Arial" w:cs="Arial"/>
          <w:color w:val="C0504D" w:themeColor="accent2"/>
          <w:sz w:val="24"/>
          <w:szCs w:val="24"/>
        </w:rPr>
        <w:t>Presentation</w:t>
      </w:r>
    </w:p>
    <w:p w:rsidR="003F39C6" w:rsidRDefault="003F39C6" w:rsidP="003F39C6">
      <w:pPr>
        <w:pStyle w:val="Title1"/>
        <w:tabs>
          <w:tab w:val="clear" w:pos="2881"/>
          <w:tab w:val="clear" w:pos="3601"/>
          <w:tab w:val="clear" w:pos="4321"/>
          <w:tab w:val="clear" w:pos="5040"/>
          <w:tab w:val="clear" w:pos="5760"/>
          <w:tab w:val="clear" w:pos="6480"/>
          <w:tab w:val="clear" w:pos="7199"/>
          <w:tab w:val="clear" w:pos="7919"/>
          <w:tab w:val="clear" w:pos="8641"/>
          <w:tab w:val="clear" w:pos="9361"/>
          <w:tab w:val="clear" w:pos="10081"/>
          <w:tab w:val="clear" w:pos="10800"/>
          <w:tab w:val="clear" w:pos="11520"/>
          <w:tab w:val="clear" w:pos="12240"/>
          <w:tab w:val="clear" w:pos="12959"/>
          <w:tab w:val="clear" w:pos="13679"/>
          <w:tab w:val="clear" w:pos="14401"/>
          <w:tab w:val="clear" w:pos="15121"/>
          <w:tab w:val="clear" w:pos="15841"/>
          <w:tab w:val="clear" w:pos="16560"/>
          <w:tab w:val="clear" w:pos="17280"/>
          <w:tab w:val="clear" w:pos="18000"/>
          <w:tab w:val="clear" w:pos="18719"/>
          <w:tab w:val="clear" w:pos="19439"/>
          <w:tab w:val="clear" w:pos="20161"/>
          <w:tab w:val="clear" w:pos="20881"/>
          <w:tab w:val="clear" w:pos="21601"/>
          <w:tab w:val="left" w:pos="1530"/>
          <w:tab w:val="left" w:pos="2879"/>
          <w:tab w:val="left" w:pos="3599"/>
          <w:tab w:val="left" w:pos="4318"/>
          <w:tab w:val="left" w:pos="5038"/>
          <w:tab w:val="left" w:pos="5758"/>
          <w:tab w:val="left" w:pos="6477"/>
          <w:tab w:val="left" w:pos="7197"/>
          <w:tab w:val="left" w:pos="7917"/>
          <w:tab w:val="left" w:pos="8636"/>
          <w:tab w:val="left" w:pos="9356"/>
          <w:tab w:val="left" w:pos="10076"/>
          <w:tab w:val="left" w:pos="10796"/>
          <w:tab w:val="left" w:pos="11515"/>
          <w:tab w:val="left" w:pos="12235"/>
          <w:tab w:val="left" w:pos="12955"/>
          <w:tab w:val="left" w:pos="13674"/>
          <w:tab w:val="left" w:pos="14394"/>
          <w:tab w:val="left" w:pos="15114"/>
          <w:tab w:val="left" w:pos="15833"/>
          <w:tab w:val="left" w:pos="16553"/>
          <w:tab w:val="left" w:pos="17273"/>
          <w:tab w:val="left" w:pos="17993"/>
          <w:tab w:val="left" w:pos="18712"/>
          <w:tab w:val="left" w:pos="19432"/>
          <w:tab w:val="left" w:pos="20152"/>
          <w:tab w:val="left" w:pos="20871"/>
          <w:tab w:val="left" w:pos="21591"/>
        </w:tabs>
        <w:spacing w:line="240" w:lineRule="auto"/>
        <w:jc w:val="both"/>
        <w:rPr>
          <w:rFonts w:ascii="Arial" w:hAnsi="Arial" w:cs="Arial"/>
          <w:sz w:val="24"/>
          <w:szCs w:val="24"/>
        </w:rPr>
      </w:pPr>
    </w:p>
    <w:p w:rsidR="003F39C6" w:rsidRPr="003F39C6" w:rsidRDefault="00C6783A" w:rsidP="003F39C6">
      <w:pPr>
        <w:tabs>
          <w:tab w:val="left" w:pos="1530"/>
        </w:tabs>
        <w:spacing w:line="360" w:lineRule="auto"/>
        <w:rPr>
          <w:sz w:val="24"/>
        </w:rPr>
      </w:pPr>
      <w:r>
        <w:rPr>
          <w:sz w:val="24"/>
        </w:rPr>
        <w:tab/>
      </w:r>
      <w:r w:rsidR="003F39C6" w:rsidRPr="003F39C6">
        <w:rPr>
          <w:sz w:val="24"/>
        </w:rPr>
        <w:t xml:space="preserve">Information from the CE is available in press releases, reports, and analytical papers. </w:t>
      </w:r>
      <w:r w:rsidR="003F39C6">
        <w:rPr>
          <w:sz w:val="24"/>
        </w:rPr>
        <w:t>P</w:t>
      </w:r>
      <w:r w:rsidR="003F39C6" w:rsidRPr="003F39C6">
        <w:rPr>
          <w:sz w:val="24"/>
        </w:rPr>
        <w:t xml:space="preserve">ublic use microdata from the survey </w:t>
      </w:r>
      <w:r w:rsidR="003F39C6">
        <w:rPr>
          <w:sz w:val="24"/>
        </w:rPr>
        <w:t xml:space="preserve">from 1996 to the present </w:t>
      </w:r>
      <w:r w:rsidR="003F39C6" w:rsidRPr="003F39C6">
        <w:rPr>
          <w:sz w:val="24"/>
        </w:rPr>
        <w:t xml:space="preserve">are available </w:t>
      </w:r>
      <w:r w:rsidR="003F39C6">
        <w:rPr>
          <w:sz w:val="24"/>
        </w:rPr>
        <w:t xml:space="preserve">for free download </w:t>
      </w:r>
      <w:r w:rsidR="003F39C6" w:rsidRPr="003F39C6">
        <w:rPr>
          <w:sz w:val="24"/>
        </w:rPr>
        <w:t xml:space="preserve">on the CE section of the BLS website </w:t>
      </w:r>
      <w:r w:rsidR="003F39C6" w:rsidRPr="003F39C6">
        <w:rPr>
          <w:sz w:val="24"/>
        </w:rPr>
        <w:lastRenderedPageBreak/>
        <w:t xml:space="preserve">(http://www.bls.gov/cex), and older </w:t>
      </w:r>
      <w:r w:rsidR="000E101A">
        <w:rPr>
          <w:sz w:val="24"/>
        </w:rPr>
        <w:t>micro</w:t>
      </w:r>
      <w:r w:rsidR="003F39C6" w:rsidRPr="003F39C6">
        <w:rPr>
          <w:sz w:val="24"/>
        </w:rPr>
        <w:t xml:space="preserve">data are available </w:t>
      </w:r>
      <w:r w:rsidR="000E101A">
        <w:rPr>
          <w:sz w:val="24"/>
        </w:rPr>
        <w:t xml:space="preserve">for purchase </w:t>
      </w:r>
      <w:r w:rsidR="003F39C6" w:rsidRPr="003F39C6">
        <w:rPr>
          <w:sz w:val="24"/>
        </w:rPr>
        <w:t xml:space="preserve">on </w:t>
      </w:r>
      <w:r w:rsidR="000E101A">
        <w:rPr>
          <w:sz w:val="24"/>
        </w:rPr>
        <w:t>USB flash drives</w:t>
      </w:r>
      <w:r w:rsidR="003F39C6" w:rsidRPr="003F39C6">
        <w:rPr>
          <w:sz w:val="24"/>
        </w:rPr>
        <w:t>. Tabular data also are available at the same location on the BLS website and by contacting the BLS Consumer Expenditure Survey Division directly. (See website.)</w:t>
      </w:r>
    </w:p>
    <w:p w:rsidR="000E101A" w:rsidRDefault="003F39C6" w:rsidP="003F39C6">
      <w:pPr>
        <w:tabs>
          <w:tab w:val="left" w:pos="1530"/>
        </w:tabs>
        <w:spacing w:line="360" w:lineRule="auto"/>
        <w:ind w:firstLine="720"/>
        <w:rPr>
          <w:sz w:val="24"/>
        </w:rPr>
      </w:pPr>
      <w:r w:rsidRPr="003F39C6">
        <w:rPr>
          <w:sz w:val="24"/>
        </w:rPr>
        <w:t>Publications from the CE generally include tabulations of average expenditures and income arrayed by consumer unit characteristics, such as consumer unit si</w:t>
      </w:r>
      <w:r w:rsidR="005629BD">
        <w:rPr>
          <w:sz w:val="24"/>
        </w:rPr>
        <w:t>ze, age of reference person, or</w:t>
      </w:r>
      <w:r w:rsidRPr="003F39C6">
        <w:rPr>
          <w:sz w:val="24"/>
        </w:rPr>
        <w:t xml:space="preserve"> income. Tabulations by two variables (cross-tabulations) are available for selected characteristics, such as age by income and consumer unit size by income. </w:t>
      </w:r>
    </w:p>
    <w:p w:rsidR="003F39C6" w:rsidRPr="003F39C6" w:rsidRDefault="003F39C6" w:rsidP="003F39C6">
      <w:pPr>
        <w:tabs>
          <w:tab w:val="left" w:pos="1530"/>
        </w:tabs>
        <w:spacing w:line="360" w:lineRule="auto"/>
        <w:ind w:firstLine="720"/>
        <w:rPr>
          <w:sz w:val="24"/>
        </w:rPr>
      </w:pPr>
      <w:r w:rsidRPr="003F39C6">
        <w:rPr>
          <w:sz w:val="24"/>
        </w:rPr>
        <w:t xml:space="preserve">Integrated Diary and Interview Survey data </w:t>
      </w:r>
      <w:r w:rsidR="000E101A">
        <w:rPr>
          <w:sz w:val="24"/>
        </w:rPr>
        <w:t xml:space="preserve">tables </w:t>
      </w:r>
      <w:r w:rsidRPr="003F39C6">
        <w:rPr>
          <w:sz w:val="24"/>
        </w:rPr>
        <w:t xml:space="preserve">covering 12 months of data are published on </w:t>
      </w:r>
      <w:r w:rsidR="0088178A">
        <w:rPr>
          <w:sz w:val="24"/>
        </w:rPr>
        <w:t xml:space="preserve">a </w:t>
      </w:r>
      <w:r w:rsidRPr="003F39C6">
        <w:rPr>
          <w:sz w:val="24"/>
        </w:rPr>
        <w:t xml:space="preserve">twice a year basis, and </w:t>
      </w:r>
      <w:r w:rsidRPr="00657FAE">
        <w:rPr>
          <w:sz w:val="24"/>
        </w:rPr>
        <w:t xml:space="preserve">tabulations </w:t>
      </w:r>
      <w:r w:rsidR="009F3BFB" w:rsidRPr="00657FAE">
        <w:rPr>
          <w:sz w:val="24"/>
        </w:rPr>
        <w:t>for</w:t>
      </w:r>
      <w:r w:rsidRPr="00657FAE">
        <w:rPr>
          <w:sz w:val="24"/>
        </w:rPr>
        <w:t xml:space="preserve"> </w:t>
      </w:r>
      <w:r w:rsidR="009F3BFB" w:rsidRPr="00657FAE">
        <w:rPr>
          <w:sz w:val="24"/>
        </w:rPr>
        <w:t>1960-1961</w:t>
      </w:r>
      <w:r w:rsidR="009F3BFB">
        <w:rPr>
          <w:sz w:val="24"/>
        </w:rPr>
        <w:t xml:space="preserve">, </w:t>
      </w:r>
      <w:r w:rsidRPr="003F39C6">
        <w:rPr>
          <w:sz w:val="24"/>
        </w:rPr>
        <w:t>1972–1973</w:t>
      </w:r>
      <w:r w:rsidR="009F3BFB">
        <w:rPr>
          <w:sz w:val="24"/>
        </w:rPr>
        <w:t>,</w:t>
      </w:r>
      <w:r w:rsidRPr="003F39C6">
        <w:rPr>
          <w:sz w:val="24"/>
        </w:rPr>
        <w:t xml:space="preserve"> and 1984 onward are available on the BLS website.</w:t>
      </w:r>
    </w:p>
    <w:p w:rsidR="003F39C6" w:rsidRDefault="003F39C6" w:rsidP="003F39C6">
      <w:pPr>
        <w:tabs>
          <w:tab w:val="left" w:pos="1530"/>
        </w:tabs>
        <w:spacing w:line="360" w:lineRule="auto"/>
        <w:ind w:firstLine="720"/>
        <w:rPr>
          <w:sz w:val="24"/>
        </w:rPr>
      </w:pPr>
      <w:r w:rsidRPr="003F39C6">
        <w:rPr>
          <w:sz w:val="24"/>
        </w:rPr>
        <w:t xml:space="preserve">The Diary and Interview Survey public use microdata contain files of expenditure and income reports of each consumer unit. To protect the identities of respondents, selected geographic detail is eliminated, and selected income and expenditure variables may be topcoded. </w:t>
      </w:r>
      <w:r w:rsidR="000E4941">
        <w:rPr>
          <w:sz w:val="24"/>
        </w:rPr>
        <w:t xml:space="preserve">Topcoding refers to a confidentiality protection method were a subset of extremely high or low values are averaged together and the original values are replaced with the average amount. </w:t>
      </w:r>
      <w:r w:rsidRPr="003F39C6">
        <w:rPr>
          <w:sz w:val="24"/>
        </w:rPr>
        <w:t>The Interview files contain expenditure data in two formats: MTAB files that present monthly values in an item-coding framework, based on the CPI pricing scheme</w:t>
      </w:r>
      <w:r w:rsidR="004B3251">
        <w:rPr>
          <w:sz w:val="24"/>
        </w:rPr>
        <w:t>;</w:t>
      </w:r>
      <w:r w:rsidRPr="003F39C6">
        <w:rPr>
          <w:sz w:val="24"/>
        </w:rPr>
        <w:t xml:space="preserve"> and EXPN files that organize expenditures by the section of the Interview survey instrument in which they are collected. Expenditure values on the EXPN files cover different time periods, depending on specific questions asked; these files also contain relevant non</w:t>
      </w:r>
      <w:r w:rsidR="00182585">
        <w:rPr>
          <w:sz w:val="24"/>
        </w:rPr>
        <w:t>-</w:t>
      </w:r>
      <w:r w:rsidRPr="003F39C6">
        <w:rPr>
          <w:sz w:val="24"/>
        </w:rPr>
        <w:t>expenditure information not found on the MTAB files. The public use microdata files include quarterly expenditure summary variables at the consumer unit level.</w:t>
      </w:r>
      <w:r w:rsidRPr="003F39C6">
        <w:t xml:space="preserve">  </w:t>
      </w:r>
      <w:r w:rsidRPr="003F39C6">
        <w:rPr>
          <w:sz w:val="24"/>
        </w:rPr>
        <w:t>The annual Interview and Diar</w:t>
      </w:r>
      <w:r w:rsidR="009F3BFB">
        <w:rPr>
          <w:sz w:val="24"/>
        </w:rPr>
        <w:t>y microdata files are available</w:t>
      </w:r>
      <w:r w:rsidRPr="003F39C6">
        <w:rPr>
          <w:sz w:val="24"/>
        </w:rPr>
        <w:t xml:space="preserve"> beginning with 1990, as well as for selected earlier years.</w:t>
      </w:r>
      <w:r w:rsidR="000E4941">
        <w:rPr>
          <w:sz w:val="24"/>
        </w:rPr>
        <w:t xml:space="preserve">  </w:t>
      </w:r>
    </w:p>
    <w:p w:rsidR="000E4941" w:rsidRDefault="000E4941" w:rsidP="003F39C6">
      <w:pPr>
        <w:tabs>
          <w:tab w:val="left" w:pos="1530"/>
        </w:tabs>
        <w:spacing w:line="360" w:lineRule="auto"/>
        <w:ind w:firstLine="720"/>
        <w:rPr>
          <w:sz w:val="24"/>
        </w:rPr>
      </w:pPr>
      <w:r>
        <w:rPr>
          <w:sz w:val="24"/>
        </w:rPr>
        <w:t xml:space="preserve">Each year the CE conducts a free summer public use microdata users’ workshop to provide training on how to work with the microdata files. See: </w:t>
      </w:r>
      <w:hyperlink r:id="rId44" w:history="1">
        <w:r w:rsidRPr="00866D8C">
          <w:rPr>
            <w:rStyle w:val="Hyperlink"/>
            <w:sz w:val="24"/>
          </w:rPr>
          <w:t>http://www.bls.gov/cex/csxannualworkshop.htm</w:t>
        </w:r>
      </w:hyperlink>
    </w:p>
    <w:p w:rsidR="003F39C6" w:rsidRPr="003F39C6" w:rsidRDefault="003F39C6" w:rsidP="003F39C6">
      <w:pPr>
        <w:spacing w:line="360" w:lineRule="auto"/>
        <w:ind w:firstLine="720"/>
        <w:rPr>
          <w:sz w:val="24"/>
        </w:rPr>
      </w:pPr>
      <w:r w:rsidRPr="003F39C6">
        <w:rPr>
          <w:sz w:val="24"/>
        </w:rPr>
        <w:t xml:space="preserve">Articles that include analyses of CE data are published online in the </w:t>
      </w:r>
      <w:r w:rsidRPr="003F39C6">
        <w:rPr>
          <w:i/>
          <w:sz w:val="24"/>
        </w:rPr>
        <w:t>Monthly Labor Review</w:t>
      </w:r>
      <w:r w:rsidRPr="003F39C6">
        <w:rPr>
          <w:sz w:val="24"/>
        </w:rPr>
        <w:t xml:space="preserve"> (</w:t>
      </w:r>
      <w:r w:rsidRPr="003F39C6">
        <w:rPr>
          <w:i/>
          <w:sz w:val="24"/>
        </w:rPr>
        <w:t>MLR</w:t>
      </w:r>
      <w:r w:rsidRPr="003F39C6">
        <w:rPr>
          <w:sz w:val="24"/>
        </w:rPr>
        <w:t xml:space="preserve">), in the </w:t>
      </w:r>
      <w:r w:rsidR="000E101A">
        <w:rPr>
          <w:sz w:val="24"/>
        </w:rPr>
        <w:t xml:space="preserve">quarterly </w:t>
      </w:r>
      <w:r w:rsidRPr="003F39C6">
        <w:rPr>
          <w:sz w:val="24"/>
        </w:rPr>
        <w:t xml:space="preserve">publication </w:t>
      </w:r>
      <w:r w:rsidRPr="003F39C6">
        <w:rPr>
          <w:i/>
          <w:sz w:val="24"/>
        </w:rPr>
        <w:t xml:space="preserve">Beyond the Numbers, </w:t>
      </w:r>
      <w:r w:rsidRPr="003F39C6">
        <w:rPr>
          <w:sz w:val="24"/>
        </w:rPr>
        <w:t xml:space="preserve">and in CE data comparisons and research reports. Other survey information is available on the Internet, </w:t>
      </w:r>
      <w:r w:rsidRPr="003F39C6">
        <w:rPr>
          <w:sz w:val="24"/>
        </w:rPr>
        <w:lastRenderedPageBreak/>
        <w:t>including answers to frequently asked questions, copies of the Interview and Diary survey instruments, a glossary of terms, and order forms for survey products. Starting with the 2000 data, estimates of standard errors for integrated Diary and Interview survey data are available on the BLS website.</w:t>
      </w:r>
    </w:p>
    <w:p w:rsidR="003F39C6" w:rsidRPr="003F39C6" w:rsidRDefault="003F39C6" w:rsidP="003F39C6">
      <w:pPr>
        <w:tabs>
          <w:tab w:val="left" w:pos="1530"/>
        </w:tabs>
        <w:spacing w:line="360" w:lineRule="auto"/>
        <w:ind w:firstLine="720"/>
        <w:rPr>
          <w:sz w:val="24"/>
        </w:rPr>
      </w:pPr>
      <w:r w:rsidRPr="003F39C6">
        <w:rPr>
          <w:sz w:val="24"/>
        </w:rPr>
        <w:t>More detailed expenditure tables are available upon request. These tables are sorted by the same demographic variables as the standard tables</w:t>
      </w:r>
      <w:r w:rsidR="00657FAE">
        <w:rPr>
          <w:sz w:val="24"/>
        </w:rPr>
        <w:t xml:space="preserve"> on the CE website,</w:t>
      </w:r>
      <w:r w:rsidRPr="003F39C6">
        <w:rPr>
          <w:sz w:val="24"/>
        </w:rPr>
        <w:t xml:space="preserve"> but have more expenditure subcategories. Estimates for these subcategories have higher variance than the standard published tables.</w:t>
      </w:r>
      <w:r w:rsidR="00657FAE">
        <w:rPr>
          <w:sz w:val="24"/>
        </w:rPr>
        <w:t xml:space="preserve">  These detailed tables are not online, but </w:t>
      </w:r>
      <w:r w:rsidR="0088178A">
        <w:rPr>
          <w:sz w:val="24"/>
        </w:rPr>
        <w:t xml:space="preserve">will </w:t>
      </w:r>
      <w:r w:rsidR="00657FAE">
        <w:rPr>
          <w:sz w:val="24"/>
        </w:rPr>
        <w:t>be emailed upon request.</w:t>
      </w:r>
    </w:p>
    <w:p w:rsidR="003F39C6" w:rsidRDefault="003F39C6" w:rsidP="003F39C6">
      <w:pPr>
        <w:pStyle w:val="Title1"/>
        <w:tabs>
          <w:tab w:val="clear" w:pos="2881"/>
          <w:tab w:val="clear" w:pos="3601"/>
          <w:tab w:val="clear" w:pos="4321"/>
          <w:tab w:val="clear" w:pos="5040"/>
          <w:tab w:val="clear" w:pos="5760"/>
          <w:tab w:val="clear" w:pos="6480"/>
          <w:tab w:val="clear" w:pos="7199"/>
          <w:tab w:val="clear" w:pos="7919"/>
          <w:tab w:val="clear" w:pos="8641"/>
          <w:tab w:val="clear" w:pos="9361"/>
          <w:tab w:val="clear" w:pos="10081"/>
          <w:tab w:val="clear" w:pos="10800"/>
          <w:tab w:val="clear" w:pos="11520"/>
          <w:tab w:val="clear" w:pos="12240"/>
          <w:tab w:val="clear" w:pos="12959"/>
          <w:tab w:val="clear" w:pos="13679"/>
          <w:tab w:val="clear" w:pos="14401"/>
          <w:tab w:val="clear" w:pos="15121"/>
          <w:tab w:val="clear" w:pos="15841"/>
          <w:tab w:val="clear" w:pos="16560"/>
          <w:tab w:val="clear" w:pos="17280"/>
          <w:tab w:val="clear" w:pos="18000"/>
          <w:tab w:val="clear" w:pos="18719"/>
          <w:tab w:val="clear" w:pos="19439"/>
          <w:tab w:val="clear" w:pos="20161"/>
          <w:tab w:val="clear" w:pos="20881"/>
          <w:tab w:val="clear" w:pos="21601"/>
          <w:tab w:val="left" w:pos="1530"/>
          <w:tab w:val="left" w:pos="2879"/>
          <w:tab w:val="left" w:pos="3599"/>
          <w:tab w:val="left" w:pos="4318"/>
          <w:tab w:val="left" w:pos="5038"/>
          <w:tab w:val="left" w:pos="5758"/>
          <w:tab w:val="left" w:pos="6477"/>
          <w:tab w:val="left" w:pos="7197"/>
          <w:tab w:val="left" w:pos="7917"/>
          <w:tab w:val="left" w:pos="8636"/>
          <w:tab w:val="left" w:pos="9356"/>
          <w:tab w:val="left" w:pos="10076"/>
          <w:tab w:val="left" w:pos="10796"/>
          <w:tab w:val="left" w:pos="11515"/>
          <w:tab w:val="left" w:pos="12235"/>
          <w:tab w:val="left" w:pos="12955"/>
          <w:tab w:val="left" w:pos="13674"/>
          <w:tab w:val="left" w:pos="14394"/>
          <w:tab w:val="left" w:pos="15114"/>
          <w:tab w:val="left" w:pos="15833"/>
          <w:tab w:val="left" w:pos="16553"/>
          <w:tab w:val="left" w:pos="17273"/>
          <w:tab w:val="left" w:pos="17993"/>
          <w:tab w:val="left" w:pos="18712"/>
          <w:tab w:val="left" w:pos="19432"/>
          <w:tab w:val="left" w:pos="20152"/>
          <w:tab w:val="left" w:pos="20871"/>
          <w:tab w:val="left" w:pos="21591"/>
        </w:tabs>
        <w:spacing w:line="240" w:lineRule="auto"/>
        <w:jc w:val="both"/>
        <w:rPr>
          <w:rFonts w:ascii="Arial" w:hAnsi="Arial" w:cs="Arial"/>
          <w:sz w:val="24"/>
          <w:szCs w:val="24"/>
        </w:rPr>
      </w:pPr>
    </w:p>
    <w:p w:rsidR="00274291" w:rsidRPr="005004F8" w:rsidRDefault="00274291" w:rsidP="00274291">
      <w:pPr>
        <w:pStyle w:val="Title1"/>
        <w:numPr>
          <w:ilvl w:val="0"/>
          <w:numId w:val="9"/>
        </w:numPr>
        <w:tabs>
          <w:tab w:val="left" w:pos="1530"/>
        </w:tabs>
        <w:spacing w:line="240" w:lineRule="auto"/>
        <w:jc w:val="both"/>
        <w:rPr>
          <w:rFonts w:ascii="Arial" w:hAnsi="Arial" w:cs="Arial"/>
          <w:color w:val="C0504D" w:themeColor="accent2"/>
          <w:sz w:val="24"/>
          <w:szCs w:val="24"/>
        </w:rPr>
      </w:pPr>
      <w:r w:rsidRPr="005004F8">
        <w:rPr>
          <w:rFonts w:ascii="Arial" w:hAnsi="Arial" w:cs="Arial"/>
          <w:color w:val="C0504D" w:themeColor="accent2"/>
          <w:sz w:val="24"/>
          <w:szCs w:val="24"/>
        </w:rPr>
        <w:t>History</w:t>
      </w:r>
    </w:p>
    <w:p w:rsidR="005004F8" w:rsidRDefault="005004F8" w:rsidP="005004F8">
      <w:pPr>
        <w:pStyle w:val="Title1"/>
        <w:tabs>
          <w:tab w:val="left" w:pos="1530"/>
        </w:tabs>
        <w:spacing w:line="240" w:lineRule="auto"/>
        <w:jc w:val="both"/>
        <w:rPr>
          <w:rFonts w:ascii="Arial" w:hAnsi="Arial" w:cs="Arial"/>
          <w:sz w:val="24"/>
          <w:szCs w:val="24"/>
        </w:rPr>
      </w:pPr>
    </w:p>
    <w:p w:rsidR="005004F8" w:rsidRPr="005004F8" w:rsidRDefault="00C6783A" w:rsidP="005004F8">
      <w:pPr>
        <w:pStyle w:val="left"/>
        <w:tabs>
          <w:tab w:val="left" w:pos="1530"/>
        </w:tabs>
        <w:spacing w:before="1" w:line="360" w:lineRule="auto"/>
        <w:ind w:firstLine="0"/>
        <w:jc w:val="left"/>
        <w:rPr>
          <w:rFonts w:ascii="Times New Roman" w:hAnsi="Times New Roman"/>
          <w:sz w:val="24"/>
        </w:rPr>
      </w:pPr>
      <w:r>
        <w:rPr>
          <w:rFonts w:ascii="Times New Roman" w:hAnsi="Times New Roman"/>
          <w:sz w:val="24"/>
        </w:rPr>
        <w:tab/>
      </w:r>
      <w:r w:rsidR="005004F8" w:rsidRPr="005004F8">
        <w:rPr>
          <w:rFonts w:ascii="Times New Roman" w:hAnsi="Times New Roman"/>
          <w:sz w:val="24"/>
        </w:rPr>
        <w:t xml:space="preserve">The Bureau's studies of family living conditions rank among its oldest data-collecting functions. The first nationwide expenditure survey </w:t>
      </w:r>
      <w:r w:rsidR="009F3BFB">
        <w:rPr>
          <w:rFonts w:ascii="Times New Roman" w:hAnsi="Times New Roman"/>
          <w:sz w:val="24"/>
        </w:rPr>
        <w:t>was conducted during 1888–1891</w:t>
      </w:r>
      <w:r w:rsidR="005004F8" w:rsidRPr="005004F8">
        <w:rPr>
          <w:rFonts w:ascii="Times New Roman" w:hAnsi="Times New Roman"/>
          <w:sz w:val="24"/>
        </w:rPr>
        <w:t xml:space="preserve"> to study workers' spending patterns as elements of production costs. With special reference to competition in foreign trade, the survey emphasized the worker's role as a producer, rather than as a consumer. In response to rapid price changes prior to the turn of the 20</w:t>
      </w:r>
      <w:r w:rsidR="005004F8" w:rsidRPr="005004F8">
        <w:rPr>
          <w:rFonts w:ascii="Times New Roman" w:hAnsi="Times New Roman"/>
          <w:sz w:val="24"/>
          <w:vertAlign w:val="superscript"/>
        </w:rPr>
        <w:t>th</w:t>
      </w:r>
      <w:r w:rsidR="005004F8" w:rsidRPr="005004F8">
        <w:rPr>
          <w:rFonts w:ascii="Times New Roman" w:hAnsi="Times New Roman"/>
          <w:sz w:val="24"/>
        </w:rPr>
        <w:t xml:space="preserve"> century, a second survey was administered in 1901. The resulting data provided the weights for an index of prices of food purchased by workers that was used until World War I as a deflator for workers' incomes and expenditures. A third survey, conducted during 1917–1919, provided weights for computing a cost-of-living index, now known as the Consumer Price Index (CPI). The Bureau conducted its next major survey, covering only urban wage earners and clerical workers, during 1934–1936, primarily to revise CPI weights.</w:t>
      </w:r>
    </w:p>
    <w:p w:rsidR="005004F8" w:rsidRDefault="005004F8" w:rsidP="005004F8">
      <w:pPr>
        <w:pStyle w:val="left"/>
        <w:tabs>
          <w:tab w:val="left" w:pos="1530"/>
        </w:tabs>
        <w:spacing w:line="360" w:lineRule="auto"/>
        <w:ind w:firstLine="0"/>
        <w:jc w:val="left"/>
        <w:rPr>
          <w:rFonts w:ascii="Times New Roman" w:hAnsi="Times New Roman"/>
          <w:sz w:val="24"/>
        </w:rPr>
      </w:pPr>
      <w:r w:rsidRPr="005004F8">
        <w:rPr>
          <w:rFonts w:ascii="Times New Roman" w:hAnsi="Times New Roman"/>
          <w:sz w:val="24"/>
        </w:rPr>
        <w:tab/>
        <w:t xml:space="preserve">During the Great Depression of the 1930s, the use of consumer expenditure surveys extended from the study of the welfare of selected groups to more general economic analysis. Concurrent with its 1934–1936 investigation, the Bureau cooperated with four other Federal agencies in a fifth survey, the 1935–1936 study of consumer purchases, which presented consumption estimates for both urban and rural segments of the population. </w:t>
      </w:r>
    </w:p>
    <w:p w:rsidR="005004F8" w:rsidRDefault="005004F8" w:rsidP="005004F8">
      <w:pPr>
        <w:pStyle w:val="left"/>
        <w:tabs>
          <w:tab w:val="left" w:pos="1530"/>
        </w:tabs>
        <w:spacing w:line="360" w:lineRule="auto"/>
        <w:ind w:firstLine="0"/>
        <w:jc w:val="left"/>
        <w:rPr>
          <w:rFonts w:ascii="Times New Roman" w:hAnsi="Times New Roman"/>
          <w:sz w:val="24"/>
        </w:rPr>
      </w:pPr>
      <w:r>
        <w:rPr>
          <w:rFonts w:ascii="Times New Roman" w:hAnsi="Times New Roman"/>
          <w:sz w:val="24"/>
        </w:rPr>
        <w:tab/>
      </w:r>
      <w:r w:rsidRPr="005004F8">
        <w:rPr>
          <w:rFonts w:ascii="Times New Roman" w:hAnsi="Times New Roman"/>
          <w:sz w:val="24"/>
        </w:rPr>
        <w:t>During World War II, a 1941-</w:t>
      </w:r>
      <w:r w:rsidR="009F3BFB">
        <w:rPr>
          <w:rFonts w:ascii="Times New Roman" w:hAnsi="Times New Roman"/>
          <w:sz w:val="24"/>
        </w:rPr>
        <w:t>19</w:t>
      </w:r>
      <w:r w:rsidRPr="005004F8">
        <w:rPr>
          <w:rFonts w:ascii="Times New Roman" w:hAnsi="Times New Roman"/>
          <w:sz w:val="24"/>
        </w:rPr>
        <w:t xml:space="preserve">42 survey for urban, non-farm, and farm households was conducted, with a follow-up survey of </w:t>
      </w:r>
      <w:r>
        <w:rPr>
          <w:rFonts w:ascii="Times New Roman" w:hAnsi="Times New Roman"/>
          <w:sz w:val="24"/>
        </w:rPr>
        <w:t xml:space="preserve">only </w:t>
      </w:r>
      <w:r w:rsidRPr="005004F8">
        <w:rPr>
          <w:rFonts w:ascii="Times New Roman" w:hAnsi="Times New Roman"/>
          <w:sz w:val="24"/>
        </w:rPr>
        <w:t xml:space="preserve">urban households </w:t>
      </w:r>
      <w:r>
        <w:rPr>
          <w:rFonts w:ascii="Times New Roman" w:hAnsi="Times New Roman"/>
          <w:sz w:val="24"/>
        </w:rPr>
        <w:t xml:space="preserve">collected </w:t>
      </w:r>
      <w:r>
        <w:rPr>
          <w:rFonts w:ascii="Times New Roman" w:hAnsi="Times New Roman"/>
          <w:sz w:val="24"/>
        </w:rPr>
        <w:lastRenderedPageBreak/>
        <w:t>in 1944</w:t>
      </w:r>
      <w:r w:rsidRPr="005004F8">
        <w:rPr>
          <w:rFonts w:ascii="Times New Roman" w:hAnsi="Times New Roman"/>
          <w:sz w:val="24"/>
        </w:rPr>
        <w:t xml:space="preserve">.  </w:t>
      </w:r>
      <w:r w:rsidR="000E4941">
        <w:rPr>
          <w:rFonts w:ascii="Times New Roman" w:hAnsi="Times New Roman"/>
          <w:sz w:val="24"/>
        </w:rPr>
        <w:t xml:space="preserve">See: </w:t>
      </w:r>
      <w:hyperlink r:id="rId45" w:history="1">
        <w:r w:rsidR="000E4941" w:rsidRPr="00866D8C">
          <w:rPr>
            <w:rStyle w:val="Hyperlink"/>
            <w:rFonts w:ascii="Times New Roman" w:hAnsi="Times New Roman"/>
            <w:sz w:val="24"/>
          </w:rPr>
          <w:t>http://www.bls.gov/opub/mlr/2015/article/consumer-spending-in-world-war-ii-the-forgotten-consumer-expenditure-surveys.htm</w:t>
        </w:r>
      </w:hyperlink>
    </w:p>
    <w:p w:rsidR="005004F8" w:rsidRDefault="005004F8" w:rsidP="005004F8">
      <w:pPr>
        <w:pStyle w:val="left"/>
        <w:tabs>
          <w:tab w:val="left" w:pos="1530"/>
        </w:tabs>
        <w:spacing w:line="360" w:lineRule="auto"/>
        <w:ind w:firstLine="0"/>
        <w:jc w:val="left"/>
        <w:rPr>
          <w:rFonts w:ascii="Times New Roman" w:hAnsi="Times New Roman"/>
          <w:sz w:val="24"/>
        </w:rPr>
      </w:pPr>
      <w:r>
        <w:rPr>
          <w:rFonts w:ascii="Times New Roman" w:hAnsi="Times New Roman"/>
          <w:sz w:val="24"/>
        </w:rPr>
        <w:tab/>
      </w:r>
      <w:r w:rsidRPr="005004F8">
        <w:rPr>
          <w:rFonts w:ascii="Times New Roman" w:hAnsi="Times New Roman"/>
          <w:sz w:val="24"/>
        </w:rPr>
        <w:t xml:space="preserve">The next survey in 1950, </w:t>
      </w:r>
      <w:r w:rsidR="00B5522F">
        <w:rPr>
          <w:rFonts w:ascii="Times New Roman" w:hAnsi="Times New Roman"/>
          <w:sz w:val="24"/>
        </w:rPr>
        <w:t>which covered only</w:t>
      </w:r>
      <w:r w:rsidRPr="005004F8">
        <w:rPr>
          <w:rFonts w:ascii="Times New Roman" w:hAnsi="Times New Roman"/>
          <w:sz w:val="24"/>
        </w:rPr>
        <w:t xml:space="preserve"> urban consumers</w:t>
      </w:r>
      <w:r>
        <w:rPr>
          <w:rFonts w:ascii="Times New Roman" w:hAnsi="Times New Roman"/>
          <w:sz w:val="24"/>
        </w:rPr>
        <w:t>,</w:t>
      </w:r>
      <w:r w:rsidRPr="005004F8">
        <w:rPr>
          <w:rFonts w:ascii="Times New Roman" w:hAnsi="Times New Roman"/>
          <w:sz w:val="24"/>
        </w:rPr>
        <w:t xml:space="preserve"> was an abbreviated version of the 1935–1936 study. </w:t>
      </w:r>
      <w:r w:rsidR="00C165EE">
        <w:rPr>
          <w:rFonts w:ascii="Times New Roman" w:hAnsi="Times New Roman"/>
          <w:sz w:val="24"/>
        </w:rPr>
        <w:t xml:space="preserve">The </w:t>
      </w:r>
      <w:r w:rsidR="00371495">
        <w:rPr>
          <w:rFonts w:ascii="Times New Roman" w:hAnsi="Times New Roman"/>
          <w:sz w:val="24"/>
        </w:rPr>
        <w:t xml:space="preserve">1950 </w:t>
      </w:r>
      <w:r w:rsidR="00D03957">
        <w:rPr>
          <w:rFonts w:ascii="Times New Roman" w:hAnsi="Times New Roman"/>
          <w:sz w:val="24"/>
        </w:rPr>
        <w:t xml:space="preserve">CE </w:t>
      </w:r>
      <w:r w:rsidR="00371495">
        <w:rPr>
          <w:rFonts w:ascii="Times New Roman" w:hAnsi="Times New Roman"/>
          <w:sz w:val="24"/>
        </w:rPr>
        <w:t>data were used in the 1953 CPI revision.</w:t>
      </w:r>
    </w:p>
    <w:p w:rsidR="005004F8" w:rsidRPr="005004F8" w:rsidRDefault="005004F8" w:rsidP="005004F8">
      <w:pPr>
        <w:pStyle w:val="left"/>
        <w:tabs>
          <w:tab w:val="left" w:pos="1530"/>
        </w:tabs>
        <w:spacing w:line="360" w:lineRule="auto"/>
        <w:ind w:firstLine="0"/>
        <w:jc w:val="left"/>
        <w:rPr>
          <w:rFonts w:ascii="Times New Roman" w:hAnsi="Times New Roman"/>
          <w:sz w:val="24"/>
        </w:rPr>
      </w:pPr>
      <w:r>
        <w:rPr>
          <w:rFonts w:ascii="Times New Roman" w:hAnsi="Times New Roman"/>
          <w:sz w:val="24"/>
        </w:rPr>
        <w:tab/>
      </w:r>
      <w:r w:rsidRPr="005004F8">
        <w:rPr>
          <w:rFonts w:ascii="Times New Roman" w:hAnsi="Times New Roman"/>
          <w:sz w:val="24"/>
        </w:rPr>
        <w:t>The 1960–1961 Survey of Consumer Expenditures once again included both urban and rural families and provided the basis for revising the CPI weights, while supplying material for broader economic, social, and market analyses.</w:t>
      </w:r>
    </w:p>
    <w:p w:rsidR="005004F8" w:rsidRPr="005004F8" w:rsidRDefault="005004F8" w:rsidP="005004F8">
      <w:pPr>
        <w:pStyle w:val="left"/>
        <w:tabs>
          <w:tab w:val="left" w:pos="1530"/>
        </w:tabs>
        <w:spacing w:line="360" w:lineRule="auto"/>
        <w:ind w:firstLine="0"/>
        <w:jc w:val="left"/>
        <w:rPr>
          <w:rFonts w:ascii="Times New Roman" w:hAnsi="Times New Roman"/>
          <w:sz w:val="24"/>
        </w:rPr>
      </w:pPr>
      <w:r w:rsidRPr="005004F8">
        <w:rPr>
          <w:rFonts w:ascii="Times New Roman" w:hAnsi="Times New Roman"/>
          <w:sz w:val="24"/>
        </w:rPr>
        <w:tab/>
        <w:t>Eleven years later, t</w:t>
      </w:r>
      <w:r>
        <w:rPr>
          <w:rFonts w:ascii="Times New Roman" w:hAnsi="Times New Roman"/>
          <w:sz w:val="24"/>
        </w:rPr>
        <w:t>he next survey collecting</w:t>
      </w:r>
      <w:r w:rsidRPr="005004F8">
        <w:rPr>
          <w:rFonts w:ascii="Times New Roman" w:hAnsi="Times New Roman"/>
          <w:sz w:val="24"/>
        </w:rPr>
        <w:t xml:space="preserve"> information on expenditures of </w:t>
      </w:r>
      <w:r w:rsidR="00657FAE">
        <w:rPr>
          <w:rFonts w:ascii="Times New Roman" w:hAnsi="Times New Roman"/>
          <w:sz w:val="24"/>
        </w:rPr>
        <w:t xml:space="preserve">urban and rural </w:t>
      </w:r>
      <w:r w:rsidRPr="005004F8">
        <w:rPr>
          <w:rFonts w:ascii="Times New Roman" w:hAnsi="Times New Roman"/>
          <w:sz w:val="24"/>
        </w:rPr>
        <w:t>householders in the United States was conducted in 1972–1973. That survey, while providing continuity with the content of the Bureau's previous surveys, departed from the past in its collection techniques.</w:t>
      </w:r>
      <w:r w:rsidR="002F769F">
        <w:rPr>
          <w:rFonts w:ascii="Times New Roman" w:hAnsi="Times New Roman"/>
          <w:sz w:val="24"/>
        </w:rPr>
        <w:t xml:space="preserve">  </w:t>
      </w:r>
    </w:p>
    <w:p w:rsidR="005004F8" w:rsidRPr="005004F8" w:rsidRDefault="005004F8" w:rsidP="005004F8">
      <w:pPr>
        <w:pStyle w:val="left"/>
        <w:tabs>
          <w:tab w:val="left" w:pos="1530"/>
        </w:tabs>
        <w:spacing w:line="360" w:lineRule="auto"/>
        <w:ind w:firstLine="0"/>
        <w:jc w:val="left"/>
        <w:rPr>
          <w:rFonts w:ascii="Times New Roman" w:hAnsi="Times New Roman"/>
          <w:sz w:val="24"/>
        </w:rPr>
      </w:pPr>
      <w:r w:rsidRPr="005004F8">
        <w:rPr>
          <w:rFonts w:ascii="Times New Roman" w:hAnsi="Times New Roman"/>
          <w:sz w:val="24"/>
        </w:rPr>
        <w:tab/>
      </w:r>
      <w:r w:rsidR="00E870E9">
        <w:rPr>
          <w:rFonts w:ascii="Times New Roman" w:hAnsi="Times New Roman"/>
          <w:sz w:val="24"/>
        </w:rPr>
        <w:t xml:space="preserve">Unlike the previous </w:t>
      </w:r>
      <w:r w:rsidRPr="005004F8">
        <w:rPr>
          <w:rFonts w:ascii="Times New Roman" w:hAnsi="Times New Roman"/>
          <w:sz w:val="24"/>
        </w:rPr>
        <w:t>surveys, the U.S. Census Bureau, under contract to BLS, conducted all sample selection and field work. Another significant change was the use of two independent surveys to collect the information—a diary survey and an interview panel survey. A third major change was the switch from an annua</w:t>
      </w:r>
      <w:r w:rsidR="00E870E9">
        <w:rPr>
          <w:rFonts w:ascii="Times New Roman" w:hAnsi="Times New Roman"/>
          <w:sz w:val="24"/>
        </w:rPr>
        <w:t xml:space="preserve">l recall to a quarterly recall </w:t>
      </w:r>
      <w:r w:rsidRPr="005004F8">
        <w:rPr>
          <w:rFonts w:ascii="Times New Roman" w:hAnsi="Times New Roman"/>
          <w:sz w:val="24"/>
        </w:rPr>
        <w:t>in the Interview Survey</w:t>
      </w:r>
      <w:r w:rsidR="00E870E9">
        <w:rPr>
          <w:rFonts w:ascii="Times New Roman" w:hAnsi="Times New Roman"/>
          <w:sz w:val="24"/>
        </w:rPr>
        <w:t>,</w:t>
      </w:r>
      <w:r w:rsidRPr="005004F8">
        <w:rPr>
          <w:rFonts w:ascii="Times New Roman" w:hAnsi="Times New Roman"/>
          <w:sz w:val="24"/>
        </w:rPr>
        <w:t xml:space="preserve"> and daily</w:t>
      </w:r>
      <w:r w:rsidR="00E870E9">
        <w:rPr>
          <w:rFonts w:ascii="Times New Roman" w:hAnsi="Times New Roman"/>
          <w:sz w:val="24"/>
        </w:rPr>
        <w:t xml:space="preserve"> recordkeeping of expenditures in the Diary Survey</w:t>
      </w:r>
      <w:r w:rsidRPr="005004F8">
        <w:rPr>
          <w:rFonts w:ascii="Times New Roman" w:hAnsi="Times New Roman"/>
          <w:sz w:val="24"/>
        </w:rPr>
        <w:t>. Again, the resulting data were used to revise CPI weights.</w:t>
      </w:r>
    </w:p>
    <w:p w:rsidR="005004F8" w:rsidRPr="005004F8" w:rsidRDefault="005004F8" w:rsidP="005004F8">
      <w:pPr>
        <w:pStyle w:val="left"/>
        <w:tabs>
          <w:tab w:val="left" w:pos="1530"/>
        </w:tabs>
        <w:spacing w:line="360" w:lineRule="auto"/>
        <w:ind w:firstLine="0"/>
        <w:jc w:val="left"/>
        <w:rPr>
          <w:sz w:val="24"/>
        </w:rPr>
      </w:pPr>
      <w:r w:rsidRPr="005004F8">
        <w:rPr>
          <w:rFonts w:ascii="Times New Roman" w:hAnsi="Times New Roman"/>
          <w:sz w:val="24"/>
        </w:rPr>
        <w:tab/>
        <w:t>The need for more timely data than could be supplied by surveys conducted every 10 to 12 years—intensified by the rapidly changing economic conditions of the 1970s—led to the initiation of the current continuing survey in late 1979. From 198</w:t>
      </w:r>
      <w:r w:rsidR="0082797C">
        <w:rPr>
          <w:rFonts w:ascii="Times New Roman" w:hAnsi="Times New Roman"/>
          <w:sz w:val="24"/>
        </w:rPr>
        <w:t>4</w:t>
      </w:r>
      <w:r w:rsidRPr="005004F8">
        <w:rPr>
          <w:rFonts w:ascii="Times New Roman" w:hAnsi="Times New Roman"/>
          <w:sz w:val="24"/>
        </w:rPr>
        <w:t xml:space="preserve"> to 2011, </w:t>
      </w:r>
      <w:r w:rsidR="009F3BFB">
        <w:rPr>
          <w:rFonts w:ascii="Times New Roman" w:hAnsi="Times New Roman"/>
          <w:sz w:val="24"/>
        </w:rPr>
        <w:t xml:space="preserve">annual </w:t>
      </w:r>
      <w:r w:rsidR="00687CA7">
        <w:rPr>
          <w:rFonts w:ascii="Times New Roman" w:hAnsi="Times New Roman"/>
          <w:sz w:val="24"/>
        </w:rPr>
        <w:t xml:space="preserve">calendar year </w:t>
      </w:r>
      <w:r w:rsidR="009F3BFB">
        <w:rPr>
          <w:rFonts w:ascii="Times New Roman" w:hAnsi="Times New Roman"/>
          <w:sz w:val="24"/>
        </w:rPr>
        <w:t xml:space="preserve">data </w:t>
      </w:r>
      <w:r w:rsidR="0082797C">
        <w:rPr>
          <w:rFonts w:ascii="Times New Roman" w:hAnsi="Times New Roman"/>
          <w:sz w:val="24"/>
        </w:rPr>
        <w:t xml:space="preserve">tables </w:t>
      </w:r>
      <w:r w:rsidR="009F3BFB">
        <w:rPr>
          <w:rFonts w:ascii="Times New Roman" w:hAnsi="Times New Roman"/>
          <w:sz w:val="24"/>
        </w:rPr>
        <w:t>have been available</w:t>
      </w:r>
      <w:r w:rsidRPr="005004F8">
        <w:rPr>
          <w:rFonts w:ascii="Times New Roman" w:hAnsi="Times New Roman"/>
          <w:sz w:val="24"/>
        </w:rPr>
        <w:t xml:space="preserve">. Beginning with July 2012 data, </w:t>
      </w:r>
      <w:r w:rsidR="00D742AC">
        <w:rPr>
          <w:rFonts w:ascii="Times New Roman" w:hAnsi="Times New Roman"/>
          <w:sz w:val="24"/>
        </w:rPr>
        <w:t xml:space="preserve">both annual data plus </w:t>
      </w:r>
      <w:r w:rsidRPr="005004F8">
        <w:rPr>
          <w:rFonts w:ascii="Times New Roman" w:hAnsi="Times New Roman"/>
          <w:sz w:val="24"/>
        </w:rPr>
        <w:t>a second set of 12-month tables covering the second half of one published year with the first half of the subsequent year have been published. The objectives of the CE remain the same: to provide the basis for revising weights and associated pricing samples for the CPI and to meet the need for timely and detailed information on the spending patterns of different types of families.  Like the 1972–1973 survey, the current survey consists of two separate surveys, each with a different data collection technique and sample.</w:t>
      </w:r>
      <w:r w:rsidR="002F769F">
        <w:rPr>
          <w:rFonts w:ascii="Times New Roman" w:hAnsi="Times New Roman"/>
          <w:sz w:val="24"/>
        </w:rPr>
        <w:t xml:space="preserve">  However, as described in the next section, BLS began a project in 2009 to look at the need for a complete redesign of the survey.  </w:t>
      </w:r>
    </w:p>
    <w:p w:rsidR="005004F8" w:rsidRDefault="005004F8" w:rsidP="005004F8">
      <w:pPr>
        <w:pStyle w:val="Title1"/>
        <w:tabs>
          <w:tab w:val="left" w:pos="1530"/>
        </w:tabs>
        <w:spacing w:line="240" w:lineRule="auto"/>
        <w:jc w:val="both"/>
        <w:rPr>
          <w:rFonts w:ascii="Arial" w:hAnsi="Arial" w:cs="Arial"/>
          <w:sz w:val="24"/>
          <w:szCs w:val="24"/>
        </w:rPr>
      </w:pPr>
    </w:p>
    <w:p w:rsidR="00211BBB" w:rsidRDefault="00274291" w:rsidP="00274291">
      <w:pPr>
        <w:pStyle w:val="Title1"/>
        <w:numPr>
          <w:ilvl w:val="0"/>
          <w:numId w:val="9"/>
        </w:numPr>
        <w:tabs>
          <w:tab w:val="left" w:pos="1530"/>
        </w:tabs>
        <w:spacing w:line="240" w:lineRule="auto"/>
        <w:jc w:val="both"/>
        <w:rPr>
          <w:rFonts w:ascii="Arial" w:hAnsi="Arial" w:cs="Arial"/>
          <w:sz w:val="24"/>
          <w:szCs w:val="24"/>
        </w:rPr>
      </w:pPr>
      <w:r w:rsidRPr="001D1DFC">
        <w:rPr>
          <w:rFonts w:ascii="Arial" w:hAnsi="Arial" w:cs="Arial"/>
          <w:color w:val="C0504D" w:themeColor="accent2"/>
          <w:sz w:val="24"/>
          <w:szCs w:val="24"/>
        </w:rPr>
        <w:t>More Information</w:t>
      </w:r>
    </w:p>
    <w:p w:rsidR="00226F6C" w:rsidRPr="004B2B26" w:rsidRDefault="00226F6C" w:rsidP="00226F6C">
      <w:pPr>
        <w:pStyle w:val="Title1"/>
        <w:tabs>
          <w:tab w:val="left" w:pos="1530"/>
        </w:tabs>
        <w:spacing w:line="240" w:lineRule="auto"/>
        <w:jc w:val="both"/>
        <w:rPr>
          <w:rFonts w:ascii="Arial" w:hAnsi="Arial" w:cs="Arial"/>
          <w:sz w:val="24"/>
          <w:szCs w:val="24"/>
        </w:rPr>
      </w:pPr>
    </w:p>
    <w:p w:rsidR="001D1DFC" w:rsidRPr="00411FFD" w:rsidRDefault="00BA06E2" w:rsidP="00411FFD">
      <w:pPr>
        <w:pStyle w:val="Heading3"/>
        <w:spacing w:line="360" w:lineRule="auto"/>
        <w:rPr>
          <w:szCs w:val="24"/>
        </w:rPr>
      </w:pPr>
      <w:r w:rsidRPr="00411FFD">
        <w:rPr>
          <w:szCs w:val="24"/>
        </w:rPr>
        <w:t xml:space="preserve">Survey Methods </w:t>
      </w:r>
      <w:r w:rsidR="001D1DFC" w:rsidRPr="00411FFD">
        <w:rPr>
          <w:szCs w:val="24"/>
        </w:rPr>
        <w:t>Research</w:t>
      </w:r>
    </w:p>
    <w:p w:rsidR="001D1DFC" w:rsidRPr="001D1DFC" w:rsidRDefault="00EE7295" w:rsidP="001D1DFC">
      <w:pPr>
        <w:tabs>
          <w:tab w:val="left" w:pos="1530"/>
        </w:tabs>
        <w:spacing w:line="360" w:lineRule="auto"/>
        <w:ind w:firstLine="720"/>
        <w:rPr>
          <w:sz w:val="24"/>
        </w:rPr>
      </w:pPr>
      <w:r>
        <w:rPr>
          <w:sz w:val="24"/>
        </w:rPr>
        <w:t>The c</w:t>
      </w:r>
      <w:r w:rsidR="001D1DFC" w:rsidRPr="001D1DFC">
        <w:rPr>
          <w:sz w:val="24"/>
        </w:rPr>
        <w:t>onsumer expenditure surveys undergo continuous evaluation, by comparing results with other sources and by performing internal statistical, qualitative, and cognitive analyses to address current methodological concerns. To improve expenditure estimates, research related to the data collection instruments, field procedures, and sources of potential survey error began in the mid-1980s, and ha</w:t>
      </w:r>
      <w:r w:rsidR="00D52DDB">
        <w:rPr>
          <w:sz w:val="24"/>
        </w:rPr>
        <w:t xml:space="preserve">s </w:t>
      </w:r>
      <w:r w:rsidR="001D1DFC" w:rsidRPr="001D1DFC">
        <w:rPr>
          <w:sz w:val="24"/>
        </w:rPr>
        <w:t xml:space="preserve">since become standard practice. </w:t>
      </w:r>
      <w:r w:rsidR="00D52DDB">
        <w:rPr>
          <w:sz w:val="24"/>
        </w:rPr>
        <w:t>In 1999, the BLS established a</w:t>
      </w:r>
      <w:r w:rsidR="001D1DFC" w:rsidRPr="001D1DFC">
        <w:rPr>
          <w:sz w:val="24"/>
        </w:rPr>
        <w:t xml:space="preserve"> separate Branch of Research and Program Development (BRPD) within the Division of Consumer Expenditure Survey, with the mission of developing and conducting methodological studies to improve survey instruments, field procedures, and overall survey data quality. In recent years, BRPD has focused on </w:t>
      </w:r>
      <w:r w:rsidR="00F229D0">
        <w:rPr>
          <w:sz w:val="24"/>
        </w:rPr>
        <w:t xml:space="preserve">three </w:t>
      </w:r>
      <w:r w:rsidR="00D52DDB">
        <w:rPr>
          <w:sz w:val="24"/>
        </w:rPr>
        <w:t xml:space="preserve">core </w:t>
      </w:r>
      <w:r w:rsidR="00F229D0">
        <w:rPr>
          <w:sz w:val="24"/>
        </w:rPr>
        <w:t xml:space="preserve">areas: </w:t>
      </w:r>
      <w:r w:rsidR="002C136A">
        <w:rPr>
          <w:sz w:val="24"/>
        </w:rPr>
        <w:t xml:space="preserve">the Gemini Project to </w:t>
      </w:r>
      <w:r w:rsidR="001D1DFC" w:rsidRPr="001D1DFC">
        <w:rPr>
          <w:sz w:val="24"/>
        </w:rPr>
        <w:t xml:space="preserve">redesign the survey, analyzing </w:t>
      </w:r>
      <w:r w:rsidR="00D52DDB">
        <w:rPr>
          <w:sz w:val="24"/>
        </w:rPr>
        <w:t xml:space="preserve">historical </w:t>
      </w:r>
      <w:r w:rsidR="001D1DFC" w:rsidRPr="001D1DFC">
        <w:rPr>
          <w:sz w:val="24"/>
        </w:rPr>
        <w:t>data</w:t>
      </w:r>
      <w:r w:rsidR="00D52DDB">
        <w:rPr>
          <w:sz w:val="24"/>
        </w:rPr>
        <w:t xml:space="preserve"> in support of </w:t>
      </w:r>
      <w:r w:rsidR="002C136A">
        <w:rPr>
          <w:sz w:val="24"/>
        </w:rPr>
        <w:t xml:space="preserve">ongoing </w:t>
      </w:r>
      <w:r w:rsidR="00D52DDB">
        <w:rPr>
          <w:sz w:val="24"/>
        </w:rPr>
        <w:t xml:space="preserve">methodological improvements, and </w:t>
      </w:r>
      <w:r w:rsidR="0088177E">
        <w:rPr>
          <w:sz w:val="24"/>
        </w:rPr>
        <w:t xml:space="preserve">field </w:t>
      </w:r>
      <w:r w:rsidR="00D52DDB">
        <w:rPr>
          <w:sz w:val="24"/>
        </w:rPr>
        <w:t>testing</w:t>
      </w:r>
      <w:r w:rsidR="001D1DFC" w:rsidRPr="001D1DFC">
        <w:rPr>
          <w:sz w:val="24"/>
        </w:rPr>
        <w:t xml:space="preserve"> </w:t>
      </w:r>
      <w:r w:rsidR="00D52DDB">
        <w:rPr>
          <w:sz w:val="24"/>
        </w:rPr>
        <w:t xml:space="preserve">alternative </w:t>
      </w:r>
      <w:r w:rsidR="001D1DFC" w:rsidRPr="001D1DFC">
        <w:rPr>
          <w:sz w:val="24"/>
        </w:rPr>
        <w:t xml:space="preserve">data collection </w:t>
      </w:r>
      <w:r w:rsidR="00F229D0">
        <w:rPr>
          <w:sz w:val="24"/>
        </w:rPr>
        <w:t>methods</w:t>
      </w:r>
      <w:r w:rsidR="001D1DFC" w:rsidRPr="001D1DFC">
        <w:rPr>
          <w:sz w:val="24"/>
        </w:rPr>
        <w:t xml:space="preserve">.  </w:t>
      </w:r>
    </w:p>
    <w:p w:rsidR="002C136A" w:rsidRDefault="001D1DFC" w:rsidP="007D27B9">
      <w:pPr>
        <w:tabs>
          <w:tab w:val="left" w:pos="1530"/>
        </w:tabs>
        <w:spacing w:line="360" w:lineRule="auto"/>
        <w:ind w:firstLine="720"/>
        <w:rPr>
          <w:sz w:val="24"/>
        </w:rPr>
      </w:pPr>
      <w:r w:rsidRPr="001D1DFC">
        <w:rPr>
          <w:i/>
          <w:sz w:val="24"/>
        </w:rPr>
        <w:t>The Gemini Project</w:t>
      </w:r>
      <w:r w:rsidRPr="001D1DFC">
        <w:rPr>
          <w:sz w:val="24"/>
        </w:rPr>
        <w:t xml:space="preserve">. </w:t>
      </w:r>
      <w:r w:rsidR="007D27B9" w:rsidRPr="007D27B9">
        <w:rPr>
          <w:sz w:val="24"/>
        </w:rPr>
        <w:t xml:space="preserve">The </w:t>
      </w:r>
      <w:r w:rsidR="006C3180">
        <w:rPr>
          <w:sz w:val="24"/>
        </w:rPr>
        <w:t xml:space="preserve">BLS </w:t>
      </w:r>
      <w:r w:rsidR="007D27B9" w:rsidRPr="007D27B9">
        <w:rPr>
          <w:sz w:val="24"/>
        </w:rPr>
        <w:t>began the Gemini Project in 2009 with a goal of redesigning the</w:t>
      </w:r>
      <w:r w:rsidR="007D27B9">
        <w:rPr>
          <w:sz w:val="24"/>
        </w:rPr>
        <w:t xml:space="preserve"> </w:t>
      </w:r>
      <w:r w:rsidR="006C3180">
        <w:rPr>
          <w:sz w:val="24"/>
        </w:rPr>
        <w:t>CE</w:t>
      </w:r>
      <w:r w:rsidR="007D27B9" w:rsidRPr="007D27B9">
        <w:rPr>
          <w:sz w:val="24"/>
        </w:rPr>
        <w:t xml:space="preserve"> as a response to increasing evidence </w:t>
      </w:r>
      <w:r w:rsidR="009D4A2C">
        <w:rPr>
          <w:sz w:val="24"/>
        </w:rPr>
        <w:t>of</w:t>
      </w:r>
      <w:r w:rsidR="007D27B9" w:rsidRPr="007D27B9">
        <w:rPr>
          <w:sz w:val="24"/>
        </w:rPr>
        <w:t xml:space="preserve"> measurement error,</w:t>
      </w:r>
      <w:r w:rsidR="007D27B9">
        <w:rPr>
          <w:sz w:val="24"/>
        </w:rPr>
        <w:t xml:space="preserve"> </w:t>
      </w:r>
      <w:r w:rsidR="007D27B9" w:rsidRPr="007D27B9">
        <w:rPr>
          <w:sz w:val="24"/>
        </w:rPr>
        <w:t xml:space="preserve">declining response rates, the emergence of new data collection technologies, and </w:t>
      </w:r>
      <w:r w:rsidR="009D4A2C">
        <w:rPr>
          <w:sz w:val="24"/>
        </w:rPr>
        <w:t xml:space="preserve">the </w:t>
      </w:r>
      <w:r w:rsidR="007D27B9" w:rsidRPr="007D27B9">
        <w:rPr>
          <w:sz w:val="24"/>
        </w:rPr>
        <w:t xml:space="preserve">need for </w:t>
      </w:r>
      <w:r w:rsidR="009D4A2C">
        <w:rPr>
          <w:sz w:val="24"/>
        </w:rPr>
        <w:t xml:space="preserve">more </w:t>
      </w:r>
      <w:r w:rsidR="007D27B9" w:rsidRPr="007D27B9">
        <w:rPr>
          <w:sz w:val="24"/>
        </w:rPr>
        <w:t>flexibility in</w:t>
      </w:r>
      <w:r w:rsidR="007D27B9">
        <w:rPr>
          <w:sz w:val="24"/>
        </w:rPr>
        <w:t xml:space="preserve"> </w:t>
      </w:r>
      <w:r w:rsidR="007D27B9" w:rsidRPr="007D27B9">
        <w:rPr>
          <w:sz w:val="24"/>
        </w:rPr>
        <w:t>addressing changes in the interviewing environment. The primary mission of the Gemini Project is to</w:t>
      </w:r>
      <w:r w:rsidR="007D27B9">
        <w:rPr>
          <w:sz w:val="24"/>
        </w:rPr>
        <w:t xml:space="preserve"> </w:t>
      </w:r>
      <w:r w:rsidR="007D27B9" w:rsidRPr="007D27B9">
        <w:rPr>
          <w:sz w:val="24"/>
        </w:rPr>
        <w:t>improve data quality through a verifiable reduction in measurement error, with a particular focus on underreporting.</w:t>
      </w:r>
      <w:r w:rsidR="007D27B9">
        <w:rPr>
          <w:sz w:val="24"/>
        </w:rPr>
        <w:t xml:space="preserve">  </w:t>
      </w:r>
      <w:r w:rsidR="007D27B9" w:rsidRPr="007D27B9">
        <w:rPr>
          <w:sz w:val="24"/>
        </w:rPr>
        <w:t>Earl</w:t>
      </w:r>
      <w:r w:rsidR="009D4A2C">
        <w:rPr>
          <w:sz w:val="24"/>
        </w:rPr>
        <w:t>y</w:t>
      </w:r>
      <w:r w:rsidR="007D27B9" w:rsidRPr="007D27B9">
        <w:rPr>
          <w:sz w:val="24"/>
        </w:rPr>
        <w:t xml:space="preserve"> stages of the project focused on gathering information to inform redesign</w:t>
      </w:r>
      <w:r w:rsidR="007D27B9">
        <w:rPr>
          <w:sz w:val="24"/>
        </w:rPr>
        <w:t xml:space="preserve"> </w:t>
      </w:r>
      <w:r w:rsidR="007D27B9" w:rsidRPr="007D27B9">
        <w:rPr>
          <w:sz w:val="24"/>
        </w:rPr>
        <w:t>decisions. This included conducting and reviewing research on survey methodologies and prioritizing user</w:t>
      </w:r>
      <w:r w:rsidR="007D27B9">
        <w:rPr>
          <w:sz w:val="24"/>
        </w:rPr>
        <w:t xml:space="preserve"> </w:t>
      </w:r>
      <w:r w:rsidR="007D27B9" w:rsidRPr="007D27B9">
        <w:rPr>
          <w:sz w:val="24"/>
        </w:rPr>
        <w:t xml:space="preserve">needs. </w:t>
      </w:r>
    </w:p>
    <w:p w:rsidR="001D1DFC" w:rsidRPr="001D1DFC" w:rsidRDefault="007D27B9" w:rsidP="007D27B9">
      <w:pPr>
        <w:tabs>
          <w:tab w:val="left" w:pos="1530"/>
        </w:tabs>
        <w:spacing w:line="360" w:lineRule="auto"/>
        <w:ind w:firstLine="720"/>
        <w:rPr>
          <w:sz w:val="24"/>
        </w:rPr>
      </w:pPr>
      <w:r w:rsidRPr="007D27B9">
        <w:rPr>
          <w:sz w:val="24"/>
        </w:rPr>
        <w:t xml:space="preserve">Additionally, </w:t>
      </w:r>
      <w:r w:rsidR="0005151F" w:rsidRPr="007D27B9">
        <w:rPr>
          <w:sz w:val="24"/>
        </w:rPr>
        <w:t xml:space="preserve">in 2010 </w:t>
      </w:r>
      <w:r w:rsidRPr="007D27B9">
        <w:rPr>
          <w:sz w:val="24"/>
        </w:rPr>
        <w:t xml:space="preserve">the BLS </w:t>
      </w:r>
      <w:r w:rsidR="009D4A2C">
        <w:rPr>
          <w:sz w:val="24"/>
        </w:rPr>
        <w:t>contracted with</w:t>
      </w:r>
      <w:r w:rsidRPr="007D27B9">
        <w:rPr>
          <w:sz w:val="24"/>
        </w:rPr>
        <w:t xml:space="preserve"> the Committee on National Statistics (CNSTAT)</w:t>
      </w:r>
      <w:r>
        <w:rPr>
          <w:sz w:val="24"/>
        </w:rPr>
        <w:t xml:space="preserve"> </w:t>
      </w:r>
      <w:r w:rsidRPr="007D27B9">
        <w:rPr>
          <w:sz w:val="24"/>
        </w:rPr>
        <w:t xml:space="preserve">to </w:t>
      </w:r>
      <w:r w:rsidR="009D4A2C">
        <w:rPr>
          <w:sz w:val="24"/>
        </w:rPr>
        <w:t>convene</w:t>
      </w:r>
      <w:r w:rsidRPr="007D27B9">
        <w:rPr>
          <w:sz w:val="24"/>
        </w:rPr>
        <w:t xml:space="preserve"> an expert panel charged with recommending different CE design options </w:t>
      </w:r>
      <w:r w:rsidR="009D4A2C">
        <w:rPr>
          <w:sz w:val="24"/>
        </w:rPr>
        <w:t>that would meet</w:t>
      </w:r>
      <w:r w:rsidRPr="007D27B9">
        <w:rPr>
          <w:sz w:val="24"/>
        </w:rPr>
        <w:t xml:space="preserve"> the</w:t>
      </w:r>
      <w:r>
        <w:rPr>
          <w:sz w:val="24"/>
        </w:rPr>
        <w:t xml:space="preserve"> </w:t>
      </w:r>
      <w:r w:rsidRPr="007D27B9">
        <w:rPr>
          <w:sz w:val="24"/>
        </w:rPr>
        <w:t>project goals. The CNSTAT panel presented three alternate designs in September 2012.</w:t>
      </w:r>
      <w:r>
        <w:rPr>
          <w:sz w:val="24"/>
        </w:rPr>
        <w:t xml:space="preserve"> </w:t>
      </w:r>
      <w:r w:rsidR="00C025D4" w:rsidRPr="00C025D4">
        <w:rPr>
          <w:sz w:val="24"/>
        </w:rPr>
        <w:t xml:space="preserve">In 2013, the CE program </w:t>
      </w:r>
      <w:r w:rsidR="009D4A2C">
        <w:rPr>
          <w:sz w:val="24"/>
        </w:rPr>
        <w:t>approved</w:t>
      </w:r>
      <w:r w:rsidR="00C025D4" w:rsidRPr="00C025D4">
        <w:rPr>
          <w:sz w:val="24"/>
        </w:rPr>
        <w:t xml:space="preserve"> a comprehensive redesign proposal based on three years of information gathering, inquiry, and synthesis</w:t>
      </w:r>
      <w:r w:rsidR="006C3180">
        <w:rPr>
          <w:sz w:val="24"/>
        </w:rPr>
        <w:t>, including a review of the CNSTAT recommendations</w:t>
      </w:r>
      <w:r w:rsidR="00C025D4" w:rsidRPr="00C025D4">
        <w:rPr>
          <w:sz w:val="24"/>
        </w:rPr>
        <w:t xml:space="preserve">. The redesign proposal meets key stakeholder requirements and addresses three factors believed to affect the survey’s ability to collect high quality data; specifically, measurement error, environmental </w:t>
      </w:r>
      <w:r w:rsidR="00C025D4" w:rsidRPr="00C025D4">
        <w:rPr>
          <w:sz w:val="24"/>
        </w:rPr>
        <w:lastRenderedPageBreak/>
        <w:t xml:space="preserve">changes, and flexibility. </w:t>
      </w:r>
      <w:r w:rsidR="001D1DFC" w:rsidRPr="001D1DFC">
        <w:rPr>
          <w:sz w:val="24"/>
        </w:rPr>
        <w:t>For further information on the Gemini Project,</w:t>
      </w:r>
      <w:r w:rsidR="0012287B">
        <w:rPr>
          <w:sz w:val="24"/>
        </w:rPr>
        <w:t xml:space="preserve"> including information about current </w:t>
      </w:r>
      <w:r w:rsidR="009C0298">
        <w:rPr>
          <w:sz w:val="24"/>
        </w:rPr>
        <w:t xml:space="preserve">research studies </w:t>
      </w:r>
      <w:r w:rsidR="0012287B">
        <w:rPr>
          <w:sz w:val="24"/>
        </w:rPr>
        <w:t xml:space="preserve">and </w:t>
      </w:r>
      <w:r w:rsidR="0005151F">
        <w:rPr>
          <w:sz w:val="24"/>
        </w:rPr>
        <w:t xml:space="preserve">the </w:t>
      </w:r>
      <w:r w:rsidR="009C0298">
        <w:rPr>
          <w:sz w:val="24"/>
        </w:rPr>
        <w:t xml:space="preserve">project’s </w:t>
      </w:r>
      <w:r w:rsidR="0012287B">
        <w:rPr>
          <w:sz w:val="24"/>
        </w:rPr>
        <w:t xml:space="preserve">timeline, </w:t>
      </w:r>
      <w:r w:rsidR="001D1DFC" w:rsidRPr="001D1DFC">
        <w:rPr>
          <w:sz w:val="24"/>
        </w:rPr>
        <w:t xml:space="preserve">see </w:t>
      </w:r>
      <w:hyperlink r:id="rId46" w:history="1">
        <w:r w:rsidR="00B80E3F" w:rsidRPr="00AE5FFF">
          <w:rPr>
            <w:rStyle w:val="Hyperlink"/>
            <w:sz w:val="24"/>
          </w:rPr>
          <w:t>www.bls.gov/cex/geminiproject.htm</w:t>
        </w:r>
      </w:hyperlink>
      <w:r w:rsidR="001D1DFC" w:rsidRPr="001D1DFC">
        <w:rPr>
          <w:sz w:val="24"/>
        </w:rPr>
        <w:t xml:space="preserve">. </w:t>
      </w:r>
    </w:p>
    <w:p w:rsidR="008E2DAD" w:rsidRPr="004B2B26" w:rsidRDefault="001D1DFC" w:rsidP="008E2DAD">
      <w:pPr>
        <w:tabs>
          <w:tab w:val="left" w:pos="1530"/>
        </w:tabs>
        <w:spacing w:line="360" w:lineRule="auto"/>
        <w:ind w:firstLine="720"/>
        <w:rPr>
          <w:sz w:val="24"/>
          <w:szCs w:val="24"/>
        </w:rPr>
      </w:pPr>
      <w:r w:rsidRPr="001D1DFC">
        <w:rPr>
          <w:i/>
          <w:sz w:val="24"/>
        </w:rPr>
        <w:t>Research overview</w:t>
      </w:r>
      <w:r w:rsidRPr="001D1DFC">
        <w:rPr>
          <w:sz w:val="24"/>
        </w:rPr>
        <w:t xml:space="preserve">. BRPD </w:t>
      </w:r>
      <w:r w:rsidR="00B80E3F">
        <w:rPr>
          <w:sz w:val="24"/>
        </w:rPr>
        <w:t xml:space="preserve">conducts ongoing </w:t>
      </w:r>
      <w:r w:rsidRPr="001D1DFC">
        <w:rPr>
          <w:sz w:val="24"/>
        </w:rPr>
        <w:t>research</w:t>
      </w:r>
      <w:r w:rsidR="00B80E3F">
        <w:rPr>
          <w:sz w:val="24"/>
        </w:rPr>
        <w:t xml:space="preserve">, </w:t>
      </w:r>
      <w:r w:rsidRPr="001D1DFC">
        <w:rPr>
          <w:sz w:val="24"/>
        </w:rPr>
        <w:t>both in support of the redesign effort</w:t>
      </w:r>
      <w:r w:rsidR="00B80E3F">
        <w:rPr>
          <w:sz w:val="24"/>
        </w:rPr>
        <w:t xml:space="preserve">, </w:t>
      </w:r>
      <w:r w:rsidRPr="001D1DFC">
        <w:rPr>
          <w:sz w:val="24"/>
        </w:rPr>
        <w:t>and as an effort to improve data quality</w:t>
      </w:r>
      <w:r w:rsidR="00B80E3F">
        <w:rPr>
          <w:sz w:val="24"/>
        </w:rPr>
        <w:t xml:space="preserve"> </w:t>
      </w:r>
      <w:r w:rsidRPr="001D1DFC">
        <w:rPr>
          <w:sz w:val="24"/>
        </w:rPr>
        <w:t xml:space="preserve">while balancing survey costs. </w:t>
      </w:r>
      <w:r w:rsidR="009C0298">
        <w:rPr>
          <w:sz w:val="24"/>
        </w:rPr>
        <w:t xml:space="preserve">Current </w:t>
      </w:r>
      <w:r w:rsidRPr="001D1DFC">
        <w:rPr>
          <w:sz w:val="24"/>
        </w:rPr>
        <w:t xml:space="preserve">research </w:t>
      </w:r>
      <w:r w:rsidR="00B80E3F">
        <w:rPr>
          <w:sz w:val="24"/>
        </w:rPr>
        <w:t xml:space="preserve">has </w:t>
      </w:r>
      <w:r w:rsidRPr="001D1DFC">
        <w:rPr>
          <w:sz w:val="24"/>
        </w:rPr>
        <w:t>focuse</w:t>
      </w:r>
      <w:r w:rsidR="00B80E3F">
        <w:rPr>
          <w:sz w:val="24"/>
        </w:rPr>
        <w:t>d</w:t>
      </w:r>
      <w:r w:rsidRPr="001D1DFC">
        <w:rPr>
          <w:sz w:val="24"/>
        </w:rPr>
        <w:t xml:space="preserve"> on </w:t>
      </w:r>
      <w:r w:rsidR="0005151F" w:rsidRPr="001D1DFC">
        <w:rPr>
          <w:sz w:val="24"/>
        </w:rPr>
        <w:t xml:space="preserve">analyzing </w:t>
      </w:r>
      <w:r w:rsidR="0005151F">
        <w:rPr>
          <w:sz w:val="24"/>
        </w:rPr>
        <w:t xml:space="preserve">historical </w:t>
      </w:r>
      <w:r w:rsidR="0005151F" w:rsidRPr="001D1DFC">
        <w:rPr>
          <w:sz w:val="24"/>
        </w:rPr>
        <w:t>data</w:t>
      </w:r>
      <w:r w:rsidR="0005151F">
        <w:rPr>
          <w:sz w:val="24"/>
        </w:rPr>
        <w:t xml:space="preserve"> in support of methodological improvements, and </w:t>
      </w:r>
      <w:r w:rsidR="009C0298">
        <w:rPr>
          <w:sz w:val="24"/>
        </w:rPr>
        <w:t xml:space="preserve">field </w:t>
      </w:r>
      <w:r w:rsidR="0005151F">
        <w:rPr>
          <w:sz w:val="24"/>
        </w:rPr>
        <w:t>testing</w:t>
      </w:r>
      <w:r w:rsidR="0005151F" w:rsidRPr="001D1DFC">
        <w:rPr>
          <w:sz w:val="24"/>
        </w:rPr>
        <w:t xml:space="preserve"> </w:t>
      </w:r>
      <w:r w:rsidR="0005151F">
        <w:rPr>
          <w:sz w:val="24"/>
        </w:rPr>
        <w:t xml:space="preserve">alternative </w:t>
      </w:r>
      <w:r w:rsidR="0005151F" w:rsidRPr="001D1DFC">
        <w:rPr>
          <w:sz w:val="24"/>
        </w:rPr>
        <w:t xml:space="preserve">data collection </w:t>
      </w:r>
      <w:r w:rsidR="0005151F">
        <w:rPr>
          <w:sz w:val="24"/>
        </w:rPr>
        <w:t>methods</w:t>
      </w:r>
      <w:r w:rsidR="0005151F" w:rsidRPr="001D1DFC">
        <w:rPr>
          <w:sz w:val="24"/>
        </w:rPr>
        <w:t xml:space="preserve">. </w:t>
      </w:r>
      <w:r w:rsidRPr="001D1DFC">
        <w:rPr>
          <w:sz w:val="24"/>
        </w:rPr>
        <w:t xml:space="preserve">The first area is useful for reviewing the </w:t>
      </w:r>
      <w:r w:rsidR="009C0298">
        <w:rPr>
          <w:sz w:val="24"/>
        </w:rPr>
        <w:t xml:space="preserve">existing </w:t>
      </w:r>
      <w:r w:rsidRPr="001D1DFC">
        <w:rPr>
          <w:sz w:val="24"/>
        </w:rPr>
        <w:t xml:space="preserve">survey </w:t>
      </w:r>
      <w:r w:rsidR="0005151F">
        <w:rPr>
          <w:sz w:val="24"/>
        </w:rPr>
        <w:t xml:space="preserve">protocol </w:t>
      </w:r>
      <w:r w:rsidRPr="001D1DFC">
        <w:rPr>
          <w:sz w:val="24"/>
        </w:rPr>
        <w:t xml:space="preserve">and </w:t>
      </w:r>
      <w:r w:rsidR="009C0298">
        <w:rPr>
          <w:sz w:val="24"/>
        </w:rPr>
        <w:t>considering</w:t>
      </w:r>
      <w:r w:rsidRPr="001D1DFC">
        <w:rPr>
          <w:sz w:val="24"/>
        </w:rPr>
        <w:t xml:space="preserve"> </w:t>
      </w:r>
      <w:r w:rsidR="0005151F">
        <w:rPr>
          <w:sz w:val="24"/>
        </w:rPr>
        <w:t xml:space="preserve">the potential </w:t>
      </w:r>
      <w:r w:rsidRPr="001D1DFC">
        <w:rPr>
          <w:sz w:val="24"/>
        </w:rPr>
        <w:t>impact</w:t>
      </w:r>
      <w:r w:rsidR="0005151F">
        <w:rPr>
          <w:sz w:val="24"/>
        </w:rPr>
        <w:t xml:space="preserve"> </w:t>
      </w:r>
      <w:r w:rsidR="009C0298">
        <w:rPr>
          <w:sz w:val="24"/>
        </w:rPr>
        <w:t xml:space="preserve">of </w:t>
      </w:r>
      <w:r w:rsidR="0005151F">
        <w:rPr>
          <w:sz w:val="24"/>
        </w:rPr>
        <w:t xml:space="preserve">design changes. </w:t>
      </w:r>
      <w:r w:rsidRPr="001D1DFC">
        <w:rPr>
          <w:sz w:val="24"/>
        </w:rPr>
        <w:t xml:space="preserve">The second area provides </w:t>
      </w:r>
      <w:r w:rsidR="009C0298">
        <w:rPr>
          <w:sz w:val="24"/>
        </w:rPr>
        <w:t xml:space="preserve">empirical </w:t>
      </w:r>
      <w:r w:rsidRPr="001D1DFC">
        <w:rPr>
          <w:sz w:val="24"/>
        </w:rPr>
        <w:t xml:space="preserve">insight for decisions on </w:t>
      </w:r>
      <w:r w:rsidR="00B80E3F">
        <w:rPr>
          <w:sz w:val="24"/>
        </w:rPr>
        <w:t xml:space="preserve">implementing </w:t>
      </w:r>
      <w:r w:rsidR="0005151F">
        <w:rPr>
          <w:sz w:val="24"/>
        </w:rPr>
        <w:t xml:space="preserve">future </w:t>
      </w:r>
      <w:r w:rsidR="009C0298">
        <w:rPr>
          <w:sz w:val="24"/>
        </w:rPr>
        <w:t>protocol improvements</w:t>
      </w:r>
      <w:r w:rsidRPr="001D1DFC">
        <w:rPr>
          <w:sz w:val="24"/>
        </w:rPr>
        <w:t>.</w:t>
      </w:r>
      <w:r w:rsidR="0005151F">
        <w:rPr>
          <w:sz w:val="24"/>
        </w:rPr>
        <w:t xml:space="preserve"> Details about ongoing and recently completed research projects are provided in</w:t>
      </w:r>
      <w:r w:rsidR="0045478D">
        <w:rPr>
          <w:sz w:val="24"/>
        </w:rPr>
        <w:t xml:space="preserve"> </w:t>
      </w:r>
      <w:r w:rsidR="002C136A" w:rsidRPr="000700C1">
        <w:rPr>
          <w:sz w:val="24"/>
        </w:rPr>
        <w:t>CE</w:t>
      </w:r>
      <w:r w:rsidR="0045478D">
        <w:rPr>
          <w:sz w:val="24"/>
        </w:rPr>
        <w:t>’s</w:t>
      </w:r>
      <w:r w:rsidR="002C136A" w:rsidRPr="000700C1">
        <w:rPr>
          <w:sz w:val="24"/>
        </w:rPr>
        <w:t xml:space="preserve"> </w:t>
      </w:r>
      <w:r w:rsidR="00853734">
        <w:rPr>
          <w:sz w:val="24"/>
        </w:rPr>
        <w:t xml:space="preserve">annually released </w:t>
      </w:r>
      <w:r w:rsidR="00C60F4E">
        <w:rPr>
          <w:sz w:val="24"/>
        </w:rPr>
        <w:t xml:space="preserve">Methods </w:t>
      </w:r>
      <w:r w:rsidR="0005151F" w:rsidRPr="000700C1">
        <w:rPr>
          <w:sz w:val="24"/>
        </w:rPr>
        <w:t xml:space="preserve">Research </w:t>
      </w:r>
      <w:r w:rsidR="00C60F4E">
        <w:rPr>
          <w:sz w:val="24"/>
        </w:rPr>
        <w:t>Program</w:t>
      </w:r>
      <w:r w:rsidR="0005151F" w:rsidRPr="000700C1">
        <w:rPr>
          <w:sz w:val="24"/>
        </w:rPr>
        <w:t>, accessible from</w:t>
      </w:r>
      <w:r w:rsidR="008E2DAD" w:rsidRPr="008E2DAD">
        <w:t xml:space="preserve"> </w:t>
      </w:r>
      <w:hyperlink r:id="rId47" w:history="1">
        <w:r w:rsidR="008E2DAD" w:rsidRPr="007E3F95">
          <w:rPr>
            <w:rStyle w:val="Hyperlink"/>
            <w:sz w:val="24"/>
          </w:rPr>
          <w:t>http://www.bls.gov/cex/research_papers/research-paper-catalog.htm</w:t>
        </w:r>
      </w:hyperlink>
      <w:r w:rsidR="008E2DAD">
        <w:rPr>
          <w:sz w:val="24"/>
        </w:rPr>
        <w:t xml:space="preserve">. </w:t>
      </w:r>
      <w:r w:rsidR="0005151F" w:rsidRPr="000700C1">
        <w:rPr>
          <w:sz w:val="24"/>
        </w:rPr>
        <w:t xml:space="preserve"> </w:t>
      </w:r>
      <w:r w:rsidR="0045478D">
        <w:rPr>
          <w:sz w:val="24"/>
        </w:rPr>
        <w:t>Additionally, the September 2013 Monthly Labor Review article “</w:t>
      </w:r>
      <w:r w:rsidR="002C136A" w:rsidRPr="002C136A">
        <w:rPr>
          <w:sz w:val="24"/>
        </w:rPr>
        <w:t xml:space="preserve">Research </w:t>
      </w:r>
      <w:r w:rsidR="002C136A">
        <w:rPr>
          <w:sz w:val="24"/>
        </w:rPr>
        <w:t>H</w:t>
      </w:r>
      <w:r w:rsidR="002C136A" w:rsidRPr="002C136A">
        <w:rPr>
          <w:sz w:val="24"/>
        </w:rPr>
        <w:t xml:space="preserve">ighlights of the Consumer Expenditure Survey </w:t>
      </w:r>
      <w:r w:rsidR="002C136A">
        <w:rPr>
          <w:sz w:val="24"/>
        </w:rPr>
        <w:t>R</w:t>
      </w:r>
      <w:r w:rsidR="002C136A" w:rsidRPr="002C136A">
        <w:rPr>
          <w:sz w:val="24"/>
        </w:rPr>
        <w:t>edesign</w:t>
      </w:r>
      <w:r w:rsidR="00853734">
        <w:rPr>
          <w:sz w:val="24"/>
        </w:rPr>
        <w:t>,</w:t>
      </w:r>
      <w:r w:rsidR="0045478D">
        <w:rPr>
          <w:sz w:val="24"/>
        </w:rPr>
        <w:t xml:space="preserve">” </w:t>
      </w:r>
      <w:r w:rsidR="00623157">
        <w:rPr>
          <w:sz w:val="24"/>
        </w:rPr>
        <w:t xml:space="preserve">accessible from </w:t>
      </w:r>
      <w:hyperlink r:id="rId48" w:history="1">
        <w:r w:rsidR="00B80E3F" w:rsidRPr="00B80E3F">
          <w:rPr>
            <w:rStyle w:val="Hyperlink"/>
            <w:sz w:val="24"/>
          </w:rPr>
          <w:t>www.bls.gov/opub/mlr/2013/article/ce-survey-redesign.htm</w:t>
        </w:r>
      </w:hyperlink>
      <w:r w:rsidR="00853734">
        <w:rPr>
          <w:sz w:val="24"/>
        </w:rPr>
        <w:t>, provides highlights of recent research projects, along with a s</w:t>
      </w:r>
      <w:r w:rsidR="00853734" w:rsidRPr="00853734">
        <w:rPr>
          <w:sz w:val="24"/>
        </w:rPr>
        <w:t xml:space="preserve">ummary of major </w:t>
      </w:r>
      <w:r w:rsidR="00853734">
        <w:rPr>
          <w:sz w:val="24"/>
        </w:rPr>
        <w:t xml:space="preserve">research project findings </w:t>
      </w:r>
      <w:r w:rsidR="00B80E3F">
        <w:rPr>
          <w:sz w:val="24"/>
        </w:rPr>
        <w:t>as they</w:t>
      </w:r>
      <w:r w:rsidR="00853734">
        <w:rPr>
          <w:sz w:val="24"/>
        </w:rPr>
        <w:t xml:space="preserve"> relate to the objectives of the survey redesign process</w:t>
      </w:r>
      <w:r w:rsidR="008E2DAD">
        <w:rPr>
          <w:sz w:val="24"/>
        </w:rPr>
        <w:t>.</w:t>
      </w:r>
    </w:p>
    <w:p w:rsidR="00EE7295" w:rsidRPr="00411FFD" w:rsidRDefault="00EE7295" w:rsidP="00411FFD">
      <w:pPr>
        <w:pStyle w:val="Heading3"/>
        <w:spacing w:line="360" w:lineRule="auto"/>
        <w:rPr>
          <w:szCs w:val="24"/>
        </w:rPr>
      </w:pPr>
      <w:r w:rsidRPr="00411FFD">
        <w:rPr>
          <w:szCs w:val="24"/>
        </w:rPr>
        <w:t>Other ongoing survey improvements</w:t>
      </w:r>
    </w:p>
    <w:p w:rsidR="003822AD" w:rsidRPr="00EE7295" w:rsidRDefault="00EE7295" w:rsidP="00411FFD">
      <w:pPr>
        <w:tabs>
          <w:tab w:val="left" w:pos="1530"/>
        </w:tabs>
        <w:spacing w:line="360" w:lineRule="auto"/>
        <w:rPr>
          <w:sz w:val="24"/>
          <w:szCs w:val="24"/>
        </w:rPr>
      </w:pPr>
      <w:r>
        <w:rPr>
          <w:b/>
          <w:sz w:val="24"/>
          <w:szCs w:val="24"/>
        </w:rPr>
        <w:tab/>
      </w:r>
      <w:r w:rsidR="003822AD" w:rsidRPr="00EE7295">
        <w:rPr>
          <w:sz w:val="24"/>
          <w:szCs w:val="24"/>
        </w:rPr>
        <w:t xml:space="preserve">In a collaborative effort headed by the CE branch of Production and Control involving the different CE branches and divisions, there are regular biennial Interview questionnaire revisions and other improvements.  These </w:t>
      </w:r>
      <w:r>
        <w:rPr>
          <w:sz w:val="24"/>
          <w:szCs w:val="24"/>
        </w:rPr>
        <w:t xml:space="preserve">improvements </w:t>
      </w:r>
      <w:r w:rsidR="003822AD" w:rsidRPr="00EE7295">
        <w:rPr>
          <w:sz w:val="24"/>
          <w:szCs w:val="24"/>
        </w:rPr>
        <w:t xml:space="preserve">include adding new products into the survey, deleting outdated wording or categories, improving non-interview adjustment through the inclusion of zip code level income data, the introduction of estimated income taxes using </w:t>
      </w:r>
      <w:r w:rsidRPr="00EE7295">
        <w:rPr>
          <w:sz w:val="24"/>
          <w:szCs w:val="24"/>
        </w:rPr>
        <w:t xml:space="preserve">TAXSIM, </w:t>
      </w:r>
      <w:r w:rsidR="003822AD" w:rsidRPr="00EE7295">
        <w:rPr>
          <w:sz w:val="24"/>
          <w:szCs w:val="24"/>
        </w:rPr>
        <w:t xml:space="preserve">dropping the initial bounding interview, and publishing new tables.  </w:t>
      </w:r>
    </w:p>
    <w:p w:rsidR="001D1DFC" w:rsidRPr="00EE7295" w:rsidRDefault="001D1DFC" w:rsidP="001D1DFC">
      <w:pPr>
        <w:tabs>
          <w:tab w:val="left" w:pos="1530"/>
        </w:tabs>
        <w:spacing w:line="360" w:lineRule="auto"/>
        <w:rPr>
          <w:i/>
          <w:sz w:val="22"/>
        </w:rPr>
      </w:pPr>
    </w:p>
    <w:p w:rsidR="00226F6C" w:rsidRPr="001D1DFC" w:rsidRDefault="00226F6C" w:rsidP="00226F6C">
      <w:pPr>
        <w:pStyle w:val="Title1"/>
        <w:tabs>
          <w:tab w:val="left" w:pos="1530"/>
        </w:tabs>
        <w:spacing w:line="240" w:lineRule="auto"/>
        <w:jc w:val="both"/>
        <w:rPr>
          <w:rFonts w:ascii="Arial" w:hAnsi="Arial" w:cs="Arial"/>
          <w:sz w:val="24"/>
          <w:szCs w:val="24"/>
        </w:rPr>
      </w:pPr>
    </w:p>
    <w:p w:rsidR="00226F6C" w:rsidRPr="001D1DFC" w:rsidRDefault="00226F6C" w:rsidP="00226F6C">
      <w:pPr>
        <w:pStyle w:val="Title1"/>
        <w:tabs>
          <w:tab w:val="left" w:pos="1530"/>
        </w:tabs>
        <w:spacing w:line="240" w:lineRule="auto"/>
        <w:jc w:val="both"/>
        <w:rPr>
          <w:rFonts w:ascii="Arial" w:hAnsi="Arial" w:cs="Arial"/>
          <w:sz w:val="24"/>
          <w:szCs w:val="24"/>
        </w:rPr>
      </w:pPr>
    </w:p>
    <w:sectPr w:rsidR="00226F6C" w:rsidRPr="001D1DFC" w:rsidSect="0010251C">
      <w:footerReference w:type="default" r:id="rId4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A1F" w:rsidRDefault="00A72A1F" w:rsidP="00F02F00">
      <w:r>
        <w:separator/>
      </w:r>
    </w:p>
  </w:endnote>
  <w:endnote w:type="continuationSeparator" w:id="0">
    <w:p w:rsidR="00A72A1F" w:rsidRDefault="00A72A1F" w:rsidP="00F02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B36" w:rsidRDefault="00A40B36">
    <w:pPr>
      <w:pStyle w:val="Footer"/>
      <w:jc w:val="right"/>
    </w:pPr>
    <w:r>
      <w:fldChar w:fldCharType="begin"/>
    </w:r>
    <w:r>
      <w:instrText xml:space="preserve"> PAGE   \* MERGEFORMAT </w:instrText>
    </w:r>
    <w:r>
      <w:fldChar w:fldCharType="separate"/>
    </w:r>
    <w:r w:rsidR="00267E3E">
      <w:rPr>
        <w:noProof/>
      </w:rPr>
      <w:t>26</w:t>
    </w:r>
    <w:r>
      <w:rPr>
        <w:noProof/>
      </w:rPr>
      <w:fldChar w:fldCharType="end"/>
    </w:r>
  </w:p>
  <w:p w:rsidR="00A40B36" w:rsidRDefault="00A40B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A1F" w:rsidRDefault="00A72A1F" w:rsidP="00F02F00">
      <w:r>
        <w:separator/>
      </w:r>
    </w:p>
  </w:footnote>
  <w:footnote w:type="continuationSeparator" w:id="0">
    <w:p w:rsidR="00A72A1F" w:rsidRDefault="00A72A1F" w:rsidP="00F02F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90791"/>
    <w:multiLevelType w:val="hybridMultilevel"/>
    <w:tmpl w:val="928453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2C6B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DD87A06"/>
    <w:multiLevelType w:val="hybridMultilevel"/>
    <w:tmpl w:val="928453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EA23FC0"/>
    <w:multiLevelType w:val="hybridMultilevel"/>
    <w:tmpl w:val="C8AE7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AB0ED9"/>
    <w:multiLevelType w:val="hybridMultilevel"/>
    <w:tmpl w:val="78329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420FE7"/>
    <w:multiLevelType w:val="hybridMultilevel"/>
    <w:tmpl w:val="DFB267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AAC08BD"/>
    <w:multiLevelType w:val="hybridMultilevel"/>
    <w:tmpl w:val="AD841030"/>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080DD1"/>
    <w:multiLevelType w:val="hybridMultilevel"/>
    <w:tmpl w:val="857EB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40487F"/>
    <w:multiLevelType w:val="hybridMultilevel"/>
    <w:tmpl w:val="00A86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BF2A86"/>
    <w:multiLevelType w:val="hybridMultilevel"/>
    <w:tmpl w:val="928453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13F05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4991F92"/>
    <w:multiLevelType w:val="hybridMultilevel"/>
    <w:tmpl w:val="46021C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E6906E1"/>
    <w:multiLevelType w:val="hybridMultilevel"/>
    <w:tmpl w:val="3648BBE2"/>
    <w:lvl w:ilvl="0" w:tplc="6556FE66">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0B3880"/>
    <w:multiLevelType w:val="hybridMultilevel"/>
    <w:tmpl w:val="DE96A678"/>
    <w:lvl w:ilvl="0" w:tplc="459C04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7F6109"/>
    <w:multiLevelType w:val="hybridMultilevel"/>
    <w:tmpl w:val="865C01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
  </w:num>
  <w:num w:numId="3">
    <w:abstractNumId w:val="14"/>
  </w:num>
  <w:num w:numId="4">
    <w:abstractNumId w:val="11"/>
  </w:num>
  <w:num w:numId="5">
    <w:abstractNumId w:val="6"/>
  </w:num>
  <w:num w:numId="6">
    <w:abstractNumId w:val="3"/>
  </w:num>
  <w:num w:numId="7">
    <w:abstractNumId w:val="8"/>
  </w:num>
  <w:num w:numId="8">
    <w:abstractNumId w:val="7"/>
  </w:num>
  <w:num w:numId="9">
    <w:abstractNumId w:val="13"/>
  </w:num>
  <w:num w:numId="10">
    <w:abstractNumId w:val="4"/>
  </w:num>
  <w:num w:numId="11">
    <w:abstractNumId w:val="1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65D"/>
    <w:rsid w:val="000100CC"/>
    <w:rsid w:val="000100FC"/>
    <w:rsid w:val="00010259"/>
    <w:rsid w:val="00016BEF"/>
    <w:rsid w:val="00026AD8"/>
    <w:rsid w:val="0003015E"/>
    <w:rsid w:val="000404F1"/>
    <w:rsid w:val="000439F4"/>
    <w:rsid w:val="00043D8F"/>
    <w:rsid w:val="00047B82"/>
    <w:rsid w:val="0005151F"/>
    <w:rsid w:val="00052E26"/>
    <w:rsid w:val="00053418"/>
    <w:rsid w:val="00057CFB"/>
    <w:rsid w:val="00064A9F"/>
    <w:rsid w:val="000663D6"/>
    <w:rsid w:val="000700C1"/>
    <w:rsid w:val="00071B8C"/>
    <w:rsid w:val="0007273D"/>
    <w:rsid w:val="000811F2"/>
    <w:rsid w:val="000814CC"/>
    <w:rsid w:val="00082CD1"/>
    <w:rsid w:val="00084E9F"/>
    <w:rsid w:val="0008689A"/>
    <w:rsid w:val="00087D7E"/>
    <w:rsid w:val="00090C8D"/>
    <w:rsid w:val="00092773"/>
    <w:rsid w:val="00094E15"/>
    <w:rsid w:val="00096B94"/>
    <w:rsid w:val="000B1959"/>
    <w:rsid w:val="000C43FC"/>
    <w:rsid w:val="000D0B9D"/>
    <w:rsid w:val="000D724D"/>
    <w:rsid w:val="000E101A"/>
    <w:rsid w:val="000E14D9"/>
    <w:rsid w:val="000E198C"/>
    <w:rsid w:val="000E294F"/>
    <w:rsid w:val="000E4941"/>
    <w:rsid w:val="000F2D02"/>
    <w:rsid w:val="000F47B7"/>
    <w:rsid w:val="000F7DCF"/>
    <w:rsid w:val="0010251C"/>
    <w:rsid w:val="00111514"/>
    <w:rsid w:val="001120C9"/>
    <w:rsid w:val="00112D1C"/>
    <w:rsid w:val="00114F0C"/>
    <w:rsid w:val="00115C73"/>
    <w:rsid w:val="00117942"/>
    <w:rsid w:val="00120BAA"/>
    <w:rsid w:val="0012287B"/>
    <w:rsid w:val="00124730"/>
    <w:rsid w:val="00130E18"/>
    <w:rsid w:val="00136D48"/>
    <w:rsid w:val="00141CC3"/>
    <w:rsid w:val="00152457"/>
    <w:rsid w:val="00156326"/>
    <w:rsid w:val="0015640E"/>
    <w:rsid w:val="00163198"/>
    <w:rsid w:val="001701BC"/>
    <w:rsid w:val="00174D7A"/>
    <w:rsid w:val="00180066"/>
    <w:rsid w:val="0018115A"/>
    <w:rsid w:val="0018196F"/>
    <w:rsid w:val="001819B9"/>
    <w:rsid w:val="00182585"/>
    <w:rsid w:val="00186E9E"/>
    <w:rsid w:val="00192E82"/>
    <w:rsid w:val="001A2CE1"/>
    <w:rsid w:val="001A6DEF"/>
    <w:rsid w:val="001B6C00"/>
    <w:rsid w:val="001B7E70"/>
    <w:rsid w:val="001C1E5A"/>
    <w:rsid w:val="001C22BE"/>
    <w:rsid w:val="001C3850"/>
    <w:rsid w:val="001D1DFC"/>
    <w:rsid w:val="001D470B"/>
    <w:rsid w:val="001E14BC"/>
    <w:rsid w:val="001E1E81"/>
    <w:rsid w:val="001E2A52"/>
    <w:rsid w:val="001E3CB9"/>
    <w:rsid w:val="00205186"/>
    <w:rsid w:val="00206089"/>
    <w:rsid w:val="0020651B"/>
    <w:rsid w:val="00211BBB"/>
    <w:rsid w:val="00215485"/>
    <w:rsid w:val="00215B3A"/>
    <w:rsid w:val="00220662"/>
    <w:rsid w:val="00226F6C"/>
    <w:rsid w:val="0023385B"/>
    <w:rsid w:val="0023486D"/>
    <w:rsid w:val="00255234"/>
    <w:rsid w:val="0026312D"/>
    <w:rsid w:val="00264D3F"/>
    <w:rsid w:val="00267228"/>
    <w:rsid w:val="00267E3E"/>
    <w:rsid w:val="00270768"/>
    <w:rsid w:val="00274291"/>
    <w:rsid w:val="002778D9"/>
    <w:rsid w:val="00283F96"/>
    <w:rsid w:val="0028799F"/>
    <w:rsid w:val="00292C7F"/>
    <w:rsid w:val="002A00F2"/>
    <w:rsid w:val="002A4184"/>
    <w:rsid w:val="002C136A"/>
    <w:rsid w:val="002C3A58"/>
    <w:rsid w:val="002C7E46"/>
    <w:rsid w:val="002D1BEA"/>
    <w:rsid w:val="002D2B9C"/>
    <w:rsid w:val="002D2C0A"/>
    <w:rsid w:val="002D5DD4"/>
    <w:rsid w:val="002D6457"/>
    <w:rsid w:val="002E026A"/>
    <w:rsid w:val="002E0685"/>
    <w:rsid w:val="002E0E70"/>
    <w:rsid w:val="002E29C2"/>
    <w:rsid w:val="002E4067"/>
    <w:rsid w:val="002F5C89"/>
    <w:rsid w:val="002F769F"/>
    <w:rsid w:val="00301727"/>
    <w:rsid w:val="00307B0C"/>
    <w:rsid w:val="0031036E"/>
    <w:rsid w:val="00310A89"/>
    <w:rsid w:val="00312648"/>
    <w:rsid w:val="003169BB"/>
    <w:rsid w:val="003239D1"/>
    <w:rsid w:val="00327EA9"/>
    <w:rsid w:val="00333107"/>
    <w:rsid w:val="00337712"/>
    <w:rsid w:val="00340924"/>
    <w:rsid w:val="00346FB7"/>
    <w:rsid w:val="00347883"/>
    <w:rsid w:val="003512EF"/>
    <w:rsid w:val="003550F4"/>
    <w:rsid w:val="00356775"/>
    <w:rsid w:val="00362046"/>
    <w:rsid w:val="0037011B"/>
    <w:rsid w:val="00371495"/>
    <w:rsid w:val="003801FE"/>
    <w:rsid w:val="00381736"/>
    <w:rsid w:val="003822AD"/>
    <w:rsid w:val="003919BB"/>
    <w:rsid w:val="00391F82"/>
    <w:rsid w:val="00396EA5"/>
    <w:rsid w:val="00397EB9"/>
    <w:rsid w:val="003A35C3"/>
    <w:rsid w:val="003A3890"/>
    <w:rsid w:val="003A4214"/>
    <w:rsid w:val="003A6672"/>
    <w:rsid w:val="003A7E7B"/>
    <w:rsid w:val="003B120E"/>
    <w:rsid w:val="003B511B"/>
    <w:rsid w:val="003B707B"/>
    <w:rsid w:val="003C469E"/>
    <w:rsid w:val="003C6430"/>
    <w:rsid w:val="003D2CB8"/>
    <w:rsid w:val="003D46ED"/>
    <w:rsid w:val="003D516B"/>
    <w:rsid w:val="003F08D0"/>
    <w:rsid w:val="003F0D1F"/>
    <w:rsid w:val="003F11D3"/>
    <w:rsid w:val="003F39C6"/>
    <w:rsid w:val="00401937"/>
    <w:rsid w:val="00402FBB"/>
    <w:rsid w:val="0040407D"/>
    <w:rsid w:val="00406619"/>
    <w:rsid w:val="00407679"/>
    <w:rsid w:val="00410E4F"/>
    <w:rsid w:val="00411FFD"/>
    <w:rsid w:val="004131AD"/>
    <w:rsid w:val="0041368A"/>
    <w:rsid w:val="00414700"/>
    <w:rsid w:val="0041517E"/>
    <w:rsid w:val="00415C32"/>
    <w:rsid w:val="00421850"/>
    <w:rsid w:val="004251D3"/>
    <w:rsid w:val="00430C88"/>
    <w:rsid w:val="00431894"/>
    <w:rsid w:val="0043595F"/>
    <w:rsid w:val="004368C6"/>
    <w:rsid w:val="00440295"/>
    <w:rsid w:val="00450380"/>
    <w:rsid w:val="0045478D"/>
    <w:rsid w:val="00457DD2"/>
    <w:rsid w:val="00461A1D"/>
    <w:rsid w:val="0046565D"/>
    <w:rsid w:val="00465730"/>
    <w:rsid w:val="00465CD6"/>
    <w:rsid w:val="00467A0B"/>
    <w:rsid w:val="004702DE"/>
    <w:rsid w:val="004766FA"/>
    <w:rsid w:val="00476ADE"/>
    <w:rsid w:val="0047769D"/>
    <w:rsid w:val="00483B9F"/>
    <w:rsid w:val="004924D4"/>
    <w:rsid w:val="004929D3"/>
    <w:rsid w:val="004932EF"/>
    <w:rsid w:val="004A2C38"/>
    <w:rsid w:val="004A318E"/>
    <w:rsid w:val="004A5637"/>
    <w:rsid w:val="004A5B96"/>
    <w:rsid w:val="004B2B26"/>
    <w:rsid w:val="004B3251"/>
    <w:rsid w:val="004B4B56"/>
    <w:rsid w:val="004B7A31"/>
    <w:rsid w:val="004C2909"/>
    <w:rsid w:val="004C5F05"/>
    <w:rsid w:val="004D0800"/>
    <w:rsid w:val="004D44BE"/>
    <w:rsid w:val="004D7F97"/>
    <w:rsid w:val="004F3932"/>
    <w:rsid w:val="004F541C"/>
    <w:rsid w:val="004F5C76"/>
    <w:rsid w:val="004F5F44"/>
    <w:rsid w:val="004F61F5"/>
    <w:rsid w:val="004F728B"/>
    <w:rsid w:val="005004F8"/>
    <w:rsid w:val="005075A6"/>
    <w:rsid w:val="00510599"/>
    <w:rsid w:val="005108BE"/>
    <w:rsid w:val="00521F8E"/>
    <w:rsid w:val="00522368"/>
    <w:rsid w:val="00524193"/>
    <w:rsid w:val="005252CF"/>
    <w:rsid w:val="00532659"/>
    <w:rsid w:val="00534ACE"/>
    <w:rsid w:val="00535279"/>
    <w:rsid w:val="0053736A"/>
    <w:rsid w:val="00545A78"/>
    <w:rsid w:val="00550ECB"/>
    <w:rsid w:val="00560ED0"/>
    <w:rsid w:val="005629BD"/>
    <w:rsid w:val="005647F8"/>
    <w:rsid w:val="00573CAD"/>
    <w:rsid w:val="00574B48"/>
    <w:rsid w:val="0057545E"/>
    <w:rsid w:val="0057562A"/>
    <w:rsid w:val="0057565F"/>
    <w:rsid w:val="005836C5"/>
    <w:rsid w:val="005847EC"/>
    <w:rsid w:val="0059417E"/>
    <w:rsid w:val="005A4A94"/>
    <w:rsid w:val="005B0FF2"/>
    <w:rsid w:val="005B3124"/>
    <w:rsid w:val="005B39DF"/>
    <w:rsid w:val="005B5F9A"/>
    <w:rsid w:val="005C05B3"/>
    <w:rsid w:val="005E0894"/>
    <w:rsid w:val="005E2DE2"/>
    <w:rsid w:val="005E48BD"/>
    <w:rsid w:val="005E62C6"/>
    <w:rsid w:val="005F2860"/>
    <w:rsid w:val="005F6585"/>
    <w:rsid w:val="00614E76"/>
    <w:rsid w:val="006179F0"/>
    <w:rsid w:val="00621F7E"/>
    <w:rsid w:val="00622971"/>
    <w:rsid w:val="00623157"/>
    <w:rsid w:val="00624365"/>
    <w:rsid w:val="00624669"/>
    <w:rsid w:val="00626BE1"/>
    <w:rsid w:val="00626EF9"/>
    <w:rsid w:val="006275B8"/>
    <w:rsid w:val="006324ED"/>
    <w:rsid w:val="00633079"/>
    <w:rsid w:val="00634536"/>
    <w:rsid w:val="006348B8"/>
    <w:rsid w:val="00636507"/>
    <w:rsid w:val="00636D3B"/>
    <w:rsid w:val="00637853"/>
    <w:rsid w:val="00637856"/>
    <w:rsid w:val="00642CB7"/>
    <w:rsid w:val="00645BD5"/>
    <w:rsid w:val="00651E3B"/>
    <w:rsid w:val="006537B8"/>
    <w:rsid w:val="00656B4E"/>
    <w:rsid w:val="00657800"/>
    <w:rsid w:val="00657FAE"/>
    <w:rsid w:val="006811F0"/>
    <w:rsid w:val="00687CA7"/>
    <w:rsid w:val="006A351F"/>
    <w:rsid w:val="006B1988"/>
    <w:rsid w:val="006B2573"/>
    <w:rsid w:val="006B3366"/>
    <w:rsid w:val="006B5892"/>
    <w:rsid w:val="006B7907"/>
    <w:rsid w:val="006C1234"/>
    <w:rsid w:val="006C3180"/>
    <w:rsid w:val="006C39E6"/>
    <w:rsid w:val="006C67A8"/>
    <w:rsid w:val="006D0DD4"/>
    <w:rsid w:val="006D4E1A"/>
    <w:rsid w:val="006E0914"/>
    <w:rsid w:val="006E2BBD"/>
    <w:rsid w:val="006E446E"/>
    <w:rsid w:val="006E7640"/>
    <w:rsid w:val="006E7A0A"/>
    <w:rsid w:val="006F3A1C"/>
    <w:rsid w:val="006F4EC6"/>
    <w:rsid w:val="006F5136"/>
    <w:rsid w:val="006F5765"/>
    <w:rsid w:val="0070222B"/>
    <w:rsid w:val="0070434A"/>
    <w:rsid w:val="0070567A"/>
    <w:rsid w:val="00707228"/>
    <w:rsid w:val="007072BE"/>
    <w:rsid w:val="00707577"/>
    <w:rsid w:val="00715485"/>
    <w:rsid w:val="00716AD1"/>
    <w:rsid w:val="0071725A"/>
    <w:rsid w:val="00723041"/>
    <w:rsid w:val="007262AC"/>
    <w:rsid w:val="0073051E"/>
    <w:rsid w:val="007362DD"/>
    <w:rsid w:val="007378F0"/>
    <w:rsid w:val="0074035C"/>
    <w:rsid w:val="00741B9E"/>
    <w:rsid w:val="00741BBC"/>
    <w:rsid w:val="00743E1F"/>
    <w:rsid w:val="00743F10"/>
    <w:rsid w:val="00744368"/>
    <w:rsid w:val="007545F7"/>
    <w:rsid w:val="00754AEA"/>
    <w:rsid w:val="007633CE"/>
    <w:rsid w:val="007744A7"/>
    <w:rsid w:val="00784887"/>
    <w:rsid w:val="007854B4"/>
    <w:rsid w:val="00791D97"/>
    <w:rsid w:val="00791DD0"/>
    <w:rsid w:val="00795C45"/>
    <w:rsid w:val="00796EED"/>
    <w:rsid w:val="007A4498"/>
    <w:rsid w:val="007A5158"/>
    <w:rsid w:val="007A7518"/>
    <w:rsid w:val="007A76CE"/>
    <w:rsid w:val="007C2A75"/>
    <w:rsid w:val="007C5C87"/>
    <w:rsid w:val="007D02F6"/>
    <w:rsid w:val="007D27B9"/>
    <w:rsid w:val="007D4FEF"/>
    <w:rsid w:val="007E0AF5"/>
    <w:rsid w:val="007E2432"/>
    <w:rsid w:val="007E52F9"/>
    <w:rsid w:val="007F48D8"/>
    <w:rsid w:val="007F5A73"/>
    <w:rsid w:val="00802E9D"/>
    <w:rsid w:val="00806EB9"/>
    <w:rsid w:val="0080740C"/>
    <w:rsid w:val="00812758"/>
    <w:rsid w:val="00813A53"/>
    <w:rsid w:val="008155AB"/>
    <w:rsid w:val="008167B8"/>
    <w:rsid w:val="00822D22"/>
    <w:rsid w:val="0082312D"/>
    <w:rsid w:val="00824ABC"/>
    <w:rsid w:val="0082797C"/>
    <w:rsid w:val="00840BCF"/>
    <w:rsid w:val="00842899"/>
    <w:rsid w:val="00843C47"/>
    <w:rsid w:val="00851D08"/>
    <w:rsid w:val="00853734"/>
    <w:rsid w:val="008642ED"/>
    <w:rsid w:val="00865263"/>
    <w:rsid w:val="008718C9"/>
    <w:rsid w:val="008769BD"/>
    <w:rsid w:val="0088177E"/>
    <w:rsid w:val="0088178A"/>
    <w:rsid w:val="008851CE"/>
    <w:rsid w:val="00893B48"/>
    <w:rsid w:val="00895738"/>
    <w:rsid w:val="008973A8"/>
    <w:rsid w:val="008974E4"/>
    <w:rsid w:val="008A6DA3"/>
    <w:rsid w:val="008A77E9"/>
    <w:rsid w:val="008A7EED"/>
    <w:rsid w:val="008B3627"/>
    <w:rsid w:val="008C387C"/>
    <w:rsid w:val="008C6C4F"/>
    <w:rsid w:val="008D1899"/>
    <w:rsid w:val="008D3162"/>
    <w:rsid w:val="008D47E7"/>
    <w:rsid w:val="008E1872"/>
    <w:rsid w:val="008E239B"/>
    <w:rsid w:val="008E28A5"/>
    <w:rsid w:val="008E2DAD"/>
    <w:rsid w:val="008E382F"/>
    <w:rsid w:val="008E6463"/>
    <w:rsid w:val="008E7A58"/>
    <w:rsid w:val="008F6182"/>
    <w:rsid w:val="009041BF"/>
    <w:rsid w:val="00904A64"/>
    <w:rsid w:val="009113C3"/>
    <w:rsid w:val="00916DDA"/>
    <w:rsid w:val="00920970"/>
    <w:rsid w:val="0092250F"/>
    <w:rsid w:val="009235B8"/>
    <w:rsid w:val="009366D5"/>
    <w:rsid w:val="0093698E"/>
    <w:rsid w:val="009411B1"/>
    <w:rsid w:val="0094210F"/>
    <w:rsid w:val="009462EE"/>
    <w:rsid w:val="00950C72"/>
    <w:rsid w:val="00950E90"/>
    <w:rsid w:val="00964FFF"/>
    <w:rsid w:val="0097164A"/>
    <w:rsid w:val="00971A3C"/>
    <w:rsid w:val="00973E5E"/>
    <w:rsid w:val="009765B0"/>
    <w:rsid w:val="0097691C"/>
    <w:rsid w:val="00976B5C"/>
    <w:rsid w:val="00981063"/>
    <w:rsid w:val="00983A03"/>
    <w:rsid w:val="00985961"/>
    <w:rsid w:val="00986ED9"/>
    <w:rsid w:val="0099653F"/>
    <w:rsid w:val="00997355"/>
    <w:rsid w:val="00997538"/>
    <w:rsid w:val="009A186F"/>
    <w:rsid w:val="009B2B7E"/>
    <w:rsid w:val="009C0298"/>
    <w:rsid w:val="009C0FEB"/>
    <w:rsid w:val="009C1658"/>
    <w:rsid w:val="009C45D2"/>
    <w:rsid w:val="009C7A5A"/>
    <w:rsid w:val="009D0E3F"/>
    <w:rsid w:val="009D4A2C"/>
    <w:rsid w:val="009D7C8D"/>
    <w:rsid w:val="009E0210"/>
    <w:rsid w:val="009E09FB"/>
    <w:rsid w:val="009E21A5"/>
    <w:rsid w:val="009E552C"/>
    <w:rsid w:val="009F0EB0"/>
    <w:rsid w:val="009F1755"/>
    <w:rsid w:val="009F3BFB"/>
    <w:rsid w:val="009F4EBB"/>
    <w:rsid w:val="00A01A11"/>
    <w:rsid w:val="00A0482D"/>
    <w:rsid w:val="00A21497"/>
    <w:rsid w:val="00A2212D"/>
    <w:rsid w:val="00A22DD0"/>
    <w:rsid w:val="00A23438"/>
    <w:rsid w:val="00A30254"/>
    <w:rsid w:val="00A30E06"/>
    <w:rsid w:val="00A31213"/>
    <w:rsid w:val="00A313C0"/>
    <w:rsid w:val="00A32043"/>
    <w:rsid w:val="00A355E0"/>
    <w:rsid w:val="00A37324"/>
    <w:rsid w:val="00A40B36"/>
    <w:rsid w:val="00A50D77"/>
    <w:rsid w:val="00A63191"/>
    <w:rsid w:val="00A70185"/>
    <w:rsid w:val="00A72A1F"/>
    <w:rsid w:val="00A73364"/>
    <w:rsid w:val="00A73372"/>
    <w:rsid w:val="00A736AC"/>
    <w:rsid w:val="00A90F96"/>
    <w:rsid w:val="00A93A5B"/>
    <w:rsid w:val="00A945F4"/>
    <w:rsid w:val="00AA143C"/>
    <w:rsid w:val="00AA7630"/>
    <w:rsid w:val="00AB512D"/>
    <w:rsid w:val="00AB6BB8"/>
    <w:rsid w:val="00AC27EE"/>
    <w:rsid w:val="00AC5E40"/>
    <w:rsid w:val="00AD530E"/>
    <w:rsid w:val="00AD69EC"/>
    <w:rsid w:val="00AE1228"/>
    <w:rsid w:val="00B0039B"/>
    <w:rsid w:val="00B02095"/>
    <w:rsid w:val="00B0332B"/>
    <w:rsid w:val="00B05B23"/>
    <w:rsid w:val="00B13F9D"/>
    <w:rsid w:val="00B16431"/>
    <w:rsid w:val="00B2458C"/>
    <w:rsid w:val="00B24765"/>
    <w:rsid w:val="00B338D2"/>
    <w:rsid w:val="00B340D7"/>
    <w:rsid w:val="00B42D9C"/>
    <w:rsid w:val="00B444C3"/>
    <w:rsid w:val="00B5522F"/>
    <w:rsid w:val="00B5564F"/>
    <w:rsid w:val="00B567DE"/>
    <w:rsid w:val="00B60F09"/>
    <w:rsid w:val="00B62323"/>
    <w:rsid w:val="00B64219"/>
    <w:rsid w:val="00B6636A"/>
    <w:rsid w:val="00B66D4C"/>
    <w:rsid w:val="00B675ED"/>
    <w:rsid w:val="00B70463"/>
    <w:rsid w:val="00B729EE"/>
    <w:rsid w:val="00B80E3F"/>
    <w:rsid w:val="00B81E4B"/>
    <w:rsid w:val="00B84511"/>
    <w:rsid w:val="00B864FE"/>
    <w:rsid w:val="00B9069D"/>
    <w:rsid w:val="00B924F3"/>
    <w:rsid w:val="00B966A4"/>
    <w:rsid w:val="00BA06E2"/>
    <w:rsid w:val="00BA3D3B"/>
    <w:rsid w:val="00BA40E8"/>
    <w:rsid w:val="00BA53A6"/>
    <w:rsid w:val="00BB4733"/>
    <w:rsid w:val="00BB5FCA"/>
    <w:rsid w:val="00BC0ECB"/>
    <w:rsid w:val="00BC64CA"/>
    <w:rsid w:val="00BE53FE"/>
    <w:rsid w:val="00BF1120"/>
    <w:rsid w:val="00BF6552"/>
    <w:rsid w:val="00C01BA2"/>
    <w:rsid w:val="00C025D4"/>
    <w:rsid w:val="00C03F3D"/>
    <w:rsid w:val="00C04C5A"/>
    <w:rsid w:val="00C04FEB"/>
    <w:rsid w:val="00C153E3"/>
    <w:rsid w:val="00C165EE"/>
    <w:rsid w:val="00C172FA"/>
    <w:rsid w:val="00C244B6"/>
    <w:rsid w:val="00C3213B"/>
    <w:rsid w:val="00C32C88"/>
    <w:rsid w:val="00C35DAA"/>
    <w:rsid w:val="00C410D2"/>
    <w:rsid w:val="00C434A2"/>
    <w:rsid w:val="00C44CE5"/>
    <w:rsid w:val="00C454C9"/>
    <w:rsid w:val="00C45857"/>
    <w:rsid w:val="00C57611"/>
    <w:rsid w:val="00C60901"/>
    <w:rsid w:val="00C60F4E"/>
    <w:rsid w:val="00C627E3"/>
    <w:rsid w:val="00C66C58"/>
    <w:rsid w:val="00C6783A"/>
    <w:rsid w:val="00C733B9"/>
    <w:rsid w:val="00C7537C"/>
    <w:rsid w:val="00C7725F"/>
    <w:rsid w:val="00C777EF"/>
    <w:rsid w:val="00C93C68"/>
    <w:rsid w:val="00CA0459"/>
    <w:rsid w:val="00CA732E"/>
    <w:rsid w:val="00CB35FB"/>
    <w:rsid w:val="00CB5C8A"/>
    <w:rsid w:val="00CD66D0"/>
    <w:rsid w:val="00CE267F"/>
    <w:rsid w:val="00CE4319"/>
    <w:rsid w:val="00CE44EF"/>
    <w:rsid w:val="00CE66DA"/>
    <w:rsid w:val="00CE7F7F"/>
    <w:rsid w:val="00CF2ABD"/>
    <w:rsid w:val="00D03957"/>
    <w:rsid w:val="00D06EE4"/>
    <w:rsid w:val="00D15BB7"/>
    <w:rsid w:val="00D1734B"/>
    <w:rsid w:val="00D25CF5"/>
    <w:rsid w:val="00D33FB9"/>
    <w:rsid w:val="00D34CCD"/>
    <w:rsid w:val="00D35378"/>
    <w:rsid w:val="00D37832"/>
    <w:rsid w:val="00D42A02"/>
    <w:rsid w:val="00D43074"/>
    <w:rsid w:val="00D4403A"/>
    <w:rsid w:val="00D44BB5"/>
    <w:rsid w:val="00D45BF9"/>
    <w:rsid w:val="00D469C3"/>
    <w:rsid w:val="00D47806"/>
    <w:rsid w:val="00D52DDB"/>
    <w:rsid w:val="00D57786"/>
    <w:rsid w:val="00D57A01"/>
    <w:rsid w:val="00D66AE7"/>
    <w:rsid w:val="00D742AC"/>
    <w:rsid w:val="00D7478A"/>
    <w:rsid w:val="00D80652"/>
    <w:rsid w:val="00D807FF"/>
    <w:rsid w:val="00D82254"/>
    <w:rsid w:val="00D9568F"/>
    <w:rsid w:val="00DA7DFE"/>
    <w:rsid w:val="00DB2DF1"/>
    <w:rsid w:val="00DB742B"/>
    <w:rsid w:val="00DC3C15"/>
    <w:rsid w:val="00DC3C9F"/>
    <w:rsid w:val="00DC4FB1"/>
    <w:rsid w:val="00DC639F"/>
    <w:rsid w:val="00DC66CD"/>
    <w:rsid w:val="00DC677D"/>
    <w:rsid w:val="00DD01AE"/>
    <w:rsid w:val="00DD0FE3"/>
    <w:rsid w:val="00DD29CE"/>
    <w:rsid w:val="00DD5F73"/>
    <w:rsid w:val="00DE2382"/>
    <w:rsid w:val="00DF0051"/>
    <w:rsid w:val="00E03E38"/>
    <w:rsid w:val="00E072DC"/>
    <w:rsid w:val="00E220E6"/>
    <w:rsid w:val="00E22F14"/>
    <w:rsid w:val="00E24511"/>
    <w:rsid w:val="00E350F0"/>
    <w:rsid w:val="00E42328"/>
    <w:rsid w:val="00E5566E"/>
    <w:rsid w:val="00E60640"/>
    <w:rsid w:val="00E63713"/>
    <w:rsid w:val="00E66522"/>
    <w:rsid w:val="00E67F2A"/>
    <w:rsid w:val="00E73E2B"/>
    <w:rsid w:val="00E82E8F"/>
    <w:rsid w:val="00E864AE"/>
    <w:rsid w:val="00E8702B"/>
    <w:rsid w:val="00E870E9"/>
    <w:rsid w:val="00EA095E"/>
    <w:rsid w:val="00EA357C"/>
    <w:rsid w:val="00EA3B43"/>
    <w:rsid w:val="00EA7F90"/>
    <w:rsid w:val="00EB0DE8"/>
    <w:rsid w:val="00EB7428"/>
    <w:rsid w:val="00EB7841"/>
    <w:rsid w:val="00EC1FED"/>
    <w:rsid w:val="00EC2C3D"/>
    <w:rsid w:val="00EC46F4"/>
    <w:rsid w:val="00ED12FD"/>
    <w:rsid w:val="00ED1ADF"/>
    <w:rsid w:val="00ED2144"/>
    <w:rsid w:val="00ED41AB"/>
    <w:rsid w:val="00ED49F8"/>
    <w:rsid w:val="00EE5399"/>
    <w:rsid w:val="00EE5A72"/>
    <w:rsid w:val="00EE7295"/>
    <w:rsid w:val="00F0025F"/>
    <w:rsid w:val="00F00604"/>
    <w:rsid w:val="00F02F00"/>
    <w:rsid w:val="00F07486"/>
    <w:rsid w:val="00F10056"/>
    <w:rsid w:val="00F15A8B"/>
    <w:rsid w:val="00F220DE"/>
    <w:rsid w:val="00F229D0"/>
    <w:rsid w:val="00F279C3"/>
    <w:rsid w:val="00F33081"/>
    <w:rsid w:val="00F35215"/>
    <w:rsid w:val="00F440B8"/>
    <w:rsid w:val="00F45C62"/>
    <w:rsid w:val="00F50528"/>
    <w:rsid w:val="00F535A6"/>
    <w:rsid w:val="00F60085"/>
    <w:rsid w:val="00F6242D"/>
    <w:rsid w:val="00F624CC"/>
    <w:rsid w:val="00F71962"/>
    <w:rsid w:val="00F719CB"/>
    <w:rsid w:val="00F72B46"/>
    <w:rsid w:val="00F75B33"/>
    <w:rsid w:val="00F819B8"/>
    <w:rsid w:val="00F82506"/>
    <w:rsid w:val="00F83FE6"/>
    <w:rsid w:val="00F85222"/>
    <w:rsid w:val="00F86C35"/>
    <w:rsid w:val="00F86FA7"/>
    <w:rsid w:val="00F871DF"/>
    <w:rsid w:val="00F877B6"/>
    <w:rsid w:val="00F91D7E"/>
    <w:rsid w:val="00F97891"/>
    <w:rsid w:val="00FA00C1"/>
    <w:rsid w:val="00FA53E1"/>
    <w:rsid w:val="00FA61B2"/>
    <w:rsid w:val="00FA7B2B"/>
    <w:rsid w:val="00FB0F92"/>
    <w:rsid w:val="00FB1AEB"/>
    <w:rsid w:val="00FC5BB4"/>
    <w:rsid w:val="00FD2940"/>
    <w:rsid w:val="00FD42D1"/>
    <w:rsid w:val="00FE4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40"/>
    <o:shapelayout v:ext="edit">
      <o:idmap v:ext="edit" data="1"/>
    </o:shapelayout>
  </w:shapeDefaults>
  <w:decimalSymbol w:val="."/>
  <w:listSeparator w:val=","/>
  <w15:docId w15:val="{EC4FCE48-66F9-4861-9E74-6A2588ED5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51C"/>
  </w:style>
  <w:style w:type="paragraph" w:styleId="Heading1">
    <w:name w:val="heading 1"/>
    <w:basedOn w:val="Normal"/>
    <w:next w:val="Normal"/>
    <w:qFormat/>
    <w:rsid w:val="0010251C"/>
    <w:pPr>
      <w:keepNext/>
      <w:jc w:val="center"/>
      <w:outlineLvl w:val="0"/>
    </w:pPr>
    <w:rPr>
      <w:rFonts w:ascii="Arial" w:hAnsi="Arial"/>
      <w:sz w:val="22"/>
    </w:rPr>
  </w:style>
  <w:style w:type="paragraph" w:styleId="Heading2">
    <w:name w:val="heading 2"/>
    <w:basedOn w:val="Normal"/>
    <w:next w:val="Normal"/>
    <w:qFormat/>
    <w:rsid w:val="0010251C"/>
    <w:pPr>
      <w:keepNext/>
      <w:outlineLvl w:val="1"/>
    </w:pPr>
    <w:rPr>
      <w:rFonts w:ascii="Arial" w:hAnsi="Arial"/>
      <w:b/>
      <w:sz w:val="22"/>
    </w:rPr>
  </w:style>
  <w:style w:type="paragraph" w:styleId="Heading3">
    <w:name w:val="heading 3"/>
    <w:basedOn w:val="Normal"/>
    <w:next w:val="Normal"/>
    <w:qFormat/>
    <w:rsid w:val="0010251C"/>
    <w:pPr>
      <w:keepNext/>
      <w:spacing w:line="240" w:lineRule="atLeast"/>
      <w:jc w:val="both"/>
      <w:outlineLvl w:val="2"/>
    </w:pPr>
    <w:rPr>
      <w:b/>
      <w:sz w:val="24"/>
    </w:rPr>
  </w:style>
  <w:style w:type="paragraph" w:styleId="Heading4">
    <w:name w:val="heading 4"/>
    <w:basedOn w:val="Normal"/>
    <w:next w:val="Normal"/>
    <w:qFormat/>
    <w:rsid w:val="0010251C"/>
    <w:pPr>
      <w:keepNext/>
      <w:spacing w:line="240" w:lineRule="atLeast"/>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
    <w:name w:val="center"/>
    <w:rsid w:val="0010251C"/>
    <w:pPr>
      <w:tabs>
        <w:tab w:val="left" w:pos="720"/>
        <w:tab w:val="left" w:pos="1439"/>
        <w:tab w:val="left" w:pos="2159"/>
        <w:tab w:val="left" w:pos="2879"/>
        <w:tab w:val="left" w:pos="3599"/>
        <w:tab w:val="left" w:pos="4318"/>
        <w:tab w:val="left" w:pos="5038"/>
        <w:tab w:val="left" w:pos="5758"/>
        <w:tab w:val="left" w:pos="6477"/>
        <w:tab w:val="left" w:pos="7197"/>
        <w:tab w:val="left" w:pos="7917"/>
        <w:tab w:val="left" w:pos="8636"/>
        <w:tab w:val="left" w:pos="9356"/>
        <w:tab w:val="left" w:pos="10076"/>
        <w:tab w:val="left" w:pos="10796"/>
        <w:tab w:val="left" w:pos="11515"/>
        <w:tab w:val="left" w:pos="12235"/>
        <w:tab w:val="left" w:pos="12955"/>
        <w:tab w:val="left" w:pos="13674"/>
        <w:tab w:val="left" w:pos="14394"/>
        <w:tab w:val="left" w:pos="15114"/>
        <w:tab w:val="left" w:pos="15833"/>
        <w:tab w:val="left" w:pos="16553"/>
        <w:tab w:val="left" w:pos="17273"/>
        <w:tab w:val="left" w:pos="17993"/>
        <w:tab w:val="left" w:pos="18712"/>
        <w:tab w:val="left" w:pos="19432"/>
        <w:tab w:val="left" w:pos="20152"/>
        <w:tab w:val="left" w:pos="20871"/>
        <w:tab w:val="left" w:pos="21591"/>
      </w:tabs>
      <w:spacing w:after="238" w:line="314" w:lineRule="atLeast"/>
      <w:jc w:val="center"/>
    </w:pPr>
    <w:rPr>
      <w:rFonts w:ascii="Helvetica" w:hAnsi="Helvetica"/>
      <w:b/>
      <w:sz w:val="24"/>
    </w:rPr>
  </w:style>
  <w:style w:type="paragraph" w:customStyle="1" w:styleId="left">
    <w:name w:val="left"/>
    <w:rsid w:val="0010251C"/>
    <w:pPr>
      <w:tabs>
        <w:tab w:val="left" w:pos="720"/>
        <w:tab w:val="left" w:pos="1439"/>
        <w:tab w:val="left" w:pos="2159"/>
        <w:tab w:val="left" w:pos="2879"/>
        <w:tab w:val="left" w:pos="3599"/>
        <w:tab w:val="left" w:pos="4318"/>
        <w:tab w:val="left" w:pos="5038"/>
        <w:tab w:val="left" w:pos="5758"/>
        <w:tab w:val="left" w:pos="6477"/>
        <w:tab w:val="left" w:pos="7197"/>
        <w:tab w:val="left" w:pos="7917"/>
        <w:tab w:val="left" w:pos="8636"/>
        <w:tab w:val="left" w:pos="9356"/>
        <w:tab w:val="left" w:pos="10076"/>
        <w:tab w:val="left" w:pos="10796"/>
        <w:tab w:val="left" w:pos="11515"/>
        <w:tab w:val="left" w:pos="12235"/>
        <w:tab w:val="left" w:pos="12955"/>
        <w:tab w:val="left" w:pos="13674"/>
        <w:tab w:val="left" w:pos="14394"/>
        <w:tab w:val="left" w:pos="15114"/>
        <w:tab w:val="left" w:pos="15833"/>
        <w:tab w:val="left" w:pos="16553"/>
        <w:tab w:val="left" w:pos="17273"/>
        <w:tab w:val="left" w:pos="17993"/>
        <w:tab w:val="left" w:pos="18712"/>
        <w:tab w:val="left" w:pos="19432"/>
        <w:tab w:val="left" w:pos="20152"/>
        <w:tab w:val="left" w:pos="20871"/>
        <w:tab w:val="left" w:pos="21591"/>
      </w:tabs>
      <w:spacing w:line="239" w:lineRule="atLeast"/>
      <w:ind w:firstLine="200"/>
      <w:jc w:val="both"/>
    </w:pPr>
    <w:rPr>
      <w:rFonts w:ascii="Times" w:hAnsi="Times"/>
    </w:rPr>
  </w:style>
  <w:style w:type="paragraph" w:customStyle="1" w:styleId="sidehead">
    <w:name w:val="sidehead"/>
    <w:rsid w:val="0010251C"/>
    <w:pPr>
      <w:keepNext/>
      <w:keepLines/>
      <w:tabs>
        <w:tab w:val="left" w:pos="720"/>
        <w:tab w:val="left" w:pos="1439"/>
        <w:tab w:val="left" w:pos="2159"/>
        <w:tab w:val="left" w:pos="2881"/>
        <w:tab w:val="left" w:pos="3601"/>
        <w:tab w:val="left" w:pos="4321"/>
        <w:tab w:val="left" w:pos="5040"/>
        <w:tab w:val="left" w:pos="5760"/>
        <w:tab w:val="left" w:pos="6480"/>
        <w:tab w:val="left" w:pos="7199"/>
        <w:tab w:val="left" w:pos="7919"/>
        <w:tab w:val="left" w:pos="8641"/>
        <w:tab w:val="left" w:pos="9361"/>
        <w:tab w:val="left" w:pos="10081"/>
        <w:tab w:val="left" w:pos="10800"/>
        <w:tab w:val="left" w:pos="11520"/>
        <w:tab w:val="left" w:pos="12240"/>
        <w:tab w:val="left" w:pos="12959"/>
        <w:tab w:val="left" w:pos="13679"/>
        <w:tab w:val="left" w:pos="14401"/>
        <w:tab w:val="left" w:pos="15121"/>
        <w:tab w:val="left" w:pos="15841"/>
        <w:tab w:val="left" w:pos="16560"/>
        <w:tab w:val="left" w:pos="17280"/>
        <w:tab w:val="left" w:pos="18000"/>
        <w:tab w:val="left" w:pos="18719"/>
        <w:tab w:val="left" w:pos="19439"/>
        <w:tab w:val="left" w:pos="20161"/>
        <w:tab w:val="left" w:pos="20881"/>
        <w:tab w:val="left" w:pos="21601"/>
      </w:tabs>
      <w:spacing w:before="199" w:line="239" w:lineRule="atLeast"/>
    </w:pPr>
    <w:rPr>
      <w:rFonts w:ascii="Helvetica" w:hAnsi="Helvetica"/>
      <w:b/>
    </w:rPr>
  </w:style>
  <w:style w:type="paragraph" w:customStyle="1" w:styleId="Title1">
    <w:name w:val="Title1"/>
    <w:rsid w:val="0010251C"/>
    <w:pPr>
      <w:keepNext/>
      <w:keepLines/>
      <w:tabs>
        <w:tab w:val="left" w:pos="720"/>
        <w:tab w:val="left" w:pos="1439"/>
        <w:tab w:val="left" w:pos="2159"/>
        <w:tab w:val="left" w:pos="2881"/>
        <w:tab w:val="left" w:pos="3601"/>
        <w:tab w:val="left" w:pos="4321"/>
        <w:tab w:val="left" w:pos="5040"/>
        <w:tab w:val="left" w:pos="5760"/>
        <w:tab w:val="left" w:pos="6480"/>
        <w:tab w:val="left" w:pos="7199"/>
        <w:tab w:val="left" w:pos="7919"/>
        <w:tab w:val="left" w:pos="8641"/>
        <w:tab w:val="left" w:pos="9361"/>
        <w:tab w:val="left" w:pos="10081"/>
        <w:tab w:val="left" w:pos="10800"/>
        <w:tab w:val="left" w:pos="11520"/>
        <w:tab w:val="left" w:pos="12240"/>
        <w:tab w:val="left" w:pos="12959"/>
        <w:tab w:val="left" w:pos="13679"/>
        <w:tab w:val="left" w:pos="14401"/>
        <w:tab w:val="left" w:pos="15121"/>
        <w:tab w:val="left" w:pos="15841"/>
        <w:tab w:val="left" w:pos="16560"/>
        <w:tab w:val="left" w:pos="17280"/>
        <w:tab w:val="left" w:pos="18000"/>
        <w:tab w:val="left" w:pos="18719"/>
        <w:tab w:val="left" w:pos="19439"/>
        <w:tab w:val="left" w:pos="20161"/>
        <w:tab w:val="left" w:pos="20881"/>
        <w:tab w:val="left" w:pos="21601"/>
      </w:tabs>
      <w:spacing w:line="398" w:lineRule="atLeast"/>
    </w:pPr>
    <w:rPr>
      <w:rFonts w:ascii="Helvetica" w:hAnsi="Helvetica"/>
      <w:b/>
      <w:sz w:val="36"/>
    </w:rPr>
  </w:style>
  <w:style w:type="character" w:styleId="Strong">
    <w:name w:val="Strong"/>
    <w:basedOn w:val="DefaultParagraphFont"/>
    <w:qFormat/>
    <w:rsid w:val="0010251C"/>
    <w:rPr>
      <w:b/>
    </w:rPr>
  </w:style>
  <w:style w:type="character" w:styleId="Hyperlink">
    <w:name w:val="Hyperlink"/>
    <w:basedOn w:val="DefaultParagraphFont"/>
    <w:rsid w:val="0010251C"/>
    <w:rPr>
      <w:color w:val="0000FF"/>
      <w:u w:val="single"/>
    </w:rPr>
  </w:style>
  <w:style w:type="paragraph" w:styleId="BodyText">
    <w:name w:val="Body Text"/>
    <w:basedOn w:val="Normal"/>
    <w:rsid w:val="0010251C"/>
    <w:pPr>
      <w:jc w:val="center"/>
    </w:pPr>
    <w:rPr>
      <w:rFonts w:ascii="Arial" w:hAnsi="Arial"/>
      <w:sz w:val="18"/>
    </w:rPr>
  </w:style>
  <w:style w:type="character" w:styleId="CommentReference">
    <w:name w:val="annotation reference"/>
    <w:basedOn w:val="DefaultParagraphFont"/>
    <w:semiHidden/>
    <w:rsid w:val="0010251C"/>
    <w:rPr>
      <w:sz w:val="16"/>
    </w:rPr>
  </w:style>
  <w:style w:type="paragraph" w:styleId="BodyText2">
    <w:name w:val="Body Text 2"/>
    <w:basedOn w:val="Normal"/>
    <w:rsid w:val="0010251C"/>
    <w:pPr>
      <w:spacing w:line="240" w:lineRule="atLeast"/>
      <w:jc w:val="both"/>
    </w:pPr>
    <w:rPr>
      <w:sz w:val="24"/>
    </w:rPr>
  </w:style>
  <w:style w:type="paragraph" w:styleId="BalloonText">
    <w:name w:val="Balloon Text"/>
    <w:basedOn w:val="Normal"/>
    <w:semiHidden/>
    <w:rsid w:val="00206089"/>
    <w:rPr>
      <w:rFonts w:ascii="Tahoma" w:hAnsi="Tahoma" w:cs="Tahoma"/>
      <w:sz w:val="16"/>
      <w:szCs w:val="16"/>
    </w:rPr>
  </w:style>
  <w:style w:type="paragraph" w:styleId="NormalWeb">
    <w:name w:val="Normal (Web)"/>
    <w:basedOn w:val="Normal"/>
    <w:rsid w:val="004929D3"/>
    <w:pPr>
      <w:spacing w:before="100" w:beforeAutospacing="1" w:after="100" w:afterAutospacing="1"/>
    </w:pPr>
    <w:rPr>
      <w:rFonts w:ascii="Verdana" w:hAnsi="Verdana"/>
      <w:color w:val="000000"/>
    </w:rPr>
  </w:style>
  <w:style w:type="paragraph" w:styleId="FootnoteText">
    <w:name w:val="footnote text"/>
    <w:basedOn w:val="Normal"/>
    <w:semiHidden/>
    <w:rsid w:val="00C434A2"/>
  </w:style>
  <w:style w:type="character" w:styleId="FootnoteReference">
    <w:name w:val="footnote reference"/>
    <w:basedOn w:val="DefaultParagraphFont"/>
    <w:semiHidden/>
    <w:rsid w:val="00C434A2"/>
    <w:rPr>
      <w:vertAlign w:val="superscript"/>
    </w:rPr>
  </w:style>
  <w:style w:type="paragraph" w:styleId="CommentText">
    <w:name w:val="annotation text"/>
    <w:basedOn w:val="Normal"/>
    <w:semiHidden/>
    <w:rsid w:val="00626BE1"/>
  </w:style>
  <w:style w:type="paragraph" w:styleId="CommentSubject">
    <w:name w:val="annotation subject"/>
    <w:basedOn w:val="CommentText"/>
    <w:next w:val="CommentText"/>
    <w:semiHidden/>
    <w:rsid w:val="00626BE1"/>
    <w:rPr>
      <w:b/>
      <w:bCs/>
    </w:rPr>
  </w:style>
  <w:style w:type="paragraph" w:styleId="Header">
    <w:name w:val="header"/>
    <w:basedOn w:val="Normal"/>
    <w:link w:val="HeaderChar"/>
    <w:uiPriority w:val="99"/>
    <w:semiHidden/>
    <w:unhideWhenUsed/>
    <w:rsid w:val="00F02F00"/>
    <w:pPr>
      <w:tabs>
        <w:tab w:val="center" w:pos="4680"/>
        <w:tab w:val="right" w:pos="9360"/>
      </w:tabs>
    </w:pPr>
  </w:style>
  <w:style w:type="character" w:customStyle="1" w:styleId="HeaderChar">
    <w:name w:val="Header Char"/>
    <w:basedOn w:val="DefaultParagraphFont"/>
    <w:link w:val="Header"/>
    <w:uiPriority w:val="99"/>
    <w:semiHidden/>
    <w:rsid w:val="00F02F00"/>
  </w:style>
  <w:style w:type="paragraph" w:styleId="Footer">
    <w:name w:val="footer"/>
    <w:basedOn w:val="Normal"/>
    <w:link w:val="FooterChar"/>
    <w:uiPriority w:val="99"/>
    <w:unhideWhenUsed/>
    <w:rsid w:val="00F02F00"/>
    <w:pPr>
      <w:tabs>
        <w:tab w:val="center" w:pos="4680"/>
        <w:tab w:val="right" w:pos="9360"/>
      </w:tabs>
    </w:pPr>
  </w:style>
  <w:style w:type="character" w:customStyle="1" w:styleId="FooterChar">
    <w:name w:val="Footer Char"/>
    <w:basedOn w:val="DefaultParagraphFont"/>
    <w:link w:val="Footer"/>
    <w:uiPriority w:val="99"/>
    <w:rsid w:val="00F02F00"/>
  </w:style>
  <w:style w:type="paragraph" w:styleId="ListParagraph">
    <w:name w:val="List Paragraph"/>
    <w:basedOn w:val="Normal"/>
    <w:uiPriority w:val="34"/>
    <w:qFormat/>
    <w:rsid w:val="005847EC"/>
    <w:pPr>
      <w:ind w:left="720"/>
      <w:contextualSpacing/>
    </w:pPr>
  </w:style>
  <w:style w:type="paragraph" w:styleId="Revision">
    <w:name w:val="Revision"/>
    <w:hidden/>
    <w:uiPriority w:val="99"/>
    <w:semiHidden/>
    <w:rsid w:val="002C136A"/>
  </w:style>
  <w:style w:type="character" w:styleId="FollowedHyperlink">
    <w:name w:val="FollowedHyperlink"/>
    <w:basedOn w:val="DefaultParagraphFont"/>
    <w:uiPriority w:val="99"/>
    <w:semiHidden/>
    <w:unhideWhenUsed/>
    <w:rsid w:val="00802E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02674">
      <w:bodyDiv w:val="1"/>
      <w:marLeft w:val="0"/>
      <w:marRight w:val="0"/>
      <w:marTop w:val="0"/>
      <w:marBottom w:val="0"/>
      <w:divBdr>
        <w:top w:val="none" w:sz="0" w:space="0" w:color="auto"/>
        <w:left w:val="none" w:sz="0" w:space="0" w:color="auto"/>
        <w:bottom w:val="none" w:sz="0" w:space="0" w:color="auto"/>
        <w:right w:val="none" w:sz="0" w:space="0" w:color="auto"/>
      </w:divBdr>
    </w:div>
    <w:div w:id="463933889">
      <w:bodyDiv w:val="1"/>
      <w:marLeft w:val="0"/>
      <w:marRight w:val="0"/>
      <w:marTop w:val="0"/>
      <w:marBottom w:val="0"/>
      <w:divBdr>
        <w:top w:val="none" w:sz="0" w:space="0" w:color="auto"/>
        <w:left w:val="none" w:sz="0" w:space="0" w:color="auto"/>
        <w:bottom w:val="none" w:sz="0" w:space="0" w:color="auto"/>
        <w:right w:val="none" w:sz="0" w:space="0" w:color="auto"/>
      </w:divBdr>
    </w:div>
    <w:div w:id="491217731">
      <w:bodyDiv w:val="1"/>
      <w:marLeft w:val="0"/>
      <w:marRight w:val="0"/>
      <w:marTop w:val="0"/>
      <w:marBottom w:val="0"/>
      <w:divBdr>
        <w:top w:val="none" w:sz="0" w:space="0" w:color="auto"/>
        <w:left w:val="none" w:sz="0" w:space="0" w:color="auto"/>
        <w:bottom w:val="none" w:sz="0" w:space="0" w:color="auto"/>
        <w:right w:val="none" w:sz="0" w:space="0" w:color="auto"/>
      </w:divBdr>
      <w:divsChild>
        <w:div w:id="1885872191">
          <w:marLeft w:val="0"/>
          <w:marRight w:val="0"/>
          <w:marTop w:val="0"/>
          <w:marBottom w:val="0"/>
          <w:divBdr>
            <w:top w:val="none" w:sz="0" w:space="0" w:color="auto"/>
            <w:left w:val="none" w:sz="0" w:space="0" w:color="auto"/>
            <w:bottom w:val="none" w:sz="0" w:space="0" w:color="auto"/>
            <w:right w:val="none" w:sz="0" w:space="0" w:color="auto"/>
          </w:divBdr>
          <w:divsChild>
            <w:div w:id="125971395">
              <w:marLeft w:val="0"/>
              <w:marRight w:val="0"/>
              <w:marTop w:val="0"/>
              <w:marBottom w:val="0"/>
              <w:divBdr>
                <w:top w:val="none" w:sz="0" w:space="0" w:color="auto"/>
                <w:left w:val="single" w:sz="6" w:space="0" w:color="E2E2E2"/>
                <w:bottom w:val="none" w:sz="0" w:space="0" w:color="auto"/>
                <w:right w:val="single" w:sz="6" w:space="0" w:color="E2E2E2"/>
              </w:divBdr>
              <w:divsChild>
                <w:div w:id="121465687">
                  <w:marLeft w:val="0"/>
                  <w:marRight w:val="0"/>
                  <w:marTop w:val="0"/>
                  <w:marBottom w:val="0"/>
                  <w:divBdr>
                    <w:top w:val="none" w:sz="0" w:space="0" w:color="auto"/>
                    <w:left w:val="none" w:sz="0" w:space="0" w:color="auto"/>
                    <w:bottom w:val="none" w:sz="0" w:space="0" w:color="auto"/>
                    <w:right w:val="none" w:sz="0" w:space="0" w:color="auto"/>
                  </w:divBdr>
                  <w:divsChild>
                    <w:div w:id="448205011">
                      <w:marLeft w:val="0"/>
                      <w:marRight w:val="0"/>
                      <w:marTop w:val="0"/>
                      <w:marBottom w:val="0"/>
                      <w:divBdr>
                        <w:top w:val="none" w:sz="0" w:space="0" w:color="auto"/>
                        <w:left w:val="none" w:sz="0" w:space="0" w:color="auto"/>
                        <w:bottom w:val="none" w:sz="0" w:space="0" w:color="auto"/>
                        <w:right w:val="none" w:sz="0" w:space="0" w:color="auto"/>
                      </w:divBdr>
                      <w:divsChild>
                        <w:div w:id="361250974">
                          <w:marLeft w:val="0"/>
                          <w:marRight w:val="0"/>
                          <w:marTop w:val="0"/>
                          <w:marBottom w:val="0"/>
                          <w:divBdr>
                            <w:top w:val="none" w:sz="0" w:space="0" w:color="auto"/>
                            <w:left w:val="none" w:sz="0" w:space="0" w:color="auto"/>
                            <w:bottom w:val="none" w:sz="0" w:space="0" w:color="auto"/>
                            <w:right w:val="none" w:sz="0" w:space="0" w:color="auto"/>
                          </w:divBdr>
                          <w:divsChild>
                            <w:div w:id="1599095349">
                              <w:marLeft w:val="0"/>
                              <w:marRight w:val="0"/>
                              <w:marTop w:val="0"/>
                              <w:marBottom w:val="0"/>
                              <w:divBdr>
                                <w:top w:val="single" w:sz="2" w:space="6" w:color="CCCCCC"/>
                                <w:left w:val="single" w:sz="6" w:space="6" w:color="CCCCCC"/>
                                <w:bottom w:val="single" w:sz="6" w:space="6" w:color="CCCCCC"/>
                                <w:right w:val="single" w:sz="6" w:space="6" w:color="CCCCCC"/>
                              </w:divBdr>
                              <w:divsChild>
                                <w:div w:id="40896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321842">
      <w:bodyDiv w:val="1"/>
      <w:marLeft w:val="0"/>
      <w:marRight w:val="0"/>
      <w:marTop w:val="0"/>
      <w:marBottom w:val="0"/>
      <w:divBdr>
        <w:top w:val="none" w:sz="0" w:space="0" w:color="auto"/>
        <w:left w:val="none" w:sz="0" w:space="0" w:color="auto"/>
        <w:bottom w:val="none" w:sz="0" w:space="0" w:color="auto"/>
        <w:right w:val="none" w:sz="0" w:space="0" w:color="auto"/>
      </w:divBdr>
      <w:divsChild>
        <w:div w:id="1459488242">
          <w:marLeft w:val="0"/>
          <w:marRight w:val="0"/>
          <w:marTop w:val="0"/>
          <w:marBottom w:val="0"/>
          <w:divBdr>
            <w:top w:val="none" w:sz="0" w:space="0" w:color="auto"/>
            <w:left w:val="none" w:sz="0" w:space="0" w:color="auto"/>
            <w:bottom w:val="none" w:sz="0" w:space="0" w:color="auto"/>
            <w:right w:val="none" w:sz="0" w:space="0" w:color="auto"/>
          </w:divBdr>
          <w:divsChild>
            <w:div w:id="1560631364">
              <w:marLeft w:val="0"/>
              <w:marRight w:val="0"/>
              <w:marTop w:val="0"/>
              <w:marBottom w:val="0"/>
              <w:divBdr>
                <w:top w:val="none" w:sz="0" w:space="0" w:color="auto"/>
                <w:left w:val="single" w:sz="6" w:space="0" w:color="E2E2E2"/>
                <w:bottom w:val="none" w:sz="0" w:space="0" w:color="auto"/>
                <w:right w:val="single" w:sz="6" w:space="0" w:color="E2E2E2"/>
              </w:divBdr>
              <w:divsChild>
                <w:div w:id="117799116">
                  <w:marLeft w:val="0"/>
                  <w:marRight w:val="0"/>
                  <w:marTop w:val="0"/>
                  <w:marBottom w:val="0"/>
                  <w:divBdr>
                    <w:top w:val="none" w:sz="0" w:space="0" w:color="auto"/>
                    <w:left w:val="none" w:sz="0" w:space="0" w:color="auto"/>
                    <w:bottom w:val="none" w:sz="0" w:space="0" w:color="auto"/>
                    <w:right w:val="none" w:sz="0" w:space="0" w:color="auto"/>
                  </w:divBdr>
                  <w:divsChild>
                    <w:div w:id="58099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50041">
      <w:bodyDiv w:val="1"/>
      <w:marLeft w:val="0"/>
      <w:marRight w:val="0"/>
      <w:marTop w:val="0"/>
      <w:marBottom w:val="0"/>
      <w:divBdr>
        <w:top w:val="none" w:sz="0" w:space="0" w:color="auto"/>
        <w:left w:val="none" w:sz="0" w:space="0" w:color="auto"/>
        <w:bottom w:val="none" w:sz="0" w:space="0" w:color="auto"/>
        <w:right w:val="none" w:sz="0" w:space="0" w:color="auto"/>
      </w:divBdr>
    </w:div>
    <w:div w:id="1269696327">
      <w:bodyDiv w:val="1"/>
      <w:marLeft w:val="0"/>
      <w:marRight w:val="0"/>
      <w:marTop w:val="0"/>
      <w:marBottom w:val="0"/>
      <w:divBdr>
        <w:top w:val="none" w:sz="0" w:space="0" w:color="auto"/>
        <w:left w:val="none" w:sz="0" w:space="0" w:color="auto"/>
        <w:bottom w:val="none" w:sz="0" w:space="0" w:color="auto"/>
        <w:right w:val="none" w:sz="0" w:space="0" w:color="auto"/>
      </w:divBdr>
    </w:div>
    <w:div w:id="1587182209">
      <w:bodyDiv w:val="1"/>
      <w:marLeft w:val="0"/>
      <w:marRight w:val="0"/>
      <w:marTop w:val="0"/>
      <w:marBottom w:val="0"/>
      <w:divBdr>
        <w:top w:val="none" w:sz="0" w:space="0" w:color="auto"/>
        <w:left w:val="none" w:sz="0" w:space="0" w:color="auto"/>
        <w:bottom w:val="none" w:sz="0" w:space="0" w:color="auto"/>
        <w:right w:val="none" w:sz="0" w:space="0" w:color="auto"/>
      </w:divBdr>
    </w:div>
    <w:div w:id="206432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s.gov/cex/csximpute.htm" TargetMode="Externa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oleObject" Target="embeddings/oleObject12.bin"/><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image" Target="media/image15.wmf"/><Relationship Id="rId47" Type="http://schemas.openxmlformats.org/officeDocument/2006/relationships/hyperlink" Target="http://www.bls.gov/cex/research_papers/research-paper-catalog.htm" TargetMode="External"/><Relationship Id="rId50" Type="http://schemas.openxmlformats.org/officeDocument/2006/relationships/fontTable" Target="fontTable.xml"/><Relationship Id="rId7" Type="http://schemas.openxmlformats.org/officeDocument/2006/relationships/hyperlink" Target="http://www.bls.gov/cex/news.htm" TargetMode="External"/><Relationship Id="rId2" Type="http://schemas.openxmlformats.org/officeDocument/2006/relationships/styles" Target="styles.xml"/><Relationship Id="rId16" Type="http://schemas.openxmlformats.org/officeDocument/2006/relationships/hyperlink" Target="http://www.census.gov/population/metro/" TargetMode="External"/><Relationship Id="rId29" Type="http://schemas.openxmlformats.org/officeDocument/2006/relationships/oleObject" Target="embeddings/oleObject7.bin"/><Relationship Id="rId11" Type="http://schemas.openxmlformats.org/officeDocument/2006/relationships/hyperlink" Target="http://www.bls.gov/cex/" TargetMode="External"/><Relationship Id="rId24" Type="http://schemas.openxmlformats.org/officeDocument/2006/relationships/oleObject" Target="embeddings/oleObject4.bin"/><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image" Target="media/image14.wmf"/><Relationship Id="rId45" Type="http://schemas.openxmlformats.org/officeDocument/2006/relationships/hyperlink" Target="http://www.bls.gov/opub/mlr/2015/article/consumer-spending-in-world-war-ii-the-forgotten-consumer-expenditure-surveys.htm" TargetMode="Externa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image" Target="media/image6.wmf"/><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footer" Target="footer1.xml"/><Relationship Id="rId10" Type="http://schemas.openxmlformats.org/officeDocument/2006/relationships/hyperlink" Target="http://www.bls.gov/cex/home.htm%23publications" TargetMode="External"/><Relationship Id="rId19" Type="http://schemas.openxmlformats.org/officeDocument/2006/relationships/image" Target="media/image4.wmf"/><Relationship Id="rId31" Type="http://schemas.openxmlformats.org/officeDocument/2006/relationships/oleObject" Target="embeddings/oleObject8.bin"/><Relationship Id="rId44" Type="http://schemas.openxmlformats.org/officeDocument/2006/relationships/hyperlink" Target="http://www.bls.gov/cex/csxannualworkshop.htm" TargetMode="External"/><Relationship Id="rId4" Type="http://schemas.openxmlformats.org/officeDocument/2006/relationships/webSettings" Target="webSettings.xml"/><Relationship Id="rId9" Type="http://schemas.openxmlformats.org/officeDocument/2006/relationships/hyperlink" Target="http://www.bls.gov/cex/pumdhome.htm" TargetMode="External"/><Relationship Id="rId14" Type="http://schemas.openxmlformats.org/officeDocument/2006/relationships/hyperlink" Target="http://www.bls.gov/opub/mlr/2009/08/art3full.pdf" TargetMode="External"/><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image" Target="media/image9.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hyperlink" Target="http://www.bls.gov/opub/mlr/2013/article/ce-survey-redesign.htm" TargetMode="External"/><Relationship Id="rId8" Type="http://schemas.openxmlformats.org/officeDocument/2006/relationships/hyperlink" Target="http://www.bls.gov/cex/tables.htm"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oleObject" Target="embeddings/oleObject9.bin"/><Relationship Id="rId38" Type="http://schemas.openxmlformats.org/officeDocument/2006/relationships/image" Target="media/image13.wmf"/><Relationship Id="rId46" Type="http://schemas.openxmlformats.org/officeDocument/2006/relationships/hyperlink" Target="http://www.bls.gov/cex/geminiproject.htm" TargetMode="External"/><Relationship Id="rId20" Type="http://schemas.openxmlformats.org/officeDocument/2006/relationships/oleObject" Target="embeddings/oleObject2.bin"/><Relationship Id="rId41" Type="http://schemas.openxmlformats.org/officeDocument/2006/relationships/oleObject" Target="embeddings/oleObject13.bin"/><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607</TotalTime>
  <Pages>27</Pages>
  <Words>8098</Words>
  <Characters>46001</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Chapter 18</vt:lpstr>
    </vt:vector>
  </TitlesOfParts>
  <Company>PSB LAN Support</Company>
  <LinksUpToDate>false</LinksUpToDate>
  <CharactersWithSpaces>53992</CharactersWithSpaces>
  <SharedDoc>false</SharedDoc>
  <HLinks>
    <vt:vector size="18" baseType="variant">
      <vt:variant>
        <vt:i4>5177352</vt:i4>
      </vt:variant>
      <vt:variant>
        <vt:i4>48</vt:i4>
      </vt:variant>
      <vt:variant>
        <vt:i4>0</vt:i4>
      </vt:variant>
      <vt:variant>
        <vt:i4>5</vt:i4>
      </vt:variant>
      <vt:variant>
        <vt:lpwstr>http://www.bls.gov/cex/cecomparison.htm/</vt:lpwstr>
      </vt:variant>
      <vt:variant>
        <vt:lpwstr/>
      </vt:variant>
      <vt:variant>
        <vt:i4>6226012</vt:i4>
      </vt:variant>
      <vt:variant>
        <vt:i4>45</vt:i4>
      </vt:variant>
      <vt:variant>
        <vt:i4>0</vt:i4>
      </vt:variant>
      <vt:variant>
        <vt:i4>5</vt:i4>
      </vt:variant>
      <vt:variant>
        <vt:lpwstr>http://www.bls.gov/cex/geminiproject.htm/</vt:lpwstr>
      </vt:variant>
      <vt:variant>
        <vt:lpwstr/>
      </vt:variant>
      <vt:variant>
        <vt:i4>3145783</vt:i4>
      </vt:variant>
      <vt:variant>
        <vt:i4>42</vt:i4>
      </vt:variant>
      <vt:variant>
        <vt:i4>0</vt:i4>
      </vt:variant>
      <vt:variant>
        <vt:i4>5</vt:i4>
      </vt:variant>
      <vt:variant>
        <vt:lpwstr>http://www.bls.gov/cex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18</dc:title>
  <dc:creator>ROGERS_JOHN</dc:creator>
  <cp:lastModifiedBy>Murphy, Peggy - BLS</cp:lastModifiedBy>
  <cp:revision>60</cp:revision>
  <cp:lastPrinted>2013-06-14T18:44:00Z</cp:lastPrinted>
  <dcterms:created xsi:type="dcterms:W3CDTF">2015-08-24T13:47:00Z</dcterms:created>
  <dcterms:modified xsi:type="dcterms:W3CDTF">2015-11-20T15:53:00Z</dcterms:modified>
</cp:coreProperties>
</file>