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C5935" w14:textId="77777777" w:rsidR="00F80DC3" w:rsidRDefault="00F80DC3" w:rsidP="00673B1B">
      <w:pPr>
        <w:pStyle w:val="Title"/>
      </w:pPr>
      <w:bookmarkStart w:id="0" w:name="_GoBack"/>
      <w:bookmarkEnd w:id="0"/>
    </w:p>
    <w:p w14:paraId="3D670C9D" w14:textId="77777777" w:rsidR="00673B1B" w:rsidRDefault="00673B1B" w:rsidP="00673B1B">
      <w:pPr>
        <w:pStyle w:val="Title"/>
      </w:pPr>
      <w:r>
        <w:t>Supporting Statement</w:t>
      </w:r>
    </w:p>
    <w:p w14:paraId="355BAC04" w14:textId="77777777" w:rsidR="00673B1B" w:rsidRDefault="00673B1B" w:rsidP="00673B1B">
      <w:pPr>
        <w:tabs>
          <w:tab w:val="left" w:pos="1176"/>
          <w:tab w:val="left" w:pos="1656"/>
          <w:tab w:val="left" w:pos="6696"/>
          <w:tab w:val="left" w:pos="8256"/>
        </w:tabs>
      </w:pPr>
    </w:p>
    <w:p w14:paraId="18E2EC26" w14:textId="77777777" w:rsidR="007801DB" w:rsidRDefault="007801DB" w:rsidP="00593725">
      <w:pPr>
        <w:tabs>
          <w:tab w:val="left" w:pos="1176"/>
          <w:tab w:val="left" w:pos="1656"/>
          <w:tab w:val="left" w:pos="5016"/>
          <w:tab w:val="left" w:pos="6696"/>
          <w:tab w:val="left" w:pos="8256"/>
        </w:tabs>
        <w:ind w:left="480" w:hanging="480"/>
      </w:pPr>
    </w:p>
    <w:p w14:paraId="548A2759" w14:textId="77777777" w:rsidR="007801DB" w:rsidRDefault="007801DB">
      <w:pPr>
        <w:tabs>
          <w:tab w:val="left" w:pos="1176"/>
          <w:tab w:val="left" w:pos="1656"/>
          <w:tab w:val="left" w:pos="5016"/>
          <w:tab w:val="left" w:pos="6696"/>
          <w:tab w:val="left" w:pos="8256"/>
        </w:tabs>
        <w:ind w:left="480" w:hanging="480"/>
      </w:pPr>
      <w:r>
        <w:t>B.</w:t>
      </w:r>
      <w:r>
        <w:tab/>
        <w:t>Collection of Information Employing Statistical Methods</w:t>
      </w:r>
    </w:p>
    <w:p w14:paraId="53146E5A" w14:textId="77777777" w:rsidR="007801DB" w:rsidRDefault="007801DB">
      <w:pPr>
        <w:tabs>
          <w:tab w:val="left" w:pos="1176"/>
          <w:tab w:val="left" w:pos="1656"/>
          <w:tab w:val="left" w:pos="5016"/>
          <w:tab w:val="left" w:pos="6696"/>
          <w:tab w:val="left" w:pos="8256"/>
        </w:tabs>
      </w:pPr>
    </w:p>
    <w:p w14:paraId="2D2E61D3" w14:textId="77777777" w:rsidR="00573652" w:rsidRPr="00573652" w:rsidRDefault="001041FE" w:rsidP="00D21F06">
      <w:pPr>
        <w:numPr>
          <w:ilvl w:val="0"/>
          <w:numId w:val="6"/>
        </w:numPr>
        <w:tabs>
          <w:tab w:val="left" w:pos="1176"/>
          <w:tab w:val="left" w:pos="1656"/>
          <w:tab w:val="left" w:pos="5016"/>
          <w:tab w:val="left" w:pos="6696"/>
          <w:tab w:val="left" w:pos="8256"/>
        </w:tabs>
        <w:ind w:left="475"/>
      </w:pPr>
      <w:r w:rsidRPr="002A5A87">
        <w:rPr>
          <w:b/>
          <w:u w:val="single"/>
        </w:rPr>
        <w:t>Sampling Method</w:t>
      </w:r>
      <w:r>
        <w:rPr>
          <w:u w:val="single"/>
        </w:rPr>
        <w:br/>
      </w:r>
    </w:p>
    <w:p w14:paraId="3BD57EBE" w14:textId="59B7FD51" w:rsidR="00573652" w:rsidRDefault="00573652" w:rsidP="00573652">
      <w:pPr>
        <w:tabs>
          <w:tab w:val="left" w:pos="1176"/>
          <w:tab w:val="left" w:pos="1656"/>
          <w:tab w:val="left" w:pos="5016"/>
          <w:tab w:val="left" w:pos="6696"/>
          <w:tab w:val="left" w:pos="8256"/>
        </w:tabs>
        <w:ind w:left="475"/>
      </w:pPr>
      <w:r w:rsidRPr="00573652">
        <w:t xml:space="preserve">The Consumer Expenditure (CE) </w:t>
      </w:r>
      <w:r>
        <w:t>Survey is a nationwide household survey conducted jointly by the U.S. Bureau of Labor Statistics and the U.S. Census Bureau to find out how Americans spend their money.  Its data are collected from a representative sample of households drawn in a two-stage sampl</w:t>
      </w:r>
      <w:r w:rsidR="00D84E97">
        <w:t>ing</w:t>
      </w:r>
      <w:r>
        <w:t xml:space="preserve"> design.  In the first stage a representative sample of counties from around the United States is selected for the survey.  In the second stage a representative sample of households is selected from those counties.  This two-stage sampling process is designed to generate a sample of households in which every wealth level is well-represented in the survey.  The rest of this section describes these two sampling stages in more detail.</w:t>
      </w:r>
    </w:p>
    <w:p w14:paraId="28CA7D1E" w14:textId="77777777" w:rsidR="00573652" w:rsidRDefault="00573652" w:rsidP="00573652">
      <w:pPr>
        <w:tabs>
          <w:tab w:val="left" w:pos="1176"/>
          <w:tab w:val="left" w:pos="1656"/>
          <w:tab w:val="left" w:pos="5016"/>
          <w:tab w:val="left" w:pos="6696"/>
          <w:tab w:val="left" w:pos="8256"/>
        </w:tabs>
        <w:ind w:left="475"/>
      </w:pPr>
    </w:p>
    <w:p w14:paraId="7B2EAB41" w14:textId="2A18D872" w:rsidR="00573652" w:rsidRPr="00573652" w:rsidRDefault="0089011E" w:rsidP="00573652">
      <w:pPr>
        <w:tabs>
          <w:tab w:val="left" w:pos="1176"/>
          <w:tab w:val="left" w:pos="1656"/>
          <w:tab w:val="left" w:pos="5016"/>
          <w:tab w:val="left" w:pos="6696"/>
          <w:tab w:val="left" w:pos="8256"/>
        </w:tabs>
        <w:ind w:left="475"/>
      </w:pPr>
      <w:r>
        <w:t>For more details</w:t>
      </w:r>
      <w:r w:rsidR="00573652">
        <w:t>, please refer to the paper by Danielle Neiman et. al.</w:t>
      </w:r>
      <w:r w:rsidR="00CE58A1">
        <w:t>, “Review of the 2010 Sample Redesign of the Consumer Expenditure Survey” (</w:t>
      </w:r>
      <w:r w:rsidR="00CE58A1" w:rsidRPr="00252F5B">
        <w:t xml:space="preserve">Attachment </w:t>
      </w:r>
      <w:r w:rsidR="00252F5B" w:rsidRPr="00252F5B">
        <w:t>V</w:t>
      </w:r>
      <w:r w:rsidR="00CE58A1" w:rsidRPr="00CE58A1">
        <w:t>); or the “</w:t>
      </w:r>
      <w:r w:rsidR="00CE58A1" w:rsidRPr="00E3685C">
        <w:t>Selecting a</w:t>
      </w:r>
      <w:r w:rsidR="00CE58A1">
        <w:t xml:space="preserve"> Sample </w:t>
      </w:r>
      <w:r w:rsidR="00CE58A1" w:rsidRPr="00E3685C">
        <w:t>of Households</w:t>
      </w:r>
      <w:r w:rsidR="00CE58A1">
        <w:t xml:space="preserve"> for the Consumer Expenditure Survey” </w:t>
      </w:r>
      <w:r w:rsidRPr="00CE58A1">
        <w:t xml:space="preserve">by Susan King </w:t>
      </w:r>
      <w:r w:rsidR="00CE58A1">
        <w:t>(Attachment P).</w:t>
      </w:r>
    </w:p>
    <w:p w14:paraId="51DA578C" w14:textId="3225B9D1" w:rsidR="001041FE" w:rsidRDefault="001041FE" w:rsidP="00573652">
      <w:pPr>
        <w:tabs>
          <w:tab w:val="left" w:pos="1176"/>
          <w:tab w:val="left" w:pos="1656"/>
          <w:tab w:val="left" w:pos="5016"/>
          <w:tab w:val="left" w:pos="6696"/>
          <w:tab w:val="left" w:pos="8256"/>
        </w:tabs>
        <w:ind w:left="475"/>
      </w:pPr>
      <w:r>
        <w:rPr>
          <w:u w:val="single"/>
        </w:rPr>
        <w:br/>
        <w:t>Consumer Units</w:t>
      </w:r>
      <w:r w:rsidR="00FE7652">
        <w:br/>
        <w:t>A</w:t>
      </w:r>
      <w:r>
        <w:t xml:space="preserve"> </w:t>
      </w:r>
      <w:r w:rsidR="002374B8">
        <w:t>consumer unit (</w:t>
      </w:r>
      <w:r>
        <w:t>CU</w:t>
      </w:r>
      <w:r w:rsidR="002374B8">
        <w:t>)</w:t>
      </w:r>
      <w:r>
        <w:t xml:space="preserve"> is the unit from which</w:t>
      </w:r>
      <w:r w:rsidR="002374B8">
        <w:t xml:space="preserve"> the </w:t>
      </w:r>
      <w:r w:rsidR="00922782">
        <w:t>CE</w:t>
      </w:r>
      <w:r w:rsidR="002374B8">
        <w:t xml:space="preserve"> </w:t>
      </w:r>
      <w:r>
        <w:t>seek</w:t>
      </w:r>
      <w:r w:rsidR="00922782">
        <w:t>s</w:t>
      </w:r>
      <w:r>
        <w:t xml:space="preserve"> expenditure reports.  It consists of all household members </w:t>
      </w:r>
      <w:r w:rsidRPr="00E3685C">
        <w:t xml:space="preserve">in </w:t>
      </w:r>
      <w:r>
        <w:t xml:space="preserve">a particular housing unit or other type of living quarters who are related by blood, marriage, adoption, or some other legal arrangement.  </w:t>
      </w:r>
      <w:r w:rsidR="007E0399">
        <w:t>F</w:t>
      </w:r>
      <w:r>
        <w:t xml:space="preserve">or unrelated persons </w:t>
      </w:r>
      <w:r w:rsidR="007E0399">
        <w:t xml:space="preserve">it </w:t>
      </w:r>
      <w:r>
        <w:t xml:space="preserve">is based on </w:t>
      </w:r>
      <w:r w:rsidR="00FE7652">
        <w:t xml:space="preserve">their </w:t>
      </w:r>
      <w:r>
        <w:t xml:space="preserve">financial </w:t>
      </w:r>
      <w:r w:rsidRPr="00E3685C">
        <w:t>dependence</w:t>
      </w:r>
      <w:r>
        <w:t xml:space="preserve"> in three expenditure categories:  shelter, food, and all other expenses</w:t>
      </w:r>
      <w:r w:rsidRPr="00E3685C">
        <w:t>.  Unrelated</w:t>
      </w:r>
      <w:r>
        <w:t xml:space="preserve"> persons are considered to be </w:t>
      </w:r>
      <w:r w:rsidR="00AA5A24">
        <w:t xml:space="preserve">part of the same CU if they </w:t>
      </w:r>
      <w:r w:rsidR="002374B8">
        <w:t xml:space="preserve">live in the same housing unit and </w:t>
      </w:r>
      <w:r w:rsidR="00AA5A24">
        <w:t xml:space="preserve">share expenses for at least two of these categories, and they are considered to be </w:t>
      </w:r>
      <w:r>
        <w:t xml:space="preserve">separate CUs if they </w:t>
      </w:r>
      <w:r w:rsidR="002374B8">
        <w:t xml:space="preserve">live in the same housing unit but </w:t>
      </w:r>
      <w:r>
        <w:t xml:space="preserve">are responsible for paying their own expenses for at least two of these categories.  </w:t>
      </w:r>
      <w:r w:rsidR="00345794">
        <w:t>There are approximately 127 million CUs in the CE</w:t>
      </w:r>
      <w:r w:rsidR="002374B8">
        <w:t xml:space="preserve"> survey</w:t>
      </w:r>
      <w:r w:rsidR="00345794">
        <w:t>’s universe.</w:t>
      </w:r>
      <w:r w:rsidR="00345794">
        <w:rPr>
          <w:rStyle w:val="FootnoteReference"/>
        </w:rPr>
        <w:footnoteReference w:id="1"/>
      </w:r>
      <w:r w:rsidR="00345794">
        <w:t xml:space="preserve">  </w:t>
      </w:r>
      <w:r>
        <w:t>Approximately 97 percent of all occupied living quarters are occupied by a single CU.</w:t>
      </w:r>
    </w:p>
    <w:p w14:paraId="405D826E" w14:textId="77777777" w:rsidR="001041FE" w:rsidRDefault="001041FE" w:rsidP="00D21F06">
      <w:pPr>
        <w:tabs>
          <w:tab w:val="left" w:pos="1176"/>
          <w:tab w:val="left" w:pos="1656"/>
          <w:tab w:val="left" w:pos="5016"/>
          <w:tab w:val="left" w:pos="6696"/>
          <w:tab w:val="left" w:pos="8256"/>
        </w:tabs>
        <w:ind w:left="475"/>
      </w:pPr>
    </w:p>
    <w:p w14:paraId="445394CA" w14:textId="008AA04C" w:rsidR="001041FE" w:rsidRDefault="001041FE" w:rsidP="001041FE">
      <w:pPr>
        <w:tabs>
          <w:tab w:val="left" w:pos="1176"/>
          <w:tab w:val="left" w:pos="1656"/>
          <w:tab w:val="left" w:pos="5016"/>
          <w:tab w:val="left" w:pos="6696"/>
          <w:tab w:val="left" w:pos="8256"/>
        </w:tabs>
        <w:ind w:left="480"/>
      </w:pPr>
      <w:r>
        <w:t xml:space="preserve">The following table shows estimated numbers of CUs </w:t>
      </w:r>
      <w:r w:rsidRPr="00E3685C">
        <w:t xml:space="preserve">in </w:t>
      </w:r>
      <w:r>
        <w:t xml:space="preserve">all 91 strata from which </w:t>
      </w:r>
      <w:r w:rsidR="00CE58A1">
        <w:t xml:space="preserve">CE’s </w:t>
      </w:r>
      <w:r>
        <w:t>PSUs were selected.</w:t>
      </w:r>
      <w:r>
        <w:rPr>
          <w:rStyle w:val="FootnoteReference"/>
        </w:rPr>
        <w:footnoteReference w:id="2"/>
      </w:r>
      <w:r>
        <w:t xml:space="preserve">  </w:t>
      </w:r>
      <w:r w:rsidR="00DD0AC6">
        <w:t>Please s</w:t>
      </w:r>
      <w:r>
        <w:t xml:space="preserve">ee </w:t>
      </w:r>
      <w:r w:rsidR="00D84E97">
        <w:t>S</w:t>
      </w:r>
      <w:r>
        <w:t xml:space="preserve">ection </w:t>
      </w:r>
      <w:r w:rsidR="00DD0AC6">
        <w:t xml:space="preserve">2 </w:t>
      </w:r>
      <w:r>
        <w:t>below entitled “</w:t>
      </w:r>
      <w:r w:rsidR="004E5426">
        <w:t>Primary Sampling Units (</w:t>
      </w:r>
      <w:r>
        <w:t>PSUs</w:t>
      </w:r>
      <w:r w:rsidR="004E5426">
        <w:t>)</w:t>
      </w:r>
      <w:r>
        <w:t>” for more information.</w:t>
      </w:r>
    </w:p>
    <w:p w14:paraId="1C2C61AD" w14:textId="77777777" w:rsidR="00FD7E10" w:rsidRDefault="00FD7E10">
      <w:pPr>
        <w:rPr>
          <w:b/>
          <w:u w:val="single"/>
        </w:rPr>
      </w:pPr>
      <w:r>
        <w:rPr>
          <w:b/>
          <w:u w:val="single"/>
        </w:rPr>
        <w:br w:type="page"/>
      </w:r>
    </w:p>
    <w:p w14:paraId="3DF70757" w14:textId="6EE68294" w:rsidR="001041FE" w:rsidRPr="00E3685C" w:rsidRDefault="001041FE" w:rsidP="001041FE">
      <w:pPr>
        <w:tabs>
          <w:tab w:val="left" w:pos="1176"/>
          <w:tab w:val="left" w:pos="1656"/>
          <w:tab w:val="left" w:pos="5016"/>
          <w:tab w:val="left" w:pos="6696"/>
          <w:tab w:val="left" w:pos="8256"/>
        </w:tabs>
        <w:jc w:val="center"/>
        <w:rPr>
          <w:b/>
          <w:u w:val="single"/>
        </w:rPr>
      </w:pPr>
      <w:r w:rsidRPr="00E3685C">
        <w:rPr>
          <w:b/>
          <w:u w:val="single"/>
        </w:rPr>
        <w:lastRenderedPageBreak/>
        <w:t>Estimated Number of CUs in CE’s 91 Strata</w:t>
      </w:r>
    </w:p>
    <w:p w14:paraId="48E172DD" w14:textId="77777777" w:rsidR="001041FE" w:rsidRDefault="001041FE" w:rsidP="001041FE">
      <w:pPr>
        <w:tabs>
          <w:tab w:val="left" w:pos="1176"/>
          <w:tab w:val="left" w:pos="1656"/>
          <w:tab w:val="left" w:pos="5016"/>
          <w:tab w:val="left" w:pos="6696"/>
          <w:tab w:val="left" w:pos="8256"/>
        </w:tabs>
      </w:pPr>
    </w:p>
    <w:p w14:paraId="0C007576" w14:textId="77777777" w:rsidR="001041FE" w:rsidRPr="00E3685C" w:rsidRDefault="001041FE" w:rsidP="001041FE">
      <w:pPr>
        <w:tabs>
          <w:tab w:val="left" w:pos="1176"/>
          <w:tab w:val="left" w:pos="1656"/>
          <w:tab w:val="left" w:pos="5016"/>
          <w:tab w:val="left" w:pos="6696"/>
          <w:tab w:val="left" w:pos="8256"/>
        </w:tabs>
        <w:ind w:left="480"/>
        <w:rPr>
          <w:sz w:val="16"/>
          <w:szCs w:val="16"/>
        </w:rPr>
        <w:sectPr w:rsidR="001041FE" w:rsidRPr="00E3685C" w:rsidSect="00CF7199">
          <w:footerReference w:type="default" r:id="rId9"/>
          <w:type w:val="continuous"/>
          <w:pgSz w:w="12240" w:h="15840"/>
          <w:pgMar w:top="1440" w:right="1800" w:bottom="1440" w:left="1800" w:header="720" w:footer="720" w:gutter="0"/>
          <w:cols w:space="720"/>
          <w:docGrid w:linePitch="360"/>
        </w:sectPr>
      </w:pPr>
    </w:p>
    <w:tbl>
      <w:tblPr>
        <w:tblStyle w:val="TableGrid1"/>
        <w:tblW w:w="250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0"/>
        <w:gridCol w:w="1435"/>
      </w:tblGrid>
      <w:tr w:rsidR="00423376" w:rsidRPr="00423376" w14:paraId="1220FA8B" w14:textId="77777777" w:rsidTr="00D52564">
        <w:trPr>
          <w:jc w:val="center"/>
        </w:trPr>
        <w:tc>
          <w:tcPr>
            <w:tcW w:w="1070" w:type="dxa"/>
            <w:vAlign w:val="center"/>
          </w:tcPr>
          <w:p w14:paraId="08A6D5EF" w14:textId="77777777" w:rsidR="00423376" w:rsidRPr="00423376" w:rsidRDefault="004C145D" w:rsidP="00423376">
            <w:pPr>
              <w:autoSpaceDE w:val="0"/>
              <w:autoSpaceDN w:val="0"/>
              <w:adjustRightInd w:val="0"/>
              <w:jc w:val="center"/>
              <w:rPr>
                <w:b/>
              </w:rPr>
            </w:pPr>
            <w:r>
              <w:rPr>
                <w:b/>
              </w:rPr>
              <w:t>S</w:t>
            </w:r>
            <w:r w:rsidR="00423376" w:rsidRPr="00423376">
              <w:rPr>
                <w:b/>
              </w:rPr>
              <w:t>tratum Code</w:t>
            </w:r>
          </w:p>
        </w:tc>
        <w:tc>
          <w:tcPr>
            <w:tcW w:w="1435" w:type="dxa"/>
            <w:vAlign w:val="center"/>
          </w:tcPr>
          <w:p w14:paraId="0369EFCB" w14:textId="77777777" w:rsidR="00423376" w:rsidRPr="00423376" w:rsidRDefault="00423376" w:rsidP="00423376">
            <w:pPr>
              <w:autoSpaceDE w:val="0"/>
              <w:autoSpaceDN w:val="0"/>
              <w:adjustRightInd w:val="0"/>
              <w:jc w:val="center"/>
              <w:rPr>
                <w:b/>
              </w:rPr>
            </w:pPr>
            <w:r w:rsidRPr="00423376">
              <w:rPr>
                <w:b/>
              </w:rPr>
              <w:t>Estimated Number of CUs in the Stratum</w:t>
            </w:r>
          </w:p>
        </w:tc>
      </w:tr>
      <w:tr w:rsidR="00406829" w:rsidRPr="00423376" w14:paraId="2D204539" w14:textId="77777777" w:rsidTr="00D52564">
        <w:trPr>
          <w:jc w:val="center"/>
        </w:trPr>
        <w:tc>
          <w:tcPr>
            <w:tcW w:w="1070" w:type="dxa"/>
            <w:vAlign w:val="center"/>
          </w:tcPr>
          <w:p w14:paraId="16385807" w14:textId="77777777" w:rsidR="00406829" w:rsidRPr="00423376" w:rsidRDefault="00406829" w:rsidP="00406829">
            <w:pPr>
              <w:autoSpaceDE w:val="0"/>
              <w:autoSpaceDN w:val="0"/>
              <w:adjustRightInd w:val="0"/>
              <w:jc w:val="center"/>
            </w:pPr>
            <w:r w:rsidRPr="00423376">
              <w:t>S11A</w:t>
            </w:r>
          </w:p>
        </w:tc>
        <w:tc>
          <w:tcPr>
            <w:tcW w:w="1435" w:type="dxa"/>
          </w:tcPr>
          <w:p w14:paraId="0A95BA7F" w14:textId="65AB3544" w:rsidR="00406829" w:rsidRPr="0090494B" w:rsidRDefault="00406829" w:rsidP="00406829">
            <w:pPr>
              <w:autoSpaceDE w:val="0"/>
              <w:autoSpaceDN w:val="0"/>
              <w:adjustRightInd w:val="0"/>
              <w:jc w:val="center"/>
            </w:pPr>
            <w:r w:rsidRPr="008C7B9F">
              <w:t xml:space="preserve"> 1,872,594 </w:t>
            </w:r>
          </w:p>
        </w:tc>
      </w:tr>
      <w:tr w:rsidR="00406829" w:rsidRPr="00423376" w14:paraId="577550F5" w14:textId="77777777" w:rsidTr="00D52564">
        <w:trPr>
          <w:jc w:val="center"/>
        </w:trPr>
        <w:tc>
          <w:tcPr>
            <w:tcW w:w="1070" w:type="dxa"/>
            <w:vAlign w:val="center"/>
          </w:tcPr>
          <w:p w14:paraId="4A0C6031" w14:textId="77777777" w:rsidR="00406829" w:rsidRPr="00423376" w:rsidRDefault="00406829" w:rsidP="00406829">
            <w:pPr>
              <w:autoSpaceDE w:val="0"/>
              <w:autoSpaceDN w:val="0"/>
              <w:adjustRightInd w:val="0"/>
              <w:jc w:val="center"/>
            </w:pPr>
            <w:r w:rsidRPr="00423376">
              <w:t>S12A</w:t>
            </w:r>
          </w:p>
        </w:tc>
        <w:tc>
          <w:tcPr>
            <w:tcW w:w="1435" w:type="dxa"/>
          </w:tcPr>
          <w:p w14:paraId="57D31263" w14:textId="26EAF2BC" w:rsidR="00406829" w:rsidRPr="0090494B" w:rsidRDefault="00406829" w:rsidP="00406829">
            <w:pPr>
              <w:autoSpaceDE w:val="0"/>
              <w:autoSpaceDN w:val="0"/>
              <w:adjustRightInd w:val="0"/>
              <w:jc w:val="center"/>
            </w:pPr>
            <w:r w:rsidRPr="008C7B9F">
              <w:t xml:space="preserve"> 8,048,897 </w:t>
            </w:r>
          </w:p>
        </w:tc>
      </w:tr>
      <w:tr w:rsidR="00406829" w:rsidRPr="00423376" w14:paraId="68871B47" w14:textId="77777777" w:rsidTr="00D52564">
        <w:trPr>
          <w:jc w:val="center"/>
        </w:trPr>
        <w:tc>
          <w:tcPr>
            <w:tcW w:w="1070" w:type="dxa"/>
            <w:vAlign w:val="center"/>
          </w:tcPr>
          <w:p w14:paraId="4AAF9D8C" w14:textId="77777777" w:rsidR="00406829" w:rsidRPr="00423376" w:rsidRDefault="00406829" w:rsidP="00406829">
            <w:pPr>
              <w:autoSpaceDE w:val="0"/>
              <w:autoSpaceDN w:val="0"/>
              <w:adjustRightInd w:val="0"/>
              <w:jc w:val="center"/>
            </w:pPr>
            <w:r w:rsidRPr="00423376">
              <w:t>S12B</w:t>
            </w:r>
          </w:p>
        </w:tc>
        <w:tc>
          <w:tcPr>
            <w:tcW w:w="1435" w:type="dxa"/>
          </w:tcPr>
          <w:p w14:paraId="4E3BD5D5" w14:textId="1BC97C65" w:rsidR="00406829" w:rsidRPr="0090494B" w:rsidRDefault="00406829" w:rsidP="00406829">
            <w:pPr>
              <w:autoSpaceDE w:val="0"/>
              <w:autoSpaceDN w:val="0"/>
              <w:adjustRightInd w:val="0"/>
              <w:jc w:val="center"/>
            </w:pPr>
            <w:r w:rsidRPr="008C7B9F">
              <w:t xml:space="preserve"> 2,453,796 </w:t>
            </w:r>
          </w:p>
        </w:tc>
      </w:tr>
      <w:tr w:rsidR="00406829" w:rsidRPr="00423376" w14:paraId="354EFD17" w14:textId="77777777" w:rsidTr="00D52564">
        <w:trPr>
          <w:jc w:val="center"/>
        </w:trPr>
        <w:tc>
          <w:tcPr>
            <w:tcW w:w="1070" w:type="dxa"/>
            <w:vAlign w:val="center"/>
          </w:tcPr>
          <w:p w14:paraId="222E56E6" w14:textId="77777777" w:rsidR="00406829" w:rsidRPr="00423376" w:rsidRDefault="00406829" w:rsidP="00406829">
            <w:pPr>
              <w:autoSpaceDE w:val="0"/>
              <w:autoSpaceDN w:val="0"/>
              <w:adjustRightInd w:val="0"/>
              <w:jc w:val="center"/>
            </w:pPr>
            <w:r w:rsidRPr="00423376">
              <w:t>S23A</w:t>
            </w:r>
          </w:p>
        </w:tc>
        <w:tc>
          <w:tcPr>
            <w:tcW w:w="1435" w:type="dxa"/>
          </w:tcPr>
          <w:p w14:paraId="66C882CE" w14:textId="307AE634" w:rsidR="00406829" w:rsidRPr="0090494B" w:rsidRDefault="00406829" w:rsidP="00406829">
            <w:pPr>
              <w:autoSpaceDE w:val="0"/>
              <w:autoSpaceDN w:val="0"/>
              <w:adjustRightInd w:val="0"/>
              <w:jc w:val="center"/>
            </w:pPr>
            <w:r w:rsidRPr="008C7B9F">
              <w:t xml:space="preserve"> 3,891,750 </w:t>
            </w:r>
          </w:p>
        </w:tc>
      </w:tr>
      <w:tr w:rsidR="00406829" w:rsidRPr="00423376" w14:paraId="7955AD29" w14:textId="77777777" w:rsidTr="00D52564">
        <w:trPr>
          <w:jc w:val="center"/>
        </w:trPr>
        <w:tc>
          <w:tcPr>
            <w:tcW w:w="1070" w:type="dxa"/>
            <w:vAlign w:val="center"/>
          </w:tcPr>
          <w:p w14:paraId="3250368B" w14:textId="77777777" w:rsidR="00406829" w:rsidRPr="00423376" w:rsidRDefault="00406829" w:rsidP="00406829">
            <w:pPr>
              <w:autoSpaceDE w:val="0"/>
              <w:autoSpaceDN w:val="0"/>
              <w:adjustRightInd w:val="0"/>
              <w:jc w:val="center"/>
            </w:pPr>
            <w:r w:rsidRPr="00423376">
              <w:t>S23B</w:t>
            </w:r>
          </w:p>
        </w:tc>
        <w:tc>
          <w:tcPr>
            <w:tcW w:w="1435" w:type="dxa"/>
          </w:tcPr>
          <w:p w14:paraId="4A494E82" w14:textId="63DAB4D1" w:rsidR="00406829" w:rsidRPr="0090494B" w:rsidRDefault="00406829" w:rsidP="00406829">
            <w:pPr>
              <w:autoSpaceDE w:val="0"/>
              <w:autoSpaceDN w:val="0"/>
              <w:adjustRightInd w:val="0"/>
              <w:jc w:val="center"/>
            </w:pPr>
            <w:r w:rsidRPr="008C7B9F">
              <w:t xml:space="preserve"> 1,767,228 </w:t>
            </w:r>
          </w:p>
        </w:tc>
      </w:tr>
      <w:tr w:rsidR="00406829" w:rsidRPr="00423376" w14:paraId="49E0605A" w14:textId="77777777" w:rsidTr="00D52564">
        <w:trPr>
          <w:jc w:val="center"/>
        </w:trPr>
        <w:tc>
          <w:tcPr>
            <w:tcW w:w="1070" w:type="dxa"/>
            <w:vAlign w:val="center"/>
          </w:tcPr>
          <w:p w14:paraId="66E0F939" w14:textId="77777777" w:rsidR="00406829" w:rsidRPr="00423376" w:rsidRDefault="00406829" w:rsidP="00406829">
            <w:pPr>
              <w:autoSpaceDE w:val="0"/>
              <w:autoSpaceDN w:val="0"/>
              <w:adjustRightInd w:val="0"/>
              <w:jc w:val="center"/>
            </w:pPr>
            <w:r w:rsidRPr="00423376">
              <w:t>S24A</w:t>
            </w:r>
          </w:p>
        </w:tc>
        <w:tc>
          <w:tcPr>
            <w:tcW w:w="1435" w:type="dxa"/>
          </w:tcPr>
          <w:p w14:paraId="5FC5FF4F" w14:textId="354100B3" w:rsidR="00406829" w:rsidRPr="0090494B" w:rsidRDefault="00406829" w:rsidP="00406829">
            <w:pPr>
              <w:autoSpaceDE w:val="0"/>
              <w:autoSpaceDN w:val="0"/>
              <w:adjustRightInd w:val="0"/>
              <w:jc w:val="center"/>
            </w:pPr>
            <w:r w:rsidRPr="008C7B9F">
              <w:t xml:space="preserve"> 1,377,526 </w:t>
            </w:r>
          </w:p>
        </w:tc>
      </w:tr>
      <w:tr w:rsidR="00406829" w:rsidRPr="00423376" w14:paraId="0F8A3FF9" w14:textId="77777777" w:rsidTr="00D52564">
        <w:trPr>
          <w:jc w:val="center"/>
        </w:trPr>
        <w:tc>
          <w:tcPr>
            <w:tcW w:w="1070" w:type="dxa"/>
            <w:vAlign w:val="center"/>
          </w:tcPr>
          <w:p w14:paraId="3FDD30B1" w14:textId="77777777" w:rsidR="00406829" w:rsidRPr="00423376" w:rsidRDefault="00406829" w:rsidP="00406829">
            <w:pPr>
              <w:autoSpaceDE w:val="0"/>
              <w:autoSpaceDN w:val="0"/>
              <w:adjustRightInd w:val="0"/>
              <w:jc w:val="center"/>
            </w:pPr>
            <w:r w:rsidRPr="00423376">
              <w:t>S24B</w:t>
            </w:r>
          </w:p>
        </w:tc>
        <w:tc>
          <w:tcPr>
            <w:tcW w:w="1435" w:type="dxa"/>
          </w:tcPr>
          <w:p w14:paraId="23A1C188" w14:textId="27D56195" w:rsidR="00406829" w:rsidRPr="0090494B" w:rsidRDefault="00406829" w:rsidP="00406829">
            <w:pPr>
              <w:autoSpaceDE w:val="0"/>
              <w:autoSpaceDN w:val="0"/>
              <w:adjustRightInd w:val="0"/>
              <w:jc w:val="center"/>
            </w:pPr>
            <w:r w:rsidRPr="008C7B9F">
              <w:t xml:space="preserve"> 1,146,698 </w:t>
            </w:r>
          </w:p>
        </w:tc>
      </w:tr>
      <w:tr w:rsidR="00406829" w:rsidRPr="00423376" w14:paraId="3C29AB23" w14:textId="77777777" w:rsidTr="00D52564">
        <w:trPr>
          <w:jc w:val="center"/>
        </w:trPr>
        <w:tc>
          <w:tcPr>
            <w:tcW w:w="1070" w:type="dxa"/>
            <w:vAlign w:val="center"/>
          </w:tcPr>
          <w:p w14:paraId="45C4E476" w14:textId="77777777" w:rsidR="00406829" w:rsidRPr="00423376" w:rsidRDefault="00406829" w:rsidP="00406829">
            <w:pPr>
              <w:autoSpaceDE w:val="0"/>
              <w:autoSpaceDN w:val="0"/>
              <w:adjustRightInd w:val="0"/>
              <w:jc w:val="center"/>
            </w:pPr>
            <w:r w:rsidRPr="00423376">
              <w:t>S35A</w:t>
            </w:r>
          </w:p>
        </w:tc>
        <w:tc>
          <w:tcPr>
            <w:tcW w:w="1435" w:type="dxa"/>
          </w:tcPr>
          <w:p w14:paraId="2D7D54C4" w14:textId="5BDF1402" w:rsidR="00406829" w:rsidRPr="0090494B" w:rsidRDefault="00406829" w:rsidP="00406829">
            <w:pPr>
              <w:autoSpaceDE w:val="0"/>
              <w:autoSpaceDN w:val="0"/>
              <w:adjustRightInd w:val="0"/>
              <w:jc w:val="center"/>
            </w:pPr>
            <w:r w:rsidRPr="008C7B9F">
              <w:t xml:space="preserve"> 2,318,419 </w:t>
            </w:r>
          </w:p>
        </w:tc>
      </w:tr>
      <w:tr w:rsidR="00406829" w:rsidRPr="00423376" w14:paraId="5E80A45A" w14:textId="77777777" w:rsidTr="00D52564">
        <w:trPr>
          <w:jc w:val="center"/>
        </w:trPr>
        <w:tc>
          <w:tcPr>
            <w:tcW w:w="1070" w:type="dxa"/>
            <w:vAlign w:val="center"/>
          </w:tcPr>
          <w:p w14:paraId="25971F94" w14:textId="77777777" w:rsidR="00406829" w:rsidRPr="00423376" w:rsidRDefault="00406829" w:rsidP="00406829">
            <w:pPr>
              <w:autoSpaceDE w:val="0"/>
              <w:autoSpaceDN w:val="0"/>
              <w:adjustRightInd w:val="0"/>
              <w:jc w:val="center"/>
            </w:pPr>
            <w:r w:rsidRPr="00423376">
              <w:t>S35B</w:t>
            </w:r>
          </w:p>
        </w:tc>
        <w:tc>
          <w:tcPr>
            <w:tcW w:w="1435" w:type="dxa"/>
          </w:tcPr>
          <w:p w14:paraId="31A33DA5" w14:textId="48172997" w:rsidR="00406829" w:rsidRPr="0090494B" w:rsidRDefault="00406829" w:rsidP="00406829">
            <w:pPr>
              <w:autoSpaceDE w:val="0"/>
              <w:autoSpaceDN w:val="0"/>
              <w:adjustRightInd w:val="0"/>
              <w:jc w:val="center"/>
            </w:pPr>
            <w:r w:rsidRPr="00F33BDD">
              <w:t xml:space="preserve"> 2,288,968 </w:t>
            </w:r>
          </w:p>
        </w:tc>
      </w:tr>
      <w:tr w:rsidR="00406829" w:rsidRPr="00423376" w14:paraId="07D70969" w14:textId="77777777" w:rsidTr="00D52564">
        <w:trPr>
          <w:jc w:val="center"/>
        </w:trPr>
        <w:tc>
          <w:tcPr>
            <w:tcW w:w="1070" w:type="dxa"/>
            <w:vAlign w:val="center"/>
          </w:tcPr>
          <w:p w14:paraId="082E007E" w14:textId="77777777" w:rsidR="00406829" w:rsidRPr="00423376" w:rsidRDefault="00406829" w:rsidP="00406829">
            <w:pPr>
              <w:autoSpaceDE w:val="0"/>
              <w:autoSpaceDN w:val="0"/>
              <w:adjustRightInd w:val="0"/>
              <w:jc w:val="center"/>
            </w:pPr>
            <w:r w:rsidRPr="00423376">
              <w:t>S35C</w:t>
            </w:r>
          </w:p>
        </w:tc>
        <w:tc>
          <w:tcPr>
            <w:tcW w:w="1435" w:type="dxa"/>
          </w:tcPr>
          <w:p w14:paraId="67D5958C" w14:textId="04590FD3" w:rsidR="00406829" w:rsidRPr="0090494B" w:rsidRDefault="00406829" w:rsidP="00406829">
            <w:pPr>
              <w:autoSpaceDE w:val="0"/>
              <w:autoSpaceDN w:val="0"/>
              <w:adjustRightInd w:val="0"/>
              <w:jc w:val="center"/>
            </w:pPr>
            <w:r w:rsidRPr="00F33BDD">
              <w:t xml:space="preserve"> 2,174,653 </w:t>
            </w:r>
          </w:p>
        </w:tc>
      </w:tr>
      <w:tr w:rsidR="00406829" w:rsidRPr="00423376" w14:paraId="3743456D" w14:textId="77777777" w:rsidTr="00D52564">
        <w:trPr>
          <w:jc w:val="center"/>
        </w:trPr>
        <w:tc>
          <w:tcPr>
            <w:tcW w:w="1070" w:type="dxa"/>
            <w:vAlign w:val="center"/>
          </w:tcPr>
          <w:p w14:paraId="5F90A3AF" w14:textId="77777777" w:rsidR="00406829" w:rsidRPr="00423376" w:rsidRDefault="00406829" w:rsidP="00406829">
            <w:pPr>
              <w:autoSpaceDE w:val="0"/>
              <w:autoSpaceDN w:val="0"/>
              <w:adjustRightInd w:val="0"/>
              <w:jc w:val="center"/>
            </w:pPr>
            <w:r w:rsidRPr="00423376">
              <w:t>S35D</w:t>
            </w:r>
          </w:p>
        </w:tc>
        <w:tc>
          <w:tcPr>
            <w:tcW w:w="1435" w:type="dxa"/>
          </w:tcPr>
          <w:p w14:paraId="4AE466A9" w14:textId="6974135D" w:rsidR="00406829" w:rsidRPr="0090494B" w:rsidRDefault="00406829" w:rsidP="00406829">
            <w:pPr>
              <w:autoSpaceDE w:val="0"/>
              <w:autoSpaceDN w:val="0"/>
              <w:adjustRightInd w:val="0"/>
              <w:jc w:val="center"/>
            </w:pPr>
            <w:r w:rsidRPr="00F33BDD">
              <w:t xml:space="preserve"> 1,144,865 </w:t>
            </w:r>
          </w:p>
        </w:tc>
      </w:tr>
      <w:tr w:rsidR="00406829" w:rsidRPr="00423376" w14:paraId="53C2DF59" w14:textId="77777777" w:rsidTr="00D52564">
        <w:trPr>
          <w:jc w:val="center"/>
        </w:trPr>
        <w:tc>
          <w:tcPr>
            <w:tcW w:w="1070" w:type="dxa"/>
            <w:vAlign w:val="center"/>
          </w:tcPr>
          <w:p w14:paraId="2ACB2CE2" w14:textId="77777777" w:rsidR="00406829" w:rsidRPr="00423376" w:rsidRDefault="00406829" w:rsidP="00406829">
            <w:pPr>
              <w:autoSpaceDE w:val="0"/>
              <w:autoSpaceDN w:val="0"/>
              <w:adjustRightInd w:val="0"/>
              <w:jc w:val="center"/>
            </w:pPr>
            <w:r w:rsidRPr="00423376">
              <w:t>S35E</w:t>
            </w:r>
          </w:p>
        </w:tc>
        <w:tc>
          <w:tcPr>
            <w:tcW w:w="1435" w:type="dxa"/>
          </w:tcPr>
          <w:p w14:paraId="4F859C1D" w14:textId="1E20FF46" w:rsidR="00406829" w:rsidRPr="0090494B" w:rsidRDefault="00406829" w:rsidP="00406829">
            <w:pPr>
              <w:autoSpaceDE w:val="0"/>
              <w:autoSpaceDN w:val="0"/>
              <w:adjustRightInd w:val="0"/>
              <w:jc w:val="center"/>
            </w:pPr>
            <w:r w:rsidRPr="00F33BDD">
              <w:t xml:space="preserve"> 1,114,938 </w:t>
            </w:r>
          </w:p>
        </w:tc>
      </w:tr>
      <w:tr w:rsidR="00406829" w:rsidRPr="00423376" w14:paraId="2AB6A643" w14:textId="77777777" w:rsidTr="00D52564">
        <w:trPr>
          <w:jc w:val="center"/>
        </w:trPr>
        <w:tc>
          <w:tcPr>
            <w:tcW w:w="1070" w:type="dxa"/>
            <w:vAlign w:val="center"/>
          </w:tcPr>
          <w:p w14:paraId="75FF38DD" w14:textId="77777777" w:rsidR="00406829" w:rsidRPr="00423376" w:rsidRDefault="00406829" w:rsidP="00406829">
            <w:pPr>
              <w:autoSpaceDE w:val="0"/>
              <w:autoSpaceDN w:val="0"/>
              <w:adjustRightInd w:val="0"/>
              <w:jc w:val="center"/>
            </w:pPr>
            <w:r w:rsidRPr="00423376">
              <w:t>S37A</w:t>
            </w:r>
          </w:p>
        </w:tc>
        <w:tc>
          <w:tcPr>
            <w:tcW w:w="1435" w:type="dxa"/>
          </w:tcPr>
          <w:p w14:paraId="5B3566D3" w14:textId="2D034D9F" w:rsidR="00406829" w:rsidRPr="0090494B" w:rsidRDefault="00406829" w:rsidP="00406829">
            <w:pPr>
              <w:autoSpaceDE w:val="0"/>
              <w:autoSpaceDN w:val="0"/>
              <w:adjustRightInd w:val="0"/>
              <w:jc w:val="center"/>
            </w:pPr>
            <w:r w:rsidRPr="00F33BDD">
              <w:t xml:space="preserve"> 2,643,372 </w:t>
            </w:r>
          </w:p>
        </w:tc>
      </w:tr>
      <w:tr w:rsidR="00406829" w:rsidRPr="00423376" w14:paraId="7D0F2208" w14:textId="77777777" w:rsidTr="00D52564">
        <w:trPr>
          <w:jc w:val="center"/>
        </w:trPr>
        <w:tc>
          <w:tcPr>
            <w:tcW w:w="1070" w:type="dxa"/>
            <w:vAlign w:val="center"/>
          </w:tcPr>
          <w:p w14:paraId="3C152A9D" w14:textId="77777777" w:rsidR="00406829" w:rsidRPr="00423376" w:rsidRDefault="00406829" w:rsidP="00406829">
            <w:pPr>
              <w:autoSpaceDE w:val="0"/>
              <w:autoSpaceDN w:val="0"/>
              <w:adjustRightInd w:val="0"/>
              <w:jc w:val="center"/>
            </w:pPr>
            <w:r w:rsidRPr="00423376">
              <w:t>S37B</w:t>
            </w:r>
          </w:p>
        </w:tc>
        <w:tc>
          <w:tcPr>
            <w:tcW w:w="1435" w:type="dxa"/>
          </w:tcPr>
          <w:p w14:paraId="13108D73" w14:textId="21B24959" w:rsidR="00406829" w:rsidRPr="0090494B" w:rsidRDefault="00406829" w:rsidP="00406829">
            <w:pPr>
              <w:autoSpaceDE w:val="0"/>
              <w:autoSpaceDN w:val="0"/>
              <w:adjustRightInd w:val="0"/>
              <w:jc w:val="center"/>
            </w:pPr>
            <w:r w:rsidRPr="00F33BDD">
              <w:t xml:space="preserve"> 2,435,316 </w:t>
            </w:r>
          </w:p>
        </w:tc>
      </w:tr>
      <w:tr w:rsidR="00406829" w:rsidRPr="00423376" w14:paraId="46C3ABE9" w14:textId="77777777" w:rsidTr="00D52564">
        <w:trPr>
          <w:jc w:val="center"/>
        </w:trPr>
        <w:tc>
          <w:tcPr>
            <w:tcW w:w="1070" w:type="dxa"/>
            <w:vAlign w:val="center"/>
          </w:tcPr>
          <w:p w14:paraId="48998205" w14:textId="77777777" w:rsidR="00406829" w:rsidRPr="00423376" w:rsidRDefault="00406829" w:rsidP="00406829">
            <w:pPr>
              <w:autoSpaceDE w:val="0"/>
              <w:autoSpaceDN w:val="0"/>
              <w:adjustRightInd w:val="0"/>
              <w:jc w:val="center"/>
            </w:pPr>
            <w:r w:rsidRPr="00423376">
              <w:t>S48A</w:t>
            </w:r>
          </w:p>
        </w:tc>
        <w:tc>
          <w:tcPr>
            <w:tcW w:w="1435" w:type="dxa"/>
          </w:tcPr>
          <w:p w14:paraId="441DD00F" w14:textId="5D10EA48" w:rsidR="00406829" w:rsidRPr="0090494B" w:rsidRDefault="00406829" w:rsidP="00406829">
            <w:pPr>
              <w:autoSpaceDE w:val="0"/>
              <w:autoSpaceDN w:val="0"/>
              <w:adjustRightInd w:val="0"/>
              <w:jc w:val="center"/>
            </w:pPr>
            <w:r w:rsidRPr="00F33BDD">
              <w:t xml:space="preserve"> 1,724,710 </w:t>
            </w:r>
          </w:p>
        </w:tc>
      </w:tr>
      <w:tr w:rsidR="00406829" w:rsidRPr="00423376" w14:paraId="07AE5125" w14:textId="77777777" w:rsidTr="00D52564">
        <w:trPr>
          <w:jc w:val="center"/>
        </w:trPr>
        <w:tc>
          <w:tcPr>
            <w:tcW w:w="1070" w:type="dxa"/>
            <w:vAlign w:val="center"/>
          </w:tcPr>
          <w:p w14:paraId="5BA6E907" w14:textId="77777777" w:rsidR="00406829" w:rsidRPr="00423376" w:rsidRDefault="00406829" w:rsidP="00406829">
            <w:pPr>
              <w:autoSpaceDE w:val="0"/>
              <w:autoSpaceDN w:val="0"/>
              <w:adjustRightInd w:val="0"/>
              <w:jc w:val="center"/>
            </w:pPr>
            <w:r w:rsidRPr="00423376">
              <w:t>S48B</w:t>
            </w:r>
          </w:p>
        </w:tc>
        <w:tc>
          <w:tcPr>
            <w:tcW w:w="1435" w:type="dxa"/>
          </w:tcPr>
          <w:p w14:paraId="2D469426" w14:textId="1ED901B3" w:rsidR="00406829" w:rsidRPr="0090494B" w:rsidRDefault="00406829" w:rsidP="00406829">
            <w:pPr>
              <w:autoSpaceDE w:val="0"/>
              <w:autoSpaceDN w:val="0"/>
              <w:adjustRightInd w:val="0"/>
              <w:jc w:val="center"/>
            </w:pPr>
            <w:r w:rsidRPr="00F33BDD">
              <w:t xml:space="preserve"> 1,046,241 </w:t>
            </w:r>
          </w:p>
        </w:tc>
      </w:tr>
      <w:tr w:rsidR="00406829" w:rsidRPr="00423376" w14:paraId="4DC2F5E1" w14:textId="77777777" w:rsidTr="00D52564">
        <w:trPr>
          <w:jc w:val="center"/>
        </w:trPr>
        <w:tc>
          <w:tcPr>
            <w:tcW w:w="1070" w:type="dxa"/>
            <w:vAlign w:val="center"/>
          </w:tcPr>
          <w:p w14:paraId="456BBC07" w14:textId="77777777" w:rsidR="00406829" w:rsidRPr="00423376" w:rsidRDefault="00406829" w:rsidP="00406829">
            <w:pPr>
              <w:autoSpaceDE w:val="0"/>
              <w:autoSpaceDN w:val="0"/>
              <w:adjustRightInd w:val="0"/>
              <w:jc w:val="center"/>
            </w:pPr>
            <w:r w:rsidRPr="00423376">
              <w:t>S49A</w:t>
            </w:r>
          </w:p>
        </w:tc>
        <w:tc>
          <w:tcPr>
            <w:tcW w:w="1435" w:type="dxa"/>
          </w:tcPr>
          <w:p w14:paraId="51192C3D" w14:textId="081368C6" w:rsidR="00406829" w:rsidRPr="0090494B" w:rsidRDefault="00406829" w:rsidP="00406829">
            <w:pPr>
              <w:autoSpaceDE w:val="0"/>
              <w:autoSpaceDN w:val="0"/>
              <w:adjustRightInd w:val="0"/>
              <w:jc w:val="center"/>
            </w:pPr>
            <w:r w:rsidRPr="00F33BDD">
              <w:t xml:space="preserve"> 5,277,039 </w:t>
            </w:r>
          </w:p>
        </w:tc>
      </w:tr>
      <w:tr w:rsidR="00406829" w:rsidRPr="00423376" w14:paraId="06E6E274" w14:textId="77777777" w:rsidTr="00D52564">
        <w:trPr>
          <w:jc w:val="center"/>
        </w:trPr>
        <w:tc>
          <w:tcPr>
            <w:tcW w:w="1070" w:type="dxa"/>
            <w:vAlign w:val="center"/>
          </w:tcPr>
          <w:p w14:paraId="4B5F8AC9" w14:textId="77777777" w:rsidR="00406829" w:rsidRPr="00423376" w:rsidRDefault="00406829" w:rsidP="00406829">
            <w:pPr>
              <w:autoSpaceDE w:val="0"/>
              <w:autoSpaceDN w:val="0"/>
              <w:adjustRightInd w:val="0"/>
              <w:jc w:val="center"/>
            </w:pPr>
            <w:r w:rsidRPr="00423376">
              <w:t>S49B</w:t>
            </w:r>
          </w:p>
        </w:tc>
        <w:tc>
          <w:tcPr>
            <w:tcW w:w="1435" w:type="dxa"/>
          </w:tcPr>
          <w:p w14:paraId="2B5C16E4" w14:textId="078B47DA" w:rsidR="00406829" w:rsidRPr="0090494B" w:rsidRDefault="00406829" w:rsidP="00406829">
            <w:pPr>
              <w:autoSpaceDE w:val="0"/>
              <w:autoSpaceDN w:val="0"/>
              <w:adjustRightInd w:val="0"/>
              <w:jc w:val="center"/>
            </w:pPr>
            <w:r w:rsidRPr="00F33BDD">
              <w:t xml:space="preserve"> 1,783,328 </w:t>
            </w:r>
          </w:p>
        </w:tc>
      </w:tr>
      <w:tr w:rsidR="00406829" w:rsidRPr="00423376" w14:paraId="1F8829C1" w14:textId="77777777" w:rsidTr="00D52564">
        <w:trPr>
          <w:jc w:val="center"/>
        </w:trPr>
        <w:tc>
          <w:tcPr>
            <w:tcW w:w="1070" w:type="dxa"/>
            <w:vAlign w:val="center"/>
          </w:tcPr>
          <w:p w14:paraId="628A2367" w14:textId="77777777" w:rsidR="00406829" w:rsidRPr="00423376" w:rsidRDefault="00406829" w:rsidP="00406829">
            <w:pPr>
              <w:autoSpaceDE w:val="0"/>
              <w:autoSpaceDN w:val="0"/>
              <w:adjustRightInd w:val="0"/>
              <w:jc w:val="center"/>
            </w:pPr>
            <w:r w:rsidRPr="00423376">
              <w:t>S49C</w:t>
            </w:r>
          </w:p>
        </w:tc>
        <w:tc>
          <w:tcPr>
            <w:tcW w:w="1435" w:type="dxa"/>
          </w:tcPr>
          <w:p w14:paraId="687D0726" w14:textId="7063F141" w:rsidR="00406829" w:rsidRPr="0090494B" w:rsidRDefault="00406829" w:rsidP="00406829">
            <w:pPr>
              <w:autoSpaceDE w:val="0"/>
              <w:autoSpaceDN w:val="0"/>
              <w:adjustRightInd w:val="0"/>
              <w:jc w:val="center"/>
            </w:pPr>
            <w:r w:rsidRPr="00F33BDD">
              <w:t xml:space="preserve"> 1,737,859 </w:t>
            </w:r>
          </w:p>
        </w:tc>
      </w:tr>
      <w:tr w:rsidR="00406829" w:rsidRPr="00423376" w14:paraId="74897886" w14:textId="77777777" w:rsidTr="00D52564">
        <w:trPr>
          <w:jc w:val="center"/>
        </w:trPr>
        <w:tc>
          <w:tcPr>
            <w:tcW w:w="1070" w:type="dxa"/>
            <w:vAlign w:val="center"/>
          </w:tcPr>
          <w:p w14:paraId="45B688A3" w14:textId="77777777" w:rsidR="00406829" w:rsidRPr="00423376" w:rsidRDefault="00406829" w:rsidP="00406829">
            <w:pPr>
              <w:autoSpaceDE w:val="0"/>
              <w:autoSpaceDN w:val="0"/>
              <w:adjustRightInd w:val="0"/>
              <w:jc w:val="center"/>
            </w:pPr>
            <w:r w:rsidRPr="00423376">
              <w:t>S49D</w:t>
            </w:r>
          </w:p>
        </w:tc>
        <w:tc>
          <w:tcPr>
            <w:tcW w:w="1435" w:type="dxa"/>
          </w:tcPr>
          <w:p w14:paraId="06A49F8C" w14:textId="297D3EB1" w:rsidR="00406829" w:rsidRPr="0090494B" w:rsidRDefault="00406829" w:rsidP="00406829">
            <w:pPr>
              <w:autoSpaceDE w:val="0"/>
              <w:autoSpaceDN w:val="0"/>
              <w:adjustRightInd w:val="0"/>
              <w:jc w:val="center"/>
            </w:pPr>
            <w:r w:rsidRPr="00F33BDD">
              <w:t xml:space="preserve"> 1,414,938 </w:t>
            </w:r>
          </w:p>
        </w:tc>
      </w:tr>
      <w:tr w:rsidR="00406829" w:rsidRPr="00423376" w14:paraId="2BED757D" w14:textId="77777777" w:rsidTr="00D52564">
        <w:trPr>
          <w:jc w:val="center"/>
        </w:trPr>
        <w:tc>
          <w:tcPr>
            <w:tcW w:w="1070" w:type="dxa"/>
            <w:vAlign w:val="center"/>
          </w:tcPr>
          <w:p w14:paraId="58E1B57F" w14:textId="77777777" w:rsidR="00406829" w:rsidRPr="00423376" w:rsidRDefault="00406829" w:rsidP="00406829">
            <w:pPr>
              <w:autoSpaceDE w:val="0"/>
              <w:autoSpaceDN w:val="0"/>
              <w:adjustRightInd w:val="0"/>
              <w:jc w:val="center"/>
            </w:pPr>
            <w:r w:rsidRPr="00423376">
              <w:t>S49E</w:t>
            </w:r>
          </w:p>
        </w:tc>
        <w:tc>
          <w:tcPr>
            <w:tcW w:w="1435" w:type="dxa"/>
          </w:tcPr>
          <w:p w14:paraId="65FCBD0C" w14:textId="36DA6025" w:rsidR="00406829" w:rsidRPr="00423376" w:rsidRDefault="00406829" w:rsidP="00406829">
            <w:pPr>
              <w:autoSpaceDE w:val="0"/>
              <w:autoSpaceDN w:val="0"/>
              <w:adjustRightInd w:val="0"/>
              <w:jc w:val="center"/>
            </w:pPr>
            <w:r w:rsidRPr="00D70901">
              <w:t xml:space="preserve"> 1,273,232 </w:t>
            </w:r>
          </w:p>
        </w:tc>
      </w:tr>
      <w:tr w:rsidR="00406829" w:rsidRPr="00423376" w14:paraId="580CB735" w14:textId="77777777" w:rsidTr="00D52564">
        <w:trPr>
          <w:jc w:val="center"/>
        </w:trPr>
        <w:tc>
          <w:tcPr>
            <w:tcW w:w="1070" w:type="dxa"/>
            <w:vAlign w:val="center"/>
          </w:tcPr>
          <w:p w14:paraId="4FC1071D" w14:textId="77777777" w:rsidR="00406829" w:rsidRPr="00423376" w:rsidRDefault="00406829" w:rsidP="00406829">
            <w:pPr>
              <w:autoSpaceDE w:val="0"/>
              <w:autoSpaceDN w:val="0"/>
              <w:adjustRightInd w:val="0"/>
              <w:jc w:val="center"/>
            </w:pPr>
            <w:r w:rsidRPr="00423376">
              <w:t>S49F</w:t>
            </w:r>
          </w:p>
        </w:tc>
        <w:tc>
          <w:tcPr>
            <w:tcW w:w="1435" w:type="dxa"/>
          </w:tcPr>
          <w:p w14:paraId="3B3AC10C" w14:textId="16A0C6C1" w:rsidR="00406829" w:rsidRPr="00423376" w:rsidRDefault="00406829" w:rsidP="00406829">
            <w:pPr>
              <w:autoSpaceDE w:val="0"/>
              <w:autoSpaceDN w:val="0"/>
              <w:adjustRightInd w:val="0"/>
              <w:jc w:val="center"/>
            </w:pPr>
            <w:r w:rsidRPr="00D70901">
              <w:t xml:space="preserve"> 559,549 </w:t>
            </w:r>
          </w:p>
        </w:tc>
      </w:tr>
      <w:tr w:rsidR="00406829" w:rsidRPr="00423376" w14:paraId="3E43C33B" w14:textId="77777777" w:rsidTr="00D52564">
        <w:trPr>
          <w:jc w:val="center"/>
        </w:trPr>
        <w:tc>
          <w:tcPr>
            <w:tcW w:w="1070" w:type="dxa"/>
            <w:vAlign w:val="center"/>
          </w:tcPr>
          <w:p w14:paraId="7ADD61E3" w14:textId="77777777" w:rsidR="00406829" w:rsidRPr="00423376" w:rsidRDefault="00406829" w:rsidP="00406829">
            <w:pPr>
              <w:autoSpaceDE w:val="0"/>
              <w:autoSpaceDN w:val="0"/>
              <w:adjustRightInd w:val="0"/>
              <w:jc w:val="center"/>
            </w:pPr>
            <w:r w:rsidRPr="00423376">
              <w:t>S49G</w:t>
            </w:r>
          </w:p>
        </w:tc>
        <w:tc>
          <w:tcPr>
            <w:tcW w:w="1435" w:type="dxa"/>
          </w:tcPr>
          <w:p w14:paraId="1A01486A" w14:textId="56EF6F68" w:rsidR="00406829" w:rsidRPr="00423376" w:rsidRDefault="00406829" w:rsidP="00406829">
            <w:pPr>
              <w:autoSpaceDE w:val="0"/>
              <w:autoSpaceDN w:val="0"/>
              <w:adjustRightInd w:val="0"/>
              <w:jc w:val="center"/>
            </w:pPr>
            <w:r w:rsidRPr="00D70901">
              <w:t xml:space="preserve"> 215,195 </w:t>
            </w:r>
          </w:p>
        </w:tc>
      </w:tr>
      <w:tr w:rsidR="00406829" w:rsidRPr="00423376" w14:paraId="477EBFB7" w14:textId="77777777" w:rsidTr="00D52564">
        <w:trPr>
          <w:jc w:val="center"/>
        </w:trPr>
        <w:tc>
          <w:tcPr>
            <w:tcW w:w="1070" w:type="dxa"/>
            <w:vAlign w:val="center"/>
          </w:tcPr>
          <w:p w14:paraId="48A5752A" w14:textId="77777777" w:rsidR="00406829" w:rsidRPr="00423376" w:rsidRDefault="00406829" w:rsidP="00406829">
            <w:pPr>
              <w:autoSpaceDE w:val="0"/>
              <w:autoSpaceDN w:val="0"/>
              <w:adjustRightInd w:val="0"/>
              <w:jc w:val="center"/>
            </w:pPr>
            <w:r w:rsidRPr="00423376">
              <w:t>N11B</w:t>
            </w:r>
          </w:p>
        </w:tc>
        <w:tc>
          <w:tcPr>
            <w:tcW w:w="1435" w:type="dxa"/>
          </w:tcPr>
          <w:p w14:paraId="0E8CB815" w14:textId="34F6E91E" w:rsidR="00406829" w:rsidRPr="00423376" w:rsidRDefault="00406829" w:rsidP="00406829">
            <w:pPr>
              <w:autoSpaceDE w:val="0"/>
              <w:autoSpaceDN w:val="0"/>
              <w:adjustRightInd w:val="0"/>
              <w:jc w:val="center"/>
            </w:pPr>
            <w:r w:rsidRPr="00581F9D">
              <w:t xml:space="preserve"> 2,059,093 </w:t>
            </w:r>
          </w:p>
        </w:tc>
      </w:tr>
      <w:tr w:rsidR="00406829" w:rsidRPr="00423376" w14:paraId="7665E0AA" w14:textId="77777777" w:rsidTr="00D52564">
        <w:trPr>
          <w:jc w:val="center"/>
        </w:trPr>
        <w:tc>
          <w:tcPr>
            <w:tcW w:w="1070" w:type="dxa"/>
            <w:vAlign w:val="center"/>
          </w:tcPr>
          <w:p w14:paraId="648DB143" w14:textId="77777777" w:rsidR="00406829" w:rsidRPr="00423376" w:rsidRDefault="00406829" w:rsidP="00406829">
            <w:pPr>
              <w:autoSpaceDE w:val="0"/>
              <w:autoSpaceDN w:val="0"/>
              <w:adjustRightInd w:val="0"/>
              <w:jc w:val="center"/>
            </w:pPr>
            <w:r w:rsidRPr="00423376">
              <w:t>N11C</w:t>
            </w:r>
          </w:p>
        </w:tc>
        <w:tc>
          <w:tcPr>
            <w:tcW w:w="1435" w:type="dxa"/>
          </w:tcPr>
          <w:p w14:paraId="2AD632C1" w14:textId="37E4414E" w:rsidR="00406829" w:rsidRPr="00423376" w:rsidRDefault="00406829" w:rsidP="00406829">
            <w:pPr>
              <w:autoSpaceDE w:val="0"/>
              <w:autoSpaceDN w:val="0"/>
              <w:adjustRightInd w:val="0"/>
              <w:jc w:val="center"/>
            </w:pPr>
            <w:r w:rsidRPr="00581F9D">
              <w:t xml:space="preserve"> 1,741,591 </w:t>
            </w:r>
          </w:p>
        </w:tc>
      </w:tr>
      <w:tr w:rsidR="00406829" w:rsidRPr="00423376" w14:paraId="5EF361BE" w14:textId="77777777" w:rsidTr="00D52564">
        <w:trPr>
          <w:jc w:val="center"/>
        </w:trPr>
        <w:tc>
          <w:tcPr>
            <w:tcW w:w="1070" w:type="dxa"/>
            <w:vAlign w:val="center"/>
          </w:tcPr>
          <w:p w14:paraId="3D68CFB2" w14:textId="77777777" w:rsidR="00406829" w:rsidRPr="00423376" w:rsidRDefault="00406829" w:rsidP="00406829">
            <w:pPr>
              <w:autoSpaceDE w:val="0"/>
              <w:autoSpaceDN w:val="0"/>
              <w:adjustRightInd w:val="0"/>
              <w:jc w:val="center"/>
            </w:pPr>
            <w:r w:rsidRPr="00423376">
              <w:t>N12C</w:t>
            </w:r>
          </w:p>
        </w:tc>
        <w:tc>
          <w:tcPr>
            <w:tcW w:w="1435" w:type="dxa"/>
          </w:tcPr>
          <w:p w14:paraId="78F4B5E7" w14:textId="7B9F872C" w:rsidR="00406829" w:rsidRPr="00423376" w:rsidRDefault="00406829" w:rsidP="00406829">
            <w:pPr>
              <w:autoSpaceDE w:val="0"/>
              <w:autoSpaceDN w:val="0"/>
              <w:adjustRightInd w:val="0"/>
              <w:jc w:val="center"/>
            </w:pPr>
            <w:r w:rsidRPr="00581F9D">
              <w:t xml:space="preserve"> 1,672,466 </w:t>
            </w:r>
          </w:p>
        </w:tc>
      </w:tr>
      <w:tr w:rsidR="00406829" w:rsidRPr="00423376" w14:paraId="7DC71A15" w14:textId="77777777" w:rsidTr="00D52564">
        <w:trPr>
          <w:jc w:val="center"/>
        </w:trPr>
        <w:tc>
          <w:tcPr>
            <w:tcW w:w="1070" w:type="dxa"/>
            <w:vAlign w:val="center"/>
          </w:tcPr>
          <w:p w14:paraId="39F9958F" w14:textId="77777777" w:rsidR="00406829" w:rsidRPr="00423376" w:rsidRDefault="00406829" w:rsidP="00406829">
            <w:pPr>
              <w:autoSpaceDE w:val="0"/>
              <w:autoSpaceDN w:val="0"/>
              <w:adjustRightInd w:val="0"/>
              <w:jc w:val="center"/>
            </w:pPr>
            <w:r w:rsidRPr="00423376">
              <w:t>N12D</w:t>
            </w:r>
          </w:p>
        </w:tc>
        <w:tc>
          <w:tcPr>
            <w:tcW w:w="1435" w:type="dxa"/>
          </w:tcPr>
          <w:p w14:paraId="36EB5921" w14:textId="6A2CB47E" w:rsidR="00406829" w:rsidRPr="00423376" w:rsidRDefault="00406829" w:rsidP="00406829">
            <w:pPr>
              <w:autoSpaceDE w:val="0"/>
              <w:autoSpaceDN w:val="0"/>
              <w:adjustRightInd w:val="0"/>
              <w:jc w:val="center"/>
            </w:pPr>
            <w:r w:rsidRPr="00581F9D">
              <w:t xml:space="preserve"> 1,432,776 </w:t>
            </w:r>
          </w:p>
        </w:tc>
      </w:tr>
      <w:tr w:rsidR="00406829" w:rsidRPr="00423376" w14:paraId="329E4D7E" w14:textId="77777777" w:rsidTr="00D52564">
        <w:trPr>
          <w:jc w:val="center"/>
        </w:trPr>
        <w:tc>
          <w:tcPr>
            <w:tcW w:w="1070" w:type="dxa"/>
            <w:vAlign w:val="center"/>
          </w:tcPr>
          <w:p w14:paraId="5A408253" w14:textId="77777777" w:rsidR="00406829" w:rsidRPr="00423376" w:rsidRDefault="00406829" w:rsidP="00406829">
            <w:pPr>
              <w:autoSpaceDE w:val="0"/>
              <w:autoSpaceDN w:val="0"/>
              <w:adjustRightInd w:val="0"/>
              <w:jc w:val="center"/>
            </w:pPr>
            <w:r w:rsidRPr="00423376">
              <w:t>N12E</w:t>
            </w:r>
          </w:p>
        </w:tc>
        <w:tc>
          <w:tcPr>
            <w:tcW w:w="1435" w:type="dxa"/>
          </w:tcPr>
          <w:p w14:paraId="77D49D2A" w14:textId="57F71E59" w:rsidR="00406829" w:rsidRPr="00423376" w:rsidRDefault="00406829" w:rsidP="00406829">
            <w:pPr>
              <w:autoSpaceDE w:val="0"/>
              <w:autoSpaceDN w:val="0"/>
              <w:adjustRightInd w:val="0"/>
              <w:jc w:val="center"/>
            </w:pPr>
            <w:r w:rsidRPr="00581F9D">
              <w:t xml:space="preserve"> 1,614,648 </w:t>
            </w:r>
          </w:p>
        </w:tc>
      </w:tr>
      <w:tr w:rsidR="00406829" w:rsidRPr="00423376" w14:paraId="5456C2FA" w14:textId="77777777" w:rsidTr="00D52564">
        <w:trPr>
          <w:jc w:val="center"/>
        </w:trPr>
        <w:tc>
          <w:tcPr>
            <w:tcW w:w="1070" w:type="dxa"/>
            <w:vAlign w:val="center"/>
          </w:tcPr>
          <w:p w14:paraId="7E0FB0B6" w14:textId="77777777" w:rsidR="00406829" w:rsidRPr="00423376" w:rsidRDefault="00406829" w:rsidP="00406829">
            <w:pPr>
              <w:autoSpaceDE w:val="0"/>
              <w:autoSpaceDN w:val="0"/>
              <w:adjustRightInd w:val="0"/>
              <w:jc w:val="center"/>
            </w:pPr>
            <w:r w:rsidRPr="00423376">
              <w:t>N12F</w:t>
            </w:r>
          </w:p>
        </w:tc>
        <w:tc>
          <w:tcPr>
            <w:tcW w:w="1435" w:type="dxa"/>
          </w:tcPr>
          <w:p w14:paraId="3AFB436F" w14:textId="3E5B9FB2" w:rsidR="00406829" w:rsidRPr="00423376" w:rsidRDefault="00406829" w:rsidP="00406829">
            <w:pPr>
              <w:autoSpaceDE w:val="0"/>
              <w:autoSpaceDN w:val="0"/>
              <w:adjustRightInd w:val="0"/>
              <w:jc w:val="center"/>
            </w:pPr>
            <w:r w:rsidRPr="00581F9D">
              <w:t xml:space="preserve"> 1,465,337 </w:t>
            </w:r>
          </w:p>
        </w:tc>
      </w:tr>
      <w:tr w:rsidR="00406829" w:rsidRPr="00423376" w14:paraId="0C127FA0" w14:textId="77777777" w:rsidTr="00D52564">
        <w:trPr>
          <w:jc w:val="center"/>
        </w:trPr>
        <w:tc>
          <w:tcPr>
            <w:tcW w:w="1070" w:type="dxa"/>
            <w:vAlign w:val="center"/>
          </w:tcPr>
          <w:p w14:paraId="1F82DFDE" w14:textId="77777777" w:rsidR="00406829" w:rsidRPr="00423376" w:rsidRDefault="00406829" w:rsidP="00406829">
            <w:pPr>
              <w:autoSpaceDE w:val="0"/>
              <w:autoSpaceDN w:val="0"/>
              <w:adjustRightInd w:val="0"/>
              <w:jc w:val="center"/>
            </w:pPr>
            <w:r w:rsidRPr="00423376">
              <w:t>N23C</w:t>
            </w:r>
          </w:p>
        </w:tc>
        <w:tc>
          <w:tcPr>
            <w:tcW w:w="1435" w:type="dxa"/>
          </w:tcPr>
          <w:p w14:paraId="7AD30277" w14:textId="1084D91E" w:rsidR="00406829" w:rsidRPr="00423376" w:rsidRDefault="00406829" w:rsidP="00406829">
            <w:pPr>
              <w:autoSpaceDE w:val="0"/>
              <w:autoSpaceDN w:val="0"/>
              <w:adjustRightInd w:val="0"/>
              <w:jc w:val="center"/>
            </w:pPr>
            <w:r w:rsidRPr="00581F9D">
              <w:t xml:space="preserve"> 1,396,857 </w:t>
            </w:r>
          </w:p>
        </w:tc>
      </w:tr>
      <w:tr w:rsidR="00406829" w:rsidRPr="00423376" w14:paraId="472FA5FC" w14:textId="77777777" w:rsidTr="00D52564">
        <w:trPr>
          <w:jc w:val="center"/>
        </w:trPr>
        <w:tc>
          <w:tcPr>
            <w:tcW w:w="1070" w:type="dxa"/>
            <w:vAlign w:val="center"/>
          </w:tcPr>
          <w:p w14:paraId="3CB6E249" w14:textId="77777777" w:rsidR="00406829" w:rsidRPr="00423376" w:rsidRDefault="00406829" w:rsidP="00406829">
            <w:pPr>
              <w:autoSpaceDE w:val="0"/>
              <w:autoSpaceDN w:val="0"/>
              <w:adjustRightInd w:val="0"/>
              <w:jc w:val="center"/>
            </w:pPr>
            <w:r w:rsidRPr="00423376">
              <w:t>N23D</w:t>
            </w:r>
          </w:p>
        </w:tc>
        <w:tc>
          <w:tcPr>
            <w:tcW w:w="1435" w:type="dxa"/>
          </w:tcPr>
          <w:p w14:paraId="4F13D718" w14:textId="72D38DD4" w:rsidR="00406829" w:rsidRPr="00423376" w:rsidRDefault="00406829" w:rsidP="00406829">
            <w:pPr>
              <w:autoSpaceDE w:val="0"/>
              <w:autoSpaceDN w:val="0"/>
              <w:adjustRightInd w:val="0"/>
              <w:jc w:val="center"/>
            </w:pPr>
            <w:r w:rsidRPr="00581F9D">
              <w:t xml:space="preserve"> 1,340,133 </w:t>
            </w:r>
          </w:p>
        </w:tc>
      </w:tr>
      <w:tr w:rsidR="00406829" w:rsidRPr="00423376" w14:paraId="74BDD97E" w14:textId="77777777" w:rsidTr="00D52564">
        <w:trPr>
          <w:jc w:val="center"/>
        </w:trPr>
        <w:tc>
          <w:tcPr>
            <w:tcW w:w="1070" w:type="dxa"/>
            <w:vAlign w:val="center"/>
          </w:tcPr>
          <w:p w14:paraId="09FF8E77" w14:textId="77777777" w:rsidR="00406829" w:rsidRPr="00423376" w:rsidRDefault="00406829" w:rsidP="00406829">
            <w:pPr>
              <w:autoSpaceDE w:val="0"/>
              <w:autoSpaceDN w:val="0"/>
              <w:adjustRightInd w:val="0"/>
              <w:jc w:val="center"/>
            </w:pPr>
            <w:r w:rsidRPr="00423376">
              <w:t>N23E</w:t>
            </w:r>
          </w:p>
        </w:tc>
        <w:tc>
          <w:tcPr>
            <w:tcW w:w="1435" w:type="dxa"/>
          </w:tcPr>
          <w:p w14:paraId="2C091D82" w14:textId="25994C68" w:rsidR="00406829" w:rsidRPr="00423376" w:rsidRDefault="00406829" w:rsidP="00406829">
            <w:pPr>
              <w:autoSpaceDE w:val="0"/>
              <w:autoSpaceDN w:val="0"/>
              <w:adjustRightInd w:val="0"/>
              <w:jc w:val="center"/>
            </w:pPr>
            <w:r w:rsidRPr="00581F9D">
              <w:t xml:space="preserve"> 1,546,033 </w:t>
            </w:r>
          </w:p>
        </w:tc>
      </w:tr>
      <w:tr w:rsidR="00406829" w:rsidRPr="00423376" w14:paraId="7E369D6E" w14:textId="77777777" w:rsidTr="00D52564">
        <w:trPr>
          <w:jc w:val="center"/>
        </w:trPr>
        <w:tc>
          <w:tcPr>
            <w:tcW w:w="1070" w:type="dxa"/>
            <w:vAlign w:val="center"/>
          </w:tcPr>
          <w:p w14:paraId="324DABBD" w14:textId="77777777" w:rsidR="00406829" w:rsidRPr="00423376" w:rsidRDefault="00406829" w:rsidP="00406829">
            <w:pPr>
              <w:autoSpaceDE w:val="0"/>
              <w:autoSpaceDN w:val="0"/>
              <w:adjustRightInd w:val="0"/>
              <w:jc w:val="center"/>
            </w:pPr>
            <w:r w:rsidRPr="00423376">
              <w:t>N23F</w:t>
            </w:r>
          </w:p>
        </w:tc>
        <w:tc>
          <w:tcPr>
            <w:tcW w:w="1435" w:type="dxa"/>
          </w:tcPr>
          <w:p w14:paraId="68C239F7" w14:textId="5CBBEFCF" w:rsidR="00406829" w:rsidRPr="00423376" w:rsidRDefault="00406829" w:rsidP="00406829">
            <w:pPr>
              <w:autoSpaceDE w:val="0"/>
              <w:autoSpaceDN w:val="0"/>
              <w:adjustRightInd w:val="0"/>
              <w:jc w:val="center"/>
            </w:pPr>
            <w:r w:rsidRPr="00534124">
              <w:t xml:space="preserve"> 1,339,533 </w:t>
            </w:r>
          </w:p>
        </w:tc>
      </w:tr>
      <w:tr w:rsidR="00406829" w:rsidRPr="00423376" w14:paraId="745275B8" w14:textId="77777777" w:rsidTr="00D52564">
        <w:trPr>
          <w:jc w:val="center"/>
        </w:trPr>
        <w:tc>
          <w:tcPr>
            <w:tcW w:w="1070" w:type="dxa"/>
            <w:vAlign w:val="center"/>
          </w:tcPr>
          <w:p w14:paraId="104289F6" w14:textId="77777777" w:rsidR="00406829" w:rsidRPr="00423376" w:rsidRDefault="00406829" w:rsidP="00406829">
            <w:pPr>
              <w:autoSpaceDE w:val="0"/>
              <w:autoSpaceDN w:val="0"/>
              <w:adjustRightInd w:val="0"/>
              <w:jc w:val="center"/>
            </w:pPr>
            <w:r w:rsidRPr="00423376">
              <w:t>N23G</w:t>
            </w:r>
          </w:p>
        </w:tc>
        <w:tc>
          <w:tcPr>
            <w:tcW w:w="1435" w:type="dxa"/>
          </w:tcPr>
          <w:p w14:paraId="63B365BA" w14:textId="61080E0A" w:rsidR="00406829" w:rsidRPr="00423376" w:rsidRDefault="00406829" w:rsidP="00406829">
            <w:pPr>
              <w:autoSpaceDE w:val="0"/>
              <w:autoSpaceDN w:val="0"/>
              <w:adjustRightInd w:val="0"/>
              <w:jc w:val="center"/>
            </w:pPr>
            <w:r w:rsidRPr="00534124">
              <w:t xml:space="preserve"> 1,614,238 </w:t>
            </w:r>
          </w:p>
        </w:tc>
      </w:tr>
      <w:tr w:rsidR="00406829" w:rsidRPr="00423376" w14:paraId="117C8624" w14:textId="77777777" w:rsidTr="00D52564">
        <w:trPr>
          <w:jc w:val="center"/>
        </w:trPr>
        <w:tc>
          <w:tcPr>
            <w:tcW w:w="1070" w:type="dxa"/>
            <w:vAlign w:val="center"/>
          </w:tcPr>
          <w:p w14:paraId="1A7B1C4A" w14:textId="77777777" w:rsidR="00406829" w:rsidRPr="00423376" w:rsidRDefault="00406829" w:rsidP="00406829">
            <w:pPr>
              <w:autoSpaceDE w:val="0"/>
              <w:autoSpaceDN w:val="0"/>
              <w:adjustRightInd w:val="0"/>
              <w:jc w:val="center"/>
            </w:pPr>
            <w:r w:rsidRPr="00423376">
              <w:t>N23H</w:t>
            </w:r>
          </w:p>
        </w:tc>
        <w:tc>
          <w:tcPr>
            <w:tcW w:w="1435" w:type="dxa"/>
          </w:tcPr>
          <w:p w14:paraId="7FF913E0" w14:textId="26732CC4" w:rsidR="00406829" w:rsidRPr="00423376" w:rsidRDefault="00406829" w:rsidP="00406829">
            <w:pPr>
              <w:autoSpaceDE w:val="0"/>
              <w:autoSpaceDN w:val="0"/>
              <w:adjustRightInd w:val="0"/>
              <w:jc w:val="center"/>
            </w:pPr>
            <w:r w:rsidRPr="00534124">
              <w:t xml:space="preserve"> 1,608,836 </w:t>
            </w:r>
          </w:p>
        </w:tc>
      </w:tr>
      <w:tr w:rsidR="00406829" w:rsidRPr="00423376" w14:paraId="12BFEB58" w14:textId="77777777" w:rsidTr="00D52564">
        <w:trPr>
          <w:jc w:val="center"/>
        </w:trPr>
        <w:tc>
          <w:tcPr>
            <w:tcW w:w="1070" w:type="dxa"/>
            <w:vAlign w:val="center"/>
          </w:tcPr>
          <w:p w14:paraId="7132E007" w14:textId="77777777" w:rsidR="00406829" w:rsidRPr="00423376" w:rsidRDefault="00406829" w:rsidP="00406829">
            <w:pPr>
              <w:autoSpaceDE w:val="0"/>
              <w:autoSpaceDN w:val="0"/>
              <w:adjustRightInd w:val="0"/>
              <w:jc w:val="center"/>
            </w:pPr>
            <w:r w:rsidRPr="00423376">
              <w:t>N23I</w:t>
            </w:r>
          </w:p>
        </w:tc>
        <w:tc>
          <w:tcPr>
            <w:tcW w:w="1435" w:type="dxa"/>
          </w:tcPr>
          <w:p w14:paraId="47C95B49" w14:textId="46EA9984" w:rsidR="00406829" w:rsidRPr="00423376" w:rsidRDefault="00406829" w:rsidP="00406829">
            <w:pPr>
              <w:autoSpaceDE w:val="0"/>
              <w:autoSpaceDN w:val="0"/>
              <w:adjustRightInd w:val="0"/>
              <w:jc w:val="center"/>
            </w:pPr>
            <w:r w:rsidRPr="00534124">
              <w:t xml:space="preserve"> 1,540,528 </w:t>
            </w:r>
          </w:p>
        </w:tc>
      </w:tr>
      <w:tr w:rsidR="00406829" w:rsidRPr="00423376" w14:paraId="241B8B10" w14:textId="77777777" w:rsidTr="00D52564">
        <w:trPr>
          <w:jc w:val="center"/>
        </w:trPr>
        <w:tc>
          <w:tcPr>
            <w:tcW w:w="1070" w:type="dxa"/>
            <w:vAlign w:val="center"/>
          </w:tcPr>
          <w:p w14:paraId="67B4510E" w14:textId="77777777" w:rsidR="00406829" w:rsidRPr="00423376" w:rsidRDefault="00406829" w:rsidP="00406829">
            <w:pPr>
              <w:autoSpaceDE w:val="0"/>
              <w:autoSpaceDN w:val="0"/>
              <w:adjustRightInd w:val="0"/>
              <w:jc w:val="center"/>
            </w:pPr>
            <w:r w:rsidRPr="00423376">
              <w:t>N23J</w:t>
            </w:r>
          </w:p>
        </w:tc>
        <w:tc>
          <w:tcPr>
            <w:tcW w:w="1435" w:type="dxa"/>
          </w:tcPr>
          <w:p w14:paraId="0B9667DF" w14:textId="57A54950" w:rsidR="00406829" w:rsidRPr="00423376" w:rsidRDefault="00406829" w:rsidP="00406829">
            <w:pPr>
              <w:autoSpaceDE w:val="0"/>
              <w:autoSpaceDN w:val="0"/>
              <w:adjustRightInd w:val="0"/>
              <w:jc w:val="center"/>
            </w:pPr>
            <w:r w:rsidRPr="00534124">
              <w:t xml:space="preserve"> 1,409,819 </w:t>
            </w:r>
          </w:p>
        </w:tc>
      </w:tr>
      <w:tr w:rsidR="00406829" w:rsidRPr="00423376" w14:paraId="016A274E" w14:textId="77777777" w:rsidTr="00D52564">
        <w:trPr>
          <w:jc w:val="center"/>
        </w:trPr>
        <w:tc>
          <w:tcPr>
            <w:tcW w:w="1070" w:type="dxa"/>
            <w:vAlign w:val="center"/>
          </w:tcPr>
          <w:p w14:paraId="4FB2AF5E" w14:textId="77777777" w:rsidR="00406829" w:rsidRPr="00423376" w:rsidRDefault="00406829" w:rsidP="00406829">
            <w:pPr>
              <w:autoSpaceDE w:val="0"/>
              <w:autoSpaceDN w:val="0"/>
              <w:adjustRightInd w:val="0"/>
              <w:jc w:val="center"/>
            </w:pPr>
            <w:r w:rsidRPr="00423376">
              <w:t>N24C</w:t>
            </w:r>
          </w:p>
        </w:tc>
        <w:tc>
          <w:tcPr>
            <w:tcW w:w="1435" w:type="dxa"/>
          </w:tcPr>
          <w:p w14:paraId="14FE78BA" w14:textId="7159C1F3" w:rsidR="00406829" w:rsidRPr="00423376" w:rsidRDefault="00406829" w:rsidP="00406829">
            <w:pPr>
              <w:autoSpaceDE w:val="0"/>
              <w:autoSpaceDN w:val="0"/>
              <w:adjustRightInd w:val="0"/>
              <w:jc w:val="center"/>
            </w:pPr>
            <w:r w:rsidRPr="00534124">
              <w:t xml:space="preserve"> 1,223,338 </w:t>
            </w:r>
          </w:p>
        </w:tc>
      </w:tr>
      <w:tr w:rsidR="00406829" w:rsidRPr="00423376" w14:paraId="34DDD429" w14:textId="77777777" w:rsidTr="00D52564">
        <w:trPr>
          <w:jc w:val="center"/>
        </w:trPr>
        <w:tc>
          <w:tcPr>
            <w:tcW w:w="1070" w:type="dxa"/>
            <w:vAlign w:val="center"/>
          </w:tcPr>
          <w:p w14:paraId="6072837F" w14:textId="77777777" w:rsidR="00406829" w:rsidRPr="00423376" w:rsidRDefault="00406829" w:rsidP="00406829">
            <w:pPr>
              <w:autoSpaceDE w:val="0"/>
              <w:autoSpaceDN w:val="0"/>
              <w:adjustRightInd w:val="0"/>
              <w:jc w:val="center"/>
            </w:pPr>
            <w:r w:rsidRPr="00423376">
              <w:t>N24D</w:t>
            </w:r>
          </w:p>
        </w:tc>
        <w:tc>
          <w:tcPr>
            <w:tcW w:w="1435" w:type="dxa"/>
          </w:tcPr>
          <w:p w14:paraId="242B86C4" w14:textId="128259EB" w:rsidR="00406829" w:rsidRPr="00423376" w:rsidRDefault="00406829" w:rsidP="00406829">
            <w:pPr>
              <w:autoSpaceDE w:val="0"/>
              <w:autoSpaceDN w:val="0"/>
              <w:adjustRightInd w:val="0"/>
              <w:jc w:val="center"/>
            </w:pPr>
            <w:r w:rsidRPr="00534124">
              <w:t xml:space="preserve"> 1,169,351 </w:t>
            </w:r>
          </w:p>
        </w:tc>
      </w:tr>
      <w:tr w:rsidR="00406829" w:rsidRPr="00423376" w14:paraId="6DF563B7" w14:textId="77777777" w:rsidTr="00D52564">
        <w:trPr>
          <w:jc w:val="center"/>
        </w:trPr>
        <w:tc>
          <w:tcPr>
            <w:tcW w:w="1070" w:type="dxa"/>
            <w:vAlign w:val="center"/>
          </w:tcPr>
          <w:p w14:paraId="3D210342" w14:textId="77777777" w:rsidR="00406829" w:rsidRPr="00423376" w:rsidRDefault="00406829" w:rsidP="00406829">
            <w:pPr>
              <w:autoSpaceDE w:val="0"/>
              <w:autoSpaceDN w:val="0"/>
              <w:adjustRightInd w:val="0"/>
              <w:jc w:val="center"/>
            </w:pPr>
            <w:r w:rsidRPr="00423376">
              <w:t>N24E</w:t>
            </w:r>
          </w:p>
        </w:tc>
        <w:tc>
          <w:tcPr>
            <w:tcW w:w="1435" w:type="dxa"/>
          </w:tcPr>
          <w:p w14:paraId="3686D710" w14:textId="44864C2F" w:rsidR="00406829" w:rsidRPr="00423376" w:rsidRDefault="00406829" w:rsidP="00406829">
            <w:pPr>
              <w:autoSpaceDE w:val="0"/>
              <w:autoSpaceDN w:val="0"/>
              <w:adjustRightInd w:val="0"/>
              <w:jc w:val="center"/>
            </w:pPr>
            <w:r w:rsidRPr="00534124">
              <w:t xml:space="preserve"> 1,352,623 </w:t>
            </w:r>
          </w:p>
        </w:tc>
      </w:tr>
      <w:tr w:rsidR="00406829" w:rsidRPr="00423376" w14:paraId="45844158" w14:textId="77777777" w:rsidTr="00D52564">
        <w:trPr>
          <w:jc w:val="center"/>
        </w:trPr>
        <w:tc>
          <w:tcPr>
            <w:tcW w:w="1070" w:type="dxa"/>
            <w:vAlign w:val="center"/>
          </w:tcPr>
          <w:p w14:paraId="79FF5AB0" w14:textId="77777777" w:rsidR="00406829" w:rsidRPr="00423376" w:rsidRDefault="00406829" w:rsidP="00406829">
            <w:pPr>
              <w:autoSpaceDE w:val="0"/>
              <w:autoSpaceDN w:val="0"/>
              <w:adjustRightInd w:val="0"/>
              <w:jc w:val="center"/>
            </w:pPr>
            <w:r w:rsidRPr="00423376">
              <w:t>N24F</w:t>
            </w:r>
          </w:p>
        </w:tc>
        <w:tc>
          <w:tcPr>
            <w:tcW w:w="1435" w:type="dxa"/>
          </w:tcPr>
          <w:p w14:paraId="544711D7" w14:textId="0C5F47BA" w:rsidR="00406829" w:rsidRPr="00423376" w:rsidRDefault="00406829" w:rsidP="00406829">
            <w:pPr>
              <w:autoSpaceDE w:val="0"/>
              <w:autoSpaceDN w:val="0"/>
              <w:adjustRightInd w:val="0"/>
              <w:jc w:val="center"/>
            </w:pPr>
            <w:r w:rsidRPr="00534124">
              <w:t xml:space="preserve"> 1,212,596 </w:t>
            </w:r>
          </w:p>
        </w:tc>
      </w:tr>
      <w:tr w:rsidR="00406829" w:rsidRPr="00423376" w14:paraId="25EF8CE4" w14:textId="77777777" w:rsidTr="00D52564">
        <w:trPr>
          <w:jc w:val="center"/>
        </w:trPr>
        <w:tc>
          <w:tcPr>
            <w:tcW w:w="1070" w:type="dxa"/>
            <w:vAlign w:val="center"/>
          </w:tcPr>
          <w:p w14:paraId="7DCB9772" w14:textId="77777777" w:rsidR="00406829" w:rsidRPr="00423376" w:rsidRDefault="00406829" w:rsidP="00406829">
            <w:pPr>
              <w:autoSpaceDE w:val="0"/>
              <w:autoSpaceDN w:val="0"/>
              <w:adjustRightInd w:val="0"/>
              <w:jc w:val="center"/>
            </w:pPr>
            <w:r w:rsidRPr="00423376">
              <w:t>N35F</w:t>
            </w:r>
          </w:p>
        </w:tc>
        <w:tc>
          <w:tcPr>
            <w:tcW w:w="1435" w:type="dxa"/>
          </w:tcPr>
          <w:p w14:paraId="067DDF63" w14:textId="06E03823" w:rsidR="00406829" w:rsidRPr="00423376" w:rsidRDefault="00406829" w:rsidP="00406829">
            <w:pPr>
              <w:autoSpaceDE w:val="0"/>
              <w:autoSpaceDN w:val="0"/>
              <w:adjustRightInd w:val="0"/>
              <w:jc w:val="center"/>
            </w:pPr>
            <w:r w:rsidRPr="00534124">
              <w:t xml:space="preserve"> 1,248,484 </w:t>
            </w:r>
          </w:p>
        </w:tc>
      </w:tr>
      <w:tr w:rsidR="00406829" w:rsidRPr="00423376" w14:paraId="5A802319" w14:textId="77777777" w:rsidTr="00D52564">
        <w:trPr>
          <w:jc w:val="center"/>
        </w:trPr>
        <w:tc>
          <w:tcPr>
            <w:tcW w:w="1070" w:type="dxa"/>
            <w:vAlign w:val="center"/>
          </w:tcPr>
          <w:p w14:paraId="71FCDBF2" w14:textId="77777777" w:rsidR="00406829" w:rsidRPr="00423376" w:rsidRDefault="00406829" w:rsidP="00406829">
            <w:pPr>
              <w:autoSpaceDE w:val="0"/>
              <w:autoSpaceDN w:val="0"/>
              <w:adjustRightInd w:val="0"/>
              <w:jc w:val="center"/>
            </w:pPr>
            <w:r w:rsidRPr="00423376">
              <w:t>N35G</w:t>
            </w:r>
          </w:p>
        </w:tc>
        <w:tc>
          <w:tcPr>
            <w:tcW w:w="1435" w:type="dxa"/>
          </w:tcPr>
          <w:p w14:paraId="0C8EB9F2" w14:textId="5284447D" w:rsidR="00406829" w:rsidRPr="00423376" w:rsidRDefault="00406829" w:rsidP="00406829">
            <w:pPr>
              <w:autoSpaceDE w:val="0"/>
              <w:autoSpaceDN w:val="0"/>
              <w:adjustRightInd w:val="0"/>
              <w:jc w:val="center"/>
            </w:pPr>
            <w:r w:rsidRPr="00534124">
              <w:t xml:space="preserve"> 1,087,153 </w:t>
            </w:r>
          </w:p>
        </w:tc>
      </w:tr>
      <w:tr w:rsidR="00406829" w:rsidRPr="00423376" w14:paraId="6AD16069" w14:textId="77777777" w:rsidTr="00D52564">
        <w:trPr>
          <w:jc w:val="center"/>
        </w:trPr>
        <w:tc>
          <w:tcPr>
            <w:tcW w:w="1070" w:type="dxa"/>
            <w:vAlign w:val="center"/>
          </w:tcPr>
          <w:p w14:paraId="00CF5A0A" w14:textId="77777777" w:rsidR="00406829" w:rsidRPr="00423376" w:rsidRDefault="00406829" w:rsidP="00406829">
            <w:pPr>
              <w:autoSpaceDE w:val="0"/>
              <w:autoSpaceDN w:val="0"/>
              <w:adjustRightInd w:val="0"/>
              <w:jc w:val="center"/>
            </w:pPr>
            <w:r w:rsidRPr="00423376">
              <w:t>N35H</w:t>
            </w:r>
          </w:p>
        </w:tc>
        <w:tc>
          <w:tcPr>
            <w:tcW w:w="1435" w:type="dxa"/>
          </w:tcPr>
          <w:p w14:paraId="2DBDF0F3" w14:textId="52CEE181" w:rsidR="00406829" w:rsidRPr="00423376" w:rsidRDefault="00406829" w:rsidP="00406829">
            <w:pPr>
              <w:autoSpaceDE w:val="0"/>
              <w:autoSpaceDN w:val="0"/>
              <w:adjustRightInd w:val="0"/>
              <w:jc w:val="center"/>
            </w:pPr>
            <w:r w:rsidRPr="00534124">
              <w:t xml:space="preserve"> 1,245,484 </w:t>
            </w:r>
          </w:p>
        </w:tc>
      </w:tr>
      <w:tr w:rsidR="00406829" w:rsidRPr="00423376" w14:paraId="678C58F4" w14:textId="77777777" w:rsidTr="00D52564">
        <w:trPr>
          <w:jc w:val="center"/>
        </w:trPr>
        <w:tc>
          <w:tcPr>
            <w:tcW w:w="1070" w:type="dxa"/>
            <w:vAlign w:val="center"/>
          </w:tcPr>
          <w:p w14:paraId="7D6C8215" w14:textId="77777777" w:rsidR="00406829" w:rsidRPr="00423376" w:rsidRDefault="00406829" w:rsidP="00406829">
            <w:pPr>
              <w:autoSpaceDE w:val="0"/>
              <w:autoSpaceDN w:val="0"/>
              <w:adjustRightInd w:val="0"/>
              <w:jc w:val="center"/>
            </w:pPr>
            <w:r w:rsidRPr="00423376">
              <w:t>N35I</w:t>
            </w:r>
          </w:p>
        </w:tc>
        <w:tc>
          <w:tcPr>
            <w:tcW w:w="1435" w:type="dxa"/>
          </w:tcPr>
          <w:p w14:paraId="46C75172" w14:textId="601ABD50" w:rsidR="00406829" w:rsidRPr="00423376" w:rsidRDefault="00406829" w:rsidP="00406829">
            <w:pPr>
              <w:autoSpaceDE w:val="0"/>
              <w:autoSpaceDN w:val="0"/>
              <w:adjustRightInd w:val="0"/>
              <w:jc w:val="center"/>
            </w:pPr>
            <w:r w:rsidRPr="00534124">
              <w:t xml:space="preserve"> 1,048,583 </w:t>
            </w:r>
          </w:p>
        </w:tc>
      </w:tr>
      <w:tr w:rsidR="00406829" w:rsidRPr="00423376" w14:paraId="087307F4" w14:textId="77777777" w:rsidTr="00D52564">
        <w:trPr>
          <w:jc w:val="center"/>
        </w:trPr>
        <w:tc>
          <w:tcPr>
            <w:tcW w:w="1070" w:type="dxa"/>
            <w:vAlign w:val="center"/>
          </w:tcPr>
          <w:p w14:paraId="0E3D80FB" w14:textId="77777777" w:rsidR="00406829" w:rsidRPr="00423376" w:rsidRDefault="00406829" w:rsidP="00406829">
            <w:pPr>
              <w:autoSpaceDE w:val="0"/>
              <w:autoSpaceDN w:val="0"/>
              <w:adjustRightInd w:val="0"/>
              <w:jc w:val="center"/>
            </w:pPr>
            <w:r w:rsidRPr="00423376">
              <w:t>N35J</w:t>
            </w:r>
          </w:p>
        </w:tc>
        <w:tc>
          <w:tcPr>
            <w:tcW w:w="1435" w:type="dxa"/>
          </w:tcPr>
          <w:p w14:paraId="6889C5B8" w14:textId="5D37DC46" w:rsidR="00406829" w:rsidRPr="00423376" w:rsidRDefault="00406829" w:rsidP="00406829">
            <w:pPr>
              <w:autoSpaceDE w:val="0"/>
              <w:autoSpaceDN w:val="0"/>
              <w:adjustRightInd w:val="0"/>
              <w:jc w:val="center"/>
            </w:pPr>
            <w:r w:rsidRPr="00534124">
              <w:t xml:space="preserve"> 1,272,905 </w:t>
            </w:r>
          </w:p>
        </w:tc>
      </w:tr>
      <w:tr w:rsidR="00406829" w:rsidRPr="00423376" w14:paraId="65B0D3CC" w14:textId="77777777" w:rsidTr="00D52564">
        <w:trPr>
          <w:jc w:val="center"/>
        </w:trPr>
        <w:tc>
          <w:tcPr>
            <w:tcW w:w="1070" w:type="dxa"/>
            <w:vAlign w:val="center"/>
          </w:tcPr>
          <w:p w14:paraId="4004C287" w14:textId="77777777" w:rsidR="00406829" w:rsidRPr="00423376" w:rsidRDefault="00406829" w:rsidP="00406829">
            <w:pPr>
              <w:autoSpaceDE w:val="0"/>
              <w:autoSpaceDN w:val="0"/>
              <w:adjustRightInd w:val="0"/>
              <w:jc w:val="center"/>
            </w:pPr>
            <w:r w:rsidRPr="00423376">
              <w:t>N35K</w:t>
            </w:r>
          </w:p>
        </w:tc>
        <w:tc>
          <w:tcPr>
            <w:tcW w:w="1435" w:type="dxa"/>
          </w:tcPr>
          <w:p w14:paraId="11A7994D" w14:textId="7B0B8803" w:rsidR="00406829" w:rsidRPr="00423376" w:rsidRDefault="00406829" w:rsidP="00406829">
            <w:pPr>
              <w:autoSpaceDE w:val="0"/>
              <w:autoSpaceDN w:val="0"/>
              <w:adjustRightInd w:val="0"/>
              <w:jc w:val="center"/>
            </w:pPr>
            <w:r w:rsidRPr="00534124">
              <w:t xml:space="preserve"> 1,084,743 </w:t>
            </w:r>
          </w:p>
        </w:tc>
      </w:tr>
      <w:tr w:rsidR="00406829" w:rsidRPr="00423376" w14:paraId="0B31D380" w14:textId="77777777" w:rsidTr="00D52564">
        <w:trPr>
          <w:jc w:val="center"/>
        </w:trPr>
        <w:tc>
          <w:tcPr>
            <w:tcW w:w="1070" w:type="dxa"/>
            <w:vAlign w:val="center"/>
          </w:tcPr>
          <w:p w14:paraId="4BBA151F" w14:textId="77777777" w:rsidR="00406829" w:rsidRPr="00423376" w:rsidRDefault="00406829" w:rsidP="00406829">
            <w:pPr>
              <w:autoSpaceDE w:val="0"/>
              <w:autoSpaceDN w:val="0"/>
              <w:adjustRightInd w:val="0"/>
              <w:jc w:val="center"/>
            </w:pPr>
            <w:r w:rsidRPr="00423376">
              <w:t>N35L</w:t>
            </w:r>
          </w:p>
        </w:tc>
        <w:tc>
          <w:tcPr>
            <w:tcW w:w="1435" w:type="dxa"/>
          </w:tcPr>
          <w:p w14:paraId="3CC92233" w14:textId="04B9670D" w:rsidR="00406829" w:rsidRPr="00423376" w:rsidRDefault="00406829" w:rsidP="00406829">
            <w:pPr>
              <w:autoSpaceDE w:val="0"/>
              <w:autoSpaceDN w:val="0"/>
              <w:adjustRightInd w:val="0"/>
              <w:jc w:val="center"/>
            </w:pPr>
            <w:r w:rsidRPr="00534124">
              <w:t xml:space="preserve"> 1,271,521 </w:t>
            </w:r>
          </w:p>
        </w:tc>
      </w:tr>
      <w:tr w:rsidR="00406829" w:rsidRPr="00423376" w14:paraId="66498841" w14:textId="77777777" w:rsidTr="00D52564">
        <w:trPr>
          <w:jc w:val="center"/>
        </w:trPr>
        <w:tc>
          <w:tcPr>
            <w:tcW w:w="1070" w:type="dxa"/>
            <w:vAlign w:val="center"/>
          </w:tcPr>
          <w:p w14:paraId="118B883B" w14:textId="77777777" w:rsidR="00406829" w:rsidRPr="00423376" w:rsidRDefault="00406829" w:rsidP="00406829">
            <w:pPr>
              <w:autoSpaceDE w:val="0"/>
              <w:autoSpaceDN w:val="0"/>
              <w:adjustRightInd w:val="0"/>
              <w:jc w:val="center"/>
            </w:pPr>
            <w:r w:rsidRPr="00423376">
              <w:t>N35M</w:t>
            </w:r>
          </w:p>
        </w:tc>
        <w:tc>
          <w:tcPr>
            <w:tcW w:w="1435" w:type="dxa"/>
          </w:tcPr>
          <w:p w14:paraId="30F5F1C9" w14:textId="09DE97C4" w:rsidR="00406829" w:rsidRPr="00423376" w:rsidRDefault="00406829" w:rsidP="00406829">
            <w:pPr>
              <w:autoSpaceDE w:val="0"/>
              <w:autoSpaceDN w:val="0"/>
              <w:adjustRightInd w:val="0"/>
              <w:jc w:val="center"/>
            </w:pPr>
            <w:r w:rsidRPr="00534124">
              <w:t xml:space="preserve"> 1,056,632 </w:t>
            </w:r>
          </w:p>
        </w:tc>
      </w:tr>
      <w:tr w:rsidR="00406829" w:rsidRPr="00423376" w14:paraId="540EBF62" w14:textId="77777777" w:rsidTr="00D52564">
        <w:trPr>
          <w:jc w:val="center"/>
        </w:trPr>
        <w:tc>
          <w:tcPr>
            <w:tcW w:w="1070" w:type="dxa"/>
            <w:vAlign w:val="center"/>
          </w:tcPr>
          <w:p w14:paraId="2DFD1675" w14:textId="77777777" w:rsidR="00406829" w:rsidRPr="00423376" w:rsidRDefault="00406829" w:rsidP="00406829">
            <w:pPr>
              <w:autoSpaceDE w:val="0"/>
              <w:autoSpaceDN w:val="0"/>
              <w:adjustRightInd w:val="0"/>
              <w:jc w:val="center"/>
            </w:pPr>
            <w:r w:rsidRPr="00423376">
              <w:t>N35N</w:t>
            </w:r>
          </w:p>
        </w:tc>
        <w:tc>
          <w:tcPr>
            <w:tcW w:w="1435" w:type="dxa"/>
          </w:tcPr>
          <w:p w14:paraId="61534F1C" w14:textId="76BF995A" w:rsidR="00406829" w:rsidRPr="00423376" w:rsidRDefault="00406829" w:rsidP="00406829">
            <w:pPr>
              <w:autoSpaceDE w:val="0"/>
              <w:autoSpaceDN w:val="0"/>
              <w:adjustRightInd w:val="0"/>
              <w:jc w:val="center"/>
            </w:pPr>
            <w:r w:rsidRPr="00534124">
              <w:t xml:space="preserve"> 1,198,297 </w:t>
            </w:r>
          </w:p>
        </w:tc>
      </w:tr>
      <w:tr w:rsidR="00406829" w:rsidRPr="00423376" w14:paraId="23A7DFAD" w14:textId="77777777" w:rsidTr="00D52564">
        <w:trPr>
          <w:jc w:val="center"/>
        </w:trPr>
        <w:tc>
          <w:tcPr>
            <w:tcW w:w="1070" w:type="dxa"/>
            <w:vAlign w:val="center"/>
          </w:tcPr>
          <w:p w14:paraId="54D1071D" w14:textId="77777777" w:rsidR="00406829" w:rsidRPr="00423376" w:rsidRDefault="00406829" w:rsidP="00406829">
            <w:pPr>
              <w:autoSpaceDE w:val="0"/>
              <w:autoSpaceDN w:val="0"/>
              <w:adjustRightInd w:val="0"/>
              <w:jc w:val="center"/>
            </w:pPr>
            <w:r w:rsidRPr="00423376">
              <w:t>N35O</w:t>
            </w:r>
          </w:p>
        </w:tc>
        <w:tc>
          <w:tcPr>
            <w:tcW w:w="1435" w:type="dxa"/>
          </w:tcPr>
          <w:p w14:paraId="720ACEAE" w14:textId="3AEAC719" w:rsidR="00406829" w:rsidRPr="00423376" w:rsidRDefault="00406829" w:rsidP="00406829">
            <w:pPr>
              <w:autoSpaceDE w:val="0"/>
              <w:autoSpaceDN w:val="0"/>
              <w:adjustRightInd w:val="0"/>
              <w:jc w:val="center"/>
            </w:pPr>
            <w:r w:rsidRPr="00534124">
              <w:t xml:space="preserve"> 1,125,564 </w:t>
            </w:r>
          </w:p>
        </w:tc>
      </w:tr>
      <w:tr w:rsidR="00406829" w:rsidRPr="00423376" w14:paraId="52B34A33" w14:textId="77777777" w:rsidTr="00D52564">
        <w:trPr>
          <w:jc w:val="center"/>
        </w:trPr>
        <w:tc>
          <w:tcPr>
            <w:tcW w:w="1070" w:type="dxa"/>
            <w:vAlign w:val="center"/>
          </w:tcPr>
          <w:p w14:paraId="7A3CAA10" w14:textId="77777777" w:rsidR="00406829" w:rsidRPr="00423376" w:rsidRDefault="00406829" w:rsidP="00406829">
            <w:pPr>
              <w:autoSpaceDE w:val="0"/>
              <w:autoSpaceDN w:val="0"/>
              <w:adjustRightInd w:val="0"/>
              <w:jc w:val="center"/>
            </w:pPr>
            <w:r w:rsidRPr="00423376">
              <w:t>N35P</w:t>
            </w:r>
          </w:p>
        </w:tc>
        <w:tc>
          <w:tcPr>
            <w:tcW w:w="1435" w:type="dxa"/>
          </w:tcPr>
          <w:p w14:paraId="04552D30" w14:textId="73B2ECD0" w:rsidR="00406829" w:rsidRPr="00423376" w:rsidRDefault="00406829" w:rsidP="00406829">
            <w:pPr>
              <w:autoSpaceDE w:val="0"/>
              <w:autoSpaceDN w:val="0"/>
              <w:adjustRightInd w:val="0"/>
              <w:jc w:val="center"/>
            </w:pPr>
            <w:r w:rsidRPr="00534124">
              <w:t xml:space="preserve"> 1,275,409 </w:t>
            </w:r>
          </w:p>
        </w:tc>
      </w:tr>
      <w:tr w:rsidR="00406829" w:rsidRPr="00423376" w14:paraId="18CDA26D" w14:textId="77777777" w:rsidTr="00D52564">
        <w:trPr>
          <w:jc w:val="center"/>
        </w:trPr>
        <w:tc>
          <w:tcPr>
            <w:tcW w:w="1070" w:type="dxa"/>
            <w:vAlign w:val="center"/>
          </w:tcPr>
          <w:p w14:paraId="43327678" w14:textId="77777777" w:rsidR="00406829" w:rsidRPr="00423376" w:rsidRDefault="00406829" w:rsidP="00406829">
            <w:pPr>
              <w:autoSpaceDE w:val="0"/>
              <w:autoSpaceDN w:val="0"/>
              <w:adjustRightInd w:val="0"/>
              <w:jc w:val="center"/>
            </w:pPr>
            <w:r w:rsidRPr="00423376">
              <w:t>N35Q</w:t>
            </w:r>
          </w:p>
        </w:tc>
        <w:tc>
          <w:tcPr>
            <w:tcW w:w="1435" w:type="dxa"/>
          </w:tcPr>
          <w:p w14:paraId="01F7C1AC" w14:textId="0BB102FE" w:rsidR="00406829" w:rsidRPr="00423376" w:rsidRDefault="00406829" w:rsidP="00406829">
            <w:pPr>
              <w:autoSpaceDE w:val="0"/>
              <w:autoSpaceDN w:val="0"/>
              <w:adjustRightInd w:val="0"/>
              <w:jc w:val="center"/>
            </w:pPr>
            <w:r w:rsidRPr="00534124">
              <w:t xml:space="preserve"> 1,054,310 </w:t>
            </w:r>
          </w:p>
        </w:tc>
      </w:tr>
      <w:tr w:rsidR="00406829" w:rsidRPr="00423376" w14:paraId="60F1C5B9" w14:textId="77777777" w:rsidTr="00D52564">
        <w:trPr>
          <w:jc w:val="center"/>
        </w:trPr>
        <w:tc>
          <w:tcPr>
            <w:tcW w:w="1070" w:type="dxa"/>
            <w:vAlign w:val="center"/>
          </w:tcPr>
          <w:p w14:paraId="23DCF942" w14:textId="77777777" w:rsidR="00406829" w:rsidRPr="00423376" w:rsidRDefault="00406829" w:rsidP="00406829">
            <w:pPr>
              <w:autoSpaceDE w:val="0"/>
              <w:autoSpaceDN w:val="0"/>
              <w:adjustRightInd w:val="0"/>
              <w:jc w:val="center"/>
            </w:pPr>
            <w:r w:rsidRPr="00423376">
              <w:t>N36A</w:t>
            </w:r>
          </w:p>
        </w:tc>
        <w:tc>
          <w:tcPr>
            <w:tcW w:w="1435" w:type="dxa"/>
          </w:tcPr>
          <w:p w14:paraId="6F53124B" w14:textId="5F68A746" w:rsidR="00406829" w:rsidRPr="00423376" w:rsidRDefault="00406829" w:rsidP="00406829">
            <w:pPr>
              <w:autoSpaceDE w:val="0"/>
              <w:autoSpaceDN w:val="0"/>
              <w:adjustRightInd w:val="0"/>
              <w:jc w:val="center"/>
            </w:pPr>
            <w:r w:rsidRPr="00534124">
              <w:t xml:space="preserve"> 1,040,541 </w:t>
            </w:r>
          </w:p>
        </w:tc>
      </w:tr>
      <w:tr w:rsidR="00406829" w:rsidRPr="00423376" w14:paraId="1AA5C42F" w14:textId="77777777" w:rsidTr="00D52564">
        <w:trPr>
          <w:jc w:val="center"/>
        </w:trPr>
        <w:tc>
          <w:tcPr>
            <w:tcW w:w="1070" w:type="dxa"/>
            <w:vAlign w:val="center"/>
          </w:tcPr>
          <w:p w14:paraId="363B3B6D" w14:textId="77777777" w:rsidR="00406829" w:rsidRPr="00423376" w:rsidRDefault="00406829" w:rsidP="00406829">
            <w:pPr>
              <w:autoSpaceDE w:val="0"/>
              <w:autoSpaceDN w:val="0"/>
              <w:adjustRightInd w:val="0"/>
              <w:jc w:val="center"/>
            </w:pPr>
            <w:r w:rsidRPr="00423376">
              <w:t>N36B</w:t>
            </w:r>
          </w:p>
        </w:tc>
        <w:tc>
          <w:tcPr>
            <w:tcW w:w="1435" w:type="dxa"/>
          </w:tcPr>
          <w:p w14:paraId="196389AF" w14:textId="32DD159B" w:rsidR="00406829" w:rsidRPr="00423376" w:rsidRDefault="00406829" w:rsidP="00406829">
            <w:pPr>
              <w:autoSpaceDE w:val="0"/>
              <w:autoSpaceDN w:val="0"/>
              <w:adjustRightInd w:val="0"/>
              <w:jc w:val="center"/>
            </w:pPr>
            <w:r w:rsidRPr="00534124">
              <w:t xml:space="preserve"> 1,021,611 </w:t>
            </w:r>
          </w:p>
        </w:tc>
      </w:tr>
      <w:tr w:rsidR="00406829" w:rsidRPr="00423376" w14:paraId="495EAEEC" w14:textId="77777777" w:rsidTr="00D52564">
        <w:trPr>
          <w:jc w:val="center"/>
        </w:trPr>
        <w:tc>
          <w:tcPr>
            <w:tcW w:w="1070" w:type="dxa"/>
            <w:vAlign w:val="center"/>
          </w:tcPr>
          <w:p w14:paraId="64640F19" w14:textId="77777777" w:rsidR="00406829" w:rsidRPr="00423376" w:rsidRDefault="00406829" w:rsidP="00406829">
            <w:pPr>
              <w:autoSpaceDE w:val="0"/>
              <w:autoSpaceDN w:val="0"/>
              <w:adjustRightInd w:val="0"/>
              <w:jc w:val="center"/>
            </w:pPr>
            <w:r w:rsidRPr="00423376">
              <w:t>N36C</w:t>
            </w:r>
          </w:p>
        </w:tc>
        <w:tc>
          <w:tcPr>
            <w:tcW w:w="1435" w:type="dxa"/>
          </w:tcPr>
          <w:p w14:paraId="6DA40B9E" w14:textId="225985B7" w:rsidR="00406829" w:rsidRPr="00423376" w:rsidRDefault="00406829" w:rsidP="00406829">
            <w:pPr>
              <w:autoSpaceDE w:val="0"/>
              <w:autoSpaceDN w:val="0"/>
              <w:adjustRightInd w:val="0"/>
              <w:jc w:val="center"/>
            </w:pPr>
            <w:r w:rsidRPr="00534124">
              <w:t xml:space="preserve"> 1,077,961 </w:t>
            </w:r>
          </w:p>
        </w:tc>
      </w:tr>
      <w:tr w:rsidR="00406829" w:rsidRPr="00423376" w14:paraId="799774AC" w14:textId="77777777" w:rsidTr="00D52564">
        <w:trPr>
          <w:jc w:val="center"/>
        </w:trPr>
        <w:tc>
          <w:tcPr>
            <w:tcW w:w="1070" w:type="dxa"/>
            <w:vAlign w:val="center"/>
          </w:tcPr>
          <w:p w14:paraId="50697DC2" w14:textId="77777777" w:rsidR="00406829" w:rsidRPr="00423376" w:rsidRDefault="00406829" w:rsidP="00406829">
            <w:pPr>
              <w:autoSpaceDE w:val="0"/>
              <w:autoSpaceDN w:val="0"/>
              <w:adjustRightInd w:val="0"/>
              <w:jc w:val="center"/>
            </w:pPr>
            <w:r w:rsidRPr="00423376">
              <w:t>N36D</w:t>
            </w:r>
          </w:p>
        </w:tc>
        <w:tc>
          <w:tcPr>
            <w:tcW w:w="1435" w:type="dxa"/>
          </w:tcPr>
          <w:p w14:paraId="7A0A5623" w14:textId="3B45F13B" w:rsidR="00406829" w:rsidRPr="00423376" w:rsidRDefault="00406829" w:rsidP="00406829">
            <w:pPr>
              <w:autoSpaceDE w:val="0"/>
              <w:autoSpaceDN w:val="0"/>
              <w:adjustRightInd w:val="0"/>
              <w:jc w:val="center"/>
            </w:pPr>
            <w:r w:rsidRPr="00534124">
              <w:t xml:space="preserve"> 1,152,333 </w:t>
            </w:r>
          </w:p>
        </w:tc>
      </w:tr>
      <w:tr w:rsidR="00406829" w:rsidRPr="00423376" w14:paraId="0CEA17A7" w14:textId="77777777" w:rsidTr="00D52564">
        <w:trPr>
          <w:jc w:val="center"/>
        </w:trPr>
        <w:tc>
          <w:tcPr>
            <w:tcW w:w="1070" w:type="dxa"/>
            <w:vAlign w:val="center"/>
          </w:tcPr>
          <w:p w14:paraId="4263E358" w14:textId="77777777" w:rsidR="00406829" w:rsidRPr="00423376" w:rsidRDefault="00406829" w:rsidP="00406829">
            <w:pPr>
              <w:autoSpaceDE w:val="0"/>
              <w:autoSpaceDN w:val="0"/>
              <w:adjustRightInd w:val="0"/>
              <w:jc w:val="center"/>
            </w:pPr>
            <w:r w:rsidRPr="00423376">
              <w:t>N36E</w:t>
            </w:r>
          </w:p>
        </w:tc>
        <w:tc>
          <w:tcPr>
            <w:tcW w:w="1435" w:type="dxa"/>
          </w:tcPr>
          <w:p w14:paraId="0D15805D" w14:textId="2760663B" w:rsidR="00406829" w:rsidRPr="00423376" w:rsidRDefault="00406829" w:rsidP="00406829">
            <w:pPr>
              <w:autoSpaceDE w:val="0"/>
              <w:autoSpaceDN w:val="0"/>
              <w:adjustRightInd w:val="0"/>
              <w:jc w:val="center"/>
            </w:pPr>
            <w:r w:rsidRPr="00534124">
              <w:t xml:space="preserve"> 1,049,090 </w:t>
            </w:r>
          </w:p>
        </w:tc>
      </w:tr>
      <w:tr w:rsidR="00406829" w:rsidRPr="00423376" w14:paraId="3750B47B" w14:textId="77777777" w:rsidTr="00D52564">
        <w:trPr>
          <w:jc w:val="center"/>
        </w:trPr>
        <w:tc>
          <w:tcPr>
            <w:tcW w:w="1070" w:type="dxa"/>
            <w:vAlign w:val="center"/>
          </w:tcPr>
          <w:p w14:paraId="0B9A0710" w14:textId="77777777" w:rsidR="00406829" w:rsidRPr="00423376" w:rsidRDefault="00406829" w:rsidP="00406829">
            <w:pPr>
              <w:autoSpaceDE w:val="0"/>
              <w:autoSpaceDN w:val="0"/>
              <w:adjustRightInd w:val="0"/>
              <w:jc w:val="center"/>
            </w:pPr>
            <w:r w:rsidRPr="00423376">
              <w:t>N36F</w:t>
            </w:r>
          </w:p>
        </w:tc>
        <w:tc>
          <w:tcPr>
            <w:tcW w:w="1435" w:type="dxa"/>
          </w:tcPr>
          <w:p w14:paraId="2F0D966E" w14:textId="58232A49" w:rsidR="00406829" w:rsidRPr="00423376" w:rsidRDefault="00406829" w:rsidP="00406829">
            <w:pPr>
              <w:autoSpaceDE w:val="0"/>
              <w:autoSpaceDN w:val="0"/>
              <w:adjustRightInd w:val="0"/>
              <w:jc w:val="center"/>
            </w:pPr>
            <w:r w:rsidRPr="00534124">
              <w:t xml:space="preserve"> 986,115 </w:t>
            </w:r>
          </w:p>
        </w:tc>
      </w:tr>
      <w:tr w:rsidR="00406829" w:rsidRPr="00423376" w14:paraId="5B9591D9" w14:textId="77777777" w:rsidTr="00D52564">
        <w:trPr>
          <w:jc w:val="center"/>
        </w:trPr>
        <w:tc>
          <w:tcPr>
            <w:tcW w:w="1070" w:type="dxa"/>
            <w:vAlign w:val="center"/>
          </w:tcPr>
          <w:p w14:paraId="2E28A734" w14:textId="77777777" w:rsidR="00406829" w:rsidRPr="00423376" w:rsidRDefault="00406829" w:rsidP="00406829">
            <w:pPr>
              <w:autoSpaceDE w:val="0"/>
              <w:autoSpaceDN w:val="0"/>
              <w:adjustRightInd w:val="0"/>
              <w:jc w:val="center"/>
            </w:pPr>
            <w:r w:rsidRPr="00423376">
              <w:t>N37C</w:t>
            </w:r>
          </w:p>
        </w:tc>
        <w:tc>
          <w:tcPr>
            <w:tcW w:w="1435" w:type="dxa"/>
          </w:tcPr>
          <w:p w14:paraId="68A34B88" w14:textId="7AC9120C" w:rsidR="00406829" w:rsidRPr="00423376" w:rsidRDefault="00406829" w:rsidP="00406829">
            <w:pPr>
              <w:autoSpaceDE w:val="0"/>
              <w:autoSpaceDN w:val="0"/>
              <w:adjustRightInd w:val="0"/>
              <w:jc w:val="center"/>
            </w:pPr>
            <w:r w:rsidRPr="00534124">
              <w:t xml:space="preserve"> 1,002,068 </w:t>
            </w:r>
          </w:p>
        </w:tc>
      </w:tr>
      <w:tr w:rsidR="00406829" w:rsidRPr="00423376" w14:paraId="2C6D86B4" w14:textId="77777777" w:rsidTr="00D52564">
        <w:trPr>
          <w:jc w:val="center"/>
        </w:trPr>
        <w:tc>
          <w:tcPr>
            <w:tcW w:w="1070" w:type="dxa"/>
            <w:vAlign w:val="center"/>
          </w:tcPr>
          <w:p w14:paraId="14090BD3" w14:textId="77777777" w:rsidR="00406829" w:rsidRPr="00423376" w:rsidRDefault="00406829" w:rsidP="00406829">
            <w:pPr>
              <w:autoSpaceDE w:val="0"/>
              <w:autoSpaceDN w:val="0"/>
              <w:adjustRightInd w:val="0"/>
              <w:jc w:val="center"/>
            </w:pPr>
            <w:r w:rsidRPr="00423376">
              <w:t>N37D</w:t>
            </w:r>
          </w:p>
        </w:tc>
        <w:tc>
          <w:tcPr>
            <w:tcW w:w="1435" w:type="dxa"/>
          </w:tcPr>
          <w:p w14:paraId="3A1756E6" w14:textId="68CB914E" w:rsidR="00406829" w:rsidRPr="00423376" w:rsidRDefault="00406829" w:rsidP="00406829">
            <w:pPr>
              <w:autoSpaceDE w:val="0"/>
              <w:autoSpaceDN w:val="0"/>
              <w:adjustRightInd w:val="0"/>
              <w:jc w:val="center"/>
            </w:pPr>
            <w:r w:rsidRPr="00534124">
              <w:t xml:space="preserve"> 1,157,084 </w:t>
            </w:r>
          </w:p>
        </w:tc>
      </w:tr>
      <w:tr w:rsidR="00406829" w:rsidRPr="00423376" w14:paraId="3A02990E" w14:textId="77777777" w:rsidTr="00D52564">
        <w:trPr>
          <w:jc w:val="center"/>
        </w:trPr>
        <w:tc>
          <w:tcPr>
            <w:tcW w:w="1070" w:type="dxa"/>
            <w:vAlign w:val="center"/>
          </w:tcPr>
          <w:p w14:paraId="00D5765F" w14:textId="77777777" w:rsidR="00406829" w:rsidRPr="00423376" w:rsidRDefault="00406829" w:rsidP="00406829">
            <w:pPr>
              <w:autoSpaceDE w:val="0"/>
              <w:autoSpaceDN w:val="0"/>
              <w:adjustRightInd w:val="0"/>
              <w:jc w:val="center"/>
            </w:pPr>
            <w:r w:rsidRPr="00423376">
              <w:t>N37E</w:t>
            </w:r>
          </w:p>
        </w:tc>
        <w:tc>
          <w:tcPr>
            <w:tcW w:w="1435" w:type="dxa"/>
          </w:tcPr>
          <w:p w14:paraId="182AB8DC" w14:textId="58A92787" w:rsidR="00406829" w:rsidRPr="00423376" w:rsidRDefault="00406829" w:rsidP="00406829">
            <w:pPr>
              <w:autoSpaceDE w:val="0"/>
              <w:autoSpaceDN w:val="0"/>
              <w:adjustRightInd w:val="0"/>
              <w:jc w:val="center"/>
            </w:pPr>
            <w:r w:rsidRPr="00534124">
              <w:t xml:space="preserve"> 1,046,294 </w:t>
            </w:r>
          </w:p>
        </w:tc>
      </w:tr>
      <w:tr w:rsidR="00406829" w:rsidRPr="00423376" w14:paraId="5C53F558" w14:textId="77777777" w:rsidTr="00D52564">
        <w:trPr>
          <w:jc w:val="center"/>
        </w:trPr>
        <w:tc>
          <w:tcPr>
            <w:tcW w:w="1070" w:type="dxa"/>
            <w:vAlign w:val="center"/>
          </w:tcPr>
          <w:p w14:paraId="10B677DB" w14:textId="77777777" w:rsidR="00406829" w:rsidRPr="00423376" w:rsidRDefault="00406829" w:rsidP="00406829">
            <w:pPr>
              <w:autoSpaceDE w:val="0"/>
              <w:autoSpaceDN w:val="0"/>
              <w:adjustRightInd w:val="0"/>
              <w:jc w:val="center"/>
            </w:pPr>
            <w:r w:rsidRPr="00423376">
              <w:t>N37F</w:t>
            </w:r>
          </w:p>
        </w:tc>
        <w:tc>
          <w:tcPr>
            <w:tcW w:w="1435" w:type="dxa"/>
          </w:tcPr>
          <w:p w14:paraId="4320CC8C" w14:textId="7746ECF3" w:rsidR="00406829" w:rsidRPr="00423376" w:rsidRDefault="00406829" w:rsidP="00406829">
            <w:pPr>
              <w:autoSpaceDE w:val="0"/>
              <w:autoSpaceDN w:val="0"/>
              <w:adjustRightInd w:val="0"/>
              <w:jc w:val="center"/>
            </w:pPr>
            <w:r w:rsidRPr="00534124">
              <w:t xml:space="preserve"> 1,005,664 </w:t>
            </w:r>
          </w:p>
        </w:tc>
      </w:tr>
      <w:tr w:rsidR="00406829" w:rsidRPr="00423376" w14:paraId="4BE133AB" w14:textId="77777777" w:rsidTr="00D52564">
        <w:trPr>
          <w:jc w:val="center"/>
        </w:trPr>
        <w:tc>
          <w:tcPr>
            <w:tcW w:w="1070" w:type="dxa"/>
            <w:vAlign w:val="center"/>
          </w:tcPr>
          <w:p w14:paraId="1BF80CAF" w14:textId="77777777" w:rsidR="00406829" w:rsidRPr="00423376" w:rsidRDefault="00406829" w:rsidP="00406829">
            <w:pPr>
              <w:autoSpaceDE w:val="0"/>
              <w:autoSpaceDN w:val="0"/>
              <w:adjustRightInd w:val="0"/>
              <w:jc w:val="center"/>
            </w:pPr>
            <w:r w:rsidRPr="00423376">
              <w:t>N37G</w:t>
            </w:r>
          </w:p>
        </w:tc>
        <w:tc>
          <w:tcPr>
            <w:tcW w:w="1435" w:type="dxa"/>
          </w:tcPr>
          <w:p w14:paraId="160B55A4" w14:textId="69A00415" w:rsidR="00406829" w:rsidRPr="00423376" w:rsidRDefault="00406829" w:rsidP="00406829">
            <w:pPr>
              <w:autoSpaceDE w:val="0"/>
              <w:autoSpaceDN w:val="0"/>
              <w:adjustRightInd w:val="0"/>
              <w:jc w:val="center"/>
            </w:pPr>
            <w:r w:rsidRPr="00534124">
              <w:t xml:space="preserve"> 1,061,689 </w:t>
            </w:r>
          </w:p>
        </w:tc>
      </w:tr>
      <w:tr w:rsidR="00406829" w:rsidRPr="00423376" w14:paraId="639C834D" w14:textId="77777777" w:rsidTr="00D52564">
        <w:trPr>
          <w:jc w:val="center"/>
        </w:trPr>
        <w:tc>
          <w:tcPr>
            <w:tcW w:w="1070" w:type="dxa"/>
            <w:vAlign w:val="center"/>
          </w:tcPr>
          <w:p w14:paraId="1987FEB7" w14:textId="77777777" w:rsidR="00406829" w:rsidRPr="00423376" w:rsidRDefault="00406829" w:rsidP="00406829">
            <w:pPr>
              <w:autoSpaceDE w:val="0"/>
              <w:autoSpaceDN w:val="0"/>
              <w:adjustRightInd w:val="0"/>
              <w:jc w:val="center"/>
            </w:pPr>
            <w:r w:rsidRPr="00423376">
              <w:t>N37H</w:t>
            </w:r>
          </w:p>
        </w:tc>
        <w:tc>
          <w:tcPr>
            <w:tcW w:w="1435" w:type="dxa"/>
          </w:tcPr>
          <w:p w14:paraId="114372EC" w14:textId="60B26DFC" w:rsidR="00406829" w:rsidRPr="00423376" w:rsidRDefault="00406829" w:rsidP="00406829">
            <w:pPr>
              <w:autoSpaceDE w:val="0"/>
              <w:autoSpaceDN w:val="0"/>
              <w:adjustRightInd w:val="0"/>
              <w:jc w:val="center"/>
            </w:pPr>
            <w:r w:rsidRPr="00534124">
              <w:t xml:space="preserve"> 1,133,707 </w:t>
            </w:r>
          </w:p>
        </w:tc>
      </w:tr>
      <w:tr w:rsidR="00406829" w:rsidRPr="00423376" w14:paraId="0231A98F" w14:textId="77777777" w:rsidTr="00D52564">
        <w:trPr>
          <w:jc w:val="center"/>
        </w:trPr>
        <w:tc>
          <w:tcPr>
            <w:tcW w:w="1070" w:type="dxa"/>
            <w:vAlign w:val="center"/>
          </w:tcPr>
          <w:p w14:paraId="06660A53" w14:textId="77777777" w:rsidR="00406829" w:rsidRPr="00423376" w:rsidRDefault="00406829" w:rsidP="00406829">
            <w:pPr>
              <w:autoSpaceDE w:val="0"/>
              <w:autoSpaceDN w:val="0"/>
              <w:adjustRightInd w:val="0"/>
              <w:jc w:val="center"/>
            </w:pPr>
            <w:r w:rsidRPr="00423376">
              <w:t>N37I</w:t>
            </w:r>
          </w:p>
        </w:tc>
        <w:tc>
          <w:tcPr>
            <w:tcW w:w="1435" w:type="dxa"/>
          </w:tcPr>
          <w:p w14:paraId="13A6D478" w14:textId="7A76F8F6" w:rsidR="00406829" w:rsidRPr="00423376" w:rsidRDefault="00406829" w:rsidP="00406829">
            <w:pPr>
              <w:autoSpaceDE w:val="0"/>
              <w:autoSpaceDN w:val="0"/>
              <w:adjustRightInd w:val="0"/>
              <w:jc w:val="center"/>
            </w:pPr>
            <w:r w:rsidRPr="00534124">
              <w:t xml:space="preserve"> 1,078,126 </w:t>
            </w:r>
          </w:p>
        </w:tc>
      </w:tr>
      <w:tr w:rsidR="00406829" w:rsidRPr="00423376" w14:paraId="02061835" w14:textId="77777777" w:rsidTr="00D52564">
        <w:trPr>
          <w:jc w:val="center"/>
        </w:trPr>
        <w:tc>
          <w:tcPr>
            <w:tcW w:w="1070" w:type="dxa"/>
            <w:vAlign w:val="center"/>
          </w:tcPr>
          <w:p w14:paraId="46427BA3" w14:textId="77777777" w:rsidR="00406829" w:rsidRPr="00423376" w:rsidRDefault="00406829" w:rsidP="00406829">
            <w:pPr>
              <w:autoSpaceDE w:val="0"/>
              <w:autoSpaceDN w:val="0"/>
              <w:adjustRightInd w:val="0"/>
              <w:jc w:val="center"/>
            </w:pPr>
            <w:r w:rsidRPr="00423376">
              <w:t>N37J</w:t>
            </w:r>
          </w:p>
        </w:tc>
        <w:tc>
          <w:tcPr>
            <w:tcW w:w="1435" w:type="dxa"/>
          </w:tcPr>
          <w:p w14:paraId="7F8DE7E4" w14:textId="6475577A" w:rsidR="00406829" w:rsidRPr="00423376" w:rsidRDefault="00406829" w:rsidP="00406829">
            <w:pPr>
              <w:autoSpaceDE w:val="0"/>
              <w:autoSpaceDN w:val="0"/>
              <w:adjustRightInd w:val="0"/>
              <w:jc w:val="center"/>
            </w:pPr>
            <w:r w:rsidRPr="00534124">
              <w:t xml:space="preserve"> 1,173,124 </w:t>
            </w:r>
          </w:p>
        </w:tc>
      </w:tr>
      <w:tr w:rsidR="00406829" w:rsidRPr="00423376" w14:paraId="09BF16A5" w14:textId="77777777" w:rsidTr="00D52564">
        <w:trPr>
          <w:jc w:val="center"/>
        </w:trPr>
        <w:tc>
          <w:tcPr>
            <w:tcW w:w="1070" w:type="dxa"/>
            <w:vAlign w:val="center"/>
          </w:tcPr>
          <w:p w14:paraId="3EDB5ED4" w14:textId="77777777" w:rsidR="00406829" w:rsidRPr="00423376" w:rsidRDefault="00406829" w:rsidP="00406829">
            <w:pPr>
              <w:autoSpaceDE w:val="0"/>
              <w:autoSpaceDN w:val="0"/>
              <w:adjustRightInd w:val="0"/>
              <w:jc w:val="center"/>
            </w:pPr>
            <w:r w:rsidRPr="00423376">
              <w:t>N48C</w:t>
            </w:r>
          </w:p>
        </w:tc>
        <w:tc>
          <w:tcPr>
            <w:tcW w:w="1435" w:type="dxa"/>
          </w:tcPr>
          <w:p w14:paraId="00D1BFFE" w14:textId="037F0962" w:rsidR="00406829" w:rsidRPr="00423376" w:rsidRDefault="00406829" w:rsidP="00406829">
            <w:pPr>
              <w:autoSpaceDE w:val="0"/>
              <w:autoSpaceDN w:val="0"/>
              <w:adjustRightInd w:val="0"/>
              <w:jc w:val="center"/>
            </w:pPr>
            <w:r w:rsidRPr="00534124">
              <w:t xml:space="preserve"> 1,327,795 </w:t>
            </w:r>
          </w:p>
        </w:tc>
      </w:tr>
      <w:tr w:rsidR="00406829" w:rsidRPr="00423376" w14:paraId="0A10DDE9" w14:textId="77777777" w:rsidTr="00D52564">
        <w:trPr>
          <w:jc w:val="center"/>
        </w:trPr>
        <w:tc>
          <w:tcPr>
            <w:tcW w:w="1070" w:type="dxa"/>
            <w:vAlign w:val="center"/>
          </w:tcPr>
          <w:p w14:paraId="02D4613B" w14:textId="77777777" w:rsidR="00406829" w:rsidRPr="00423376" w:rsidRDefault="00406829" w:rsidP="00406829">
            <w:pPr>
              <w:autoSpaceDE w:val="0"/>
              <w:autoSpaceDN w:val="0"/>
              <w:adjustRightInd w:val="0"/>
              <w:jc w:val="center"/>
            </w:pPr>
            <w:r w:rsidRPr="00423376">
              <w:t>N48D</w:t>
            </w:r>
          </w:p>
        </w:tc>
        <w:tc>
          <w:tcPr>
            <w:tcW w:w="1435" w:type="dxa"/>
          </w:tcPr>
          <w:p w14:paraId="28A2D6A2" w14:textId="43F83A5C" w:rsidR="00406829" w:rsidRPr="00423376" w:rsidRDefault="00406829" w:rsidP="00406829">
            <w:pPr>
              <w:autoSpaceDE w:val="0"/>
              <w:autoSpaceDN w:val="0"/>
              <w:adjustRightInd w:val="0"/>
              <w:jc w:val="center"/>
            </w:pPr>
            <w:r w:rsidRPr="00534124">
              <w:t xml:space="preserve"> 1,531,949 </w:t>
            </w:r>
          </w:p>
        </w:tc>
      </w:tr>
      <w:tr w:rsidR="00406829" w:rsidRPr="00423376" w14:paraId="6A2E8F52" w14:textId="77777777" w:rsidTr="00D52564">
        <w:trPr>
          <w:jc w:val="center"/>
        </w:trPr>
        <w:tc>
          <w:tcPr>
            <w:tcW w:w="1070" w:type="dxa"/>
            <w:vAlign w:val="center"/>
          </w:tcPr>
          <w:p w14:paraId="441DE655" w14:textId="77777777" w:rsidR="00406829" w:rsidRPr="00423376" w:rsidRDefault="00406829" w:rsidP="00406829">
            <w:pPr>
              <w:autoSpaceDE w:val="0"/>
              <w:autoSpaceDN w:val="0"/>
              <w:adjustRightInd w:val="0"/>
              <w:jc w:val="center"/>
            </w:pPr>
            <w:r w:rsidRPr="00423376">
              <w:t>N48E</w:t>
            </w:r>
          </w:p>
        </w:tc>
        <w:tc>
          <w:tcPr>
            <w:tcW w:w="1435" w:type="dxa"/>
          </w:tcPr>
          <w:p w14:paraId="4A1A334B" w14:textId="4FA7B1C2" w:rsidR="00406829" w:rsidRPr="00423376" w:rsidRDefault="00406829" w:rsidP="00406829">
            <w:pPr>
              <w:autoSpaceDE w:val="0"/>
              <w:autoSpaceDN w:val="0"/>
              <w:adjustRightInd w:val="0"/>
              <w:jc w:val="center"/>
            </w:pPr>
            <w:r w:rsidRPr="00534124">
              <w:t xml:space="preserve"> 1,579,842 </w:t>
            </w:r>
          </w:p>
        </w:tc>
      </w:tr>
      <w:tr w:rsidR="00406829" w:rsidRPr="00423376" w14:paraId="1EFFCA16" w14:textId="77777777" w:rsidTr="00D52564">
        <w:trPr>
          <w:jc w:val="center"/>
        </w:trPr>
        <w:tc>
          <w:tcPr>
            <w:tcW w:w="1070" w:type="dxa"/>
            <w:vAlign w:val="center"/>
          </w:tcPr>
          <w:p w14:paraId="173D3D25" w14:textId="77777777" w:rsidR="00406829" w:rsidRPr="00423376" w:rsidRDefault="00406829" w:rsidP="00406829">
            <w:pPr>
              <w:autoSpaceDE w:val="0"/>
              <w:autoSpaceDN w:val="0"/>
              <w:adjustRightInd w:val="0"/>
              <w:jc w:val="center"/>
            </w:pPr>
            <w:r w:rsidRPr="00423376">
              <w:t>N48F</w:t>
            </w:r>
          </w:p>
        </w:tc>
        <w:tc>
          <w:tcPr>
            <w:tcW w:w="1435" w:type="dxa"/>
          </w:tcPr>
          <w:p w14:paraId="235F6DB0" w14:textId="1D645F8D" w:rsidR="00406829" w:rsidRPr="00423376" w:rsidRDefault="00406829" w:rsidP="00406829">
            <w:pPr>
              <w:autoSpaceDE w:val="0"/>
              <w:autoSpaceDN w:val="0"/>
              <w:adjustRightInd w:val="0"/>
              <w:jc w:val="center"/>
            </w:pPr>
            <w:r w:rsidRPr="00534124">
              <w:t xml:space="preserve"> 1,319,075 </w:t>
            </w:r>
          </w:p>
        </w:tc>
      </w:tr>
      <w:tr w:rsidR="00406829" w:rsidRPr="00423376" w14:paraId="5D4879F7" w14:textId="77777777" w:rsidTr="00D52564">
        <w:trPr>
          <w:jc w:val="center"/>
        </w:trPr>
        <w:tc>
          <w:tcPr>
            <w:tcW w:w="1070" w:type="dxa"/>
            <w:vAlign w:val="center"/>
          </w:tcPr>
          <w:p w14:paraId="55F87CF7" w14:textId="77777777" w:rsidR="00406829" w:rsidRPr="00423376" w:rsidRDefault="00406829" w:rsidP="00406829">
            <w:pPr>
              <w:autoSpaceDE w:val="0"/>
              <w:autoSpaceDN w:val="0"/>
              <w:adjustRightInd w:val="0"/>
              <w:jc w:val="center"/>
            </w:pPr>
            <w:r w:rsidRPr="00423376">
              <w:t>N49H</w:t>
            </w:r>
          </w:p>
        </w:tc>
        <w:tc>
          <w:tcPr>
            <w:tcW w:w="1435" w:type="dxa"/>
          </w:tcPr>
          <w:p w14:paraId="38DEFACE" w14:textId="0E9594C4" w:rsidR="00406829" w:rsidRPr="00423376" w:rsidRDefault="00406829" w:rsidP="00406829">
            <w:pPr>
              <w:autoSpaceDE w:val="0"/>
              <w:autoSpaceDN w:val="0"/>
              <w:adjustRightInd w:val="0"/>
              <w:jc w:val="center"/>
            </w:pPr>
            <w:r w:rsidRPr="00534124">
              <w:t xml:space="preserve"> 2,142,420 </w:t>
            </w:r>
          </w:p>
        </w:tc>
      </w:tr>
      <w:tr w:rsidR="00406829" w:rsidRPr="00423376" w14:paraId="5E0C3BC3" w14:textId="77777777" w:rsidTr="00D52564">
        <w:trPr>
          <w:jc w:val="center"/>
        </w:trPr>
        <w:tc>
          <w:tcPr>
            <w:tcW w:w="1070" w:type="dxa"/>
            <w:vAlign w:val="center"/>
          </w:tcPr>
          <w:p w14:paraId="407BDD5C" w14:textId="77777777" w:rsidR="00406829" w:rsidRPr="00423376" w:rsidRDefault="00406829" w:rsidP="00406829">
            <w:pPr>
              <w:autoSpaceDE w:val="0"/>
              <w:autoSpaceDN w:val="0"/>
              <w:adjustRightInd w:val="0"/>
              <w:jc w:val="center"/>
            </w:pPr>
            <w:r w:rsidRPr="00423376">
              <w:t>N49I</w:t>
            </w:r>
          </w:p>
        </w:tc>
        <w:tc>
          <w:tcPr>
            <w:tcW w:w="1435" w:type="dxa"/>
          </w:tcPr>
          <w:p w14:paraId="6AE7EA16" w14:textId="07ADCD6B" w:rsidR="00406829" w:rsidRPr="00423376" w:rsidRDefault="00406829" w:rsidP="00406829">
            <w:pPr>
              <w:autoSpaceDE w:val="0"/>
              <w:autoSpaceDN w:val="0"/>
              <w:adjustRightInd w:val="0"/>
              <w:jc w:val="center"/>
            </w:pPr>
            <w:r w:rsidRPr="00534124">
              <w:t xml:space="preserve"> 2,124,034 </w:t>
            </w:r>
          </w:p>
        </w:tc>
      </w:tr>
      <w:tr w:rsidR="00406829" w:rsidRPr="00423376" w14:paraId="57A92A96" w14:textId="77777777" w:rsidTr="00D52564">
        <w:trPr>
          <w:jc w:val="center"/>
        </w:trPr>
        <w:tc>
          <w:tcPr>
            <w:tcW w:w="1070" w:type="dxa"/>
            <w:vAlign w:val="center"/>
          </w:tcPr>
          <w:p w14:paraId="165D85BA" w14:textId="77777777" w:rsidR="00406829" w:rsidRPr="00423376" w:rsidRDefault="00406829" w:rsidP="00406829">
            <w:pPr>
              <w:autoSpaceDE w:val="0"/>
              <w:autoSpaceDN w:val="0"/>
              <w:adjustRightInd w:val="0"/>
              <w:jc w:val="center"/>
            </w:pPr>
            <w:r w:rsidRPr="00423376">
              <w:t>N49J</w:t>
            </w:r>
          </w:p>
        </w:tc>
        <w:tc>
          <w:tcPr>
            <w:tcW w:w="1435" w:type="dxa"/>
          </w:tcPr>
          <w:p w14:paraId="1CDFFAE7" w14:textId="04275EA9" w:rsidR="00406829" w:rsidRPr="00423376" w:rsidRDefault="00406829" w:rsidP="00406829">
            <w:pPr>
              <w:autoSpaceDE w:val="0"/>
              <w:autoSpaceDN w:val="0"/>
              <w:adjustRightInd w:val="0"/>
              <w:jc w:val="center"/>
            </w:pPr>
            <w:r w:rsidRPr="00534124">
              <w:t xml:space="preserve"> 1,901,773 </w:t>
            </w:r>
          </w:p>
        </w:tc>
      </w:tr>
      <w:tr w:rsidR="00406829" w:rsidRPr="00423376" w14:paraId="54FEE80A" w14:textId="77777777" w:rsidTr="00D52564">
        <w:trPr>
          <w:jc w:val="center"/>
        </w:trPr>
        <w:tc>
          <w:tcPr>
            <w:tcW w:w="1070" w:type="dxa"/>
            <w:vAlign w:val="center"/>
          </w:tcPr>
          <w:p w14:paraId="0FD39EF4" w14:textId="77777777" w:rsidR="00406829" w:rsidRPr="00423376" w:rsidRDefault="00406829" w:rsidP="00406829">
            <w:pPr>
              <w:autoSpaceDE w:val="0"/>
              <w:autoSpaceDN w:val="0"/>
              <w:adjustRightInd w:val="0"/>
              <w:jc w:val="center"/>
            </w:pPr>
            <w:r w:rsidRPr="00423376">
              <w:t>N49K</w:t>
            </w:r>
          </w:p>
        </w:tc>
        <w:tc>
          <w:tcPr>
            <w:tcW w:w="1435" w:type="dxa"/>
          </w:tcPr>
          <w:p w14:paraId="44859DAE" w14:textId="1475DE90" w:rsidR="00406829" w:rsidRPr="00423376" w:rsidRDefault="00406829" w:rsidP="00406829">
            <w:pPr>
              <w:autoSpaceDE w:val="0"/>
              <w:autoSpaceDN w:val="0"/>
              <w:adjustRightInd w:val="0"/>
              <w:jc w:val="center"/>
            </w:pPr>
            <w:r w:rsidRPr="00534124">
              <w:t xml:space="preserve"> 1,794,963 </w:t>
            </w:r>
          </w:p>
        </w:tc>
      </w:tr>
      <w:tr w:rsidR="00406829" w:rsidRPr="00423376" w14:paraId="2F5A9BF0" w14:textId="77777777" w:rsidTr="00D52564">
        <w:trPr>
          <w:jc w:val="center"/>
        </w:trPr>
        <w:tc>
          <w:tcPr>
            <w:tcW w:w="1070" w:type="dxa"/>
            <w:vAlign w:val="center"/>
          </w:tcPr>
          <w:p w14:paraId="52189A94" w14:textId="77777777" w:rsidR="00406829" w:rsidRPr="00423376" w:rsidRDefault="00406829" w:rsidP="00406829">
            <w:pPr>
              <w:autoSpaceDE w:val="0"/>
              <w:autoSpaceDN w:val="0"/>
              <w:adjustRightInd w:val="0"/>
              <w:jc w:val="center"/>
            </w:pPr>
            <w:r w:rsidRPr="00423376">
              <w:t>R11D</w:t>
            </w:r>
          </w:p>
        </w:tc>
        <w:tc>
          <w:tcPr>
            <w:tcW w:w="1435" w:type="dxa"/>
          </w:tcPr>
          <w:p w14:paraId="14EEFC88" w14:textId="46439CEA" w:rsidR="00406829" w:rsidRPr="00423376" w:rsidRDefault="00406829" w:rsidP="00406829">
            <w:pPr>
              <w:autoSpaceDE w:val="0"/>
              <w:autoSpaceDN w:val="0"/>
              <w:adjustRightInd w:val="0"/>
              <w:jc w:val="center"/>
            </w:pPr>
            <w:r w:rsidRPr="00534124">
              <w:t xml:space="preserve"> 268,501 </w:t>
            </w:r>
          </w:p>
        </w:tc>
      </w:tr>
      <w:tr w:rsidR="00406829" w:rsidRPr="00423376" w14:paraId="693C42A1" w14:textId="77777777" w:rsidTr="00D52564">
        <w:trPr>
          <w:jc w:val="center"/>
        </w:trPr>
        <w:tc>
          <w:tcPr>
            <w:tcW w:w="1070" w:type="dxa"/>
            <w:vAlign w:val="center"/>
          </w:tcPr>
          <w:p w14:paraId="421D184F" w14:textId="77777777" w:rsidR="00406829" w:rsidRPr="00423376" w:rsidRDefault="00406829" w:rsidP="00406829">
            <w:pPr>
              <w:autoSpaceDE w:val="0"/>
              <w:autoSpaceDN w:val="0"/>
              <w:adjustRightInd w:val="0"/>
              <w:jc w:val="center"/>
            </w:pPr>
            <w:r w:rsidRPr="00423376">
              <w:t>R12G</w:t>
            </w:r>
          </w:p>
        </w:tc>
        <w:tc>
          <w:tcPr>
            <w:tcW w:w="1435" w:type="dxa"/>
          </w:tcPr>
          <w:p w14:paraId="713A6B88" w14:textId="12170E8F" w:rsidR="00406829" w:rsidRPr="00423376" w:rsidRDefault="00406829" w:rsidP="00406829">
            <w:pPr>
              <w:autoSpaceDE w:val="0"/>
              <w:autoSpaceDN w:val="0"/>
              <w:adjustRightInd w:val="0"/>
              <w:jc w:val="center"/>
            </w:pPr>
            <w:r w:rsidRPr="00534124">
              <w:t xml:space="preserve"> 339,715 </w:t>
            </w:r>
          </w:p>
        </w:tc>
      </w:tr>
      <w:tr w:rsidR="00497070" w:rsidRPr="00423376" w14:paraId="3D01A7E7" w14:textId="77777777" w:rsidTr="00D52564">
        <w:trPr>
          <w:jc w:val="center"/>
        </w:trPr>
        <w:tc>
          <w:tcPr>
            <w:tcW w:w="1070" w:type="dxa"/>
            <w:vAlign w:val="center"/>
          </w:tcPr>
          <w:p w14:paraId="47D50F00" w14:textId="77777777" w:rsidR="00497070" w:rsidRPr="00423376" w:rsidRDefault="00497070" w:rsidP="00497070">
            <w:pPr>
              <w:autoSpaceDE w:val="0"/>
              <w:autoSpaceDN w:val="0"/>
              <w:adjustRightInd w:val="0"/>
              <w:jc w:val="center"/>
            </w:pPr>
            <w:r w:rsidRPr="00423376">
              <w:t>R23K</w:t>
            </w:r>
          </w:p>
        </w:tc>
        <w:tc>
          <w:tcPr>
            <w:tcW w:w="1435" w:type="dxa"/>
          </w:tcPr>
          <w:p w14:paraId="53AD5E26" w14:textId="2569C2AA" w:rsidR="00497070" w:rsidRPr="00423376" w:rsidRDefault="00497070" w:rsidP="00497070">
            <w:pPr>
              <w:autoSpaceDE w:val="0"/>
              <w:autoSpaceDN w:val="0"/>
              <w:adjustRightInd w:val="0"/>
              <w:jc w:val="center"/>
            </w:pPr>
            <w:r w:rsidRPr="00A75EEC">
              <w:t xml:space="preserve"> 660,486 </w:t>
            </w:r>
          </w:p>
        </w:tc>
      </w:tr>
      <w:tr w:rsidR="00497070" w:rsidRPr="00423376" w14:paraId="543CE176" w14:textId="77777777" w:rsidTr="00D52564">
        <w:trPr>
          <w:jc w:val="center"/>
        </w:trPr>
        <w:tc>
          <w:tcPr>
            <w:tcW w:w="1070" w:type="dxa"/>
            <w:vAlign w:val="center"/>
          </w:tcPr>
          <w:p w14:paraId="0393296E" w14:textId="77777777" w:rsidR="00497070" w:rsidRPr="00423376" w:rsidRDefault="00497070" w:rsidP="00497070">
            <w:pPr>
              <w:autoSpaceDE w:val="0"/>
              <w:autoSpaceDN w:val="0"/>
              <w:adjustRightInd w:val="0"/>
              <w:jc w:val="center"/>
            </w:pPr>
            <w:r w:rsidRPr="00423376">
              <w:t>R23L</w:t>
            </w:r>
          </w:p>
        </w:tc>
        <w:tc>
          <w:tcPr>
            <w:tcW w:w="1435" w:type="dxa"/>
          </w:tcPr>
          <w:p w14:paraId="3FA912A4" w14:textId="56106D05" w:rsidR="00497070" w:rsidRPr="00423376" w:rsidRDefault="00497070" w:rsidP="00497070">
            <w:pPr>
              <w:autoSpaceDE w:val="0"/>
              <w:autoSpaceDN w:val="0"/>
              <w:adjustRightInd w:val="0"/>
              <w:jc w:val="center"/>
            </w:pPr>
            <w:r w:rsidRPr="00A75EEC">
              <w:t xml:space="preserve"> 555,911 </w:t>
            </w:r>
          </w:p>
        </w:tc>
      </w:tr>
      <w:tr w:rsidR="00497070" w:rsidRPr="00423376" w14:paraId="4782DD47" w14:textId="77777777" w:rsidTr="00D52564">
        <w:trPr>
          <w:jc w:val="center"/>
        </w:trPr>
        <w:tc>
          <w:tcPr>
            <w:tcW w:w="1070" w:type="dxa"/>
            <w:vAlign w:val="center"/>
          </w:tcPr>
          <w:p w14:paraId="3EA25B70" w14:textId="77777777" w:rsidR="00497070" w:rsidRPr="00423376" w:rsidRDefault="00497070" w:rsidP="00497070">
            <w:pPr>
              <w:autoSpaceDE w:val="0"/>
              <w:autoSpaceDN w:val="0"/>
              <w:adjustRightInd w:val="0"/>
              <w:jc w:val="center"/>
            </w:pPr>
            <w:r w:rsidRPr="00423376">
              <w:t>R24G</w:t>
            </w:r>
          </w:p>
        </w:tc>
        <w:tc>
          <w:tcPr>
            <w:tcW w:w="1435" w:type="dxa"/>
          </w:tcPr>
          <w:p w14:paraId="759A9CEB" w14:textId="791CF4DB" w:rsidR="00497070" w:rsidRPr="00423376" w:rsidRDefault="00497070" w:rsidP="00497070">
            <w:pPr>
              <w:autoSpaceDE w:val="0"/>
              <w:autoSpaceDN w:val="0"/>
              <w:adjustRightInd w:val="0"/>
              <w:jc w:val="center"/>
            </w:pPr>
            <w:r w:rsidRPr="00A75EEC">
              <w:t xml:space="preserve"> 756,077 </w:t>
            </w:r>
          </w:p>
        </w:tc>
      </w:tr>
      <w:tr w:rsidR="00497070" w:rsidRPr="00423376" w14:paraId="4CEB9E55" w14:textId="77777777" w:rsidTr="00D52564">
        <w:trPr>
          <w:jc w:val="center"/>
        </w:trPr>
        <w:tc>
          <w:tcPr>
            <w:tcW w:w="1070" w:type="dxa"/>
            <w:vAlign w:val="center"/>
          </w:tcPr>
          <w:p w14:paraId="026FDB04" w14:textId="77777777" w:rsidR="00497070" w:rsidRPr="00423376" w:rsidRDefault="00497070" w:rsidP="00497070">
            <w:pPr>
              <w:autoSpaceDE w:val="0"/>
              <w:autoSpaceDN w:val="0"/>
              <w:adjustRightInd w:val="0"/>
              <w:jc w:val="center"/>
            </w:pPr>
            <w:r w:rsidRPr="00423376">
              <w:t>R24H</w:t>
            </w:r>
          </w:p>
        </w:tc>
        <w:tc>
          <w:tcPr>
            <w:tcW w:w="1435" w:type="dxa"/>
          </w:tcPr>
          <w:p w14:paraId="1831E359" w14:textId="4C3305E5" w:rsidR="00497070" w:rsidRPr="00423376" w:rsidRDefault="00497070" w:rsidP="00497070">
            <w:pPr>
              <w:autoSpaceDE w:val="0"/>
              <w:autoSpaceDN w:val="0"/>
              <w:adjustRightInd w:val="0"/>
              <w:jc w:val="center"/>
            </w:pPr>
            <w:r w:rsidRPr="00A75EEC">
              <w:t xml:space="preserve"> 636,676 </w:t>
            </w:r>
          </w:p>
        </w:tc>
      </w:tr>
      <w:tr w:rsidR="00497070" w:rsidRPr="00423376" w14:paraId="03E9E3F8" w14:textId="77777777" w:rsidTr="00D52564">
        <w:trPr>
          <w:jc w:val="center"/>
        </w:trPr>
        <w:tc>
          <w:tcPr>
            <w:tcW w:w="1070" w:type="dxa"/>
            <w:vAlign w:val="center"/>
          </w:tcPr>
          <w:p w14:paraId="0625FAEC" w14:textId="77777777" w:rsidR="00497070" w:rsidRPr="00423376" w:rsidRDefault="00497070" w:rsidP="00497070">
            <w:pPr>
              <w:autoSpaceDE w:val="0"/>
              <w:autoSpaceDN w:val="0"/>
              <w:adjustRightInd w:val="0"/>
              <w:jc w:val="center"/>
            </w:pPr>
            <w:r w:rsidRPr="00423376">
              <w:t>R35R</w:t>
            </w:r>
          </w:p>
        </w:tc>
        <w:tc>
          <w:tcPr>
            <w:tcW w:w="1435" w:type="dxa"/>
          </w:tcPr>
          <w:p w14:paraId="7A17F39E" w14:textId="37DF1339" w:rsidR="00497070" w:rsidRPr="00423376" w:rsidRDefault="00497070" w:rsidP="00497070">
            <w:pPr>
              <w:autoSpaceDE w:val="0"/>
              <w:autoSpaceDN w:val="0"/>
              <w:adjustRightInd w:val="0"/>
              <w:jc w:val="center"/>
            </w:pPr>
            <w:r w:rsidRPr="00A75EEC">
              <w:t xml:space="preserve"> 634,709 </w:t>
            </w:r>
          </w:p>
        </w:tc>
      </w:tr>
      <w:tr w:rsidR="00497070" w:rsidRPr="00423376" w14:paraId="15DE2F7D" w14:textId="77777777" w:rsidTr="00D52564">
        <w:trPr>
          <w:jc w:val="center"/>
        </w:trPr>
        <w:tc>
          <w:tcPr>
            <w:tcW w:w="1070" w:type="dxa"/>
            <w:vAlign w:val="center"/>
          </w:tcPr>
          <w:p w14:paraId="3EDB6667" w14:textId="77777777" w:rsidR="00497070" w:rsidRPr="00423376" w:rsidRDefault="00497070" w:rsidP="00497070">
            <w:pPr>
              <w:autoSpaceDE w:val="0"/>
              <w:autoSpaceDN w:val="0"/>
              <w:adjustRightInd w:val="0"/>
              <w:jc w:val="center"/>
            </w:pPr>
            <w:r w:rsidRPr="00423376">
              <w:t>R35S</w:t>
            </w:r>
          </w:p>
        </w:tc>
        <w:tc>
          <w:tcPr>
            <w:tcW w:w="1435" w:type="dxa"/>
          </w:tcPr>
          <w:p w14:paraId="01F457EF" w14:textId="58A485C8" w:rsidR="00497070" w:rsidRPr="00423376" w:rsidRDefault="00497070" w:rsidP="00497070">
            <w:pPr>
              <w:autoSpaceDE w:val="0"/>
              <w:autoSpaceDN w:val="0"/>
              <w:adjustRightInd w:val="0"/>
              <w:jc w:val="center"/>
            </w:pPr>
            <w:r w:rsidRPr="00A75EEC">
              <w:t xml:space="preserve"> 762,506 </w:t>
            </w:r>
          </w:p>
        </w:tc>
      </w:tr>
      <w:tr w:rsidR="00497070" w:rsidRPr="00423376" w14:paraId="00452434" w14:textId="77777777" w:rsidTr="00D52564">
        <w:trPr>
          <w:jc w:val="center"/>
        </w:trPr>
        <w:tc>
          <w:tcPr>
            <w:tcW w:w="1070" w:type="dxa"/>
            <w:vAlign w:val="center"/>
          </w:tcPr>
          <w:p w14:paraId="07D082B7" w14:textId="77777777" w:rsidR="00497070" w:rsidRPr="00423376" w:rsidRDefault="00497070" w:rsidP="00497070">
            <w:pPr>
              <w:autoSpaceDE w:val="0"/>
              <w:autoSpaceDN w:val="0"/>
              <w:adjustRightInd w:val="0"/>
              <w:jc w:val="center"/>
            </w:pPr>
            <w:r w:rsidRPr="00423376">
              <w:t>R36G</w:t>
            </w:r>
          </w:p>
        </w:tc>
        <w:tc>
          <w:tcPr>
            <w:tcW w:w="1435" w:type="dxa"/>
          </w:tcPr>
          <w:p w14:paraId="653368B7" w14:textId="23C97C2D" w:rsidR="00497070" w:rsidRPr="00423376" w:rsidRDefault="00497070" w:rsidP="00497070">
            <w:pPr>
              <w:autoSpaceDE w:val="0"/>
              <w:autoSpaceDN w:val="0"/>
              <w:adjustRightInd w:val="0"/>
              <w:jc w:val="center"/>
            </w:pPr>
            <w:r w:rsidRPr="00A75EEC">
              <w:t xml:space="preserve"> 644,874 </w:t>
            </w:r>
          </w:p>
        </w:tc>
      </w:tr>
      <w:tr w:rsidR="00497070" w:rsidRPr="00423376" w14:paraId="33581CDF" w14:textId="77777777" w:rsidTr="00D52564">
        <w:trPr>
          <w:jc w:val="center"/>
        </w:trPr>
        <w:tc>
          <w:tcPr>
            <w:tcW w:w="1070" w:type="dxa"/>
            <w:vAlign w:val="center"/>
          </w:tcPr>
          <w:p w14:paraId="778A8BB2" w14:textId="77777777" w:rsidR="00497070" w:rsidRPr="00423376" w:rsidRDefault="00497070" w:rsidP="00497070">
            <w:pPr>
              <w:autoSpaceDE w:val="0"/>
              <w:autoSpaceDN w:val="0"/>
              <w:adjustRightInd w:val="0"/>
              <w:jc w:val="center"/>
            </w:pPr>
            <w:r w:rsidRPr="00423376">
              <w:t>R36H</w:t>
            </w:r>
          </w:p>
        </w:tc>
        <w:tc>
          <w:tcPr>
            <w:tcW w:w="1435" w:type="dxa"/>
          </w:tcPr>
          <w:p w14:paraId="191E1D56" w14:textId="334AA79C" w:rsidR="00497070" w:rsidRPr="00423376" w:rsidRDefault="00497070" w:rsidP="00497070">
            <w:pPr>
              <w:autoSpaceDE w:val="0"/>
              <w:autoSpaceDN w:val="0"/>
              <w:adjustRightInd w:val="0"/>
              <w:jc w:val="center"/>
            </w:pPr>
            <w:r w:rsidRPr="00A75EEC">
              <w:t xml:space="preserve"> 578,747 </w:t>
            </w:r>
          </w:p>
        </w:tc>
      </w:tr>
      <w:tr w:rsidR="00497070" w:rsidRPr="00423376" w14:paraId="7701B27C" w14:textId="77777777" w:rsidTr="00D52564">
        <w:trPr>
          <w:jc w:val="center"/>
        </w:trPr>
        <w:tc>
          <w:tcPr>
            <w:tcW w:w="1070" w:type="dxa"/>
            <w:vAlign w:val="center"/>
          </w:tcPr>
          <w:p w14:paraId="56586C6E" w14:textId="77777777" w:rsidR="00497070" w:rsidRPr="00423376" w:rsidRDefault="00497070" w:rsidP="00497070">
            <w:pPr>
              <w:autoSpaceDE w:val="0"/>
              <w:autoSpaceDN w:val="0"/>
              <w:adjustRightInd w:val="0"/>
              <w:jc w:val="center"/>
            </w:pPr>
            <w:r w:rsidRPr="00423376">
              <w:t>R37K</w:t>
            </w:r>
          </w:p>
        </w:tc>
        <w:tc>
          <w:tcPr>
            <w:tcW w:w="1435" w:type="dxa"/>
          </w:tcPr>
          <w:p w14:paraId="19449480" w14:textId="4F9D7480" w:rsidR="00497070" w:rsidRPr="00423376" w:rsidRDefault="00497070" w:rsidP="00497070">
            <w:pPr>
              <w:autoSpaceDE w:val="0"/>
              <w:autoSpaceDN w:val="0"/>
              <w:adjustRightInd w:val="0"/>
              <w:jc w:val="center"/>
            </w:pPr>
            <w:r w:rsidRPr="00A75EEC">
              <w:t xml:space="preserve"> 541,078 </w:t>
            </w:r>
          </w:p>
        </w:tc>
      </w:tr>
      <w:tr w:rsidR="00497070" w:rsidRPr="00423376" w14:paraId="1EB9FB38" w14:textId="77777777" w:rsidTr="00D52564">
        <w:trPr>
          <w:jc w:val="center"/>
        </w:trPr>
        <w:tc>
          <w:tcPr>
            <w:tcW w:w="1070" w:type="dxa"/>
            <w:vAlign w:val="center"/>
          </w:tcPr>
          <w:p w14:paraId="172943E6" w14:textId="77777777" w:rsidR="00497070" w:rsidRPr="00423376" w:rsidRDefault="00497070" w:rsidP="00497070">
            <w:pPr>
              <w:autoSpaceDE w:val="0"/>
              <w:autoSpaceDN w:val="0"/>
              <w:adjustRightInd w:val="0"/>
              <w:jc w:val="center"/>
            </w:pPr>
            <w:r w:rsidRPr="00423376">
              <w:t>R37L</w:t>
            </w:r>
          </w:p>
        </w:tc>
        <w:tc>
          <w:tcPr>
            <w:tcW w:w="1435" w:type="dxa"/>
          </w:tcPr>
          <w:p w14:paraId="251E83FB" w14:textId="04843388" w:rsidR="00497070" w:rsidRPr="00423376" w:rsidRDefault="00497070" w:rsidP="00497070">
            <w:pPr>
              <w:autoSpaceDE w:val="0"/>
              <w:autoSpaceDN w:val="0"/>
              <w:adjustRightInd w:val="0"/>
              <w:jc w:val="center"/>
            </w:pPr>
            <w:r w:rsidRPr="00A75EEC">
              <w:t xml:space="preserve"> 653,190 </w:t>
            </w:r>
          </w:p>
        </w:tc>
      </w:tr>
      <w:tr w:rsidR="00497070" w:rsidRPr="00423376" w14:paraId="65E38ED2" w14:textId="77777777" w:rsidTr="00D52564">
        <w:trPr>
          <w:jc w:val="center"/>
        </w:trPr>
        <w:tc>
          <w:tcPr>
            <w:tcW w:w="1070" w:type="dxa"/>
            <w:vAlign w:val="center"/>
          </w:tcPr>
          <w:p w14:paraId="5FE74E50" w14:textId="77777777" w:rsidR="00497070" w:rsidRPr="00423376" w:rsidRDefault="00497070" w:rsidP="00497070">
            <w:pPr>
              <w:autoSpaceDE w:val="0"/>
              <w:autoSpaceDN w:val="0"/>
              <w:adjustRightInd w:val="0"/>
              <w:jc w:val="center"/>
            </w:pPr>
            <w:r w:rsidRPr="00423376">
              <w:t>R48G</w:t>
            </w:r>
          </w:p>
        </w:tc>
        <w:tc>
          <w:tcPr>
            <w:tcW w:w="1435" w:type="dxa"/>
          </w:tcPr>
          <w:p w14:paraId="47B42B07" w14:textId="10E3272F" w:rsidR="00497070" w:rsidRPr="00423376" w:rsidRDefault="00497070" w:rsidP="00497070">
            <w:pPr>
              <w:autoSpaceDE w:val="0"/>
              <w:autoSpaceDN w:val="0"/>
              <w:adjustRightInd w:val="0"/>
              <w:jc w:val="center"/>
            </w:pPr>
            <w:r w:rsidRPr="00A75EEC">
              <w:t xml:space="preserve"> 198,127 </w:t>
            </w:r>
          </w:p>
        </w:tc>
      </w:tr>
      <w:tr w:rsidR="00497070" w:rsidRPr="00423376" w14:paraId="3B28E010" w14:textId="77777777" w:rsidTr="00D52564">
        <w:trPr>
          <w:jc w:val="center"/>
        </w:trPr>
        <w:tc>
          <w:tcPr>
            <w:tcW w:w="1070" w:type="dxa"/>
            <w:vAlign w:val="center"/>
          </w:tcPr>
          <w:p w14:paraId="65EB01FA" w14:textId="77777777" w:rsidR="00497070" w:rsidRPr="00423376" w:rsidRDefault="00497070" w:rsidP="00497070">
            <w:pPr>
              <w:autoSpaceDE w:val="0"/>
              <w:autoSpaceDN w:val="0"/>
              <w:adjustRightInd w:val="0"/>
              <w:jc w:val="center"/>
            </w:pPr>
            <w:r w:rsidRPr="00423376">
              <w:t>R48H</w:t>
            </w:r>
          </w:p>
        </w:tc>
        <w:tc>
          <w:tcPr>
            <w:tcW w:w="1435" w:type="dxa"/>
          </w:tcPr>
          <w:p w14:paraId="03B7BF0C" w14:textId="6E7B79D5" w:rsidR="00497070" w:rsidRPr="00423376" w:rsidRDefault="00497070" w:rsidP="00497070">
            <w:pPr>
              <w:autoSpaceDE w:val="0"/>
              <w:autoSpaceDN w:val="0"/>
              <w:adjustRightInd w:val="0"/>
              <w:jc w:val="center"/>
            </w:pPr>
            <w:r w:rsidRPr="00A75EEC">
              <w:t xml:space="preserve"> 164,266 </w:t>
            </w:r>
          </w:p>
        </w:tc>
      </w:tr>
      <w:tr w:rsidR="00497070" w:rsidRPr="00423376" w14:paraId="738B4246" w14:textId="77777777" w:rsidTr="00D52564">
        <w:trPr>
          <w:jc w:val="center"/>
        </w:trPr>
        <w:tc>
          <w:tcPr>
            <w:tcW w:w="1070" w:type="dxa"/>
            <w:vAlign w:val="center"/>
          </w:tcPr>
          <w:p w14:paraId="2A28A233" w14:textId="77777777" w:rsidR="00497070" w:rsidRPr="00423376" w:rsidRDefault="00497070" w:rsidP="00497070">
            <w:pPr>
              <w:autoSpaceDE w:val="0"/>
              <w:autoSpaceDN w:val="0"/>
              <w:adjustRightInd w:val="0"/>
              <w:jc w:val="center"/>
            </w:pPr>
            <w:r w:rsidRPr="00423376">
              <w:t>R48I</w:t>
            </w:r>
          </w:p>
        </w:tc>
        <w:tc>
          <w:tcPr>
            <w:tcW w:w="1435" w:type="dxa"/>
          </w:tcPr>
          <w:p w14:paraId="73E356F1" w14:textId="51532042" w:rsidR="00497070" w:rsidRPr="00423376" w:rsidRDefault="00497070" w:rsidP="00497070">
            <w:pPr>
              <w:autoSpaceDE w:val="0"/>
              <w:autoSpaceDN w:val="0"/>
              <w:adjustRightInd w:val="0"/>
              <w:jc w:val="center"/>
            </w:pPr>
            <w:r w:rsidRPr="00A75EEC">
              <w:t xml:space="preserve"> 184,030 </w:t>
            </w:r>
          </w:p>
        </w:tc>
      </w:tr>
      <w:tr w:rsidR="00497070" w:rsidRPr="00423376" w14:paraId="30969331" w14:textId="77777777" w:rsidTr="00D52564">
        <w:trPr>
          <w:jc w:val="center"/>
        </w:trPr>
        <w:tc>
          <w:tcPr>
            <w:tcW w:w="1070" w:type="dxa"/>
            <w:vAlign w:val="center"/>
          </w:tcPr>
          <w:p w14:paraId="407A78D5" w14:textId="77777777" w:rsidR="00497070" w:rsidRPr="00423376" w:rsidRDefault="00497070" w:rsidP="00497070">
            <w:pPr>
              <w:autoSpaceDE w:val="0"/>
              <w:autoSpaceDN w:val="0"/>
              <w:adjustRightInd w:val="0"/>
              <w:jc w:val="center"/>
            </w:pPr>
            <w:r w:rsidRPr="00423376">
              <w:t>R49L</w:t>
            </w:r>
          </w:p>
        </w:tc>
        <w:tc>
          <w:tcPr>
            <w:tcW w:w="1435" w:type="dxa"/>
          </w:tcPr>
          <w:p w14:paraId="357A5188" w14:textId="6BDC8709" w:rsidR="00497070" w:rsidRPr="00423376" w:rsidRDefault="00497070" w:rsidP="00497070">
            <w:pPr>
              <w:autoSpaceDE w:val="0"/>
              <w:autoSpaceDN w:val="0"/>
              <w:adjustRightInd w:val="0"/>
              <w:jc w:val="center"/>
            </w:pPr>
            <w:r w:rsidRPr="00A75EEC">
              <w:t xml:space="preserve"> 293,861 </w:t>
            </w:r>
          </w:p>
        </w:tc>
      </w:tr>
      <w:tr w:rsidR="00423376" w:rsidRPr="00423376" w14:paraId="7DB8B3DA" w14:textId="77777777" w:rsidTr="00D52564">
        <w:trPr>
          <w:jc w:val="center"/>
        </w:trPr>
        <w:tc>
          <w:tcPr>
            <w:tcW w:w="1070" w:type="dxa"/>
            <w:vAlign w:val="center"/>
          </w:tcPr>
          <w:p w14:paraId="1B998EE7" w14:textId="77777777" w:rsidR="00423376" w:rsidRPr="00423376" w:rsidRDefault="00423376" w:rsidP="00423376">
            <w:pPr>
              <w:jc w:val="center"/>
              <w:rPr>
                <w:b/>
              </w:rPr>
            </w:pPr>
            <w:r w:rsidRPr="00423376">
              <w:rPr>
                <w:b/>
              </w:rPr>
              <w:t>Total</w:t>
            </w:r>
          </w:p>
        </w:tc>
        <w:tc>
          <w:tcPr>
            <w:tcW w:w="1435" w:type="dxa"/>
            <w:vAlign w:val="center"/>
          </w:tcPr>
          <w:p w14:paraId="6D0BEE0F" w14:textId="6FBB4290" w:rsidR="00423376" w:rsidRPr="00423376" w:rsidRDefault="00423376" w:rsidP="00497070">
            <w:pPr>
              <w:jc w:val="left"/>
              <w:rPr>
                <w:b/>
              </w:rPr>
            </w:pPr>
            <w:r w:rsidRPr="00423376">
              <w:rPr>
                <w:b/>
              </w:rPr>
              <w:t>12</w:t>
            </w:r>
            <w:r w:rsidR="00497070">
              <w:rPr>
                <w:b/>
              </w:rPr>
              <w:t>7</w:t>
            </w:r>
            <w:r w:rsidRPr="00423376">
              <w:rPr>
                <w:b/>
              </w:rPr>
              <w:t>,000,00</w:t>
            </w:r>
            <w:r w:rsidR="00497070">
              <w:rPr>
                <w:b/>
              </w:rPr>
              <w:t>0</w:t>
            </w:r>
          </w:p>
        </w:tc>
      </w:tr>
    </w:tbl>
    <w:p w14:paraId="5DF96A90" w14:textId="77777777" w:rsidR="001041FE" w:rsidRDefault="001041FE" w:rsidP="001041FE">
      <w:pPr>
        <w:tabs>
          <w:tab w:val="left" w:pos="1176"/>
          <w:tab w:val="left" w:pos="1656"/>
          <w:tab w:val="left" w:pos="5016"/>
          <w:tab w:val="left" w:pos="6696"/>
          <w:tab w:val="left" w:pos="8256"/>
        </w:tabs>
        <w:sectPr w:rsidR="001041FE" w:rsidSect="00CF7199">
          <w:type w:val="continuous"/>
          <w:pgSz w:w="12240" w:h="15840"/>
          <w:pgMar w:top="1440" w:right="1800" w:bottom="1440" w:left="1800" w:header="720" w:footer="720" w:gutter="0"/>
          <w:cols w:num="3" w:space="720"/>
          <w:docGrid w:linePitch="360"/>
        </w:sectPr>
      </w:pPr>
    </w:p>
    <w:p w14:paraId="1406D316" w14:textId="77777777" w:rsidR="0078793C" w:rsidRDefault="0078793C" w:rsidP="00D21F06">
      <w:pPr>
        <w:tabs>
          <w:tab w:val="left" w:pos="1176"/>
          <w:tab w:val="left" w:pos="1656"/>
          <w:tab w:val="left" w:pos="5016"/>
          <w:tab w:val="left" w:pos="6696"/>
          <w:tab w:val="left" w:pos="8256"/>
        </w:tabs>
        <w:ind w:left="691"/>
        <w:rPr>
          <w:u w:val="single"/>
        </w:rPr>
      </w:pPr>
    </w:p>
    <w:p w14:paraId="5A829E30" w14:textId="2F3FE3F4" w:rsidR="00A11522" w:rsidRDefault="00A11522" w:rsidP="00D21F06">
      <w:pPr>
        <w:tabs>
          <w:tab w:val="left" w:pos="1176"/>
          <w:tab w:val="left" w:pos="1656"/>
          <w:tab w:val="left" w:pos="5016"/>
          <w:tab w:val="left" w:pos="6696"/>
          <w:tab w:val="left" w:pos="8256"/>
        </w:tabs>
        <w:ind w:left="691"/>
      </w:pPr>
      <w:r>
        <w:rPr>
          <w:u w:val="single"/>
        </w:rPr>
        <w:t>Response Rates</w:t>
      </w:r>
    </w:p>
    <w:p w14:paraId="15846E07" w14:textId="6D045CC7" w:rsidR="00A11522" w:rsidRDefault="00A11522" w:rsidP="001D5847">
      <w:pPr>
        <w:tabs>
          <w:tab w:val="left" w:pos="1176"/>
          <w:tab w:val="left" w:pos="1656"/>
          <w:tab w:val="left" w:pos="5016"/>
          <w:tab w:val="left" w:pos="6696"/>
          <w:tab w:val="left" w:pos="8256"/>
        </w:tabs>
        <w:ind w:left="691"/>
      </w:pPr>
      <w:r>
        <w:t xml:space="preserve">The following table shows expected annual sample sizes </w:t>
      </w:r>
      <w:r w:rsidR="000F1BE7">
        <w:t xml:space="preserve">in 2016 </w:t>
      </w:r>
      <w:r>
        <w:t xml:space="preserve">for the Quarterly Interview Survey (CEQ) and the Diary Survey (CED).  </w:t>
      </w:r>
      <w:r w:rsidR="000F1BE7">
        <w:t xml:space="preserve">In 2016, </w:t>
      </w:r>
      <w:r w:rsidR="007F3911">
        <w:t xml:space="preserve">the </w:t>
      </w:r>
      <w:r w:rsidR="000F1BE7">
        <w:t xml:space="preserve">sample for the </w:t>
      </w:r>
      <w:r w:rsidR="007F3911">
        <w:t>CEQ</w:t>
      </w:r>
      <w:r w:rsidR="000A2810">
        <w:t xml:space="preserve"> </w:t>
      </w:r>
      <w:r w:rsidR="000F1BE7">
        <w:t>will include 48</w:t>
      </w:r>
      <w:r w:rsidR="007F3911">
        <w:t>,000 addresses</w:t>
      </w:r>
      <w:r w:rsidR="002374B8">
        <w:t>,</w:t>
      </w:r>
      <w:r w:rsidR="007F3911">
        <w:t xml:space="preserve"> </w:t>
      </w:r>
      <w:r w:rsidR="000A2810">
        <w:t>and</w:t>
      </w:r>
      <w:r w:rsidR="003850D8">
        <w:t xml:space="preserve"> </w:t>
      </w:r>
      <w:r w:rsidR="000F1BE7">
        <w:t xml:space="preserve">the sample </w:t>
      </w:r>
      <w:r w:rsidR="003850D8">
        <w:t>f</w:t>
      </w:r>
      <w:r w:rsidR="007F3911">
        <w:t xml:space="preserve">or the CED </w:t>
      </w:r>
      <w:r w:rsidR="000F1BE7">
        <w:t xml:space="preserve">will include </w:t>
      </w:r>
      <w:r w:rsidR="007F3911">
        <w:t>12,000 addresses.</w:t>
      </w:r>
      <w:r w:rsidR="001D5847">
        <w:t xml:space="preserve">  </w:t>
      </w:r>
      <w:r w:rsidR="000F1BE7">
        <w:rPr>
          <w:bCs/>
          <w:iCs/>
        </w:rPr>
        <w:t xml:space="preserve">From these addresses 13% are expected to be “Type B/C” </w:t>
      </w:r>
      <w:r w:rsidR="005152CD">
        <w:rPr>
          <w:bCs/>
          <w:iCs/>
        </w:rPr>
        <w:t>noninterviews, which are sample addresses that are not occupied housing units (they are nonexistent</w:t>
      </w:r>
      <w:r>
        <w:rPr>
          <w:bCs/>
          <w:iCs/>
        </w:rPr>
        <w:t>, nonresidential, vacant, demolished, etc.</w:t>
      </w:r>
      <w:r w:rsidR="005152CD">
        <w:rPr>
          <w:bCs/>
          <w:iCs/>
        </w:rPr>
        <w:t xml:space="preserve">); and the other 87% are occupied housing units.  </w:t>
      </w:r>
      <w:r w:rsidR="001D5847">
        <w:rPr>
          <w:bCs/>
          <w:iCs/>
        </w:rPr>
        <w:t>Of</w:t>
      </w:r>
      <w:r w:rsidR="005152CD">
        <w:rPr>
          <w:bCs/>
          <w:iCs/>
        </w:rPr>
        <w:t xml:space="preserve"> those occupied housing units, </w:t>
      </w:r>
      <w:r w:rsidR="004401E9">
        <w:rPr>
          <w:bCs/>
          <w:iCs/>
        </w:rPr>
        <w:t xml:space="preserve">approximately </w:t>
      </w:r>
      <w:r w:rsidR="005152CD">
        <w:rPr>
          <w:bCs/>
          <w:iCs/>
        </w:rPr>
        <w:t>34% are expected to be “Type A” noninterviews</w:t>
      </w:r>
      <w:r w:rsidR="009E7C63">
        <w:rPr>
          <w:bCs/>
          <w:iCs/>
        </w:rPr>
        <w:t>,</w:t>
      </w:r>
      <w:r w:rsidR="005152CD">
        <w:rPr>
          <w:bCs/>
          <w:iCs/>
        </w:rPr>
        <w:t xml:space="preserve"> which are</w:t>
      </w:r>
      <w:r w:rsidR="001D5847">
        <w:rPr>
          <w:bCs/>
          <w:iCs/>
        </w:rPr>
        <w:t xml:space="preserve"> occupied </w:t>
      </w:r>
      <w:r>
        <w:rPr>
          <w:bCs/>
          <w:iCs/>
        </w:rPr>
        <w:t>housing units that d</w:t>
      </w:r>
      <w:r w:rsidR="002374B8">
        <w:rPr>
          <w:bCs/>
          <w:iCs/>
        </w:rPr>
        <w:t>o</w:t>
      </w:r>
      <w:r>
        <w:rPr>
          <w:bCs/>
          <w:iCs/>
        </w:rPr>
        <w:t xml:space="preserve"> not p</w:t>
      </w:r>
      <w:r w:rsidR="00F127F6">
        <w:rPr>
          <w:bCs/>
          <w:iCs/>
        </w:rPr>
        <w:t>a</w:t>
      </w:r>
      <w:r>
        <w:rPr>
          <w:bCs/>
          <w:iCs/>
        </w:rPr>
        <w:t>rticipate in the survey</w:t>
      </w:r>
      <w:r w:rsidR="009E7C63">
        <w:rPr>
          <w:bCs/>
          <w:iCs/>
        </w:rPr>
        <w:t>;</w:t>
      </w:r>
      <w:r w:rsidR="001D5847">
        <w:rPr>
          <w:bCs/>
          <w:iCs/>
        </w:rPr>
        <w:t xml:space="preserve"> and the other </w:t>
      </w:r>
      <w:r w:rsidR="004401E9">
        <w:rPr>
          <w:bCs/>
          <w:iCs/>
        </w:rPr>
        <w:t xml:space="preserve">approximately </w:t>
      </w:r>
      <w:r w:rsidR="001D5847">
        <w:rPr>
          <w:bCs/>
          <w:iCs/>
        </w:rPr>
        <w:t>66% are expected to be housing units with completed interviews</w:t>
      </w:r>
      <w:r>
        <w:rPr>
          <w:bCs/>
          <w:iCs/>
        </w:rPr>
        <w:t>.</w:t>
      </w:r>
      <w:r w:rsidR="001D5847">
        <w:rPr>
          <w:bCs/>
          <w:iCs/>
        </w:rPr>
        <w:t xml:space="preserve">  This is expected to yield approximately 27,</w:t>
      </w:r>
      <w:r w:rsidR="004401E9">
        <w:rPr>
          <w:bCs/>
          <w:iCs/>
        </w:rPr>
        <w:t>600</w:t>
      </w:r>
      <w:r w:rsidR="00A46014">
        <w:rPr>
          <w:bCs/>
          <w:iCs/>
        </w:rPr>
        <w:t xml:space="preserve"> completed interviews in the </w:t>
      </w:r>
      <w:r w:rsidR="002374B8">
        <w:rPr>
          <w:bCs/>
          <w:iCs/>
        </w:rPr>
        <w:t>CEQ</w:t>
      </w:r>
      <w:r w:rsidR="00A46014">
        <w:rPr>
          <w:bCs/>
          <w:iCs/>
        </w:rPr>
        <w:t xml:space="preserve"> and </w:t>
      </w:r>
      <w:r w:rsidR="004401E9">
        <w:rPr>
          <w:bCs/>
          <w:iCs/>
        </w:rPr>
        <w:t xml:space="preserve">approximately </w:t>
      </w:r>
      <w:r w:rsidR="00A46014">
        <w:rPr>
          <w:bCs/>
          <w:iCs/>
        </w:rPr>
        <w:t>13,</w:t>
      </w:r>
      <w:r w:rsidR="004401E9">
        <w:rPr>
          <w:bCs/>
          <w:iCs/>
        </w:rPr>
        <w:t>800</w:t>
      </w:r>
      <w:r w:rsidR="00A46014">
        <w:rPr>
          <w:bCs/>
          <w:iCs/>
        </w:rPr>
        <w:t xml:space="preserve"> (= 6,</w:t>
      </w:r>
      <w:r w:rsidR="004401E9">
        <w:rPr>
          <w:bCs/>
          <w:iCs/>
        </w:rPr>
        <w:t>90</w:t>
      </w:r>
      <w:r w:rsidR="00A46014">
        <w:rPr>
          <w:bCs/>
          <w:iCs/>
        </w:rPr>
        <w:t xml:space="preserve">0 × 2) weekly diaries in the </w:t>
      </w:r>
      <w:r w:rsidR="002374B8">
        <w:rPr>
          <w:bCs/>
          <w:iCs/>
        </w:rPr>
        <w:t>CED</w:t>
      </w:r>
      <w:r w:rsidR="00A46014">
        <w:rPr>
          <w:bCs/>
          <w:iCs/>
        </w:rPr>
        <w:t>.</w:t>
      </w:r>
    </w:p>
    <w:p w14:paraId="147DB7E5" w14:textId="77777777" w:rsidR="00A11522" w:rsidRDefault="00A11522" w:rsidP="00D21F06">
      <w:pPr>
        <w:tabs>
          <w:tab w:val="left" w:pos="1176"/>
          <w:tab w:val="left" w:pos="1656"/>
          <w:tab w:val="left" w:pos="5016"/>
          <w:tab w:val="left" w:pos="6696"/>
          <w:tab w:val="left" w:pos="8256"/>
        </w:tabs>
        <w:ind w:left="691"/>
      </w:pPr>
    </w:p>
    <w:p w14:paraId="36048C42" w14:textId="60AB3372" w:rsidR="00A11522" w:rsidRDefault="00A11522" w:rsidP="00D21F06">
      <w:pPr>
        <w:tabs>
          <w:tab w:val="left" w:pos="1176"/>
          <w:tab w:val="left" w:pos="1656"/>
          <w:tab w:val="left" w:pos="5016"/>
          <w:tab w:val="left" w:pos="6696"/>
          <w:tab w:val="left" w:pos="8256"/>
        </w:tabs>
        <w:ind w:left="691"/>
      </w:pPr>
      <w:r>
        <w:t>The response rates shown below are the CEQ’s and CED’s actual response rates over the past five years (</w:t>
      </w:r>
      <w:r w:rsidR="003850D8">
        <w:t>2009</w:t>
      </w:r>
      <w:r>
        <w:t>-</w:t>
      </w:r>
      <w:r w:rsidR="003850D8">
        <w:t>2013</w:t>
      </w:r>
      <w:r>
        <w:t>) minus 5 percentage points.  Response rates have been decreasing over time, so the 5-year historical response rates are reduced by 5 percentage points to account for th</w:t>
      </w:r>
      <w:r w:rsidR="00A46014">
        <w:t>e</w:t>
      </w:r>
      <w:r>
        <w:t xml:space="preserve"> downward trend.</w:t>
      </w:r>
    </w:p>
    <w:p w14:paraId="67857F10" w14:textId="77777777" w:rsidR="00A11522" w:rsidRDefault="00A11522" w:rsidP="00D21F06">
      <w:pPr>
        <w:tabs>
          <w:tab w:val="left" w:pos="1176"/>
          <w:tab w:val="left" w:pos="1656"/>
          <w:tab w:val="left" w:pos="5016"/>
          <w:tab w:val="left" w:pos="6696"/>
          <w:tab w:val="left" w:pos="8256"/>
        </w:tabs>
        <w:ind w:left="691"/>
      </w:pPr>
    </w:p>
    <w:p w14:paraId="35CBAC4C" w14:textId="7EEA3E99" w:rsidR="00A11522" w:rsidRDefault="00A11522" w:rsidP="00D21F06">
      <w:pPr>
        <w:tabs>
          <w:tab w:val="left" w:pos="1176"/>
          <w:tab w:val="left" w:pos="1656"/>
          <w:tab w:val="left" w:pos="5016"/>
          <w:tab w:val="left" w:pos="6696"/>
          <w:tab w:val="left" w:pos="8256"/>
        </w:tabs>
        <w:ind w:left="691"/>
      </w:pPr>
      <w:r>
        <w:t xml:space="preserve">The sample sizes shown below </w:t>
      </w:r>
      <w:r w:rsidR="00BA759C">
        <w:t xml:space="preserve">for 2016 </w:t>
      </w:r>
      <w:r>
        <w:t>are the annual number of quarterly interviews for CEQ, and the annual number of bi-weekly diaries for CED.</w:t>
      </w:r>
    </w:p>
    <w:p w14:paraId="541197D9" w14:textId="77777777" w:rsidR="00505B67" w:rsidRDefault="00505B67" w:rsidP="00D21F06">
      <w:pPr>
        <w:tabs>
          <w:tab w:val="left" w:pos="1176"/>
          <w:tab w:val="left" w:pos="1656"/>
          <w:tab w:val="left" w:pos="5016"/>
          <w:tab w:val="left" w:pos="6696"/>
          <w:tab w:val="left" w:pos="8256"/>
        </w:tabs>
        <w:ind w:left="691"/>
      </w:pPr>
    </w:p>
    <w:p w14:paraId="619DA298" w14:textId="77777777" w:rsidR="00A11522" w:rsidRDefault="00A11522" w:rsidP="00B33C33">
      <w:pPr>
        <w:autoSpaceDE w:val="0"/>
        <w:autoSpaceDN w:val="0"/>
        <w:adjustRightInd w:val="0"/>
        <w:ind w:left="475"/>
        <w:rPr>
          <w:color w:val="000000"/>
          <w:sz w:val="20"/>
          <w:szCs w:val="20"/>
        </w:rPr>
      </w:pPr>
    </w:p>
    <w:tbl>
      <w:tblPr>
        <w:tblStyle w:val="TableGrid"/>
        <w:tblW w:w="0" w:type="auto"/>
        <w:jc w:val="center"/>
        <w:tblLayout w:type="fixed"/>
        <w:tblLook w:val="04A0" w:firstRow="1" w:lastRow="0" w:firstColumn="1" w:lastColumn="0" w:noHBand="0" w:noVBand="1"/>
      </w:tblPr>
      <w:tblGrid>
        <w:gridCol w:w="4753"/>
        <w:gridCol w:w="1272"/>
        <w:gridCol w:w="1260"/>
      </w:tblGrid>
      <w:tr w:rsidR="00041011" w14:paraId="11F5630B" w14:textId="77777777" w:rsidTr="003B6907">
        <w:trPr>
          <w:jc w:val="center"/>
        </w:trPr>
        <w:tc>
          <w:tcPr>
            <w:tcW w:w="4753" w:type="dxa"/>
            <w:tcBorders>
              <w:top w:val="single" w:sz="4" w:space="0" w:color="auto"/>
              <w:left w:val="single" w:sz="4" w:space="0" w:color="auto"/>
              <w:bottom w:val="nil"/>
              <w:right w:val="single" w:sz="4" w:space="0" w:color="auto"/>
            </w:tcBorders>
            <w:vAlign w:val="center"/>
          </w:tcPr>
          <w:p w14:paraId="777389E4" w14:textId="3E7AEE87" w:rsidR="00041011" w:rsidRDefault="00E93881" w:rsidP="00E93881">
            <w:pPr>
              <w:autoSpaceDE w:val="0"/>
              <w:autoSpaceDN w:val="0"/>
              <w:adjustRightInd w:val="0"/>
              <w:jc w:val="center"/>
              <w:rPr>
                <w:color w:val="000000"/>
              </w:rPr>
            </w:pPr>
            <w:r w:rsidRPr="00E93881">
              <w:rPr>
                <w:b/>
                <w:color w:val="000000"/>
                <w:u w:val="single"/>
              </w:rPr>
              <w:t>Category</w:t>
            </w:r>
          </w:p>
        </w:tc>
        <w:tc>
          <w:tcPr>
            <w:tcW w:w="1272" w:type="dxa"/>
            <w:tcBorders>
              <w:top w:val="single" w:sz="4" w:space="0" w:color="auto"/>
              <w:left w:val="single" w:sz="4" w:space="0" w:color="auto"/>
              <w:bottom w:val="nil"/>
              <w:right w:val="single" w:sz="4" w:space="0" w:color="auto"/>
            </w:tcBorders>
            <w:vAlign w:val="center"/>
            <w:hideMark/>
          </w:tcPr>
          <w:p w14:paraId="238E2836" w14:textId="77777777" w:rsidR="00E93881" w:rsidRDefault="00E93881" w:rsidP="009B6470">
            <w:pPr>
              <w:autoSpaceDE w:val="0"/>
              <w:autoSpaceDN w:val="0"/>
              <w:adjustRightInd w:val="0"/>
              <w:jc w:val="center"/>
              <w:rPr>
                <w:b/>
                <w:color w:val="000000"/>
                <w:u w:val="single"/>
              </w:rPr>
            </w:pPr>
          </w:p>
          <w:p w14:paraId="267DE684" w14:textId="3FE81A3E" w:rsidR="00041011" w:rsidRDefault="00041011" w:rsidP="00E93881">
            <w:pPr>
              <w:autoSpaceDE w:val="0"/>
              <w:autoSpaceDN w:val="0"/>
              <w:adjustRightInd w:val="0"/>
              <w:jc w:val="center"/>
              <w:rPr>
                <w:b/>
                <w:color w:val="000000"/>
                <w:u w:val="single"/>
              </w:rPr>
            </w:pPr>
            <w:r>
              <w:rPr>
                <w:b/>
                <w:color w:val="000000"/>
                <w:u w:val="single"/>
              </w:rPr>
              <w:t>Quarterly Interview</w:t>
            </w:r>
          </w:p>
        </w:tc>
        <w:tc>
          <w:tcPr>
            <w:tcW w:w="1260" w:type="dxa"/>
            <w:tcBorders>
              <w:top w:val="single" w:sz="4" w:space="0" w:color="auto"/>
              <w:left w:val="single" w:sz="4" w:space="0" w:color="auto"/>
              <w:bottom w:val="nil"/>
              <w:right w:val="single" w:sz="4" w:space="0" w:color="auto"/>
            </w:tcBorders>
            <w:vAlign w:val="center"/>
            <w:hideMark/>
          </w:tcPr>
          <w:p w14:paraId="47012501" w14:textId="0EFDC58F" w:rsidR="00041011" w:rsidRDefault="00041011" w:rsidP="009B6470">
            <w:pPr>
              <w:autoSpaceDE w:val="0"/>
              <w:autoSpaceDN w:val="0"/>
              <w:adjustRightInd w:val="0"/>
              <w:jc w:val="center"/>
              <w:rPr>
                <w:b/>
                <w:color w:val="000000"/>
                <w:u w:val="single"/>
              </w:rPr>
            </w:pPr>
            <w:r>
              <w:rPr>
                <w:b/>
                <w:color w:val="000000"/>
                <w:u w:val="single"/>
              </w:rPr>
              <w:t>Diary</w:t>
            </w:r>
          </w:p>
        </w:tc>
      </w:tr>
      <w:tr w:rsidR="00041011" w14:paraId="3A777922" w14:textId="77777777" w:rsidTr="003B6907">
        <w:trPr>
          <w:jc w:val="center"/>
        </w:trPr>
        <w:tc>
          <w:tcPr>
            <w:tcW w:w="4753" w:type="dxa"/>
            <w:tcBorders>
              <w:top w:val="nil"/>
              <w:left w:val="single" w:sz="4" w:space="0" w:color="auto"/>
              <w:bottom w:val="single" w:sz="4" w:space="0" w:color="auto"/>
              <w:right w:val="single" w:sz="4" w:space="0" w:color="auto"/>
            </w:tcBorders>
            <w:vAlign w:val="center"/>
            <w:hideMark/>
          </w:tcPr>
          <w:p w14:paraId="0DE56202" w14:textId="0E71CABA" w:rsidR="00041011" w:rsidRPr="00E93881" w:rsidRDefault="00041011" w:rsidP="00E93881">
            <w:pPr>
              <w:autoSpaceDE w:val="0"/>
              <w:autoSpaceDN w:val="0"/>
              <w:adjustRightInd w:val="0"/>
              <w:jc w:val="center"/>
              <w:rPr>
                <w:b/>
                <w:color w:val="000000"/>
              </w:rPr>
            </w:pPr>
          </w:p>
        </w:tc>
        <w:tc>
          <w:tcPr>
            <w:tcW w:w="1272" w:type="dxa"/>
            <w:tcBorders>
              <w:top w:val="nil"/>
              <w:left w:val="nil"/>
              <w:bottom w:val="single" w:sz="4" w:space="0" w:color="auto"/>
              <w:right w:val="single" w:sz="4" w:space="0" w:color="auto"/>
            </w:tcBorders>
            <w:vAlign w:val="center"/>
            <w:hideMark/>
          </w:tcPr>
          <w:p w14:paraId="3EEDDB4B" w14:textId="1C456F6C" w:rsidR="00041011" w:rsidRDefault="00041011" w:rsidP="00E93881">
            <w:pPr>
              <w:autoSpaceDE w:val="0"/>
              <w:autoSpaceDN w:val="0"/>
              <w:adjustRightInd w:val="0"/>
              <w:rPr>
                <w:color w:val="000000"/>
              </w:rPr>
            </w:pPr>
          </w:p>
        </w:tc>
        <w:tc>
          <w:tcPr>
            <w:tcW w:w="1260" w:type="dxa"/>
            <w:tcBorders>
              <w:top w:val="nil"/>
              <w:left w:val="single" w:sz="4" w:space="0" w:color="auto"/>
              <w:bottom w:val="single" w:sz="4" w:space="0" w:color="auto"/>
              <w:right w:val="single" w:sz="4" w:space="0" w:color="auto"/>
            </w:tcBorders>
            <w:vAlign w:val="center"/>
            <w:hideMark/>
          </w:tcPr>
          <w:p w14:paraId="6E908CD3" w14:textId="2795953C" w:rsidR="00041011" w:rsidRDefault="00041011" w:rsidP="00E93881">
            <w:pPr>
              <w:autoSpaceDE w:val="0"/>
              <w:autoSpaceDN w:val="0"/>
              <w:adjustRightInd w:val="0"/>
              <w:rPr>
                <w:color w:val="000000"/>
              </w:rPr>
            </w:pPr>
          </w:p>
        </w:tc>
      </w:tr>
      <w:tr w:rsidR="00CB4783" w14:paraId="56DE62C6" w14:textId="77777777" w:rsidTr="003B6907">
        <w:trPr>
          <w:jc w:val="center"/>
        </w:trPr>
        <w:tc>
          <w:tcPr>
            <w:tcW w:w="4753" w:type="dxa"/>
            <w:tcBorders>
              <w:top w:val="single" w:sz="4" w:space="0" w:color="auto"/>
              <w:left w:val="single" w:sz="4" w:space="0" w:color="auto"/>
              <w:bottom w:val="nil"/>
              <w:right w:val="single" w:sz="4" w:space="0" w:color="auto"/>
            </w:tcBorders>
            <w:vAlign w:val="center"/>
            <w:hideMark/>
          </w:tcPr>
          <w:p w14:paraId="146ED835" w14:textId="625994F8" w:rsidR="00CB4783" w:rsidRDefault="00CB4783" w:rsidP="009B6470">
            <w:pPr>
              <w:autoSpaceDE w:val="0"/>
              <w:autoSpaceDN w:val="0"/>
              <w:adjustRightInd w:val="0"/>
              <w:rPr>
                <w:color w:val="000000"/>
              </w:rPr>
            </w:pPr>
            <w:r>
              <w:rPr>
                <w:color w:val="000000"/>
              </w:rPr>
              <w:t>Total Sample Size</w:t>
            </w:r>
            <w:r w:rsidR="009E7C63">
              <w:rPr>
                <w:color w:val="000000"/>
              </w:rPr>
              <w:t xml:space="preserve"> (addresses)</w:t>
            </w:r>
          </w:p>
        </w:tc>
        <w:tc>
          <w:tcPr>
            <w:tcW w:w="1272" w:type="dxa"/>
            <w:tcBorders>
              <w:top w:val="single" w:sz="4" w:space="0" w:color="auto"/>
              <w:left w:val="nil"/>
              <w:bottom w:val="nil"/>
              <w:right w:val="single" w:sz="4" w:space="0" w:color="auto"/>
            </w:tcBorders>
            <w:vAlign w:val="center"/>
            <w:hideMark/>
          </w:tcPr>
          <w:p w14:paraId="0D238538" w14:textId="77777777" w:rsidR="00CB4783" w:rsidRDefault="00CB4783" w:rsidP="009B6470">
            <w:pPr>
              <w:autoSpaceDE w:val="0"/>
              <w:autoSpaceDN w:val="0"/>
              <w:adjustRightInd w:val="0"/>
              <w:jc w:val="center"/>
              <w:rPr>
                <w:color w:val="000000"/>
              </w:rPr>
            </w:pPr>
            <w:r>
              <w:rPr>
                <w:color w:val="000000"/>
              </w:rPr>
              <w:t>48,000</w:t>
            </w:r>
          </w:p>
        </w:tc>
        <w:tc>
          <w:tcPr>
            <w:tcW w:w="1260" w:type="dxa"/>
            <w:tcBorders>
              <w:top w:val="single" w:sz="4" w:space="0" w:color="auto"/>
              <w:left w:val="single" w:sz="4" w:space="0" w:color="auto"/>
              <w:bottom w:val="nil"/>
              <w:right w:val="single" w:sz="4" w:space="0" w:color="auto"/>
            </w:tcBorders>
            <w:vAlign w:val="center"/>
            <w:hideMark/>
          </w:tcPr>
          <w:p w14:paraId="26BA5F15" w14:textId="77777777" w:rsidR="00CB4783" w:rsidRDefault="00CB4783" w:rsidP="009B6470">
            <w:pPr>
              <w:autoSpaceDE w:val="0"/>
              <w:autoSpaceDN w:val="0"/>
              <w:adjustRightInd w:val="0"/>
              <w:jc w:val="center"/>
              <w:rPr>
                <w:color w:val="000000"/>
              </w:rPr>
            </w:pPr>
            <w:r>
              <w:rPr>
                <w:color w:val="000000"/>
              </w:rPr>
              <w:t>12,000</w:t>
            </w:r>
          </w:p>
        </w:tc>
      </w:tr>
      <w:tr w:rsidR="00CB4783" w14:paraId="35C250AD" w14:textId="77777777" w:rsidTr="003B6907">
        <w:trPr>
          <w:jc w:val="center"/>
        </w:trPr>
        <w:tc>
          <w:tcPr>
            <w:tcW w:w="4753" w:type="dxa"/>
            <w:tcBorders>
              <w:top w:val="nil"/>
              <w:left w:val="single" w:sz="4" w:space="0" w:color="auto"/>
              <w:bottom w:val="nil"/>
              <w:right w:val="single" w:sz="4" w:space="0" w:color="auto"/>
            </w:tcBorders>
            <w:vAlign w:val="center"/>
          </w:tcPr>
          <w:p w14:paraId="2C801DF9" w14:textId="77777777" w:rsidR="00CB4783" w:rsidRDefault="00CB4783" w:rsidP="009B6470">
            <w:pPr>
              <w:autoSpaceDE w:val="0"/>
              <w:autoSpaceDN w:val="0"/>
              <w:adjustRightInd w:val="0"/>
              <w:rPr>
                <w:color w:val="000000"/>
              </w:rPr>
            </w:pPr>
          </w:p>
        </w:tc>
        <w:tc>
          <w:tcPr>
            <w:tcW w:w="1272" w:type="dxa"/>
            <w:tcBorders>
              <w:top w:val="nil"/>
              <w:left w:val="nil"/>
              <w:bottom w:val="nil"/>
              <w:right w:val="single" w:sz="4" w:space="0" w:color="auto"/>
            </w:tcBorders>
            <w:vAlign w:val="center"/>
          </w:tcPr>
          <w:p w14:paraId="1443022D"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69B73D94" w14:textId="77777777" w:rsidR="00CB4783" w:rsidRDefault="00CB4783" w:rsidP="009B6470">
            <w:pPr>
              <w:autoSpaceDE w:val="0"/>
              <w:autoSpaceDN w:val="0"/>
              <w:adjustRightInd w:val="0"/>
              <w:jc w:val="center"/>
              <w:rPr>
                <w:color w:val="000000"/>
              </w:rPr>
            </w:pPr>
          </w:p>
        </w:tc>
      </w:tr>
      <w:tr w:rsidR="00CB4783" w14:paraId="1B6D0E5A" w14:textId="77777777" w:rsidTr="003B6907">
        <w:trPr>
          <w:jc w:val="center"/>
        </w:trPr>
        <w:tc>
          <w:tcPr>
            <w:tcW w:w="4753" w:type="dxa"/>
            <w:tcBorders>
              <w:top w:val="nil"/>
              <w:left w:val="single" w:sz="4" w:space="0" w:color="auto"/>
              <w:bottom w:val="nil"/>
              <w:right w:val="single" w:sz="4" w:space="0" w:color="auto"/>
            </w:tcBorders>
            <w:vAlign w:val="center"/>
            <w:hideMark/>
          </w:tcPr>
          <w:p w14:paraId="7A9DC4A0" w14:textId="77777777" w:rsidR="00CB4783" w:rsidRDefault="00CB4783" w:rsidP="009B6470">
            <w:pPr>
              <w:autoSpaceDE w:val="0"/>
              <w:autoSpaceDN w:val="0"/>
              <w:adjustRightInd w:val="0"/>
              <w:rPr>
                <w:color w:val="000000"/>
              </w:rPr>
            </w:pPr>
            <w:r>
              <w:rPr>
                <w:color w:val="000000"/>
              </w:rPr>
              <w:t>Type B and C Noninterviews (vacant, demolished, etc.)</w:t>
            </w:r>
          </w:p>
        </w:tc>
        <w:tc>
          <w:tcPr>
            <w:tcW w:w="1272" w:type="dxa"/>
            <w:tcBorders>
              <w:top w:val="nil"/>
              <w:left w:val="nil"/>
              <w:bottom w:val="nil"/>
              <w:right w:val="single" w:sz="4" w:space="0" w:color="auto"/>
            </w:tcBorders>
            <w:vAlign w:val="center"/>
          </w:tcPr>
          <w:p w14:paraId="70485D7C"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23374C0B" w14:textId="77777777" w:rsidR="00CB4783" w:rsidRDefault="00CB4783" w:rsidP="009B6470">
            <w:pPr>
              <w:autoSpaceDE w:val="0"/>
              <w:autoSpaceDN w:val="0"/>
              <w:adjustRightInd w:val="0"/>
              <w:jc w:val="center"/>
              <w:rPr>
                <w:color w:val="000000"/>
              </w:rPr>
            </w:pPr>
          </w:p>
        </w:tc>
      </w:tr>
      <w:tr w:rsidR="00CB4783" w14:paraId="3B5CD6F7" w14:textId="77777777" w:rsidTr="003B6907">
        <w:trPr>
          <w:jc w:val="center"/>
        </w:trPr>
        <w:tc>
          <w:tcPr>
            <w:tcW w:w="4753" w:type="dxa"/>
            <w:tcBorders>
              <w:top w:val="nil"/>
              <w:left w:val="single" w:sz="4" w:space="0" w:color="auto"/>
              <w:bottom w:val="nil"/>
              <w:right w:val="single" w:sz="4" w:space="0" w:color="auto"/>
            </w:tcBorders>
            <w:vAlign w:val="center"/>
            <w:hideMark/>
          </w:tcPr>
          <w:p w14:paraId="41CC49B1" w14:textId="77777777" w:rsidR="00CB4783" w:rsidRDefault="00CB4783" w:rsidP="009B6470">
            <w:pPr>
              <w:autoSpaceDE w:val="0"/>
              <w:autoSpaceDN w:val="0"/>
              <w:adjustRightInd w:val="0"/>
              <w:rPr>
                <w:color w:val="000000"/>
              </w:rPr>
            </w:pPr>
            <w:r>
              <w:rPr>
                <w:color w:val="000000"/>
              </w:rPr>
              <w:t xml:space="preserve">     Number</w:t>
            </w:r>
          </w:p>
        </w:tc>
        <w:tc>
          <w:tcPr>
            <w:tcW w:w="1272" w:type="dxa"/>
            <w:tcBorders>
              <w:top w:val="nil"/>
              <w:left w:val="nil"/>
              <w:bottom w:val="nil"/>
              <w:right w:val="single" w:sz="4" w:space="0" w:color="auto"/>
            </w:tcBorders>
            <w:vAlign w:val="center"/>
            <w:hideMark/>
          </w:tcPr>
          <w:p w14:paraId="44C79248" w14:textId="77777777" w:rsidR="00CB4783" w:rsidRDefault="00CB4783" w:rsidP="009B6470">
            <w:pPr>
              <w:autoSpaceDE w:val="0"/>
              <w:autoSpaceDN w:val="0"/>
              <w:adjustRightInd w:val="0"/>
              <w:jc w:val="center"/>
              <w:rPr>
                <w:color w:val="000000"/>
              </w:rPr>
            </w:pPr>
            <w:r>
              <w:rPr>
                <w:color w:val="000000"/>
              </w:rPr>
              <w:t>6,240</w:t>
            </w:r>
          </w:p>
        </w:tc>
        <w:tc>
          <w:tcPr>
            <w:tcW w:w="1260" w:type="dxa"/>
            <w:tcBorders>
              <w:top w:val="nil"/>
              <w:left w:val="single" w:sz="4" w:space="0" w:color="auto"/>
              <w:bottom w:val="nil"/>
              <w:right w:val="single" w:sz="4" w:space="0" w:color="auto"/>
            </w:tcBorders>
            <w:vAlign w:val="center"/>
            <w:hideMark/>
          </w:tcPr>
          <w:p w14:paraId="3743B3FE" w14:textId="77777777" w:rsidR="00CB4783" w:rsidRDefault="00CB4783" w:rsidP="009B6470">
            <w:pPr>
              <w:autoSpaceDE w:val="0"/>
              <w:autoSpaceDN w:val="0"/>
              <w:adjustRightInd w:val="0"/>
              <w:jc w:val="center"/>
              <w:rPr>
                <w:color w:val="000000"/>
              </w:rPr>
            </w:pPr>
            <w:r>
              <w:rPr>
                <w:color w:val="000000"/>
              </w:rPr>
              <w:t>1,560</w:t>
            </w:r>
          </w:p>
        </w:tc>
      </w:tr>
      <w:tr w:rsidR="00CB4783" w14:paraId="1EC54282" w14:textId="77777777" w:rsidTr="003B6907">
        <w:trPr>
          <w:jc w:val="center"/>
        </w:trPr>
        <w:tc>
          <w:tcPr>
            <w:tcW w:w="4753" w:type="dxa"/>
            <w:tcBorders>
              <w:top w:val="nil"/>
              <w:left w:val="single" w:sz="4" w:space="0" w:color="auto"/>
              <w:bottom w:val="nil"/>
              <w:right w:val="single" w:sz="4" w:space="0" w:color="auto"/>
            </w:tcBorders>
            <w:vAlign w:val="center"/>
            <w:hideMark/>
          </w:tcPr>
          <w:p w14:paraId="73AF8457" w14:textId="77777777" w:rsidR="00CB4783" w:rsidRDefault="00CB4783" w:rsidP="009B6470">
            <w:pPr>
              <w:autoSpaceDE w:val="0"/>
              <w:autoSpaceDN w:val="0"/>
              <w:adjustRightInd w:val="0"/>
              <w:rPr>
                <w:color w:val="000000"/>
              </w:rPr>
            </w:pPr>
            <w:r>
              <w:rPr>
                <w:color w:val="000000"/>
              </w:rPr>
              <w:t xml:space="preserve">     Percent of Total Sample</w:t>
            </w:r>
          </w:p>
        </w:tc>
        <w:tc>
          <w:tcPr>
            <w:tcW w:w="1272" w:type="dxa"/>
            <w:tcBorders>
              <w:top w:val="nil"/>
              <w:left w:val="nil"/>
              <w:bottom w:val="nil"/>
              <w:right w:val="single" w:sz="4" w:space="0" w:color="auto"/>
            </w:tcBorders>
            <w:vAlign w:val="center"/>
            <w:hideMark/>
          </w:tcPr>
          <w:p w14:paraId="333A4267" w14:textId="77777777" w:rsidR="00CB4783" w:rsidRDefault="00CB4783" w:rsidP="009B6470">
            <w:pPr>
              <w:autoSpaceDE w:val="0"/>
              <w:autoSpaceDN w:val="0"/>
              <w:adjustRightInd w:val="0"/>
              <w:jc w:val="center"/>
              <w:rPr>
                <w:color w:val="000000"/>
              </w:rPr>
            </w:pPr>
            <w:r>
              <w:rPr>
                <w:color w:val="000000"/>
              </w:rPr>
              <w:t>13.0</w:t>
            </w:r>
          </w:p>
        </w:tc>
        <w:tc>
          <w:tcPr>
            <w:tcW w:w="1260" w:type="dxa"/>
            <w:tcBorders>
              <w:top w:val="nil"/>
              <w:left w:val="single" w:sz="4" w:space="0" w:color="auto"/>
              <w:bottom w:val="nil"/>
              <w:right w:val="single" w:sz="4" w:space="0" w:color="auto"/>
            </w:tcBorders>
            <w:vAlign w:val="center"/>
            <w:hideMark/>
          </w:tcPr>
          <w:p w14:paraId="5D123698" w14:textId="77777777" w:rsidR="00CB4783" w:rsidRDefault="00CB4783" w:rsidP="009B6470">
            <w:pPr>
              <w:autoSpaceDE w:val="0"/>
              <w:autoSpaceDN w:val="0"/>
              <w:adjustRightInd w:val="0"/>
              <w:jc w:val="center"/>
              <w:rPr>
                <w:color w:val="000000"/>
              </w:rPr>
            </w:pPr>
            <w:r>
              <w:rPr>
                <w:color w:val="000000"/>
              </w:rPr>
              <w:t>13.0</w:t>
            </w:r>
          </w:p>
        </w:tc>
      </w:tr>
      <w:tr w:rsidR="00CB4783" w14:paraId="61D85F96" w14:textId="77777777" w:rsidTr="003B6907">
        <w:trPr>
          <w:jc w:val="center"/>
        </w:trPr>
        <w:tc>
          <w:tcPr>
            <w:tcW w:w="4753" w:type="dxa"/>
            <w:tcBorders>
              <w:top w:val="nil"/>
              <w:left w:val="single" w:sz="4" w:space="0" w:color="auto"/>
              <w:bottom w:val="nil"/>
              <w:right w:val="single" w:sz="4" w:space="0" w:color="auto"/>
            </w:tcBorders>
            <w:vAlign w:val="center"/>
          </w:tcPr>
          <w:p w14:paraId="10952E2D" w14:textId="77777777" w:rsidR="00CB4783" w:rsidRDefault="00CB4783" w:rsidP="009B6470">
            <w:pPr>
              <w:autoSpaceDE w:val="0"/>
              <w:autoSpaceDN w:val="0"/>
              <w:adjustRightInd w:val="0"/>
              <w:rPr>
                <w:color w:val="000000"/>
              </w:rPr>
            </w:pPr>
          </w:p>
        </w:tc>
        <w:tc>
          <w:tcPr>
            <w:tcW w:w="1272" w:type="dxa"/>
            <w:tcBorders>
              <w:top w:val="nil"/>
              <w:left w:val="nil"/>
              <w:bottom w:val="nil"/>
              <w:right w:val="single" w:sz="4" w:space="0" w:color="auto"/>
            </w:tcBorders>
            <w:vAlign w:val="center"/>
          </w:tcPr>
          <w:p w14:paraId="4E5E9838"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1E0285EC" w14:textId="77777777" w:rsidR="00CB4783" w:rsidRDefault="00CB4783" w:rsidP="009B6470">
            <w:pPr>
              <w:autoSpaceDE w:val="0"/>
              <w:autoSpaceDN w:val="0"/>
              <w:adjustRightInd w:val="0"/>
              <w:jc w:val="center"/>
              <w:rPr>
                <w:color w:val="000000"/>
              </w:rPr>
            </w:pPr>
          </w:p>
        </w:tc>
      </w:tr>
      <w:tr w:rsidR="00CB4783" w14:paraId="6B876345" w14:textId="77777777" w:rsidTr="003B6907">
        <w:trPr>
          <w:jc w:val="center"/>
        </w:trPr>
        <w:tc>
          <w:tcPr>
            <w:tcW w:w="4753" w:type="dxa"/>
            <w:tcBorders>
              <w:top w:val="nil"/>
              <w:left w:val="single" w:sz="4" w:space="0" w:color="auto"/>
              <w:bottom w:val="nil"/>
              <w:right w:val="single" w:sz="4" w:space="0" w:color="auto"/>
            </w:tcBorders>
            <w:vAlign w:val="center"/>
            <w:hideMark/>
          </w:tcPr>
          <w:p w14:paraId="44D7E7D1" w14:textId="41FB364D" w:rsidR="00CB4783" w:rsidRDefault="00CB4783" w:rsidP="009B6470">
            <w:pPr>
              <w:autoSpaceDE w:val="0"/>
              <w:autoSpaceDN w:val="0"/>
              <w:adjustRightInd w:val="0"/>
              <w:rPr>
                <w:color w:val="000000"/>
              </w:rPr>
            </w:pPr>
            <w:r>
              <w:rPr>
                <w:color w:val="000000"/>
              </w:rPr>
              <w:t>Eligible Units</w:t>
            </w:r>
            <w:r w:rsidR="00505B67">
              <w:rPr>
                <w:color w:val="000000"/>
              </w:rPr>
              <w:t xml:space="preserve"> (occupied housing units)</w:t>
            </w:r>
          </w:p>
        </w:tc>
        <w:tc>
          <w:tcPr>
            <w:tcW w:w="1272" w:type="dxa"/>
            <w:tcBorders>
              <w:top w:val="nil"/>
              <w:left w:val="nil"/>
              <w:bottom w:val="nil"/>
              <w:right w:val="single" w:sz="4" w:space="0" w:color="auto"/>
            </w:tcBorders>
            <w:vAlign w:val="center"/>
          </w:tcPr>
          <w:p w14:paraId="53345F8F"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1B42C4DF" w14:textId="77777777" w:rsidR="00CB4783" w:rsidRDefault="00CB4783" w:rsidP="009B6470">
            <w:pPr>
              <w:autoSpaceDE w:val="0"/>
              <w:autoSpaceDN w:val="0"/>
              <w:adjustRightInd w:val="0"/>
              <w:jc w:val="center"/>
              <w:rPr>
                <w:color w:val="000000"/>
              </w:rPr>
            </w:pPr>
          </w:p>
        </w:tc>
      </w:tr>
      <w:tr w:rsidR="00CB4783" w14:paraId="78404A2C" w14:textId="77777777" w:rsidTr="003B6907">
        <w:trPr>
          <w:jc w:val="center"/>
        </w:trPr>
        <w:tc>
          <w:tcPr>
            <w:tcW w:w="4753" w:type="dxa"/>
            <w:tcBorders>
              <w:top w:val="nil"/>
              <w:left w:val="single" w:sz="4" w:space="0" w:color="auto"/>
              <w:bottom w:val="nil"/>
              <w:right w:val="single" w:sz="4" w:space="0" w:color="auto"/>
            </w:tcBorders>
            <w:vAlign w:val="center"/>
            <w:hideMark/>
          </w:tcPr>
          <w:p w14:paraId="43F83A1D" w14:textId="77777777" w:rsidR="00CB4783" w:rsidRDefault="00CB4783" w:rsidP="009B6470">
            <w:pPr>
              <w:autoSpaceDE w:val="0"/>
              <w:autoSpaceDN w:val="0"/>
              <w:adjustRightInd w:val="0"/>
              <w:rPr>
                <w:color w:val="000000"/>
              </w:rPr>
            </w:pPr>
            <w:r>
              <w:rPr>
                <w:color w:val="000000"/>
              </w:rPr>
              <w:t xml:space="preserve">     Number</w:t>
            </w:r>
          </w:p>
        </w:tc>
        <w:tc>
          <w:tcPr>
            <w:tcW w:w="1272" w:type="dxa"/>
            <w:tcBorders>
              <w:top w:val="nil"/>
              <w:left w:val="nil"/>
              <w:bottom w:val="nil"/>
              <w:right w:val="single" w:sz="4" w:space="0" w:color="auto"/>
            </w:tcBorders>
            <w:vAlign w:val="center"/>
            <w:hideMark/>
          </w:tcPr>
          <w:p w14:paraId="64166D33" w14:textId="77777777" w:rsidR="00CB4783" w:rsidRDefault="00CB4783" w:rsidP="009B6470">
            <w:pPr>
              <w:autoSpaceDE w:val="0"/>
              <w:autoSpaceDN w:val="0"/>
              <w:adjustRightInd w:val="0"/>
              <w:jc w:val="center"/>
              <w:rPr>
                <w:color w:val="000000"/>
              </w:rPr>
            </w:pPr>
            <w:r>
              <w:rPr>
                <w:color w:val="000000"/>
              </w:rPr>
              <w:t>41,760</w:t>
            </w:r>
          </w:p>
        </w:tc>
        <w:tc>
          <w:tcPr>
            <w:tcW w:w="1260" w:type="dxa"/>
            <w:tcBorders>
              <w:top w:val="nil"/>
              <w:left w:val="single" w:sz="4" w:space="0" w:color="auto"/>
              <w:bottom w:val="nil"/>
              <w:right w:val="single" w:sz="4" w:space="0" w:color="auto"/>
            </w:tcBorders>
            <w:vAlign w:val="center"/>
            <w:hideMark/>
          </w:tcPr>
          <w:p w14:paraId="4B68382F" w14:textId="77777777" w:rsidR="00CB4783" w:rsidRDefault="00CB4783" w:rsidP="009B6470">
            <w:pPr>
              <w:autoSpaceDE w:val="0"/>
              <w:autoSpaceDN w:val="0"/>
              <w:adjustRightInd w:val="0"/>
              <w:jc w:val="center"/>
              <w:rPr>
                <w:color w:val="000000"/>
              </w:rPr>
            </w:pPr>
            <w:r>
              <w:rPr>
                <w:color w:val="000000"/>
              </w:rPr>
              <w:t>10,440</w:t>
            </w:r>
          </w:p>
        </w:tc>
      </w:tr>
      <w:tr w:rsidR="00CB4783" w14:paraId="40A28406" w14:textId="77777777" w:rsidTr="003B6907">
        <w:trPr>
          <w:jc w:val="center"/>
        </w:trPr>
        <w:tc>
          <w:tcPr>
            <w:tcW w:w="4753" w:type="dxa"/>
            <w:tcBorders>
              <w:top w:val="nil"/>
              <w:left w:val="single" w:sz="4" w:space="0" w:color="auto"/>
              <w:bottom w:val="nil"/>
              <w:right w:val="single" w:sz="4" w:space="0" w:color="auto"/>
            </w:tcBorders>
            <w:vAlign w:val="center"/>
            <w:hideMark/>
          </w:tcPr>
          <w:p w14:paraId="556A77CA" w14:textId="77777777" w:rsidR="00CB4783" w:rsidRDefault="00CB4783" w:rsidP="009B6470">
            <w:pPr>
              <w:autoSpaceDE w:val="0"/>
              <w:autoSpaceDN w:val="0"/>
              <w:adjustRightInd w:val="0"/>
              <w:rPr>
                <w:color w:val="000000"/>
              </w:rPr>
            </w:pPr>
            <w:r>
              <w:rPr>
                <w:color w:val="000000"/>
              </w:rPr>
              <w:t xml:space="preserve">     Percent of Total Sample</w:t>
            </w:r>
          </w:p>
        </w:tc>
        <w:tc>
          <w:tcPr>
            <w:tcW w:w="1272" w:type="dxa"/>
            <w:tcBorders>
              <w:top w:val="nil"/>
              <w:left w:val="nil"/>
              <w:bottom w:val="nil"/>
              <w:right w:val="single" w:sz="4" w:space="0" w:color="auto"/>
            </w:tcBorders>
            <w:vAlign w:val="center"/>
            <w:hideMark/>
          </w:tcPr>
          <w:p w14:paraId="53A98FEE" w14:textId="77777777" w:rsidR="00CB4783" w:rsidRDefault="00CB4783" w:rsidP="009B6470">
            <w:pPr>
              <w:autoSpaceDE w:val="0"/>
              <w:autoSpaceDN w:val="0"/>
              <w:adjustRightInd w:val="0"/>
              <w:jc w:val="center"/>
              <w:rPr>
                <w:color w:val="000000"/>
              </w:rPr>
            </w:pPr>
            <w:r>
              <w:rPr>
                <w:color w:val="000000"/>
              </w:rPr>
              <w:t>87.0</w:t>
            </w:r>
          </w:p>
        </w:tc>
        <w:tc>
          <w:tcPr>
            <w:tcW w:w="1260" w:type="dxa"/>
            <w:tcBorders>
              <w:top w:val="nil"/>
              <w:left w:val="single" w:sz="4" w:space="0" w:color="auto"/>
              <w:bottom w:val="nil"/>
              <w:right w:val="single" w:sz="4" w:space="0" w:color="auto"/>
            </w:tcBorders>
            <w:vAlign w:val="center"/>
            <w:hideMark/>
          </w:tcPr>
          <w:p w14:paraId="2B038217" w14:textId="77777777" w:rsidR="00CB4783" w:rsidRDefault="00CB4783" w:rsidP="009B6470">
            <w:pPr>
              <w:autoSpaceDE w:val="0"/>
              <w:autoSpaceDN w:val="0"/>
              <w:adjustRightInd w:val="0"/>
              <w:jc w:val="center"/>
              <w:rPr>
                <w:color w:val="000000"/>
              </w:rPr>
            </w:pPr>
            <w:r>
              <w:rPr>
                <w:color w:val="000000"/>
              </w:rPr>
              <w:t>87.0</w:t>
            </w:r>
          </w:p>
        </w:tc>
      </w:tr>
      <w:tr w:rsidR="00CB4783" w14:paraId="42C55502" w14:textId="77777777" w:rsidTr="003B6907">
        <w:trPr>
          <w:jc w:val="center"/>
        </w:trPr>
        <w:tc>
          <w:tcPr>
            <w:tcW w:w="4753" w:type="dxa"/>
            <w:tcBorders>
              <w:top w:val="nil"/>
              <w:left w:val="single" w:sz="4" w:space="0" w:color="auto"/>
              <w:bottom w:val="nil"/>
              <w:right w:val="single" w:sz="4" w:space="0" w:color="auto"/>
            </w:tcBorders>
            <w:vAlign w:val="center"/>
          </w:tcPr>
          <w:p w14:paraId="35AFA196" w14:textId="77777777" w:rsidR="00CB4783" w:rsidRDefault="00CB4783" w:rsidP="009B6470">
            <w:pPr>
              <w:autoSpaceDE w:val="0"/>
              <w:autoSpaceDN w:val="0"/>
              <w:adjustRightInd w:val="0"/>
              <w:rPr>
                <w:color w:val="000000"/>
              </w:rPr>
            </w:pPr>
          </w:p>
        </w:tc>
        <w:tc>
          <w:tcPr>
            <w:tcW w:w="1272" w:type="dxa"/>
            <w:tcBorders>
              <w:top w:val="nil"/>
              <w:left w:val="nil"/>
              <w:bottom w:val="nil"/>
              <w:right w:val="single" w:sz="4" w:space="0" w:color="auto"/>
            </w:tcBorders>
            <w:vAlign w:val="center"/>
          </w:tcPr>
          <w:p w14:paraId="25C1D4B3"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180995D2" w14:textId="77777777" w:rsidR="00CB4783" w:rsidRDefault="00CB4783" w:rsidP="009B6470">
            <w:pPr>
              <w:autoSpaceDE w:val="0"/>
              <w:autoSpaceDN w:val="0"/>
              <w:adjustRightInd w:val="0"/>
              <w:jc w:val="center"/>
              <w:rPr>
                <w:color w:val="000000"/>
              </w:rPr>
            </w:pPr>
          </w:p>
        </w:tc>
      </w:tr>
      <w:tr w:rsidR="00CB4783" w14:paraId="1F8CB62B" w14:textId="77777777" w:rsidTr="003B6907">
        <w:trPr>
          <w:jc w:val="center"/>
        </w:trPr>
        <w:tc>
          <w:tcPr>
            <w:tcW w:w="4753" w:type="dxa"/>
            <w:tcBorders>
              <w:top w:val="nil"/>
              <w:left w:val="single" w:sz="4" w:space="0" w:color="auto"/>
              <w:bottom w:val="nil"/>
              <w:right w:val="single" w:sz="4" w:space="0" w:color="auto"/>
            </w:tcBorders>
            <w:vAlign w:val="center"/>
            <w:hideMark/>
          </w:tcPr>
          <w:p w14:paraId="275AFEA7" w14:textId="77777777" w:rsidR="00CB4783" w:rsidRDefault="00CB4783" w:rsidP="009B6470">
            <w:pPr>
              <w:autoSpaceDE w:val="0"/>
              <w:autoSpaceDN w:val="0"/>
              <w:adjustRightInd w:val="0"/>
              <w:rPr>
                <w:color w:val="000000"/>
              </w:rPr>
            </w:pPr>
            <w:r>
              <w:rPr>
                <w:color w:val="000000"/>
              </w:rPr>
              <w:t>Type A Noninterviews</w:t>
            </w:r>
          </w:p>
        </w:tc>
        <w:tc>
          <w:tcPr>
            <w:tcW w:w="1272" w:type="dxa"/>
            <w:tcBorders>
              <w:top w:val="nil"/>
              <w:left w:val="nil"/>
              <w:bottom w:val="nil"/>
              <w:right w:val="single" w:sz="4" w:space="0" w:color="auto"/>
            </w:tcBorders>
            <w:vAlign w:val="center"/>
          </w:tcPr>
          <w:p w14:paraId="285751BC"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38E7614E" w14:textId="77777777" w:rsidR="00CB4783" w:rsidRDefault="00CB4783" w:rsidP="009B6470">
            <w:pPr>
              <w:autoSpaceDE w:val="0"/>
              <w:autoSpaceDN w:val="0"/>
              <w:adjustRightInd w:val="0"/>
              <w:jc w:val="center"/>
              <w:rPr>
                <w:color w:val="000000"/>
              </w:rPr>
            </w:pPr>
          </w:p>
        </w:tc>
      </w:tr>
      <w:tr w:rsidR="00CB4783" w14:paraId="6C6AE5AF" w14:textId="77777777" w:rsidTr="003B6907">
        <w:trPr>
          <w:jc w:val="center"/>
        </w:trPr>
        <w:tc>
          <w:tcPr>
            <w:tcW w:w="4753" w:type="dxa"/>
            <w:tcBorders>
              <w:top w:val="nil"/>
              <w:left w:val="single" w:sz="4" w:space="0" w:color="auto"/>
              <w:bottom w:val="nil"/>
              <w:right w:val="single" w:sz="4" w:space="0" w:color="auto"/>
            </w:tcBorders>
            <w:vAlign w:val="center"/>
            <w:hideMark/>
          </w:tcPr>
          <w:p w14:paraId="74355860" w14:textId="77777777" w:rsidR="00CB4783" w:rsidRDefault="00CB4783" w:rsidP="009B6470">
            <w:pPr>
              <w:autoSpaceDE w:val="0"/>
              <w:autoSpaceDN w:val="0"/>
              <w:adjustRightInd w:val="0"/>
              <w:rPr>
                <w:color w:val="000000"/>
              </w:rPr>
            </w:pPr>
            <w:r>
              <w:rPr>
                <w:color w:val="000000"/>
              </w:rPr>
              <w:t xml:space="preserve">     Number</w:t>
            </w:r>
          </w:p>
        </w:tc>
        <w:tc>
          <w:tcPr>
            <w:tcW w:w="1272" w:type="dxa"/>
            <w:tcBorders>
              <w:top w:val="nil"/>
              <w:left w:val="nil"/>
              <w:bottom w:val="nil"/>
              <w:right w:val="single" w:sz="4" w:space="0" w:color="auto"/>
            </w:tcBorders>
            <w:vAlign w:val="center"/>
            <w:hideMark/>
          </w:tcPr>
          <w:p w14:paraId="48F4299A" w14:textId="6ADE0385" w:rsidR="00CB4783" w:rsidRDefault="00CB4783" w:rsidP="004401E9">
            <w:pPr>
              <w:autoSpaceDE w:val="0"/>
              <w:autoSpaceDN w:val="0"/>
              <w:adjustRightInd w:val="0"/>
              <w:jc w:val="center"/>
              <w:rPr>
                <w:color w:val="000000"/>
              </w:rPr>
            </w:pPr>
            <w:r>
              <w:rPr>
                <w:color w:val="000000"/>
              </w:rPr>
              <w:t>14,1</w:t>
            </w:r>
            <w:r w:rsidR="004401E9">
              <w:rPr>
                <w:color w:val="000000"/>
              </w:rPr>
              <w:t>60</w:t>
            </w:r>
          </w:p>
        </w:tc>
        <w:tc>
          <w:tcPr>
            <w:tcW w:w="1260" w:type="dxa"/>
            <w:tcBorders>
              <w:top w:val="nil"/>
              <w:left w:val="single" w:sz="4" w:space="0" w:color="auto"/>
              <w:bottom w:val="nil"/>
              <w:right w:val="single" w:sz="4" w:space="0" w:color="auto"/>
            </w:tcBorders>
            <w:vAlign w:val="center"/>
            <w:hideMark/>
          </w:tcPr>
          <w:p w14:paraId="59ECCC6A" w14:textId="654EE3F1" w:rsidR="00CB4783" w:rsidRDefault="00CB4783" w:rsidP="004401E9">
            <w:pPr>
              <w:autoSpaceDE w:val="0"/>
              <w:autoSpaceDN w:val="0"/>
              <w:adjustRightInd w:val="0"/>
              <w:jc w:val="center"/>
              <w:rPr>
                <w:color w:val="000000"/>
              </w:rPr>
            </w:pPr>
            <w:r>
              <w:rPr>
                <w:color w:val="000000"/>
              </w:rPr>
              <w:t>3,5</w:t>
            </w:r>
            <w:r w:rsidR="004401E9">
              <w:rPr>
                <w:color w:val="000000"/>
              </w:rPr>
              <w:t>4</w:t>
            </w:r>
            <w:r>
              <w:rPr>
                <w:color w:val="000000"/>
              </w:rPr>
              <w:t>0</w:t>
            </w:r>
          </w:p>
        </w:tc>
      </w:tr>
      <w:tr w:rsidR="00CB4783" w14:paraId="2FC020BF" w14:textId="77777777" w:rsidTr="003B6907">
        <w:trPr>
          <w:jc w:val="center"/>
        </w:trPr>
        <w:tc>
          <w:tcPr>
            <w:tcW w:w="4753" w:type="dxa"/>
            <w:tcBorders>
              <w:top w:val="nil"/>
              <w:left w:val="single" w:sz="4" w:space="0" w:color="auto"/>
              <w:bottom w:val="nil"/>
              <w:right w:val="single" w:sz="4" w:space="0" w:color="auto"/>
            </w:tcBorders>
            <w:vAlign w:val="center"/>
            <w:hideMark/>
          </w:tcPr>
          <w:p w14:paraId="5BFA48FC" w14:textId="77777777" w:rsidR="00CB4783" w:rsidRDefault="00CB4783" w:rsidP="009B6470">
            <w:pPr>
              <w:autoSpaceDE w:val="0"/>
              <w:autoSpaceDN w:val="0"/>
              <w:adjustRightInd w:val="0"/>
              <w:rPr>
                <w:color w:val="000000"/>
              </w:rPr>
            </w:pPr>
            <w:r>
              <w:rPr>
                <w:color w:val="000000"/>
              </w:rPr>
              <w:t xml:space="preserve">     Percent of Eligible Units</w:t>
            </w:r>
          </w:p>
        </w:tc>
        <w:tc>
          <w:tcPr>
            <w:tcW w:w="1272" w:type="dxa"/>
            <w:tcBorders>
              <w:top w:val="nil"/>
              <w:left w:val="nil"/>
              <w:bottom w:val="nil"/>
              <w:right w:val="single" w:sz="4" w:space="0" w:color="auto"/>
            </w:tcBorders>
            <w:vAlign w:val="center"/>
            <w:hideMark/>
          </w:tcPr>
          <w:p w14:paraId="35B3C16F" w14:textId="534557F2" w:rsidR="00CB4783" w:rsidRDefault="00CB4783" w:rsidP="009B6470">
            <w:pPr>
              <w:autoSpaceDE w:val="0"/>
              <w:autoSpaceDN w:val="0"/>
              <w:adjustRightInd w:val="0"/>
              <w:jc w:val="center"/>
              <w:rPr>
                <w:color w:val="000000"/>
              </w:rPr>
            </w:pPr>
            <w:r>
              <w:rPr>
                <w:color w:val="000000"/>
              </w:rPr>
              <w:t>34.0</w:t>
            </w:r>
          </w:p>
        </w:tc>
        <w:tc>
          <w:tcPr>
            <w:tcW w:w="1260" w:type="dxa"/>
            <w:tcBorders>
              <w:top w:val="nil"/>
              <w:left w:val="single" w:sz="4" w:space="0" w:color="auto"/>
              <w:bottom w:val="nil"/>
              <w:right w:val="single" w:sz="4" w:space="0" w:color="auto"/>
            </w:tcBorders>
            <w:vAlign w:val="center"/>
            <w:hideMark/>
          </w:tcPr>
          <w:p w14:paraId="4C107E0A" w14:textId="40C243E2" w:rsidR="00CB4783" w:rsidRDefault="00CB4783" w:rsidP="009B6470">
            <w:pPr>
              <w:autoSpaceDE w:val="0"/>
              <w:autoSpaceDN w:val="0"/>
              <w:adjustRightInd w:val="0"/>
              <w:jc w:val="center"/>
              <w:rPr>
                <w:color w:val="000000"/>
              </w:rPr>
            </w:pPr>
            <w:r>
              <w:rPr>
                <w:color w:val="000000"/>
              </w:rPr>
              <w:t>34.0</w:t>
            </w:r>
          </w:p>
        </w:tc>
      </w:tr>
      <w:tr w:rsidR="00CB4783" w14:paraId="71EB3936" w14:textId="77777777" w:rsidTr="003B6907">
        <w:trPr>
          <w:jc w:val="center"/>
        </w:trPr>
        <w:tc>
          <w:tcPr>
            <w:tcW w:w="4753" w:type="dxa"/>
            <w:tcBorders>
              <w:top w:val="nil"/>
              <w:left w:val="single" w:sz="4" w:space="0" w:color="auto"/>
              <w:bottom w:val="nil"/>
              <w:right w:val="single" w:sz="4" w:space="0" w:color="auto"/>
            </w:tcBorders>
            <w:vAlign w:val="center"/>
          </w:tcPr>
          <w:p w14:paraId="78B5146D" w14:textId="77777777" w:rsidR="00CB4783" w:rsidRDefault="00CB4783" w:rsidP="009B6470">
            <w:pPr>
              <w:autoSpaceDE w:val="0"/>
              <w:autoSpaceDN w:val="0"/>
              <w:adjustRightInd w:val="0"/>
              <w:rPr>
                <w:color w:val="000000"/>
              </w:rPr>
            </w:pPr>
          </w:p>
        </w:tc>
        <w:tc>
          <w:tcPr>
            <w:tcW w:w="1272" w:type="dxa"/>
            <w:tcBorders>
              <w:top w:val="nil"/>
              <w:left w:val="nil"/>
              <w:bottom w:val="nil"/>
              <w:right w:val="single" w:sz="4" w:space="0" w:color="auto"/>
            </w:tcBorders>
            <w:vAlign w:val="center"/>
          </w:tcPr>
          <w:p w14:paraId="3250B490"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5D2BBC7F" w14:textId="77777777" w:rsidR="00CB4783" w:rsidRDefault="00CB4783" w:rsidP="009B6470">
            <w:pPr>
              <w:autoSpaceDE w:val="0"/>
              <w:autoSpaceDN w:val="0"/>
              <w:adjustRightInd w:val="0"/>
              <w:jc w:val="center"/>
              <w:rPr>
                <w:color w:val="000000"/>
              </w:rPr>
            </w:pPr>
          </w:p>
        </w:tc>
      </w:tr>
      <w:tr w:rsidR="00CB4783" w14:paraId="2FB0516B" w14:textId="77777777" w:rsidTr="003B6907">
        <w:trPr>
          <w:jc w:val="center"/>
        </w:trPr>
        <w:tc>
          <w:tcPr>
            <w:tcW w:w="4753" w:type="dxa"/>
            <w:tcBorders>
              <w:top w:val="nil"/>
              <w:left w:val="single" w:sz="4" w:space="0" w:color="auto"/>
              <w:bottom w:val="nil"/>
              <w:right w:val="single" w:sz="4" w:space="0" w:color="auto"/>
            </w:tcBorders>
            <w:vAlign w:val="center"/>
            <w:hideMark/>
          </w:tcPr>
          <w:p w14:paraId="67FECE17" w14:textId="77777777" w:rsidR="00CB4783" w:rsidRDefault="00CB4783" w:rsidP="009B6470">
            <w:pPr>
              <w:autoSpaceDE w:val="0"/>
              <w:autoSpaceDN w:val="0"/>
              <w:adjustRightInd w:val="0"/>
              <w:rPr>
                <w:color w:val="000000"/>
              </w:rPr>
            </w:pPr>
            <w:r>
              <w:rPr>
                <w:color w:val="000000"/>
              </w:rPr>
              <w:t>Completed Interviews</w:t>
            </w:r>
          </w:p>
        </w:tc>
        <w:tc>
          <w:tcPr>
            <w:tcW w:w="1272" w:type="dxa"/>
            <w:tcBorders>
              <w:top w:val="nil"/>
              <w:left w:val="nil"/>
              <w:bottom w:val="nil"/>
              <w:right w:val="single" w:sz="4" w:space="0" w:color="auto"/>
            </w:tcBorders>
            <w:vAlign w:val="center"/>
          </w:tcPr>
          <w:p w14:paraId="57756FE6"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4F529F26" w14:textId="77777777" w:rsidR="00CB4783" w:rsidRDefault="00CB4783" w:rsidP="009B6470">
            <w:pPr>
              <w:autoSpaceDE w:val="0"/>
              <w:autoSpaceDN w:val="0"/>
              <w:adjustRightInd w:val="0"/>
              <w:jc w:val="center"/>
              <w:rPr>
                <w:color w:val="000000"/>
              </w:rPr>
            </w:pPr>
          </w:p>
        </w:tc>
      </w:tr>
      <w:tr w:rsidR="00CB4783" w14:paraId="4D439B4C" w14:textId="77777777" w:rsidTr="003B6907">
        <w:trPr>
          <w:jc w:val="center"/>
        </w:trPr>
        <w:tc>
          <w:tcPr>
            <w:tcW w:w="4753" w:type="dxa"/>
            <w:tcBorders>
              <w:top w:val="nil"/>
              <w:left w:val="single" w:sz="4" w:space="0" w:color="auto"/>
              <w:bottom w:val="nil"/>
              <w:right w:val="single" w:sz="4" w:space="0" w:color="auto"/>
            </w:tcBorders>
            <w:vAlign w:val="center"/>
            <w:hideMark/>
          </w:tcPr>
          <w:p w14:paraId="1A303CD5" w14:textId="77777777" w:rsidR="00CB4783" w:rsidRDefault="00CB4783" w:rsidP="009B6470">
            <w:pPr>
              <w:autoSpaceDE w:val="0"/>
              <w:autoSpaceDN w:val="0"/>
              <w:adjustRightInd w:val="0"/>
              <w:rPr>
                <w:color w:val="000000"/>
              </w:rPr>
            </w:pPr>
            <w:r>
              <w:rPr>
                <w:color w:val="000000"/>
              </w:rPr>
              <w:t xml:space="preserve">     Number</w:t>
            </w:r>
          </w:p>
        </w:tc>
        <w:tc>
          <w:tcPr>
            <w:tcW w:w="1272" w:type="dxa"/>
            <w:tcBorders>
              <w:top w:val="nil"/>
              <w:left w:val="nil"/>
              <w:bottom w:val="nil"/>
              <w:right w:val="single" w:sz="4" w:space="0" w:color="auto"/>
            </w:tcBorders>
            <w:vAlign w:val="center"/>
            <w:hideMark/>
          </w:tcPr>
          <w:p w14:paraId="0A164454" w14:textId="4F9F2012" w:rsidR="00CB4783" w:rsidRDefault="00CB4783" w:rsidP="004401E9">
            <w:pPr>
              <w:autoSpaceDE w:val="0"/>
              <w:autoSpaceDN w:val="0"/>
              <w:adjustRightInd w:val="0"/>
              <w:jc w:val="center"/>
              <w:rPr>
                <w:color w:val="000000"/>
              </w:rPr>
            </w:pPr>
            <w:r>
              <w:rPr>
                <w:color w:val="000000"/>
              </w:rPr>
              <w:t>27,</w:t>
            </w:r>
            <w:r w:rsidR="004401E9">
              <w:rPr>
                <w:color w:val="000000"/>
              </w:rPr>
              <w:t>600</w:t>
            </w:r>
          </w:p>
        </w:tc>
        <w:tc>
          <w:tcPr>
            <w:tcW w:w="1260" w:type="dxa"/>
            <w:tcBorders>
              <w:top w:val="nil"/>
              <w:left w:val="single" w:sz="4" w:space="0" w:color="auto"/>
              <w:bottom w:val="nil"/>
              <w:right w:val="single" w:sz="4" w:space="0" w:color="auto"/>
            </w:tcBorders>
            <w:vAlign w:val="center"/>
            <w:hideMark/>
          </w:tcPr>
          <w:p w14:paraId="13480710" w14:textId="1D36159F" w:rsidR="00CB4783" w:rsidRDefault="00CB4783" w:rsidP="004401E9">
            <w:pPr>
              <w:autoSpaceDE w:val="0"/>
              <w:autoSpaceDN w:val="0"/>
              <w:adjustRightInd w:val="0"/>
              <w:jc w:val="center"/>
              <w:rPr>
                <w:color w:val="000000"/>
              </w:rPr>
            </w:pPr>
            <w:r>
              <w:rPr>
                <w:color w:val="000000"/>
              </w:rPr>
              <w:t>6,</w:t>
            </w:r>
            <w:r w:rsidR="004401E9">
              <w:rPr>
                <w:color w:val="000000"/>
              </w:rPr>
              <w:t>900</w:t>
            </w:r>
          </w:p>
        </w:tc>
      </w:tr>
      <w:tr w:rsidR="00CB4783" w14:paraId="15FE08BE" w14:textId="77777777" w:rsidTr="003B6907">
        <w:trPr>
          <w:jc w:val="center"/>
        </w:trPr>
        <w:tc>
          <w:tcPr>
            <w:tcW w:w="4753" w:type="dxa"/>
            <w:tcBorders>
              <w:top w:val="nil"/>
              <w:left w:val="single" w:sz="4" w:space="0" w:color="auto"/>
              <w:bottom w:val="single" w:sz="4" w:space="0" w:color="auto"/>
              <w:right w:val="single" w:sz="4" w:space="0" w:color="auto"/>
            </w:tcBorders>
            <w:vAlign w:val="center"/>
            <w:hideMark/>
          </w:tcPr>
          <w:p w14:paraId="35A98C13" w14:textId="77777777" w:rsidR="00CB4783" w:rsidRDefault="00CB4783" w:rsidP="009B6470">
            <w:pPr>
              <w:autoSpaceDE w:val="0"/>
              <w:autoSpaceDN w:val="0"/>
              <w:adjustRightInd w:val="0"/>
              <w:rPr>
                <w:color w:val="000000"/>
              </w:rPr>
            </w:pPr>
            <w:r>
              <w:rPr>
                <w:color w:val="000000"/>
              </w:rPr>
              <w:t xml:space="preserve">     Percent of Eligible Units (Response Rate)</w:t>
            </w:r>
          </w:p>
        </w:tc>
        <w:tc>
          <w:tcPr>
            <w:tcW w:w="1272" w:type="dxa"/>
            <w:tcBorders>
              <w:top w:val="nil"/>
              <w:left w:val="nil"/>
              <w:bottom w:val="single" w:sz="4" w:space="0" w:color="auto"/>
              <w:right w:val="single" w:sz="4" w:space="0" w:color="auto"/>
            </w:tcBorders>
            <w:vAlign w:val="center"/>
            <w:hideMark/>
          </w:tcPr>
          <w:p w14:paraId="0611A8B8" w14:textId="19A0181F" w:rsidR="00CB4783" w:rsidRDefault="00CB4783" w:rsidP="009B6470">
            <w:pPr>
              <w:autoSpaceDE w:val="0"/>
              <w:autoSpaceDN w:val="0"/>
              <w:adjustRightInd w:val="0"/>
              <w:jc w:val="center"/>
              <w:rPr>
                <w:color w:val="000000"/>
              </w:rPr>
            </w:pPr>
            <w:r>
              <w:rPr>
                <w:color w:val="000000"/>
              </w:rPr>
              <w:t>66.0</w:t>
            </w:r>
          </w:p>
        </w:tc>
        <w:tc>
          <w:tcPr>
            <w:tcW w:w="1260" w:type="dxa"/>
            <w:tcBorders>
              <w:top w:val="nil"/>
              <w:left w:val="single" w:sz="4" w:space="0" w:color="auto"/>
              <w:bottom w:val="single" w:sz="4" w:space="0" w:color="auto"/>
              <w:right w:val="single" w:sz="4" w:space="0" w:color="auto"/>
            </w:tcBorders>
            <w:vAlign w:val="center"/>
            <w:hideMark/>
          </w:tcPr>
          <w:p w14:paraId="6E8240D4" w14:textId="2DCA1EC0" w:rsidR="00CB4783" w:rsidRDefault="00CB4783" w:rsidP="009B6470">
            <w:pPr>
              <w:autoSpaceDE w:val="0"/>
              <w:autoSpaceDN w:val="0"/>
              <w:adjustRightInd w:val="0"/>
              <w:jc w:val="center"/>
              <w:rPr>
                <w:color w:val="000000"/>
              </w:rPr>
            </w:pPr>
            <w:r>
              <w:rPr>
                <w:color w:val="000000"/>
              </w:rPr>
              <w:t>66.0</w:t>
            </w:r>
          </w:p>
        </w:tc>
      </w:tr>
    </w:tbl>
    <w:p w14:paraId="4DA22116" w14:textId="77777777" w:rsidR="00A11522" w:rsidRDefault="00A11522" w:rsidP="009B6470">
      <w:pPr>
        <w:autoSpaceDE w:val="0"/>
        <w:autoSpaceDN w:val="0"/>
        <w:adjustRightInd w:val="0"/>
        <w:rPr>
          <w:color w:val="000000"/>
          <w:sz w:val="20"/>
          <w:szCs w:val="20"/>
        </w:rPr>
      </w:pPr>
    </w:p>
    <w:p w14:paraId="19CFCDA9" w14:textId="77777777" w:rsidR="00505B67" w:rsidRDefault="00505B67" w:rsidP="009B6470">
      <w:pPr>
        <w:autoSpaceDE w:val="0"/>
        <w:autoSpaceDN w:val="0"/>
        <w:adjustRightInd w:val="0"/>
        <w:rPr>
          <w:color w:val="000000"/>
          <w:sz w:val="20"/>
          <w:szCs w:val="20"/>
        </w:rPr>
      </w:pPr>
    </w:p>
    <w:p w14:paraId="0E8178EB" w14:textId="77777777" w:rsidR="00505B67" w:rsidRDefault="00505B67" w:rsidP="00505B67">
      <w:pPr>
        <w:tabs>
          <w:tab w:val="left" w:pos="1176"/>
          <w:tab w:val="left" w:pos="1656"/>
          <w:tab w:val="left" w:pos="5016"/>
          <w:tab w:val="left" w:pos="6696"/>
          <w:tab w:val="left" w:pos="8256"/>
        </w:tabs>
        <w:ind w:left="691"/>
      </w:pPr>
      <w:r>
        <w:t xml:space="preserve">Starting in 2015 the CEQ and CED began drawing their samples of addresses from a new sampling frame called the Master Address File (MAF), which is basically a list of all addresses from the 2010 census and is updated twice per year with information from the U.S. Postal Service’s Delivery Sequence File.  The CEQ and CED do not have much experience with the MAF, but the ACS has more experience, and the Type B/C rate of 13% comes from ACS’s experience.  </w:t>
      </w:r>
    </w:p>
    <w:p w14:paraId="01F68E46" w14:textId="77777777" w:rsidR="001041FE" w:rsidRPr="00E3685C" w:rsidRDefault="001041FE" w:rsidP="009B6470">
      <w:pPr>
        <w:pStyle w:val="BlockText"/>
        <w:ind w:left="0" w:right="0"/>
      </w:pPr>
    </w:p>
    <w:p w14:paraId="6ABCD045" w14:textId="62853A68" w:rsidR="001041FE" w:rsidRDefault="001041FE" w:rsidP="00407B59">
      <w:pPr>
        <w:pStyle w:val="BlockText"/>
        <w:ind w:left="691" w:right="0"/>
      </w:pPr>
      <w:r w:rsidRPr="00E3685C">
        <w:t xml:space="preserve">For more information on the calculation of response rates, see the </w:t>
      </w:r>
      <w:r w:rsidR="007F5680">
        <w:t>m</w:t>
      </w:r>
      <w:r w:rsidR="00E01E76">
        <w:t xml:space="preserve">emorandum from </w:t>
      </w:r>
      <w:r w:rsidR="00A46014">
        <w:t xml:space="preserve">Sharon Krieger and </w:t>
      </w:r>
      <w:r w:rsidR="00E01E76">
        <w:t xml:space="preserve">David Swanson on </w:t>
      </w:r>
      <w:r w:rsidR="00A46014">
        <w:t>“</w:t>
      </w:r>
      <w:r w:rsidR="00E01E76">
        <w:t>Response Rates in the Consumer Expenditure Survey</w:t>
      </w:r>
      <w:r w:rsidR="00A46014">
        <w:t>”</w:t>
      </w:r>
      <w:r w:rsidR="00E01E76">
        <w:t xml:space="preserve"> (2015)</w:t>
      </w:r>
      <w:r>
        <w:t xml:space="preserve"> (</w:t>
      </w:r>
      <w:r w:rsidR="00830181">
        <w:t>A</w:t>
      </w:r>
      <w:r>
        <w:t xml:space="preserve">ttachment </w:t>
      </w:r>
      <w:r w:rsidR="00C7783D">
        <w:t>Q</w:t>
      </w:r>
      <w:r>
        <w:t>)</w:t>
      </w:r>
      <w:r w:rsidRPr="00E3685C">
        <w:t>.</w:t>
      </w:r>
    </w:p>
    <w:p w14:paraId="688ED3CA" w14:textId="77777777" w:rsidR="00A13CB5" w:rsidRDefault="00A13CB5" w:rsidP="00407B59">
      <w:pPr>
        <w:pStyle w:val="BlockText"/>
        <w:ind w:left="691" w:right="0"/>
      </w:pPr>
    </w:p>
    <w:p w14:paraId="4A5FCC5E" w14:textId="2AABF4EE" w:rsidR="00A13CB5" w:rsidRPr="00E3685C" w:rsidRDefault="00A13CB5" w:rsidP="00407B59">
      <w:pPr>
        <w:pStyle w:val="BlockText"/>
        <w:ind w:left="691" w:right="0"/>
      </w:pPr>
      <w:r w:rsidRPr="00B776E5">
        <w:t xml:space="preserve">In 2008 CE staff conducted a nonresponse bias study to determine whether the missing data from nonrespondents generated any bias in the </w:t>
      </w:r>
      <w:r w:rsidR="002374B8">
        <w:t>CEQ</w:t>
      </w:r>
      <w:r w:rsidRPr="00B776E5">
        <w:t>’s published estimates.</w:t>
      </w:r>
      <w:r w:rsidR="009E6ACE">
        <w:t xml:space="preserve"> </w:t>
      </w:r>
      <w:r w:rsidRPr="00B776E5">
        <w:t xml:space="preserve"> Their study was undertaken in response to </w:t>
      </w:r>
      <w:r w:rsidR="00BA6B68">
        <w:t xml:space="preserve">an </w:t>
      </w:r>
      <w:r w:rsidRPr="00B776E5">
        <w:t>OMB directive</w:t>
      </w:r>
      <w:r w:rsidR="0015295A">
        <w:t>.  R</w:t>
      </w:r>
      <w:r w:rsidRPr="00B776E5">
        <w:t>esults from four individual studies</w:t>
      </w:r>
      <w:r w:rsidR="0015295A">
        <w:t xml:space="preserve"> were synthesized</w:t>
      </w:r>
      <w:r w:rsidRPr="00B776E5">
        <w:t xml:space="preserve">, and </w:t>
      </w:r>
      <w:r w:rsidR="0015295A">
        <w:t xml:space="preserve">they </w:t>
      </w:r>
      <w:r w:rsidRPr="00B776E5">
        <w:t xml:space="preserve">concluded that no bias </w:t>
      </w:r>
      <w:r w:rsidR="005459B0">
        <w:t xml:space="preserve">was </w:t>
      </w:r>
      <w:r w:rsidR="00BA3C9E">
        <w:t xml:space="preserve">generated </w:t>
      </w:r>
      <w:r w:rsidRPr="00B776E5">
        <w:t>in spite of th</w:t>
      </w:r>
      <w:r w:rsidR="009E7C63">
        <w:t>e</w:t>
      </w:r>
      <w:r w:rsidRPr="00B776E5">
        <w:t xml:space="preserve"> fact</w:t>
      </w:r>
      <w:r w:rsidR="00BA4E15">
        <w:t xml:space="preserve"> that CE’s data are not “missing completely at random</w:t>
      </w:r>
      <w:r w:rsidR="00D84E97">
        <w:t xml:space="preserve"> (</w:t>
      </w:r>
      <w:r w:rsidR="00D84E97" w:rsidRPr="00B776E5">
        <w:t>MCAR</w:t>
      </w:r>
      <w:r w:rsidR="00D84E97">
        <w:t>)</w:t>
      </w:r>
      <w:r w:rsidR="00BA4E15">
        <w:t>.”</w:t>
      </w:r>
      <w:r w:rsidRPr="00B776E5">
        <w:t xml:space="preserve">  As they said, “the results from these four studies provide a counterexample to the commonly held belief that if a survey’s data are not </w:t>
      </w:r>
      <w:r>
        <w:t>missing completely at random</w:t>
      </w:r>
      <w:r w:rsidRPr="00B776E5">
        <w:t xml:space="preserve"> then its estimates are subject to nonresponse bias.”  For more information, see “Assessing Nonresponse Bias in the Consumer Expenditure Interview Survey”</w:t>
      </w:r>
      <w:r>
        <w:t xml:space="preserve"> (</w:t>
      </w:r>
      <w:r w:rsidR="004C0A47">
        <w:t>A</w:t>
      </w:r>
      <w:r>
        <w:t xml:space="preserve">ttachment </w:t>
      </w:r>
      <w:r w:rsidR="00C7783D">
        <w:t>R</w:t>
      </w:r>
      <w:r>
        <w:t>).</w:t>
      </w:r>
    </w:p>
    <w:p w14:paraId="582FFFC6" w14:textId="77777777" w:rsidR="001041FE" w:rsidRPr="00E3685C" w:rsidRDefault="001041FE" w:rsidP="00D21F06">
      <w:pPr>
        <w:tabs>
          <w:tab w:val="left" w:pos="1176"/>
          <w:tab w:val="left" w:pos="1656"/>
          <w:tab w:val="left" w:pos="5016"/>
          <w:tab w:val="left" w:pos="6696"/>
          <w:tab w:val="left" w:pos="8256"/>
        </w:tabs>
        <w:ind w:left="691"/>
      </w:pPr>
    </w:p>
    <w:p w14:paraId="7B1E5113" w14:textId="0310C5C3" w:rsidR="009E6ACE" w:rsidRDefault="009E6ACE"/>
    <w:p w14:paraId="38555357" w14:textId="468BC556" w:rsidR="001041FE" w:rsidRDefault="001041FE" w:rsidP="001041FE">
      <w:pPr>
        <w:tabs>
          <w:tab w:val="left" w:pos="1176"/>
          <w:tab w:val="left" w:pos="1656"/>
          <w:tab w:val="left" w:pos="5016"/>
          <w:tab w:val="left" w:pos="6696"/>
          <w:tab w:val="left" w:pos="8256"/>
        </w:tabs>
        <w:outlineLvl w:val="0"/>
        <w:rPr>
          <w:b/>
          <w:u w:val="single"/>
        </w:rPr>
      </w:pPr>
      <w:r w:rsidRPr="00C23B1D">
        <w:t xml:space="preserve">2.   </w:t>
      </w:r>
      <w:r w:rsidRPr="008050A1">
        <w:rPr>
          <w:b/>
          <w:u w:val="single"/>
        </w:rPr>
        <w:t>Collection Methods</w:t>
      </w:r>
    </w:p>
    <w:p w14:paraId="13DF2560" w14:textId="77777777" w:rsidR="00AA5A24" w:rsidRPr="008050A1" w:rsidRDefault="00AA5A24" w:rsidP="001041FE">
      <w:pPr>
        <w:tabs>
          <w:tab w:val="left" w:pos="1176"/>
          <w:tab w:val="left" w:pos="1656"/>
          <w:tab w:val="left" w:pos="5016"/>
          <w:tab w:val="left" w:pos="6696"/>
          <w:tab w:val="left" w:pos="8256"/>
        </w:tabs>
        <w:outlineLvl w:val="0"/>
        <w:rPr>
          <w:u w:val="single"/>
        </w:rPr>
      </w:pPr>
    </w:p>
    <w:p w14:paraId="4038C519" w14:textId="77777777" w:rsidR="009E7C63" w:rsidRDefault="009E7C63" w:rsidP="009E7C63">
      <w:pPr>
        <w:pStyle w:val="BlockText"/>
        <w:ind w:left="432" w:right="0"/>
        <w:rPr>
          <w:szCs w:val="24"/>
        </w:rPr>
      </w:pPr>
      <w:r>
        <w:t>Under contract with BLS, field representatives from the U.S. Census Bureau personally visit the households in the Diary and Interview surveys’ samples to collect the data. Prior to the first household visit, respondents are sent an advanced letter informing them that they have been selected for the survey and asking for their cooperation.  For subsequent household visits in the Interview survey, respondents are sent an advanced letter reminding them that is has been 3 months since they last participated in the survey and asking for their cooperation again.</w:t>
      </w:r>
    </w:p>
    <w:p w14:paraId="5CEE1F94" w14:textId="77777777" w:rsidR="009E7C63" w:rsidRDefault="009E7C63" w:rsidP="009E7C63">
      <w:pPr>
        <w:pStyle w:val="BlockText"/>
        <w:ind w:left="432" w:right="0"/>
      </w:pPr>
    </w:p>
    <w:p w14:paraId="363E6641" w14:textId="77777777" w:rsidR="009E7C63" w:rsidRDefault="009E7C63" w:rsidP="009E7C63">
      <w:pPr>
        <w:pStyle w:val="BlockText"/>
        <w:ind w:left="432" w:right="0"/>
      </w:pPr>
      <w:r>
        <w:t>For the Diary survey, field representatives visit each household in the sample three times to collect information on the expenditures they make during a 2-week period. On the first visit, the field representatives introduce themselves, explain the survey, and leave a diary in which the household members are asked to record all their expenditures for a 1-week period. On the second visit, the field representatives pick up the first week’s diary, ask whether there are any questions, and leave another diary for the second week. On the third visit, the field representatives pick up the second week’s diary and thank the household for participating in the survey. After participating in the survey for two weeks, the household is dropped from the survey and replaced by another household.</w:t>
      </w:r>
    </w:p>
    <w:p w14:paraId="12E59E43" w14:textId="77777777" w:rsidR="009E7C63" w:rsidRDefault="009E7C63" w:rsidP="009E7C63">
      <w:pPr>
        <w:pStyle w:val="BlockText"/>
        <w:ind w:left="432" w:right="0"/>
      </w:pPr>
    </w:p>
    <w:p w14:paraId="0DF5313B" w14:textId="77777777" w:rsidR="009E7C63" w:rsidRDefault="009E7C63" w:rsidP="009E7C63">
      <w:pPr>
        <w:pStyle w:val="BlockText"/>
        <w:ind w:left="432" w:right="0"/>
      </w:pPr>
      <w:r>
        <w:t>For the Interview survey, field representatives visit each household in the sample every 3 months for 4 consecutive quarters to collect information on the expenditures they made during the previous 3 months. In those interviews field representatives ask household members about their expenditures and enter their responses into a laptop computer. After participating in the survey for 4 quarters, the household is dropped from the survey and replaced by another household. The households in the Interview survey are on a rotating schedule, with approximately one-fourth of the households in the sample being new to the survey each quarter.</w:t>
      </w:r>
    </w:p>
    <w:p w14:paraId="126E6374" w14:textId="77777777" w:rsidR="009E7C63" w:rsidRDefault="009E7C63" w:rsidP="009E7C63">
      <w:pPr>
        <w:pStyle w:val="BlockText"/>
        <w:ind w:left="432" w:right="0"/>
      </w:pPr>
    </w:p>
    <w:p w14:paraId="2FEA0367" w14:textId="28DF32CE" w:rsidR="009E7C63" w:rsidRDefault="009E7C63" w:rsidP="009E7C63">
      <w:pPr>
        <w:pStyle w:val="BlockText"/>
        <w:ind w:left="432" w:right="0"/>
      </w:pPr>
      <w:r>
        <w:t xml:space="preserve">After completing the second week of the Diary survey and the fourth </w:t>
      </w:r>
      <w:r w:rsidR="002374B8">
        <w:t>quarter</w:t>
      </w:r>
      <w:r>
        <w:t xml:space="preserve"> of the Interview survey, the households are sent a Thank You letter and a certificate of appreciation for their participation in the survey.</w:t>
      </w:r>
    </w:p>
    <w:p w14:paraId="0651D7DA" w14:textId="77777777" w:rsidR="009E7C63" w:rsidRDefault="009E7C63" w:rsidP="009E7C63">
      <w:pPr>
        <w:pStyle w:val="BlockText"/>
        <w:ind w:left="432" w:right="0"/>
      </w:pPr>
    </w:p>
    <w:p w14:paraId="7217C219" w14:textId="77777777" w:rsidR="001041FE" w:rsidRDefault="001041FE" w:rsidP="001041FE">
      <w:pPr>
        <w:tabs>
          <w:tab w:val="left" w:pos="1176"/>
          <w:tab w:val="left" w:pos="1656"/>
          <w:tab w:val="left" w:pos="5016"/>
          <w:tab w:val="left" w:pos="6696"/>
          <w:tab w:val="left" w:pos="8256"/>
        </w:tabs>
        <w:outlineLvl w:val="0"/>
      </w:pPr>
      <w:r w:rsidRPr="00C23B1D">
        <w:t xml:space="preserve">      </w:t>
      </w:r>
      <w:r>
        <w:rPr>
          <w:u w:val="single"/>
        </w:rPr>
        <w:t>Primary Sampling Units (PSUs)</w:t>
      </w:r>
    </w:p>
    <w:p w14:paraId="147E407B" w14:textId="37D7F399" w:rsidR="001041FE" w:rsidRPr="00E3685C" w:rsidRDefault="001041FE" w:rsidP="001041FE">
      <w:pPr>
        <w:pStyle w:val="BodyTextIndent3"/>
      </w:pPr>
      <w:r w:rsidRPr="00E3685C">
        <w:t xml:space="preserve">The primary sampling units (PSUs) used in the </w:t>
      </w:r>
      <w:r>
        <w:t>CEQ</w:t>
      </w:r>
      <w:r w:rsidRPr="00E3685C">
        <w:t xml:space="preserve"> and </w:t>
      </w:r>
      <w:r>
        <w:t>CED</w:t>
      </w:r>
      <w:r w:rsidRPr="00E3685C">
        <w:t xml:space="preserve"> are small clusters of counties.  The number of counties in </w:t>
      </w:r>
      <w:r w:rsidR="00BA6B68">
        <w:t>the PSUs selected for the sample</w:t>
      </w:r>
      <w:r w:rsidRPr="00E3685C">
        <w:t xml:space="preserve"> </w:t>
      </w:r>
      <w:r w:rsidR="009E7C63">
        <w:t>ranges from 1 to 29 with the</w:t>
      </w:r>
      <w:r w:rsidR="009E6ACE">
        <w:t xml:space="preserve"> average </w:t>
      </w:r>
      <w:r w:rsidR="009E7C63">
        <w:t>number being</w:t>
      </w:r>
      <w:r w:rsidR="009E6ACE">
        <w:t xml:space="preserve"> 5</w:t>
      </w:r>
      <w:r w:rsidRPr="00E3685C">
        <w:t xml:space="preserve">.  The set of sample PSUs used in the two CE surveys consist of 91 PSUs, 75 of which are also used in the </w:t>
      </w:r>
      <w:r>
        <w:t>Consumer Price Index (</w:t>
      </w:r>
      <w:r w:rsidRPr="00E3685C">
        <w:t>CPI</w:t>
      </w:r>
      <w:r>
        <w:t>)</w:t>
      </w:r>
      <w:r w:rsidRPr="00E3685C">
        <w:t xml:space="preserve">.  The 91 PSUs fall into </w:t>
      </w:r>
      <w:r w:rsidR="00C73DBA">
        <w:t>three</w:t>
      </w:r>
      <w:r w:rsidRPr="00E3685C">
        <w:t xml:space="preserve"> categories:</w:t>
      </w:r>
    </w:p>
    <w:p w14:paraId="4A7C6ADA" w14:textId="77777777" w:rsidR="001041FE" w:rsidRPr="00E3685C" w:rsidRDefault="001041FE" w:rsidP="001041FE">
      <w:pPr>
        <w:tabs>
          <w:tab w:val="left" w:pos="1176"/>
          <w:tab w:val="left" w:pos="1656"/>
          <w:tab w:val="left" w:pos="5016"/>
          <w:tab w:val="left" w:pos="6696"/>
          <w:tab w:val="left" w:pos="8256"/>
        </w:tabs>
        <w:ind w:left="360"/>
      </w:pPr>
    </w:p>
    <w:tbl>
      <w:tblPr>
        <w:tblW w:w="937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58"/>
        <w:gridCol w:w="1070"/>
        <w:gridCol w:w="7347"/>
      </w:tblGrid>
      <w:tr w:rsidR="001041FE" w14:paraId="726E002A" w14:textId="77777777" w:rsidTr="00714619">
        <w:trPr>
          <w:jc w:val="center"/>
        </w:trPr>
        <w:tc>
          <w:tcPr>
            <w:tcW w:w="958" w:type="dxa"/>
            <w:tcBorders>
              <w:top w:val="double" w:sz="4" w:space="0" w:color="auto"/>
              <w:bottom w:val="single" w:sz="24" w:space="0" w:color="auto"/>
            </w:tcBorders>
            <w:vAlign w:val="center"/>
          </w:tcPr>
          <w:p w14:paraId="221C0191" w14:textId="77777777" w:rsidR="001041FE" w:rsidRPr="00E3685C" w:rsidRDefault="001041FE" w:rsidP="00CF7199">
            <w:pPr>
              <w:tabs>
                <w:tab w:val="left" w:pos="1176"/>
                <w:tab w:val="left" w:pos="1656"/>
                <w:tab w:val="left" w:pos="5016"/>
                <w:tab w:val="left" w:pos="6696"/>
                <w:tab w:val="left" w:pos="8256"/>
              </w:tabs>
              <w:jc w:val="center"/>
              <w:rPr>
                <w:b/>
                <w:bCs/>
              </w:rPr>
            </w:pPr>
            <w:r>
              <w:rPr>
                <w:b/>
                <w:bCs/>
              </w:rPr>
              <w:t>PSU</w:t>
            </w:r>
          </w:p>
          <w:p w14:paraId="2774DF62" w14:textId="77777777" w:rsidR="001041FE" w:rsidRDefault="001041FE" w:rsidP="00CF7199">
            <w:pPr>
              <w:tabs>
                <w:tab w:val="left" w:pos="1176"/>
                <w:tab w:val="left" w:pos="1656"/>
                <w:tab w:val="left" w:pos="5016"/>
                <w:tab w:val="left" w:pos="6696"/>
                <w:tab w:val="left" w:pos="8256"/>
              </w:tabs>
              <w:jc w:val="center"/>
              <w:rPr>
                <w:b/>
                <w:bCs/>
              </w:rPr>
            </w:pPr>
            <w:r w:rsidRPr="00E3685C">
              <w:rPr>
                <w:b/>
                <w:bCs/>
              </w:rPr>
              <w:t>“size class”</w:t>
            </w:r>
          </w:p>
        </w:tc>
        <w:tc>
          <w:tcPr>
            <w:tcW w:w="1070" w:type="dxa"/>
            <w:tcBorders>
              <w:top w:val="double" w:sz="4" w:space="0" w:color="auto"/>
              <w:bottom w:val="single" w:sz="24" w:space="0" w:color="auto"/>
            </w:tcBorders>
            <w:vAlign w:val="center"/>
          </w:tcPr>
          <w:p w14:paraId="49AA85EC" w14:textId="77777777" w:rsidR="001041FE" w:rsidRPr="00E3685C" w:rsidRDefault="001041FE" w:rsidP="00CF7199">
            <w:pPr>
              <w:tabs>
                <w:tab w:val="left" w:pos="1176"/>
                <w:tab w:val="left" w:pos="1656"/>
                <w:tab w:val="left" w:pos="5016"/>
                <w:tab w:val="left" w:pos="6696"/>
                <w:tab w:val="left" w:pos="8256"/>
              </w:tabs>
              <w:jc w:val="center"/>
              <w:rPr>
                <w:b/>
                <w:bCs/>
              </w:rPr>
            </w:pPr>
            <w:r w:rsidRPr="00E3685C">
              <w:rPr>
                <w:b/>
                <w:bCs/>
              </w:rPr>
              <w:t>Number</w:t>
            </w:r>
          </w:p>
          <w:p w14:paraId="2DE087FA" w14:textId="77777777" w:rsidR="001041FE" w:rsidRDefault="001041FE" w:rsidP="00CF7199">
            <w:pPr>
              <w:tabs>
                <w:tab w:val="left" w:pos="1176"/>
                <w:tab w:val="left" w:pos="1656"/>
                <w:tab w:val="left" w:pos="5016"/>
                <w:tab w:val="left" w:pos="6696"/>
                <w:tab w:val="left" w:pos="8256"/>
              </w:tabs>
              <w:jc w:val="center"/>
              <w:rPr>
                <w:b/>
                <w:bCs/>
              </w:rPr>
            </w:pPr>
            <w:r w:rsidRPr="00E3685C">
              <w:rPr>
                <w:b/>
                <w:bCs/>
              </w:rPr>
              <w:t>of PSUs</w:t>
            </w:r>
          </w:p>
        </w:tc>
        <w:tc>
          <w:tcPr>
            <w:tcW w:w="7347" w:type="dxa"/>
            <w:tcBorders>
              <w:top w:val="double" w:sz="4" w:space="0" w:color="auto"/>
              <w:bottom w:val="single" w:sz="24" w:space="0" w:color="auto"/>
            </w:tcBorders>
            <w:vAlign w:val="center"/>
          </w:tcPr>
          <w:p w14:paraId="19CD421D" w14:textId="77777777" w:rsidR="001041FE" w:rsidRDefault="001041FE" w:rsidP="00CF7199">
            <w:pPr>
              <w:tabs>
                <w:tab w:val="left" w:pos="1176"/>
                <w:tab w:val="left" w:pos="1656"/>
                <w:tab w:val="left" w:pos="5016"/>
                <w:tab w:val="left" w:pos="6696"/>
                <w:tab w:val="left" w:pos="8256"/>
              </w:tabs>
              <w:jc w:val="center"/>
              <w:rPr>
                <w:b/>
                <w:bCs/>
              </w:rPr>
            </w:pPr>
            <w:r w:rsidRPr="00E3685C">
              <w:rPr>
                <w:b/>
                <w:bCs/>
              </w:rPr>
              <w:t>Description</w:t>
            </w:r>
          </w:p>
        </w:tc>
      </w:tr>
      <w:tr w:rsidR="001041FE" w14:paraId="5570D8D4" w14:textId="77777777" w:rsidTr="00714619">
        <w:trPr>
          <w:jc w:val="center"/>
        </w:trPr>
        <w:tc>
          <w:tcPr>
            <w:tcW w:w="958" w:type="dxa"/>
            <w:tcBorders>
              <w:top w:val="single" w:sz="24" w:space="0" w:color="auto"/>
            </w:tcBorders>
            <w:vAlign w:val="center"/>
          </w:tcPr>
          <w:p w14:paraId="01093CDA" w14:textId="77777777" w:rsidR="001041FE" w:rsidRDefault="00836526">
            <w:pPr>
              <w:tabs>
                <w:tab w:val="left" w:pos="1176"/>
                <w:tab w:val="left" w:pos="1656"/>
                <w:tab w:val="left" w:pos="5016"/>
                <w:tab w:val="left" w:pos="6696"/>
                <w:tab w:val="left" w:pos="8256"/>
              </w:tabs>
              <w:jc w:val="center"/>
            </w:pPr>
            <w:r>
              <w:t>S</w:t>
            </w:r>
          </w:p>
        </w:tc>
        <w:tc>
          <w:tcPr>
            <w:tcW w:w="1070" w:type="dxa"/>
            <w:tcBorders>
              <w:top w:val="single" w:sz="24" w:space="0" w:color="auto"/>
            </w:tcBorders>
            <w:vAlign w:val="center"/>
          </w:tcPr>
          <w:p w14:paraId="5A7038C2" w14:textId="77777777" w:rsidR="001041FE" w:rsidRDefault="001041FE">
            <w:pPr>
              <w:tabs>
                <w:tab w:val="left" w:pos="1176"/>
                <w:tab w:val="left" w:pos="1656"/>
                <w:tab w:val="left" w:pos="5016"/>
                <w:tab w:val="left" w:pos="6696"/>
                <w:tab w:val="left" w:pos="8256"/>
              </w:tabs>
              <w:jc w:val="center"/>
            </w:pPr>
            <w:r w:rsidRPr="00E3685C">
              <w:t>2</w:t>
            </w:r>
            <w:r w:rsidR="00836526">
              <w:t>3</w:t>
            </w:r>
          </w:p>
        </w:tc>
        <w:tc>
          <w:tcPr>
            <w:tcW w:w="7347" w:type="dxa"/>
            <w:tcBorders>
              <w:top w:val="single" w:sz="24" w:space="0" w:color="auto"/>
            </w:tcBorders>
            <w:vAlign w:val="center"/>
          </w:tcPr>
          <w:p w14:paraId="1E3E41D9" w14:textId="41BEB32B" w:rsidR="001041FE" w:rsidRDefault="001041FE" w:rsidP="00D52564">
            <w:pPr>
              <w:tabs>
                <w:tab w:val="left" w:pos="1176"/>
                <w:tab w:val="left" w:pos="1656"/>
                <w:tab w:val="left" w:pos="5016"/>
                <w:tab w:val="left" w:pos="6696"/>
                <w:tab w:val="left" w:pos="8256"/>
              </w:tabs>
            </w:pPr>
            <w:r w:rsidRPr="00E3685C">
              <w:t>Large Metropolitan C</w:t>
            </w:r>
            <w:r w:rsidR="00714619">
              <w:t xml:space="preserve">ore </w:t>
            </w:r>
            <w:r w:rsidRPr="00E3685C">
              <w:t>B</w:t>
            </w:r>
            <w:r w:rsidR="00714619">
              <w:t xml:space="preserve">ased </w:t>
            </w:r>
            <w:r w:rsidRPr="00E3685C">
              <w:t>S</w:t>
            </w:r>
            <w:r w:rsidR="00714619">
              <w:t xml:space="preserve">tatistical </w:t>
            </w:r>
            <w:r w:rsidRPr="00E3685C">
              <w:t>A</w:t>
            </w:r>
            <w:r w:rsidR="00714619">
              <w:t>rea</w:t>
            </w:r>
            <w:r w:rsidRPr="00E3685C">
              <w:t>s (self-representing PSUs)</w:t>
            </w:r>
          </w:p>
        </w:tc>
      </w:tr>
      <w:tr w:rsidR="001041FE" w14:paraId="382CC78A" w14:textId="77777777" w:rsidTr="00714619">
        <w:trPr>
          <w:jc w:val="center"/>
        </w:trPr>
        <w:tc>
          <w:tcPr>
            <w:tcW w:w="958" w:type="dxa"/>
            <w:vAlign w:val="center"/>
          </w:tcPr>
          <w:p w14:paraId="653B234A" w14:textId="77777777" w:rsidR="001041FE" w:rsidRDefault="00836526">
            <w:pPr>
              <w:tabs>
                <w:tab w:val="left" w:pos="1176"/>
                <w:tab w:val="left" w:pos="1656"/>
                <w:tab w:val="left" w:pos="5016"/>
                <w:tab w:val="left" w:pos="6696"/>
                <w:tab w:val="left" w:pos="8256"/>
              </w:tabs>
              <w:jc w:val="center"/>
            </w:pPr>
            <w:r>
              <w:t>N</w:t>
            </w:r>
          </w:p>
        </w:tc>
        <w:tc>
          <w:tcPr>
            <w:tcW w:w="1070" w:type="dxa"/>
            <w:vAlign w:val="center"/>
          </w:tcPr>
          <w:p w14:paraId="28C5CBC4" w14:textId="77777777" w:rsidR="001041FE" w:rsidRDefault="00836526">
            <w:pPr>
              <w:tabs>
                <w:tab w:val="left" w:pos="1176"/>
                <w:tab w:val="left" w:pos="1656"/>
                <w:tab w:val="left" w:pos="5016"/>
                <w:tab w:val="left" w:pos="6696"/>
                <w:tab w:val="left" w:pos="8256"/>
              </w:tabs>
              <w:jc w:val="center"/>
            </w:pPr>
            <w:r>
              <w:t>52</w:t>
            </w:r>
          </w:p>
        </w:tc>
        <w:tc>
          <w:tcPr>
            <w:tcW w:w="7347" w:type="dxa"/>
            <w:vAlign w:val="center"/>
          </w:tcPr>
          <w:p w14:paraId="4726D7AC" w14:textId="56D5596D" w:rsidR="001041FE" w:rsidRDefault="001041FE" w:rsidP="00D52564">
            <w:pPr>
              <w:tabs>
                <w:tab w:val="left" w:pos="1176"/>
                <w:tab w:val="left" w:pos="1656"/>
                <w:tab w:val="left" w:pos="5016"/>
                <w:tab w:val="left" w:pos="6696"/>
                <w:tab w:val="left" w:pos="8256"/>
              </w:tabs>
            </w:pPr>
            <w:r w:rsidRPr="00E3685C">
              <w:t xml:space="preserve">Small Metropolitan </w:t>
            </w:r>
            <w:r w:rsidR="00714619" w:rsidRPr="00E3685C">
              <w:t>C</w:t>
            </w:r>
            <w:r w:rsidR="00714619">
              <w:t xml:space="preserve">ore </w:t>
            </w:r>
            <w:r w:rsidR="00714619" w:rsidRPr="00E3685C">
              <w:t>B</w:t>
            </w:r>
            <w:r w:rsidR="00714619">
              <w:t xml:space="preserve">ased </w:t>
            </w:r>
            <w:r w:rsidR="00714619" w:rsidRPr="00E3685C">
              <w:t>S</w:t>
            </w:r>
            <w:r w:rsidR="00714619">
              <w:t xml:space="preserve">tatistical </w:t>
            </w:r>
            <w:r w:rsidR="00714619" w:rsidRPr="00E3685C">
              <w:t>A</w:t>
            </w:r>
            <w:r w:rsidR="00714619">
              <w:t>rea</w:t>
            </w:r>
            <w:r w:rsidR="00714619" w:rsidRPr="00E3685C">
              <w:t>s</w:t>
            </w:r>
            <w:r w:rsidRPr="00E3685C">
              <w:t xml:space="preserve"> </w:t>
            </w:r>
            <w:r w:rsidR="00836526">
              <w:t xml:space="preserve">and Micropolitan </w:t>
            </w:r>
            <w:r w:rsidR="00714619" w:rsidRPr="00E3685C">
              <w:t>C</w:t>
            </w:r>
            <w:r w:rsidR="00714619">
              <w:t xml:space="preserve">ore </w:t>
            </w:r>
            <w:r w:rsidR="00714619" w:rsidRPr="00E3685C">
              <w:t>B</w:t>
            </w:r>
            <w:r w:rsidR="00714619">
              <w:t xml:space="preserve">ased </w:t>
            </w:r>
            <w:r w:rsidR="00714619" w:rsidRPr="00E3685C">
              <w:t>S</w:t>
            </w:r>
            <w:r w:rsidR="00714619">
              <w:t xml:space="preserve">tatistical </w:t>
            </w:r>
            <w:r w:rsidR="00714619" w:rsidRPr="00E3685C">
              <w:t>A</w:t>
            </w:r>
            <w:r w:rsidR="00714619">
              <w:t>rea</w:t>
            </w:r>
            <w:r w:rsidR="00714619" w:rsidRPr="00E3685C">
              <w:t>s</w:t>
            </w:r>
            <w:r w:rsidR="00714619">
              <w:t xml:space="preserve"> </w:t>
            </w:r>
            <w:r w:rsidRPr="00E3685C">
              <w:t>(non-self-representing PSUs)</w:t>
            </w:r>
          </w:p>
        </w:tc>
      </w:tr>
      <w:tr w:rsidR="001041FE" w14:paraId="1080C39C" w14:textId="77777777" w:rsidTr="00714619">
        <w:trPr>
          <w:jc w:val="center"/>
        </w:trPr>
        <w:tc>
          <w:tcPr>
            <w:tcW w:w="958" w:type="dxa"/>
            <w:vAlign w:val="center"/>
          </w:tcPr>
          <w:p w14:paraId="28EFBBBF" w14:textId="77777777" w:rsidR="001041FE" w:rsidRDefault="00836526">
            <w:pPr>
              <w:tabs>
                <w:tab w:val="left" w:pos="1176"/>
                <w:tab w:val="left" w:pos="1656"/>
                <w:tab w:val="left" w:pos="5016"/>
                <w:tab w:val="left" w:pos="6696"/>
                <w:tab w:val="left" w:pos="8256"/>
              </w:tabs>
              <w:jc w:val="center"/>
            </w:pPr>
            <w:r>
              <w:t>R</w:t>
            </w:r>
          </w:p>
        </w:tc>
        <w:tc>
          <w:tcPr>
            <w:tcW w:w="1070" w:type="dxa"/>
            <w:vAlign w:val="center"/>
          </w:tcPr>
          <w:p w14:paraId="10025439" w14:textId="77777777" w:rsidR="001041FE" w:rsidRDefault="001041FE" w:rsidP="00CF7199">
            <w:pPr>
              <w:tabs>
                <w:tab w:val="left" w:pos="1176"/>
                <w:tab w:val="left" w:pos="1656"/>
                <w:tab w:val="left" w:pos="5016"/>
                <w:tab w:val="left" w:pos="6696"/>
                <w:tab w:val="left" w:pos="8256"/>
              </w:tabs>
              <w:jc w:val="center"/>
            </w:pPr>
            <w:r w:rsidRPr="00E3685C">
              <w:t>16</w:t>
            </w:r>
          </w:p>
        </w:tc>
        <w:tc>
          <w:tcPr>
            <w:tcW w:w="7347" w:type="dxa"/>
            <w:vAlign w:val="center"/>
          </w:tcPr>
          <w:p w14:paraId="4465CD46" w14:textId="06E0A3B0" w:rsidR="001041FE" w:rsidRDefault="001041FE" w:rsidP="00D52564">
            <w:pPr>
              <w:tabs>
                <w:tab w:val="left" w:pos="1176"/>
                <w:tab w:val="left" w:pos="1656"/>
                <w:tab w:val="left" w:pos="5016"/>
                <w:tab w:val="left" w:pos="6696"/>
                <w:tab w:val="left" w:pos="8256"/>
              </w:tabs>
            </w:pPr>
            <w:r w:rsidRPr="00E3685C">
              <w:t>Non-</w:t>
            </w:r>
            <w:r w:rsidR="00714619" w:rsidRPr="00E3685C">
              <w:t xml:space="preserve"> C</w:t>
            </w:r>
            <w:r w:rsidR="00714619">
              <w:t xml:space="preserve">ore </w:t>
            </w:r>
            <w:r w:rsidR="00714619" w:rsidRPr="00E3685C">
              <w:t>B</w:t>
            </w:r>
            <w:r w:rsidR="00714619">
              <w:t xml:space="preserve">ased </w:t>
            </w:r>
            <w:r w:rsidR="00714619" w:rsidRPr="00E3685C">
              <w:t>S</w:t>
            </w:r>
            <w:r w:rsidR="00714619">
              <w:t xml:space="preserve">tatistical </w:t>
            </w:r>
            <w:r w:rsidRPr="00E3685C">
              <w:t>Areas (non-self-representing PSUs)</w:t>
            </w:r>
          </w:p>
        </w:tc>
      </w:tr>
    </w:tbl>
    <w:p w14:paraId="36DCEE98" w14:textId="77777777" w:rsidR="001041FE" w:rsidRDefault="001041FE" w:rsidP="001041FE">
      <w:pPr>
        <w:tabs>
          <w:tab w:val="left" w:pos="1176"/>
          <w:tab w:val="left" w:pos="1656"/>
          <w:tab w:val="left" w:pos="5016"/>
          <w:tab w:val="left" w:pos="6696"/>
          <w:tab w:val="left" w:pos="8256"/>
        </w:tabs>
        <w:ind w:left="360"/>
      </w:pPr>
    </w:p>
    <w:p w14:paraId="7D9E1C3E" w14:textId="77777777" w:rsidR="00505B67" w:rsidRDefault="00505B67" w:rsidP="00FE7652">
      <w:pPr>
        <w:tabs>
          <w:tab w:val="left" w:pos="1176"/>
          <w:tab w:val="left" w:pos="1656"/>
          <w:tab w:val="left" w:pos="5016"/>
          <w:tab w:val="left" w:pos="6696"/>
          <w:tab w:val="left" w:pos="8256"/>
        </w:tabs>
        <w:ind w:left="475"/>
      </w:pPr>
    </w:p>
    <w:p w14:paraId="7480EBAB" w14:textId="21E026BB" w:rsidR="00FE7652" w:rsidRDefault="001041FE" w:rsidP="00FE7652">
      <w:pPr>
        <w:tabs>
          <w:tab w:val="left" w:pos="1176"/>
          <w:tab w:val="left" w:pos="1656"/>
          <w:tab w:val="left" w:pos="5016"/>
          <w:tab w:val="left" w:pos="6696"/>
          <w:tab w:val="left" w:pos="8256"/>
        </w:tabs>
        <w:ind w:left="475"/>
      </w:pPr>
      <w:r w:rsidRPr="00E3685C">
        <w:t>The BLS selected these PSUs from a stratified sampl</w:t>
      </w:r>
      <w:r w:rsidR="00E66B8F">
        <w:t>ing</w:t>
      </w:r>
      <w:r w:rsidRPr="00E3685C">
        <w:t xml:space="preserve"> design in which the non-self-representing PSUs (the </w:t>
      </w:r>
      <w:r w:rsidR="00836526">
        <w:t>N</w:t>
      </w:r>
      <w:r w:rsidRPr="00E3685C">
        <w:t xml:space="preserve"> and </w:t>
      </w:r>
      <w:r w:rsidR="00836526">
        <w:t>R</w:t>
      </w:r>
      <w:r w:rsidRPr="00E3685C">
        <w:t xml:space="preserve"> PSUs) </w:t>
      </w:r>
      <w:r w:rsidR="009E6ACE">
        <w:t xml:space="preserve">were stratified </w:t>
      </w:r>
      <w:r w:rsidRPr="00E3685C">
        <w:t>us</w:t>
      </w:r>
      <w:r w:rsidR="009E6ACE">
        <w:t>ing</w:t>
      </w:r>
      <w:r w:rsidRPr="00E3685C">
        <w:t xml:space="preserve"> a </w:t>
      </w:r>
      <w:r w:rsidR="005D7247">
        <w:t>4</w:t>
      </w:r>
      <w:r w:rsidRPr="00E3685C">
        <w:t xml:space="preserve">-variable model whose independent variables were latitude, longitude, </w:t>
      </w:r>
      <w:r w:rsidR="005D7247">
        <w:t xml:space="preserve">median household </w:t>
      </w:r>
      <w:r w:rsidR="00836526">
        <w:t xml:space="preserve">income, and </w:t>
      </w:r>
      <w:r w:rsidR="005D7247">
        <w:t>median household property value</w:t>
      </w:r>
      <w:r w:rsidRPr="00E3685C">
        <w:t>.</w:t>
      </w:r>
      <w:r w:rsidR="00DD0AC6">
        <w:t xml:space="preserve"> </w:t>
      </w:r>
      <w:r w:rsidR="009E6ACE">
        <w:t xml:space="preserve">Then one PSU was </w:t>
      </w:r>
      <w:r w:rsidR="009E7C63">
        <w:t xml:space="preserve">randomly </w:t>
      </w:r>
      <w:r w:rsidR="009E6ACE">
        <w:t>selected from each stratum</w:t>
      </w:r>
      <w:r w:rsidR="00A46014">
        <w:t xml:space="preserve"> with its probability </w:t>
      </w:r>
      <w:r w:rsidR="009E7C63">
        <w:t xml:space="preserve">of selection </w:t>
      </w:r>
      <w:r w:rsidR="00A46014">
        <w:t>being proportional to its population</w:t>
      </w:r>
      <w:r w:rsidR="009E6ACE">
        <w:t xml:space="preserve">. </w:t>
      </w:r>
      <w:r w:rsidR="00DD0AC6">
        <w:t>For more information on the stratification</w:t>
      </w:r>
      <w:r w:rsidR="00E513ED">
        <w:t xml:space="preserve">, please see the </w:t>
      </w:r>
      <w:r w:rsidR="00CE58A1">
        <w:t xml:space="preserve">paper </w:t>
      </w:r>
      <w:r w:rsidR="007B2F0F">
        <w:t>from Susan King on</w:t>
      </w:r>
      <w:r w:rsidR="007B2F0F" w:rsidRPr="00E3685C">
        <w:t xml:space="preserve"> </w:t>
      </w:r>
      <w:r w:rsidR="00A46014">
        <w:t>“</w:t>
      </w:r>
      <w:r w:rsidR="007B2F0F" w:rsidRPr="00E3685C">
        <w:t>Selecting a</w:t>
      </w:r>
      <w:r w:rsidR="007B2F0F">
        <w:t xml:space="preserve"> Sample </w:t>
      </w:r>
      <w:r w:rsidR="007B2F0F" w:rsidRPr="00E3685C">
        <w:t>of Households</w:t>
      </w:r>
      <w:r w:rsidR="007B2F0F">
        <w:t xml:space="preserve"> for the Consumer Expenditure Survey</w:t>
      </w:r>
      <w:r w:rsidR="00A46014">
        <w:t>”</w:t>
      </w:r>
      <w:r w:rsidR="007B2F0F">
        <w:t xml:space="preserve"> </w:t>
      </w:r>
      <w:r w:rsidR="00E513ED">
        <w:t>(Attachment P).</w:t>
      </w:r>
      <w:r w:rsidR="00FE7652" w:rsidRPr="00FE7652">
        <w:t xml:space="preserve"> </w:t>
      </w:r>
      <w:r w:rsidR="00FE7652">
        <w:t xml:space="preserve"> Also, for an overview of the CE sample design and the CU selection process, please refer to the memorandum</w:t>
      </w:r>
      <w:r w:rsidR="00FE7652" w:rsidRPr="00293BD0">
        <w:t xml:space="preserve"> </w:t>
      </w:r>
      <w:r w:rsidR="00FE7652">
        <w:t>from Jay Ryan on “</w:t>
      </w:r>
      <w:r w:rsidR="00FE7652" w:rsidRPr="00293BD0">
        <w:t>PSUs for the Consumer Expenditure Survey’s 2010 Census-Based Sample Design</w:t>
      </w:r>
      <w:r w:rsidR="00FE7652">
        <w:t>”</w:t>
      </w:r>
      <w:r w:rsidR="00FE7652" w:rsidRPr="00293BD0" w:rsidDel="00293BD0">
        <w:t xml:space="preserve"> </w:t>
      </w:r>
      <w:r w:rsidR="00FE7652">
        <w:t>(Attachment T).</w:t>
      </w:r>
    </w:p>
    <w:p w14:paraId="10DDFCC7" w14:textId="77777777" w:rsidR="00FE7652" w:rsidRDefault="00FE7652" w:rsidP="00FE7652">
      <w:pPr>
        <w:tabs>
          <w:tab w:val="left" w:pos="1176"/>
          <w:tab w:val="left" w:pos="1656"/>
          <w:tab w:val="left" w:pos="5016"/>
          <w:tab w:val="left" w:pos="6696"/>
          <w:tab w:val="left" w:pos="8256"/>
        </w:tabs>
        <w:ind w:left="480"/>
      </w:pPr>
    </w:p>
    <w:p w14:paraId="303BECAC" w14:textId="77777777" w:rsidR="001041FE" w:rsidRDefault="001041FE" w:rsidP="001041FE">
      <w:pPr>
        <w:tabs>
          <w:tab w:val="left" w:pos="1176"/>
          <w:tab w:val="left" w:pos="1656"/>
          <w:tab w:val="left" w:pos="5016"/>
          <w:tab w:val="left" w:pos="6696"/>
          <w:tab w:val="left" w:pos="8256"/>
        </w:tabs>
        <w:ind w:left="432"/>
        <w:rPr>
          <w:u w:val="single"/>
        </w:rPr>
      </w:pPr>
      <w:r>
        <w:rPr>
          <w:u w:val="single"/>
        </w:rPr>
        <w:t>Sampling Within PSUs</w:t>
      </w:r>
    </w:p>
    <w:p w14:paraId="3C31D031" w14:textId="1DF0A4CC" w:rsidR="00AD14B0" w:rsidRDefault="001D7D83" w:rsidP="007F76D2">
      <w:pPr>
        <w:ind w:left="432"/>
      </w:pPr>
      <w:r>
        <w:t xml:space="preserve">CE </w:t>
      </w:r>
      <w:r w:rsidR="00321C7C">
        <w:t>selects its sample</w:t>
      </w:r>
      <w:r>
        <w:t xml:space="preserve"> from the U.S. civilian non-institutional population, which includes people living in houses, condominiums, apartments, and </w:t>
      </w:r>
      <w:r w:rsidR="00875A4E">
        <w:t xml:space="preserve">people living in </w:t>
      </w:r>
      <w:r>
        <w:t>group quarters such as college dormitories</w:t>
      </w:r>
      <w:r w:rsidR="00875A4E">
        <w:t xml:space="preserve"> or boarding houses.</w:t>
      </w:r>
      <w:r>
        <w:t xml:space="preserve">  </w:t>
      </w:r>
      <w:r w:rsidR="00B07CD0">
        <w:t xml:space="preserve">However, CE’s sample excludes military personnel living on base, nursing home residents, and prison inmates.  </w:t>
      </w:r>
      <w:r w:rsidR="00AD14B0">
        <w:t xml:space="preserve">Addresses for the CEQ and CED are selected from </w:t>
      </w:r>
      <w:r w:rsidR="00891924">
        <w:t>two sampling frames maintained by the Census Bureau:</w:t>
      </w:r>
      <w:r w:rsidR="00891924" w:rsidDel="00AD14B0">
        <w:t xml:space="preserve"> </w:t>
      </w:r>
      <w:r>
        <w:t xml:space="preserve"> </w:t>
      </w:r>
      <w:r w:rsidR="00AD14B0">
        <w:t xml:space="preserve">the Unit and Group Quarters </w:t>
      </w:r>
      <w:r w:rsidR="00891924">
        <w:t>(GQ) frame.</w:t>
      </w:r>
      <w:r w:rsidR="001041FE" w:rsidRPr="00E3685C">
        <w:t xml:space="preserve">  </w:t>
      </w:r>
      <w:r w:rsidR="00AA6936">
        <w:t>Both frames are derived from</w:t>
      </w:r>
      <w:r w:rsidR="00AD14B0">
        <w:t xml:space="preserve"> </w:t>
      </w:r>
      <w:r w:rsidR="0062127E">
        <w:t>the M</w:t>
      </w:r>
      <w:r>
        <w:t xml:space="preserve">aster Address File (MAF), which is </w:t>
      </w:r>
      <w:r w:rsidR="00321C7C">
        <w:t xml:space="preserve">basically </w:t>
      </w:r>
      <w:r>
        <w:t xml:space="preserve">a list of all residential addresses identified in the 2010 census and is updated twice per year with information from the U.S. Postal Service. </w:t>
      </w:r>
      <w:r w:rsidR="003520A2">
        <w:t xml:space="preserve"> </w:t>
      </w:r>
      <w:r>
        <w:t xml:space="preserve">It contains an accurate, up-to-date inventory of all known living quarters in the United States.  The Unit frame is the larger </w:t>
      </w:r>
      <w:r w:rsidR="00321C7C">
        <w:t>of the two frames</w:t>
      </w:r>
      <w:r>
        <w:t xml:space="preserve"> and it contains both existing housing units and new housing units.  It has approximately 99% of the MAF’s civilian non-institutional addresses and is updated twice per year.  The GQ frame is also </w:t>
      </w:r>
      <w:r w:rsidR="00321C7C">
        <w:t>deriv</w:t>
      </w:r>
      <w:r>
        <w:t xml:space="preserve">ed </w:t>
      </w:r>
      <w:r w:rsidR="00321C7C">
        <w:t xml:space="preserve">from the MAF but it is much smaller; it has the remaining 1% of the </w:t>
      </w:r>
      <w:r w:rsidR="009E7C63">
        <w:t>civilian non</w:t>
      </w:r>
      <w:r w:rsidR="00901571">
        <w:t xml:space="preserve">-institutional </w:t>
      </w:r>
      <w:r w:rsidR="00321C7C">
        <w:t>addresses and is updated less frequently, every three years.</w:t>
      </w:r>
    </w:p>
    <w:p w14:paraId="1A5FDE5C" w14:textId="77777777" w:rsidR="001041FE" w:rsidRDefault="001041FE" w:rsidP="001041FE">
      <w:pPr>
        <w:ind w:left="432"/>
      </w:pPr>
    </w:p>
    <w:p w14:paraId="6AE2406B" w14:textId="2996EA1C" w:rsidR="001041FE" w:rsidRDefault="00291898" w:rsidP="001041FE">
      <w:pPr>
        <w:pStyle w:val="Pa5"/>
        <w:spacing w:line="240" w:lineRule="auto"/>
        <w:ind w:left="432"/>
      </w:pPr>
      <w:r>
        <w:rPr>
          <w:color w:val="000000"/>
        </w:rPr>
        <w:t>A</w:t>
      </w:r>
      <w:r w:rsidR="001041FE" w:rsidRPr="00E3685C">
        <w:rPr>
          <w:color w:val="000000"/>
        </w:rPr>
        <w:t xml:space="preserve"> “systematic sample” of households is selected from </w:t>
      </w:r>
      <w:r w:rsidR="004336EC">
        <w:rPr>
          <w:color w:val="000000"/>
        </w:rPr>
        <w:t xml:space="preserve">the two frames in </w:t>
      </w:r>
      <w:r>
        <w:rPr>
          <w:color w:val="000000"/>
        </w:rPr>
        <w:t>each PSU</w:t>
      </w:r>
      <w:r w:rsidR="001041FE" w:rsidRPr="00E3685C">
        <w:rPr>
          <w:color w:val="000000"/>
        </w:rPr>
        <w:t xml:space="preserve">.  </w:t>
      </w:r>
      <w:r w:rsidR="001041FE">
        <w:rPr>
          <w:color w:val="000000"/>
        </w:rPr>
        <w:t>The first step in the selection process is sorting the households by variables that are correlated with their expenditures.  The purpose of th</w:t>
      </w:r>
      <w:r w:rsidR="004336EC">
        <w:rPr>
          <w:color w:val="000000"/>
        </w:rPr>
        <w:t>e</w:t>
      </w:r>
      <w:r w:rsidR="001041FE">
        <w:rPr>
          <w:color w:val="000000"/>
        </w:rPr>
        <w:t xml:space="preserve"> </w:t>
      </w:r>
      <w:r w:rsidR="004336EC">
        <w:rPr>
          <w:color w:val="000000"/>
        </w:rPr>
        <w:t xml:space="preserve">sort </w:t>
      </w:r>
      <w:r w:rsidR="001041FE">
        <w:rPr>
          <w:color w:val="000000"/>
        </w:rPr>
        <w:t>is to ensure that households of every wealth level are well-represented in the sample.</w:t>
      </w:r>
      <w:r w:rsidR="001041FE" w:rsidRPr="00E3685C">
        <w:rPr>
          <w:color w:val="000000"/>
        </w:rPr>
        <w:t xml:space="preserve">  </w:t>
      </w:r>
      <w:r w:rsidR="001041FE">
        <w:rPr>
          <w:color w:val="000000"/>
        </w:rPr>
        <w:t xml:space="preserve">The first household in </w:t>
      </w:r>
      <w:r w:rsidR="001041FE">
        <w:t>the</w:t>
      </w:r>
      <w:r w:rsidR="001041FE" w:rsidRPr="00E3685C">
        <w:t xml:space="preserve"> systematic sample is </w:t>
      </w:r>
      <w:r w:rsidR="001041FE">
        <w:t>selected</w:t>
      </w:r>
      <w:r w:rsidR="001041FE" w:rsidRPr="00E3685C">
        <w:t xml:space="preserve"> </w:t>
      </w:r>
      <w:r w:rsidR="001041FE">
        <w:t xml:space="preserve">from the sorted list </w:t>
      </w:r>
      <w:r w:rsidR="001041FE" w:rsidRPr="00E3685C">
        <w:t>using a random number</w:t>
      </w:r>
      <w:r w:rsidR="001041FE">
        <w:t xml:space="preserve"> generator</w:t>
      </w:r>
      <w:r w:rsidR="001041FE" w:rsidRPr="00E3685C">
        <w:t xml:space="preserve">.  </w:t>
      </w:r>
      <w:r w:rsidR="00E12632">
        <w:t>Then a</w:t>
      </w:r>
      <w:r w:rsidR="001041FE" w:rsidRPr="00E3685C">
        <w:t xml:space="preserve">fter the initial household is selected </w:t>
      </w:r>
      <w:r w:rsidR="00BA6B68">
        <w:t>every k-th household down the list is selected</w:t>
      </w:r>
      <w:r w:rsidR="001041FE" w:rsidRPr="00E3685C">
        <w:t xml:space="preserve"> where “k” is the PSU</w:t>
      </w:r>
      <w:r w:rsidR="001041FE">
        <w:t>’s</w:t>
      </w:r>
      <w:r w:rsidR="001041FE" w:rsidRPr="00E3685C">
        <w:t xml:space="preserve"> sampling interval.</w:t>
      </w:r>
      <w:r w:rsidR="00EB002A">
        <w:t xml:space="preserve">  </w:t>
      </w:r>
      <w:r w:rsidR="00EB002A">
        <w:rPr>
          <w:color w:val="000000"/>
        </w:rPr>
        <w:t>The Unit and GQ frame have</w:t>
      </w:r>
      <w:r w:rsidR="00EB002A" w:rsidRPr="00E3685C">
        <w:rPr>
          <w:color w:val="000000"/>
        </w:rPr>
        <w:t xml:space="preserve"> different sort</w:t>
      </w:r>
      <w:r w:rsidR="0021665C">
        <w:rPr>
          <w:color w:val="000000"/>
        </w:rPr>
        <w:t>ing</w:t>
      </w:r>
      <w:r w:rsidR="00EB002A" w:rsidRPr="00E3685C">
        <w:rPr>
          <w:color w:val="000000"/>
        </w:rPr>
        <w:t xml:space="preserve"> variables</w:t>
      </w:r>
      <w:r w:rsidR="00901571">
        <w:rPr>
          <w:color w:val="000000"/>
        </w:rPr>
        <w:t>, but they have the same sampling interval</w:t>
      </w:r>
      <w:r w:rsidR="00EB002A" w:rsidRPr="00E3685C">
        <w:rPr>
          <w:color w:val="000000"/>
        </w:rPr>
        <w:t>.</w:t>
      </w:r>
      <w:r w:rsidR="00EB002A">
        <w:rPr>
          <w:color w:val="000000"/>
        </w:rPr>
        <w:t xml:space="preserve">  </w:t>
      </w:r>
    </w:p>
    <w:p w14:paraId="04CE3047" w14:textId="77777777" w:rsidR="001041FE" w:rsidRDefault="001041FE" w:rsidP="001041FE">
      <w:pPr>
        <w:pStyle w:val="Pa5"/>
        <w:spacing w:line="240" w:lineRule="auto"/>
        <w:ind w:left="432"/>
      </w:pPr>
    </w:p>
    <w:p w14:paraId="6EC62831" w14:textId="77777777" w:rsidR="00EA770E" w:rsidRDefault="001041FE" w:rsidP="001041FE">
      <w:pPr>
        <w:pStyle w:val="Pa5"/>
        <w:spacing w:line="240" w:lineRule="auto"/>
        <w:ind w:left="432"/>
        <w:rPr>
          <w:color w:val="000000"/>
        </w:rPr>
      </w:pPr>
      <w:r w:rsidRPr="00E3685C">
        <w:rPr>
          <w:color w:val="000000"/>
        </w:rPr>
        <w:t>For the Unit frame</w:t>
      </w:r>
      <w:r>
        <w:rPr>
          <w:color w:val="000000"/>
        </w:rPr>
        <w:t>,</w:t>
      </w:r>
      <w:r w:rsidRPr="00E3685C">
        <w:rPr>
          <w:color w:val="000000"/>
        </w:rPr>
        <w:t xml:space="preserve"> </w:t>
      </w:r>
      <w:r w:rsidR="00EB002A">
        <w:rPr>
          <w:color w:val="000000"/>
        </w:rPr>
        <w:t xml:space="preserve">the sorting variable is </w:t>
      </w:r>
      <w:r w:rsidR="004336EC">
        <w:rPr>
          <w:color w:val="000000"/>
        </w:rPr>
        <w:t xml:space="preserve">a </w:t>
      </w:r>
      <w:r w:rsidR="00EB002A">
        <w:rPr>
          <w:color w:val="000000"/>
        </w:rPr>
        <w:t>stratification variable created from the number of occupants in each household, their housing tenure (owner/renter), and the market value of their homes (for owners) or the rental value of their apartment or home (for renters.)</w:t>
      </w:r>
      <w:r w:rsidR="004336EC">
        <w:rPr>
          <w:color w:val="000000"/>
        </w:rPr>
        <w:t xml:space="preserve"> </w:t>
      </w:r>
      <w:r w:rsidR="00EB002A">
        <w:rPr>
          <w:color w:val="000000"/>
        </w:rPr>
        <w:t xml:space="preserve"> </w:t>
      </w:r>
      <w:r w:rsidR="00EA770E">
        <w:rPr>
          <w:color w:val="000000"/>
        </w:rPr>
        <w:t xml:space="preserve">These variables are used because they are correlated with expenditures:  households with more people tend to be wealthier than those with fewer people; homeowners tend to be wealthier than renters; and people living in high-price housing units tend to be wealthier than those living in low-price housing units.  </w:t>
      </w:r>
    </w:p>
    <w:p w14:paraId="4F1FF326" w14:textId="08A053EE" w:rsidR="00A46FB0" w:rsidRDefault="00A46FB0" w:rsidP="001041FE">
      <w:pPr>
        <w:pStyle w:val="Pa5"/>
        <w:spacing w:line="240" w:lineRule="auto"/>
        <w:ind w:left="432"/>
        <w:rPr>
          <w:color w:val="000000"/>
        </w:rPr>
      </w:pPr>
      <w:r>
        <w:rPr>
          <w:color w:val="000000"/>
        </w:rPr>
        <w:t>In Table 1</w:t>
      </w:r>
      <w:r w:rsidR="00EA770E">
        <w:rPr>
          <w:color w:val="000000"/>
        </w:rPr>
        <w:t xml:space="preserve"> below</w:t>
      </w:r>
      <w:r>
        <w:rPr>
          <w:color w:val="000000"/>
        </w:rPr>
        <w:t xml:space="preserve">, all the renters are at one end of the stratification and all the owners are at the other end of the stratification.  The renters and owners are further subdivided into quartiles </w:t>
      </w:r>
      <w:r w:rsidR="008975E6">
        <w:rPr>
          <w:color w:val="000000"/>
        </w:rPr>
        <w:t>based on monthly rental and property values</w:t>
      </w:r>
      <w:r w:rsidR="00672009">
        <w:rPr>
          <w:color w:val="000000"/>
        </w:rPr>
        <w:t xml:space="preserve"> in order to ensure that households of every wealth level are well represented in the survey</w:t>
      </w:r>
      <w:r>
        <w:rPr>
          <w:color w:val="000000"/>
        </w:rPr>
        <w:t>.  Vacant housing units are put in the middle column for the number of household occupants because although they were vacant at the time of the decennial census, when CE’s field representatives visit them</w:t>
      </w:r>
      <w:r w:rsidR="00901571">
        <w:rPr>
          <w:color w:val="000000"/>
        </w:rPr>
        <w:t xml:space="preserve"> most will be occupied and </w:t>
      </w:r>
      <w:r>
        <w:rPr>
          <w:color w:val="000000"/>
        </w:rPr>
        <w:t>the</w:t>
      </w:r>
      <w:r w:rsidR="000955A0">
        <w:rPr>
          <w:color w:val="000000"/>
        </w:rPr>
        <w:t>y</w:t>
      </w:r>
      <w:r>
        <w:rPr>
          <w:color w:val="000000"/>
        </w:rPr>
        <w:t xml:space="preserve"> could be in any of the four non-zero categories.</w:t>
      </w:r>
      <w:r w:rsidR="000955A0">
        <w:rPr>
          <w:color w:val="000000"/>
        </w:rPr>
        <w:t xml:space="preserve">  </w:t>
      </w:r>
      <w:r w:rsidR="00901571">
        <w:rPr>
          <w:color w:val="000000"/>
        </w:rPr>
        <w:t xml:space="preserve">Thus the middle column is their “expected” location.  </w:t>
      </w:r>
      <w:r w:rsidR="000955A0">
        <w:rPr>
          <w:color w:val="000000"/>
        </w:rPr>
        <w:t>Each cell is assigned a stratification code value</w:t>
      </w:r>
      <w:r w:rsidR="00150F8E">
        <w:rPr>
          <w:color w:val="000000"/>
        </w:rPr>
        <w:t>, and all addresses in the Unit frame fall into one of these cells</w:t>
      </w:r>
      <w:r w:rsidR="000955A0">
        <w:rPr>
          <w:color w:val="000000"/>
        </w:rPr>
        <w:t>.</w:t>
      </w:r>
      <w:r w:rsidR="00150F8E" w:rsidRPr="00150F8E">
        <w:t xml:space="preserve"> </w:t>
      </w:r>
      <w:r w:rsidR="00150F8E">
        <w:t xml:space="preserve"> </w:t>
      </w:r>
      <w:r w:rsidR="00150F8E" w:rsidRPr="00E3685C">
        <w:t>The stratification code is a surrogate for sorting by expenditures.</w:t>
      </w:r>
      <w:r w:rsidR="00150F8E">
        <w:t xml:space="preserve">  </w:t>
      </w:r>
    </w:p>
    <w:p w14:paraId="3ED67229" w14:textId="77777777" w:rsidR="000955A0" w:rsidRDefault="000955A0" w:rsidP="000955A0"/>
    <w:p w14:paraId="7949E618" w14:textId="77777777" w:rsidR="000955A0" w:rsidRPr="000955A0" w:rsidRDefault="000955A0" w:rsidP="000955A0"/>
    <w:p w14:paraId="58EE16FE" w14:textId="77777777" w:rsidR="009C4D19" w:rsidRPr="00E3685C" w:rsidRDefault="009C4D19" w:rsidP="009C4D19">
      <w:pPr>
        <w:pStyle w:val="Pa5"/>
        <w:spacing w:line="240" w:lineRule="auto"/>
        <w:ind w:left="432"/>
        <w:jc w:val="center"/>
        <w:rPr>
          <w:color w:val="000000"/>
        </w:rPr>
      </w:pPr>
      <w:r w:rsidRPr="00E3685C">
        <w:rPr>
          <w:color w:val="000000"/>
        </w:rPr>
        <w:t>Table 1.  CE Unit Frame Stratification Code Values</w:t>
      </w:r>
    </w:p>
    <w:p w14:paraId="40F50569" w14:textId="77777777" w:rsidR="009C4D19" w:rsidRPr="00E3685C" w:rsidRDefault="009C4D19" w:rsidP="009C4D19"/>
    <w:tbl>
      <w:tblPr>
        <w:tblW w:w="7560" w:type="dxa"/>
        <w:jc w:val="center"/>
        <w:tblLook w:val="0000" w:firstRow="0" w:lastRow="0" w:firstColumn="0" w:lastColumn="0" w:noHBand="0" w:noVBand="0"/>
      </w:tblPr>
      <w:tblGrid>
        <w:gridCol w:w="2020"/>
        <w:gridCol w:w="1130"/>
        <w:gridCol w:w="1170"/>
        <w:gridCol w:w="1080"/>
        <w:gridCol w:w="1057"/>
        <w:gridCol w:w="1103"/>
      </w:tblGrid>
      <w:tr w:rsidR="009C4D19" w:rsidRPr="00E3685C" w14:paraId="25C1EB73" w14:textId="77777777" w:rsidTr="00D52564">
        <w:trPr>
          <w:trHeight w:val="255"/>
          <w:jc w:val="center"/>
        </w:trPr>
        <w:tc>
          <w:tcPr>
            <w:tcW w:w="2020" w:type="dxa"/>
            <w:tcBorders>
              <w:top w:val="single" w:sz="4" w:space="0" w:color="auto"/>
              <w:left w:val="nil"/>
              <w:bottom w:val="nil"/>
              <w:right w:val="nil"/>
            </w:tcBorders>
            <w:shd w:val="clear" w:color="auto" w:fill="auto"/>
            <w:noWrap/>
            <w:vAlign w:val="bottom"/>
          </w:tcPr>
          <w:p w14:paraId="12DD5FA5" w14:textId="77777777" w:rsidR="009C4D19" w:rsidRPr="00E3685C" w:rsidRDefault="009C4D19" w:rsidP="00D52564">
            <w:pPr>
              <w:rPr>
                <w:sz w:val="20"/>
                <w:szCs w:val="20"/>
              </w:rPr>
            </w:pPr>
            <w:r w:rsidRPr="00E3685C">
              <w:rPr>
                <w:sz w:val="20"/>
                <w:szCs w:val="20"/>
              </w:rPr>
              <w:t>Renter/Owner Quartile</w:t>
            </w:r>
          </w:p>
        </w:tc>
        <w:tc>
          <w:tcPr>
            <w:tcW w:w="5540" w:type="dxa"/>
            <w:gridSpan w:val="5"/>
            <w:tcBorders>
              <w:top w:val="single" w:sz="4" w:space="0" w:color="auto"/>
              <w:left w:val="nil"/>
              <w:bottom w:val="single" w:sz="4" w:space="0" w:color="auto"/>
              <w:right w:val="nil"/>
            </w:tcBorders>
            <w:shd w:val="clear" w:color="auto" w:fill="auto"/>
            <w:noWrap/>
            <w:vAlign w:val="bottom"/>
          </w:tcPr>
          <w:p w14:paraId="51AAEFE4" w14:textId="77777777" w:rsidR="009C4D19" w:rsidRPr="00E3685C" w:rsidRDefault="009C4D19" w:rsidP="00D52564">
            <w:pPr>
              <w:jc w:val="center"/>
              <w:rPr>
                <w:sz w:val="20"/>
                <w:szCs w:val="20"/>
              </w:rPr>
            </w:pPr>
            <w:r w:rsidRPr="00E3685C">
              <w:rPr>
                <w:sz w:val="20"/>
                <w:szCs w:val="20"/>
              </w:rPr>
              <w:t>Number of Occupants</w:t>
            </w:r>
          </w:p>
        </w:tc>
      </w:tr>
      <w:tr w:rsidR="009C4D19" w:rsidRPr="00E3685C" w14:paraId="650EF721" w14:textId="77777777" w:rsidTr="00D52564">
        <w:trPr>
          <w:trHeight w:val="315"/>
          <w:jc w:val="center"/>
        </w:trPr>
        <w:tc>
          <w:tcPr>
            <w:tcW w:w="2020" w:type="dxa"/>
            <w:tcBorders>
              <w:top w:val="nil"/>
              <w:left w:val="nil"/>
              <w:bottom w:val="nil"/>
              <w:right w:val="nil"/>
            </w:tcBorders>
            <w:shd w:val="clear" w:color="auto" w:fill="auto"/>
            <w:noWrap/>
            <w:vAlign w:val="center"/>
          </w:tcPr>
          <w:p w14:paraId="1B726AA7" w14:textId="77777777" w:rsidR="009C4D19" w:rsidRPr="00E3685C" w:rsidRDefault="009C4D19" w:rsidP="00D52564">
            <w:pPr>
              <w:rPr>
                <w:sz w:val="20"/>
                <w:szCs w:val="20"/>
              </w:rPr>
            </w:pPr>
          </w:p>
        </w:tc>
        <w:tc>
          <w:tcPr>
            <w:tcW w:w="1130" w:type="dxa"/>
            <w:tcBorders>
              <w:top w:val="nil"/>
              <w:left w:val="nil"/>
              <w:bottom w:val="nil"/>
              <w:right w:val="nil"/>
            </w:tcBorders>
            <w:shd w:val="clear" w:color="auto" w:fill="auto"/>
            <w:noWrap/>
            <w:tcMar>
              <w:left w:w="29" w:type="dxa"/>
              <w:right w:w="29" w:type="dxa"/>
            </w:tcMar>
            <w:vAlign w:val="center"/>
          </w:tcPr>
          <w:p w14:paraId="0F725446" w14:textId="77777777" w:rsidR="009C4D19" w:rsidRPr="00E3685C" w:rsidRDefault="009C4D19" w:rsidP="00D52564">
            <w:pPr>
              <w:jc w:val="center"/>
              <w:rPr>
                <w:sz w:val="20"/>
                <w:szCs w:val="20"/>
              </w:rPr>
            </w:pPr>
            <w:r>
              <w:rPr>
                <w:sz w:val="20"/>
                <w:szCs w:val="20"/>
              </w:rPr>
              <w:t>1 person</w:t>
            </w:r>
          </w:p>
        </w:tc>
        <w:tc>
          <w:tcPr>
            <w:tcW w:w="1170" w:type="dxa"/>
            <w:tcBorders>
              <w:top w:val="nil"/>
              <w:left w:val="nil"/>
              <w:bottom w:val="nil"/>
              <w:right w:val="nil"/>
            </w:tcBorders>
            <w:shd w:val="clear" w:color="auto" w:fill="auto"/>
            <w:noWrap/>
            <w:tcMar>
              <w:left w:w="29" w:type="dxa"/>
              <w:right w:w="29" w:type="dxa"/>
            </w:tcMar>
            <w:vAlign w:val="center"/>
          </w:tcPr>
          <w:p w14:paraId="3017BF79" w14:textId="77777777" w:rsidR="009C4D19" w:rsidRPr="00E3685C" w:rsidRDefault="009C4D19" w:rsidP="00D52564">
            <w:pPr>
              <w:jc w:val="center"/>
              <w:rPr>
                <w:sz w:val="20"/>
                <w:szCs w:val="20"/>
              </w:rPr>
            </w:pPr>
            <w:r>
              <w:rPr>
                <w:sz w:val="20"/>
                <w:szCs w:val="20"/>
              </w:rPr>
              <w:t>2</w:t>
            </w:r>
            <w:r w:rsidRPr="00E3685C">
              <w:rPr>
                <w:sz w:val="20"/>
                <w:szCs w:val="20"/>
              </w:rPr>
              <w:t xml:space="preserve"> person</w:t>
            </w:r>
            <w:r>
              <w:rPr>
                <w:sz w:val="20"/>
                <w:szCs w:val="20"/>
              </w:rPr>
              <w:t>s</w:t>
            </w:r>
          </w:p>
        </w:tc>
        <w:tc>
          <w:tcPr>
            <w:tcW w:w="1080" w:type="dxa"/>
            <w:tcBorders>
              <w:top w:val="nil"/>
              <w:left w:val="nil"/>
              <w:bottom w:val="nil"/>
              <w:right w:val="nil"/>
            </w:tcBorders>
            <w:shd w:val="clear" w:color="auto" w:fill="auto"/>
            <w:noWrap/>
            <w:tcMar>
              <w:left w:w="29" w:type="dxa"/>
              <w:right w:w="29" w:type="dxa"/>
            </w:tcMar>
            <w:vAlign w:val="center"/>
          </w:tcPr>
          <w:p w14:paraId="1A1947B9" w14:textId="77777777" w:rsidR="009C4D19" w:rsidRPr="00E3685C" w:rsidRDefault="009C4D19" w:rsidP="00D52564">
            <w:pPr>
              <w:jc w:val="center"/>
              <w:rPr>
                <w:sz w:val="20"/>
                <w:szCs w:val="20"/>
              </w:rPr>
            </w:pPr>
            <w:r>
              <w:rPr>
                <w:sz w:val="20"/>
                <w:szCs w:val="20"/>
              </w:rPr>
              <w:t>Vacant</w:t>
            </w:r>
          </w:p>
        </w:tc>
        <w:tc>
          <w:tcPr>
            <w:tcW w:w="1057" w:type="dxa"/>
            <w:tcBorders>
              <w:top w:val="nil"/>
              <w:left w:val="nil"/>
              <w:bottom w:val="nil"/>
              <w:right w:val="nil"/>
            </w:tcBorders>
            <w:shd w:val="clear" w:color="auto" w:fill="auto"/>
            <w:noWrap/>
            <w:tcMar>
              <w:left w:w="29" w:type="dxa"/>
              <w:right w:w="29" w:type="dxa"/>
            </w:tcMar>
            <w:vAlign w:val="center"/>
          </w:tcPr>
          <w:p w14:paraId="56E1319D" w14:textId="77777777" w:rsidR="009C4D19" w:rsidRPr="00E3685C" w:rsidRDefault="009C4D19" w:rsidP="00D52564">
            <w:pPr>
              <w:jc w:val="center"/>
              <w:rPr>
                <w:sz w:val="20"/>
                <w:szCs w:val="20"/>
              </w:rPr>
            </w:pPr>
            <w:r w:rsidRPr="00E3685C">
              <w:rPr>
                <w:sz w:val="20"/>
                <w:szCs w:val="20"/>
              </w:rPr>
              <w:t>3 persons</w:t>
            </w:r>
          </w:p>
        </w:tc>
        <w:tc>
          <w:tcPr>
            <w:tcW w:w="1103" w:type="dxa"/>
            <w:tcBorders>
              <w:top w:val="nil"/>
              <w:left w:val="nil"/>
              <w:bottom w:val="nil"/>
              <w:right w:val="nil"/>
            </w:tcBorders>
            <w:shd w:val="clear" w:color="auto" w:fill="auto"/>
            <w:noWrap/>
            <w:tcMar>
              <w:left w:w="29" w:type="dxa"/>
              <w:right w:w="29" w:type="dxa"/>
            </w:tcMar>
            <w:vAlign w:val="center"/>
          </w:tcPr>
          <w:p w14:paraId="183930B9" w14:textId="77777777" w:rsidR="009C4D19" w:rsidRPr="00E3685C" w:rsidRDefault="009C4D19" w:rsidP="00D52564">
            <w:pPr>
              <w:jc w:val="center"/>
              <w:rPr>
                <w:sz w:val="20"/>
                <w:szCs w:val="20"/>
              </w:rPr>
            </w:pPr>
            <w:r w:rsidRPr="00E3685C">
              <w:rPr>
                <w:sz w:val="20"/>
                <w:szCs w:val="20"/>
              </w:rPr>
              <w:t>4+ persons</w:t>
            </w:r>
          </w:p>
        </w:tc>
      </w:tr>
      <w:tr w:rsidR="009C4D19" w:rsidRPr="00E3685C" w14:paraId="195FBA9F" w14:textId="77777777" w:rsidTr="00D52564">
        <w:trPr>
          <w:jc w:val="center"/>
        </w:trPr>
        <w:tc>
          <w:tcPr>
            <w:tcW w:w="2020" w:type="dxa"/>
            <w:tcBorders>
              <w:top w:val="nil"/>
              <w:left w:val="nil"/>
              <w:bottom w:val="nil"/>
              <w:right w:val="nil"/>
            </w:tcBorders>
            <w:shd w:val="clear" w:color="auto" w:fill="auto"/>
            <w:noWrap/>
            <w:vAlign w:val="center"/>
          </w:tcPr>
          <w:p w14:paraId="0A2BA999" w14:textId="77777777" w:rsidR="009C4D19" w:rsidRPr="00E3685C" w:rsidRDefault="009C4D19" w:rsidP="00D52564">
            <w:pPr>
              <w:rPr>
                <w:sz w:val="20"/>
                <w:szCs w:val="20"/>
              </w:rPr>
            </w:pPr>
            <w:r w:rsidRPr="00E3685C">
              <w:rPr>
                <w:sz w:val="20"/>
                <w:szCs w:val="20"/>
              </w:rPr>
              <w:t>Renters 1</w:t>
            </w:r>
            <w:r w:rsidRPr="00E3685C">
              <w:rPr>
                <w:sz w:val="20"/>
                <w:szCs w:val="20"/>
                <w:vertAlign w:val="superscript"/>
              </w:rPr>
              <w:t>st</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14:paraId="481608AE" w14:textId="77777777" w:rsidR="009C4D19" w:rsidRPr="00E3685C" w:rsidRDefault="009C4D19" w:rsidP="00D52564">
            <w:pPr>
              <w:jc w:val="center"/>
              <w:rPr>
                <w:sz w:val="20"/>
                <w:szCs w:val="20"/>
              </w:rPr>
            </w:pPr>
            <w:r w:rsidRPr="00E3685C">
              <w:rPr>
                <w:sz w:val="20"/>
                <w:szCs w:val="20"/>
              </w:rPr>
              <w:t>10</w:t>
            </w:r>
          </w:p>
        </w:tc>
        <w:tc>
          <w:tcPr>
            <w:tcW w:w="1170" w:type="dxa"/>
            <w:tcBorders>
              <w:top w:val="nil"/>
              <w:left w:val="nil"/>
              <w:bottom w:val="nil"/>
              <w:right w:val="nil"/>
            </w:tcBorders>
            <w:shd w:val="clear" w:color="auto" w:fill="auto"/>
            <w:noWrap/>
            <w:tcMar>
              <w:left w:w="29" w:type="dxa"/>
              <w:right w:w="29" w:type="dxa"/>
            </w:tcMar>
            <w:vAlign w:val="center"/>
          </w:tcPr>
          <w:p w14:paraId="1057DA99" w14:textId="77777777" w:rsidR="009C4D19" w:rsidRPr="00E3685C" w:rsidRDefault="009C4D19" w:rsidP="00D52564">
            <w:pPr>
              <w:jc w:val="center"/>
              <w:rPr>
                <w:sz w:val="20"/>
                <w:szCs w:val="20"/>
              </w:rPr>
            </w:pPr>
            <w:r w:rsidRPr="00E3685C">
              <w:rPr>
                <w:sz w:val="20"/>
                <w:szCs w:val="20"/>
              </w:rPr>
              <w:t>11</w:t>
            </w:r>
          </w:p>
        </w:tc>
        <w:tc>
          <w:tcPr>
            <w:tcW w:w="1080" w:type="dxa"/>
            <w:tcBorders>
              <w:top w:val="nil"/>
              <w:left w:val="nil"/>
              <w:bottom w:val="nil"/>
              <w:right w:val="nil"/>
            </w:tcBorders>
            <w:shd w:val="clear" w:color="auto" w:fill="auto"/>
            <w:noWrap/>
            <w:tcMar>
              <w:left w:w="29" w:type="dxa"/>
              <w:right w:w="29" w:type="dxa"/>
            </w:tcMar>
            <w:vAlign w:val="center"/>
          </w:tcPr>
          <w:p w14:paraId="1569DBD4" w14:textId="77777777" w:rsidR="009C4D19" w:rsidRPr="00E3685C" w:rsidRDefault="009C4D19" w:rsidP="00D52564">
            <w:pPr>
              <w:jc w:val="center"/>
              <w:rPr>
                <w:sz w:val="20"/>
                <w:szCs w:val="20"/>
              </w:rPr>
            </w:pPr>
            <w:r w:rsidRPr="00E3685C">
              <w:rPr>
                <w:sz w:val="20"/>
                <w:szCs w:val="20"/>
              </w:rPr>
              <w:t>12</w:t>
            </w:r>
          </w:p>
        </w:tc>
        <w:tc>
          <w:tcPr>
            <w:tcW w:w="1057" w:type="dxa"/>
            <w:tcBorders>
              <w:top w:val="nil"/>
              <w:left w:val="nil"/>
              <w:bottom w:val="nil"/>
              <w:right w:val="nil"/>
            </w:tcBorders>
            <w:shd w:val="clear" w:color="auto" w:fill="auto"/>
            <w:noWrap/>
            <w:tcMar>
              <w:left w:w="29" w:type="dxa"/>
              <w:right w:w="29" w:type="dxa"/>
            </w:tcMar>
            <w:vAlign w:val="center"/>
          </w:tcPr>
          <w:p w14:paraId="192308FE" w14:textId="77777777" w:rsidR="009C4D19" w:rsidRPr="00E3685C" w:rsidRDefault="009C4D19" w:rsidP="00D52564">
            <w:pPr>
              <w:jc w:val="center"/>
              <w:rPr>
                <w:sz w:val="20"/>
                <w:szCs w:val="20"/>
              </w:rPr>
            </w:pPr>
            <w:r w:rsidRPr="00E3685C">
              <w:rPr>
                <w:sz w:val="20"/>
                <w:szCs w:val="20"/>
              </w:rPr>
              <w:t>13</w:t>
            </w:r>
          </w:p>
        </w:tc>
        <w:tc>
          <w:tcPr>
            <w:tcW w:w="1103" w:type="dxa"/>
            <w:tcBorders>
              <w:top w:val="nil"/>
              <w:left w:val="nil"/>
              <w:bottom w:val="nil"/>
              <w:right w:val="nil"/>
            </w:tcBorders>
            <w:shd w:val="clear" w:color="auto" w:fill="auto"/>
            <w:noWrap/>
            <w:tcMar>
              <w:left w:w="29" w:type="dxa"/>
              <w:right w:w="29" w:type="dxa"/>
            </w:tcMar>
            <w:vAlign w:val="center"/>
          </w:tcPr>
          <w:p w14:paraId="701CBBDB" w14:textId="77777777" w:rsidR="009C4D19" w:rsidRPr="00E3685C" w:rsidRDefault="009C4D19" w:rsidP="00D52564">
            <w:pPr>
              <w:jc w:val="center"/>
              <w:rPr>
                <w:sz w:val="20"/>
                <w:szCs w:val="20"/>
              </w:rPr>
            </w:pPr>
            <w:r w:rsidRPr="00E3685C">
              <w:rPr>
                <w:sz w:val="20"/>
                <w:szCs w:val="20"/>
              </w:rPr>
              <w:t>14</w:t>
            </w:r>
          </w:p>
        </w:tc>
      </w:tr>
      <w:tr w:rsidR="009C4D19" w:rsidRPr="00E3685C" w14:paraId="07D686DE" w14:textId="77777777" w:rsidTr="00D52564">
        <w:trPr>
          <w:jc w:val="center"/>
        </w:trPr>
        <w:tc>
          <w:tcPr>
            <w:tcW w:w="2020" w:type="dxa"/>
            <w:tcBorders>
              <w:top w:val="nil"/>
              <w:left w:val="nil"/>
              <w:bottom w:val="nil"/>
              <w:right w:val="nil"/>
            </w:tcBorders>
            <w:shd w:val="clear" w:color="auto" w:fill="auto"/>
            <w:noWrap/>
            <w:vAlign w:val="center"/>
          </w:tcPr>
          <w:p w14:paraId="08871532" w14:textId="77777777" w:rsidR="009C4D19" w:rsidRPr="00E3685C" w:rsidRDefault="009C4D19" w:rsidP="00D52564">
            <w:pPr>
              <w:rPr>
                <w:sz w:val="20"/>
                <w:szCs w:val="20"/>
              </w:rPr>
            </w:pPr>
            <w:r w:rsidRPr="00E3685C">
              <w:rPr>
                <w:sz w:val="20"/>
                <w:szCs w:val="20"/>
              </w:rPr>
              <w:t>Renters 2</w:t>
            </w:r>
            <w:r w:rsidRPr="00E3685C">
              <w:rPr>
                <w:sz w:val="20"/>
                <w:szCs w:val="20"/>
                <w:vertAlign w:val="superscript"/>
              </w:rPr>
              <w:t>nd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14:paraId="4144D1D1" w14:textId="77777777" w:rsidR="009C4D19" w:rsidRPr="00E3685C" w:rsidRDefault="009C4D19" w:rsidP="00D52564">
            <w:pPr>
              <w:jc w:val="center"/>
              <w:rPr>
                <w:sz w:val="20"/>
                <w:szCs w:val="20"/>
              </w:rPr>
            </w:pPr>
            <w:r w:rsidRPr="00E3685C">
              <w:rPr>
                <w:sz w:val="20"/>
                <w:szCs w:val="20"/>
              </w:rPr>
              <w:t>25</w:t>
            </w:r>
          </w:p>
        </w:tc>
        <w:tc>
          <w:tcPr>
            <w:tcW w:w="1170" w:type="dxa"/>
            <w:tcBorders>
              <w:top w:val="nil"/>
              <w:left w:val="nil"/>
              <w:bottom w:val="nil"/>
              <w:right w:val="nil"/>
            </w:tcBorders>
            <w:shd w:val="clear" w:color="auto" w:fill="auto"/>
            <w:noWrap/>
            <w:tcMar>
              <w:left w:w="29" w:type="dxa"/>
              <w:right w:w="29" w:type="dxa"/>
            </w:tcMar>
            <w:vAlign w:val="center"/>
          </w:tcPr>
          <w:p w14:paraId="083210AD" w14:textId="77777777" w:rsidR="009C4D19" w:rsidRPr="00E3685C" w:rsidRDefault="009C4D19" w:rsidP="00D52564">
            <w:pPr>
              <w:jc w:val="center"/>
              <w:rPr>
                <w:sz w:val="20"/>
                <w:szCs w:val="20"/>
              </w:rPr>
            </w:pPr>
            <w:r w:rsidRPr="00E3685C">
              <w:rPr>
                <w:sz w:val="20"/>
                <w:szCs w:val="20"/>
              </w:rPr>
              <w:t>24</w:t>
            </w:r>
          </w:p>
        </w:tc>
        <w:tc>
          <w:tcPr>
            <w:tcW w:w="1080" w:type="dxa"/>
            <w:tcBorders>
              <w:top w:val="nil"/>
              <w:left w:val="nil"/>
              <w:bottom w:val="nil"/>
              <w:right w:val="nil"/>
            </w:tcBorders>
            <w:shd w:val="clear" w:color="auto" w:fill="auto"/>
            <w:noWrap/>
            <w:tcMar>
              <w:left w:w="29" w:type="dxa"/>
              <w:right w:w="29" w:type="dxa"/>
            </w:tcMar>
            <w:vAlign w:val="center"/>
          </w:tcPr>
          <w:p w14:paraId="03B676D9" w14:textId="77777777" w:rsidR="009C4D19" w:rsidRPr="00E3685C" w:rsidRDefault="009C4D19" w:rsidP="00D52564">
            <w:pPr>
              <w:jc w:val="center"/>
              <w:rPr>
                <w:sz w:val="20"/>
                <w:szCs w:val="20"/>
              </w:rPr>
            </w:pPr>
            <w:r w:rsidRPr="00E3685C">
              <w:rPr>
                <w:sz w:val="20"/>
                <w:szCs w:val="20"/>
              </w:rPr>
              <w:t>23</w:t>
            </w:r>
          </w:p>
        </w:tc>
        <w:tc>
          <w:tcPr>
            <w:tcW w:w="1057" w:type="dxa"/>
            <w:tcBorders>
              <w:top w:val="nil"/>
              <w:left w:val="nil"/>
              <w:bottom w:val="nil"/>
              <w:right w:val="nil"/>
            </w:tcBorders>
            <w:shd w:val="clear" w:color="auto" w:fill="auto"/>
            <w:noWrap/>
            <w:tcMar>
              <w:left w:w="29" w:type="dxa"/>
              <w:right w:w="29" w:type="dxa"/>
            </w:tcMar>
            <w:vAlign w:val="center"/>
          </w:tcPr>
          <w:p w14:paraId="09FA0694" w14:textId="77777777" w:rsidR="009C4D19" w:rsidRPr="00E3685C" w:rsidRDefault="009C4D19" w:rsidP="00D52564">
            <w:pPr>
              <w:jc w:val="center"/>
              <w:rPr>
                <w:sz w:val="20"/>
                <w:szCs w:val="20"/>
              </w:rPr>
            </w:pPr>
            <w:r w:rsidRPr="00E3685C">
              <w:rPr>
                <w:sz w:val="20"/>
                <w:szCs w:val="20"/>
              </w:rPr>
              <w:t>22</w:t>
            </w:r>
          </w:p>
        </w:tc>
        <w:tc>
          <w:tcPr>
            <w:tcW w:w="1103" w:type="dxa"/>
            <w:tcBorders>
              <w:top w:val="nil"/>
              <w:left w:val="nil"/>
              <w:bottom w:val="nil"/>
              <w:right w:val="nil"/>
            </w:tcBorders>
            <w:shd w:val="clear" w:color="auto" w:fill="auto"/>
            <w:noWrap/>
            <w:tcMar>
              <w:left w:w="29" w:type="dxa"/>
              <w:right w:w="29" w:type="dxa"/>
            </w:tcMar>
            <w:vAlign w:val="center"/>
          </w:tcPr>
          <w:p w14:paraId="57DB0187" w14:textId="77777777" w:rsidR="009C4D19" w:rsidRPr="00E3685C" w:rsidRDefault="009C4D19" w:rsidP="00D52564">
            <w:pPr>
              <w:jc w:val="center"/>
              <w:rPr>
                <w:sz w:val="20"/>
                <w:szCs w:val="20"/>
              </w:rPr>
            </w:pPr>
            <w:r w:rsidRPr="00E3685C">
              <w:rPr>
                <w:sz w:val="20"/>
                <w:szCs w:val="20"/>
              </w:rPr>
              <w:t>21</w:t>
            </w:r>
          </w:p>
        </w:tc>
      </w:tr>
      <w:tr w:rsidR="009C4D19" w:rsidRPr="00E3685C" w14:paraId="67D72527" w14:textId="77777777" w:rsidTr="00D52564">
        <w:trPr>
          <w:jc w:val="center"/>
        </w:trPr>
        <w:tc>
          <w:tcPr>
            <w:tcW w:w="2020" w:type="dxa"/>
            <w:tcBorders>
              <w:top w:val="nil"/>
              <w:left w:val="nil"/>
              <w:bottom w:val="nil"/>
              <w:right w:val="nil"/>
            </w:tcBorders>
            <w:shd w:val="clear" w:color="auto" w:fill="auto"/>
            <w:noWrap/>
            <w:vAlign w:val="center"/>
          </w:tcPr>
          <w:p w14:paraId="4C009890" w14:textId="77777777" w:rsidR="009C4D19" w:rsidRPr="00E3685C" w:rsidRDefault="009C4D19" w:rsidP="00D52564">
            <w:pPr>
              <w:rPr>
                <w:sz w:val="20"/>
                <w:szCs w:val="20"/>
              </w:rPr>
            </w:pPr>
            <w:r>
              <w:rPr>
                <w:sz w:val="20"/>
                <w:szCs w:val="20"/>
              </w:rPr>
              <w:t>Renters 3</w:t>
            </w:r>
            <w:r w:rsidRPr="007F76D2">
              <w:rPr>
                <w:sz w:val="20"/>
                <w:szCs w:val="20"/>
                <w:vertAlign w:val="superscript"/>
              </w:rPr>
              <w:t>rd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14:paraId="4DE9A2B4" w14:textId="77777777" w:rsidR="009C4D19" w:rsidRPr="00E3685C" w:rsidRDefault="009C4D19" w:rsidP="00D52564">
            <w:pPr>
              <w:jc w:val="center"/>
              <w:rPr>
                <w:sz w:val="20"/>
                <w:szCs w:val="20"/>
              </w:rPr>
            </w:pPr>
            <w:r w:rsidRPr="00E3685C">
              <w:rPr>
                <w:sz w:val="20"/>
                <w:szCs w:val="20"/>
              </w:rPr>
              <w:t>30</w:t>
            </w:r>
          </w:p>
        </w:tc>
        <w:tc>
          <w:tcPr>
            <w:tcW w:w="1170" w:type="dxa"/>
            <w:tcBorders>
              <w:top w:val="nil"/>
              <w:left w:val="nil"/>
              <w:bottom w:val="nil"/>
              <w:right w:val="nil"/>
            </w:tcBorders>
            <w:shd w:val="clear" w:color="auto" w:fill="auto"/>
            <w:noWrap/>
            <w:tcMar>
              <w:left w:w="29" w:type="dxa"/>
              <w:right w:w="29" w:type="dxa"/>
            </w:tcMar>
            <w:vAlign w:val="center"/>
          </w:tcPr>
          <w:p w14:paraId="1713BDCB" w14:textId="77777777" w:rsidR="009C4D19" w:rsidRPr="00E3685C" w:rsidRDefault="009C4D19" w:rsidP="00D52564">
            <w:pPr>
              <w:jc w:val="center"/>
              <w:rPr>
                <w:sz w:val="20"/>
                <w:szCs w:val="20"/>
              </w:rPr>
            </w:pPr>
            <w:r w:rsidRPr="00E3685C">
              <w:rPr>
                <w:sz w:val="20"/>
                <w:szCs w:val="20"/>
              </w:rPr>
              <w:t>31</w:t>
            </w:r>
          </w:p>
        </w:tc>
        <w:tc>
          <w:tcPr>
            <w:tcW w:w="1080" w:type="dxa"/>
            <w:tcBorders>
              <w:top w:val="nil"/>
              <w:left w:val="nil"/>
              <w:bottom w:val="nil"/>
              <w:right w:val="nil"/>
            </w:tcBorders>
            <w:shd w:val="clear" w:color="auto" w:fill="auto"/>
            <w:noWrap/>
            <w:tcMar>
              <w:left w:w="29" w:type="dxa"/>
              <w:right w:w="29" w:type="dxa"/>
            </w:tcMar>
            <w:vAlign w:val="center"/>
          </w:tcPr>
          <w:p w14:paraId="6B64C586" w14:textId="77777777" w:rsidR="009C4D19" w:rsidRPr="00E3685C" w:rsidRDefault="009C4D19" w:rsidP="00D52564">
            <w:pPr>
              <w:jc w:val="center"/>
              <w:rPr>
                <w:sz w:val="20"/>
                <w:szCs w:val="20"/>
              </w:rPr>
            </w:pPr>
            <w:r w:rsidRPr="00E3685C">
              <w:rPr>
                <w:sz w:val="20"/>
                <w:szCs w:val="20"/>
              </w:rPr>
              <w:t>32</w:t>
            </w:r>
          </w:p>
        </w:tc>
        <w:tc>
          <w:tcPr>
            <w:tcW w:w="1057" w:type="dxa"/>
            <w:tcBorders>
              <w:top w:val="nil"/>
              <w:left w:val="nil"/>
              <w:bottom w:val="nil"/>
              <w:right w:val="nil"/>
            </w:tcBorders>
            <w:shd w:val="clear" w:color="auto" w:fill="auto"/>
            <w:noWrap/>
            <w:tcMar>
              <w:left w:w="29" w:type="dxa"/>
              <w:right w:w="29" w:type="dxa"/>
            </w:tcMar>
            <w:vAlign w:val="center"/>
          </w:tcPr>
          <w:p w14:paraId="13FA890A" w14:textId="77777777" w:rsidR="009C4D19" w:rsidRPr="00E3685C" w:rsidRDefault="009C4D19" w:rsidP="00D52564">
            <w:pPr>
              <w:jc w:val="center"/>
              <w:rPr>
                <w:sz w:val="20"/>
                <w:szCs w:val="20"/>
              </w:rPr>
            </w:pPr>
            <w:r w:rsidRPr="00E3685C">
              <w:rPr>
                <w:sz w:val="20"/>
                <w:szCs w:val="20"/>
              </w:rPr>
              <w:t>33</w:t>
            </w:r>
          </w:p>
        </w:tc>
        <w:tc>
          <w:tcPr>
            <w:tcW w:w="1103" w:type="dxa"/>
            <w:tcBorders>
              <w:top w:val="nil"/>
              <w:left w:val="nil"/>
              <w:bottom w:val="nil"/>
              <w:right w:val="nil"/>
            </w:tcBorders>
            <w:shd w:val="clear" w:color="auto" w:fill="auto"/>
            <w:noWrap/>
            <w:tcMar>
              <w:left w:w="29" w:type="dxa"/>
              <w:right w:w="29" w:type="dxa"/>
            </w:tcMar>
            <w:vAlign w:val="center"/>
          </w:tcPr>
          <w:p w14:paraId="0D67F2B8" w14:textId="77777777" w:rsidR="009C4D19" w:rsidRPr="00E3685C" w:rsidRDefault="009C4D19" w:rsidP="00D52564">
            <w:pPr>
              <w:jc w:val="center"/>
              <w:rPr>
                <w:sz w:val="20"/>
                <w:szCs w:val="20"/>
              </w:rPr>
            </w:pPr>
            <w:r w:rsidRPr="00E3685C">
              <w:rPr>
                <w:sz w:val="20"/>
                <w:szCs w:val="20"/>
              </w:rPr>
              <w:t>34</w:t>
            </w:r>
          </w:p>
        </w:tc>
      </w:tr>
      <w:tr w:rsidR="009C4D19" w:rsidRPr="00E3685C" w14:paraId="6160E395" w14:textId="77777777" w:rsidTr="00D52564">
        <w:trPr>
          <w:jc w:val="center"/>
        </w:trPr>
        <w:tc>
          <w:tcPr>
            <w:tcW w:w="2020" w:type="dxa"/>
            <w:tcBorders>
              <w:top w:val="nil"/>
              <w:left w:val="nil"/>
              <w:bottom w:val="nil"/>
              <w:right w:val="nil"/>
            </w:tcBorders>
            <w:shd w:val="clear" w:color="auto" w:fill="auto"/>
            <w:noWrap/>
            <w:vAlign w:val="center"/>
          </w:tcPr>
          <w:p w14:paraId="43B93EBB" w14:textId="77777777" w:rsidR="009C4D19" w:rsidRPr="00E3685C" w:rsidRDefault="009C4D19" w:rsidP="00D52564">
            <w:pPr>
              <w:rPr>
                <w:sz w:val="20"/>
                <w:szCs w:val="20"/>
              </w:rPr>
            </w:pPr>
            <w:r>
              <w:rPr>
                <w:sz w:val="20"/>
                <w:szCs w:val="20"/>
              </w:rPr>
              <w:t>Renters 4</w:t>
            </w:r>
            <w:r w:rsidRPr="007F76D2">
              <w:rPr>
                <w:sz w:val="20"/>
                <w:szCs w:val="20"/>
                <w:vertAlign w:val="superscript"/>
              </w:rPr>
              <w:t>th</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14:paraId="34A8658D" w14:textId="77777777" w:rsidR="009C4D19" w:rsidRPr="00E3685C" w:rsidRDefault="009C4D19" w:rsidP="00D52564">
            <w:pPr>
              <w:jc w:val="center"/>
              <w:rPr>
                <w:sz w:val="20"/>
                <w:szCs w:val="20"/>
              </w:rPr>
            </w:pPr>
            <w:r w:rsidRPr="00E3685C">
              <w:rPr>
                <w:sz w:val="20"/>
                <w:szCs w:val="20"/>
              </w:rPr>
              <w:t>45</w:t>
            </w:r>
          </w:p>
        </w:tc>
        <w:tc>
          <w:tcPr>
            <w:tcW w:w="1170" w:type="dxa"/>
            <w:tcBorders>
              <w:top w:val="nil"/>
              <w:left w:val="nil"/>
              <w:bottom w:val="nil"/>
              <w:right w:val="nil"/>
            </w:tcBorders>
            <w:shd w:val="clear" w:color="auto" w:fill="auto"/>
            <w:noWrap/>
            <w:tcMar>
              <w:left w:w="29" w:type="dxa"/>
              <w:right w:w="29" w:type="dxa"/>
            </w:tcMar>
            <w:vAlign w:val="center"/>
          </w:tcPr>
          <w:p w14:paraId="3B4C8EFD" w14:textId="77777777" w:rsidR="009C4D19" w:rsidRPr="00E3685C" w:rsidRDefault="009C4D19" w:rsidP="00D52564">
            <w:pPr>
              <w:jc w:val="center"/>
              <w:rPr>
                <w:sz w:val="20"/>
                <w:szCs w:val="20"/>
              </w:rPr>
            </w:pPr>
            <w:r w:rsidRPr="00E3685C">
              <w:rPr>
                <w:sz w:val="20"/>
                <w:szCs w:val="20"/>
              </w:rPr>
              <w:t>44</w:t>
            </w:r>
          </w:p>
        </w:tc>
        <w:tc>
          <w:tcPr>
            <w:tcW w:w="1080" w:type="dxa"/>
            <w:tcBorders>
              <w:top w:val="nil"/>
              <w:left w:val="nil"/>
              <w:bottom w:val="nil"/>
              <w:right w:val="nil"/>
            </w:tcBorders>
            <w:shd w:val="clear" w:color="auto" w:fill="auto"/>
            <w:noWrap/>
            <w:tcMar>
              <w:left w:w="29" w:type="dxa"/>
              <w:right w:w="29" w:type="dxa"/>
            </w:tcMar>
            <w:vAlign w:val="center"/>
          </w:tcPr>
          <w:p w14:paraId="031665AB" w14:textId="77777777" w:rsidR="009C4D19" w:rsidRPr="00E3685C" w:rsidRDefault="009C4D19" w:rsidP="00D52564">
            <w:pPr>
              <w:jc w:val="center"/>
              <w:rPr>
                <w:sz w:val="20"/>
                <w:szCs w:val="20"/>
              </w:rPr>
            </w:pPr>
            <w:r w:rsidRPr="00E3685C">
              <w:rPr>
                <w:sz w:val="20"/>
                <w:szCs w:val="20"/>
              </w:rPr>
              <w:t>43</w:t>
            </w:r>
          </w:p>
        </w:tc>
        <w:tc>
          <w:tcPr>
            <w:tcW w:w="1057" w:type="dxa"/>
            <w:tcBorders>
              <w:top w:val="nil"/>
              <w:left w:val="nil"/>
              <w:bottom w:val="nil"/>
              <w:right w:val="nil"/>
            </w:tcBorders>
            <w:shd w:val="clear" w:color="auto" w:fill="auto"/>
            <w:noWrap/>
            <w:tcMar>
              <w:left w:w="29" w:type="dxa"/>
              <w:right w:w="29" w:type="dxa"/>
            </w:tcMar>
            <w:vAlign w:val="center"/>
          </w:tcPr>
          <w:p w14:paraId="0D46F7DD" w14:textId="77777777" w:rsidR="009C4D19" w:rsidRPr="00E3685C" w:rsidRDefault="009C4D19" w:rsidP="00D52564">
            <w:pPr>
              <w:jc w:val="center"/>
              <w:rPr>
                <w:sz w:val="20"/>
                <w:szCs w:val="20"/>
              </w:rPr>
            </w:pPr>
            <w:r w:rsidRPr="00E3685C">
              <w:rPr>
                <w:sz w:val="20"/>
                <w:szCs w:val="20"/>
              </w:rPr>
              <w:t>42</w:t>
            </w:r>
          </w:p>
        </w:tc>
        <w:tc>
          <w:tcPr>
            <w:tcW w:w="1103" w:type="dxa"/>
            <w:tcBorders>
              <w:top w:val="nil"/>
              <w:left w:val="nil"/>
              <w:bottom w:val="nil"/>
              <w:right w:val="nil"/>
            </w:tcBorders>
            <w:shd w:val="clear" w:color="auto" w:fill="auto"/>
            <w:noWrap/>
            <w:tcMar>
              <w:left w:w="29" w:type="dxa"/>
              <w:right w:w="29" w:type="dxa"/>
            </w:tcMar>
            <w:vAlign w:val="center"/>
          </w:tcPr>
          <w:p w14:paraId="769F893D" w14:textId="77777777" w:rsidR="009C4D19" w:rsidRPr="00E3685C" w:rsidRDefault="009C4D19" w:rsidP="00D52564">
            <w:pPr>
              <w:jc w:val="center"/>
              <w:rPr>
                <w:sz w:val="20"/>
                <w:szCs w:val="20"/>
              </w:rPr>
            </w:pPr>
            <w:r w:rsidRPr="00E3685C">
              <w:rPr>
                <w:sz w:val="20"/>
                <w:szCs w:val="20"/>
              </w:rPr>
              <w:t>41</w:t>
            </w:r>
          </w:p>
        </w:tc>
      </w:tr>
      <w:tr w:rsidR="009C4D19" w:rsidRPr="00E3685C" w14:paraId="4D4FC497" w14:textId="77777777" w:rsidTr="00D52564">
        <w:trPr>
          <w:jc w:val="center"/>
        </w:trPr>
        <w:tc>
          <w:tcPr>
            <w:tcW w:w="2020" w:type="dxa"/>
            <w:tcBorders>
              <w:top w:val="nil"/>
              <w:left w:val="nil"/>
              <w:bottom w:val="nil"/>
              <w:right w:val="nil"/>
            </w:tcBorders>
            <w:shd w:val="clear" w:color="auto" w:fill="auto"/>
            <w:noWrap/>
            <w:vAlign w:val="center"/>
          </w:tcPr>
          <w:p w14:paraId="5D07B48D" w14:textId="77777777" w:rsidR="009C4D19" w:rsidRPr="00E3685C" w:rsidRDefault="009C4D19" w:rsidP="00D52564">
            <w:pPr>
              <w:rPr>
                <w:sz w:val="20"/>
                <w:szCs w:val="20"/>
              </w:rPr>
            </w:pPr>
            <w:r>
              <w:rPr>
                <w:sz w:val="20"/>
                <w:szCs w:val="20"/>
              </w:rPr>
              <w:t>Owners 1</w:t>
            </w:r>
            <w:r w:rsidRPr="007F76D2">
              <w:rPr>
                <w:sz w:val="20"/>
                <w:szCs w:val="20"/>
                <w:vertAlign w:val="superscript"/>
              </w:rPr>
              <w:t>st</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14:paraId="0BA674DF" w14:textId="77777777" w:rsidR="009C4D19" w:rsidRPr="00E3685C" w:rsidRDefault="009C4D19" w:rsidP="00D52564">
            <w:pPr>
              <w:jc w:val="center"/>
              <w:rPr>
                <w:sz w:val="20"/>
                <w:szCs w:val="20"/>
              </w:rPr>
            </w:pPr>
            <w:r w:rsidRPr="00E3685C">
              <w:rPr>
                <w:sz w:val="20"/>
                <w:szCs w:val="20"/>
              </w:rPr>
              <w:t>50</w:t>
            </w:r>
          </w:p>
        </w:tc>
        <w:tc>
          <w:tcPr>
            <w:tcW w:w="1170" w:type="dxa"/>
            <w:tcBorders>
              <w:top w:val="nil"/>
              <w:left w:val="nil"/>
              <w:bottom w:val="nil"/>
              <w:right w:val="nil"/>
            </w:tcBorders>
            <w:shd w:val="clear" w:color="auto" w:fill="auto"/>
            <w:noWrap/>
            <w:tcMar>
              <w:left w:w="29" w:type="dxa"/>
              <w:right w:w="29" w:type="dxa"/>
            </w:tcMar>
            <w:vAlign w:val="center"/>
          </w:tcPr>
          <w:p w14:paraId="0BDE34DB" w14:textId="77777777" w:rsidR="009C4D19" w:rsidRPr="00E3685C" w:rsidRDefault="009C4D19" w:rsidP="00D52564">
            <w:pPr>
              <w:jc w:val="center"/>
              <w:rPr>
                <w:sz w:val="20"/>
                <w:szCs w:val="20"/>
              </w:rPr>
            </w:pPr>
            <w:r w:rsidRPr="00E3685C">
              <w:rPr>
                <w:sz w:val="20"/>
                <w:szCs w:val="20"/>
              </w:rPr>
              <w:t>51</w:t>
            </w:r>
          </w:p>
        </w:tc>
        <w:tc>
          <w:tcPr>
            <w:tcW w:w="1080" w:type="dxa"/>
            <w:tcBorders>
              <w:top w:val="nil"/>
              <w:left w:val="nil"/>
              <w:bottom w:val="nil"/>
              <w:right w:val="nil"/>
            </w:tcBorders>
            <w:shd w:val="clear" w:color="auto" w:fill="auto"/>
            <w:noWrap/>
            <w:tcMar>
              <w:left w:w="29" w:type="dxa"/>
              <w:right w:w="29" w:type="dxa"/>
            </w:tcMar>
            <w:vAlign w:val="center"/>
          </w:tcPr>
          <w:p w14:paraId="669E5E9E" w14:textId="77777777" w:rsidR="009C4D19" w:rsidRPr="00E3685C" w:rsidRDefault="009C4D19" w:rsidP="00D52564">
            <w:pPr>
              <w:jc w:val="center"/>
              <w:rPr>
                <w:sz w:val="20"/>
                <w:szCs w:val="20"/>
              </w:rPr>
            </w:pPr>
            <w:r w:rsidRPr="00E3685C">
              <w:rPr>
                <w:sz w:val="20"/>
                <w:szCs w:val="20"/>
              </w:rPr>
              <w:t>52</w:t>
            </w:r>
          </w:p>
        </w:tc>
        <w:tc>
          <w:tcPr>
            <w:tcW w:w="1057" w:type="dxa"/>
            <w:tcBorders>
              <w:top w:val="nil"/>
              <w:left w:val="nil"/>
              <w:bottom w:val="nil"/>
              <w:right w:val="nil"/>
            </w:tcBorders>
            <w:shd w:val="clear" w:color="auto" w:fill="auto"/>
            <w:noWrap/>
            <w:tcMar>
              <w:left w:w="29" w:type="dxa"/>
              <w:right w:w="29" w:type="dxa"/>
            </w:tcMar>
            <w:vAlign w:val="center"/>
          </w:tcPr>
          <w:p w14:paraId="64A0C1EA" w14:textId="77777777" w:rsidR="009C4D19" w:rsidRPr="00E3685C" w:rsidRDefault="009C4D19" w:rsidP="00D52564">
            <w:pPr>
              <w:jc w:val="center"/>
              <w:rPr>
                <w:sz w:val="20"/>
                <w:szCs w:val="20"/>
              </w:rPr>
            </w:pPr>
            <w:r w:rsidRPr="00E3685C">
              <w:rPr>
                <w:sz w:val="20"/>
                <w:szCs w:val="20"/>
              </w:rPr>
              <w:t>53</w:t>
            </w:r>
          </w:p>
        </w:tc>
        <w:tc>
          <w:tcPr>
            <w:tcW w:w="1103" w:type="dxa"/>
            <w:tcBorders>
              <w:top w:val="nil"/>
              <w:left w:val="nil"/>
              <w:bottom w:val="nil"/>
              <w:right w:val="nil"/>
            </w:tcBorders>
            <w:shd w:val="clear" w:color="auto" w:fill="auto"/>
            <w:noWrap/>
            <w:tcMar>
              <w:left w:w="29" w:type="dxa"/>
              <w:right w:w="29" w:type="dxa"/>
            </w:tcMar>
            <w:vAlign w:val="center"/>
          </w:tcPr>
          <w:p w14:paraId="063C2B24" w14:textId="77777777" w:rsidR="009C4D19" w:rsidRPr="00E3685C" w:rsidRDefault="009C4D19" w:rsidP="00D52564">
            <w:pPr>
              <w:jc w:val="center"/>
              <w:rPr>
                <w:sz w:val="20"/>
                <w:szCs w:val="20"/>
              </w:rPr>
            </w:pPr>
            <w:r w:rsidRPr="00E3685C">
              <w:rPr>
                <w:sz w:val="20"/>
                <w:szCs w:val="20"/>
              </w:rPr>
              <w:t>54</w:t>
            </w:r>
          </w:p>
        </w:tc>
      </w:tr>
      <w:tr w:rsidR="009C4D19" w:rsidRPr="00E3685C" w14:paraId="54C696AD" w14:textId="77777777" w:rsidTr="00D52564">
        <w:trPr>
          <w:jc w:val="center"/>
        </w:trPr>
        <w:tc>
          <w:tcPr>
            <w:tcW w:w="2020" w:type="dxa"/>
            <w:tcBorders>
              <w:top w:val="nil"/>
              <w:left w:val="nil"/>
              <w:bottom w:val="nil"/>
              <w:right w:val="nil"/>
            </w:tcBorders>
            <w:shd w:val="clear" w:color="auto" w:fill="auto"/>
            <w:noWrap/>
            <w:vAlign w:val="center"/>
          </w:tcPr>
          <w:p w14:paraId="0835BDC2" w14:textId="77777777" w:rsidR="009C4D19" w:rsidRPr="00E3685C" w:rsidRDefault="009C4D19" w:rsidP="00D52564">
            <w:pPr>
              <w:rPr>
                <w:sz w:val="20"/>
                <w:szCs w:val="20"/>
              </w:rPr>
            </w:pPr>
            <w:r>
              <w:rPr>
                <w:sz w:val="20"/>
                <w:szCs w:val="20"/>
              </w:rPr>
              <w:t>Owners 2</w:t>
            </w:r>
            <w:r w:rsidRPr="007F76D2">
              <w:rPr>
                <w:sz w:val="20"/>
                <w:szCs w:val="20"/>
                <w:vertAlign w:val="superscript"/>
              </w:rPr>
              <w:t>nd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14:paraId="10BD7A58" w14:textId="77777777" w:rsidR="009C4D19" w:rsidRPr="00E3685C" w:rsidRDefault="009C4D19" w:rsidP="00D52564">
            <w:pPr>
              <w:jc w:val="center"/>
              <w:rPr>
                <w:sz w:val="20"/>
                <w:szCs w:val="20"/>
              </w:rPr>
            </w:pPr>
            <w:r w:rsidRPr="00E3685C">
              <w:rPr>
                <w:sz w:val="20"/>
                <w:szCs w:val="20"/>
              </w:rPr>
              <w:t>65</w:t>
            </w:r>
          </w:p>
        </w:tc>
        <w:tc>
          <w:tcPr>
            <w:tcW w:w="1170" w:type="dxa"/>
            <w:tcBorders>
              <w:top w:val="nil"/>
              <w:left w:val="nil"/>
              <w:bottom w:val="nil"/>
              <w:right w:val="nil"/>
            </w:tcBorders>
            <w:shd w:val="clear" w:color="auto" w:fill="auto"/>
            <w:noWrap/>
            <w:tcMar>
              <w:left w:w="29" w:type="dxa"/>
              <w:right w:w="29" w:type="dxa"/>
            </w:tcMar>
            <w:vAlign w:val="center"/>
          </w:tcPr>
          <w:p w14:paraId="500B44A7" w14:textId="77777777" w:rsidR="009C4D19" w:rsidRPr="00E3685C" w:rsidRDefault="009C4D19" w:rsidP="00D52564">
            <w:pPr>
              <w:jc w:val="center"/>
              <w:rPr>
                <w:sz w:val="20"/>
                <w:szCs w:val="20"/>
              </w:rPr>
            </w:pPr>
            <w:r w:rsidRPr="00E3685C">
              <w:rPr>
                <w:sz w:val="20"/>
                <w:szCs w:val="20"/>
              </w:rPr>
              <w:t>64</w:t>
            </w:r>
          </w:p>
        </w:tc>
        <w:tc>
          <w:tcPr>
            <w:tcW w:w="1080" w:type="dxa"/>
            <w:tcBorders>
              <w:top w:val="nil"/>
              <w:left w:val="nil"/>
              <w:bottom w:val="nil"/>
              <w:right w:val="nil"/>
            </w:tcBorders>
            <w:shd w:val="clear" w:color="auto" w:fill="auto"/>
            <w:noWrap/>
            <w:tcMar>
              <w:left w:w="29" w:type="dxa"/>
              <w:right w:w="29" w:type="dxa"/>
            </w:tcMar>
            <w:vAlign w:val="center"/>
          </w:tcPr>
          <w:p w14:paraId="5B55ADD5" w14:textId="77777777" w:rsidR="009C4D19" w:rsidRPr="00E3685C" w:rsidRDefault="009C4D19" w:rsidP="00D52564">
            <w:pPr>
              <w:jc w:val="center"/>
              <w:rPr>
                <w:sz w:val="20"/>
                <w:szCs w:val="20"/>
              </w:rPr>
            </w:pPr>
            <w:r w:rsidRPr="00E3685C">
              <w:rPr>
                <w:sz w:val="20"/>
                <w:szCs w:val="20"/>
              </w:rPr>
              <w:t>63</w:t>
            </w:r>
          </w:p>
        </w:tc>
        <w:tc>
          <w:tcPr>
            <w:tcW w:w="1057" w:type="dxa"/>
            <w:tcBorders>
              <w:top w:val="nil"/>
              <w:left w:val="nil"/>
              <w:bottom w:val="nil"/>
              <w:right w:val="nil"/>
            </w:tcBorders>
            <w:shd w:val="clear" w:color="auto" w:fill="auto"/>
            <w:noWrap/>
            <w:tcMar>
              <w:left w:w="29" w:type="dxa"/>
              <w:right w:w="29" w:type="dxa"/>
            </w:tcMar>
            <w:vAlign w:val="center"/>
          </w:tcPr>
          <w:p w14:paraId="00FAA531" w14:textId="77777777" w:rsidR="009C4D19" w:rsidRPr="00E3685C" w:rsidRDefault="009C4D19" w:rsidP="00D52564">
            <w:pPr>
              <w:jc w:val="center"/>
              <w:rPr>
                <w:sz w:val="20"/>
                <w:szCs w:val="20"/>
              </w:rPr>
            </w:pPr>
            <w:r w:rsidRPr="00E3685C">
              <w:rPr>
                <w:sz w:val="20"/>
                <w:szCs w:val="20"/>
              </w:rPr>
              <w:t>62</w:t>
            </w:r>
          </w:p>
        </w:tc>
        <w:tc>
          <w:tcPr>
            <w:tcW w:w="1103" w:type="dxa"/>
            <w:tcBorders>
              <w:top w:val="nil"/>
              <w:left w:val="nil"/>
              <w:bottom w:val="nil"/>
              <w:right w:val="nil"/>
            </w:tcBorders>
            <w:shd w:val="clear" w:color="auto" w:fill="auto"/>
            <w:noWrap/>
            <w:tcMar>
              <w:left w:w="29" w:type="dxa"/>
              <w:right w:w="29" w:type="dxa"/>
            </w:tcMar>
            <w:vAlign w:val="center"/>
          </w:tcPr>
          <w:p w14:paraId="2A9FEFFD" w14:textId="77777777" w:rsidR="009C4D19" w:rsidRPr="00E3685C" w:rsidRDefault="009C4D19" w:rsidP="00D52564">
            <w:pPr>
              <w:jc w:val="center"/>
              <w:rPr>
                <w:sz w:val="20"/>
                <w:szCs w:val="20"/>
              </w:rPr>
            </w:pPr>
            <w:r w:rsidRPr="00E3685C">
              <w:rPr>
                <w:sz w:val="20"/>
                <w:szCs w:val="20"/>
              </w:rPr>
              <w:t>61</w:t>
            </w:r>
          </w:p>
        </w:tc>
      </w:tr>
      <w:tr w:rsidR="009C4D19" w:rsidRPr="00E3685C" w14:paraId="5EE83F78" w14:textId="77777777" w:rsidTr="00D52564">
        <w:trPr>
          <w:jc w:val="center"/>
        </w:trPr>
        <w:tc>
          <w:tcPr>
            <w:tcW w:w="2020" w:type="dxa"/>
            <w:tcBorders>
              <w:top w:val="nil"/>
              <w:left w:val="nil"/>
              <w:bottom w:val="nil"/>
              <w:right w:val="nil"/>
            </w:tcBorders>
            <w:shd w:val="clear" w:color="auto" w:fill="auto"/>
            <w:noWrap/>
            <w:vAlign w:val="center"/>
          </w:tcPr>
          <w:p w14:paraId="618F410D" w14:textId="77777777" w:rsidR="009C4D19" w:rsidRPr="00E3685C" w:rsidRDefault="009C4D19" w:rsidP="00D52564">
            <w:pPr>
              <w:rPr>
                <w:sz w:val="20"/>
                <w:szCs w:val="20"/>
              </w:rPr>
            </w:pPr>
            <w:r w:rsidRPr="00E3685C">
              <w:rPr>
                <w:sz w:val="20"/>
                <w:szCs w:val="20"/>
              </w:rPr>
              <w:t>Owners 3</w:t>
            </w:r>
            <w:r w:rsidRPr="00E3685C">
              <w:rPr>
                <w:sz w:val="20"/>
                <w:szCs w:val="20"/>
                <w:vertAlign w:val="superscript"/>
              </w:rPr>
              <w:t>rd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14:paraId="4FBF7BEB" w14:textId="77777777" w:rsidR="009C4D19" w:rsidRPr="00E3685C" w:rsidRDefault="009C4D19" w:rsidP="00D52564">
            <w:pPr>
              <w:jc w:val="center"/>
              <w:rPr>
                <w:sz w:val="20"/>
                <w:szCs w:val="20"/>
              </w:rPr>
            </w:pPr>
            <w:r w:rsidRPr="00E3685C">
              <w:rPr>
                <w:sz w:val="20"/>
                <w:szCs w:val="20"/>
              </w:rPr>
              <w:t>70</w:t>
            </w:r>
          </w:p>
        </w:tc>
        <w:tc>
          <w:tcPr>
            <w:tcW w:w="1170" w:type="dxa"/>
            <w:tcBorders>
              <w:top w:val="nil"/>
              <w:left w:val="nil"/>
              <w:bottom w:val="nil"/>
              <w:right w:val="nil"/>
            </w:tcBorders>
            <w:shd w:val="clear" w:color="auto" w:fill="auto"/>
            <w:noWrap/>
            <w:tcMar>
              <w:left w:w="29" w:type="dxa"/>
              <w:right w:w="29" w:type="dxa"/>
            </w:tcMar>
            <w:vAlign w:val="center"/>
          </w:tcPr>
          <w:p w14:paraId="0001CB4E" w14:textId="77777777" w:rsidR="009C4D19" w:rsidRPr="00E3685C" w:rsidRDefault="009C4D19" w:rsidP="00D52564">
            <w:pPr>
              <w:jc w:val="center"/>
              <w:rPr>
                <w:sz w:val="20"/>
                <w:szCs w:val="20"/>
              </w:rPr>
            </w:pPr>
            <w:r w:rsidRPr="00E3685C">
              <w:rPr>
                <w:sz w:val="20"/>
                <w:szCs w:val="20"/>
              </w:rPr>
              <w:t>71</w:t>
            </w:r>
          </w:p>
        </w:tc>
        <w:tc>
          <w:tcPr>
            <w:tcW w:w="1080" w:type="dxa"/>
            <w:tcBorders>
              <w:top w:val="nil"/>
              <w:left w:val="nil"/>
              <w:bottom w:val="nil"/>
              <w:right w:val="nil"/>
            </w:tcBorders>
            <w:shd w:val="clear" w:color="auto" w:fill="auto"/>
            <w:noWrap/>
            <w:tcMar>
              <w:left w:w="29" w:type="dxa"/>
              <w:right w:w="29" w:type="dxa"/>
            </w:tcMar>
            <w:vAlign w:val="center"/>
          </w:tcPr>
          <w:p w14:paraId="5FE11626" w14:textId="77777777" w:rsidR="009C4D19" w:rsidRPr="00E3685C" w:rsidRDefault="009C4D19" w:rsidP="00D52564">
            <w:pPr>
              <w:jc w:val="center"/>
              <w:rPr>
                <w:sz w:val="20"/>
                <w:szCs w:val="20"/>
              </w:rPr>
            </w:pPr>
            <w:r w:rsidRPr="00E3685C">
              <w:rPr>
                <w:sz w:val="20"/>
                <w:szCs w:val="20"/>
              </w:rPr>
              <w:t>72</w:t>
            </w:r>
          </w:p>
        </w:tc>
        <w:tc>
          <w:tcPr>
            <w:tcW w:w="1057" w:type="dxa"/>
            <w:tcBorders>
              <w:top w:val="nil"/>
              <w:left w:val="nil"/>
              <w:bottom w:val="nil"/>
              <w:right w:val="nil"/>
            </w:tcBorders>
            <w:shd w:val="clear" w:color="auto" w:fill="auto"/>
            <w:noWrap/>
            <w:tcMar>
              <w:left w:w="29" w:type="dxa"/>
              <w:right w:w="29" w:type="dxa"/>
            </w:tcMar>
            <w:vAlign w:val="center"/>
          </w:tcPr>
          <w:p w14:paraId="591B8D17" w14:textId="77777777" w:rsidR="009C4D19" w:rsidRPr="00E3685C" w:rsidRDefault="009C4D19" w:rsidP="00D52564">
            <w:pPr>
              <w:jc w:val="center"/>
              <w:rPr>
                <w:sz w:val="20"/>
                <w:szCs w:val="20"/>
              </w:rPr>
            </w:pPr>
            <w:r w:rsidRPr="00E3685C">
              <w:rPr>
                <w:sz w:val="20"/>
                <w:szCs w:val="20"/>
              </w:rPr>
              <w:t>73</w:t>
            </w:r>
          </w:p>
        </w:tc>
        <w:tc>
          <w:tcPr>
            <w:tcW w:w="1103" w:type="dxa"/>
            <w:tcBorders>
              <w:top w:val="nil"/>
              <w:left w:val="nil"/>
              <w:bottom w:val="nil"/>
              <w:right w:val="nil"/>
            </w:tcBorders>
            <w:shd w:val="clear" w:color="auto" w:fill="auto"/>
            <w:noWrap/>
            <w:tcMar>
              <w:left w:w="29" w:type="dxa"/>
              <w:right w:w="29" w:type="dxa"/>
            </w:tcMar>
            <w:vAlign w:val="center"/>
          </w:tcPr>
          <w:p w14:paraId="11009887" w14:textId="77777777" w:rsidR="009C4D19" w:rsidRPr="00E3685C" w:rsidRDefault="009C4D19" w:rsidP="00D52564">
            <w:pPr>
              <w:jc w:val="center"/>
              <w:rPr>
                <w:sz w:val="20"/>
                <w:szCs w:val="20"/>
              </w:rPr>
            </w:pPr>
            <w:r w:rsidRPr="00E3685C">
              <w:rPr>
                <w:sz w:val="20"/>
                <w:szCs w:val="20"/>
              </w:rPr>
              <w:t>74</w:t>
            </w:r>
          </w:p>
        </w:tc>
      </w:tr>
      <w:tr w:rsidR="009C4D19" w:rsidRPr="00E3685C" w14:paraId="79C250B5" w14:textId="77777777" w:rsidTr="00D52564">
        <w:trPr>
          <w:jc w:val="center"/>
        </w:trPr>
        <w:tc>
          <w:tcPr>
            <w:tcW w:w="2020" w:type="dxa"/>
            <w:tcBorders>
              <w:top w:val="nil"/>
              <w:left w:val="nil"/>
              <w:bottom w:val="nil"/>
              <w:right w:val="nil"/>
            </w:tcBorders>
            <w:shd w:val="clear" w:color="auto" w:fill="auto"/>
            <w:noWrap/>
            <w:vAlign w:val="center"/>
          </w:tcPr>
          <w:p w14:paraId="0ED7C2ED" w14:textId="77777777" w:rsidR="009C4D19" w:rsidRPr="00E3685C" w:rsidRDefault="009C4D19" w:rsidP="00D52564">
            <w:pPr>
              <w:rPr>
                <w:sz w:val="20"/>
                <w:szCs w:val="20"/>
              </w:rPr>
            </w:pPr>
            <w:r w:rsidRPr="00E3685C">
              <w:rPr>
                <w:sz w:val="20"/>
                <w:szCs w:val="20"/>
              </w:rPr>
              <w:t>Owners 4</w:t>
            </w:r>
            <w:r w:rsidRPr="00E3685C">
              <w:rPr>
                <w:sz w:val="20"/>
                <w:szCs w:val="20"/>
                <w:vertAlign w:val="superscript"/>
              </w:rPr>
              <w:t>th</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14:paraId="065DB9E5" w14:textId="77777777" w:rsidR="009C4D19" w:rsidRPr="00E3685C" w:rsidRDefault="009C4D19" w:rsidP="00D52564">
            <w:pPr>
              <w:jc w:val="center"/>
              <w:rPr>
                <w:sz w:val="20"/>
                <w:szCs w:val="20"/>
              </w:rPr>
            </w:pPr>
            <w:r w:rsidRPr="00E3685C">
              <w:rPr>
                <w:sz w:val="20"/>
                <w:szCs w:val="20"/>
              </w:rPr>
              <w:t>85</w:t>
            </w:r>
          </w:p>
        </w:tc>
        <w:tc>
          <w:tcPr>
            <w:tcW w:w="1170" w:type="dxa"/>
            <w:tcBorders>
              <w:top w:val="nil"/>
              <w:left w:val="nil"/>
              <w:bottom w:val="nil"/>
              <w:right w:val="nil"/>
            </w:tcBorders>
            <w:shd w:val="clear" w:color="auto" w:fill="auto"/>
            <w:noWrap/>
            <w:tcMar>
              <w:left w:w="29" w:type="dxa"/>
              <w:right w:w="29" w:type="dxa"/>
            </w:tcMar>
            <w:vAlign w:val="center"/>
          </w:tcPr>
          <w:p w14:paraId="54B137B8" w14:textId="77777777" w:rsidR="009C4D19" w:rsidRPr="00E3685C" w:rsidRDefault="009C4D19" w:rsidP="00D52564">
            <w:pPr>
              <w:jc w:val="center"/>
              <w:rPr>
                <w:sz w:val="20"/>
                <w:szCs w:val="20"/>
              </w:rPr>
            </w:pPr>
            <w:r w:rsidRPr="00E3685C">
              <w:rPr>
                <w:sz w:val="20"/>
                <w:szCs w:val="20"/>
              </w:rPr>
              <w:t>84</w:t>
            </w:r>
          </w:p>
        </w:tc>
        <w:tc>
          <w:tcPr>
            <w:tcW w:w="1080" w:type="dxa"/>
            <w:tcBorders>
              <w:top w:val="nil"/>
              <w:left w:val="nil"/>
              <w:bottom w:val="nil"/>
              <w:right w:val="nil"/>
            </w:tcBorders>
            <w:shd w:val="clear" w:color="auto" w:fill="auto"/>
            <w:noWrap/>
            <w:tcMar>
              <w:left w:w="29" w:type="dxa"/>
              <w:right w:w="29" w:type="dxa"/>
            </w:tcMar>
            <w:vAlign w:val="center"/>
          </w:tcPr>
          <w:p w14:paraId="2DB36A28" w14:textId="77777777" w:rsidR="009C4D19" w:rsidRPr="00E3685C" w:rsidRDefault="009C4D19" w:rsidP="00D52564">
            <w:pPr>
              <w:jc w:val="center"/>
              <w:rPr>
                <w:sz w:val="20"/>
                <w:szCs w:val="20"/>
              </w:rPr>
            </w:pPr>
            <w:r w:rsidRPr="00E3685C">
              <w:rPr>
                <w:sz w:val="20"/>
                <w:szCs w:val="20"/>
              </w:rPr>
              <w:t>83</w:t>
            </w:r>
          </w:p>
        </w:tc>
        <w:tc>
          <w:tcPr>
            <w:tcW w:w="1057" w:type="dxa"/>
            <w:tcBorders>
              <w:top w:val="nil"/>
              <w:left w:val="nil"/>
              <w:bottom w:val="nil"/>
              <w:right w:val="nil"/>
            </w:tcBorders>
            <w:shd w:val="clear" w:color="auto" w:fill="auto"/>
            <w:noWrap/>
            <w:tcMar>
              <w:left w:w="29" w:type="dxa"/>
              <w:right w:w="29" w:type="dxa"/>
            </w:tcMar>
            <w:vAlign w:val="center"/>
          </w:tcPr>
          <w:p w14:paraId="56FC51FA" w14:textId="77777777" w:rsidR="009C4D19" w:rsidRPr="00E3685C" w:rsidRDefault="009C4D19" w:rsidP="00D52564">
            <w:pPr>
              <w:jc w:val="center"/>
              <w:rPr>
                <w:sz w:val="20"/>
                <w:szCs w:val="20"/>
              </w:rPr>
            </w:pPr>
            <w:r w:rsidRPr="00E3685C">
              <w:rPr>
                <w:sz w:val="20"/>
                <w:szCs w:val="20"/>
              </w:rPr>
              <w:t>82</w:t>
            </w:r>
          </w:p>
        </w:tc>
        <w:tc>
          <w:tcPr>
            <w:tcW w:w="1103" w:type="dxa"/>
            <w:tcBorders>
              <w:top w:val="nil"/>
              <w:left w:val="nil"/>
              <w:bottom w:val="nil"/>
              <w:right w:val="nil"/>
            </w:tcBorders>
            <w:shd w:val="clear" w:color="auto" w:fill="auto"/>
            <w:noWrap/>
            <w:tcMar>
              <w:left w:w="29" w:type="dxa"/>
              <w:right w:w="29" w:type="dxa"/>
            </w:tcMar>
            <w:vAlign w:val="center"/>
          </w:tcPr>
          <w:p w14:paraId="28E1CEAB" w14:textId="77777777" w:rsidR="009C4D19" w:rsidRPr="00E3685C" w:rsidRDefault="009C4D19" w:rsidP="00D52564">
            <w:pPr>
              <w:jc w:val="center"/>
              <w:rPr>
                <w:sz w:val="20"/>
                <w:szCs w:val="20"/>
              </w:rPr>
            </w:pPr>
            <w:r w:rsidRPr="00E3685C">
              <w:rPr>
                <w:sz w:val="20"/>
                <w:szCs w:val="20"/>
              </w:rPr>
              <w:t>81</w:t>
            </w:r>
          </w:p>
        </w:tc>
      </w:tr>
      <w:tr w:rsidR="009C4D19" w:rsidRPr="00E3685C" w14:paraId="1D2A7ED2" w14:textId="77777777" w:rsidTr="00D52564">
        <w:trPr>
          <w:jc w:val="center"/>
        </w:trPr>
        <w:tc>
          <w:tcPr>
            <w:tcW w:w="2020" w:type="dxa"/>
            <w:tcBorders>
              <w:top w:val="nil"/>
              <w:left w:val="nil"/>
              <w:bottom w:val="single" w:sz="4" w:space="0" w:color="auto"/>
              <w:right w:val="nil"/>
            </w:tcBorders>
            <w:shd w:val="clear" w:color="auto" w:fill="auto"/>
            <w:noWrap/>
            <w:tcMar>
              <w:left w:w="115" w:type="dxa"/>
              <w:right w:w="115" w:type="dxa"/>
            </w:tcMar>
            <w:vAlign w:val="center"/>
          </w:tcPr>
          <w:p w14:paraId="2E9F20BF" w14:textId="77777777" w:rsidR="009C4D19" w:rsidRPr="00E3685C" w:rsidRDefault="009C4D19" w:rsidP="00D52564">
            <w:pPr>
              <w:rPr>
                <w:sz w:val="20"/>
                <w:szCs w:val="20"/>
              </w:rPr>
            </w:pPr>
            <w:r>
              <w:rPr>
                <w:sz w:val="20"/>
                <w:szCs w:val="20"/>
              </w:rPr>
              <w:t>Other</w:t>
            </w:r>
          </w:p>
        </w:tc>
        <w:tc>
          <w:tcPr>
            <w:tcW w:w="1130" w:type="dxa"/>
            <w:tcBorders>
              <w:top w:val="nil"/>
              <w:left w:val="nil"/>
              <w:bottom w:val="single" w:sz="4" w:space="0" w:color="auto"/>
              <w:right w:val="nil"/>
            </w:tcBorders>
            <w:shd w:val="clear" w:color="auto" w:fill="auto"/>
            <w:noWrap/>
            <w:tcMar>
              <w:left w:w="115" w:type="dxa"/>
              <w:right w:w="115" w:type="dxa"/>
            </w:tcMar>
            <w:vAlign w:val="center"/>
          </w:tcPr>
          <w:p w14:paraId="29B815EE" w14:textId="77777777" w:rsidR="009C4D19" w:rsidRPr="00E3685C" w:rsidRDefault="009C4D19" w:rsidP="00D52564">
            <w:pPr>
              <w:jc w:val="center"/>
              <w:rPr>
                <w:sz w:val="20"/>
                <w:szCs w:val="20"/>
              </w:rPr>
            </w:pPr>
          </w:p>
        </w:tc>
        <w:tc>
          <w:tcPr>
            <w:tcW w:w="1170" w:type="dxa"/>
            <w:tcBorders>
              <w:top w:val="nil"/>
              <w:left w:val="nil"/>
              <w:bottom w:val="single" w:sz="4" w:space="0" w:color="auto"/>
              <w:right w:val="nil"/>
            </w:tcBorders>
            <w:shd w:val="clear" w:color="auto" w:fill="auto"/>
            <w:noWrap/>
            <w:tcMar>
              <w:left w:w="115" w:type="dxa"/>
              <w:right w:w="115" w:type="dxa"/>
            </w:tcMar>
            <w:vAlign w:val="center"/>
          </w:tcPr>
          <w:p w14:paraId="162E1D6F" w14:textId="77777777" w:rsidR="009C4D19" w:rsidRPr="00E3685C" w:rsidRDefault="009C4D19" w:rsidP="00D52564">
            <w:pPr>
              <w:jc w:val="center"/>
              <w:rPr>
                <w:sz w:val="20"/>
                <w:szCs w:val="20"/>
              </w:rPr>
            </w:pPr>
          </w:p>
        </w:tc>
        <w:tc>
          <w:tcPr>
            <w:tcW w:w="1080" w:type="dxa"/>
            <w:tcBorders>
              <w:top w:val="nil"/>
              <w:left w:val="nil"/>
              <w:bottom w:val="single" w:sz="4" w:space="0" w:color="auto"/>
              <w:right w:val="nil"/>
            </w:tcBorders>
            <w:shd w:val="clear" w:color="auto" w:fill="auto"/>
            <w:noWrap/>
            <w:tcMar>
              <w:left w:w="115" w:type="dxa"/>
              <w:right w:w="115" w:type="dxa"/>
            </w:tcMar>
            <w:vAlign w:val="center"/>
          </w:tcPr>
          <w:p w14:paraId="022BFA3A" w14:textId="77777777" w:rsidR="009C4D19" w:rsidRPr="00E3685C" w:rsidRDefault="009C4D19" w:rsidP="00D52564">
            <w:pPr>
              <w:jc w:val="center"/>
              <w:rPr>
                <w:sz w:val="20"/>
                <w:szCs w:val="20"/>
              </w:rPr>
            </w:pPr>
            <w:r>
              <w:rPr>
                <w:sz w:val="20"/>
                <w:szCs w:val="20"/>
              </w:rPr>
              <w:t>99</w:t>
            </w:r>
          </w:p>
        </w:tc>
        <w:tc>
          <w:tcPr>
            <w:tcW w:w="1057" w:type="dxa"/>
            <w:tcBorders>
              <w:top w:val="nil"/>
              <w:left w:val="nil"/>
              <w:bottom w:val="single" w:sz="4" w:space="0" w:color="auto"/>
              <w:right w:val="nil"/>
            </w:tcBorders>
            <w:shd w:val="clear" w:color="auto" w:fill="auto"/>
            <w:noWrap/>
            <w:tcMar>
              <w:left w:w="115" w:type="dxa"/>
              <w:right w:w="115" w:type="dxa"/>
            </w:tcMar>
            <w:vAlign w:val="center"/>
          </w:tcPr>
          <w:p w14:paraId="6C2B40CF" w14:textId="77777777" w:rsidR="009C4D19" w:rsidRPr="00E3685C" w:rsidRDefault="009C4D19" w:rsidP="00D52564">
            <w:pPr>
              <w:jc w:val="center"/>
              <w:rPr>
                <w:sz w:val="20"/>
                <w:szCs w:val="20"/>
              </w:rPr>
            </w:pPr>
          </w:p>
        </w:tc>
        <w:tc>
          <w:tcPr>
            <w:tcW w:w="1103" w:type="dxa"/>
            <w:tcBorders>
              <w:top w:val="nil"/>
              <w:left w:val="nil"/>
              <w:bottom w:val="single" w:sz="4" w:space="0" w:color="auto"/>
              <w:right w:val="nil"/>
            </w:tcBorders>
            <w:shd w:val="clear" w:color="auto" w:fill="auto"/>
            <w:noWrap/>
            <w:tcMar>
              <w:left w:w="115" w:type="dxa"/>
              <w:right w:w="115" w:type="dxa"/>
            </w:tcMar>
            <w:vAlign w:val="center"/>
          </w:tcPr>
          <w:p w14:paraId="526238D1" w14:textId="77777777" w:rsidR="009C4D19" w:rsidRPr="00E3685C" w:rsidRDefault="009C4D19" w:rsidP="00D52564">
            <w:pPr>
              <w:jc w:val="center"/>
              <w:rPr>
                <w:sz w:val="20"/>
                <w:szCs w:val="20"/>
              </w:rPr>
            </w:pPr>
          </w:p>
        </w:tc>
      </w:tr>
    </w:tbl>
    <w:p w14:paraId="0250106A" w14:textId="77777777" w:rsidR="009C4D19" w:rsidRDefault="009C4D19" w:rsidP="009C4D19"/>
    <w:p w14:paraId="1E09EB8C" w14:textId="77777777" w:rsidR="00505B67" w:rsidRDefault="00505B67" w:rsidP="009C4D19"/>
    <w:p w14:paraId="55FB8051" w14:textId="44FE8CA0" w:rsidR="001041FE" w:rsidRPr="00E3685C" w:rsidRDefault="00150F8E" w:rsidP="001041FE">
      <w:pPr>
        <w:ind w:left="432"/>
      </w:pPr>
      <w:r>
        <w:t>To draw a systematic sample</w:t>
      </w:r>
      <w:r w:rsidR="00505B67" w:rsidRPr="00505B67">
        <w:t xml:space="preserve"> </w:t>
      </w:r>
      <w:r w:rsidR="00505B67">
        <w:t>in the Unit frame</w:t>
      </w:r>
      <w:r>
        <w:t xml:space="preserve">, the addresses are sorted by PSU, </w:t>
      </w:r>
      <w:r w:rsidR="00D84E97" w:rsidRPr="00D84E97">
        <w:t>Federal Information Processing Standards</w:t>
      </w:r>
      <w:r w:rsidR="00D84E97">
        <w:t xml:space="preserve"> </w:t>
      </w:r>
      <w:r w:rsidR="0021665C">
        <w:t>(</w:t>
      </w:r>
      <w:r>
        <w:t>FIPS</w:t>
      </w:r>
      <w:r w:rsidR="0021665C">
        <w:t>)</w:t>
      </w:r>
      <w:r>
        <w:t xml:space="preserve"> State code, FIPS County code, CE stratification variable (described above), Census Tract code, Census Block code, Street name, Street number, </w:t>
      </w:r>
      <w:r>
        <w:rPr>
          <w:color w:val="000000"/>
        </w:rPr>
        <w:t>and MAFID code.</w:t>
      </w:r>
    </w:p>
    <w:p w14:paraId="2C767ACB" w14:textId="77777777" w:rsidR="001041FE" w:rsidRPr="00E3685C" w:rsidRDefault="001041FE" w:rsidP="001041FE">
      <w:pPr>
        <w:ind w:left="432"/>
      </w:pPr>
    </w:p>
    <w:p w14:paraId="58518FA4" w14:textId="3888E73B" w:rsidR="001041FE" w:rsidRDefault="00150F8E" w:rsidP="001041FE">
      <w:pPr>
        <w:ind w:left="432"/>
      </w:pPr>
      <w:r>
        <w:t>To draw a systematic sample</w:t>
      </w:r>
      <w:r w:rsidR="00505B67" w:rsidRPr="00505B67">
        <w:t xml:space="preserve"> </w:t>
      </w:r>
      <w:r w:rsidR="00505B67">
        <w:t>in the Group Quarters frame</w:t>
      </w:r>
      <w:r>
        <w:t>, the addresses are sorted by PSU, FIPS State code, FIPS County code, Census Tract code, CHPCT, and Census Block code, where CHPCT is the “percent of college housing.”</w:t>
      </w:r>
      <w:r w:rsidR="001E2879">
        <w:t xml:space="preserve">  Research on t</w:t>
      </w:r>
      <w:r w:rsidR="00B07CD0">
        <w:t xml:space="preserve">he college housing population </w:t>
      </w:r>
      <w:r w:rsidR="00EA770E">
        <w:t>shows that it is</w:t>
      </w:r>
      <w:r w:rsidR="001E2879">
        <w:t xml:space="preserve"> </w:t>
      </w:r>
      <w:r w:rsidR="00B07CD0">
        <w:t xml:space="preserve">very different than the rest of the </w:t>
      </w:r>
      <w:r w:rsidR="001E2879">
        <w:t xml:space="preserve">civilian non-institutional population in the </w:t>
      </w:r>
      <w:r w:rsidR="00B07CD0">
        <w:t xml:space="preserve">GQ frame, so using it as a stratification variable </w:t>
      </w:r>
      <w:r w:rsidR="001E2879">
        <w:t>produces a more representative systematic sample of GQ housing.</w:t>
      </w:r>
    </w:p>
    <w:p w14:paraId="5E8DA5A9" w14:textId="77777777" w:rsidR="00293BD0" w:rsidRDefault="00293BD0" w:rsidP="001041FE">
      <w:pPr>
        <w:ind w:left="432"/>
      </w:pPr>
    </w:p>
    <w:p w14:paraId="5F5C2BE3" w14:textId="77777777" w:rsidR="00505B67" w:rsidRDefault="00505B67" w:rsidP="00505B67">
      <w:pPr>
        <w:pStyle w:val="BodyTextIndent2"/>
        <w:ind w:left="432"/>
      </w:pPr>
      <w:r>
        <w:t xml:space="preserve">For more information on sampling within PSUs for the CE Surveys, refer to </w:t>
      </w:r>
      <w:r w:rsidRPr="00E3685C">
        <w:t xml:space="preserve">the </w:t>
      </w:r>
      <w:r>
        <w:t>paper from Susan King on</w:t>
      </w:r>
      <w:r w:rsidRPr="00E3685C">
        <w:t xml:space="preserve"> </w:t>
      </w:r>
      <w:r>
        <w:t>“</w:t>
      </w:r>
      <w:r w:rsidRPr="00E3685C">
        <w:t>Selecting a</w:t>
      </w:r>
      <w:r>
        <w:t xml:space="preserve"> Sample </w:t>
      </w:r>
      <w:r w:rsidRPr="00E3685C">
        <w:t>of Households</w:t>
      </w:r>
      <w:r>
        <w:t xml:space="preserve"> for the Consumer Expenditure Survey” (Attachment P).</w:t>
      </w:r>
    </w:p>
    <w:p w14:paraId="6E0C9FD8" w14:textId="77777777" w:rsidR="00505B67" w:rsidRDefault="00505B67" w:rsidP="00505B67">
      <w:pPr>
        <w:pStyle w:val="BodyTextIndent2"/>
        <w:ind w:left="432"/>
      </w:pPr>
    </w:p>
    <w:p w14:paraId="755D0F63" w14:textId="0E2434CA" w:rsidR="00505B67" w:rsidRPr="00505B67" w:rsidRDefault="00505B67" w:rsidP="00505B67">
      <w:pPr>
        <w:pStyle w:val="BodyTextIndent2"/>
        <w:ind w:left="432"/>
        <w:rPr>
          <w:u w:val="single"/>
        </w:rPr>
      </w:pPr>
      <w:r w:rsidRPr="00505B67">
        <w:rPr>
          <w:u w:val="single"/>
        </w:rPr>
        <w:t>Non-institutional GQs</w:t>
      </w:r>
    </w:p>
    <w:p w14:paraId="2D9166E1" w14:textId="3028DAD0" w:rsidR="00293BD0" w:rsidRPr="008F2567" w:rsidRDefault="00293BD0" w:rsidP="008F2567">
      <w:pPr>
        <w:ind w:left="432"/>
      </w:pPr>
      <w:r w:rsidRPr="008F2567">
        <w:t>CE interviews consumers who live in non-institutional group quarters, and does not interview consumers who live in institutional group quarters.</w:t>
      </w:r>
      <w:r w:rsidR="00365BBD">
        <w:t xml:space="preserve">  </w:t>
      </w:r>
      <w:r w:rsidRPr="008F2567">
        <w:t>Institutional group quarters are primarily correctional facilities or nursing homes, whose residents are formally classified as “inmates or patients.” Typically, these people stay involuntarily and cannot come and go without permission and are generally under the supervision of a trained staff.</w:t>
      </w:r>
    </w:p>
    <w:p w14:paraId="3E247E3C" w14:textId="77777777" w:rsidR="00293BD0" w:rsidRPr="008F2567" w:rsidRDefault="00293BD0" w:rsidP="008F2567">
      <w:pPr>
        <w:ind w:left="432"/>
      </w:pPr>
    </w:p>
    <w:p w14:paraId="190B9BFD" w14:textId="6F72FFFC" w:rsidR="00293BD0" w:rsidRPr="008F2567" w:rsidRDefault="00293BD0" w:rsidP="008F2567">
      <w:pPr>
        <w:ind w:left="432"/>
      </w:pPr>
      <w:r w:rsidRPr="008F2567">
        <w:t>Non-institutional GQs house people who stay voluntarily and are allowed to come and go without receiving permission.  Many non-institutional GQs are college housing; dormitories; and fraternity and sorority housing, both on and off campus. In addition, non-institutional GQs include: hotels and motels that are used entirely or partially for persons without a usual home; shelters for the hom</w:t>
      </w:r>
      <w:r w:rsidRPr="00293BD0">
        <w:t>eless with sleeping facilities.</w:t>
      </w:r>
    </w:p>
    <w:p w14:paraId="6D6C0ABB" w14:textId="77777777" w:rsidR="00293BD0" w:rsidRPr="008F2567" w:rsidRDefault="00293BD0" w:rsidP="008F2567">
      <w:pPr>
        <w:ind w:left="432"/>
      </w:pPr>
    </w:p>
    <w:p w14:paraId="64E48F42" w14:textId="73415AA0" w:rsidR="00293BD0" w:rsidRPr="008F2567" w:rsidRDefault="00293BD0" w:rsidP="008F2567">
      <w:pPr>
        <w:ind w:left="432"/>
      </w:pPr>
      <w:r w:rsidRPr="008F2567">
        <w:t xml:space="preserve">Military quarters, with the exception of military disciplinary barracks </w:t>
      </w:r>
      <w:r w:rsidR="00D84E97">
        <w:t>(</w:t>
      </w:r>
      <w:r w:rsidRPr="008F2567">
        <w:t>stockades and jails</w:t>
      </w:r>
      <w:r w:rsidR="00D84E97">
        <w:t>)</w:t>
      </w:r>
      <w:r w:rsidRPr="008F2567">
        <w:t xml:space="preserve">, are also categorized as non-institutional group quarters.  However, only the non-institutional civilian population as opposed to military personnel is eligible to participate in the CE survey.  Therefore, military non-institutional group quarters can be listed if and only if the GQ includes non-institutional, non-military units.  </w:t>
      </w:r>
    </w:p>
    <w:p w14:paraId="2F58C366" w14:textId="77777777" w:rsidR="00293BD0" w:rsidRPr="008F2567" w:rsidRDefault="00293BD0" w:rsidP="008F2567">
      <w:pPr>
        <w:ind w:left="432"/>
      </w:pPr>
    </w:p>
    <w:p w14:paraId="1E153D0C" w14:textId="77777777" w:rsidR="001041FE" w:rsidRDefault="001041FE" w:rsidP="001041FE">
      <w:pPr>
        <w:pStyle w:val="BodyText"/>
        <w:ind w:left="432"/>
        <w:rPr>
          <w:u w:val="single"/>
        </w:rPr>
      </w:pPr>
      <w:r>
        <w:rPr>
          <w:u w:val="single"/>
        </w:rPr>
        <w:t>Estimation</w:t>
      </w:r>
    </w:p>
    <w:p w14:paraId="694B2585" w14:textId="77777777" w:rsidR="001041FE" w:rsidRPr="00E3685C" w:rsidRDefault="001041FE" w:rsidP="001041FE">
      <w:pPr>
        <w:pStyle w:val="BodyText"/>
        <w:ind w:left="432"/>
      </w:pPr>
      <w:r>
        <w:t>The estimation procedure for both the CED and CEQ follow well-</w:t>
      </w:r>
      <w:r w:rsidRPr="00E3685C">
        <w:t>established</w:t>
      </w:r>
      <w:r>
        <w:t xml:space="preserve"> statistical principles</w:t>
      </w:r>
      <w:r w:rsidRPr="00E3685C">
        <w:t xml:space="preserve">.  The </w:t>
      </w:r>
      <w:r>
        <w:t xml:space="preserve">final weight for each sample CU is the product of </w:t>
      </w:r>
      <w:r w:rsidR="00B3703D">
        <w:t xml:space="preserve">its base weight (which is </w:t>
      </w:r>
      <w:r>
        <w:t xml:space="preserve">the inverse of </w:t>
      </w:r>
      <w:r w:rsidR="00463A00">
        <w:t>the CU’s</w:t>
      </w:r>
      <w:r>
        <w:t xml:space="preserve"> probability of selection</w:t>
      </w:r>
      <w:r w:rsidR="00B3703D">
        <w:t>)</w:t>
      </w:r>
      <w:r>
        <w:t xml:space="preserve">; a weight adjustment to account for noninterviews; and a </w:t>
      </w:r>
      <w:r w:rsidRPr="00E3685C">
        <w:t>calibration</w:t>
      </w:r>
      <w:r>
        <w:t xml:space="preserve"> adjustment that post-</w:t>
      </w:r>
      <w:r w:rsidRPr="00E3685C">
        <w:t>stratifies the weights</w:t>
      </w:r>
      <w:r>
        <w:t xml:space="preserve"> to </w:t>
      </w:r>
      <w:r w:rsidRPr="00E3685C">
        <w:t>account</w:t>
      </w:r>
      <w:r>
        <w:t xml:space="preserve"> for population </w:t>
      </w:r>
      <w:r w:rsidRPr="00E3685C">
        <w:t>undercoverage.</w:t>
      </w:r>
      <w:r w:rsidR="00B3703D">
        <w:t xml:space="preserve">  A typical base weight for a CU </w:t>
      </w:r>
      <w:r w:rsidR="00463A00">
        <w:t xml:space="preserve">in the CEQ </w:t>
      </w:r>
      <w:r w:rsidR="00B3703D">
        <w:t xml:space="preserve">is </w:t>
      </w:r>
      <w:r w:rsidR="007E0399">
        <w:t xml:space="preserve">approximately </w:t>
      </w:r>
      <w:r w:rsidR="00B3703D">
        <w:t>10,000, which means it represents 10,000 CUs</w:t>
      </w:r>
      <w:r w:rsidR="00A93DE7">
        <w:t xml:space="preserve"> </w:t>
      </w:r>
      <w:r w:rsidR="00B3703D">
        <w:t xml:space="preserve">– itself plus 9,999 other CUs that were not selected for the survey.  A typical final weight for a CU </w:t>
      </w:r>
      <w:r w:rsidR="00340FEE">
        <w:t xml:space="preserve">in the CEQ </w:t>
      </w:r>
      <w:r w:rsidR="00B3703D">
        <w:t xml:space="preserve">is </w:t>
      </w:r>
      <w:r w:rsidR="007E0399">
        <w:t xml:space="preserve">approximately </w:t>
      </w:r>
      <w:r w:rsidR="00B3703D">
        <w:t xml:space="preserve">18,000, which means it represents 18,000 CUs – itself plus 17,999 other CUs that </w:t>
      </w:r>
      <w:r w:rsidR="0015295A">
        <w:t xml:space="preserve">were not selected for the survey and/or </w:t>
      </w:r>
      <w:r w:rsidR="00B3703D">
        <w:t>did not participate in the survey.</w:t>
      </w:r>
    </w:p>
    <w:p w14:paraId="02EB4CDE" w14:textId="77777777" w:rsidR="001041FE" w:rsidRPr="00E3685C" w:rsidRDefault="001041FE" w:rsidP="001041FE">
      <w:pPr>
        <w:pStyle w:val="BodyText"/>
        <w:ind w:left="432"/>
      </w:pPr>
    </w:p>
    <w:p w14:paraId="17F08331" w14:textId="45CAF857" w:rsidR="001041FE" w:rsidRDefault="001041FE" w:rsidP="001041FE">
      <w:pPr>
        <w:tabs>
          <w:tab w:val="left" w:pos="1176"/>
          <w:tab w:val="left" w:pos="1656"/>
          <w:tab w:val="left" w:pos="5016"/>
          <w:tab w:val="left" w:pos="6696"/>
          <w:tab w:val="left" w:pos="8256"/>
        </w:tabs>
        <w:ind w:left="432"/>
      </w:pPr>
      <w:r>
        <w:t xml:space="preserve">For additional information on the sample design and estimation methodology used in the CE surveys, refer to </w:t>
      </w:r>
      <w:r w:rsidRPr="00E3685C">
        <w:t>“</w:t>
      </w:r>
      <w:r>
        <w:t>Chapter 16, Consumer Expenditures and Income</w:t>
      </w:r>
      <w:r w:rsidRPr="00E3685C">
        <w:t>”</w:t>
      </w:r>
      <w:r>
        <w:t xml:space="preserve"> in the </w:t>
      </w:r>
      <w:r w:rsidRPr="002C264E">
        <w:rPr>
          <w:i/>
        </w:rPr>
        <w:t>BLS Handbook of Methods</w:t>
      </w:r>
      <w:r>
        <w:rPr>
          <w:i/>
        </w:rPr>
        <w:t xml:space="preserve"> </w:t>
      </w:r>
      <w:r>
        <w:t>(</w:t>
      </w:r>
      <w:r w:rsidR="00830181">
        <w:t>A</w:t>
      </w:r>
      <w:r>
        <w:t xml:space="preserve">ttachment </w:t>
      </w:r>
      <w:r w:rsidR="00C7783D">
        <w:t>S</w:t>
      </w:r>
      <w:r>
        <w:t>)</w:t>
      </w:r>
      <w:r w:rsidR="007E0399">
        <w:t xml:space="preserve">; </w:t>
      </w:r>
      <w:r w:rsidR="00B01841">
        <w:t xml:space="preserve">Jay Ryan’s memo to Richard Schwartz, “PSUs for the Consumer Expenditure Survey’s 2010 Census-Based Sample Design,” December 18, 2012 (Attachment </w:t>
      </w:r>
      <w:r w:rsidR="00C7783D">
        <w:t>T</w:t>
      </w:r>
      <w:r w:rsidR="00B01841">
        <w:t xml:space="preserve">); and Ruth Ann Killion’s memo to Jay Ryan, “Consumer Expenditure Surveys Sample Allocation for </w:t>
      </w:r>
      <w:r w:rsidR="00410A7B">
        <w:t>Interview Year 2016</w:t>
      </w:r>
      <w:r w:rsidR="00B01841">
        <w:t xml:space="preserve">,” February 11, </w:t>
      </w:r>
      <w:r w:rsidR="00410A7B">
        <w:t xml:space="preserve">2015 </w:t>
      </w:r>
      <w:r w:rsidR="00B01841">
        <w:t xml:space="preserve">(Attachment </w:t>
      </w:r>
      <w:r w:rsidR="00C7783D">
        <w:t>U</w:t>
      </w:r>
      <w:r w:rsidR="00B01841">
        <w:t>).</w:t>
      </w:r>
    </w:p>
    <w:p w14:paraId="00E5BE88" w14:textId="77777777" w:rsidR="001041FE" w:rsidRDefault="001041FE" w:rsidP="001041FE">
      <w:pPr>
        <w:tabs>
          <w:tab w:val="left" w:pos="1176"/>
          <w:tab w:val="left" w:pos="1656"/>
          <w:tab w:val="left" w:pos="5016"/>
          <w:tab w:val="left" w:pos="6696"/>
          <w:tab w:val="left" w:pos="8256"/>
        </w:tabs>
        <w:ind w:left="480"/>
      </w:pPr>
    </w:p>
    <w:p w14:paraId="08CB15B7" w14:textId="77777777" w:rsidR="001041FE" w:rsidRDefault="001041FE" w:rsidP="001041FE">
      <w:pPr>
        <w:tabs>
          <w:tab w:val="left" w:pos="1176"/>
          <w:tab w:val="left" w:pos="1656"/>
          <w:tab w:val="left" w:pos="5016"/>
          <w:tab w:val="left" w:pos="6696"/>
          <w:tab w:val="left" w:pos="8256"/>
        </w:tabs>
      </w:pPr>
    </w:p>
    <w:p w14:paraId="720CCAB2" w14:textId="77777777" w:rsidR="001041FE" w:rsidRDefault="001041FE" w:rsidP="001041FE">
      <w:pPr>
        <w:tabs>
          <w:tab w:val="left" w:pos="1176"/>
          <w:tab w:val="left" w:pos="1656"/>
          <w:tab w:val="left" w:pos="5016"/>
          <w:tab w:val="left" w:pos="6696"/>
          <w:tab w:val="left" w:pos="8256"/>
        </w:tabs>
        <w:ind w:left="480" w:hanging="480"/>
        <w:rPr>
          <w:b/>
        </w:rPr>
      </w:pPr>
      <w:r>
        <w:t>3.</w:t>
      </w:r>
      <w:r>
        <w:tab/>
      </w:r>
      <w:r w:rsidRPr="002F1A9C">
        <w:rPr>
          <w:b/>
        </w:rPr>
        <w:t>Methods to Maximize Response Rates</w:t>
      </w:r>
    </w:p>
    <w:p w14:paraId="6FC9035D" w14:textId="77777777" w:rsidR="001041FE" w:rsidRPr="006E246A" w:rsidRDefault="001041FE" w:rsidP="001041FE">
      <w:pPr>
        <w:tabs>
          <w:tab w:val="left" w:pos="1176"/>
          <w:tab w:val="left" w:pos="1656"/>
          <w:tab w:val="left" w:pos="5016"/>
          <w:tab w:val="left" w:pos="6696"/>
          <w:tab w:val="left" w:pos="8256"/>
        </w:tabs>
        <w:ind w:left="480" w:hanging="480"/>
      </w:pPr>
    </w:p>
    <w:p w14:paraId="0D92F036" w14:textId="77777777" w:rsidR="001041FE" w:rsidRDefault="001041FE" w:rsidP="001041FE">
      <w:pPr>
        <w:tabs>
          <w:tab w:val="left" w:pos="1176"/>
          <w:tab w:val="left" w:pos="1656"/>
          <w:tab w:val="left" w:pos="5016"/>
          <w:tab w:val="left" w:pos="6696"/>
          <w:tab w:val="left" w:pos="8256"/>
        </w:tabs>
        <w:ind w:left="432"/>
      </w:pPr>
      <w:r>
        <w:t>In the CE Surveys, keeping the noninterview rate at a low level requires special efforts, particularly from the Census Bureau Field staff.  For each refusal case, the regional office sends a special letter to the address and assigns the case for follow-up by the program supervisor, supervisory field representative, or senior interviewer, taking into account time and cost considerations.</w:t>
      </w:r>
    </w:p>
    <w:p w14:paraId="591610F9" w14:textId="77777777" w:rsidR="001041FE" w:rsidRDefault="001041FE" w:rsidP="001041FE">
      <w:pPr>
        <w:tabs>
          <w:tab w:val="left" w:pos="1176"/>
          <w:tab w:val="left" w:pos="1656"/>
          <w:tab w:val="left" w:pos="5016"/>
          <w:tab w:val="left" w:pos="6696"/>
          <w:tab w:val="left" w:pos="8256"/>
        </w:tabs>
      </w:pPr>
    </w:p>
    <w:p w14:paraId="3E95F3A1" w14:textId="091149D2" w:rsidR="001041FE" w:rsidRDefault="001041FE" w:rsidP="001041FE">
      <w:pPr>
        <w:tabs>
          <w:tab w:val="left" w:pos="1176"/>
          <w:tab w:val="left" w:pos="1656"/>
          <w:tab w:val="left" w:pos="5016"/>
          <w:tab w:val="left" w:pos="6696"/>
          <w:tab w:val="left" w:pos="8256"/>
        </w:tabs>
        <w:ind w:left="480"/>
      </w:pPr>
      <w:r>
        <w:t xml:space="preserve">To adjust for those noninterviews that the field staff cannot convert to interviews, the sample design provides for a noninterview adjustment in the estimation procedure.  The computer processing employs special techniques in the CEQ to reference data provided in the previous interview, </w:t>
      </w:r>
      <w:r w:rsidR="00E513ED">
        <w:t xml:space="preserve">to </w:t>
      </w:r>
      <w:r>
        <w:t>keep recall problems and interview time to a minimum.</w:t>
      </w:r>
    </w:p>
    <w:p w14:paraId="19B032CB" w14:textId="77777777" w:rsidR="00405B2A" w:rsidRDefault="00405B2A" w:rsidP="00405B2A">
      <w:pPr>
        <w:tabs>
          <w:tab w:val="left" w:pos="1176"/>
          <w:tab w:val="left" w:pos="1656"/>
          <w:tab w:val="left" w:pos="5016"/>
          <w:tab w:val="left" w:pos="6696"/>
          <w:tab w:val="left" w:pos="8256"/>
        </w:tabs>
      </w:pPr>
    </w:p>
    <w:p w14:paraId="17995E48" w14:textId="77777777" w:rsidR="008A2D20" w:rsidRDefault="008A2D20">
      <w:pPr>
        <w:tabs>
          <w:tab w:val="left" w:pos="1176"/>
          <w:tab w:val="left" w:pos="1656"/>
          <w:tab w:val="left" w:pos="5016"/>
          <w:tab w:val="left" w:pos="6696"/>
          <w:tab w:val="left" w:pos="8256"/>
        </w:tabs>
        <w:ind w:left="480"/>
      </w:pPr>
    </w:p>
    <w:p w14:paraId="71C29D09" w14:textId="77777777" w:rsidR="00865989" w:rsidRPr="00865989" w:rsidRDefault="008A2D20" w:rsidP="00365BBD">
      <w:pPr>
        <w:pStyle w:val="BodyTextIndent2"/>
        <w:ind w:left="432" w:hanging="432"/>
      </w:pPr>
      <w:r>
        <w:t>4.</w:t>
      </w:r>
      <w:r>
        <w:tab/>
      </w:r>
      <w:r w:rsidR="002F1A9C" w:rsidRPr="002F1A9C">
        <w:rPr>
          <w:b/>
        </w:rPr>
        <w:t>Testing Plans</w:t>
      </w:r>
      <w:r w:rsidR="002F1A9C">
        <w:rPr>
          <w:b/>
        </w:rPr>
        <w:br/>
      </w:r>
      <w:r w:rsidR="002F1A9C" w:rsidRPr="002F1A9C">
        <w:rPr>
          <w:b/>
        </w:rPr>
        <w:br/>
      </w:r>
      <w:r w:rsidR="00865989" w:rsidRPr="00865989">
        <w:t>Subject to resource availability, CE plans to conduct the following studies (prior to the expiration of the clearance).  Ideally these studies will utilize non-production sample, but funding may necessitate the use of production sample for some tests.  A Non-Substantive Change Request (NCR) will be submitted for all of the proposed studies should funding and resources become available.</w:t>
      </w:r>
    </w:p>
    <w:p w14:paraId="520F5AE7" w14:textId="77777777" w:rsidR="00865989" w:rsidRPr="00865989" w:rsidRDefault="00865989" w:rsidP="00865989">
      <w:pPr>
        <w:pStyle w:val="BodyTextIndent2"/>
        <w:ind w:left="432"/>
      </w:pPr>
    </w:p>
    <w:tbl>
      <w:tblPr>
        <w:tblW w:w="0" w:type="auto"/>
        <w:tblInd w:w="565" w:type="dxa"/>
        <w:tblCellMar>
          <w:left w:w="0" w:type="dxa"/>
          <w:right w:w="0" w:type="dxa"/>
        </w:tblCellMar>
        <w:tblLook w:val="04A0" w:firstRow="1" w:lastRow="0" w:firstColumn="1" w:lastColumn="0" w:noHBand="0" w:noVBand="1"/>
      </w:tblPr>
      <w:tblGrid>
        <w:gridCol w:w="2197"/>
        <w:gridCol w:w="1533"/>
        <w:gridCol w:w="5621"/>
      </w:tblGrid>
      <w:tr w:rsidR="00703BC2" w14:paraId="5BA6F644" w14:textId="77777777" w:rsidTr="00703BC2">
        <w:trPr>
          <w:cantSplit/>
        </w:trPr>
        <w:tc>
          <w:tcPr>
            <w:tcW w:w="2400" w:type="dxa"/>
            <w:tcBorders>
              <w:top w:val="single" w:sz="8" w:space="0" w:color="auto"/>
              <w:left w:val="single" w:sz="8" w:space="0" w:color="auto"/>
              <w:bottom w:val="single" w:sz="8" w:space="0" w:color="auto"/>
              <w:right w:val="single" w:sz="8" w:space="0" w:color="auto"/>
            </w:tcBorders>
            <w:tcMar>
              <w:top w:w="86" w:type="dxa"/>
              <w:left w:w="115" w:type="dxa"/>
              <w:bottom w:w="86" w:type="dxa"/>
              <w:right w:w="115" w:type="dxa"/>
            </w:tcMar>
            <w:hideMark/>
          </w:tcPr>
          <w:p w14:paraId="5A0407AC" w14:textId="77777777" w:rsidR="00703BC2" w:rsidRDefault="00703BC2">
            <w:pPr>
              <w:pStyle w:val="BodyTextIndent2"/>
              <w:ind w:left="432"/>
            </w:pPr>
            <w:r>
              <w:t>Test</w:t>
            </w:r>
          </w:p>
        </w:tc>
        <w:tc>
          <w:tcPr>
            <w:tcW w:w="1620" w:type="dxa"/>
            <w:tcBorders>
              <w:top w:val="single" w:sz="8" w:space="0" w:color="auto"/>
              <w:left w:val="nil"/>
              <w:bottom w:val="single" w:sz="8" w:space="0" w:color="auto"/>
              <w:right w:val="single" w:sz="8" w:space="0" w:color="auto"/>
            </w:tcBorders>
            <w:tcMar>
              <w:top w:w="86" w:type="dxa"/>
              <w:left w:w="115" w:type="dxa"/>
              <w:bottom w:w="86" w:type="dxa"/>
              <w:right w:w="115" w:type="dxa"/>
            </w:tcMar>
            <w:hideMark/>
          </w:tcPr>
          <w:p w14:paraId="67A734C3" w14:textId="77777777" w:rsidR="00703BC2" w:rsidRDefault="00703BC2">
            <w:pPr>
              <w:pStyle w:val="BodyTextIndent2"/>
              <w:ind w:left="432"/>
            </w:pPr>
            <w:r>
              <w:t>Survey</w:t>
            </w:r>
          </w:p>
        </w:tc>
        <w:tc>
          <w:tcPr>
            <w:tcW w:w="7197" w:type="dxa"/>
            <w:tcBorders>
              <w:top w:val="single" w:sz="8" w:space="0" w:color="auto"/>
              <w:left w:val="nil"/>
              <w:bottom w:val="single" w:sz="8" w:space="0" w:color="auto"/>
              <w:right w:val="single" w:sz="8" w:space="0" w:color="auto"/>
            </w:tcBorders>
            <w:tcMar>
              <w:top w:w="86" w:type="dxa"/>
              <w:left w:w="115" w:type="dxa"/>
              <w:bottom w:w="86" w:type="dxa"/>
              <w:right w:w="115" w:type="dxa"/>
            </w:tcMar>
            <w:hideMark/>
          </w:tcPr>
          <w:p w14:paraId="14A01088" w14:textId="77777777" w:rsidR="00703BC2" w:rsidRDefault="00703BC2">
            <w:pPr>
              <w:pStyle w:val="BodyTextIndent2"/>
              <w:ind w:left="432"/>
            </w:pPr>
            <w:r>
              <w:t>Description</w:t>
            </w:r>
          </w:p>
        </w:tc>
      </w:tr>
      <w:tr w:rsidR="00703BC2" w14:paraId="58AF46D0" w14:textId="77777777" w:rsidTr="00703BC2">
        <w:trPr>
          <w:cantSplit/>
        </w:trPr>
        <w:tc>
          <w:tcPr>
            <w:tcW w:w="2400"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2F4265C5" w14:textId="77777777" w:rsidR="00703BC2" w:rsidRDefault="00703BC2">
            <w:pPr>
              <w:pStyle w:val="BodyTextIndent2"/>
              <w:ind w:left="0"/>
            </w:pPr>
            <w:r>
              <w:t xml:space="preserve">Optimal Contact Threshold Field Test (Census) </w:t>
            </w:r>
          </w:p>
        </w:tc>
        <w:tc>
          <w:tcPr>
            <w:tcW w:w="1620" w:type="dxa"/>
            <w:tcBorders>
              <w:top w:val="nil"/>
              <w:left w:val="nil"/>
              <w:bottom w:val="single" w:sz="8" w:space="0" w:color="auto"/>
              <w:right w:val="single" w:sz="8" w:space="0" w:color="auto"/>
            </w:tcBorders>
            <w:tcMar>
              <w:top w:w="86" w:type="dxa"/>
              <w:left w:w="115" w:type="dxa"/>
              <w:bottom w:w="86" w:type="dxa"/>
              <w:right w:w="115" w:type="dxa"/>
            </w:tcMar>
            <w:hideMark/>
          </w:tcPr>
          <w:p w14:paraId="214712F5" w14:textId="77777777" w:rsidR="00703BC2" w:rsidRDefault="00703BC2">
            <w:pPr>
              <w:pStyle w:val="BodyTextIndent2"/>
              <w:ind w:left="0"/>
            </w:pPr>
            <w:r>
              <w:t>Interview</w:t>
            </w:r>
          </w:p>
        </w:tc>
        <w:tc>
          <w:tcPr>
            <w:tcW w:w="7197" w:type="dxa"/>
            <w:tcBorders>
              <w:top w:val="nil"/>
              <w:left w:val="nil"/>
              <w:bottom w:val="single" w:sz="8" w:space="0" w:color="auto"/>
              <w:right w:val="single" w:sz="8" w:space="0" w:color="auto"/>
            </w:tcBorders>
            <w:tcMar>
              <w:top w:w="86" w:type="dxa"/>
              <w:left w:w="115" w:type="dxa"/>
              <w:bottom w:w="86" w:type="dxa"/>
              <w:right w:w="115" w:type="dxa"/>
            </w:tcMar>
            <w:hideMark/>
          </w:tcPr>
          <w:p w14:paraId="3EAEF30E" w14:textId="77777777" w:rsidR="00703BC2" w:rsidRDefault="00703BC2">
            <w:pPr>
              <w:pStyle w:val="BodyTextIndent2"/>
              <w:ind w:left="0"/>
            </w:pPr>
            <w:r>
              <w:t>This test builds on a 2015 analysis of the optimal threshold number of contact attempts. The evaluation criteria included cost savings, indicators of reporting quality, and response rates. The findings confirmed earlier results suggesting seven as the optimal threshold for contact attempts. That is, attempting contact for sample units beyond that threshold was costly; did not substantively impact sample characteristics; did not improve measurement error as assessed by reporting quality indicators; and increased response rates but without improving sample composition with respect to household size, urbanicity, and homeownership status (and worsened sample composition if sample units’ reluctance/concerns about survey participation was included as another characteristic of interest). The purpose of this project is to evaluate the cost savings, reporting quality, and response rate impact of implementing a seven contact attempt threshold, in a large sample size field test setting, for difficult-to-interview consumer units that display doorstep concerns related to hostility.</w:t>
            </w:r>
          </w:p>
        </w:tc>
      </w:tr>
      <w:tr w:rsidR="00703BC2" w14:paraId="67E1A7A7" w14:textId="77777777" w:rsidTr="00703BC2">
        <w:trPr>
          <w:cantSplit/>
        </w:trPr>
        <w:tc>
          <w:tcPr>
            <w:tcW w:w="2400"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573C7486" w14:textId="77777777" w:rsidR="00703BC2" w:rsidRDefault="00703BC2">
            <w:pPr>
              <w:pStyle w:val="BodyTextIndent2"/>
              <w:ind w:left="0"/>
            </w:pPr>
            <w:r>
              <w:t xml:space="preserve">Web Diary Implementation </w:t>
            </w:r>
          </w:p>
        </w:tc>
        <w:tc>
          <w:tcPr>
            <w:tcW w:w="1620" w:type="dxa"/>
            <w:tcBorders>
              <w:top w:val="nil"/>
              <w:left w:val="nil"/>
              <w:bottom w:val="single" w:sz="8" w:space="0" w:color="auto"/>
              <w:right w:val="single" w:sz="8" w:space="0" w:color="auto"/>
            </w:tcBorders>
            <w:tcMar>
              <w:top w:w="86" w:type="dxa"/>
              <w:left w:w="115" w:type="dxa"/>
              <w:bottom w:w="86" w:type="dxa"/>
              <w:right w:w="115" w:type="dxa"/>
            </w:tcMar>
            <w:hideMark/>
          </w:tcPr>
          <w:p w14:paraId="454F2626" w14:textId="77777777" w:rsidR="00703BC2" w:rsidRDefault="00703BC2">
            <w:pPr>
              <w:pStyle w:val="BodyTextIndent2"/>
              <w:ind w:left="0"/>
            </w:pPr>
            <w:r>
              <w:t>Diary</w:t>
            </w:r>
          </w:p>
        </w:tc>
        <w:tc>
          <w:tcPr>
            <w:tcW w:w="7197" w:type="dxa"/>
            <w:tcBorders>
              <w:top w:val="nil"/>
              <w:left w:val="nil"/>
              <w:bottom w:val="single" w:sz="8" w:space="0" w:color="auto"/>
              <w:right w:val="single" w:sz="8" w:space="0" w:color="auto"/>
            </w:tcBorders>
            <w:tcMar>
              <w:top w:w="86" w:type="dxa"/>
              <w:left w:w="115" w:type="dxa"/>
              <w:bottom w:w="86" w:type="dxa"/>
              <w:right w:w="115" w:type="dxa"/>
            </w:tcMar>
            <w:hideMark/>
          </w:tcPr>
          <w:p w14:paraId="0877681C" w14:textId="77777777" w:rsidR="00703BC2" w:rsidRDefault="00703BC2">
            <w:pPr>
              <w:pStyle w:val="BodyTextIndent2"/>
              <w:ind w:left="0"/>
            </w:pPr>
            <w:r>
              <w:t>The purpose of this project is to contract with Westat to test CE's electronic diary under predetermined protocol conditions in advance of a potential phased (e.g., less than 10 percent), screened, and optionally-offered implementation alongside the redesigned paper diary in the 2018 production survey. CE will base its 2019 production survey implementation decision on the test results.</w:t>
            </w:r>
          </w:p>
        </w:tc>
      </w:tr>
      <w:tr w:rsidR="00703BC2" w14:paraId="41ED8FB4" w14:textId="77777777" w:rsidTr="00703BC2">
        <w:trPr>
          <w:cantSplit/>
        </w:trPr>
        <w:tc>
          <w:tcPr>
            <w:tcW w:w="2400"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56E99552" w14:textId="77777777" w:rsidR="00703BC2" w:rsidRDefault="00703BC2">
            <w:pPr>
              <w:pStyle w:val="BodyTextIndent2"/>
              <w:ind w:left="0"/>
            </w:pPr>
            <w:r>
              <w:t xml:space="preserve">Large Scale Outlets Field Test </w:t>
            </w:r>
          </w:p>
        </w:tc>
        <w:tc>
          <w:tcPr>
            <w:tcW w:w="1620" w:type="dxa"/>
            <w:tcBorders>
              <w:top w:val="nil"/>
              <w:left w:val="nil"/>
              <w:bottom w:val="single" w:sz="8" w:space="0" w:color="auto"/>
              <w:right w:val="single" w:sz="8" w:space="0" w:color="auto"/>
            </w:tcBorders>
            <w:tcMar>
              <w:top w:w="86" w:type="dxa"/>
              <w:left w:w="115" w:type="dxa"/>
              <w:bottom w:w="86" w:type="dxa"/>
              <w:right w:w="115" w:type="dxa"/>
            </w:tcMar>
            <w:hideMark/>
          </w:tcPr>
          <w:p w14:paraId="5A125AF5" w14:textId="77777777" w:rsidR="00703BC2" w:rsidRDefault="00703BC2">
            <w:pPr>
              <w:pStyle w:val="BodyTextIndent2"/>
              <w:ind w:left="0"/>
            </w:pPr>
            <w:r>
              <w:t>Interview and Diary</w:t>
            </w:r>
          </w:p>
        </w:tc>
        <w:tc>
          <w:tcPr>
            <w:tcW w:w="7197" w:type="dxa"/>
            <w:tcBorders>
              <w:top w:val="nil"/>
              <w:left w:val="nil"/>
              <w:bottom w:val="single" w:sz="8" w:space="0" w:color="auto"/>
              <w:right w:val="single" w:sz="8" w:space="0" w:color="auto"/>
            </w:tcBorders>
            <w:tcMar>
              <w:top w:w="86" w:type="dxa"/>
              <w:left w:w="115" w:type="dxa"/>
              <w:bottom w:w="86" w:type="dxa"/>
              <w:right w:w="115" w:type="dxa"/>
            </w:tcMar>
            <w:hideMark/>
          </w:tcPr>
          <w:p w14:paraId="0D383FA0" w14:textId="77777777" w:rsidR="00703BC2" w:rsidRDefault="00703BC2">
            <w:pPr>
              <w:pStyle w:val="BodyTextIndent2"/>
              <w:ind w:left="0"/>
            </w:pPr>
            <w:r>
              <w:t xml:space="preserve">The purpose of this outlet questions test in production sample, as a follow-up to the 2016 exercise, is to evaluate completion rates, comprehensiveness, and data quality for an add-on last purchase module, in a large sample size setting. </w:t>
            </w:r>
          </w:p>
        </w:tc>
      </w:tr>
    </w:tbl>
    <w:p w14:paraId="43C75BFC" w14:textId="77777777" w:rsidR="00865989" w:rsidRDefault="00865989" w:rsidP="00865989">
      <w:pPr>
        <w:pStyle w:val="BodyTextIndent2"/>
        <w:ind w:left="432"/>
      </w:pPr>
    </w:p>
    <w:p w14:paraId="4C56AE8E" w14:textId="77777777" w:rsidR="00004351" w:rsidRDefault="00004351" w:rsidP="00004351">
      <w:pPr>
        <w:tabs>
          <w:tab w:val="left" w:pos="1176"/>
          <w:tab w:val="left" w:pos="1656"/>
          <w:tab w:val="left" w:pos="5016"/>
          <w:tab w:val="left" w:pos="6696"/>
          <w:tab w:val="left" w:pos="8256"/>
        </w:tabs>
        <w:ind w:left="480"/>
      </w:pPr>
    </w:p>
    <w:p w14:paraId="347369C9" w14:textId="77777777" w:rsidR="007801DB" w:rsidRDefault="007801DB">
      <w:pPr>
        <w:tabs>
          <w:tab w:val="left" w:pos="1176"/>
          <w:tab w:val="left" w:pos="1656"/>
          <w:tab w:val="left" w:pos="5016"/>
          <w:tab w:val="left" w:pos="6696"/>
          <w:tab w:val="left" w:pos="8256"/>
        </w:tabs>
        <w:ind w:left="480" w:hanging="480"/>
      </w:pPr>
      <w:r>
        <w:t>5.</w:t>
      </w:r>
      <w:r>
        <w:tab/>
      </w:r>
      <w:r w:rsidR="002F1A9C" w:rsidRPr="002F1A9C">
        <w:rPr>
          <w:b/>
        </w:rPr>
        <w:t>Statistical Contacts</w:t>
      </w:r>
      <w:r w:rsidR="002F1A9C">
        <w:rPr>
          <w:b/>
        </w:rPr>
        <w:br/>
      </w:r>
      <w:r w:rsidR="002F1A9C" w:rsidRPr="002F1A9C">
        <w:rPr>
          <w:b/>
        </w:rPr>
        <w:br/>
      </w:r>
      <w:r>
        <w:t xml:space="preserve">The Census Bureau will collect the data.  Within the Census Bureau, you may consult the following individuals </w:t>
      </w:r>
      <w:r w:rsidR="00F64DA0">
        <w:t>regarding</w:t>
      </w:r>
      <w:r>
        <w:t xml:space="preserve"> their area of expertise for further information.</w:t>
      </w:r>
    </w:p>
    <w:p w14:paraId="124BC5B6" w14:textId="77777777" w:rsidR="00E34105" w:rsidRDefault="00E34105">
      <w:pPr>
        <w:tabs>
          <w:tab w:val="left" w:pos="1176"/>
          <w:tab w:val="left" w:pos="1656"/>
          <w:tab w:val="left" w:pos="5016"/>
          <w:tab w:val="left" w:pos="6696"/>
          <w:tab w:val="left" w:pos="8256"/>
        </w:tabs>
        <w:ind w:left="480" w:hanging="480"/>
      </w:pPr>
    </w:p>
    <w:p w14:paraId="036D2CE5" w14:textId="77777777" w:rsidR="00E34105" w:rsidRDefault="00E34105" w:rsidP="00E34105">
      <w:pPr>
        <w:ind w:left="3840" w:hanging="3360"/>
        <w:rPr>
          <w:sz w:val="22"/>
          <w:szCs w:val="22"/>
        </w:rPr>
      </w:pPr>
      <w:r>
        <w:t>Sample Design:                                            Stephen Ash                                  (301) 763-4294</w:t>
      </w:r>
    </w:p>
    <w:p w14:paraId="0E5FF522" w14:textId="77777777" w:rsidR="00E34105" w:rsidRDefault="00E34105" w:rsidP="00E34105">
      <w:pPr>
        <w:ind w:left="3840" w:hanging="3360"/>
      </w:pPr>
      <w:r>
        <w:t>Data Collection:                                           Jennifer</w:t>
      </w:r>
      <w:r>
        <w:rPr>
          <w:color w:val="1F497D"/>
        </w:rPr>
        <w:t xml:space="preserve"> </w:t>
      </w:r>
      <w:r>
        <w:t>Epps</w:t>
      </w:r>
      <w:r>
        <w:rPr>
          <w:color w:val="1F497D"/>
        </w:rPr>
        <w:t xml:space="preserve">           </w:t>
      </w:r>
      <w:r>
        <w:t>                      (301) 763-5342</w:t>
      </w:r>
    </w:p>
    <w:sectPr w:rsidR="00E34105" w:rsidSect="009B6470">
      <w:headerReference w:type="default" r:id="rId10"/>
      <w:footerReference w:type="even" r:id="rId11"/>
      <w:footerReference w:type="default" r:id="rId12"/>
      <w:type w:val="continuous"/>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B8202" w14:textId="77777777" w:rsidR="00C57815" w:rsidRDefault="00C57815">
      <w:r>
        <w:separator/>
      </w:r>
    </w:p>
  </w:endnote>
  <w:endnote w:type="continuationSeparator" w:id="0">
    <w:p w14:paraId="58C33143" w14:textId="77777777" w:rsidR="00C57815" w:rsidRDefault="00C5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3F96D" w14:textId="77777777" w:rsidR="00DD39FB" w:rsidRDefault="00DD39FB">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93436F">
      <w:rPr>
        <w:rStyle w:val="PageNumber"/>
        <w:rFonts w:ascii="Courier" w:hAnsi="Courier"/>
        <w:noProof/>
        <w:sz w:val="24"/>
      </w:rPr>
      <w:t>1</w:t>
    </w:r>
    <w:r>
      <w:rPr>
        <w:rStyle w:val="PageNumber"/>
        <w:rFonts w:ascii="Courier" w:hAnsi="Courier"/>
        <w:sz w:val="24"/>
      </w:rPr>
      <w:fldChar w:fldCharType="end"/>
    </w:r>
  </w:p>
  <w:p w14:paraId="245475FC" w14:textId="77777777" w:rsidR="00DD39FB" w:rsidRDefault="00DD3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E055C" w14:textId="77777777" w:rsidR="00DD39FB" w:rsidRDefault="00DD39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F066C7" w14:textId="77777777" w:rsidR="00DD39FB" w:rsidRDefault="00DD39FB">
    <w:pPr>
      <w:pStyle w:val="Footer"/>
    </w:pPr>
  </w:p>
  <w:p w14:paraId="6C113FB0" w14:textId="77777777" w:rsidR="00DD39FB" w:rsidRDefault="00DD39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FD829" w14:textId="77777777" w:rsidR="00DD39FB" w:rsidRPr="00A46014" w:rsidRDefault="00DD39FB">
    <w:pPr>
      <w:pStyle w:val="Footer"/>
      <w:framePr w:wrap="around" w:vAnchor="text" w:hAnchor="margin" w:xAlign="center" w:y="1"/>
      <w:rPr>
        <w:rStyle w:val="PageNumber"/>
        <w:rFonts w:ascii="Times New Roman" w:hAnsi="Times New Roman"/>
        <w:sz w:val="24"/>
      </w:rPr>
    </w:pPr>
    <w:r w:rsidRPr="00A46014">
      <w:rPr>
        <w:rStyle w:val="PageNumber"/>
        <w:rFonts w:ascii="Times New Roman" w:hAnsi="Times New Roman"/>
        <w:sz w:val="24"/>
      </w:rPr>
      <w:fldChar w:fldCharType="begin"/>
    </w:r>
    <w:r w:rsidRPr="00A46014">
      <w:rPr>
        <w:rStyle w:val="PageNumber"/>
        <w:rFonts w:ascii="Times New Roman" w:hAnsi="Times New Roman"/>
        <w:sz w:val="24"/>
      </w:rPr>
      <w:instrText xml:space="preserve">PAGE  </w:instrText>
    </w:r>
    <w:r w:rsidRPr="00A46014">
      <w:rPr>
        <w:rStyle w:val="PageNumber"/>
        <w:rFonts w:ascii="Times New Roman" w:hAnsi="Times New Roman"/>
        <w:sz w:val="24"/>
      </w:rPr>
      <w:fldChar w:fldCharType="separate"/>
    </w:r>
    <w:r w:rsidR="0093436F">
      <w:rPr>
        <w:rStyle w:val="PageNumber"/>
        <w:rFonts w:ascii="Times New Roman" w:hAnsi="Times New Roman"/>
        <w:noProof/>
        <w:sz w:val="24"/>
      </w:rPr>
      <w:t>9</w:t>
    </w:r>
    <w:r w:rsidRPr="00A46014">
      <w:rPr>
        <w:rStyle w:val="PageNumber"/>
        <w:rFonts w:ascii="Times New Roman" w:hAnsi="Times New Roman"/>
        <w:sz w:val="24"/>
      </w:rPr>
      <w:fldChar w:fldCharType="end"/>
    </w:r>
  </w:p>
  <w:p w14:paraId="6F447469" w14:textId="77777777" w:rsidR="00DD39FB" w:rsidRDefault="00DD39FB">
    <w:pPr>
      <w:pStyle w:val="Footer"/>
    </w:pPr>
  </w:p>
  <w:p w14:paraId="0329D31C" w14:textId="77777777" w:rsidR="00DD39FB" w:rsidRDefault="00DD39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444EF" w14:textId="77777777" w:rsidR="00C57815" w:rsidRDefault="00C57815">
      <w:r>
        <w:separator/>
      </w:r>
    </w:p>
  </w:footnote>
  <w:footnote w:type="continuationSeparator" w:id="0">
    <w:p w14:paraId="4588DC1B" w14:textId="77777777" w:rsidR="00C57815" w:rsidRDefault="00C57815">
      <w:r>
        <w:continuationSeparator/>
      </w:r>
    </w:p>
  </w:footnote>
  <w:footnote w:id="1">
    <w:p w14:paraId="27EBD5C3" w14:textId="77777777" w:rsidR="00DD39FB" w:rsidRDefault="00DD39FB" w:rsidP="00345794">
      <w:pPr>
        <w:pStyle w:val="FootnoteText"/>
      </w:pPr>
      <w:r>
        <w:rPr>
          <w:rStyle w:val="FootnoteReference"/>
        </w:rPr>
        <w:t xml:space="preserve">1 </w:t>
      </w:r>
      <w:r>
        <w:t>The number of CUs comes from dividing the Census Bureau’s 2014 estimate of the number of people in the civilian non-institutional population (317.5 million) by the average number of people per CU (2.5).</w:t>
      </w:r>
    </w:p>
  </w:footnote>
  <w:footnote w:id="2">
    <w:p w14:paraId="794B37A1" w14:textId="5FB534E3" w:rsidR="00DD39FB" w:rsidRDefault="00DD39FB" w:rsidP="001041FE">
      <w:pPr>
        <w:pStyle w:val="FootnoteText"/>
      </w:pPr>
      <w:r>
        <w:rPr>
          <w:rStyle w:val="FootnoteReference"/>
        </w:rPr>
        <w:t>2</w:t>
      </w:r>
      <w:r>
        <w:t xml:space="preserve"> The number of CUs per stratum comes from allocating the nationwide total of 127 million CUs by each stratum’s proportion of the nationwide population in the 2010 Census.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7E49A" w14:textId="77777777" w:rsidR="00DD39FB" w:rsidRDefault="00DD39FB">
    <w:pPr>
      <w:pStyle w:val="Header"/>
    </w:pPr>
  </w:p>
  <w:p w14:paraId="1668BA68" w14:textId="77777777" w:rsidR="00DD39FB" w:rsidRDefault="00DD3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15:restartNumberingAfterBreak="0">
    <w:nsid w:val="0BAF7B65"/>
    <w:multiLevelType w:val="hybridMultilevel"/>
    <w:tmpl w:val="526685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15:restartNumberingAfterBreak="0">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15:restartNumberingAfterBreak="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337A6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15:restartNumberingAfterBreak="0">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15:restartNumberingAfterBreak="0">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15:restartNumberingAfterBreak="0">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7" w15:restartNumberingAfterBreak="0">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1E0509"/>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4" w15:restartNumberingAfterBreak="0">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28" w15:restartNumberingAfterBreak="0">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641699"/>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4" w15:restartNumberingAfterBreak="0">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5" w15:restartNumberingAfterBreak="0">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B1A0C84"/>
    <w:multiLevelType w:val="singleLevel"/>
    <w:tmpl w:val="D9C02A58"/>
    <w:lvl w:ilvl="0">
      <w:start w:val="1"/>
      <w:numFmt w:val="none"/>
      <w:lvlText w:val="3."/>
      <w:lvlJc w:val="left"/>
      <w:pPr>
        <w:tabs>
          <w:tab w:val="num" w:pos="360"/>
        </w:tabs>
        <w:ind w:left="360" w:hanging="360"/>
      </w:pPr>
    </w:lvl>
  </w:abstractNum>
  <w:abstractNum w:abstractNumId="37" w15:restartNumberingAfterBreak="0">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9D2B52"/>
    <w:multiLevelType w:val="singleLevel"/>
    <w:tmpl w:val="C922D49A"/>
    <w:lvl w:ilvl="0">
      <w:start w:val="3"/>
      <w:numFmt w:val="none"/>
      <w:lvlText w:val="3"/>
      <w:lvlJc w:val="left"/>
      <w:pPr>
        <w:tabs>
          <w:tab w:val="num" w:pos="360"/>
        </w:tabs>
        <w:ind w:left="360" w:hanging="360"/>
      </w:pPr>
    </w:lvl>
  </w:abstractNum>
  <w:abstractNum w:abstractNumId="39" w15:restartNumberingAfterBreak="0">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0" w15:restartNumberingAfterBreak="0">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1" w15:restartNumberingAfterBreak="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6"/>
  </w:num>
  <w:num w:numId="3">
    <w:abstractNumId w:val="27"/>
  </w:num>
  <w:num w:numId="4">
    <w:abstractNumId w:val="14"/>
  </w:num>
  <w:num w:numId="5">
    <w:abstractNumId w:val="39"/>
  </w:num>
  <w:num w:numId="6">
    <w:abstractNumId w:val="5"/>
  </w:num>
  <w:num w:numId="7">
    <w:abstractNumId w:val="20"/>
  </w:num>
  <w:num w:numId="8">
    <w:abstractNumId w:val="41"/>
  </w:num>
  <w:num w:numId="9">
    <w:abstractNumId w:val="23"/>
  </w:num>
  <w:num w:numId="10">
    <w:abstractNumId w:val="38"/>
  </w:num>
  <w:num w:numId="11">
    <w:abstractNumId w:val="36"/>
  </w:num>
  <w:num w:numId="12">
    <w:abstractNumId w:val="11"/>
  </w:num>
  <w:num w:numId="13">
    <w:abstractNumId w:val="21"/>
  </w:num>
  <w:num w:numId="14">
    <w:abstractNumId w:val="32"/>
  </w:num>
  <w:num w:numId="15">
    <w:abstractNumId w:val="6"/>
  </w:num>
  <w:num w:numId="16">
    <w:abstractNumId w:val="2"/>
  </w:num>
  <w:num w:numId="17">
    <w:abstractNumId w:val="10"/>
  </w:num>
  <w:num w:numId="18">
    <w:abstractNumId w:val="26"/>
  </w:num>
  <w:num w:numId="19">
    <w:abstractNumId w:val="30"/>
  </w:num>
  <w:num w:numId="20">
    <w:abstractNumId w:val="29"/>
  </w:num>
  <w:num w:numId="21">
    <w:abstractNumId w:val="35"/>
  </w:num>
  <w:num w:numId="22">
    <w:abstractNumId w:val="17"/>
  </w:num>
  <w:num w:numId="23">
    <w:abstractNumId w:val="28"/>
  </w:num>
  <w:num w:numId="24">
    <w:abstractNumId w:val="31"/>
  </w:num>
  <w:num w:numId="25">
    <w:abstractNumId w:val="9"/>
  </w:num>
  <w:num w:numId="26">
    <w:abstractNumId w:val="15"/>
  </w:num>
  <w:num w:numId="27">
    <w:abstractNumId w:val="4"/>
  </w:num>
  <w:num w:numId="28">
    <w:abstractNumId w:val="37"/>
  </w:num>
  <w:num w:numId="29">
    <w:abstractNumId w:val="1"/>
  </w:num>
  <w:num w:numId="30">
    <w:abstractNumId w:val="40"/>
  </w:num>
  <w:num w:numId="31">
    <w:abstractNumId w:val="24"/>
  </w:num>
  <w:num w:numId="32">
    <w:abstractNumId w:val="34"/>
  </w:num>
  <w:num w:numId="33">
    <w:abstractNumId w:val="18"/>
  </w:num>
  <w:num w:numId="34">
    <w:abstractNumId w:val="7"/>
  </w:num>
  <w:num w:numId="35">
    <w:abstractNumId w:val="22"/>
  </w:num>
  <w:num w:numId="36">
    <w:abstractNumId w:val="12"/>
  </w:num>
  <w:num w:numId="37">
    <w:abstractNumId w:val="25"/>
  </w:num>
  <w:num w:numId="38">
    <w:abstractNumId w:val="19"/>
  </w:num>
  <w:num w:numId="39">
    <w:abstractNumId w:val="33"/>
  </w:num>
  <w:num w:numId="40">
    <w:abstractNumId w:val="8"/>
  </w:num>
  <w:num w:numId="41">
    <w:abstractNumId w:val="0"/>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FB"/>
    <w:rsid w:val="0000379B"/>
    <w:rsid w:val="00004351"/>
    <w:rsid w:val="00010526"/>
    <w:rsid w:val="00024F80"/>
    <w:rsid w:val="000332C6"/>
    <w:rsid w:val="000358D4"/>
    <w:rsid w:val="00041011"/>
    <w:rsid w:val="00042D62"/>
    <w:rsid w:val="00045379"/>
    <w:rsid w:val="00050A7C"/>
    <w:rsid w:val="000556E5"/>
    <w:rsid w:val="0005755B"/>
    <w:rsid w:val="00063CA0"/>
    <w:rsid w:val="00066270"/>
    <w:rsid w:val="00072BA3"/>
    <w:rsid w:val="00077A45"/>
    <w:rsid w:val="00084C77"/>
    <w:rsid w:val="00092DF1"/>
    <w:rsid w:val="000955A0"/>
    <w:rsid w:val="000A116F"/>
    <w:rsid w:val="000A1C63"/>
    <w:rsid w:val="000A2810"/>
    <w:rsid w:val="000A2CD0"/>
    <w:rsid w:val="000A2EED"/>
    <w:rsid w:val="000A6627"/>
    <w:rsid w:val="000B632A"/>
    <w:rsid w:val="000C12FA"/>
    <w:rsid w:val="000D3819"/>
    <w:rsid w:val="000E1156"/>
    <w:rsid w:val="000E329B"/>
    <w:rsid w:val="000E4EFB"/>
    <w:rsid w:val="000F1BE7"/>
    <w:rsid w:val="001041FE"/>
    <w:rsid w:val="00106C16"/>
    <w:rsid w:val="00113B2A"/>
    <w:rsid w:val="00114AF0"/>
    <w:rsid w:val="0012063A"/>
    <w:rsid w:val="001226D4"/>
    <w:rsid w:val="0012749D"/>
    <w:rsid w:val="001309A9"/>
    <w:rsid w:val="00132F17"/>
    <w:rsid w:val="00135CF0"/>
    <w:rsid w:val="001404E0"/>
    <w:rsid w:val="0014116F"/>
    <w:rsid w:val="001426B7"/>
    <w:rsid w:val="00146DC6"/>
    <w:rsid w:val="00147160"/>
    <w:rsid w:val="00150506"/>
    <w:rsid w:val="00150F8E"/>
    <w:rsid w:val="0015295A"/>
    <w:rsid w:val="00157750"/>
    <w:rsid w:val="00163B24"/>
    <w:rsid w:val="00173789"/>
    <w:rsid w:val="00177A87"/>
    <w:rsid w:val="00190C4F"/>
    <w:rsid w:val="001930A9"/>
    <w:rsid w:val="00193C92"/>
    <w:rsid w:val="0019402E"/>
    <w:rsid w:val="0019444C"/>
    <w:rsid w:val="00194FE3"/>
    <w:rsid w:val="00197D9E"/>
    <w:rsid w:val="001A1BBB"/>
    <w:rsid w:val="001A4479"/>
    <w:rsid w:val="001A481D"/>
    <w:rsid w:val="001A560C"/>
    <w:rsid w:val="001A6C7A"/>
    <w:rsid w:val="001A6DF5"/>
    <w:rsid w:val="001B4633"/>
    <w:rsid w:val="001B6A70"/>
    <w:rsid w:val="001B6C2E"/>
    <w:rsid w:val="001B7D60"/>
    <w:rsid w:val="001D4AC3"/>
    <w:rsid w:val="001D557B"/>
    <w:rsid w:val="001D5847"/>
    <w:rsid w:val="001D6ABA"/>
    <w:rsid w:val="001D7D83"/>
    <w:rsid w:val="001E2879"/>
    <w:rsid w:val="001F309D"/>
    <w:rsid w:val="001F4333"/>
    <w:rsid w:val="001F537D"/>
    <w:rsid w:val="002128BF"/>
    <w:rsid w:val="002129D8"/>
    <w:rsid w:val="0021510F"/>
    <w:rsid w:val="0021665C"/>
    <w:rsid w:val="00223241"/>
    <w:rsid w:val="002243AF"/>
    <w:rsid w:val="00225901"/>
    <w:rsid w:val="002329E7"/>
    <w:rsid w:val="002374B8"/>
    <w:rsid w:val="00241013"/>
    <w:rsid w:val="00241B3D"/>
    <w:rsid w:val="002502B2"/>
    <w:rsid w:val="00252F5B"/>
    <w:rsid w:val="00261C1A"/>
    <w:rsid w:val="00263BC5"/>
    <w:rsid w:val="00271C7A"/>
    <w:rsid w:val="00273892"/>
    <w:rsid w:val="00280A6F"/>
    <w:rsid w:val="002858B7"/>
    <w:rsid w:val="002863FB"/>
    <w:rsid w:val="002866EB"/>
    <w:rsid w:val="00291898"/>
    <w:rsid w:val="00293BD0"/>
    <w:rsid w:val="00297DA2"/>
    <w:rsid w:val="002A5A87"/>
    <w:rsid w:val="002A5F72"/>
    <w:rsid w:val="002A7031"/>
    <w:rsid w:val="002A70E6"/>
    <w:rsid w:val="002A7FD3"/>
    <w:rsid w:val="002B1873"/>
    <w:rsid w:val="002B2DEF"/>
    <w:rsid w:val="002B3240"/>
    <w:rsid w:val="002C0787"/>
    <w:rsid w:val="002C0D7B"/>
    <w:rsid w:val="002C264E"/>
    <w:rsid w:val="002C3335"/>
    <w:rsid w:val="002C6DD7"/>
    <w:rsid w:val="002D2A21"/>
    <w:rsid w:val="002D59E8"/>
    <w:rsid w:val="002D73BE"/>
    <w:rsid w:val="002E1361"/>
    <w:rsid w:val="002F1A9C"/>
    <w:rsid w:val="002F7E84"/>
    <w:rsid w:val="00302B48"/>
    <w:rsid w:val="003044E9"/>
    <w:rsid w:val="003103A5"/>
    <w:rsid w:val="00316245"/>
    <w:rsid w:val="00321C7C"/>
    <w:rsid w:val="0033578F"/>
    <w:rsid w:val="0033757E"/>
    <w:rsid w:val="00340351"/>
    <w:rsid w:val="00340FEE"/>
    <w:rsid w:val="00345794"/>
    <w:rsid w:val="003457B3"/>
    <w:rsid w:val="003463A7"/>
    <w:rsid w:val="00347119"/>
    <w:rsid w:val="003520A2"/>
    <w:rsid w:val="00353410"/>
    <w:rsid w:val="003537F4"/>
    <w:rsid w:val="00365BBD"/>
    <w:rsid w:val="00366AA6"/>
    <w:rsid w:val="00367158"/>
    <w:rsid w:val="00367229"/>
    <w:rsid w:val="00371BD6"/>
    <w:rsid w:val="003733A4"/>
    <w:rsid w:val="003744DB"/>
    <w:rsid w:val="00376086"/>
    <w:rsid w:val="003850D8"/>
    <w:rsid w:val="003A14F3"/>
    <w:rsid w:val="003B0735"/>
    <w:rsid w:val="003B6907"/>
    <w:rsid w:val="003C2E7E"/>
    <w:rsid w:val="003C49C6"/>
    <w:rsid w:val="003D2223"/>
    <w:rsid w:val="003E2CF1"/>
    <w:rsid w:val="003E630C"/>
    <w:rsid w:val="003E7639"/>
    <w:rsid w:val="003F0B95"/>
    <w:rsid w:val="003F60DD"/>
    <w:rsid w:val="003F7588"/>
    <w:rsid w:val="00401028"/>
    <w:rsid w:val="00405B2A"/>
    <w:rsid w:val="00406829"/>
    <w:rsid w:val="00407B59"/>
    <w:rsid w:val="0041099F"/>
    <w:rsid w:val="00410A7B"/>
    <w:rsid w:val="004120BD"/>
    <w:rsid w:val="004129E1"/>
    <w:rsid w:val="00413B75"/>
    <w:rsid w:val="004224A1"/>
    <w:rsid w:val="00423376"/>
    <w:rsid w:val="0042539F"/>
    <w:rsid w:val="004253BD"/>
    <w:rsid w:val="00431FB5"/>
    <w:rsid w:val="004336EC"/>
    <w:rsid w:val="00436B9C"/>
    <w:rsid w:val="004379A2"/>
    <w:rsid w:val="00437DEB"/>
    <w:rsid w:val="004401E9"/>
    <w:rsid w:val="00442CFD"/>
    <w:rsid w:val="00463A00"/>
    <w:rsid w:val="00467182"/>
    <w:rsid w:val="0047131D"/>
    <w:rsid w:val="00474884"/>
    <w:rsid w:val="00475B5E"/>
    <w:rsid w:val="00482DCA"/>
    <w:rsid w:val="00486FF3"/>
    <w:rsid w:val="004922BC"/>
    <w:rsid w:val="00494AA0"/>
    <w:rsid w:val="00495A44"/>
    <w:rsid w:val="00497070"/>
    <w:rsid w:val="004A23E4"/>
    <w:rsid w:val="004A651E"/>
    <w:rsid w:val="004C0A47"/>
    <w:rsid w:val="004C145D"/>
    <w:rsid w:val="004C3150"/>
    <w:rsid w:val="004C4069"/>
    <w:rsid w:val="004D19F1"/>
    <w:rsid w:val="004D1ADC"/>
    <w:rsid w:val="004E0086"/>
    <w:rsid w:val="004E1442"/>
    <w:rsid w:val="004E5426"/>
    <w:rsid w:val="004F5B32"/>
    <w:rsid w:val="005013F8"/>
    <w:rsid w:val="00505B67"/>
    <w:rsid w:val="00514BD8"/>
    <w:rsid w:val="005152CD"/>
    <w:rsid w:val="00516362"/>
    <w:rsid w:val="005217B8"/>
    <w:rsid w:val="005241DA"/>
    <w:rsid w:val="00524533"/>
    <w:rsid w:val="005249D1"/>
    <w:rsid w:val="005335E8"/>
    <w:rsid w:val="00535657"/>
    <w:rsid w:val="00537249"/>
    <w:rsid w:val="005454D4"/>
    <w:rsid w:val="005459B0"/>
    <w:rsid w:val="005530F0"/>
    <w:rsid w:val="00566264"/>
    <w:rsid w:val="00571A4D"/>
    <w:rsid w:val="00573652"/>
    <w:rsid w:val="00585E44"/>
    <w:rsid w:val="0058694A"/>
    <w:rsid w:val="00593419"/>
    <w:rsid w:val="00593725"/>
    <w:rsid w:val="005B16B3"/>
    <w:rsid w:val="005B6839"/>
    <w:rsid w:val="005B7063"/>
    <w:rsid w:val="005C348E"/>
    <w:rsid w:val="005C5867"/>
    <w:rsid w:val="005D247E"/>
    <w:rsid w:val="005D7247"/>
    <w:rsid w:val="005E1776"/>
    <w:rsid w:val="00604940"/>
    <w:rsid w:val="00610037"/>
    <w:rsid w:val="0061234B"/>
    <w:rsid w:val="0062127E"/>
    <w:rsid w:val="00622A1A"/>
    <w:rsid w:val="00634A1E"/>
    <w:rsid w:val="00636757"/>
    <w:rsid w:val="006374BA"/>
    <w:rsid w:val="0063755F"/>
    <w:rsid w:val="00653887"/>
    <w:rsid w:val="0066587A"/>
    <w:rsid w:val="00670394"/>
    <w:rsid w:val="00672009"/>
    <w:rsid w:val="00673B1B"/>
    <w:rsid w:val="00694B60"/>
    <w:rsid w:val="00696913"/>
    <w:rsid w:val="006C563C"/>
    <w:rsid w:val="006C6669"/>
    <w:rsid w:val="006D2416"/>
    <w:rsid w:val="006D53CD"/>
    <w:rsid w:val="006D68AD"/>
    <w:rsid w:val="006D7615"/>
    <w:rsid w:val="006E09AD"/>
    <w:rsid w:val="006E46EC"/>
    <w:rsid w:val="006F339D"/>
    <w:rsid w:val="006F4286"/>
    <w:rsid w:val="006F56B6"/>
    <w:rsid w:val="00703BC2"/>
    <w:rsid w:val="00705047"/>
    <w:rsid w:val="00706125"/>
    <w:rsid w:val="00707B51"/>
    <w:rsid w:val="00707FCD"/>
    <w:rsid w:val="00714619"/>
    <w:rsid w:val="007151BC"/>
    <w:rsid w:val="007320E4"/>
    <w:rsid w:val="00732CAB"/>
    <w:rsid w:val="00741F6D"/>
    <w:rsid w:val="00744D2E"/>
    <w:rsid w:val="00746EC0"/>
    <w:rsid w:val="00757257"/>
    <w:rsid w:val="00763946"/>
    <w:rsid w:val="00763E85"/>
    <w:rsid w:val="00773D3F"/>
    <w:rsid w:val="007801DB"/>
    <w:rsid w:val="00780D1B"/>
    <w:rsid w:val="00782571"/>
    <w:rsid w:val="0078739C"/>
    <w:rsid w:val="0078793C"/>
    <w:rsid w:val="007909BE"/>
    <w:rsid w:val="0079377E"/>
    <w:rsid w:val="007A2D7E"/>
    <w:rsid w:val="007A3675"/>
    <w:rsid w:val="007A45A8"/>
    <w:rsid w:val="007A62B8"/>
    <w:rsid w:val="007A662F"/>
    <w:rsid w:val="007B2F0F"/>
    <w:rsid w:val="007B3489"/>
    <w:rsid w:val="007B5991"/>
    <w:rsid w:val="007B7D10"/>
    <w:rsid w:val="007C3709"/>
    <w:rsid w:val="007C7177"/>
    <w:rsid w:val="007D48AC"/>
    <w:rsid w:val="007E0399"/>
    <w:rsid w:val="007E4072"/>
    <w:rsid w:val="007F3911"/>
    <w:rsid w:val="007F5680"/>
    <w:rsid w:val="007F76D2"/>
    <w:rsid w:val="008031C1"/>
    <w:rsid w:val="00803914"/>
    <w:rsid w:val="00806D97"/>
    <w:rsid w:val="00811B8A"/>
    <w:rsid w:val="00812EFF"/>
    <w:rsid w:val="0081306A"/>
    <w:rsid w:val="008165A2"/>
    <w:rsid w:val="00830181"/>
    <w:rsid w:val="00836526"/>
    <w:rsid w:val="00837917"/>
    <w:rsid w:val="00843188"/>
    <w:rsid w:val="00847A57"/>
    <w:rsid w:val="008506A8"/>
    <w:rsid w:val="00865989"/>
    <w:rsid w:val="008663C1"/>
    <w:rsid w:val="008667BA"/>
    <w:rsid w:val="00870BD0"/>
    <w:rsid w:val="00875A4E"/>
    <w:rsid w:val="008768FC"/>
    <w:rsid w:val="0087690F"/>
    <w:rsid w:val="008858A9"/>
    <w:rsid w:val="008862E0"/>
    <w:rsid w:val="0089011E"/>
    <w:rsid w:val="00891924"/>
    <w:rsid w:val="00892F33"/>
    <w:rsid w:val="008975E6"/>
    <w:rsid w:val="008A2D20"/>
    <w:rsid w:val="008A36A3"/>
    <w:rsid w:val="008A6C20"/>
    <w:rsid w:val="008B16E3"/>
    <w:rsid w:val="008B1A2E"/>
    <w:rsid w:val="008B1FA6"/>
    <w:rsid w:val="008B3C59"/>
    <w:rsid w:val="008B6AB3"/>
    <w:rsid w:val="008C0348"/>
    <w:rsid w:val="008C148F"/>
    <w:rsid w:val="008C3706"/>
    <w:rsid w:val="008D1E4F"/>
    <w:rsid w:val="008D526C"/>
    <w:rsid w:val="008D58C8"/>
    <w:rsid w:val="008E2D07"/>
    <w:rsid w:val="008E6F26"/>
    <w:rsid w:val="008F2567"/>
    <w:rsid w:val="008F56FE"/>
    <w:rsid w:val="008F65AC"/>
    <w:rsid w:val="00901571"/>
    <w:rsid w:val="00903D14"/>
    <w:rsid w:val="0090494B"/>
    <w:rsid w:val="00920FF5"/>
    <w:rsid w:val="00922782"/>
    <w:rsid w:val="009309E9"/>
    <w:rsid w:val="009310C5"/>
    <w:rsid w:val="0093436F"/>
    <w:rsid w:val="0093617F"/>
    <w:rsid w:val="009408CE"/>
    <w:rsid w:val="00941D58"/>
    <w:rsid w:val="00943074"/>
    <w:rsid w:val="00945788"/>
    <w:rsid w:val="00945F78"/>
    <w:rsid w:val="0095415E"/>
    <w:rsid w:val="009549F8"/>
    <w:rsid w:val="00954D4A"/>
    <w:rsid w:val="00965484"/>
    <w:rsid w:val="009662E1"/>
    <w:rsid w:val="009955A8"/>
    <w:rsid w:val="009A150F"/>
    <w:rsid w:val="009A2ECD"/>
    <w:rsid w:val="009B14F3"/>
    <w:rsid w:val="009B2F2E"/>
    <w:rsid w:val="009B6470"/>
    <w:rsid w:val="009C0E03"/>
    <w:rsid w:val="009C1191"/>
    <w:rsid w:val="009C4D19"/>
    <w:rsid w:val="009C64AF"/>
    <w:rsid w:val="009D75C0"/>
    <w:rsid w:val="009E1A8C"/>
    <w:rsid w:val="009E6ACE"/>
    <w:rsid w:val="009E7B66"/>
    <w:rsid w:val="009E7C63"/>
    <w:rsid w:val="00A04A8A"/>
    <w:rsid w:val="00A06F6C"/>
    <w:rsid w:val="00A0761C"/>
    <w:rsid w:val="00A11492"/>
    <w:rsid w:val="00A11522"/>
    <w:rsid w:val="00A13CB5"/>
    <w:rsid w:val="00A22445"/>
    <w:rsid w:val="00A2315B"/>
    <w:rsid w:val="00A318BC"/>
    <w:rsid w:val="00A34830"/>
    <w:rsid w:val="00A36E6B"/>
    <w:rsid w:val="00A40778"/>
    <w:rsid w:val="00A40BB3"/>
    <w:rsid w:val="00A43D11"/>
    <w:rsid w:val="00A44A2E"/>
    <w:rsid w:val="00A46014"/>
    <w:rsid w:val="00A464D0"/>
    <w:rsid w:val="00A46FB0"/>
    <w:rsid w:val="00A57AD7"/>
    <w:rsid w:val="00A75780"/>
    <w:rsid w:val="00A77CAC"/>
    <w:rsid w:val="00A8191E"/>
    <w:rsid w:val="00A83EA4"/>
    <w:rsid w:val="00A91347"/>
    <w:rsid w:val="00A93705"/>
    <w:rsid w:val="00A93DE7"/>
    <w:rsid w:val="00AA043D"/>
    <w:rsid w:val="00AA13D9"/>
    <w:rsid w:val="00AA51D1"/>
    <w:rsid w:val="00AA5A24"/>
    <w:rsid w:val="00AA6936"/>
    <w:rsid w:val="00AB1521"/>
    <w:rsid w:val="00AB3512"/>
    <w:rsid w:val="00AC300A"/>
    <w:rsid w:val="00AD14B0"/>
    <w:rsid w:val="00AD1C2B"/>
    <w:rsid w:val="00AD7A67"/>
    <w:rsid w:val="00AE00AB"/>
    <w:rsid w:val="00AE0264"/>
    <w:rsid w:val="00AE36B8"/>
    <w:rsid w:val="00AF0774"/>
    <w:rsid w:val="00AF3D0B"/>
    <w:rsid w:val="00AF412F"/>
    <w:rsid w:val="00B0054D"/>
    <w:rsid w:val="00B01841"/>
    <w:rsid w:val="00B041D9"/>
    <w:rsid w:val="00B07CD0"/>
    <w:rsid w:val="00B127A4"/>
    <w:rsid w:val="00B2624E"/>
    <w:rsid w:val="00B27662"/>
    <w:rsid w:val="00B327DA"/>
    <w:rsid w:val="00B33C33"/>
    <w:rsid w:val="00B344E6"/>
    <w:rsid w:val="00B3569A"/>
    <w:rsid w:val="00B3703D"/>
    <w:rsid w:val="00B44B3C"/>
    <w:rsid w:val="00B53CB5"/>
    <w:rsid w:val="00B62B4B"/>
    <w:rsid w:val="00B64DB2"/>
    <w:rsid w:val="00B77DE4"/>
    <w:rsid w:val="00B815B2"/>
    <w:rsid w:val="00B85605"/>
    <w:rsid w:val="00B93E94"/>
    <w:rsid w:val="00BA3C9E"/>
    <w:rsid w:val="00BA4E15"/>
    <w:rsid w:val="00BA652C"/>
    <w:rsid w:val="00BA6B68"/>
    <w:rsid w:val="00BA759C"/>
    <w:rsid w:val="00BC12A1"/>
    <w:rsid w:val="00BC287D"/>
    <w:rsid w:val="00BC44D0"/>
    <w:rsid w:val="00BC6008"/>
    <w:rsid w:val="00BC6052"/>
    <w:rsid w:val="00BC6085"/>
    <w:rsid w:val="00BC620F"/>
    <w:rsid w:val="00BD3F1B"/>
    <w:rsid w:val="00BE4CCB"/>
    <w:rsid w:val="00BE5D9D"/>
    <w:rsid w:val="00BF0EF4"/>
    <w:rsid w:val="00BF652C"/>
    <w:rsid w:val="00C0147F"/>
    <w:rsid w:val="00C1219B"/>
    <w:rsid w:val="00C14103"/>
    <w:rsid w:val="00C22CBF"/>
    <w:rsid w:val="00C275B8"/>
    <w:rsid w:val="00C31001"/>
    <w:rsid w:val="00C3132A"/>
    <w:rsid w:val="00C40EED"/>
    <w:rsid w:val="00C41336"/>
    <w:rsid w:val="00C45BE4"/>
    <w:rsid w:val="00C47015"/>
    <w:rsid w:val="00C540D3"/>
    <w:rsid w:val="00C57815"/>
    <w:rsid w:val="00C62B2A"/>
    <w:rsid w:val="00C64F6C"/>
    <w:rsid w:val="00C66A5F"/>
    <w:rsid w:val="00C67408"/>
    <w:rsid w:val="00C73DBA"/>
    <w:rsid w:val="00C777FF"/>
    <w:rsid w:val="00C7783D"/>
    <w:rsid w:val="00CA01FD"/>
    <w:rsid w:val="00CB340C"/>
    <w:rsid w:val="00CB4783"/>
    <w:rsid w:val="00CB69B3"/>
    <w:rsid w:val="00CC05E8"/>
    <w:rsid w:val="00CC13ED"/>
    <w:rsid w:val="00CC7B5A"/>
    <w:rsid w:val="00CD4810"/>
    <w:rsid w:val="00CD6B92"/>
    <w:rsid w:val="00CD6EE6"/>
    <w:rsid w:val="00CD720D"/>
    <w:rsid w:val="00CD7E27"/>
    <w:rsid w:val="00CE0A4E"/>
    <w:rsid w:val="00CE58A1"/>
    <w:rsid w:val="00CF497F"/>
    <w:rsid w:val="00CF6D5E"/>
    <w:rsid w:val="00CF7199"/>
    <w:rsid w:val="00D00EB6"/>
    <w:rsid w:val="00D04AE1"/>
    <w:rsid w:val="00D21F06"/>
    <w:rsid w:val="00D4179B"/>
    <w:rsid w:val="00D44497"/>
    <w:rsid w:val="00D46B32"/>
    <w:rsid w:val="00D50F3C"/>
    <w:rsid w:val="00D52564"/>
    <w:rsid w:val="00D55723"/>
    <w:rsid w:val="00D56138"/>
    <w:rsid w:val="00D654C8"/>
    <w:rsid w:val="00D66342"/>
    <w:rsid w:val="00D701C7"/>
    <w:rsid w:val="00D76955"/>
    <w:rsid w:val="00D76BA4"/>
    <w:rsid w:val="00D81077"/>
    <w:rsid w:val="00D84E97"/>
    <w:rsid w:val="00D91232"/>
    <w:rsid w:val="00DA420A"/>
    <w:rsid w:val="00DA6CA3"/>
    <w:rsid w:val="00DB3FDD"/>
    <w:rsid w:val="00DB59FB"/>
    <w:rsid w:val="00DB5E07"/>
    <w:rsid w:val="00DC60A3"/>
    <w:rsid w:val="00DC64DD"/>
    <w:rsid w:val="00DC7362"/>
    <w:rsid w:val="00DD0AC6"/>
    <w:rsid w:val="00DD39FB"/>
    <w:rsid w:val="00DD4B14"/>
    <w:rsid w:val="00DE2F80"/>
    <w:rsid w:val="00DF0FCD"/>
    <w:rsid w:val="00E01E76"/>
    <w:rsid w:val="00E12632"/>
    <w:rsid w:val="00E12D48"/>
    <w:rsid w:val="00E2198C"/>
    <w:rsid w:val="00E30207"/>
    <w:rsid w:val="00E30779"/>
    <w:rsid w:val="00E31E43"/>
    <w:rsid w:val="00E34105"/>
    <w:rsid w:val="00E35C9B"/>
    <w:rsid w:val="00E3685C"/>
    <w:rsid w:val="00E374A5"/>
    <w:rsid w:val="00E4346B"/>
    <w:rsid w:val="00E5133F"/>
    <w:rsid w:val="00E513ED"/>
    <w:rsid w:val="00E5450B"/>
    <w:rsid w:val="00E66B8F"/>
    <w:rsid w:val="00E66E14"/>
    <w:rsid w:val="00E72DC8"/>
    <w:rsid w:val="00E73546"/>
    <w:rsid w:val="00E77087"/>
    <w:rsid w:val="00E80008"/>
    <w:rsid w:val="00E80137"/>
    <w:rsid w:val="00E8147E"/>
    <w:rsid w:val="00E83CE9"/>
    <w:rsid w:val="00E84310"/>
    <w:rsid w:val="00E866E9"/>
    <w:rsid w:val="00E869DA"/>
    <w:rsid w:val="00E86F93"/>
    <w:rsid w:val="00E87C0E"/>
    <w:rsid w:val="00E92A29"/>
    <w:rsid w:val="00E93881"/>
    <w:rsid w:val="00E93AF2"/>
    <w:rsid w:val="00E94715"/>
    <w:rsid w:val="00E97328"/>
    <w:rsid w:val="00EA09A5"/>
    <w:rsid w:val="00EA263F"/>
    <w:rsid w:val="00EA770E"/>
    <w:rsid w:val="00EB002A"/>
    <w:rsid w:val="00EB5B53"/>
    <w:rsid w:val="00EB670C"/>
    <w:rsid w:val="00EC0DF7"/>
    <w:rsid w:val="00ED2580"/>
    <w:rsid w:val="00ED2C8D"/>
    <w:rsid w:val="00ED38BB"/>
    <w:rsid w:val="00ED38E0"/>
    <w:rsid w:val="00EE403D"/>
    <w:rsid w:val="00EE61AE"/>
    <w:rsid w:val="00EE7B82"/>
    <w:rsid w:val="00EF1C79"/>
    <w:rsid w:val="00EF3FC7"/>
    <w:rsid w:val="00EF60EB"/>
    <w:rsid w:val="00F00E55"/>
    <w:rsid w:val="00F063D4"/>
    <w:rsid w:val="00F070C5"/>
    <w:rsid w:val="00F127F6"/>
    <w:rsid w:val="00F13F49"/>
    <w:rsid w:val="00F20B0D"/>
    <w:rsid w:val="00F23E74"/>
    <w:rsid w:val="00F240CB"/>
    <w:rsid w:val="00F30F7D"/>
    <w:rsid w:val="00F44BBF"/>
    <w:rsid w:val="00F45AE7"/>
    <w:rsid w:val="00F512D5"/>
    <w:rsid w:val="00F610CC"/>
    <w:rsid w:val="00F6490F"/>
    <w:rsid w:val="00F64DA0"/>
    <w:rsid w:val="00F67352"/>
    <w:rsid w:val="00F721B6"/>
    <w:rsid w:val="00F7557A"/>
    <w:rsid w:val="00F80DC3"/>
    <w:rsid w:val="00F87DCE"/>
    <w:rsid w:val="00F90337"/>
    <w:rsid w:val="00F93209"/>
    <w:rsid w:val="00F94658"/>
    <w:rsid w:val="00F951E2"/>
    <w:rsid w:val="00F96A53"/>
    <w:rsid w:val="00FA0E5B"/>
    <w:rsid w:val="00FB52E8"/>
    <w:rsid w:val="00FB6C6E"/>
    <w:rsid w:val="00FC2470"/>
    <w:rsid w:val="00FC4F6C"/>
    <w:rsid w:val="00FD3270"/>
    <w:rsid w:val="00FD7E10"/>
    <w:rsid w:val="00FE0A5F"/>
    <w:rsid w:val="00FE0ED4"/>
    <w:rsid w:val="00FE3262"/>
    <w:rsid w:val="00FE496D"/>
    <w:rsid w:val="00FE526C"/>
    <w:rsid w:val="00FE7652"/>
    <w:rsid w:val="00FF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2411E"/>
  <w15:docId w15:val="{8638E9FC-F471-4233-AE2E-81EFB04D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uiPriority w:val="99"/>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table" w:customStyle="1" w:styleId="TableGrid1">
    <w:name w:val="Table Grid1"/>
    <w:basedOn w:val="TableNormal"/>
    <w:next w:val="TableGrid"/>
    <w:uiPriority w:val="39"/>
    <w:rsid w:val="004233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84397">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92647797">
      <w:bodyDiv w:val="1"/>
      <w:marLeft w:val="0"/>
      <w:marRight w:val="0"/>
      <w:marTop w:val="0"/>
      <w:marBottom w:val="0"/>
      <w:divBdr>
        <w:top w:val="none" w:sz="0" w:space="0" w:color="auto"/>
        <w:left w:val="none" w:sz="0" w:space="0" w:color="auto"/>
        <w:bottom w:val="none" w:sz="0" w:space="0" w:color="auto"/>
        <w:right w:val="none" w:sz="0" w:space="0" w:color="auto"/>
      </w:divBdr>
    </w:div>
    <w:div w:id="520433924">
      <w:bodyDiv w:val="1"/>
      <w:marLeft w:val="0"/>
      <w:marRight w:val="0"/>
      <w:marTop w:val="0"/>
      <w:marBottom w:val="0"/>
      <w:divBdr>
        <w:top w:val="none" w:sz="0" w:space="0" w:color="auto"/>
        <w:left w:val="none" w:sz="0" w:space="0" w:color="auto"/>
        <w:bottom w:val="none" w:sz="0" w:space="0" w:color="auto"/>
        <w:right w:val="none" w:sz="0" w:space="0" w:color="auto"/>
      </w:divBdr>
    </w:div>
    <w:div w:id="710426453">
      <w:bodyDiv w:val="1"/>
      <w:marLeft w:val="0"/>
      <w:marRight w:val="0"/>
      <w:marTop w:val="0"/>
      <w:marBottom w:val="0"/>
      <w:divBdr>
        <w:top w:val="none" w:sz="0" w:space="0" w:color="auto"/>
        <w:left w:val="none" w:sz="0" w:space="0" w:color="auto"/>
        <w:bottom w:val="none" w:sz="0" w:space="0" w:color="auto"/>
        <w:right w:val="none" w:sz="0" w:space="0" w:color="auto"/>
      </w:divBdr>
    </w:div>
    <w:div w:id="965818325">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260068323">
      <w:bodyDiv w:val="1"/>
      <w:marLeft w:val="0"/>
      <w:marRight w:val="0"/>
      <w:marTop w:val="0"/>
      <w:marBottom w:val="0"/>
      <w:divBdr>
        <w:top w:val="none" w:sz="0" w:space="0" w:color="auto"/>
        <w:left w:val="none" w:sz="0" w:space="0" w:color="auto"/>
        <w:bottom w:val="none" w:sz="0" w:space="0" w:color="auto"/>
        <w:right w:val="none" w:sz="0" w:space="0" w:color="auto"/>
      </w:divBdr>
    </w:div>
    <w:div w:id="1350183739">
      <w:bodyDiv w:val="1"/>
      <w:marLeft w:val="0"/>
      <w:marRight w:val="0"/>
      <w:marTop w:val="0"/>
      <w:marBottom w:val="0"/>
      <w:divBdr>
        <w:top w:val="none" w:sz="0" w:space="0" w:color="auto"/>
        <w:left w:val="none" w:sz="0" w:space="0" w:color="auto"/>
        <w:bottom w:val="none" w:sz="0" w:space="0" w:color="auto"/>
        <w:right w:val="none" w:sz="0" w:space="0" w:color="auto"/>
      </w:divBdr>
    </w:div>
    <w:div w:id="2049405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86F71-A472-4F5D-A973-0598ACA69FE6}">
  <ds:schemaRefs>
    <ds:schemaRef ds:uri="http://schemas.openxmlformats.org/officeDocument/2006/bibliography"/>
  </ds:schemaRefs>
</ds:datastoreItem>
</file>

<file path=customXml/itemProps2.xml><?xml version="1.0" encoding="utf-8"?>
<ds:datastoreItem xmlns:ds="http://schemas.openxmlformats.org/officeDocument/2006/customXml" ds:itemID="{145EB606-0BEA-4481-AE09-38B2170E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3296</Words>
  <Characters>18553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subject/>
  <dc:creator>FRIEDLANDER_M</dc:creator>
  <cp:keywords/>
  <dc:description/>
  <cp:lastModifiedBy>Kincaid, Nora - BLS</cp:lastModifiedBy>
  <cp:revision>2</cp:revision>
  <cp:lastPrinted>2015-11-04T18:50:00Z</cp:lastPrinted>
  <dcterms:created xsi:type="dcterms:W3CDTF">2016-02-02T18:34:00Z</dcterms:created>
  <dcterms:modified xsi:type="dcterms:W3CDTF">2016-02-02T18:34:00Z</dcterms:modified>
</cp:coreProperties>
</file>