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837" w:rsidRDefault="00201131" w:rsidP="00194837">
      <w:pPr>
        <w:rPr>
          <w:rFonts w:ascii="Arial" w:hAnsi="Arial" w:cs="Arial"/>
          <w:b/>
        </w:rPr>
      </w:pPr>
      <w:r>
        <w:rPr>
          <w:rFonts w:ascii="Arial" w:hAnsi="Arial" w:cs="Arial"/>
          <w:b/>
          <w:noProof/>
          <w:snapToGrid/>
        </w:rPr>
        <mc:AlternateContent>
          <mc:Choice Requires="wps">
            <w:drawing>
              <wp:anchor distT="0" distB="0" distL="114300" distR="114300" simplePos="0" relativeHeight="251658240" behindDoc="0" locked="0" layoutInCell="1" allowOverlap="1">
                <wp:simplePos x="0" y="0"/>
                <wp:positionH relativeFrom="column">
                  <wp:posOffset>1993265</wp:posOffset>
                </wp:positionH>
                <wp:positionV relativeFrom="paragraph">
                  <wp:posOffset>10160</wp:posOffset>
                </wp:positionV>
                <wp:extent cx="4378960" cy="1518285"/>
                <wp:effectExtent l="0" t="0" r="21590"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960" cy="1518285"/>
                        </a:xfrm>
                        <a:prstGeom prst="rect">
                          <a:avLst/>
                        </a:prstGeom>
                        <a:solidFill>
                          <a:srgbClr val="FFFFFF"/>
                        </a:solidFill>
                        <a:ln w="9525">
                          <a:solidFill>
                            <a:srgbClr val="000000"/>
                          </a:solidFill>
                          <a:miter lim="800000"/>
                          <a:headEnd/>
                          <a:tailEnd/>
                        </a:ln>
                      </wps:spPr>
                      <wps:txbx>
                        <w:txbxContent>
                          <w:p w:rsidR="005F35F3" w:rsidRPr="006139D7" w:rsidRDefault="005F35F3" w:rsidP="00194837">
                            <w:pPr>
                              <w:rPr>
                                <w:b/>
                                <w:sz w:val="28"/>
                                <w:szCs w:val="28"/>
                              </w:rPr>
                            </w:pPr>
                            <w:r w:rsidRPr="006139D7">
                              <w:rPr>
                                <w:b/>
                                <w:sz w:val="28"/>
                                <w:szCs w:val="28"/>
                              </w:rPr>
                              <w:t>U.S. Energy Information Administration</w:t>
                            </w:r>
                          </w:p>
                          <w:p w:rsidR="005F35F3" w:rsidRDefault="005F35F3" w:rsidP="00194837">
                            <w:pPr>
                              <w:rPr>
                                <w:b/>
                                <w:sz w:val="28"/>
                                <w:szCs w:val="28"/>
                              </w:rPr>
                            </w:pPr>
                            <w:r w:rsidRPr="006139D7">
                              <w:rPr>
                                <w:b/>
                                <w:sz w:val="28"/>
                                <w:szCs w:val="28"/>
                              </w:rPr>
                              <w:t xml:space="preserve">Office of Energy </w:t>
                            </w:r>
                            <w:r w:rsidR="00E85724">
                              <w:rPr>
                                <w:b/>
                                <w:sz w:val="28"/>
                                <w:szCs w:val="28"/>
                              </w:rPr>
                              <w:t>Analysis</w:t>
                            </w:r>
                          </w:p>
                          <w:p w:rsidR="005F35F3" w:rsidRPr="006139D7" w:rsidRDefault="005F35F3" w:rsidP="00194837">
                            <w:pPr>
                              <w:rPr>
                                <w:b/>
                                <w:sz w:val="28"/>
                                <w:szCs w:val="28"/>
                              </w:rPr>
                            </w:pPr>
                            <w:r>
                              <w:rPr>
                                <w:b/>
                                <w:sz w:val="28"/>
                                <w:szCs w:val="28"/>
                              </w:rPr>
                              <w:t xml:space="preserve">Office of </w:t>
                            </w:r>
                            <w:r w:rsidR="00E85724">
                              <w:rPr>
                                <w:b/>
                                <w:sz w:val="28"/>
                                <w:szCs w:val="28"/>
                              </w:rPr>
                              <w:t>Electricity, Coal, Nuclear and Renewables Analysis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95pt;margin-top:.8pt;width:344.8pt;height:1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">
                <v:textbox>
                  <w:txbxContent>
                    <w:p w:rsidR="005F35F3" w:rsidRPr="006139D7" w:rsidRDefault="005F35F3" w:rsidP="00194837">
                      <w:pPr>
                        <w:rPr>
                          <w:b/>
                          <w:sz w:val="28"/>
                          <w:szCs w:val="28"/>
                        </w:rPr>
                      </w:pPr>
                      <w:r w:rsidRPr="006139D7">
                        <w:rPr>
                          <w:b/>
                          <w:sz w:val="28"/>
                          <w:szCs w:val="28"/>
                        </w:rPr>
                        <w:t>U.S. Energy Information Administration</w:t>
                      </w:r>
                    </w:p>
                    <w:p w:rsidR="005F35F3" w:rsidRDefault="005F35F3" w:rsidP="00194837">
                      <w:pPr>
                        <w:rPr>
                          <w:b/>
                          <w:sz w:val="28"/>
                          <w:szCs w:val="28"/>
                        </w:rPr>
                      </w:pPr>
                      <w:r w:rsidRPr="006139D7">
                        <w:rPr>
                          <w:b/>
                          <w:sz w:val="28"/>
                          <w:szCs w:val="28"/>
                        </w:rPr>
                        <w:t xml:space="preserve">Office of Energy </w:t>
                      </w:r>
                      <w:r w:rsidR="00E85724">
                        <w:rPr>
                          <w:b/>
                          <w:sz w:val="28"/>
                          <w:szCs w:val="28"/>
                        </w:rPr>
                        <w:t>Analysis</w:t>
                      </w:r>
                    </w:p>
                    <w:p w:rsidR="005F35F3" w:rsidRPr="006139D7" w:rsidRDefault="005F35F3" w:rsidP="00194837">
                      <w:pPr>
                        <w:rPr>
                          <w:b/>
                          <w:sz w:val="28"/>
                          <w:szCs w:val="28"/>
                        </w:rPr>
                      </w:pPr>
                      <w:r>
                        <w:rPr>
                          <w:b/>
                          <w:sz w:val="28"/>
                          <w:szCs w:val="28"/>
                        </w:rPr>
                        <w:t xml:space="preserve">Office of </w:t>
                      </w:r>
                      <w:r w:rsidR="00E85724">
                        <w:rPr>
                          <w:b/>
                          <w:sz w:val="28"/>
                          <w:szCs w:val="28"/>
                        </w:rPr>
                        <w:t>Electricity, Coal, Nuclear and Renewables Analysis</w:t>
                      </w:r>
                    </w:p>
                  </w:txbxContent>
                </v:textbox>
              </v:shape>
            </w:pict>
          </mc:Fallback>
        </mc:AlternateContent>
      </w:r>
      <w:r w:rsidR="00194837">
        <w:rPr>
          <w:noProof/>
        </w:rPr>
        <w:drawing>
          <wp:inline distT="0" distB="0" distL="0" distR="0">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9"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194837" w:rsidRDefault="00194837" w:rsidP="00194837">
      <w:pPr>
        <w:ind w:left="4320"/>
      </w:pPr>
    </w:p>
    <w:p w:rsidR="00194837" w:rsidRDefault="00194837" w:rsidP="00194837">
      <w:pPr>
        <w:rPr>
          <w:rFonts w:ascii="Arial Black" w:hAnsi="Arial Black"/>
          <w:sz w:val="28"/>
        </w:rPr>
      </w:pPr>
    </w:p>
    <w:p w:rsidR="00194837" w:rsidRPr="006139D7" w:rsidRDefault="00194837" w:rsidP="00194837">
      <w:pPr>
        <w:rPr>
          <w:b/>
          <w:sz w:val="36"/>
          <w:szCs w:val="36"/>
        </w:rPr>
      </w:pPr>
      <w:r w:rsidRPr="006139D7">
        <w:rPr>
          <w:b/>
          <w:sz w:val="36"/>
          <w:szCs w:val="36"/>
        </w:rPr>
        <w:t>Supporting Statement for Survey Clearance</w:t>
      </w:r>
    </w:p>
    <w:p w:rsidR="00194837" w:rsidRDefault="00194837" w:rsidP="00194837">
      <w:pPr>
        <w:rPr>
          <w:b/>
          <w:sz w:val="28"/>
          <w:szCs w:val="28"/>
        </w:rPr>
      </w:pPr>
    </w:p>
    <w:p w:rsidR="005C233F" w:rsidRDefault="009A522C" w:rsidP="00194837">
      <w:pPr>
        <w:rPr>
          <w:b/>
          <w:sz w:val="32"/>
          <w:szCs w:val="32"/>
        </w:rPr>
      </w:pPr>
      <w:r w:rsidRPr="009A522C">
        <w:rPr>
          <w:b/>
          <w:sz w:val="32"/>
          <w:szCs w:val="32"/>
        </w:rPr>
        <w:t>Standard Remittance Advice for Payment of Fees</w:t>
      </w:r>
      <w:r>
        <w:rPr>
          <w:b/>
          <w:sz w:val="32"/>
          <w:szCs w:val="32"/>
        </w:rPr>
        <w:t xml:space="preserve"> </w:t>
      </w:r>
      <w:r w:rsidRPr="009A522C">
        <w:rPr>
          <w:b/>
          <w:sz w:val="32"/>
          <w:szCs w:val="32"/>
        </w:rPr>
        <w:t>(NWPA-830G)</w:t>
      </w:r>
    </w:p>
    <w:p w:rsidR="005C233F" w:rsidRPr="005C233F" w:rsidRDefault="005C233F" w:rsidP="00194837">
      <w:pPr>
        <w:rPr>
          <w:b/>
          <w:sz w:val="32"/>
          <w:szCs w:val="32"/>
        </w:rPr>
      </w:pPr>
      <w:r>
        <w:rPr>
          <w:b/>
          <w:sz w:val="32"/>
          <w:szCs w:val="32"/>
        </w:rPr>
        <w:t xml:space="preserve">OMB No. </w:t>
      </w:r>
      <w:r w:rsidR="009A522C">
        <w:rPr>
          <w:b/>
          <w:sz w:val="32"/>
          <w:szCs w:val="32"/>
        </w:rPr>
        <w:t>1901-0260</w:t>
      </w:r>
    </w:p>
    <w:p w:rsidR="00194837" w:rsidRPr="006139D7" w:rsidRDefault="00194837" w:rsidP="001948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tblGrid>
      <w:tr w:rsidR="00194837" w:rsidRPr="006139D7" w:rsidTr="00A42A18">
        <w:tc>
          <w:tcPr>
            <w:tcW w:w="7488" w:type="dxa"/>
            <w:vAlign w:val="center"/>
          </w:tcPr>
          <w:p w:rsidR="005C233F" w:rsidRDefault="00194837" w:rsidP="00A42A18">
            <w:pPr>
              <w:spacing w:before="360" w:after="360"/>
              <w:rPr>
                <w:b/>
                <w:sz w:val="32"/>
                <w:szCs w:val="32"/>
              </w:rPr>
            </w:pPr>
            <w:r w:rsidRPr="005C233F">
              <w:rPr>
                <w:b/>
                <w:sz w:val="32"/>
                <w:szCs w:val="32"/>
              </w:rPr>
              <w:t>Background and Proposal</w:t>
            </w:r>
          </w:p>
          <w:p w:rsidR="00194837" w:rsidRPr="006139D7" w:rsidRDefault="005C233F" w:rsidP="005C233F">
            <w:pPr>
              <w:spacing w:before="360" w:after="360"/>
              <w:rPr>
                <w:b/>
                <w:sz w:val="32"/>
                <w:szCs w:val="32"/>
              </w:rPr>
            </w:pPr>
            <w:r>
              <w:rPr>
                <w:b/>
                <w:sz w:val="32"/>
                <w:szCs w:val="32"/>
              </w:rPr>
              <w:t>Part A</w:t>
            </w:r>
          </w:p>
        </w:tc>
      </w:tr>
    </w:tbl>
    <w:p w:rsidR="00194837" w:rsidRPr="006139D7" w:rsidRDefault="00194837" w:rsidP="00194837"/>
    <w:p w:rsidR="00194837" w:rsidRPr="006139D7" w:rsidRDefault="00194837" w:rsidP="00194837"/>
    <w:p w:rsidR="00194837" w:rsidRPr="006139D7" w:rsidRDefault="00194837" w:rsidP="00194837">
      <w:r w:rsidRPr="006139D7">
        <w:t>Original Date:</w:t>
      </w:r>
      <w:r w:rsidR="005C233F">
        <w:t xml:space="preserve"> </w:t>
      </w:r>
      <w:r w:rsidR="009A522C">
        <w:t>May 2015</w:t>
      </w:r>
    </w:p>
    <w:p w:rsidR="009828E8" w:rsidRDefault="009828E8" w:rsidP="009828E8">
      <w:pPr>
        <w:rPr>
          <w:b/>
        </w:rPr>
      </w:pPr>
    </w:p>
    <w:p w:rsidR="009828E8" w:rsidRDefault="009828E8" w:rsidP="009828E8">
      <w:pPr>
        <w:rPr>
          <w:b/>
        </w:rPr>
      </w:pPr>
    </w:p>
    <w:p w:rsidR="009828E8" w:rsidRDefault="009828E8" w:rsidP="009828E8">
      <w:pPr>
        <w:rPr>
          <w:b/>
        </w:rPr>
      </w:pPr>
    </w:p>
    <w:p w:rsidR="009828E8" w:rsidRDefault="009828E8" w:rsidP="009828E8">
      <w:pPr>
        <w:rPr>
          <w:b/>
        </w:rPr>
        <w:sectPr w:rsidR="009828E8" w:rsidSect="003634CC">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1440" w:footer="1440" w:gutter="0"/>
          <w:cols w:space="720"/>
          <w:noEndnote/>
        </w:sectPr>
      </w:pPr>
    </w:p>
    <w:sdt>
      <w:sdtPr>
        <w:rPr>
          <w:rFonts w:ascii="Times New Roman" w:eastAsia="Times New Roman" w:hAnsi="Times New Roman" w:cs="Times New Roman"/>
          <w:b w:val="0"/>
          <w:bCs w:val="0"/>
          <w:snapToGrid w:val="0"/>
          <w:color w:val="auto"/>
          <w:sz w:val="24"/>
          <w:szCs w:val="20"/>
        </w:rPr>
        <w:id w:val="31527071"/>
        <w:docPartObj>
          <w:docPartGallery w:val="Table of Contents"/>
          <w:docPartUnique/>
        </w:docPartObj>
      </w:sdtPr>
      <w:sdtEndPr>
        <w:rPr>
          <w:sz w:val="18"/>
          <w:szCs w:val="18"/>
        </w:rPr>
      </w:sdtEndPr>
      <w:sdtContent>
        <w:p w:rsidR="00E24060" w:rsidRPr="00B06DBB" w:rsidRDefault="00E24060" w:rsidP="00B06DBB">
          <w:pPr>
            <w:pStyle w:val="TOCHeading"/>
            <w:spacing w:before="200" w:after="200" w:line="240" w:lineRule="auto"/>
            <w:rPr>
              <w:rFonts w:ascii="Times New Roman" w:hAnsi="Times New Roman" w:cs="Times New Roman"/>
              <w:color w:val="auto"/>
            </w:rPr>
          </w:pPr>
          <w:r w:rsidRPr="00B06DBB">
            <w:rPr>
              <w:rFonts w:ascii="Times New Roman" w:hAnsi="Times New Roman" w:cs="Times New Roman"/>
              <w:color w:val="auto"/>
            </w:rPr>
            <w:t>Table of Contents</w:t>
          </w:r>
        </w:p>
        <w:p w:rsidR="00BC1FD0" w:rsidRDefault="00186E52">
          <w:pPr>
            <w:pStyle w:val="TOC1"/>
            <w:tabs>
              <w:tab w:val="right" w:leader="dot" w:pos="9350"/>
            </w:tabs>
            <w:rPr>
              <w:rFonts w:asciiTheme="minorHAnsi" w:eastAsiaTheme="minorEastAsia" w:hAnsiTheme="minorHAnsi" w:cstheme="minorBidi"/>
              <w:noProof/>
              <w:snapToGrid/>
              <w:sz w:val="22"/>
              <w:szCs w:val="22"/>
            </w:rPr>
          </w:pPr>
          <w:r w:rsidRPr="00483744">
            <w:rPr>
              <w:sz w:val="22"/>
              <w:szCs w:val="22"/>
            </w:rPr>
            <w:fldChar w:fldCharType="begin"/>
          </w:r>
          <w:r w:rsidR="00E24060" w:rsidRPr="00483744">
            <w:rPr>
              <w:sz w:val="22"/>
              <w:szCs w:val="22"/>
            </w:rPr>
            <w:instrText xml:space="preserve"> TOC \o "1-3" \h \z \u </w:instrText>
          </w:r>
          <w:r w:rsidRPr="00483744">
            <w:rPr>
              <w:sz w:val="22"/>
              <w:szCs w:val="22"/>
            </w:rPr>
            <w:fldChar w:fldCharType="separate"/>
          </w:r>
          <w:hyperlink w:anchor="_Toc418074677" w:history="1">
            <w:r w:rsidR="00BC1FD0" w:rsidRPr="005A29BE">
              <w:rPr>
                <w:rStyle w:val="Hyperlink"/>
                <w:noProof/>
              </w:rPr>
              <w:t>INTRODUCTION</w:t>
            </w:r>
            <w:r w:rsidR="00BC1FD0">
              <w:rPr>
                <w:noProof/>
                <w:webHidden/>
              </w:rPr>
              <w:tab/>
            </w:r>
            <w:r w:rsidR="00BC1FD0">
              <w:rPr>
                <w:noProof/>
                <w:webHidden/>
              </w:rPr>
              <w:fldChar w:fldCharType="begin"/>
            </w:r>
            <w:r w:rsidR="00BC1FD0">
              <w:rPr>
                <w:noProof/>
                <w:webHidden/>
              </w:rPr>
              <w:instrText xml:space="preserve"> PAGEREF _Toc418074677 \h </w:instrText>
            </w:r>
            <w:r w:rsidR="00BC1FD0">
              <w:rPr>
                <w:noProof/>
                <w:webHidden/>
              </w:rPr>
            </w:r>
            <w:r w:rsidR="00BC1FD0">
              <w:rPr>
                <w:noProof/>
                <w:webHidden/>
              </w:rPr>
              <w:fldChar w:fldCharType="separate"/>
            </w:r>
            <w:r w:rsidR="008E7117">
              <w:rPr>
                <w:noProof/>
                <w:webHidden/>
              </w:rPr>
              <w:t>1</w:t>
            </w:r>
            <w:r w:rsidR="00BC1FD0">
              <w:rPr>
                <w:noProof/>
                <w:webHidden/>
              </w:rPr>
              <w:fldChar w:fldCharType="end"/>
            </w:r>
          </w:hyperlink>
        </w:p>
        <w:p w:rsidR="00BC1FD0" w:rsidRDefault="0061779F">
          <w:pPr>
            <w:pStyle w:val="TOC1"/>
            <w:tabs>
              <w:tab w:val="right" w:leader="dot" w:pos="9350"/>
            </w:tabs>
            <w:rPr>
              <w:rFonts w:asciiTheme="minorHAnsi" w:eastAsiaTheme="minorEastAsia" w:hAnsiTheme="minorHAnsi" w:cstheme="minorBidi"/>
              <w:noProof/>
              <w:snapToGrid/>
              <w:sz w:val="22"/>
              <w:szCs w:val="22"/>
            </w:rPr>
          </w:pPr>
          <w:hyperlink w:anchor="_Toc418074678" w:history="1">
            <w:r w:rsidR="00BC1FD0" w:rsidRPr="005A29BE">
              <w:rPr>
                <w:rStyle w:val="Hyperlink"/>
                <w:noProof/>
              </w:rPr>
              <w:t>PROPOSED CHANGES TO NWPA-830G DATA COLLECTION</w:t>
            </w:r>
            <w:r w:rsidR="00BC1FD0">
              <w:rPr>
                <w:noProof/>
                <w:webHidden/>
              </w:rPr>
              <w:tab/>
            </w:r>
            <w:r w:rsidR="00BC1FD0">
              <w:rPr>
                <w:noProof/>
                <w:webHidden/>
              </w:rPr>
              <w:fldChar w:fldCharType="begin"/>
            </w:r>
            <w:r w:rsidR="00BC1FD0">
              <w:rPr>
                <w:noProof/>
                <w:webHidden/>
              </w:rPr>
              <w:instrText xml:space="preserve"> PAGEREF _Toc418074678 \h </w:instrText>
            </w:r>
            <w:r w:rsidR="00BC1FD0">
              <w:rPr>
                <w:noProof/>
                <w:webHidden/>
              </w:rPr>
            </w:r>
            <w:r w:rsidR="00BC1FD0">
              <w:rPr>
                <w:noProof/>
                <w:webHidden/>
              </w:rPr>
              <w:fldChar w:fldCharType="separate"/>
            </w:r>
            <w:r w:rsidR="008E7117">
              <w:rPr>
                <w:noProof/>
                <w:webHidden/>
              </w:rPr>
              <w:t>2</w:t>
            </w:r>
            <w:r w:rsidR="00BC1FD0">
              <w:rPr>
                <w:noProof/>
                <w:webHidden/>
              </w:rPr>
              <w:fldChar w:fldCharType="end"/>
            </w:r>
          </w:hyperlink>
        </w:p>
        <w:p w:rsidR="00BC1FD0" w:rsidRDefault="0061779F">
          <w:pPr>
            <w:pStyle w:val="TOC1"/>
            <w:tabs>
              <w:tab w:val="right" w:leader="dot" w:pos="9350"/>
            </w:tabs>
            <w:rPr>
              <w:rFonts w:asciiTheme="minorHAnsi" w:eastAsiaTheme="minorEastAsia" w:hAnsiTheme="minorHAnsi" w:cstheme="minorBidi"/>
              <w:noProof/>
              <w:snapToGrid/>
              <w:sz w:val="22"/>
              <w:szCs w:val="22"/>
            </w:rPr>
          </w:pPr>
          <w:hyperlink w:anchor="_Toc418074679" w:history="1">
            <w:r w:rsidR="00BC1FD0" w:rsidRPr="005A29BE">
              <w:rPr>
                <w:rStyle w:val="Hyperlink"/>
                <w:noProof/>
              </w:rPr>
              <w:t>JUSTIFICATION</w:t>
            </w:r>
            <w:r w:rsidR="00BC1FD0">
              <w:rPr>
                <w:noProof/>
                <w:webHidden/>
              </w:rPr>
              <w:tab/>
            </w:r>
            <w:r w:rsidR="00BC1FD0">
              <w:rPr>
                <w:noProof/>
                <w:webHidden/>
              </w:rPr>
              <w:fldChar w:fldCharType="begin"/>
            </w:r>
            <w:r w:rsidR="00BC1FD0">
              <w:rPr>
                <w:noProof/>
                <w:webHidden/>
              </w:rPr>
              <w:instrText xml:space="preserve"> PAGEREF _Toc418074679 \h </w:instrText>
            </w:r>
            <w:r w:rsidR="00BC1FD0">
              <w:rPr>
                <w:noProof/>
                <w:webHidden/>
              </w:rPr>
            </w:r>
            <w:r w:rsidR="00BC1FD0">
              <w:rPr>
                <w:noProof/>
                <w:webHidden/>
              </w:rPr>
              <w:fldChar w:fldCharType="separate"/>
            </w:r>
            <w:r w:rsidR="008E7117">
              <w:rPr>
                <w:noProof/>
                <w:webHidden/>
              </w:rPr>
              <w:t>3</w:t>
            </w:r>
            <w:r w:rsidR="00BC1FD0">
              <w:rPr>
                <w:noProof/>
                <w:webHidden/>
              </w:rPr>
              <w:fldChar w:fldCharType="end"/>
            </w:r>
          </w:hyperlink>
        </w:p>
        <w:p w:rsidR="00BC1FD0" w:rsidRDefault="0061779F">
          <w:pPr>
            <w:pStyle w:val="TOC2"/>
            <w:tabs>
              <w:tab w:val="left" w:pos="660"/>
              <w:tab w:val="right" w:leader="dot" w:pos="9350"/>
            </w:tabs>
            <w:rPr>
              <w:rFonts w:asciiTheme="minorHAnsi" w:eastAsiaTheme="minorEastAsia" w:hAnsiTheme="minorHAnsi" w:cstheme="minorBidi"/>
              <w:noProof/>
              <w:snapToGrid/>
              <w:sz w:val="22"/>
              <w:szCs w:val="22"/>
            </w:rPr>
          </w:pPr>
          <w:hyperlink w:anchor="_Toc418074680" w:history="1">
            <w:r w:rsidR="00BC1FD0" w:rsidRPr="005A29BE">
              <w:rPr>
                <w:rStyle w:val="Hyperlink"/>
                <w:noProof/>
              </w:rPr>
              <w:t>1.</w:t>
            </w:r>
            <w:r w:rsidR="00BC1FD0">
              <w:rPr>
                <w:rFonts w:asciiTheme="minorHAnsi" w:eastAsiaTheme="minorEastAsia" w:hAnsiTheme="minorHAnsi" w:cstheme="minorBidi"/>
                <w:noProof/>
                <w:snapToGrid/>
                <w:sz w:val="22"/>
                <w:szCs w:val="22"/>
              </w:rPr>
              <w:tab/>
            </w:r>
            <w:r w:rsidR="00BC1FD0" w:rsidRPr="005A29BE">
              <w:rPr>
                <w:rStyle w:val="Hyperlink"/>
                <w:noProof/>
              </w:rPr>
              <w:t>Legal Authority</w:t>
            </w:r>
            <w:r w:rsidR="00BC1FD0">
              <w:rPr>
                <w:noProof/>
                <w:webHidden/>
              </w:rPr>
              <w:tab/>
            </w:r>
            <w:r w:rsidR="00BC1FD0">
              <w:rPr>
                <w:noProof/>
                <w:webHidden/>
              </w:rPr>
              <w:fldChar w:fldCharType="begin"/>
            </w:r>
            <w:r w:rsidR="00BC1FD0">
              <w:rPr>
                <w:noProof/>
                <w:webHidden/>
              </w:rPr>
              <w:instrText xml:space="preserve"> PAGEREF _Toc418074680 \h </w:instrText>
            </w:r>
            <w:r w:rsidR="00BC1FD0">
              <w:rPr>
                <w:noProof/>
                <w:webHidden/>
              </w:rPr>
            </w:r>
            <w:r w:rsidR="00BC1FD0">
              <w:rPr>
                <w:noProof/>
                <w:webHidden/>
              </w:rPr>
              <w:fldChar w:fldCharType="separate"/>
            </w:r>
            <w:r w:rsidR="008E7117">
              <w:rPr>
                <w:noProof/>
                <w:webHidden/>
              </w:rPr>
              <w:t>3</w:t>
            </w:r>
            <w:r w:rsidR="00BC1FD0">
              <w:rPr>
                <w:noProof/>
                <w:webHidden/>
              </w:rPr>
              <w:fldChar w:fldCharType="end"/>
            </w:r>
          </w:hyperlink>
        </w:p>
        <w:p w:rsidR="00BC1FD0" w:rsidRDefault="0061779F">
          <w:pPr>
            <w:pStyle w:val="TOC2"/>
            <w:tabs>
              <w:tab w:val="left" w:pos="660"/>
              <w:tab w:val="right" w:leader="dot" w:pos="9350"/>
            </w:tabs>
            <w:rPr>
              <w:rFonts w:asciiTheme="minorHAnsi" w:eastAsiaTheme="minorEastAsia" w:hAnsiTheme="minorHAnsi" w:cstheme="minorBidi"/>
              <w:noProof/>
              <w:snapToGrid/>
              <w:sz w:val="22"/>
              <w:szCs w:val="22"/>
            </w:rPr>
          </w:pPr>
          <w:hyperlink w:anchor="_Toc418074681" w:history="1">
            <w:r w:rsidR="00BC1FD0" w:rsidRPr="005A29BE">
              <w:rPr>
                <w:rStyle w:val="Hyperlink"/>
                <w:noProof/>
              </w:rPr>
              <w:t>2.</w:t>
            </w:r>
            <w:r w:rsidR="00BC1FD0">
              <w:rPr>
                <w:rFonts w:asciiTheme="minorHAnsi" w:eastAsiaTheme="minorEastAsia" w:hAnsiTheme="minorHAnsi" w:cstheme="minorBidi"/>
                <w:noProof/>
                <w:snapToGrid/>
                <w:sz w:val="22"/>
                <w:szCs w:val="22"/>
              </w:rPr>
              <w:tab/>
            </w:r>
            <w:r w:rsidR="00BC1FD0" w:rsidRPr="005A29BE">
              <w:rPr>
                <w:rStyle w:val="Hyperlink"/>
                <w:noProof/>
              </w:rPr>
              <w:t>Needs and Uses of Data</w:t>
            </w:r>
            <w:r w:rsidR="00BC1FD0">
              <w:rPr>
                <w:noProof/>
                <w:webHidden/>
              </w:rPr>
              <w:tab/>
            </w:r>
            <w:r w:rsidR="00BC1FD0">
              <w:rPr>
                <w:noProof/>
                <w:webHidden/>
              </w:rPr>
              <w:fldChar w:fldCharType="begin"/>
            </w:r>
            <w:r w:rsidR="00BC1FD0">
              <w:rPr>
                <w:noProof/>
                <w:webHidden/>
              </w:rPr>
              <w:instrText xml:space="preserve"> PAGEREF _Toc418074681 \h </w:instrText>
            </w:r>
            <w:r w:rsidR="00BC1FD0">
              <w:rPr>
                <w:noProof/>
                <w:webHidden/>
              </w:rPr>
            </w:r>
            <w:r w:rsidR="00BC1FD0">
              <w:rPr>
                <w:noProof/>
                <w:webHidden/>
              </w:rPr>
              <w:fldChar w:fldCharType="separate"/>
            </w:r>
            <w:r w:rsidR="008E7117">
              <w:rPr>
                <w:noProof/>
                <w:webHidden/>
              </w:rPr>
              <w:t>4</w:t>
            </w:r>
            <w:r w:rsidR="00BC1FD0">
              <w:rPr>
                <w:noProof/>
                <w:webHidden/>
              </w:rPr>
              <w:fldChar w:fldCharType="end"/>
            </w:r>
          </w:hyperlink>
        </w:p>
        <w:p w:rsidR="00BC1FD0" w:rsidRDefault="0061779F">
          <w:pPr>
            <w:pStyle w:val="TOC2"/>
            <w:tabs>
              <w:tab w:val="left" w:pos="660"/>
              <w:tab w:val="right" w:leader="dot" w:pos="9350"/>
            </w:tabs>
            <w:rPr>
              <w:rFonts w:asciiTheme="minorHAnsi" w:eastAsiaTheme="minorEastAsia" w:hAnsiTheme="minorHAnsi" w:cstheme="minorBidi"/>
              <w:noProof/>
              <w:snapToGrid/>
              <w:sz w:val="22"/>
              <w:szCs w:val="22"/>
            </w:rPr>
          </w:pPr>
          <w:hyperlink w:anchor="_Toc418074682" w:history="1">
            <w:r w:rsidR="00BC1FD0" w:rsidRPr="005A29BE">
              <w:rPr>
                <w:rStyle w:val="Hyperlink"/>
                <w:noProof/>
              </w:rPr>
              <w:t>3.</w:t>
            </w:r>
            <w:r w:rsidR="00BC1FD0">
              <w:rPr>
                <w:rFonts w:asciiTheme="minorHAnsi" w:eastAsiaTheme="minorEastAsia" w:hAnsiTheme="minorHAnsi" w:cstheme="minorBidi"/>
                <w:noProof/>
                <w:snapToGrid/>
                <w:sz w:val="22"/>
                <w:szCs w:val="22"/>
              </w:rPr>
              <w:tab/>
            </w:r>
            <w:r w:rsidR="00BC1FD0" w:rsidRPr="005A29BE">
              <w:rPr>
                <w:rStyle w:val="Hyperlink"/>
                <w:noProof/>
              </w:rPr>
              <w:t>Use of Information Technology</w:t>
            </w:r>
            <w:r w:rsidR="00BC1FD0">
              <w:rPr>
                <w:noProof/>
                <w:webHidden/>
              </w:rPr>
              <w:tab/>
            </w:r>
            <w:r w:rsidR="00BC1FD0">
              <w:rPr>
                <w:noProof/>
                <w:webHidden/>
              </w:rPr>
              <w:fldChar w:fldCharType="begin"/>
            </w:r>
            <w:r w:rsidR="00BC1FD0">
              <w:rPr>
                <w:noProof/>
                <w:webHidden/>
              </w:rPr>
              <w:instrText xml:space="preserve"> PAGEREF _Toc418074682 \h </w:instrText>
            </w:r>
            <w:r w:rsidR="00BC1FD0">
              <w:rPr>
                <w:noProof/>
                <w:webHidden/>
              </w:rPr>
            </w:r>
            <w:r w:rsidR="00BC1FD0">
              <w:rPr>
                <w:noProof/>
                <w:webHidden/>
              </w:rPr>
              <w:fldChar w:fldCharType="separate"/>
            </w:r>
            <w:r w:rsidR="008E7117">
              <w:rPr>
                <w:noProof/>
                <w:webHidden/>
              </w:rPr>
              <w:t>5</w:t>
            </w:r>
            <w:r w:rsidR="00BC1FD0">
              <w:rPr>
                <w:noProof/>
                <w:webHidden/>
              </w:rPr>
              <w:fldChar w:fldCharType="end"/>
            </w:r>
          </w:hyperlink>
        </w:p>
        <w:p w:rsidR="00BC1FD0" w:rsidRDefault="0061779F">
          <w:pPr>
            <w:pStyle w:val="TOC2"/>
            <w:tabs>
              <w:tab w:val="left" w:pos="660"/>
              <w:tab w:val="right" w:leader="dot" w:pos="9350"/>
            </w:tabs>
            <w:rPr>
              <w:rFonts w:asciiTheme="minorHAnsi" w:eastAsiaTheme="minorEastAsia" w:hAnsiTheme="minorHAnsi" w:cstheme="minorBidi"/>
              <w:noProof/>
              <w:snapToGrid/>
              <w:sz w:val="22"/>
              <w:szCs w:val="22"/>
            </w:rPr>
          </w:pPr>
          <w:hyperlink w:anchor="_Toc418074683" w:history="1">
            <w:r w:rsidR="00BC1FD0" w:rsidRPr="005A29BE">
              <w:rPr>
                <w:rStyle w:val="Hyperlink"/>
                <w:noProof/>
              </w:rPr>
              <w:t>4.</w:t>
            </w:r>
            <w:r w:rsidR="00BC1FD0">
              <w:rPr>
                <w:rFonts w:asciiTheme="minorHAnsi" w:eastAsiaTheme="minorEastAsia" w:hAnsiTheme="minorHAnsi" w:cstheme="minorBidi"/>
                <w:noProof/>
                <w:snapToGrid/>
                <w:sz w:val="22"/>
                <w:szCs w:val="22"/>
              </w:rPr>
              <w:tab/>
            </w:r>
            <w:r w:rsidR="00BC1FD0" w:rsidRPr="005A29BE">
              <w:rPr>
                <w:rStyle w:val="Hyperlink"/>
                <w:noProof/>
              </w:rPr>
              <w:t>Efforts to Identify Duplication and Analysis of Similar Existing Information</w:t>
            </w:r>
            <w:r w:rsidR="00BC1FD0">
              <w:rPr>
                <w:noProof/>
                <w:webHidden/>
              </w:rPr>
              <w:tab/>
            </w:r>
            <w:r w:rsidR="00BC1FD0">
              <w:rPr>
                <w:noProof/>
                <w:webHidden/>
              </w:rPr>
              <w:fldChar w:fldCharType="begin"/>
            </w:r>
            <w:r w:rsidR="00BC1FD0">
              <w:rPr>
                <w:noProof/>
                <w:webHidden/>
              </w:rPr>
              <w:instrText xml:space="preserve"> PAGEREF _Toc418074683 \h </w:instrText>
            </w:r>
            <w:r w:rsidR="00BC1FD0">
              <w:rPr>
                <w:noProof/>
                <w:webHidden/>
              </w:rPr>
            </w:r>
            <w:r w:rsidR="00BC1FD0">
              <w:rPr>
                <w:noProof/>
                <w:webHidden/>
              </w:rPr>
              <w:fldChar w:fldCharType="separate"/>
            </w:r>
            <w:r w:rsidR="008E7117">
              <w:rPr>
                <w:noProof/>
                <w:webHidden/>
              </w:rPr>
              <w:t>5</w:t>
            </w:r>
            <w:r w:rsidR="00BC1FD0">
              <w:rPr>
                <w:noProof/>
                <w:webHidden/>
              </w:rPr>
              <w:fldChar w:fldCharType="end"/>
            </w:r>
          </w:hyperlink>
        </w:p>
        <w:p w:rsidR="00BC1FD0" w:rsidRDefault="0061779F">
          <w:pPr>
            <w:pStyle w:val="TOC2"/>
            <w:tabs>
              <w:tab w:val="left" w:pos="660"/>
              <w:tab w:val="right" w:leader="dot" w:pos="9350"/>
            </w:tabs>
            <w:rPr>
              <w:rFonts w:asciiTheme="minorHAnsi" w:eastAsiaTheme="minorEastAsia" w:hAnsiTheme="minorHAnsi" w:cstheme="minorBidi"/>
              <w:noProof/>
              <w:snapToGrid/>
              <w:sz w:val="22"/>
              <w:szCs w:val="22"/>
            </w:rPr>
          </w:pPr>
          <w:hyperlink w:anchor="_Toc418074684" w:history="1">
            <w:r w:rsidR="00BC1FD0" w:rsidRPr="005A29BE">
              <w:rPr>
                <w:rStyle w:val="Hyperlink"/>
                <w:noProof/>
              </w:rPr>
              <w:t>5.</w:t>
            </w:r>
            <w:r w:rsidR="00BC1FD0">
              <w:rPr>
                <w:rFonts w:asciiTheme="minorHAnsi" w:eastAsiaTheme="minorEastAsia" w:hAnsiTheme="minorHAnsi" w:cstheme="minorBidi"/>
                <w:noProof/>
                <w:snapToGrid/>
                <w:sz w:val="22"/>
                <w:szCs w:val="22"/>
              </w:rPr>
              <w:tab/>
            </w:r>
            <w:r w:rsidR="00BC1FD0" w:rsidRPr="005A29BE">
              <w:rPr>
                <w:rStyle w:val="Hyperlink"/>
                <w:noProof/>
              </w:rPr>
              <w:t>Burden Reduction for Small Businesses and Small Entities</w:t>
            </w:r>
            <w:r w:rsidR="00BC1FD0">
              <w:rPr>
                <w:noProof/>
                <w:webHidden/>
              </w:rPr>
              <w:tab/>
            </w:r>
            <w:r w:rsidR="00BC1FD0">
              <w:rPr>
                <w:noProof/>
                <w:webHidden/>
              </w:rPr>
              <w:fldChar w:fldCharType="begin"/>
            </w:r>
            <w:r w:rsidR="00BC1FD0">
              <w:rPr>
                <w:noProof/>
                <w:webHidden/>
              </w:rPr>
              <w:instrText xml:space="preserve"> PAGEREF _Toc418074684 \h </w:instrText>
            </w:r>
            <w:r w:rsidR="00BC1FD0">
              <w:rPr>
                <w:noProof/>
                <w:webHidden/>
              </w:rPr>
            </w:r>
            <w:r w:rsidR="00BC1FD0">
              <w:rPr>
                <w:noProof/>
                <w:webHidden/>
              </w:rPr>
              <w:fldChar w:fldCharType="separate"/>
            </w:r>
            <w:r w:rsidR="008E7117">
              <w:rPr>
                <w:noProof/>
                <w:webHidden/>
              </w:rPr>
              <w:t>6</w:t>
            </w:r>
            <w:r w:rsidR="00BC1FD0">
              <w:rPr>
                <w:noProof/>
                <w:webHidden/>
              </w:rPr>
              <w:fldChar w:fldCharType="end"/>
            </w:r>
          </w:hyperlink>
        </w:p>
        <w:p w:rsidR="00BC1FD0" w:rsidRDefault="0061779F">
          <w:pPr>
            <w:pStyle w:val="TOC2"/>
            <w:tabs>
              <w:tab w:val="left" w:pos="660"/>
              <w:tab w:val="right" w:leader="dot" w:pos="9350"/>
            </w:tabs>
            <w:rPr>
              <w:rFonts w:asciiTheme="minorHAnsi" w:eastAsiaTheme="minorEastAsia" w:hAnsiTheme="minorHAnsi" w:cstheme="minorBidi"/>
              <w:noProof/>
              <w:snapToGrid/>
              <w:sz w:val="22"/>
              <w:szCs w:val="22"/>
            </w:rPr>
          </w:pPr>
          <w:hyperlink w:anchor="_Toc418074685" w:history="1">
            <w:r w:rsidR="00BC1FD0" w:rsidRPr="005A29BE">
              <w:rPr>
                <w:rStyle w:val="Hyperlink"/>
                <w:noProof/>
              </w:rPr>
              <w:t>6.</w:t>
            </w:r>
            <w:r w:rsidR="00BC1FD0">
              <w:rPr>
                <w:rFonts w:asciiTheme="minorHAnsi" w:eastAsiaTheme="minorEastAsia" w:hAnsiTheme="minorHAnsi" w:cstheme="minorBidi"/>
                <w:noProof/>
                <w:snapToGrid/>
                <w:sz w:val="22"/>
                <w:szCs w:val="22"/>
              </w:rPr>
              <w:tab/>
            </w:r>
            <w:r w:rsidR="00BC1FD0" w:rsidRPr="005A29BE">
              <w:rPr>
                <w:rStyle w:val="Hyperlink"/>
                <w:noProof/>
              </w:rPr>
              <w:t>Consequences of Less Frequent Reporting</w:t>
            </w:r>
            <w:r w:rsidR="00BC1FD0">
              <w:rPr>
                <w:noProof/>
                <w:webHidden/>
              </w:rPr>
              <w:tab/>
            </w:r>
            <w:r w:rsidR="00BC1FD0">
              <w:rPr>
                <w:noProof/>
                <w:webHidden/>
              </w:rPr>
              <w:fldChar w:fldCharType="begin"/>
            </w:r>
            <w:r w:rsidR="00BC1FD0">
              <w:rPr>
                <w:noProof/>
                <w:webHidden/>
              </w:rPr>
              <w:instrText xml:space="preserve"> PAGEREF _Toc418074685 \h </w:instrText>
            </w:r>
            <w:r w:rsidR="00BC1FD0">
              <w:rPr>
                <w:noProof/>
                <w:webHidden/>
              </w:rPr>
            </w:r>
            <w:r w:rsidR="00BC1FD0">
              <w:rPr>
                <w:noProof/>
                <w:webHidden/>
              </w:rPr>
              <w:fldChar w:fldCharType="separate"/>
            </w:r>
            <w:r w:rsidR="008E7117">
              <w:rPr>
                <w:noProof/>
                <w:webHidden/>
              </w:rPr>
              <w:t>6</w:t>
            </w:r>
            <w:r w:rsidR="00BC1FD0">
              <w:rPr>
                <w:noProof/>
                <w:webHidden/>
              </w:rPr>
              <w:fldChar w:fldCharType="end"/>
            </w:r>
          </w:hyperlink>
        </w:p>
        <w:p w:rsidR="00BC1FD0" w:rsidRDefault="0061779F">
          <w:pPr>
            <w:pStyle w:val="TOC2"/>
            <w:tabs>
              <w:tab w:val="left" w:pos="660"/>
              <w:tab w:val="right" w:leader="dot" w:pos="9350"/>
            </w:tabs>
            <w:rPr>
              <w:rFonts w:asciiTheme="minorHAnsi" w:eastAsiaTheme="minorEastAsia" w:hAnsiTheme="minorHAnsi" w:cstheme="minorBidi"/>
              <w:noProof/>
              <w:snapToGrid/>
              <w:sz w:val="22"/>
              <w:szCs w:val="22"/>
            </w:rPr>
          </w:pPr>
          <w:hyperlink w:anchor="_Toc418074686" w:history="1">
            <w:r w:rsidR="00BC1FD0" w:rsidRPr="005A29BE">
              <w:rPr>
                <w:rStyle w:val="Hyperlink"/>
                <w:noProof/>
              </w:rPr>
              <w:t>7.</w:t>
            </w:r>
            <w:r w:rsidR="00BC1FD0">
              <w:rPr>
                <w:rFonts w:asciiTheme="minorHAnsi" w:eastAsiaTheme="minorEastAsia" w:hAnsiTheme="minorHAnsi" w:cstheme="minorBidi"/>
                <w:noProof/>
                <w:snapToGrid/>
                <w:sz w:val="22"/>
                <w:szCs w:val="22"/>
              </w:rPr>
              <w:tab/>
            </w:r>
            <w:r w:rsidR="00BC1FD0" w:rsidRPr="005A29BE">
              <w:rPr>
                <w:rStyle w:val="Hyperlink"/>
                <w:noProof/>
              </w:rPr>
              <w:t>Special Circumstances</w:t>
            </w:r>
            <w:r w:rsidR="00BC1FD0">
              <w:rPr>
                <w:noProof/>
                <w:webHidden/>
              </w:rPr>
              <w:tab/>
            </w:r>
            <w:r w:rsidR="00BC1FD0">
              <w:rPr>
                <w:noProof/>
                <w:webHidden/>
              </w:rPr>
              <w:fldChar w:fldCharType="begin"/>
            </w:r>
            <w:r w:rsidR="00BC1FD0">
              <w:rPr>
                <w:noProof/>
                <w:webHidden/>
              </w:rPr>
              <w:instrText xml:space="preserve"> PAGEREF _Toc418074686 \h </w:instrText>
            </w:r>
            <w:r w:rsidR="00BC1FD0">
              <w:rPr>
                <w:noProof/>
                <w:webHidden/>
              </w:rPr>
            </w:r>
            <w:r w:rsidR="00BC1FD0">
              <w:rPr>
                <w:noProof/>
                <w:webHidden/>
              </w:rPr>
              <w:fldChar w:fldCharType="separate"/>
            </w:r>
            <w:r w:rsidR="008E7117">
              <w:rPr>
                <w:noProof/>
                <w:webHidden/>
              </w:rPr>
              <w:t>6</w:t>
            </w:r>
            <w:r w:rsidR="00BC1FD0">
              <w:rPr>
                <w:noProof/>
                <w:webHidden/>
              </w:rPr>
              <w:fldChar w:fldCharType="end"/>
            </w:r>
          </w:hyperlink>
        </w:p>
        <w:p w:rsidR="00BC1FD0" w:rsidRDefault="0061779F">
          <w:pPr>
            <w:pStyle w:val="TOC2"/>
            <w:tabs>
              <w:tab w:val="left" w:pos="660"/>
              <w:tab w:val="right" w:leader="dot" w:pos="9350"/>
            </w:tabs>
            <w:rPr>
              <w:rFonts w:asciiTheme="minorHAnsi" w:eastAsiaTheme="minorEastAsia" w:hAnsiTheme="minorHAnsi" w:cstheme="minorBidi"/>
              <w:noProof/>
              <w:snapToGrid/>
              <w:sz w:val="22"/>
              <w:szCs w:val="22"/>
            </w:rPr>
          </w:pPr>
          <w:hyperlink w:anchor="_Toc418074687" w:history="1">
            <w:r w:rsidR="00BC1FD0" w:rsidRPr="005A29BE">
              <w:rPr>
                <w:rStyle w:val="Hyperlink"/>
                <w:noProof/>
              </w:rPr>
              <w:t>8.</w:t>
            </w:r>
            <w:r w:rsidR="00BC1FD0">
              <w:rPr>
                <w:rFonts w:asciiTheme="minorHAnsi" w:eastAsiaTheme="minorEastAsia" w:hAnsiTheme="minorHAnsi" w:cstheme="minorBidi"/>
                <w:noProof/>
                <w:snapToGrid/>
                <w:sz w:val="22"/>
                <w:szCs w:val="22"/>
              </w:rPr>
              <w:tab/>
            </w:r>
            <w:r w:rsidR="00BC1FD0" w:rsidRPr="005A29BE">
              <w:rPr>
                <w:rStyle w:val="Hyperlink"/>
                <w:noProof/>
              </w:rPr>
              <w:t>Summary of Consultation Outside EIA</w:t>
            </w:r>
            <w:r w:rsidR="00BC1FD0">
              <w:rPr>
                <w:noProof/>
                <w:webHidden/>
              </w:rPr>
              <w:tab/>
            </w:r>
            <w:r w:rsidR="00BC1FD0">
              <w:rPr>
                <w:noProof/>
                <w:webHidden/>
              </w:rPr>
              <w:fldChar w:fldCharType="begin"/>
            </w:r>
            <w:r w:rsidR="00BC1FD0">
              <w:rPr>
                <w:noProof/>
                <w:webHidden/>
              </w:rPr>
              <w:instrText xml:space="preserve"> PAGEREF _Toc418074687 \h </w:instrText>
            </w:r>
            <w:r w:rsidR="00BC1FD0">
              <w:rPr>
                <w:noProof/>
                <w:webHidden/>
              </w:rPr>
            </w:r>
            <w:r w:rsidR="00BC1FD0">
              <w:rPr>
                <w:noProof/>
                <w:webHidden/>
              </w:rPr>
              <w:fldChar w:fldCharType="separate"/>
            </w:r>
            <w:r w:rsidR="008E7117">
              <w:rPr>
                <w:noProof/>
                <w:webHidden/>
              </w:rPr>
              <w:t>6</w:t>
            </w:r>
            <w:r w:rsidR="00BC1FD0">
              <w:rPr>
                <w:noProof/>
                <w:webHidden/>
              </w:rPr>
              <w:fldChar w:fldCharType="end"/>
            </w:r>
          </w:hyperlink>
        </w:p>
        <w:p w:rsidR="00BC1FD0" w:rsidRDefault="0061779F">
          <w:pPr>
            <w:pStyle w:val="TOC2"/>
            <w:tabs>
              <w:tab w:val="left" w:pos="660"/>
              <w:tab w:val="right" w:leader="dot" w:pos="9350"/>
            </w:tabs>
            <w:rPr>
              <w:rFonts w:asciiTheme="minorHAnsi" w:eastAsiaTheme="minorEastAsia" w:hAnsiTheme="minorHAnsi" w:cstheme="minorBidi"/>
              <w:noProof/>
              <w:snapToGrid/>
              <w:sz w:val="22"/>
              <w:szCs w:val="22"/>
            </w:rPr>
          </w:pPr>
          <w:hyperlink w:anchor="_Toc418074688" w:history="1">
            <w:r w:rsidR="00BC1FD0" w:rsidRPr="005A29BE">
              <w:rPr>
                <w:rStyle w:val="Hyperlink"/>
                <w:noProof/>
              </w:rPr>
              <w:t>9.</w:t>
            </w:r>
            <w:r w:rsidR="00BC1FD0">
              <w:rPr>
                <w:rFonts w:asciiTheme="minorHAnsi" w:eastAsiaTheme="minorEastAsia" w:hAnsiTheme="minorHAnsi" w:cstheme="minorBidi"/>
                <w:noProof/>
                <w:snapToGrid/>
                <w:sz w:val="22"/>
                <w:szCs w:val="22"/>
              </w:rPr>
              <w:tab/>
            </w:r>
            <w:r w:rsidR="00BC1FD0" w:rsidRPr="005A29BE">
              <w:rPr>
                <w:rStyle w:val="Hyperlink"/>
                <w:noProof/>
              </w:rPr>
              <w:t>Remuneration</w:t>
            </w:r>
            <w:r w:rsidR="00BC1FD0">
              <w:rPr>
                <w:noProof/>
                <w:webHidden/>
              </w:rPr>
              <w:tab/>
            </w:r>
            <w:r w:rsidR="00BC1FD0">
              <w:rPr>
                <w:noProof/>
                <w:webHidden/>
              </w:rPr>
              <w:fldChar w:fldCharType="begin"/>
            </w:r>
            <w:r w:rsidR="00BC1FD0">
              <w:rPr>
                <w:noProof/>
                <w:webHidden/>
              </w:rPr>
              <w:instrText xml:space="preserve"> PAGEREF _Toc418074688 \h </w:instrText>
            </w:r>
            <w:r w:rsidR="00BC1FD0">
              <w:rPr>
                <w:noProof/>
                <w:webHidden/>
              </w:rPr>
            </w:r>
            <w:r w:rsidR="00BC1FD0">
              <w:rPr>
                <w:noProof/>
                <w:webHidden/>
              </w:rPr>
              <w:fldChar w:fldCharType="separate"/>
            </w:r>
            <w:r w:rsidR="008E7117">
              <w:rPr>
                <w:noProof/>
                <w:webHidden/>
              </w:rPr>
              <w:t>6</w:t>
            </w:r>
            <w:r w:rsidR="00BC1FD0">
              <w:rPr>
                <w:noProof/>
                <w:webHidden/>
              </w:rPr>
              <w:fldChar w:fldCharType="end"/>
            </w:r>
          </w:hyperlink>
        </w:p>
        <w:p w:rsidR="00BC1FD0" w:rsidRDefault="0061779F">
          <w:pPr>
            <w:pStyle w:val="TOC2"/>
            <w:tabs>
              <w:tab w:val="left" w:pos="880"/>
              <w:tab w:val="right" w:leader="dot" w:pos="9350"/>
            </w:tabs>
            <w:rPr>
              <w:rFonts w:asciiTheme="minorHAnsi" w:eastAsiaTheme="minorEastAsia" w:hAnsiTheme="minorHAnsi" w:cstheme="minorBidi"/>
              <w:noProof/>
              <w:snapToGrid/>
              <w:sz w:val="22"/>
              <w:szCs w:val="22"/>
            </w:rPr>
          </w:pPr>
          <w:hyperlink w:anchor="_Toc418074689" w:history="1">
            <w:r w:rsidR="00BC1FD0" w:rsidRPr="005A29BE">
              <w:rPr>
                <w:rStyle w:val="Hyperlink"/>
                <w:noProof/>
              </w:rPr>
              <w:t>10.</w:t>
            </w:r>
            <w:r w:rsidR="00BC1FD0">
              <w:rPr>
                <w:rFonts w:asciiTheme="minorHAnsi" w:eastAsiaTheme="minorEastAsia" w:hAnsiTheme="minorHAnsi" w:cstheme="minorBidi"/>
                <w:noProof/>
                <w:snapToGrid/>
                <w:sz w:val="22"/>
                <w:szCs w:val="22"/>
              </w:rPr>
              <w:tab/>
            </w:r>
            <w:r w:rsidR="00BC1FD0" w:rsidRPr="005A29BE">
              <w:rPr>
                <w:rStyle w:val="Hyperlink"/>
                <w:noProof/>
              </w:rPr>
              <w:t>Disclosure of Information</w:t>
            </w:r>
            <w:r w:rsidR="00BC1FD0">
              <w:rPr>
                <w:noProof/>
                <w:webHidden/>
              </w:rPr>
              <w:tab/>
            </w:r>
            <w:r w:rsidR="00BC1FD0">
              <w:rPr>
                <w:noProof/>
                <w:webHidden/>
              </w:rPr>
              <w:fldChar w:fldCharType="begin"/>
            </w:r>
            <w:r w:rsidR="00BC1FD0">
              <w:rPr>
                <w:noProof/>
                <w:webHidden/>
              </w:rPr>
              <w:instrText xml:space="preserve"> PAGEREF _Toc418074689 \h </w:instrText>
            </w:r>
            <w:r w:rsidR="00BC1FD0">
              <w:rPr>
                <w:noProof/>
                <w:webHidden/>
              </w:rPr>
            </w:r>
            <w:r w:rsidR="00BC1FD0">
              <w:rPr>
                <w:noProof/>
                <w:webHidden/>
              </w:rPr>
              <w:fldChar w:fldCharType="separate"/>
            </w:r>
            <w:r w:rsidR="008E7117">
              <w:rPr>
                <w:noProof/>
                <w:webHidden/>
              </w:rPr>
              <w:t>6</w:t>
            </w:r>
            <w:r w:rsidR="00BC1FD0">
              <w:rPr>
                <w:noProof/>
                <w:webHidden/>
              </w:rPr>
              <w:fldChar w:fldCharType="end"/>
            </w:r>
          </w:hyperlink>
        </w:p>
        <w:p w:rsidR="00BC1FD0" w:rsidRDefault="0061779F">
          <w:pPr>
            <w:pStyle w:val="TOC2"/>
            <w:tabs>
              <w:tab w:val="left" w:pos="880"/>
              <w:tab w:val="right" w:leader="dot" w:pos="9350"/>
            </w:tabs>
            <w:rPr>
              <w:rFonts w:asciiTheme="minorHAnsi" w:eastAsiaTheme="minorEastAsia" w:hAnsiTheme="minorHAnsi" w:cstheme="minorBidi"/>
              <w:noProof/>
              <w:snapToGrid/>
              <w:sz w:val="22"/>
              <w:szCs w:val="22"/>
            </w:rPr>
          </w:pPr>
          <w:hyperlink w:anchor="_Toc418074690" w:history="1">
            <w:r w:rsidR="00BC1FD0" w:rsidRPr="005A29BE">
              <w:rPr>
                <w:rStyle w:val="Hyperlink"/>
                <w:noProof/>
              </w:rPr>
              <w:t>11.</w:t>
            </w:r>
            <w:r w:rsidR="00BC1FD0">
              <w:rPr>
                <w:rFonts w:asciiTheme="minorHAnsi" w:eastAsiaTheme="minorEastAsia" w:hAnsiTheme="minorHAnsi" w:cstheme="minorBidi"/>
                <w:noProof/>
                <w:snapToGrid/>
                <w:sz w:val="22"/>
                <w:szCs w:val="22"/>
              </w:rPr>
              <w:tab/>
            </w:r>
            <w:r w:rsidR="00BC1FD0" w:rsidRPr="005A29BE">
              <w:rPr>
                <w:rStyle w:val="Hyperlink"/>
                <w:noProof/>
              </w:rPr>
              <w:t>Justification for Questions of a Sensitive Nature</w:t>
            </w:r>
            <w:r w:rsidR="00BC1FD0">
              <w:rPr>
                <w:noProof/>
                <w:webHidden/>
              </w:rPr>
              <w:tab/>
            </w:r>
            <w:r w:rsidR="00BC1FD0">
              <w:rPr>
                <w:noProof/>
                <w:webHidden/>
              </w:rPr>
              <w:fldChar w:fldCharType="begin"/>
            </w:r>
            <w:r w:rsidR="00BC1FD0">
              <w:rPr>
                <w:noProof/>
                <w:webHidden/>
              </w:rPr>
              <w:instrText xml:space="preserve"> PAGEREF _Toc418074690 \h </w:instrText>
            </w:r>
            <w:r w:rsidR="00BC1FD0">
              <w:rPr>
                <w:noProof/>
                <w:webHidden/>
              </w:rPr>
            </w:r>
            <w:r w:rsidR="00BC1FD0">
              <w:rPr>
                <w:noProof/>
                <w:webHidden/>
              </w:rPr>
              <w:fldChar w:fldCharType="separate"/>
            </w:r>
            <w:r w:rsidR="008E7117">
              <w:rPr>
                <w:noProof/>
                <w:webHidden/>
              </w:rPr>
              <w:t>7</w:t>
            </w:r>
            <w:r w:rsidR="00BC1FD0">
              <w:rPr>
                <w:noProof/>
                <w:webHidden/>
              </w:rPr>
              <w:fldChar w:fldCharType="end"/>
            </w:r>
          </w:hyperlink>
        </w:p>
        <w:p w:rsidR="00BC1FD0" w:rsidRDefault="0061779F">
          <w:pPr>
            <w:pStyle w:val="TOC2"/>
            <w:tabs>
              <w:tab w:val="left" w:pos="880"/>
              <w:tab w:val="right" w:leader="dot" w:pos="9350"/>
            </w:tabs>
            <w:rPr>
              <w:rFonts w:asciiTheme="minorHAnsi" w:eastAsiaTheme="minorEastAsia" w:hAnsiTheme="minorHAnsi" w:cstheme="minorBidi"/>
              <w:noProof/>
              <w:snapToGrid/>
              <w:sz w:val="22"/>
              <w:szCs w:val="22"/>
            </w:rPr>
          </w:pPr>
          <w:hyperlink w:anchor="_Toc418074691" w:history="1">
            <w:r w:rsidR="00BC1FD0" w:rsidRPr="005A29BE">
              <w:rPr>
                <w:rStyle w:val="Hyperlink"/>
                <w:noProof/>
              </w:rPr>
              <w:t>12.</w:t>
            </w:r>
            <w:r w:rsidR="00BC1FD0">
              <w:rPr>
                <w:rFonts w:asciiTheme="minorHAnsi" w:eastAsiaTheme="minorEastAsia" w:hAnsiTheme="minorHAnsi" w:cstheme="minorBidi"/>
                <w:noProof/>
                <w:snapToGrid/>
                <w:sz w:val="22"/>
                <w:szCs w:val="22"/>
              </w:rPr>
              <w:tab/>
            </w:r>
            <w:r w:rsidR="00BC1FD0" w:rsidRPr="005A29BE">
              <w:rPr>
                <w:rStyle w:val="Hyperlink"/>
                <w:noProof/>
              </w:rPr>
              <w:t>Estimate of Respondent Burden (Hours and Cost)</w:t>
            </w:r>
            <w:r w:rsidR="00BC1FD0">
              <w:rPr>
                <w:noProof/>
                <w:webHidden/>
              </w:rPr>
              <w:tab/>
            </w:r>
            <w:r w:rsidR="00BC1FD0">
              <w:rPr>
                <w:noProof/>
                <w:webHidden/>
              </w:rPr>
              <w:fldChar w:fldCharType="begin"/>
            </w:r>
            <w:r w:rsidR="00BC1FD0">
              <w:rPr>
                <w:noProof/>
                <w:webHidden/>
              </w:rPr>
              <w:instrText xml:space="preserve"> PAGEREF _Toc418074691 \h </w:instrText>
            </w:r>
            <w:r w:rsidR="00BC1FD0">
              <w:rPr>
                <w:noProof/>
                <w:webHidden/>
              </w:rPr>
            </w:r>
            <w:r w:rsidR="00BC1FD0">
              <w:rPr>
                <w:noProof/>
                <w:webHidden/>
              </w:rPr>
              <w:fldChar w:fldCharType="separate"/>
            </w:r>
            <w:r w:rsidR="008E7117">
              <w:rPr>
                <w:noProof/>
                <w:webHidden/>
              </w:rPr>
              <w:t>7</w:t>
            </w:r>
            <w:r w:rsidR="00BC1FD0">
              <w:rPr>
                <w:noProof/>
                <w:webHidden/>
              </w:rPr>
              <w:fldChar w:fldCharType="end"/>
            </w:r>
          </w:hyperlink>
        </w:p>
        <w:p w:rsidR="00BC1FD0" w:rsidRDefault="0061779F">
          <w:pPr>
            <w:pStyle w:val="TOC2"/>
            <w:tabs>
              <w:tab w:val="left" w:pos="880"/>
              <w:tab w:val="right" w:leader="dot" w:pos="9350"/>
            </w:tabs>
            <w:rPr>
              <w:rFonts w:asciiTheme="minorHAnsi" w:eastAsiaTheme="minorEastAsia" w:hAnsiTheme="minorHAnsi" w:cstheme="minorBidi"/>
              <w:noProof/>
              <w:snapToGrid/>
              <w:sz w:val="22"/>
              <w:szCs w:val="22"/>
            </w:rPr>
          </w:pPr>
          <w:hyperlink w:anchor="_Toc418074692" w:history="1">
            <w:r w:rsidR="00BC1FD0" w:rsidRPr="005A29BE">
              <w:rPr>
                <w:rStyle w:val="Hyperlink"/>
                <w:noProof/>
              </w:rPr>
              <w:t>13.</w:t>
            </w:r>
            <w:r w:rsidR="00BC1FD0">
              <w:rPr>
                <w:rFonts w:asciiTheme="minorHAnsi" w:eastAsiaTheme="minorEastAsia" w:hAnsiTheme="minorHAnsi" w:cstheme="minorBidi"/>
                <w:noProof/>
                <w:snapToGrid/>
                <w:sz w:val="22"/>
                <w:szCs w:val="22"/>
              </w:rPr>
              <w:tab/>
            </w:r>
            <w:r w:rsidR="00BC1FD0" w:rsidRPr="005A29BE">
              <w:rPr>
                <w:rStyle w:val="Hyperlink"/>
                <w:noProof/>
              </w:rPr>
              <w:t>Estimates of Annual Cost to the Government</w:t>
            </w:r>
            <w:r w:rsidR="00BC1FD0">
              <w:rPr>
                <w:noProof/>
                <w:webHidden/>
              </w:rPr>
              <w:tab/>
            </w:r>
            <w:r w:rsidR="00BC1FD0">
              <w:rPr>
                <w:noProof/>
                <w:webHidden/>
              </w:rPr>
              <w:fldChar w:fldCharType="begin"/>
            </w:r>
            <w:r w:rsidR="00BC1FD0">
              <w:rPr>
                <w:noProof/>
                <w:webHidden/>
              </w:rPr>
              <w:instrText xml:space="preserve"> PAGEREF _Toc418074692 \h </w:instrText>
            </w:r>
            <w:r w:rsidR="00BC1FD0">
              <w:rPr>
                <w:noProof/>
                <w:webHidden/>
              </w:rPr>
            </w:r>
            <w:r w:rsidR="00BC1FD0">
              <w:rPr>
                <w:noProof/>
                <w:webHidden/>
              </w:rPr>
              <w:fldChar w:fldCharType="separate"/>
            </w:r>
            <w:r w:rsidR="008E7117">
              <w:rPr>
                <w:noProof/>
                <w:webHidden/>
              </w:rPr>
              <w:t>8</w:t>
            </w:r>
            <w:r w:rsidR="00BC1FD0">
              <w:rPr>
                <w:noProof/>
                <w:webHidden/>
              </w:rPr>
              <w:fldChar w:fldCharType="end"/>
            </w:r>
          </w:hyperlink>
        </w:p>
        <w:p w:rsidR="00BC1FD0" w:rsidRDefault="0061779F">
          <w:pPr>
            <w:pStyle w:val="TOC2"/>
            <w:tabs>
              <w:tab w:val="left" w:pos="880"/>
              <w:tab w:val="right" w:leader="dot" w:pos="9350"/>
            </w:tabs>
            <w:rPr>
              <w:rFonts w:asciiTheme="minorHAnsi" w:eastAsiaTheme="minorEastAsia" w:hAnsiTheme="minorHAnsi" w:cstheme="minorBidi"/>
              <w:noProof/>
              <w:snapToGrid/>
              <w:sz w:val="22"/>
              <w:szCs w:val="22"/>
            </w:rPr>
          </w:pPr>
          <w:hyperlink w:anchor="_Toc418074693" w:history="1">
            <w:r w:rsidR="00BC1FD0" w:rsidRPr="005A29BE">
              <w:rPr>
                <w:rStyle w:val="Hyperlink"/>
                <w:noProof/>
              </w:rPr>
              <w:t>14.</w:t>
            </w:r>
            <w:r w:rsidR="00BC1FD0">
              <w:rPr>
                <w:rFonts w:asciiTheme="minorHAnsi" w:eastAsiaTheme="minorEastAsia" w:hAnsiTheme="minorHAnsi" w:cstheme="minorBidi"/>
                <w:noProof/>
                <w:snapToGrid/>
                <w:sz w:val="22"/>
                <w:szCs w:val="22"/>
              </w:rPr>
              <w:tab/>
            </w:r>
            <w:r w:rsidR="00BC1FD0" w:rsidRPr="005A29BE">
              <w:rPr>
                <w:rStyle w:val="Hyperlink"/>
                <w:noProof/>
              </w:rPr>
              <w:t>Changes in Burden to Respondents</w:t>
            </w:r>
            <w:r w:rsidR="00BC1FD0">
              <w:rPr>
                <w:noProof/>
                <w:webHidden/>
              </w:rPr>
              <w:tab/>
            </w:r>
            <w:r w:rsidR="00BC1FD0">
              <w:rPr>
                <w:noProof/>
                <w:webHidden/>
              </w:rPr>
              <w:fldChar w:fldCharType="begin"/>
            </w:r>
            <w:r w:rsidR="00BC1FD0">
              <w:rPr>
                <w:noProof/>
                <w:webHidden/>
              </w:rPr>
              <w:instrText xml:space="preserve"> PAGEREF _Toc418074693 \h </w:instrText>
            </w:r>
            <w:r w:rsidR="00BC1FD0">
              <w:rPr>
                <w:noProof/>
                <w:webHidden/>
              </w:rPr>
            </w:r>
            <w:r w:rsidR="00BC1FD0">
              <w:rPr>
                <w:noProof/>
                <w:webHidden/>
              </w:rPr>
              <w:fldChar w:fldCharType="separate"/>
            </w:r>
            <w:r w:rsidR="008E7117">
              <w:rPr>
                <w:noProof/>
                <w:webHidden/>
              </w:rPr>
              <w:t>9</w:t>
            </w:r>
            <w:r w:rsidR="00BC1FD0">
              <w:rPr>
                <w:noProof/>
                <w:webHidden/>
              </w:rPr>
              <w:fldChar w:fldCharType="end"/>
            </w:r>
          </w:hyperlink>
        </w:p>
        <w:p w:rsidR="00BC1FD0" w:rsidRDefault="0061779F">
          <w:pPr>
            <w:pStyle w:val="TOC2"/>
            <w:tabs>
              <w:tab w:val="left" w:pos="880"/>
              <w:tab w:val="right" w:leader="dot" w:pos="9350"/>
            </w:tabs>
            <w:rPr>
              <w:rFonts w:asciiTheme="minorHAnsi" w:eastAsiaTheme="minorEastAsia" w:hAnsiTheme="minorHAnsi" w:cstheme="minorBidi"/>
              <w:noProof/>
              <w:snapToGrid/>
              <w:sz w:val="22"/>
              <w:szCs w:val="22"/>
            </w:rPr>
          </w:pPr>
          <w:hyperlink w:anchor="_Toc418074694" w:history="1">
            <w:r w:rsidR="00BC1FD0" w:rsidRPr="005A29BE">
              <w:rPr>
                <w:rStyle w:val="Hyperlink"/>
                <w:noProof/>
              </w:rPr>
              <w:t>15.</w:t>
            </w:r>
            <w:r w:rsidR="00BC1FD0">
              <w:rPr>
                <w:rFonts w:asciiTheme="minorHAnsi" w:eastAsiaTheme="minorEastAsia" w:hAnsiTheme="minorHAnsi" w:cstheme="minorBidi"/>
                <w:noProof/>
                <w:snapToGrid/>
                <w:sz w:val="22"/>
                <w:szCs w:val="22"/>
              </w:rPr>
              <w:tab/>
            </w:r>
            <w:r w:rsidR="00BC1FD0" w:rsidRPr="005A29BE">
              <w:rPr>
                <w:rStyle w:val="Hyperlink"/>
                <w:noProof/>
              </w:rPr>
              <w:t>Data Collection and Publication</w:t>
            </w:r>
            <w:r w:rsidR="00BC1FD0">
              <w:rPr>
                <w:noProof/>
                <w:webHidden/>
              </w:rPr>
              <w:tab/>
            </w:r>
            <w:r w:rsidR="00BC1FD0">
              <w:rPr>
                <w:noProof/>
                <w:webHidden/>
              </w:rPr>
              <w:fldChar w:fldCharType="begin"/>
            </w:r>
            <w:r w:rsidR="00BC1FD0">
              <w:rPr>
                <w:noProof/>
                <w:webHidden/>
              </w:rPr>
              <w:instrText xml:space="preserve"> PAGEREF _Toc418074694 \h </w:instrText>
            </w:r>
            <w:r w:rsidR="00BC1FD0">
              <w:rPr>
                <w:noProof/>
                <w:webHidden/>
              </w:rPr>
            </w:r>
            <w:r w:rsidR="00BC1FD0">
              <w:rPr>
                <w:noProof/>
                <w:webHidden/>
              </w:rPr>
              <w:fldChar w:fldCharType="separate"/>
            </w:r>
            <w:r w:rsidR="008E7117">
              <w:rPr>
                <w:noProof/>
                <w:webHidden/>
              </w:rPr>
              <w:t>9</w:t>
            </w:r>
            <w:r w:rsidR="00BC1FD0">
              <w:rPr>
                <w:noProof/>
                <w:webHidden/>
              </w:rPr>
              <w:fldChar w:fldCharType="end"/>
            </w:r>
          </w:hyperlink>
        </w:p>
        <w:p w:rsidR="00BC1FD0" w:rsidRDefault="0061779F">
          <w:pPr>
            <w:pStyle w:val="TOC2"/>
            <w:tabs>
              <w:tab w:val="left" w:pos="880"/>
              <w:tab w:val="right" w:leader="dot" w:pos="9350"/>
            </w:tabs>
            <w:rPr>
              <w:rFonts w:asciiTheme="minorHAnsi" w:eastAsiaTheme="minorEastAsia" w:hAnsiTheme="minorHAnsi" w:cstheme="minorBidi"/>
              <w:noProof/>
              <w:snapToGrid/>
              <w:sz w:val="22"/>
              <w:szCs w:val="22"/>
            </w:rPr>
          </w:pPr>
          <w:hyperlink w:anchor="_Toc418074695" w:history="1">
            <w:r w:rsidR="00BC1FD0" w:rsidRPr="005A29BE">
              <w:rPr>
                <w:rStyle w:val="Hyperlink"/>
                <w:noProof/>
              </w:rPr>
              <w:t>16.</w:t>
            </w:r>
            <w:r w:rsidR="00BC1FD0">
              <w:rPr>
                <w:rFonts w:asciiTheme="minorHAnsi" w:eastAsiaTheme="minorEastAsia" w:hAnsiTheme="minorHAnsi" w:cstheme="minorBidi"/>
                <w:noProof/>
                <w:snapToGrid/>
                <w:sz w:val="22"/>
                <w:szCs w:val="22"/>
              </w:rPr>
              <w:tab/>
            </w:r>
            <w:r w:rsidR="00BC1FD0" w:rsidRPr="005A29BE">
              <w:rPr>
                <w:rStyle w:val="Hyperlink"/>
                <w:noProof/>
              </w:rPr>
              <w:t>Display of Expiration Date and OMB Number</w:t>
            </w:r>
            <w:r w:rsidR="00BC1FD0">
              <w:rPr>
                <w:noProof/>
                <w:webHidden/>
              </w:rPr>
              <w:tab/>
            </w:r>
            <w:r w:rsidR="00BC1FD0">
              <w:rPr>
                <w:noProof/>
                <w:webHidden/>
              </w:rPr>
              <w:fldChar w:fldCharType="begin"/>
            </w:r>
            <w:r w:rsidR="00BC1FD0">
              <w:rPr>
                <w:noProof/>
                <w:webHidden/>
              </w:rPr>
              <w:instrText xml:space="preserve"> PAGEREF _Toc418074695 \h </w:instrText>
            </w:r>
            <w:r w:rsidR="00BC1FD0">
              <w:rPr>
                <w:noProof/>
                <w:webHidden/>
              </w:rPr>
            </w:r>
            <w:r w:rsidR="00BC1FD0">
              <w:rPr>
                <w:noProof/>
                <w:webHidden/>
              </w:rPr>
              <w:fldChar w:fldCharType="separate"/>
            </w:r>
            <w:r w:rsidR="008E7117">
              <w:rPr>
                <w:noProof/>
                <w:webHidden/>
              </w:rPr>
              <w:t>9</w:t>
            </w:r>
            <w:r w:rsidR="00BC1FD0">
              <w:rPr>
                <w:noProof/>
                <w:webHidden/>
              </w:rPr>
              <w:fldChar w:fldCharType="end"/>
            </w:r>
          </w:hyperlink>
        </w:p>
        <w:p w:rsidR="009828E8" w:rsidRDefault="00186E52" w:rsidP="00BC1FD0">
          <w:pPr>
            <w:spacing w:before="200" w:beforeAutospacing="0" w:after="200" w:afterAutospacing="0"/>
            <w:rPr>
              <w:b/>
            </w:rPr>
          </w:pPr>
          <w:r w:rsidRPr="00483744">
            <w:rPr>
              <w:sz w:val="22"/>
              <w:szCs w:val="22"/>
            </w:rPr>
            <w:fldChar w:fldCharType="end"/>
          </w:r>
        </w:p>
      </w:sdtContent>
    </w:sdt>
    <w:p w:rsidR="009828E8" w:rsidRDefault="009828E8" w:rsidP="009828E8">
      <w:pPr>
        <w:rPr>
          <w:b/>
        </w:rPr>
        <w:sectPr w:rsidR="009828E8" w:rsidSect="009828E8">
          <w:headerReference w:type="default" r:id="rId16"/>
          <w:footerReference w:type="default" r:id="rId17"/>
          <w:endnotePr>
            <w:numFmt w:val="decimal"/>
          </w:endnotePr>
          <w:pgSz w:w="12240" w:h="15840"/>
          <w:pgMar w:top="1440" w:right="1440" w:bottom="1440" w:left="1440" w:header="1440" w:footer="1440" w:gutter="0"/>
          <w:cols w:space="720"/>
          <w:noEndnote/>
        </w:sectPr>
      </w:pPr>
    </w:p>
    <w:p w:rsidR="009C54E6" w:rsidRPr="003B6A8F" w:rsidRDefault="003B6A8F" w:rsidP="0051520C">
      <w:pPr>
        <w:pStyle w:val="Heading1"/>
      </w:pPr>
      <w:bookmarkStart w:id="0" w:name="_Toc418074677"/>
      <w:r w:rsidRPr="003B6A8F">
        <w:lastRenderedPageBreak/>
        <w:t>INTRODUCTION</w:t>
      </w:r>
      <w:bookmarkEnd w:id="0"/>
    </w:p>
    <w:p w:rsidR="00AE62EF" w:rsidRDefault="00AE62EF" w:rsidP="00AE62EF">
      <w:pPr>
        <w:pStyle w:val="NormalWeb"/>
      </w:pPr>
      <w:r w:rsidRPr="00B55846">
        <w:t xml:space="preserve">This request is for the Office of Management and Budget (OMB) approval of a three-year extension of the Form </w:t>
      </w:r>
      <w:r>
        <w:t>NWPA-830G</w:t>
      </w:r>
      <w:r w:rsidRPr="00B55846">
        <w:t>, “Appendix G - Standard Remittance Advice for Payment of Fees</w:t>
      </w:r>
      <w:r>
        <w:t>,</w:t>
      </w:r>
      <w:r w:rsidRPr="00B55846">
        <w:t>” including Annex A to Appendix G.</w:t>
      </w:r>
      <w:r>
        <w:t xml:space="preserve">  </w:t>
      </w:r>
      <w:r w:rsidRPr="00262BC2">
        <w:t xml:space="preserve">The Nuclear Waste Policy Act of 1982 (42 U.S.C. 10101 </w:t>
      </w:r>
      <w:r w:rsidRPr="00262BC2">
        <w:rPr>
          <w:i/>
        </w:rPr>
        <w:t xml:space="preserve">et seq.) </w:t>
      </w:r>
      <w:r w:rsidRPr="00262BC2">
        <w:t xml:space="preserve">required that the </w:t>
      </w:r>
      <w:r>
        <w:t>U.S. Department of Energy (</w:t>
      </w:r>
      <w:r w:rsidRPr="00262BC2">
        <w:t>DOE</w:t>
      </w:r>
      <w:r>
        <w:t>)</w:t>
      </w:r>
      <w:r w:rsidRPr="00262BC2">
        <w:t xml:space="preserve"> enter into Standard Contracts with all generators or owners of spent nuclear fuel and high-level radioactive waste of domestic origin.</w:t>
      </w:r>
      <w:r w:rsidRPr="00262BC2">
        <w:rPr>
          <w:b/>
        </w:rPr>
        <w:t xml:space="preserve"> </w:t>
      </w:r>
      <w:r>
        <w:rPr>
          <w:b/>
        </w:rPr>
        <w:t xml:space="preserve"> </w:t>
      </w:r>
      <w:r>
        <w:t>The</w:t>
      </w:r>
      <w:r>
        <w:rPr>
          <w:b/>
        </w:rPr>
        <w:t xml:space="preserve"> </w:t>
      </w:r>
      <w:r w:rsidRPr="00262BC2">
        <w:t>Form NWPA-830</w:t>
      </w:r>
      <w:r>
        <w:t>G,</w:t>
      </w:r>
      <w:r w:rsidRPr="00262BC2">
        <w:t xml:space="preserve"> “Appendix G</w:t>
      </w:r>
      <w:r>
        <w:t xml:space="preserve"> </w:t>
      </w:r>
      <w:r w:rsidRPr="00262BC2">
        <w:t>-</w:t>
      </w:r>
      <w:r>
        <w:t xml:space="preserve"> </w:t>
      </w:r>
      <w:r w:rsidRPr="00262BC2">
        <w:t>Standard Remittance Advice for Payment of Fees</w:t>
      </w:r>
      <w:r>
        <w:t>,</w:t>
      </w:r>
      <w:r w:rsidRPr="00262BC2">
        <w:t>” including Annex A to Appendix G, is an Appendix to this Standard Contract</w:t>
      </w:r>
      <w:r>
        <w:t xml:space="preserve"> for Disposal of Spent Nuclear Fuel and/or High-level Radioactive Waste</w:t>
      </w:r>
      <w:r w:rsidRPr="00262BC2">
        <w:t xml:space="preserve">. Appendix G and Annex A to Appendix G are commonly referred to as Remittance Advice </w:t>
      </w:r>
      <w:r>
        <w:t>f</w:t>
      </w:r>
      <w:r w:rsidRPr="00262BC2">
        <w:t xml:space="preserve">orms. The </w:t>
      </w:r>
      <w:r>
        <w:t>forms</w:t>
      </w:r>
      <w:r w:rsidRPr="00262BC2">
        <w:t xml:space="preserve"> must be submitted quarterly by generators and owners of spent nuclear fuel who signed the Standard Contract</w:t>
      </w:r>
      <w:r>
        <w:t xml:space="preserve"> (referred to in the contract as “Purchasers”)</w:t>
      </w:r>
      <w:r w:rsidRPr="00262BC2">
        <w:t xml:space="preserve">. </w:t>
      </w:r>
    </w:p>
    <w:p w:rsidR="00AE62EF" w:rsidRDefault="00AE62EF" w:rsidP="00AE62E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pPr>
      <w:r w:rsidRPr="00B55846">
        <w:t xml:space="preserve">The information collection proposed in this supporting statement has been reviewed in light of applicable information quality guidelines.  It has been determined that the information will be collected, maintained, and used in a manner consistent with OMB, DOE, and </w:t>
      </w:r>
      <w:r>
        <w:t xml:space="preserve">U.S. </w:t>
      </w:r>
      <w:r w:rsidRPr="00B55846">
        <w:t>Energy Information Administration (EIA) information quality guidelines.</w:t>
      </w:r>
      <w:r>
        <w:t xml:space="preserve"> </w:t>
      </w:r>
    </w:p>
    <w:p w:rsidR="00AE62EF" w:rsidRDefault="00AE62EF" w:rsidP="00AE62EF">
      <w:pPr>
        <w:widowControl/>
      </w:pPr>
      <w:r>
        <w:t>The Form NWPA-830G, “App</w:t>
      </w:r>
      <w:r w:rsidRPr="00262BC2">
        <w:t>endix G</w:t>
      </w:r>
      <w:r>
        <w:t xml:space="preserve"> </w:t>
      </w:r>
      <w:r w:rsidRPr="00262BC2">
        <w:t>-</w:t>
      </w:r>
      <w:r>
        <w:t xml:space="preserve"> </w:t>
      </w:r>
      <w:r w:rsidRPr="00262BC2">
        <w:t>Standard Remittance Advice for Payment of Fees</w:t>
      </w:r>
      <w:r>
        <w:t>,</w:t>
      </w:r>
      <w:r w:rsidRPr="00262BC2">
        <w:t>”</w:t>
      </w:r>
      <w:r>
        <w:t xml:space="preserve"> </w:t>
      </w:r>
      <w:r w:rsidRPr="00262BC2">
        <w:t xml:space="preserve">is </w:t>
      </w:r>
      <w:r w:rsidR="00A61CD0">
        <w:t xml:space="preserve">a mandatory form </w:t>
      </w:r>
      <w:r w:rsidRPr="00262BC2">
        <w:t xml:space="preserve">designed to serve as the source document for entries into DOE accounting records to transmit data from </w:t>
      </w:r>
      <w:r>
        <w:t xml:space="preserve">purchasers </w:t>
      </w:r>
      <w:r w:rsidRPr="00262BC2">
        <w:t xml:space="preserve">to DOE concerning payment </w:t>
      </w:r>
      <w:r>
        <w:t xml:space="preserve">of </w:t>
      </w:r>
      <w:r w:rsidRPr="001C35E6">
        <w:t>the Spent Nuclear Fuel Disposal Fee</w:t>
      </w:r>
      <w:r>
        <w:t xml:space="preserve"> </w:t>
      </w:r>
      <w:r w:rsidRPr="00262BC2">
        <w:t>into the Nuclear Waste Fund for spent nuclear fuel disposal.</w:t>
      </w:r>
      <w:r>
        <w:t xml:space="preserve"> The Appendix G contains fee payment data based on a utility’s net electricity generated and sold.  Data collected include the net electricity generated and sold in megawatt hours, the fee rate, and the total fee. The form also includes associated fee data including adjustments from previous quarters, interest, and credits.</w:t>
      </w:r>
    </w:p>
    <w:p w:rsidR="00A61CD0" w:rsidRDefault="00AE62EF" w:rsidP="00AE62EF">
      <w:pPr>
        <w:widowControl/>
      </w:pPr>
      <w:r w:rsidRPr="00010ADF">
        <w:t xml:space="preserve">In November 2013, a federal appeals court ruled that DOE must cease collection of the Spent Nuclear Fuel Disposal Fee.  DOE determined that, effective May 16, </w:t>
      </w:r>
      <w:proofErr w:type="gramStart"/>
      <w:r w:rsidRPr="00010ADF">
        <w:t>2014,</w:t>
      </w:r>
      <w:proofErr w:type="gramEnd"/>
      <w:r w:rsidRPr="00010ADF">
        <w:t xml:space="preserve"> the fee is 0.0 </w:t>
      </w:r>
      <w:r>
        <w:t>Mil</w:t>
      </w:r>
      <w:r w:rsidRPr="00010ADF">
        <w:t xml:space="preserve"> per kilowatt-hour, ultimately reducing to zero the quarterly collection of fees from domestic generators of nuclear electricity.  </w:t>
      </w:r>
      <w:r w:rsidR="00A61CD0" w:rsidRPr="00CD0C0C">
        <w:t xml:space="preserve">Electricity generated and sold prior to May 16, 2014 remains subject to the current fee of 1.0 Mil per kilowatt-hour. </w:t>
      </w:r>
      <w:r w:rsidR="00673261">
        <w:t xml:space="preserve">In a letter dated May 12, 2014, </w:t>
      </w:r>
      <w:r w:rsidRPr="00010ADF">
        <w:t>DOE</w:t>
      </w:r>
      <w:r w:rsidR="00673261">
        <w:t>, through its Office of the General Counsel,</w:t>
      </w:r>
      <w:r w:rsidRPr="00010ADF">
        <w:t xml:space="preserve"> </w:t>
      </w:r>
      <w:r w:rsidR="00A61CD0" w:rsidRPr="006D602B">
        <w:t>informed signatories to the Standard Contract that they must continue to submit quarterly net electricity generation data on Appendix G</w:t>
      </w:r>
      <w:r w:rsidR="00A61CD0">
        <w:t>.  Furthermore, GC has</w:t>
      </w:r>
      <w:r w:rsidR="00A61CD0" w:rsidRPr="00010ADF">
        <w:t xml:space="preserve"> </w:t>
      </w:r>
      <w:r w:rsidRPr="00010ADF">
        <w:t>directed EIA to continue activities associated with the collection and verification of net electricity generation data and estimation of the spent nuclear fuel disposal fees that would otherwise accrue from this generation</w:t>
      </w:r>
      <w:r>
        <w:t>.</w:t>
      </w:r>
    </w:p>
    <w:p w:rsidR="00AE62EF" w:rsidRDefault="00AA13C5" w:rsidP="00AE62EF">
      <w:pPr>
        <w:widowControl/>
      </w:pPr>
      <w:r>
        <w:lastRenderedPageBreak/>
        <w:t>If</w:t>
      </w:r>
      <w:r w:rsidR="00A61CD0" w:rsidRPr="006D602B">
        <w:t xml:space="preserve"> a fee</w:t>
      </w:r>
      <w:r>
        <w:t>,</w:t>
      </w:r>
      <w:r w:rsidR="00A61CD0" w:rsidRPr="006D602B">
        <w:t xml:space="preserve"> based on the electricity generated and sold</w:t>
      </w:r>
      <w:r>
        <w:t>, is</w:t>
      </w:r>
      <w:r w:rsidR="00A61CD0" w:rsidRPr="006D602B">
        <w:t xml:space="preserve"> reinstated, EIA will document fees paid, as recorded on the Remittance Advice forms with data maintained on the DOE Office of Finance and Accounting’s (CF-11) Consolidated Accounting and Investment System (CAIS)</w:t>
      </w:r>
      <w:r w:rsidR="00A61CD0">
        <w:t>.</w:t>
      </w:r>
      <w:r w:rsidR="00AE62EF">
        <w:t xml:space="preserve">  </w:t>
      </w:r>
      <w:r w:rsidR="00AE62EF" w:rsidRPr="00262BC2">
        <w:t xml:space="preserve"> </w:t>
      </w:r>
    </w:p>
    <w:p w:rsidR="00AE62EF" w:rsidRDefault="00AE62EF" w:rsidP="00AE62EF">
      <w:pPr>
        <w:spacing w:before="240"/>
      </w:pPr>
      <w:r>
        <w:t xml:space="preserve">The </w:t>
      </w:r>
      <w:r w:rsidRPr="00D445EA">
        <w:t xml:space="preserve">Annex A to Appendix G is used to provide </w:t>
      </w:r>
      <w:r>
        <w:t xml:space="preserve">the </w:t>
      </w:r>
      <w:r w:rsidRPr="00D445EA">
        <w:t xml:space="preserve">data </w:t>
      </w:r>
      <w:r>
        <w:t>used in calculating</w:t>
      </w:r>
      <w:r w:rsidRPr="00D445EA">
        <w:t xml:space="preserve"> the amount of net electricity generated and sold, upon which the </w:t>
      </w:r>
      <w:r w:rsidRPr="00010ADF">
        <w:t>spent nuclear fuel disposal</w:t>
      </w:r>
      <w:r w:rsidRPr="00D445EA">
        <w:t xml:space="preserve"> fees are based</w:t>
      </w:r>
      <w:r>
        <w:t xml:space="preserve"> (whether using the former fee  rate of 1.0 Mil per kilowatt-hour or current fee rate of </w:t>
      </w:r>
      <w:r w:rsidRPr="00010ADF">
        <w:t xml:space="preserve">0.0 </w:t>
      </w:r>
      <w:r>
        <w:t>Mil</w:t>
      </w:r>
      <w:r w:rsidRPr="00010ADF">
        <w:t xml:space="preserve"> per kilowatt-hour</w:t>
      </w:r>
      <w:r>
        <w:t>)</w:t>
      </w:r>
      <w:r w:rsidRPr="00D445EA">
        <w:t>.</w:t>
      </w:r>
      <w:r>
        <w:t xml:space="preserve">  Purchasers report gross electricity generated and energy losses resulting in “net electricity generated.”  Energy losses include nuclear station use and offsets for pumped storage. To report “net electricity generated and sold,” purchasers must generate a series of factors to calculate the “and sold” portion.  These factors are based on percentages of a utility’s sales to ultimate consumers and sales for resale, a utility-level factor to account for retail energy losses, and a national-level factor to account for resale energy losses. Adjustment factor data are calculated for each individual owner of a nuclear plant and weighted by that owner’s share of the plant.  </w:t>
      </w:r>
    </w:p>
    <w:p w:rsidR="00872064" w:rsidRPr="00F42DDE" w:rsidRDefault="00AE62EF" w:rsidP="00AE62EF">
      <w:pPr>
        <w:autoSpaceDE w:val="0"/>
        <w:autoSpaceDN w:val="0"/>
        <w:adjustRightInd w:val="0"/>
        <w:rPr>
          <w:i/>
          <w:szCs w:val="24"/>
        </w:rPr>
      </w:pPr>
      <w:r w:rsidRPr="00AE62EF">
        <w:rPr>
          <w:szCs w:val="24"/>
        </w:rPr>
        <w:t xml:space="preserve">The Form NWPA-830G, “Appendix G - Standard Remittance Advice for Payment of Fees,” was previously referred to as the Form NWPA-830R.  The Form NWPA-830R covered all Appendices to the Standard Contract.  </w:t>
      </w:r>
      <w:r>
        <w:t xml:space="preserve">The data on Appendix A were collected one time only in 1983 when the contracts were signed.  Appendix B, which collected data on a one-time fee based on spent nuclear </w:t>
      </w:r>
      <w:proofErr w:type="gramStart"/>
      <w:r>
        <w:t>fuel</w:t>
      </w:r>
      <w:proofErr w:type="gramEnd"/>
      <w:r>
        <w:t xml:space="preserve"> discharged or in the reactor core as of April 6, 1983, is no longer used; those data are now collected on the Form GC-859 “Nuclear Fuel Data” survey. The data on Appendices C, D, and F are all dependent on the availability of a federal facility to accept spent nuclear fuel</w:t>
      </w:r>
      <w:r w:rsidR="00A61CD0">
        <w:t xml:space="preserve"> and are therefore not part of this survey clearance</w:t>
      </w:r>
      <w:r>
        <w:t>. Appendix E contained a series of definitions and specifications and no data were collected</w:t>
      </w:r>
    </w:p>
    <w:p w:rsidR="006B01EA" w:rsidRDefault="003B6A8F" w:rsidP="003B6A8F">
      <w:pPr>
        <w:pStyle w:val="Heading1"/>
      </w:pPr>
      <w:bookmarkStart w:id="1" w:name="_Toc418074678"/>
      <w:r>
        <w:t xml:space="preserve">PROPOSED CHANGES TO </w:t>
      </w:r>
      <w:r w:rsidR="00FE7E5E" w:rsidRPr="00AE62EF">
        <w:rPr>
          <w:szCs w:val="24"/>
        </w:rPr>
        <w:t>NWPA-830G</w:t>
      </w:r>
      <w:r w:rsidR="00FE7E5E">
        <w:t xml:space="preserve"> </w:t>
      </w:r>
      <w:r w:rsidR="00E24060">
        <w:t>DATA COLLECTION</w:t>
      </w:r>
      <w:bookmarkEnd w:id="1"/>
    </w:p>
    <w:p w:rsidR="00AE62EF" w:rsidRPr="00AE62EF" w:rsidRDefault="00AE62EF" w:rsidP="00AE62EF">
      <w:pPr>
        <w:rPr>
          <w:szCs w:val="24"/>
        </w:rPr>
      </w:pPr>
      <w:r w:rsidRPr="00AE62EF">
        <w:rPr>
          <w:szCs w:val="24"/>
        </w:rPr>
        <w:t>Respondents to the Appendix G are domestic generators of nuclear electricity.  Appendix G contains Spent Nuclear Fuel Disposal Fee payment data based on each respondent’s net electricity generated and sold.  Data collected include the net electricity generated and sold in megawatt-hours, the current fee rate (in dollars per megawatt-hour), and the total fee due. The form also includes associated fee data including adjustments from previous quarters, interest, and credits.</w:t>
      </w:r>
    </w:p>
    <w:p w:rsidR="00AE62EF" w:rsidRPr="00AE62EF" w:rsidRDefault="00AE62EF" w:rsidP="00AE62EF">
      <w:pPr>
        <w:rPr>
          <w:szCs w:val="24"/>
        </w:rPr>
      </w:pPr>
      <w:r w:rsidRPr="00AE62EF">
        <w:rPr>
          <w:szCs w:val="24"/>
        </w:rPr>
        <w:t>.</w:t>
      </w:r>
    </w:p>
    <w:p w:rsidR="00AE62EF" w:rsidRDefault="00AE62EF" w:rsidP="00AE62EF">
      <w:pPr>
        <w:rPr>
          <w:szCs w:val="24"/>
        </w:rPr>
      </w:pPr>
      <w:r w:rsidRPr="00AE62EF">
        <w:rPr>
          <w:szCs w:val="24"/>
        </w:rPr>
        <w:t xml:space="preserve">Proposed changes to the Form NWPA-830G are associated with the above-referenced fee reduction and apply to the relevant sections of the Appendix G, the Annex A to Appendix G, and associated instructional documentation.  </w:t>
      </w:r>
    </w:p>
    <w:p w:rsidR="00AE62EF" w:rsidRPr="00AE62EF" w:rsidRDefault="00AE62EF" w:rsidP="00AE62EF">
      <w:pPr>
        <w:rPr>
          <w:szCs w:val="24"/>
        </w:rPr>
      </w:pPr>
      <w:r w:rsidRPr="00AE62EF">
        <w:rPr>
          <w:szCs w:val="24"/>
        </w:rPr>
        <w:lastRenderedPageBreak/>
        <w:t>Specific proposed changes are as follows:</w:t>
      </w:r>
    </w:p>
    <w:p w:rsidR="00AE62EF" w:rsidRPr="00AE62EF" w:rsidRDefault="00AE62EF" w:rsidP="00AE62EF">
      <w:pPr>
        <w:rPr>
          <w:b/>
          <w:szCs w:val="24"/>
        </w:rPr>
      </w:pPr>
      <w:r w:rsidRPr="00AE62EF">
        <w:rPr>
          <w:b/>
          <w:szCs w:val="24"/>
        </w:rPr>
        <w:t>Appendix G</w:t>
      </w:r>
    </w:p>
    <w:p w:rsidR="001A5F67" w:rsidRDefault="00AE62EF" w:rsidP="00AE62EF">
      <w:pPr>
        <w:rPr>
          <w:szCs w:val="24"/>
        </w:rPr>
      </w:pPr>
      <w:r w:rsidRPr="00AE62EF">
        <w:rPr>
          <w:szCs w:val="24"/>
        </w:rPr>
        <w:t xml:space="preserve">No </w:t>
      </w:r>
      <w:r w:rsidR="00FE7E5E">
        <w:rPr>
          <w:szCs w:val="24"/>
        </w:rPr>
        <w:t xml:space="preserve">substantive </w:t>
      </w:r>
      <w:r w:rsidRPr="00AE62EF">
        <w:rPr>
          <w:szCs w:val="24"/>
        </w:rPr>
        <w:t>changes are proposed (Annex G is a “fillable” PDF on which respondents enter the $0/MWh fee rate).</w:t>
      </w:r>
      <w:r w:rsidR="00FE7E5E">
        <w:rPr>
          <w:szCs w:val="24"/>
        </w:rPr>
        <w:t xml:space="preserve"> </w:t>
      </w:r>
    </w:p>
    <w:p w:rsidR="00AE62EF" w:rsidRPr="00AE62EF" w:rsidRDefault="00AE62EF" w:rsidP="00AE62EF">
      <w:pPr>
        <w:rPr>
          <w:b/>
          <w:szCs w:val="24"/>
        </w:rPr>
      </w:pPr>
      <w:r w:rsidRPr="00AE62EF">
        <w:rPr>
          <w:b/>
          <w:szCs w:val="24"/>
        </w:rPr>
        <w:t>Appendix G, Instructions</w:t>
      </w:r>
    </w:p>
    <w:p w:rsidR="001A5F67" w:rsidRDefault="00AE62EF" w:rsidP="00AE62EF">
      <w:pPr>
        <w:rPr>
          <w:szCs w:val="24"/>
        </w:rPr>
      </w:pPr>
      <w:r w:rsidRPr="00AE62EF">
        <w:rPr>
          <w:szCs w:val="24"/>
        </w:rPr>
        <w:t xml:space="preserve">Section 3, Item 3.3: </w:t>
      </w:r>
      <w:r w:rsidR="00FE7E5E">
        <w:rPr>
          <w:sz w:val="22"/>
          <w:szCs w:val="22"/>
        </w:rPr>
        <w:t>Delete specification of the actual Current Fee Rate to both reflect the fee reduction and accommodate any subsequent fee rate revision</w:t>
      </w:r>
      <w:r w:rsidRPr="00AE62EF">
        <w:rPr>
          <w:szCs w:val="24"/>
        </w:rPr>
        <w:t>.</w:t>
      </w:r>
    </w:p>
    <w:p w:rsidR="00AE62EF" w:rsidRPr="00AE62EF" w:rsidRDefault="00FE7E5E" w:rsidP="00AE62EF">
      <w:pPr>
        <w:rPr>
          <w:b/>
          <w:szCs w:val="24"/>
        </w:rPr>
      </w:pPr>
      <w:r>
        <w:rPr>
          <w:szCs w:val="24"/>
        </w:rPr>
        <w:t xml:space="preserve"> </w:t>
      </w:r>
      <w:r w:rsidR="00AE62EF" w:rsidRPr="00AE62EF">
        <w:rPr>
          <w:b/>
          <w:szCs w:val="24"/>
        </w:rPr>
        <w:t>Annex A to Appendix G</w:t>
      </w:r>
    </w:p>
    <w:p w:rsidR="001A5F67" w:rsidRDefault="00AE62EF" w:rsidP="00AE62EF">
      <w:pPr>
        <w:rPr>
          <w:szCs w:val="24"/>
        </w:rPr>
      </w:pPr>
      <w:r w:rsidRPr="00AE62EF">
        <w:rPr>
          <w:szCs w:val="24"/>
        </w:rPr>
        <w:t>Section 4, Item 4.2: the Current Fee Rate of $1/MWh is deleted; this space is left blank to both reflect the fee reduction and accommodate any subsequent fee rate revision (thereby obviating the need for an out-of-sequence OMB clearance).  Immediately below Item 4.2, change “Current Fee Rate (Dollars)” to “Current Fee Rate (dollars per megawatt-hour).”</w:t>
      </w:r>
      <w:r w:rsidR="00FE7E5E">
        <w:rPr>
          <w:szCs w:val="24"/>
        </w:rPr>
        <w:t xml:space="preserve"> </w:t>
      </w:r>
    </w:p>
    <w:p w:rsidR="00AE62EF" w:rsidRPr="00AE62EF" w:rsidRDefault="00AE62EF" w:rsidP="00AE62EF">
      <w:pPr>
        <w:rPr>
          <w:b/>
          <w:szCs w:val="24"/>
        </w:rPr>
      </w:pPr>
      <w:r w:rsidRPr="00AE62EF">
        <w:rPr>
          <w:b/>
          <w:szCs w:val="24"/>
        </w:rPr>
        <w:t>Annex A to Appendix G, Instructions</w:t>
      </w:r>
    </w:p>
    <w:p w:rsidR="000C651B" w:rsidRPr="00AE62EF" w:rsidRDefault="00AE62EF" w:rsidP="00AE62EF">
      <w:pPr>
        <w:rPr>
          <w:szCs w:val="24"/>
        </w:rPr>
      </w:pPr>
      <w:r w:rsidRPr="00AE62EF">
        <w:rPr>
          <w:szCs w:val="24"/>
        </w:rPr>
        <w:t>Section 4, Item 4.3: Delete reference to an actual current fee to both reflect the fee reduction and accommodate any subsequent fee rate revision</w:t>
      </w:r>
      <w:r w:rsidR="000C651B" w:rsidRPr="00AE62EF">
        <w:rPr>
          <w:szCs w:val="24"/>
        </w:rPr>
        <w:t>.</w:t>
      </w:r>
      <w:r w:rsidR="00FE7E5E">
        <w:rPr>
          <w:szCs w:val="24"/>
        </w:rPr>
        <w:t xml:space="preserve"> </w:t>
      </w:r>
    </w:p>
    <w:p w:rsidR="000C651B" w:rsidRPr="003B6A8F" w:rsidRDefault="003B6A8F" w:rsidP="003B6A8F">
      <w:pPr>
        <w:pStyle w:val="Heading1"/>
      </w:pPr>
      <w:bookmarkStart w:id="2" w:name="_Toc418074679"/>
      <w:r w:rsidRPr="003B6A8F">
        <w:t>JUSTIFICATION</w:t>
      </w:r>
      <w:bookmarkEnd w:id="2"/>
    </w:p>
    <w:p w:rsidR="000C651B" w:rsidRPr="00F44A02" w:rsidRDefault="003B6A8F" w:rsidP="00F44A02">
      <w:pPr>
        <w:pStyle w:val="Heading2"/>
      </w:pPr>
      <w:bookmarkStart w:id="3" w:name="_Toc418074680"/>
      <w:r w:rsidRPr="00F44A02">
        <w:t>Legal Authority</w:t>
      </w:r>
      <w:bookmarkEnd w:id="3"/>
    </w:p>
    <w:p w:rsidR="00AE62EF" w:rsidRPr="00AE62EF" w:rsidRDefault="00AE62EF" w:rsidP="00AE62E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szCs w:val="24"/>
        </w:rPr>
      </w:pPr>
      <w:r w:rsidRPr="00AE62EF">
        <w:rPr>
          <w:szCs w:val="24"/>
        </w:rPr>
        <w:t xml:space="preserve">Authority for the collection of data comes from the Nuclear Waste Policy Act of 1982, 42 U.S.C. </w:t>
      </w:r>
      <w:proofErr w:type="gramStart"/>
      <w:r w:rsidRPr="00AE62EF">
        <w:rPr>
          <w:szCs w:val="24"/>
        </w:rPr>
        <w:t xml:space="preserve">10101 </w:t>
      </w:r>
      <w:r w:rsidRPr="00AE62EF">
        <w:rPr>
          <w:i/>
          <w:szCs w:val="24"/>
        </w:rPr>
        <w:t>et seq.</w:t>
      </w:r>
      <w:r w:rsidRPr="00AE62EF">
        <w:rPr>
          <w:szCs w:val="24"/>
        </w:rPr>
        <w:t>, (Public Law 97-425)</w:t>
      </w:r>
      <w:proofErr w:type="gramEnd"/>
      <w:r w:rsidRPr="00AE62EF">
        <w:rPr>
          <w:szCs w:val="24"/>
        </w:rPr>
        <w:t xml:space="preserve">.  Sections 302 (a) and (c) state:  </w:t>
      </w:r>
    </w:p>
    <w:p w:rsidR="00AE62EF" w:rsidRPr="00AE62EF" w:rsidRDefault="00AE62EF" w:rsidP="00AE62EF">
      <w:pPr>
        <w:pStyle w:val="ListParagraph"/>
        <w:widowControl w:val="0"/>
        <w:numPr>
          <w:ilvl w:val="0"/>
          <w:numId w:val="10"/>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autoSpaceDE w:val="0"/>
        <w:autoSpaceDN w:val="0"/>
        <w:adjustRightInd w:val="0"/>
        <w:spacing w:before="0" w:beforeAutospacing="0" w:after="0" w:afterAutospacing="0"/>
        <w:ind w:right="72"/>
        <w:jc w:val="left"/>
        <w:rPr>
          <w:sz w:val="24"/>
          <w:szCs w:val="24"/>
        </w:rPr>
      </w:pPr>
      <w:r w:rsidRPr="00AE62EF">
        <w:rPr>
          <w:sz w:val="24"/>
          <w:szCs w:val="24"/>
        </w:rPr>
        <w:t xml:space="preserve">CONTRACTS (1)...The Secretary is authorized to enter into contracts with any person who generates or holds title to high-level radioactive waste, or spent nuclear fuel, of domestic origin for the acceptance of title, subsequent transportation, and disposal of such waste or spent fuel. Such contracts shall provide for payment to the Secretary of fees...; (2) For electricity generated by a civilian nuclear power reactor and sold on or after the date 90 days after the date of enactment of this Act, the fee under paragraph (1) shall be equal to 1.0 mil per kilowatt-hour; (4)…The Secretary shall establish procedures for the collection and payment of the fees established by paragraph (2) … The Secretary </w:t>
      </w:r>
      <w:r w:rsidRPr="00AE62EF">
        <w:rPr>
          <w:sz w:val="24"/>
          <w:szCs w:val="24"/>
        </w:rPr>
        <w:lastRenderedPageBreak/>
        <w:t>shall annually review the amount of the fees established by paragraph (2) ….</w:t>
      </w:r>
    </w:p>
    <w:p w:rsidR="00AE62EF" w:rsidRPr="00AE62EF" w:rsidRDefault="00AE62EF" w:rsidP="00AE62EF">
      <w:pPr>
        <w:pStyle w:val="ListParagraph"/>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35" w:right="72"/>
        <w:rPr>
          <w:sz w:val="24"/>
          <w:szCs w:val="24"/>
        </w:rPr>
      </w:pPr>
    </w:p>
    <w:p w:rsidR="00AE62EF" w:rsidRPr="00AE62EF" w:rsidRDefault="00AE62EF" w:rsidP="00AE62E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szCs w:val="24"/>
        </w:rPr>
      </w:pPr>
      <w:r w:rsidRPr="00AE62EF">
        <w:rPr>
          <w:szCs w:val="24"/>
        </w:rPr>
        <w:t xml:space="preserve">(c) ESTABLISHMENT OF NUCLEAR WASTE FUND - There hereby is established in the Treasury of the United States a separate fund, to be known as the Nuclear Waste Fund.  The Waste Fund shall </w:t>
      </w:r>
      <w:proofErr w:type="gramStart"/>
      <w:r w:rsidRPr="00AE62EF">
        <w:rPr>
          <w:szCs w:val="24"/>
        </w:rPr>
        <w:t>consist</w:t>
      </w:r>
      <w:proofErr w:type="gramEnd"/>
      <w:r w:rsidRPr="00AE62EF">
        <w:rPr>
          <w:szCs w:val="24"/>
        </w:rPr>
        <w:t xml:space="preserve"> of--</w:t>
      </w:r>
    </w:p>
    <w:p w:rsidR="00AE62EF" w:rsidRPr="00AE62EF" w:rsidRDefault="00AE62EF" w:rsidP="00AE62E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648" w:right="360"/>
        <w:rPr>
          <w:szCs w:val="24"/>
        </w:rPr>
      </w:pPr>
      <w:r w:rsidRPr="00AE62EF">
        <w:rPr>
          <w:szCs w:val="24"/>
        </w:rPr>
        <w:t xml:space="preserve">(1)  </w:t>
      </w:r>
      <w:proofErr w:type="gramStart"/>
      <w:r w:rsidRPr="00AE62EF">
        <w:rPr>
          <w:szCs w:val="24"/>
        </w:rPr>
        <w:t>all</w:t>
      </w:r>
      <w:proofErr w:type="gramEnd"/>
      <w:r w:rsidRPr="00AE62EF">
        <w:rPr>
          <w:szCs w:val="24"/>
        </w:rPr>
        <w:t xml:space="preserve"> receipts, proceeds, and recoveries realized by the Secretary under subsections (a), (b), (e), which shall be disposed in the Waste Fund immediately upon their realization…</w:t>
      </w:r>
    </w:p>
    <w:p w:rsidR="00AE62EF" w:rsidRPr="00AE62EF" w:rsidRDefault="00AE62EF" w:rsidP="00AE62EF">
      <w:pPr>
        <w:pStyle w:val="ListParagraph"/>
        <w:tabs>
          <w:tab w:val="left" w:pos="-1440"/>
          <w:tab w:val="left" w:pos="-720"/>
          <w:tab w:val="left" w:pos="0"/>
          <w:tab w:val="left" w:pos="72"/>
          <w:tab w:val="left" w:pos="360"/>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sz w:val="24"/>
          <w:szCs w:val="24"/>
        </w:rPr>
      </w:pPr>
      <w:r w:rsidRPr="00AE62EF">
        <w:rPr>
          <w:sz w:val="24"/>
          <w:szCs w:val="24"/>
        </w:rPr>
        <w:t>The full Standard Contract for Disposal of Spent Nuclear Fuel and/or High-level Radioactive Waste can be viewed here:</w:t>
      </w:r>
    </w:p>
    <w:p w:rsidR="00AE62EF" w:rsidRPr="00AE62EF" w:rsidRDefault="00AE62EF" w:rsidP="00AE62EF">
      <w:pPr>
        <w:pStyle w:val="ListParagraph"/>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35" w:right="72"/>
        <w:rPr>
          <w:sz w:val="24"/>
          <w:szCs w:val="24"/>
        </w:rPr>
      </w:pPr>
    </w:p>
    <w:p w:rsidR="00AE62EF" w:rsidRPr="00AE62EF" w:rsidRDefault="0061779F" w:rsidP="00AE62EF">
      <w:pPr>
        <w:pStyle w:val="ListParagraph"/>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35" w:right="72"/>
        <w:rPr>
          <w:sz w:val="24"/>
          <w:szCs w:val="24"/>
        </w:rPr>
      </w:pPr>
      <w:hyperlink r:id="rId18" w:history="1">
        <w:r w:rsidR="00AE62EF" w:rsidRPr="00AE62EF">
          <w:rPr>
            <w:rStyle w:val="Hyperlink"/>
            <w:sz w:val="24"/>
            <w:szCs w:val="24"/>
          </w:rPr>
          <w:t>http://energy.gov/sites/prod/files/gcprod/documents/New_Standard_Contract.pdf</w:t>
        </w:r>
      </w:hyperlink>
    </w:p>
    <w:p w:rsidR="000C651B" w:rsidRDefault="000C651B" w:rsidP="00340991">
      <w:pPr>
        <w:spacing w:before="120" w:beforeAutospacing="0" w:after="0" w:afterAutospacing="0"/>
        <w:ind w:left="720"/>
      </w:pPr>
    </w:p>
    <w:p w:rsidR="000C651B" w:rsidRPr="001802BA" w:rsidRDefault="001802BA" w:rsidP="00F44A02">
      <w:pPr>
        <w:pStyle w:val="Heading2"/>
      </w:pPr>
      <w:bookmarkStart w:id="4" w:name="_Toc418074681"/>
      <w:r w:rsidRPr="001802BA">
        <w:t>Needs and Uses of Data</w:t>
      </w:r>
      <w:bookmarkEnd w:id="4"/>
    </w:p>
    <w:p w:rsidR="00AE62EF" w:rsidRDefault="00AE62EF" w:rsidP="00AE62EF">
      <w:r>
        <w:t>The Form NWPA-830G, “Appendix G - Standard Remittance Advice for Payment of Fees,” including Annex A to Appendix G, is a quarterly form submitted by all generators or owners of spent nuclear fuel and high-level radioactive waste of domestic origin (purchasers).  These purchasers signed a Standard Contract with the DOE requiring them to pay fees into the Nuclear Waste Fund.  The Form NWPA-830G is Appendix G to the Standard Contract.</w:t>
      </w:r>
    </w:p>
    <w:p w:rsidR="00AE62EF" w:rsidRDefault="00AE62EF" w:rsidP="00AE62EF">
      <w:r>
        <w:t xml:space="preserve">Appendix G </w:t>
      </w:r>
      <w:r w:rsidR="006A3ACC">
        <w:t>collects information on net electric power generation and serve</w:t>
      </w:r>
      <w:r w:rsidR="00A61CD0">
        <w:t>s</w:t>
      </w:r>
      <w:r w:rsidR="006A3ACC">
        <w:t xml:space="preserve"> as the basis </w:t>
      </w:r>
      <w:proofErr w:type="gramStart"/>
      <w:r w:rsidR="006A3ACC">
        <w:t xml:space="preserve">for </w:t>
      </w:r>
      <w:r>
        <w:t xml:space="preserve"> DOE</w:t>
      </w:r>
      <w:proofErr w:type="gramEnd"/>
      <w:r w:rsidR="006A3ACC">
        <w:t xml:space="preserve"> to make a determination on the</w:t>
      </w:r>
      <w:r>
        <w:t xml:space="preserve"> payment of fees into the Nuclear Waste Fund.  The data are used by DOE’s Office of the Chief Financial Officer, Energy Finance and Accounting Service Center to verify the amounts of these payments.  Appendix G data provide a complete audit trail of all payments made into the Nuclear Waste Fund.</w:t>
      </w:r>
    </w:p>
    <w:p w:rsidR="000C651B" w:rsidRDefault="00AE62EF" w:rsidP="00AE62EF">
      <w:r>
        <w:t xml:space="preserve">Annex A to Appendix G is used to provide data on the amount of net electricity generated and sold, upon which the fees are based.  Data from the Annex A to Appendix G form are used within DOE by the Office of Standard Contract Management, the U.S. Energy Information Administration (EIA), and the Office of Nuclear Energy.  Fee payment data are used by the Office of Standard Contract Management in a number of internal reports, including Fee Adequacy reports and Total System Life Cycle Cost reports.  Net electricity generated data </w:t>
      </w:r>
      <w:r w:rsidR="00673261">
        <w:t xml:space="preserve">reported on Annex A to Appendix G </w:t>
      </w:r>
      <w:r w:rsidR="00723101">
        <w:t>are</w:t>
      </w:r>
      <w:r>
        <w:t xml:space="preserve"> used by EIA to verify </w:t>
      </w:r>
      <w:r w:rsidR="00673261">
        <w:t xml:space="preserve">consistency with </w:t>
      </w:r>
      <w:r>
        <w:t xml:space="preserve">data reported on other surveys, or as a source of energy loss and pumped storage data that may not be available on </w:t>
      </w:r>
      <w:r>
        <w:lastRenderedPageBreak/>
        <w:t xml:space="preserve">other surveys.  </w:t>
      </w:r>
      <w:r w:rsidR="00673261">
        <w:t>The requirement to check for data consistency across sources for net electricity generation is discussed in the Final Rule on the Standard Contract</w:t>
      </w:r>
      <w:r w:rsidR="009C69A6">
        <w:t xml:space="preserve"> for Disposal of Spent Nuclear Fuel and/or High-Level Radioactive Waste,</w:t>
      </w:r>
      <w:r w:rsidR="00673261">
        <w:t xml:space="preserve"> </w:t>
      </w:r>
      <w:r w:rsidR="009C69A6">
        <w:t>56 F</w:t>
      </w:r>
      <w:r w:rsidR="00673261">
        <w:t xml:space="preserve">R </w:t>
      </w:r>
      <w:r w:rsidR="009C69A6">
        <w:t>67648 (December 31, 1991</w:t>
      </w:r>
      <w:r w:rsidR="00673261">
        <w:t xml:space="preserve">) and the proposed Management Plan for EIA’s support activities to the Nuclear Waste Policy Act Project Office </w:t>
      </w:r>
      <w:r w:rsidR="009C69A6">
        <w:t>(NWPAPO), dated September 16, 1983.</w:t>
      </w:r>
      <w:r w:rsidR="00673261">
        <w:t xml:space="preserve"> </w:t>
      </w:r>
      <w:r>
        <w:t xml:space="preserve">Adjustment factor data </w:t>
      </w:r>
      <w:r w:rsidR="00723101">
        <w:t>are</w:t>
      </w:r>
      <w:r>
        <w:t xml:space="preserve"> used to determine energy loss</w:t>
      </w:r>
      <w:r w:rsidR="00723101">
        <w:t>es and</w:t>
      </w:r>
      <w:r>
        <w:t xml:space="preserve"> the distribution of electricity sales between sales for resale and sales to ultimate consumers.  Data from the Appendix G and Annex A to Appendix G forms are not made available to users outside of DOE</w:t>
      </w:r>
      <w:r w:rsidR="000C651B">
        <w:t>.</w:t>
      </w:r>
    </w:p>
    <w:p w:rsidR="008205AD" w:rsidRDefault="008205AD" w:rsidP="00F44A02">
      <w:pPr>
        <w:pStyle w:val="Heading2"/>
      </w:pPr>
      <w:bookmarkStart w:id="5" w:name="_Toc418074682"/>
      <w:r>
        <w:t>Use of Information Technology</w:t>
      </w:r>
      <w:bookmarkEnd w:id="5"/>
    </w:p>
    <w:p w:rsidR="00AE62EF" w:rsidRDefault="00AE62EF" w:rsidP="00AE62EF">
      <w:r>
        <w:t>EIA continues to use information technology to improve reporting options.  Beginning in 1999, DOE distributed an automated software package, the Remittance Advice Reporting System (RAPS), to the NWPA-830G respondents to reduce reporting burden.  This computer-based system required respondents to enter only those data that changed from quarter to quarter, and provided computer-generated Remittance Advice forms in lieu of the four-part Appendix G and Annex A to Appendix G forms, which had previously been supplied as paper forms.</w:t>
      </w:r>
    </w:p>
    <w:p w:rsidR="0012646F" w:rsidRDefault="00AE62EF" w:rsidP="00AE62EF">
      <w:r>
        <w:t>In mid-2013, DOE replaced RAPS with an online fillable PDF version of the Remittance Advice forms. While respondents may continue to use the RAPS software, they are responsible for ensuring that all data and calculations are correct. Completed Remittance Advice forms must be printed out, signed, and returned to DOE in accordance with the provisions of the Standard Contract</w:t>
      </w:r>
      <w:r w:rsidR="000C651B">
        <w:t>.</w:t>
      </w:r>
    </w:p>
    <w:p w:rsidR="000C651B" w:rsidRPr="007F116D" w:rsidRDefault="000C651B" w:rsidP="00F44A02">
      <w:pPr>
        <w:pStyle w:val="Heading2"/>
      </w:pPr>
      <w:bookmarkStart w:id="6" w:name="_Toc334544804"/>
      <w:bookmarkStart w:id="7" w:name="_Toc334545000"/>
      <w:bookmarkStart w:id="8" w:name="_Toc334552619"/>
      <w:bookmarkStart w:id="9" w:name="_Toc334544805"/>
      <w:bookmarkStart w:id="10" w:name="_Toc334545001"/>
      <w:bookmarkStart w:id="11" w:name="_Toc334552620"/>
      <w:bookmarkStart w:id="12" w:name="_Toc334544806"/>
      <w:bookmarkStart w:id="13" w:name="_Toc334545002"/>
      <w:bookmarkStart w:id="14" w:name="_Toc334552621"/>
      <w:bookmarkStart w:id="15" w:name="_Toc418074683"/>
      <w:bookmarkEnd w:id="6"/>
      <w:bookmarkEnd w:id="7"/>
      <w:bookmarkEnd w:id="8"/>
      <w:bookmarkEnd w:id="9"/>
      <w:bookmarkEnd w:id="10"/>
      <w:bookmarkEnd w:id="11"/>
      <w:bookmarkEnd w:id="12"/>
      <w:bookmarkEnd w:id="13"/>
      <w:bookmarkEnd w:id="14"/>
      <w:r w:rsidRPr="00CE3E6E">
        <w:t xml:space="preserve">Efforts to </w:t>
      </w:r>
      <w:r w:rsidR="00CE3E6E" w:rsidRPr="00CE3E6E">
        <w:t>Identify Duplication and Analysis of Similar Existing Information</w:t>
      </w:r>
      <w:bookmarkEnd w:id="15"/>
    </w:p>
    <w:p w:rsidR="00AE62EF" w:rsidRDefault="00AE62EF" w:rsidP="00AE62EF">
      <w:r>
        <w:t>As part of a continuing effort to avoid duplication, EIA routinely reviews and evaluates information from a variety of sources, including other federal agencies, industry trade associations, state governments, and commercial information services to identify instances of duplication.</w:t>
      </w:r>
    </w:p>
    <w:p w:rsidR="000C651B" w:rsidRDefault="001A2797" w:rsidP="00AE62EF">
      <w:r>
        <w:t>Monthly and annual n</w:t>
      </w:r>
      <w:r w:rsidR="00AE62EF">
        <w:t>et electricity data are collected on other EIA surveys</w:t>
      </w:r>
      <w:r w:rsidR="00274697">
        <w:t>,</w:t>
      </w:r>
      <w:r w:rsidR="00AE62EF">
        <w:t xml:space="preserve"> </w:t>
      </w:r>
      <w:r w:rsidR="00C640FD">
        <w:t xml:space="preserve">including </w:t>
      </w:r>
      <w:r w:rsidR="00274697">
        <w:t>the Form EIA-860, Annual Electric Generator Report</w:t>
      </w:r>
      <w:r w:rsidR="00C640FD">
        <w:t xml:space="preserve">, </w:t>
      </w:r>
      <w:r>
        <w:t xml:space="preserve">the Form EIA-860M, Monthly Update to the Annual Electricity Generator Report, </w:t>
      </w:r>
      <w:r w:rsidR="00C640FD">
        <w:t xml:space="preserve">and the Form </w:t>
      </w:r>
      <w:r>
        <w:t>EIA-92</w:t>
      </w:r>
      <w:r w:rsidR="00C640FD">
        <w:t>3, Power Plant Operations Report</w:t>
      </w:r>
      <w:r>
        <w:t xml:space="preserve"> (with both monthly and annual collections</w:t>
      </w:r>
      <w:r w:rsidR="00274697">
        <w:t>)</w:t>
      </w:r>
      <w:r w:rsidR="00A94F87">
        <w:t>.</w:t>
      </w:r>
      <w:r w:rsidR="00AE62EF">
        <w:t xml:space="preserve"> </w:t>
      </w:r>
      <w:r w:rsidR="00A94F87">
        <w:t xml:space="preserve">However, </w:t>
      </w:r>
      <w:r w:rsidR="00AE62EF">
        <w:t xml:space="preserve">the Form NWPA-830G, “Appendix G - Standard Remittance Advice for Payment of Fees,” including Annex A to Appendix G, is the only source of quarterly </w:t>
      </w:r>
      <w:r w:rsidR="00A94F87">
        <w:t xml:space="preserve">net electricity </w:t>
      </w:r>
      <w:r w:rsidR="00AE62EF">
        <w:t xml:space="preserve">data.  While it may appear that the quarterly data may be obtained by simply summing monthly </w:t>
      </w:r>
      <w:r w:rsidR="00A94F87">
        <w:t xml:space="preserve">or apportioning annual </w:t>
      </w:r>
      <w:r w:rsidR="00AE62EF">
        <w:t xml:space="preserve">data from </w:t>
      </w:r>
      <w:r w:rsidR="00C640FD">
        <w:t xml:space="preserve">the </w:t>
      </w:r>
      <w:r w:rsidR="00AE62EF">
        <w:t xml:space="preserve">other surveys, this is not always the case.  Differences in the reporting of energy losses, station electricity use, pumped </w:t>
      </w:r>
      <w:r w:rsidR="00AE62EF">
        <w:lastRenderedPageBreak/>
        <w:t>storage losses, and energy furnished without charge require that purchasers report their quarterly data on the Form NWPA-830G.  The reporting of this quarterly data also ensures a complete audit trail of fee payment supporting data.  Because fee data are primarily used by DOE’s Energy Finance and Accounting Service Center and the Office of Standard Contract Management, it is imperative that all data are available on a single form</w:t>
      </w:r>
      <w:r w:rsidR="000C651B">
        <w:t>.</w:t>
      </w:r>
      <w:r w:rsidR="00805F54">
        <w:t xml:space="preserve"> </w:t>
      </w:r>
      <w:r w:rsidR="001F2EB5">
        <w:t>U.S. nuclear e</w:t>
      </w:r>
      <w:r w:rsidR="00805F54">
        <w:t xml:space="preserve">lectricity generation </w:t>
      </w:r>
      <w:r w:rsidR="001F2EB5">
        <w:t xml:space="preserve">capacity and spent fuel storage </w:t>
      </w:r>
      <w:r w:rsidR="00805F54">
        <w:t>data</w:t>
      </w:r>
      <w:r w:rsidR="001F2EB5">
        <w:t xml:space="preserve"> are available from the Nuclear Regulatory Commission (NRC); however, the NRC </w:t>
      </w:r>
      <w:r w:rsidR="00D67552">
        <w:t xml:space="preserve">data do not include </w:t>
      </w:r>
      <w:r w:rsidR="001F2EB5">
        <w:t xml:space="preserve">several variables required to determine the amount of net electricity generated and sold, on which fees paid into the Nuclear Waste Fund are based. </w:t>
      </w:r>
    </w:p>
    <w:p w:rsidR="000C651B" w:rsidRPr="007F116D" w:rsidRDefault="000C651B" w:rsidP="00F44A02">
      <w:pPr>
        <w:pStyle w:val="Heading2"/>
      </w:pPr>
      <w:bookmarkStart w:id="16" w:name="_Toc418074684"/>
      <w:r w:rsidRPr="00CE3E6E">
        <w:t>Burden Reduction for Small Businesses and Small Entities</w:t>
      </w:r>
      <w:bookmarkEnd w:id="16"/>
    </w:p>
    <w:p w:rsidR="000C651B" w:rsidRDefault="00AE62EF" w:rsidP="007A7696">
      <w:pPr>
        <w:spacing w:before="120" w:beforeAutospacing="0"/>
      </w:pPr>
      <w:r w:rsidRPr="00AE62EF">
        <w:t>This collection of information does not involve small businesses or other small entities.  All respondents are either major commercial utilities or operating companies</w:t>
      </w:r>
      <w:r w:rsidR="000C651B">
        <w:t>.</w:t>
      </w:r>
    </w:p>
    <w:p w:rsidR="000C651B" w:rsidRPr="00505CCA" w:rsidRDefault="00CE3E6E" w:rsidP="00F44A02">
      <w:pPr>
        <w:pStyle w:val="Heading2"/>
      </w:pPr>
      <w:bookmarkStart w:id="17" w:name="_Toc418074685"/>
      <w:r w:rsidRPr="00505CCA">
        <w:t>Consequences of Less Frequent Reporting</w:t>
      </w:r>
      <w:bookmarkEnd w:id="17"/>
    </w:p>
    <w:p w:rsidR="00CE3E6E" w:rsidRPr="007A4769" w:rsidRDefault="00AB628E" w:rsidP="006F6B2A">
      <w:r w:rsidRPr="00B55846">
        <w:t xml:space="preserve">The Form </w:t>
      </w:r>
      <w:r>
        <w:t>NWPA-830G, “Appendix G - Standard Remittance Advice for Payment of Fees,” including</w:t>
      </w:r>
      <w:r w:rsidRPr="00B55846">
        <w:t xml:space="preserve"> Annex A to Appendix G</w:t>
      </w:r>
      <w:r>
        <w:t>,</w:t>
      </w:r>
      <w:r w:rsidRPr="00B55846">
        <w:t xml:space="preserve"> are required </w:t>
      </w:r>
      <w:r>
        <w:t xml:space="preserve">to be submitted </w:t>
      </w:r>
      <w:r w:rsidRPr="00B55846">
        <w:t>quarterly</w:t>
      </w:r>
      <w:r>
        <w:t xml:space="preserve"> per the Standard Contract. </w:t>
      </w:r>
      <w:r w:rsidRPr="00B55846">
        <w:t xml:space="preserve"> </w:t>
      </w:r>
      <w:r>
        <w:t xml:space="preserve">Prior to the fee reduction, this helped </w:t>
      </w:r>
      <w:r w:rsidRPr="00B55846">
        <w:t xml:space="preserve">ensure the accuracy of the </w:t>
      </w:r>
      <w:r>
        <w:t xml:space="preserve">mandated </w:t>
      </w:r>
      <w:r w:rsidRPr="00B55846">
        <w:t>fees and minimize</w:t>
      </w:r>
      <w:r>
        <w:t>d</w:t>
      </w:r>
      <w:r w:rsidRPr="00B55846">
        <w:t xml:space="preserve"> interest payments when errors </w:t>
      </w:r>
      <w:r>
        <w:t>were</w:t>
      </w:r>
      <w:r w:rsidRPr="00B55846">
        <w:t xml:space="preserve"> made. </w:t>
      </w:r>
      <w:r>
        <w:t xml:space="preserve">DOE requires continued quarterly </w:t>
      </w:r>
      <w:r w:rsidRPr="00010ADF">
        <w:t xml:space="preserve">collection </w:t>
      </w:r>
      <w:r>
        <w:t xml:space="preserve">to </w:t>
      </w:r>
      <w:r w:rsidRPr="00010ADF">
        <w:t>verif</w:t>
      </w:r>
      <w:r>
        <w:t>y</w:t>
      </w:r>
      <w:r w:rsidRPr="00010ADF">
        <w:t xml:space="preserve"> net electricity generation data and estimat</w:t>
      </w:r>
      <w:r>
        <w:t>es</w:t>
      </w:r>
      <w:r w:rsidRPr="00010ADF">
        <w:t xml:space="preserve"> of the spent nuclear fuel disposal fees that would otherwise accrue from this generation</w:t>
      </w:r>
      <w:r w:rsidR="009E2974">
        <w:t>.</w:t>
      </w:r>
    </w:p>
    <w:p w:rsidR="000C651B" w:rsidRDefault="000C651B" w:rsidP="00F44A02">
      <w:pPr>
        <w:pStyle w:val="Heading2"/>
      </w:pPr>
      <w:bookmarkStart w:id="18" w:name="_Toc418074686"/>
      <w:r w:rsidRPr="00CE3E6E">
        <w:t>Special Circumstances</w:t>
      </w:r>
      <w:bookmarkEnd w:id="18"/>
    </w:p>
    <w:p w:rsidR="00CE3E6E" w:rsidRPr="00CE3E6E" w:rsidRDefault="00CE3E6E" w:rsidP="007A4769">
      <w:pPr>
        <w:spacing w:before="120" w:beforeAutospacing="0"/>
      </w:pPr>
      <w:r w:rsidRPr="00CE3E6E">
        <w:t>There are no</w:t>
      </w:r>
      <w:r w:rsidR="008205AD">
        <w:t>t any</w:t>
      </w:r>
      <w:r w:rsidRPr="00CE3E6E">
        <w:t xml:space="preserve"> special circumstances for the</w:t>
      </w:r>
      <w:r w:rsidR="007A4769">
        <w:t xml:space="preserve"> </w:t>
      </w:r>
      <w:r w:rsidR="00B3329A">
        <w:t>NWPA-830G</w:t>
      </w:r>
      <w:r w:rsidR="007A4769">
        <w:t xml:space="preserve"> data</w:t>
      </w:r>
      <w:r w:rsidRPr="00CE3E6E">
        <w:t xml:space="preserve"> collection.</w:t>
      </w:r>
    </w:p>
    <w:p w:rsidR="000C651B" w:rsidRPr="00505CCA" w:rsidRDefault="000C651B" w:rsidP="00F44A02">
      <w:pPr>
        <w:pStyle w:val="Heading2"/>
      </w:pPr>
      <w:bookmarkStart w:id="19" w:name="_Toc418074687"/>
      <w:r w:rsidRPr="00505CCA">
        <w:t xml:space="preserve">Summary of Consultation </w:t>
      </w:r>
      <w:proofErr w:type="gramStart"/>
      <w:r w:rsidRPr="00505CCA">
        <w:t>Outside</w:t>
      </w:r>
      <w:proofErr w:type="gramEnd"/>
      <w:r w:rsidRPr="00505CCA">
        <w:t xml:space="preserve"> EIA</w:t>
      </w:r>
      <w:bookmarkEnd w:id="19"/>
    </w:p>
    <w:p w:rsidR="00834E66" w:rsidRDefault="00B3329A" w:rsidP="00143E2F">
      <w:pPr>
        <w:spacing w:before="120" w:beforeAutospacing="0"/>
      </w:pPr>
      <w:r w:rsidRPr="00B55846">
        <w:t xml:space="preserve">A </w:t>
      </w:r>
      <w:r w:rsidRPr="00262BC2">
        <w:t>Federal Register</w:t>
      </w:r>
      <w:r w:rsidRPr="00B55846">
        <w:t xml:space="preserve"> notice </w:t>
      </w:r>
      <w:r w:rsidR="009C73ED">
        <w:t>(</w:t>
      </w:r>
      <w:hyperlink r:id="rId19" w:history="1">
        <w:r w:rsidR="0061779F">
          <w:rPr>
            <w:rStyle w:val="Hyperlink"/>
          </w:rPr>
          <w:t>80 FR 36</w:t>
        </w:r>
        <w:r w:rsidR="0061779F">
          <w:rPr>
            <w:rStyle w:val="Hyperlink"/>
          </w:rPr>
          <w:t>5</w:t>
        </w:r>
        <w:r w:rsidR="0061779F">
          <w:rPr>
            <w:rStyle w:val="Hyperlink"/>
          </w:rPr>
          <w:t>36</w:t>
        </w:r>
      </w:hyperlink>
      <w:bookmarkStart w:id="20" w:name="_GoBack"/>
      <w:bookmarkEnd w:id="20"/>
      <w:r w:rsidR="009C73ED">
        <w:t xml:space="preserve">) </w:t>
      </w:r>
      <w:r w:rsidRPr="00B55846">
        <w:t xml:space="preserve">was published </w:t>
      </w:r>
      <w:r w:rsidR="009C73ED">
        <w:t>June 25</w:t>
      </w:r>
      <w:r w:rsidR="00FE7E5E">
        <w:t>, 2015</w:t>
      </w:r>
      <w:r w:rsidRPr="00B55846">
        <w:t xml:space="preserve">, giving the public an opportunity to comment on the proposed three-year extension to the Form </w:t>
      </w:r>
      <w:r>
        <w:t>NWPA-830G</w:t>
      </w:r>
      <w:r w:rsidRPr="00B55846">
        <w:t>, “Appendix G - Standard Remittance Advice for Payment of Fees</w:t>
      </w:r>
      <w:r>
        <w:t>,</w:t>
      </w:r>
      <w:r w:rsidRPr="00B55846">
        <w:t>”</w:t>
      </w:r>
      <w:r w:rsidRPr="00D113DC">
        <w:t xml:space="preserve"> </w:t>
      </w:r>
      <w:r w:rsidRPr="00B55846">
        <w:t xml:space="preserve">including Annex A </w:t>
      </w:r>
      <w:r>
        <w:t>to</w:t>
      </w:r>
      <w:r w:rsidRPr="00B55846">
        <w:t xml:space="preserve"> Appendix G.  EIA received no comments to the </w:t>
      </w:r>
      <w:r w:rsidRPr="00262BC2">
        <w:t>Federal Register</w:t>
      </w:r>
      <w:r w:rsidRPr="00B55846">
        <w:t xml:space="preserve"> notice</w:t>
      </w:r>
      <w:r w:rsidR="00CE3E6E" w:rsidRPr="00B1558B">
        <w:t>.</w:t>
      </w:r>
    </w:p>
    <w:p w:rsidR="007E5559" w:rsidRDefault="00834E66" w:rsidP="00E573C4">
      <w:pPr>
        <w:spacing w:before="480" w:beforeAutospacing="0" w:after="0" w:afterAutospacing="0"/>
        <w:rPr>
          <w:snapToGrid/>
          <w:szCs w:val="24"/>
        </w:rPr>
      </w:pPr>
      <w:r w:rsidRPr="00FE7E5E">
        <w:rPr>
          <w:u w:val="single"/>
        </w:rPr>
        <w:t xml:space="preserve">Summary of Responses to Federal Register Notice of </w:t>
      </w:r>
      <w:r w:rsidR="009C73ED">
        <w:rPr>
          <w:u w:val="single"/>
        </w:rPr>
        <w:t>June 25</w:t>
      </w:r>
      <w:r w:rsidR="00B612BD" w:rsidRPr="00FE7E5E">
        <w:rPr>
          <w:u w:val="single"/>
        </w:rPr>
        <w:t xml:space="preserve">, </w:t>
      </w:r>
      <w:r w:rsidR="00FE7E5E" w:rsidRPr="00FE7E5E">
        <w:rPr>
          <w:u w:val="single"/>
        </w:rPr>
        <w:t>201</w:t>
      </w:r>
      <w:r w:rsidR="00FE7E5E">
        <w:rPr>
          <w:u w:val="single"/>
        </w:rPr>
        <w:t>5</w:t>
      </w:r>
      <w:r w:rsidRPr="00FE7E5E">
        <w:t>:</w:t>
      </w:r>
    </w:p>
    <w:p w:rsidR="00833C26" w:rsidRDefault="00833C26" w:rsidP="00E573C4">
      <w:pPr>
        <w:spacing w:before="120" w:beforeAutospacing="0"/>
        <w:rPr>
          <w:snapToGrid/>
          <w:szCs w:val="24"/>
        </w:rPr>
      </w:pPr>
      <w:r>
        <w:rPr>
          <w:snapToGrid/>
          <w:szCs w:val="24"/>
        </w:rPr>
        <w:t xml:space="preserve">As of August </w:t>
      </w:r>
      <w:r w:rsidR="009C73ED">
        <w:rPr>
          <w:snapToGrid/>
          <w:szCs w:val="24"/>
        </w:rPr>
        <w:t>25</w:t>
      </w:r>
      <w:r>
        <w:rPr>
          <w:snapToGrid/>
          <w:szCs w:val="24"/>
        </w:rPr>
        <w:t xml:space="preserve">, </w:t>
      </w:r>
      <w:r w:rsidR="009C73ED">
        <w:rPr>
          <w:snapToGrid/>
          <w:szCs w:val="24"/>
        </w:rPr>
        <w:t>2015</w:t>
      </w:r>
      <w:r>
        <w:rPr>
          <w:snapToGrid/>
          <w:szCs w:val="24"/>
        </w:rPr>
        <w:t xml:space="preserve">, there were </w:t>
      </w:r>
      <w:r w:rsidR="009C73ED">
        <w:rPr>
          <w:snapToGrid/>
          <w:szCs w:val="24"/>
        </w:rPr>
        <w:t xml:space="preserve">no </w:t>
      </w:r>
      <w:r>
        <w:rPr>
          <w:snapToGrid/>
          <w:szCs w:val="24"/>
        </w:rPr>
        <w:t xml:space="preserve">responses to the Federal Register Notice.  </w:t>
      </w:r>
    </w:p>
    <w:p w:rsidR="008A64E5" w:rsidRPr="00505CCA" w:rsidRDefault="00505CCA" w:rsidP="00F44A02">
      <w:pPr>
        <w:pStyle w:val="Heading2"/>
      </w:pPr>
      <w:bookmarkStart w:id="21" w:name="_Toc418074688"/>
      <w:r>
        <w:lastRenderedPageBreak/>
        <w:t>Remuneration</w:t>
      </w:r>
      <w:bookmarkEnd w:id="21"/>
    </w:p>
    <w:p w:rsidR="008A64E5" w:rsidRPr="00F709A9" w:rsidRDefault="00B3329A" w:rsidP="00F371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beforeAutospacing="0"/>
        <w:rPr>
          <w:u w:val="single"/>
        </w:rPr>
      </w:pPr>
      <w:r w:rsidRPr="00B55846">
        <w:t>There are no provisions for payments to respondents</w:t>
      </w:r>
      <w:r w:rsidR="008A64E5">
        <w:t>.</w:t>
      </w:r>
    </w:p>
    <w:p w:rsidR="008A64E5" w:rsidRDefault="00C22399" w:rsidP="00F44A02">
      <w:pPr>
        <w:pStyle w:val="Heading2"/>
      </w:pPr>
      <w:bookmarkStart w:id="22" w:name="_Toc418074689"/>
      <w:r>
        <w:t>Disclosure</w:t>
      </w:r>
      <w:r w:rsidR="008A64E5" w:rsidRPr="00EA2968">
        <w:t xml:space="preserve"> of Information</w:t>
      </w:r>
      <w:bookmarkEnd w:id="22"/>
    </w:p>
    <w:p w:rsidR="00B3329A" w:rsidRPr="00B55846" w:rsidRDefault="00B3329A" w:rsidP="00B3329A">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pPr>
      <w:bookmarkStart w:id="23" w:name="OLE_LINK7"/>
      <w:bookmarkStart w:id="24" w:name="OLE_LINK8"/>
      <w:r w:rsidRPr="00B55846">
        <w:t>The information is collected under the Standard Contract for Disposal of Spent Nuclear Fuel and/or High-Level Radioactive Waste.  In accordance with the terms of that contract, companies are allowed to mark any data supplied under the contract as</w:t>
      </w:r>
      <w:r>
        <w:t xml:space="preserve"> “proprietary data.”</w:t>
      </w:r>
      <w:r w:rsidRPr="00B55846">
        <w:t xml:space="preserve">  See </w:t>
      </w:r>
      <w:proofErr w:type="gramStart"/>
      <w:r w:rsidRPr="00B55846">
        <w:t>10 C.F.R. 961.11, Article XXI - Rights in Technical Data</w:t>
      </w:r>
      <w:proofErr w:type="gramEnd"/>
      <w:r w:rsidRPr="00B55846">
        <w:t xml:space="preserve">.  Although a large part of the information furnished is publicly available, this information is not typically published by </w:t>
      </w:r>
      <w:r>
        <w:t>DOE</w:t>
      </w:r>
      <w:r w:rsidRPr="00B55846">
        <w:t xml:space="preserve">.  If a request for the information is received, to the extent that information is not in the public domain or has been marked as </w:t>
      </w:r>
      <w:r>
        <w:t>“proprietary data,”</w:t>
      </w:r>
      <w:r w:rsidRPr="00B55846">
        <w:t xml:space="preserve"> the procedures listed below will be followed.  </w:t>
      </w:r>
    </w:p>
    <w:p w:rsidR="00B3329A" w:rsidRPr="00B55846" w:rsidRDefault="00B3329A" w:rsidP="00B3329A">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pPr>
      <w:r>
        <w:t>The information reported on Form NWPA-830G will be protected and not disclosed to the public to the extent that it satisfies the criteria for exemption under the Freedom of Information Act (FOIA), 5 U.S.C. §552, DOE regulations implementing the FOIA, 10 C.F.R. §1004.11, and the Trade Secrets Act, 18 U.S.C. §1905.</w:t>
      </w:r>
    </w:p>
    <w:p w:rsidR="00B3329A" w:rsidRPr="00B55846" w:rsidRDefault="00B3329A" w:rsidP="00B3329A">
      <w:pPr>
        <w:pStyle w:val="BodyTextIndent"/>
        <w:ind w:left="0"/>
      </w:pPr>
      <w:r>
        <w:t>The Federal Energy Administration Act requires EIA to provide company-specific data to other federal agencies when requested for official use. The information reported on this form may also be made available, upon request, to another DOE component,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0C651B" w:rsidRPr="00D22F4C" w:rsidRDefault="00B3329A" w:rsidP="00B3329A">
      <w:pPr>
        <w:rPr>
          <w:color w:val="000000"/>
        </w:rPr>
      </w:pPr>
      <w:r>
        <w:t>EIA has an agreement to provide company-specific information to DOE’s Office of Standard Contract Management. The data are used for administrative, regulatory, and adjudicatory purposes only. Disclosure limitation procedures are not applied to the statistical data derived from this survey’s information. The agreement requires that the information is protected and not disclosed to the public as set forth above</w:t>
      </w:r>
      <w:r w:rsidR="000C651B" w:rsidRPr="00D22F4C">
        <w:rPr>
          <w:color w:val="000000"/>
        </w:rPr>
        <w:t>.</w:t>
      </w:r>
    </w:p>
    <w:p w:rsidR="000C651B" w:rsidRPr="007F116D" w:rsidRDefault="000C651B" w:rsidP="00F44A02">
      <w:pPr>
        <w:pStyle w:val="Heading2"/>
      </w:pPr>
      <w:bookmarkStart w:id="25" w:name="_Toc336849154"/>
      <w:bookmarkStart w:id="26" w:name="_Toc336849598"/>
      <w:bookmarkStart w:id="27" w:name="_Toc418074690"/>
      <w:bookmarkEnd w:id="23"/>
      <w:bookmarkEnd w:id="24"/>
      <w:bookmarkEnd w:id="25"/>
      <w:bookmarkEnd w:id="26"/>
      <w:r w:rsidRPr="00EA2968">
        <w:t xml:space="preserve">Justification for </w:t>
      </w:r>
      <w:r w:rsidR="00EA2968" w:rsidRPr="00EA2968">
        <w:t>Q</w:t>
      </w:r>
      <w:r w:rsidRPr="00EA2968">
        <w:t>uestions</w:t>
      </w:r>
      <w:r w:rsidR="00EA2968" w:rsidRPr="00EA2968">
        <w:t xml:space="preserve"> of a Sensitive Nature</w:t>
      </w:r>
      <w:bookmarkEnd w:id="27"/>
    </w:p>
    <w:p w:rsidR="00A61316" w:rsidRDefault="00B3329A" w:rsidP="00456483">
      <w:pPr>
        <w:spacing w:before="120" w:beforeAutospacing="0"/>
      </w:pPr>
      <w:r w:rsidRPr="00B55846">
        <w:t>There are no questions of a sensitive nature in these data collections</w:t>
      </w:r>
      <w:r w:rsidR="000C651B">
        <w:t>.</w:t>
      </w:r>
    </w:p>
    <w:p w:rsidR="000C651B" w:rsidRPr="00505CCA" w:rsidRDefault="000C651B" w:rsidP="00F44A02">
      <w:pPr>
        <w:pStyle w:val="Heading2"/>
      </w:pPr>
      <w:bookmarkStart w:id="28" w:name="_Toc418074691"/>
      <w:r w:rsidRPr="00505CCA">
        <w:t>Estimate of Respondent Burden (Hours</w:t>
      </w:r>
      <w:r w:rsidR="00EA2968" w:rsidRPr="00505CCA">
        <w:t xml:space="preserve"> and Cost</w:t>
      </w:r>
      <w:r w:rsidRPr="00505CCA">
        <w:t>)</w:t>
      </w:r>
      <w:bookmarkEnd w:id="28"/>
    </w:p>
    <w:p w:rsidR="002F10EA" w:rsidRDefault="000C651B" w:rsidP="002F10EA">
      <w:pPr>
        <w:spacing w:before="120" w:beforeAutospacing="0"/>
      </w:pPr>
      <w:r w:rsidRPr="00A32CCA">
        <w:t>The estimate of respondent burden f</w:t>
      </w:r>
      <w:r w:rsidR="00A61F75" w:rsidRPr="00A32CCA">
        <w:t xml:space="preserve">or the </w:t>
      </w:r>
      <w:r w:rsidR="002F10EA">
        <w:t>F</w:t>
      </w:r>
      <w:r w:rsidR="00A61F75" w:rsidRPr="00A32CCA">
        <w:t xml:space="preserve">orm </w:t>
      </w:r>
      <w:r w:rsidR="002F10EA" w:rsidRPr="002F10EA">
        <w:t>NWPA-830G</w:t>
      </w:r>
      <w:r w:rsidR="002F10EA">
        <w:t>,</w:t>
      </w:r>
      <w:r w:rsidR="002F10EA" w:rsidRPr="002F10EA">
        <w:t xml:space="preserve"> </w:t>
      </w:r>
      <w:r w:rsidR="002F10EA">
        <w:t xml:space="preserve">“Appendix G - Standard </w:t>
      </w:r>
      <w:r w:rsidR="002F10EA">
        <w:lastRenderedPageBreak/>
        <w:t xml:space="preserve">Remittance Advice for Payment of Fees,” including </w:t>
      </w:r>
      <w:r w:rsidR="002F10EA" w:rsidRPr="00B55846">
        <w:t>Annex A</w:t>
      </w:r>
      <w:r w:rsidR="002F10EA">
        <w:t xml:space="preserve"> to Appendix G, is</w:t>
      </w:r>
      <w:r w:rsidRPr="00A32CCA">
        <w:t xml:space="preserve"> listed in </w:t>
      </w:r>
      <w:r w:rsidR="007E5559">
        <w:t>Table A1</w:t>
      </w:r>
      <w:r w:rsidR="00B40029">
        <w:t xml:space="preserve">.  </w:t>
      </w:r>
      <w:r w:rsidRPr="00A32CCA">
        <w:t xml:space="preserve">The overall annual respondent burden is estimated to be </w:t>
      </w:r>
      <w:r w:rsidR="00B40029">
        <w:t>2</w:t>
      </w:r>
      <w:r w:rsidR="002F10EA">
        <w:t>,000</w:t>
      </w:r>
      <w:r w:rsidRPr="00A32CCA">
        <w:t xml:space="preserve"> hours for </w:t>
      </w:r>
      <w:r w:rsidR="008B6BA2">
        <w:t>201</w:t>
      </w:r>
      <w:r w:rsidR="002F10EA">
        <w:t>5</w:t>
      </w:r>
      <w:r w:rsidRPr="00A32CCA">
        <w:t>.</w:t>
      </w:r>
      <w:r w:rsidR="00EA2968">
        <w:rPr>
          <w:color w:val="FF0000"/>
        </w:rPr>
        <w:t xml:space="preserve">  </w:t>
      </w:r>
      <w:r w:rsidR="00EA2968">
        <w:t xml:space="preserve">The estimated costs to respondents for the burden hours are estimated to </w:t>
      </w:r>
      <w:r w:rsidR="00EA2968" w:rsidRPr="00F31A0A">
        <w:rPr>
          <w:szCs w:val="24"/>
        </w:rPr>
        <w:t>be $</w:t>
      </w:r>
      <w:r w:rsidR="002F10EA">
        <w:rPr>
          <w:szCs w:val="24"/>
        </w:rPr>
        <w:t>143,940</w:t>
      </w:r>
      <w:r w:rsidR="00EA2968">
        <w:rPr>
          <w:szCs w:val="24"/>
        </w:rPr>
        <w:t xml:space="preserve"> </w:t>
      </w:r>
      <w:r w:rsidR="00EA2968">
        <w:t>(</w:t>
      </w:r>
      <w:r w:rsidR="00B40029">
        <w:t>2</w:t>
      </w:r>
      <w:r w:rsidR="002F10EA">
        <w:t>,000</w:t>
      </w:r>
      <w:r w:rsidR="00EA2968">
        <w:t xml:space="preserve"> hours times </w:t>
      </w:r>
      <w:r w:rsidR="00EA2968" w:rsidRPr="002F6AC6">
        <w:rPr>
          <w:color w:val="000000"/>
        </w:rPr>
        <w:t>$</w:t>
      </w:r>
      <w:r w:rsidR="002F10EA">
        <w:rPr>
          <w:color w:val="000000"/>
        </w:rPr>
        <w:t>71</w:t>
      </w:r>
      <w:r w:rsidR="00B40029">
        <w:rPr>
          <w:color w:val="000000"/>
        </w:rPr>
        <w:t>.</w:t>
      </w:r>
      <w:r w:rsidR="002F10EA">
        <w:rPr>
          <w:color w:val="000000"/>
        </w:rPr>
        <w:t>97</w:t>
      </w:r>
      <w:r w:rsidR="00EA2968">
        <w:t xml:space="preserve"> per hour) for 20</w:t>
      </w:r>
      <w:r w:rsidR="008B6BA2">
        <w:t>1</w:t>
      </w:r>
      <w:r w:rsidR="002F10EA">
        <w:t>5</w:t>
      </w:r>
      <w:r w:rsidR="00EA2968">
        <w:t xml:space="preserve">.  </w:t>
      </w:r>
      <w:r w:rsidR="00EA2968" w:rsidRPr="0009331A">
        <w:t>An average cost per hour of $</w:t>
      </w:r>
      <w:r w:rsidR="002F10EA">
        <w:t>71.97</w:t>
      </w:r>
      <w:r w:rsidR="00EA2968" w:rsidRPr="0009331A">
        <w:t xml:space="preserve"> is used because that is the average loaded (salary plus benefits) cost for an EIA employee</w:t>
      </w:r>
      <w:r w:rsidR="00212EFE">
        <w:t xml:space="preserve"> </w:t>
      </w:r>
      <w:r w:rsidR="002F10EA" w:rsidRPr="00B55846">
        <w:t>assigned to data survey work</w:t>
      </w:r>
      <w:r w:rsidR="002F10EA">
        <w:t xml:space="preserve"> </w:t>
      </w:r>
      <w:r w:rsidR="00212EFE">
        <w:t>at the time of this writing</w:t>
      </w:r>
      <w:r w:rsidR="00EA2968" w:rsidRPr="0009331A">
        <w:t>.  EIA assumes that the survey respondent workforce completing surveys for EIA is comparable with the EIA workforce.</w:t>
      </w:r>
    </w:p>
    <w:p w:rsidR="005A2E29" w:rsidRDefault="005A2E29" w:rsidP="002F10EA">
      <w:pPr>
        <w:spacing w:before="120" w:beforeAutospacing="0"/>
        <w:rPr>
          <w:b/>
        </w:rPr>
      </w:pPr>
      <w:r w:rsidRPr="007E5559">
        <w:rPr>
          <w:b/>
        </w:rPr>
        <w:t>T</w:t>
      </w:r>
      <w:r w:rsidR="000345DB">
        <w:rPr>
          <w:b/>
        </w:rPr>
        <w:t>able A1</w:t>
      </w:r>
      <w:r w:rsidRPr="007E5559">
        <w:rPr>
          <w:b/>
        </w:rPr>
        <w:t xml:space="preserve"> Estimated Respondent Burden</w:t>
      </w:r>
    </w:p>
    <w:tbl>
      <w:tblPr>
        <w:tblW w:w="8640" w:type="dxa"/>
        <w:jc w:val="center"/>
        <w:tblLook w:val="04A0" w:firstRow="1" w:lastRow="0" w:firstColumn="1" w:lastColumn="0" w:noHBand="0" w:noVBand="1"/>
      </w:tblPr>
      <w:tblGrid>
        <w:gridCol w:w="1620"/>
        <w:gridCol w:w="1490"/>
        <w:gridCol w:w="1383"/>
        <w:gridCol w:w="1391"/>
        <w:gridCol w:w="1391"/>
        <w:gridCol w:w="1365"/>
      </w:tblGrid>
      <w:tr w:rsidR="002F10EA" w:rsidRPr="002717E3" w:rsidTr="00656CE1">
        <w:trPr>
          <w:trHeight w:val="315"/>
          <w:jc w:val="center"/>
        </w:trPr>
        <w:tc>
          <w:tcPr>
            <w:tcW w:w="8640" w:type="dxa"/>
            <w:gridSpan w:val="6"/>
            <w:tcBorders>
              <w:top w:val="single" w:sz="4" w:space="0" w:color="auto"/>
              <w:left w:val="single" w:sz="4" w:space="0" w:color="auto"/>
              <w:bottom w:val="single" w:sz="4" w:space="0" w:color="auto"/>
              <w:right w:val="single" w:sz="4" w:space="0" w:color="auto"/>
            </w:tcBorders>
            <w:shd w:val="clear" w:color="000000" w:fill="A5A5A5"/>
            <w:vAlign w:val="center"/>
            <w:hideMark/>
          </w:tcPr>
          <w:p w:rsidR="002F10EA" w:rsidRPr="002F10EA" w:rsidRDefault="002F10EA" w:rsidP="00656CE1">
            <w:pPr>
              <w:widowControl/>
              <w:jc w:val="center"/>
              <w:rPr>
                <w:b/>
                <w:bCs/>
                <w:color w:val="000000"/>
                <w:szCs w:val="24"/>
              </w:rPr>
            </w:pPr>
            <w:r w:rsidRPr="002F10EA">
              <w:rPr>
                <w:b/>
                <w:bCs/>
                <w:color w:val="000000"/>
                <w:szCs w:val="24"/>
              </w:rPr>
              <w:t>Form NWPA-830G, Estimate of Respondent Burden</w:t>
            </w:r>
          </w:p>
        </w:tc>
      </w:tr>
      <w:tr w:rsidR="002F10EA" w:rsidRPr="002717E3" w:rsidTr="00656CE1">
        <w:trPr>
          <w:trHeight w:val="94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F10EA" w:rsidRPr="002F10EA" w:rsidRDefault="002F10EA" w:rsidP="00656CE1">
            <w:pPr>
              <w:widowControl/>
              <w:jc w:val="center"/>
              <w:rPr>
                <w:color w:val="000000"/>
                <w:szCs w:val="24"/>
              </w:rPr>
            </w:pPr>
            <w:r w:rsidRPr="002F10EA">
              <w:rPr>
                <w:color w:val="000000"/>
                <w:szCs w:val="24"/>
              </w:rPr>
              <w:t>Form</w:t>
            </w:r>
          </w:p>
        </w:tc>
        <w:tc>
          <w:tcPr>
            <w:tcW w:w="1490" w:type="dxa"/>
            <w:tcBorders>
              <w:top w:val="nil"/>
              <w:left w:val="nil"/>
              <w:bottom w:val="single" w:sz="4" w:space="0" w:color="auto"/>
              <w:right w:val="single" w:sz="4" w:space="0" w:color="auto"/>
            </w:tcBorders>
            <w:shd w:val="clear" w:color="auto" w:fill="auto"/>
            <w:vAlign w:val="center"/>
            <w:hideMark/>
          </w:tcPr>
          <w:p w:rsidR="002F10EA" w:rsidRPr="002F10EA" w:rsidRDefault="002F10EA" w:rsidP="00656CE1">
            <w:pPr>
              <w:widowControl/>
              <w:jc w:val="center"/>
              <w:rPr>
                <w:color w:val="000000"/>
                <w:szCs w:val="24"/>
              </w:rPr>
            </w:pPr>
            <w:r w:rsidRPr="002F10EA">
              <w:rPr>
                <w:color w:val="000000"/>
                <w:szCs w:val="24"/>
              </w:rPr>
              <w:t>Number of Respondents</w:t>
            </w:r>
          </w:p>
        </w:tc>
        <w:tc>
          <w:tcPr>
            <w:tcW w:w="1383" w:type="dxa"/>
            <w:tcBorders>
              <w:top w:val="nil"/>
              <w:left w:val="nil"/>
              <w:bottom w:val="single" w:sz="4" w:space="0" w:color="auto"/>
              <w:right w:val="single" w:sz="4" w:space="0" w:color="auto"/>
            </w:tcBorders>
            <w:shd w:val="clear" w:color="auto" w:fill="auto"/>
            <w:vAlign w:val="center"/>
            <w:hideMark/>
          </w:tcPr>
          <w:p w:rsidR="002F10EA" w:rsidRPr="002F10EA" w:rsidRDefault="002F10EA" w:rsidP="00656CE1">
            <w:pPr>
              <w:widowControl/>
              <w:jc w:val="center"/>
              <w:rPr>
                <w:color w:val="000000"/>
                <w:szCs w:val="24"/>
              </w:rPr>
            </w:pPr>
            <w:r w:rsidRPr="002F10EA">
              <w:rPr>
                <w:color w:val="000000"/>
                <w:szCs w:val="24"/>
              </w:rPr>
              <w:t>Number of Reports Filed Annually</w:t>
            </w:r>
          </w:p>
        </w:tc>
        <w:tc>
          <w:tcPr>
            <w:tcW w:w="1391" w:type="dxa"/>
            <w:tcBorders>
              <w:top w:val="nil"/>
              <w:left w:val="nil"/>
              <w:bottom w:val="single" w:sz="4" w:space="0" w:color="auto"/>
              <w:right w:val="single" w:sz="4" w:space="0" w:color="auto"/>
            </w:tcBorders>
            <w:shd w:val="clear" w:color="auto" w:fill="auto"/>
            <w:vAlign w:val="center"/>
            <w:hideMark/>
          </w:tcPr>
          <w:p w:rsidR="002F10EA" w:rsidRPr="002F10EA" w:rsidRDefault="002F10EA" w:rsidP="00656CE1">
            <w:pPr>
              <w:widowControl/>
              <w:jc w:val="center"/>
              <w:rPr>
                <w:color w:val="000000"/>
                <w:szCs w:val="24"/>
              </w:rPr>
            </w:pPr>
            <w:r w:rsidRPr="002F10EA">
              <w:rPr>
                <w:color w:val="000000"/>
                <w:szCs w:val="24"/>
              </w:rPr>
              <w:t>Total Responses</w:t>
            </w:r>
          </w:p>
        </w:tc>
        <w:tc>
          <w:tcPr>
            <w:tcW w:w="1391" w:type="dxa"/>
            <w:tcBorders>
              <w:top w:val="nil"/>
              <w:left w:val="nil"/>
              <w:bottom w:val="single" w:sz="4" w:space="0" w:color="auto"/>
              <w:right w:val="single" w:sz="4" w:space="0" w:color="auto"/>
            </w:tcBorders>
            <w:shd w:val="clear" w:color="auto" w:fill="auto"/>
            <w:vAlign w:val="center"/>
            <w:hideMark/>
          </w:tcPr>
          <w:p w:rsidR="002F10EA" w:rsidRPr="002F10EA" w:rsidRDefault="002F10EA" w:rsidP="00656CE1">
            <w:pPr>
              <w:widowControl/>
              <w:jc w:val="center"/>
              <w:rPr>
                <w:color w:val="000000"/>
                <w:szCs w:val="24"/>
              </w:rPr>
            </w:pPr>
            <w:r w:rsidRPr="002F10EA">
              <w:rPr>
                <w:color w:val="000000"/>
                <w:szCs w:val="24"/>
              </w:rPr>
              <w:t>Hours per Response</w:t>
            </w:r>
          </w:p>
        </w:tc>
        <w:tc>
          <w:tcPr>
            <w:tcW w:w="1365" w:type="dxa"/>
            <w:tcBorders>
              <w:top w:val="nil"/>
              <w:left w:val="nil"/>
              <w:bottom w:val="single" w:sz="4" w:space="0" w:color="auto"/>
              <w:right w:val="single" w:sz="4" w:space="0" w:color="auto"/>
            </w:tcBorders>
            <w:shd w:val="clear" w:color="auto" w:fill="auto"/>
            <w:vAlign w:val="center"/>
            <w:hideMark/>
          </w:tcPr>
          <w:p w:rsidR="002F10EA" w:rsidRPr="002F10EA" w:rsidRDefault="002F10EA" w:rsidP="00656CE1">
            <w:pPr>
              <w:widowControl/>
              <w:jc w:val="center"/>
              <w:rPr>
                <w:color w:val="000000"/>
                <w:szCs w:val="24"/>
              </w:rPr>
            </w:pPr>
            <w:r w:rsidRPr="002F10EA">
              <w:rPr>
                <w:color w:val="000000"/>
                <w:szCs w:val="24"/>
              </w:rPr>
              <w:t>Total Hours</w:t>
            </w:r>
          </w:p>
        </w:tc>
      </w:tr>
      <w:tr w:rsidR="002F10EA" w:rsidRPr="002717E3" w:rsidTr="00656CE1">
        <w:trPr>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F10EA" w:rsidRPr="002F10EA" w:rsidRDefault="002F10EA" w:rsidP="00656CE1">
            <w:pPr>
              <w:widowControl/>
              <w:jc w:val="center"/>
              <w:rPr>
                <w:color w:val="000000"/>
                <w:szCs w:val="24"/>
              </w:rPr>
            </w:pPr>
            <w:r w:rsidRPr="002F10EA">
              <w:rPr>
                <w:color w:val="000000"/>
                <w:szCs w:val="24"/>
              </w:rPr>
              <w:t>NWPA-830G</w:t>
            </w:r>
          </w:p>
        </w:tc>
        <w:tc>
          <w:tcPr>
            <w:tcW w:w="1490" w:type="dxa"/>
            <w:tcBorders>
              <w:top w:val="nil"/>
              <w:left w:val="nil"/>
              <w:bottom w:val="single" w:sz="4" w:space="0" w:color="auto"/>
              <w:right w:val="single" w:sz="4" w:space="0" w:color="auto"/>
            </w:tcBorders>
            <w:shd w:val="clear" w:color="auto" w:fill="auto"/>
            <w:vAlign w:val="center"/>
            <w:hideMark/>
          </w:tcPr>
          <w:p w:rsidR="002F10EA" w:rsidRPr="002F10EA" w:rsidRDefault="002F10EA" w:rsidP="00656CE1">
            <w:pPr>
              <w:widowControl/>
              <w:jc w:val="center"/>
              <w:rPr>
                <w:color w:val="000000"/>
                <w:szCs w:val="24"/>
              </w:rPr>
            </w:pPr>
            <w:r w:rsidRPr="002F10EA">
              <w:rPr>
                <w:color w:val="000000"/>
                <w:szCs w:val="24"/>
              </w:rPr>
              <w:t>100</w:t>
            </w:r>
          </w:p>
        </w:tc>
        <w:tc>
          <w:tcPr>
            <w:tcW w:w="1383" w:type="dxa"/>
            <w:tcBorders>
              <w:top w:val="nil"/>
              <w:left w:val="nil"/>
              <w:bottom w:val="single" w:sz="4" w:space="0" w:color="auto"/>
              <w:right w:val="single" w:sz="4" w:space="0" w:color="auto"/>
            </w:tcBorders>
            <w:shd w:val="clear" w:color="auto" w:fill="auto"/>
            <w:vAlign w:val="center"/>
            <w:hideMark/>
          </w:tcPr>
          <w:p w:rsidR="002F10EA" w:rsidRPr="002F10EA" w:rsidRDefault="002F10EA" w:rsidP="00656CE1">
            <w:pPr>
              <w:widowControl/>
              <w:jc w:val="center"/>
              <w:rPr>
                <w:color w:val="000000"/>
                <w:szCs w:val="24"/>
              </w:rPr>
            </w:pPr>
            <w:r w:rsidRPr="002F10EA">
              <w:rPr>
                <w:color w:val="000000"/>
                <w:szCs w:val="24"/>
              </w:rPr>
              <w:t>4</w:t>
            </w:r>
          </w:p>
        </w:tc>
        <w:tc>
          <w:tcPr>
            <w:tcW w:w="1391" w:type="dxa"/>
            <w:tcBorders>
              <w:top w:val="nil"/>
              <w:left w:val="nil"/>
              <w:bottom w:val="single" w:sz="4" w:space="0" w:color="auto"/>
              <w:right w:val="single" w:sz="4" w:space="0" w:color="auto"/>
            </w:tcBorders>
            <w:shd w:val="clear" w:color="auto" w:fill="auto"/>
            <w:vAlign w:val="center"/>
            <w:hideMark/>
          </w:tcPr>
          <w:p w:rsidR="002F10EA" w:rsidRPr="002F10EA" w:rsidRDefault="002F10EA" w:rsidP="00656CE1">
            <w:pPr>
              <w:widowControl/>
              <w:jc w:val="center"/>
              <w:rPr>
                <w:color w:val="000000"/>
                <w:szCs w:val="24"/>
              </w:rPr>
            </w:pPr>
            <w:r w:rsidRPr="002F10EA">
              <w:rPr>
                <w:color w:val="000000"/>
                <w:szCs w:val="24"/>
              </w:rPr>
              <w:t>400</w:t>
            </w:r>
          </w:p>
        </w:tc>
        <w:tc>
          <w:tcPr>
            <w:tcW w:w="1391" w:type="dxa"/>
            <w:tcBorders>
              <w:top w:val="nil"/>
              <w:left w:val="nil"/>
              <w:bottom w:val="single" w:sz="4" w:space="0" w:color="auto"/>
              <w:right w:val="single" w:sz="4" w:space="0" w:color="auto"/>
            </w:tcBorders>
            <w:shd w:val="clear" w:color="auto" w:fill="auto"/>
            <w:vAlign w:val="center"/>
            <w:hideMark/>
          </w:tcPr>
          <w:p w:rsidR="002F10EA" w:rsidRPr="002F10EA" w:rsidRDefault="002F10EA" w:rsidP="00656CE1">
            <w:pPr>
              <w:widowControl/>
              <w:jc w:val="center"/>
              <w:rPr>
                <w:color w:val="000000"/>
                <w:szCs w:val="24"/>
              </w:rPr>
            </w:pPr>
            <w:r w:rsidRPr="002F10EA">
              <w:rPr>
                <w:color w:val="000000"/>
                <w:szCs w:val="24"/>
              </w:rPr>
              <w:t>5</w:t>
            </w:r>
          </w:p>
        </w:tc>
        <w:tc>
          <w:tcPr>
            <w:tcW w:w="1365" w:type="dxa"/>
            <w:tcBorders>
              <w:top w:val="nil"/>
              <w:left w:val="nil"/>
              <w:bottom w:val="single" w:sz="4" w:space="0" w:color="auto"/>
              <w:right w:val="single" w:sz="4" w:space="0" w:color="auto"/>
            </w:tcBorders>
            <w:shd w:val="clear" w:color="auto" w:fill="auto"/>
            <w:vAlign w:val="center"/>
            <w:hideMark/>
          </w:tcPr>
          <w:p w:rsidR="002F10EA" w:rsidRPr="002F10EA" w:rsidRDefault="002F10EA" w:rsidP="00656CE1">
            <w:pPr>
              <w:widowControl/>
              <w:jc w:val="center"/>
              <w:rPr>
                <w:color w:val="000000"/>
                <w:szCs w:val="24"/>
              </w:rPr>
            </w:pPr>
            <w:r w:rsidRPr="002F10EA">
              <w:rPr>
                <w:color w:val="000000"/>
                <w:szCs w:val="24"/>
              </w:rPr>
              <w:t>2,000</w:t>
            </w:r>
          </w:p>
        </w:tc>
      </w:tr>
      <w:tr w:rsidR="002F10EA" w:rsidRPr="002717E3" w:rsidTr="00656CE1">
        <w:trPr>
          <w:trHeight w:val="144"/>
          <w:jc w:val="center"/>
        </w:trPr>
        <w:tc>
          <w:tcPr>
            <w:tcW w:w="727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F10EA" w:rsidRPr="002F10EA" w:rsidRDefault="002F10EA" w:rsidP="00656CE1">
            <w:pPr>
              <w:widowControl/>
              <w:jc w:val="right"/>
              <w:rPr>
                <w:b/>
                <w:bCs/>
                <w:color w:val="000000"/>
                <w:szCs w:val="24"/>
              </w:rPr>
            </w:pPr>
            <w:r w:rsidRPr="002F10EA">
              <w:rPr>
                <w:b/>
                <w:bCs/>
                <w:color w:val="000000"/>
                <w:szCs w:val="24"/>
              </w:rPr>
              <w:t>Total Annual Burden</w:t>
            </w:r>
          </w:p>
        </w:tc>
        <w:tc>
          <w:tcPr>
            <w:tcW w:w="1365" w:type="dxa"/>
            <w:tcBorders>
              <w:top w:val="nil"/>
              <w:left w:val="nil"/>
              <w:bottom w:val="single" w:sz="4" w:space="0" w:color="auto"/>
              <w:right w:val="single" w:sz="4" w:space="0" w:color="auto"/>
            </w:tcBorders>
            <w:shd w:val="clear" w:color="auto" w:fill="auto"/>
            <w:vAlign w:val="center"/>
            <w:hideMark/>
          </w:tcPr>
          <w:p w:rsidR="002F10EA" w:rsidRPr="002F10EA" w:rsidRDefault="002F10EA" w:rsidP="00656CE1">
            <w:pPr>
              <w:widowControl/>
              <w:jc w:val="center"/>
              <w:rPr>
                <w:color w:val="000000"/>
                <w:szCs w:val="24"/>
              </w:rPr>
            </w:pPr>
            <w:r w:rsidRPr="002F10EA">
              <w:rPr>
                <w:color w:val="000000"/>
                <w:szCs w:val="24"/>
              </w:rPr>
              <w:t>2,000 hours</w:t>
            </w:r>
          </w:p>
        </w:tc>
      </w:tr>
    </w:tbl>
    <w:p w:rsidR="007E5559" w:rsidRDefault="002F10EA" w:rsidP="002F10EA">
      <w:pPr>
        <w:spacing w:after="120"/>
      </w:pPr>
      <w:r>
        <w:t>The estimated burden of five hours per response represents the estimate including both the “Appendix G - Standard Remittance Advice for Payment of Fees” and the Annex A to Appendix G.</w:t>
      </w:r>
    </w:p>
    <w:p w:rsidR="007E5559" w:rsidRPr="00F44A02" w:rsidRDefault="007E5559" w:rsidP="00F44A02">
      <w:pPr>
        <w:pStyle w:val="Heading2"/>
      </w:pPr>
      <w:bookmarkStart w:id="29" w:name="_Toc418074692"/>
      <w:r w:rsidRPr="00F44A02">
        <w:t>Estimates of Annual Cost to the Government</w:t>
      </w:r>
      <w:bookmarkEnd w:id="29"/>
    </w:p>
    <w:p w:rsidR="007E5559" w:rsidRDefault="00B3329A" w:rsidP="00456483">
      <w:pPr>
        <w:spacing w:before="120" w:beforeAutospacing="0"/>
        <w:rPr>
          <w:szCs w:val="24"/>
        </w:rPr>
      </w:pPr>
      <w:r w:rsidRPr="00B55846">
        <w:t xml:space="preserve">The estimated annual cost to the Federal Government for the Form </w:t>
      </w:r>
      <w:r>
        <w:t xml:space="preserve">NWPA-830G, “Appendix G - Standard Remittance Advice for Payment of Fees,” including </w:t>
      </w:r>
      <w:r w:rsidRPr="00B55846">
        <w:t>Annex A</w:t>
      </w:r>
      <w:r>
        <w:t xml:space="preserve"> to Appendix G,</w:t>
      </w:r>
      <w:r w:rsidRPr="00B55846">
        <w:t xml:space="preserve"> is $</w:t>
      </w:r>
      <w:r w:rsidR="00147191">
        <w:t>208</w:t>
      </w:r>
      <w:r>
        <w:t>,</w:t>
      </w:r>
      <w:r w:rsidR="00147191">
        <w:t>125</w:t>
      </w:r>
      <w:r w:rsidR="00BC501C">
        <w:t>, as listed in Table A2</w:t>
      </w:r>
      <w:r w:rsidRPr="00B55846">
        <w:t xml:space="preserve">. </w:t>
      </w:r>
      <w:r>
        <w:t xml:space="preserve"> </w:t>
      </w:r>
      <w:r w:rsidR="009560C9">
        <w:t xml:space="preserve">This total represents the </w:t>
      </w:r>
      <w:r w:rsidR="00F96618">
        <w:t xml:space="preserve">approximate </w:t>
      </w:r>
      <w:r w:rsidR="009560C9">
        <w:t xml:space="preserve">share of costs </w:t>
      </w:r>
      <w:r w:rsidR="00147191">
        <w:t>for</w:t>
      </w:r>
      <w:r w:rsidR="009560C9">
        <w:t xml:space="preserve"> </w:t>
      </w:r>
      <w:r w:rsidR="00F96618">
        <w:t xml:space="preserve">activities related specifically to </w:t>
      </w:r>
      <w:r w:rsidR="009560C9">
        <w:t>the Form NWPA-830G, funding for which is grouped with the Form GC-859</w:t>
      </w:r>
      <w:r w:rsidR="00F96618">
        <w:t xml:space="preserve">, “Nuclear Fuel Survey.” Combined funding is $555,000, which </w:t>
      </w:r>
      <w:r>
        <w:t xml:space="preserve">includes the cost of one EIA employee at $155,000 and $400,000 in contractor costs. </w:t>
      </w:r>
      <w:r w:rsidRPr="00B55846">
        <w:t xml:space="preserve"> The cost figure</w:t>
      </w:r>
      <w:r>
        <w:t>s</w:t>
      </w:r>
      <w:r w:rsidRPr="00B55846">
        <w:t xml:space="preserve"> include (1) Development and Maintenance Cost</w:t>
      </w:r>
      <w:r>
        <w:t>s</w:t>
      </w:r>
      <w:r w:rsidRPr="00B55846">
        <w:t>, (2) Collection Costs, (3) Processing Costs, (4) Analysis Costs, (5) Publication Cost</w:t>
      </w:r>
      <w:r>
        <w:t>s</w:t>
      </w:r>
      <w:r w:rsidRPr="00B55846">
        <w:t>, and (6) Other Costs</w:t>
      </w:r>
      <w:r w:rsidR="00D82DBD" w:rsidRPr="002D0E02">
        <w:rPr>
          <w:szCs w:val="24"/>
        </w:rPr>
        <w:t>.</w:t>
      </w:r>
    </w:p>
    <w:p w:rsidR="00BC501C" w:rsidRDefault="00BC501C" w:rsidP="00456483">
      <w:pPr>
        <w:spacing w:before="120" w:beforeAutospacing="0"/>
        <w:rPr>
          <w:b/>
        </w:rPr>
      </w:pPr>
      <w:r w:rsidRPr="007E5559">
        <w:rPr>
          <w:b/>
        </w:rPr>
        <w:t>T</w:t>
      </w:r>
      <w:r>
        <w:rPr>
          <w:b/>
        </w:rPr>
        <w:t>able A2</w:t>
      </w:r>
      <w:r w:rsidRPr="007E5559">
        <w:rPr>
          <w:b/>
        </w:rPr>
        <w:t xml:space="preserve"> </w:t>
      </w:r>
      <w:r w:rsidRPr="00BC501C">
        <w:rPr>
          <w:b/>
        </w:rPr>
        <w:t>Estimated Annual Cost Summary</w:t>
      </w:r>
    </w:p>
    <w:tbl>
      <w:tblPr>
        <w:tblW w:w="8640" w:type="dxa"/>
        <w:jc w:val="center"/>
        <w:tblLook w:val="04A0" w:firstRow="1" w:lastRow="0" w:firstColumn="1" w:lastColumn="0" w:noHBand="0" w:noVBand="1"/>
      </w:tblPr>
      <w:tblGrid>
        <w:gridCol w:w="360"/>
        <w:gridCol w:w="2180"/>
        <w:gridCol w:w="1500"/>
        <w:gridCol w:w="4680"/>
      </w:tblGrid>
      <w:tr w:rsidR="00BC501C" w:rsidRPr="00A42559" w:rsidTr="00656CE1">
        <w:trPr>
          <w:trHeight w:val="402"/>
          <w:jc w:val="center"/>
        </w:trPr>
        <w:tc>
          <w:tcPr>
            <w:tcW w:w="8720" w:type="dxa"/>
            <w:gridSpan w:val="4"/>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BC501C" w:rsidRPr="00A42559" w:rsidRDefault="00BC501C" w:rsidP="00656CE1">
            <w:pPr>
              <w:widowControl/>
              <w:jc w:val="center"/>
              <w:rPr>
                <w:b/>
                <w:bCs/>
                <w:color w:val="000000"/>
              </w:rPr>
            </w:pPr>
            <w:r w:rsidRPr="002A539C">
              <w:rPr>
                <w:b/>
                <w:bCs/>
                <w:color w:val="000000"/>
              </w:rPr>
              <w:t>Form NWPA-830G</w:t>
            </w:r>
            <w:r>
              <w:rPr>
                <w:b/>
                <w:bCs/>
                <w:color w:val="000000"/>
              </w:rPr>
              <w:t xml:space="preserve"> </w:t>
            </w:r>
            <w:r w:rsidRPr="002A539C">
              <w:rPr>
                <w:b/>
                <w:bCs/>
                <w:color w:val="000000"/>
              </w:rPr>
              <w:t xml:space="preserve"> </w:t>
            </w:r>
            <w:r w:rsidRPr="00A42559">
              <w:rPr>
                <w:b/>
                <w:bCs/>
                <w:color w:val="000000"/>
              </w:rPr>
              <w:t>Estimated Annual Cost Summary</w:t>
            </w:r>
          </w:p>
        </w:tc>
      </w:tr>
      <w:tr w:rsidR="00BC501C" w:rsidRPr="00A42559" w:rsidTr="00656CE1">
        <w:trPr>
          <w:trHeight w:val="630"/>
          <w:jc w:val="center"/>
        </w:trPr>
        <w:tc>
          <w:tcPr>
            <w:tcW w:w="360" w:type="dxa"/>
            <w:tcBorders>
              <w:top w:val="nil"/>
              <w:left w:val="single" w:sz="4" w:space="0" w:color="auto"/>
              <w:bottom w:val="single" w:sz="4" w:space="0" w:color="auto"/>
              <w:right w:val="single" w:sz="4" w:space="0" w:color="auto"/>
            </w:tcBorders>
            <w:shd w:val="clear" w:color="auto" w:fill="auto"/>
            <w:hideMark/>
          </w:tcPr>
          <w:p w:rsidR="00BC501C" w:rsidRPr="00A42559" w:rsidRDefault="00BC501C" w:rsidP="00656CE1">
            <w:pPr>
              <w:widowControl/>
              <w:jc w:val="center"/>
              <w:rPr>
                <w:color w:val="000000"/>
              </w:rPr>
            </w:pPr>
            <w:r w:rsidRPr="00A42559">
              <w:rPr>
                <w:color w:val="000000"/>
              </w:rPr>
              <w:t> </w:t>
            </w:r>
          </w:p>
        </w:tc>
        <w:tc>
          <w:tcPr>
            <w:tcW w:w="2180" w:type="dxa"/>
            <w:tcBorders>
              <w:top w:val="nil"/>
              <w:left w:val="nil"/>
              <w:bottom w:val="single" w:sz="4" w:space="0" w:color="auto"/>
              <w:right w:val="single" w:sz="4" w:space="0" w:color="auto"/>
            </w:tcBorders>
            <w:shd w:val="clear" w:color="auto" w:fill="auto"/>
            <w:vAlign w:val="center"/>
            <w:hideMark/>
          </w:tcPr>
          <w:p w:rsidR="00BC501C" w:rsidRPr="00003CEF" w:rsidRDefault="00BC501C" w:rsidP="00656CE1">
            <w:pPr>
              <w:widowControl/>
              <w:rPr>
                <w:color w:val="000000"/>
                <w:u w:val="single"/>
              </w:rPr>
            </w:pPr>
            <w:r w:rsidRPr="00003CEF">
              <w:rPr>
                <w:color w:val="000000"/>
                <w:u w:val="single"/>
              </w:rPr>
              <w:t>Type of Cost</w:t>
            </w:r>
          </w:p>
        </w:tc>
        <w:tc>
          <w:tcPr>
            <w:tcW w:w="150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jc w:val="center"/>
              <w:rPr>
                <w:color w:val="000000"/>
                <w:u w:val="single"/>
              </w:rPr>
            </w:pPr>
            <w:r w:rsidRPr="00A42559">
              <w:rPr>
                <w:color w:val="000000"/>
                <w:u w:val="single"/>
              </w:rPr>
              <w:t>Estimated</w:t>
            </w:r>
            <w:r w:rsidRPr="00A42559">
              <w:rPr>
                <w:color w:val="000000"/>
                <w:u w:val="single"/>
              </w:rPr>
              <w:br/>
              <w:t>Annual Cost</w:t>
            </w:r>
          </w:p>
        </w:tc>
        <w:tc>
          <w:tcPr>
            <w:tcW w:w="468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rPr>
                <w:color w:val="000000"/>
                <w:u w:val="single"/>
              </w:rPr>
            </w:pPr>
            <w:r w:rsidRPr="00A42559">
              <w:rPr>
                <w:color w:val="000000"/>
                <w:u w:val="single"/>
              </w:rPr>
              <w:t>Notes</w:t>
            </w:r>
          </w:p>
        </w:tc>
      </w:tr>
      <w:tr w:rsidR="00BC501C" w:rsidRPr="00A42559" w:rsidTr="00656CE1">
        <w:trPr>
          <w:trHeight w:val="642"/>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C501C" w:rsidRPr="00A42559" w:rsidRDefault="00BC501C" w:rsidP="00656CE1">
            <w:pPr>
              <w:widowControl/>
              <w:jc w:val="center"/>
              <w:rPr>
                <w:color w:val="000000"/>
              </w:rPr>
            </w:pPr>
            <w:r w:rsidRPr="00A42559">
              <w:rPr>
                <w:color w:val="000000"/>
              </w:rPr>
              <w:lastRenderedPageBreak/>
              <w:t>1</w:t>
            </w:r>
          </w:p>
        </w:tc>
        <w:tc>
          <w:tcPr>
            <w:tcW w:w="218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rPr>
                <w:color w:val="000000"/>
              </w:rPr>
            </w:pPr>
            <w:r w:rsidRPr="00A42559">
              <w:rPr>
                <w:color w:val="000000"/>
              </w:rPr>
              <w:t>Development and Maintenance Costs</w:t>
            </w:r>
          </w:p>
        </w:tc>
        <w:tc>
          <w:tcPr>
            <w:tcW w:w="150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jc w:val="center"/>
              <w:rPr>
                <w:color w:val="000000"/>
              </w:rPr>
            </w:pPr>
            <w:r w:rsidRPr="00A42559">
              <w:rPr>
                <w:color w:val="000000"/>
              </w:rPr>
              <w:t>$0</w:t>
            </w:r>
          </w:p>
        </w:tc>
        <w:tc>
          <w:tcPr>
            <w:tcW w:w="468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rPr>
                <w:color w:val="000000"/>
              </w:rPr>
            </w:pPr>
            <w:r w:rsidRPr="00A42559">
              <w:rPr>
                <w:color w:val="000000"/>
              </w:rPr>
              <w:t>No changes to current system</w:t>
            </w:r>
          </w:p>
        </w:tc>
      </w:tr>
      <w:tr w:rsidR="00BC501C" w:rsidRPr="00A42559" w:rsidTr="00656CE1">
        <w:trPr>
          <w:trHeight w:val="642"/>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C501C" w:rsidRPr="00A42559" w:rsidRDefault="00BC501C" w:rsidP="00656CE1">
            <w:pPr>
              <w:widowControl/>
              <w:jc w:val="center"/>
              <w:rPr>
                <w:color w:val="000000"/>
              </w:rPr>
            </w:pPr>
            <w:r w:rsidRPr="00A42559">
              <w:rPr>
                <w:color w:val="000000"/>
              </w:rPr>
              <w:t>2</w:t>
            </w:r>
          </w:p>
        </w:tc>
        <w:tc>
          <w:tcPr>
            <w:tcW w:w="218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rPr>
                <w:color w:val="000000"/>
              </w:rPr>
            </w:pPr>
            <w:r w:rsidRPr="00A42559">
              <w:rPr>
                <w:color w:val="000000"/>
              </w:rPr>
              <w:t>Collection Costs</w:t>
            </w:r>
          </w:p>
        </w:tc>
        <w:tc>
          <w:tcPr>
            <w:tcW w:w="150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jc w:val="center"/>
              <w:rPr>
                <w:color w:val="000000"/>
              </w:rPr>
            </w:pPr>
            <w:r w:rsidRPr="00A42559">
              <w:rPr>
                <w:color w:val="000000"/>
              </w:rPr>
              <w:t>$0</w:t>
            </w:r>
          </w:p>
        </w:tc>
        <w:tc>
          <w:tcPr>
            <w:tcW w:w="468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rPr>
                <w:color w:val="000000"/>
              </w:rPr>
            </w:pPr>
            <w:r w:rsidRPr="00A42559">
              <w:rPr>
                <w:color w:val="000000"/>
              </w:rPr>
              <w:t>Forms are submitted to the Energy Finance and Accounting Service Center and forwarded to EIA</w:t>
            </w:r>
          </w:p>
        </w:tc>
      </w:tr>
      <w:tr w:rsidR="00BC501C" w:rsidRPr="00A42559" w:rsidTr="00656CE1">
        <w:trPr>
          <w:trHeight w:val="402"/>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C501C" w:rsidRPr="00A42559" w:rsidRDefault="00BC501C" w:rsidP="00656CE1">
            <w:pPr>
              <w:widowControl/>
              <w:jc w:val="center"/>
              <w:rPr>
                <w:color w:val="000000"/>
              </w:rPr>
            </w:pPr>
            <w:r w:rsidRPr="00A42559">
              <w:rPr>
                <w:color w:val="000000"/>
              </w:rPr>
              <w:t>3</w:t>
            </w:r>
          </w:p>
        </w:tc>
        <w:tc>
          <w:tcPr>
            <w:tcW w:w="218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rPr>
                <w:color w:val="000000"/>
              </w:rPr>
            </w:pPr>
            <w:r w:rsidRPr="00A42559">
              <w:rPr>
                <w:color w:val="000000"/>
              </w:rPr>
              <w:t>Processing Costs</w:t>
            </w:r>
          </w:p>
        </w:tc>
        <w:tc>
          <w:tcPr>
            <w:tcW w:w="150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091579">
            <w:pPr>
              <w:widowControl/>
              <w:jc w:val="center"/>
              <w:rPr>
                <w:color w:val="000000"/>
              </w:rPr>
            </w:pPr>
            <w:r w:rsidRPr="00A42559">
              <w:rPr>
                <w:color w:val="000000"/>
              </w:rPr>
              <w:t>$</w:t>
            </w:r>
            <w:r w:rsidR="009560C9">
              <w:rPr>
                <w:color w:val="000000"/>
              </w:rPr>
              <w:t>56,</w:t>
            </w:r>
            <w:r w:rsidR="00091579">
              <w:rPr>
                <w:color w:val="000000"/>
              </w:rPr>
              <w:t>250</w:t>
            </w:r>
          </w:p>
        </w:tc>
        <w:tc>
          <w:tcPr>
            <w:tcW w:w="468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rPr>
                <w:color w:val="000000"/>
              </w:rPr>
            </w:pPr>
            <w:r w:rsidRPr="00A42559">
              <w:rPr>
                <w:color w:val="000000"/>
              </w:rPr>
              <w:t>Include</w:t>
            </w:r>
            <w:r>
              <w:rPr>
                <w:color w:val="000000"/>
              </w:rPr>
              <w:t>s</w:t>
            </w:r>
            <w:r w:rsidRPr="00A42559">
              <w:rPr>
                <w:color w:val="000000"/>
              </w:rPr>
              <w:t xml:space="preserve"> providing support to respondent</w:t>
            </w:r>
            <w:r>
              <w:rPr>
                <w:color w:val="000000"/>
              </w:rPr>
              <w:t>s</w:t>
            </w:r>
          </w:p>
        </w:tc>
      </w:tr>
      <w:tr w:rsidR="00BC501C" w:rsidRPr="00A42559" w:rsidTr="00656CE1">
        <w:trPr>
          <w:trHeight w:val="402"/>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C501C" w:rsidRPr="00A42559" w:rsidRDefault="00BC501C" w:rsidP="00656CE1">
            <w:pPr>
              <w:widowControl/>
              <w:jc w:val="center"/>
              <w:rPr>
                <w:color w:val="000000"/>
              </w:rPr>
            </w:pPr>
            <w:r w:rsidRPr="00A42559">
              <w:rPr>
                <w:color w:val="000000"/>
              </w:rPr>
              <w:t>4</w:t>
            </w:r>
          </w:p>
        </w:tc>
        <w:tc>
          <w:tcPr>
            <w:tcW w:w="218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rPr>
                <w:color w:val="000000"/>
              </w:rPr>
            </w:pPr>
            <w:r w:rsidRPr="00A42559">
              <w:rPr>
                <w:color w:val="000000"/>
              </w:rPr>
              <w:t>Analysis Costs</w:t>
            </w:r>
          </w:p>
        </w:tc>
        <w:tc>
          <w:tcPr>
            <w:tcW w:w="150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091579">
            <w:pPr>
              <w:widowControl/>
              <w:jc w:val="center"/>
              <w:rPr>
                <w:color w:val="000000"/>
              </w:rPr>
            </w:pPr>
            <w:r w:rsidRPr="00A42559">
              <w:rPr>
                <w:color w:val="000000"/>
              </w:rPr>
              <w:t>$</w:t>
            </w:r>
            <w:r w:rsidR="009560C9">
              <w:rPr>
                <w:color w:val="000000"/>
              </w:rPr>
              <w:t>114,</w:t>
            </w:r>
            <w:r w:rsidR="00091579">
              <w:rPr>
                <w:color w:val="000000"/>
              </w:rPr>
              <w:t>375</w:t>
            </w:r>
          </w:p>
        </w:tc>
        <w:tc>
          <w:tcPr>
            <w:tcW w:w="468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rPr>
                <w:color w:val="000000"/>
              </w:rPr>
            </w:pPr>
            <w:r w:rsidRPr="00A42559">
              <w:rPr>
                <w:color w:val="000000"/>
              </w:rPr>
              <w:t> </w:t>
            </w:r>
          </w:p>
        </w:tc>
      </w:tr>
      <w:tr w:rsidR="00BC501C" w:rsidRPr="00A42559" w:rsidTr="00656CE1">
        <w:trPr>
          <w:trHeight w:val="402"/>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C501C" w:rsidRPr="00A42559" w:rsidRDefault="00BC501C" w:rsidP="00656CE1">
            <w:pPr>
              <w:widowControl/>
              <w:jc w:val="center"/>
              <w:rPr>
                <w:color w:val="000000"/>
              </w:rPr>
            </w:pPr>
            <w:r w:rsidRPr="00A42559">
              <w:rPr>
                <w:color w:val="000000"/>
              </w:rPr>
              <w:t>5</w:t>
            </w:r>
          </w:p>
        </w:tc>
        <w:tc>
          <w:tcPr>
            <w:tcW w:w="218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rPr>
                <w:color w:val="000000"/>
              </w:rPr>
            </w:pPr>
            <w:r w:rsidRPr="00A42559">
              <w:rPr>
                <w:color w:val="000000"/>
              </w:rPr>
              <w:t>Publication Cost</w:t>
            </w:r>
            <w:r>
              <w:rPr>
                <w:color w:val="000000"/>
              </w:rPr>
              <w:t>s</w:t>
            </w:r>
          </w:p>
        </w:tc>
        <w:tc>
          <w:tcPr>
            <w:tcW w:w="150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jc w:val="center"/>
              <w:rPr>
                <w:color w:val="000000"/>
              </w:rPr>
            </w:pPr>
            <w:r w:rsidRPr="00A42559">
              <w:rPr>
                <w:color w:val="000000"/>
              </w:rPr>
              <w:t>$0</w:t>
            </w:r>
          </w:p>
        </w:tc>
        <w:tc>
          <w:tcPr>
            <w:tcW w:w="468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rPr>
                <w:color w:val="000000"/>
              </w:rPr>
            </w:pPr>
            <w:r w:rsidRPr="00A42559">
              <w:rPr>
                <w:color w:val="000000"/>
              </w:rPr>
              <w:t>Data are not made available to the public</w:t>
            </w:r>
          </w:p>
        </w:tc>
      </w:tr>
      <w:tr w:rsidR="00BC501C" w:rsidRPr="00A42559" w:rsidTr="00656CE1">
        <w:trPr>
          <w:trHeight w:val="945"/>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C501C" w:rsidRPr="00A42559" w:rsidRDefault="00BC501C" w:rsidP="00656CE1">
            <w:pPr>
              <w:widowControl/>
              <w:jc w:val="center"/>
              <w:rPr>
                <w:color w:val="000000"/>
              </w:rPr>
            </w:pPr>
            <w:r w:rsidRPr="00A42559">
              <w:rPr>
                <w:color w:val="000000"/>
              </w:rPr>
              <w:t>6</w:t>
            </w:r>
          </w:p>
        </w:tc>
        <w:tc>
          <w:tcPr>
            <w:tcW w:w="218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rPr>
                <w:color w:val="000000"/>
              </w:rPr>
            </w:pPr>
            <w:r w:rsidRPr="00A42559">
              <w:rPr>
                <w:color w:val="000000"/>
              </w:rPr>
              <w:t>Other Costs</w:t>
            </w:r>
          </w:p>
        </w:tc>
        <w:tc>
          <w:tcPr>
            <w:tcW w:w="150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091579">
            <w:pPr>
              <w:widowControl/>
              <w:jc w:val="center"/>
              <w:rPr>
                <w:color w:val="000000"/>
              </w:rPr>
            </w:pPr>
            <w:r w:rsidRPr="00A42559">
              <w:rPr>
                <w:color w:val="000000"/>
              </w:rPr>
              <w:t>$</w:t>
            </w:r>
            <w:r w:rsidR="009560C9">
              <w:rPr>
                <w:color w:val="000000"/>
              </w:rPr>
              <w:t>37,</w:t>
            </w:r>
            <w:r w:rsidR="00091579">
              <w:rPr>
                <w:color w:val="000000"/>
              </w:rPr>
              <w:t>500</w:t>
            </w:r>
          </w:p>
        </w:tc>
        <w:tc>
          <w:tcPr>
            <w:tcW w:w="468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656CE1">
            <w:pPr>
              <w:widowControl/>
              <w:rPr>
                <w:color w:val="000000"/>
              </w:rPr>
            </w:pPr>
            <w:r w:rsidRPr="00A42559">
              <w:rPr>
                <w:color w:val="000000"/>
              </w:rPr>
              <w:t>Include</w:t>
            </w:r>
            <w:r>
              <w:rPr>
                <w:color w:val="000000"/>
              </w:rPr>
              <w:t>s</w:t>
            </w:r>
            <w:r w:rsidRPr="00A42559">
              <w:rPr>
                <w:color w:val="000000"/>
              </w:rPr>
              <w:t xml:space="preserve"> work with the Office of Standard Contract Management and the Energy Finance and Accounting Service</w:t>
            </w:r>
            <w:r>
              <w:rPr>
                <w:color w:val="000000"/>
              </w:rPr>
              <w:t xml:space="preserve"> Center</w:t>
            </w:r>
          </w:p>
        </w:tc>
      </w:tr>
      <w:tr w:rsidR="00BC501C" w:rsidRPr="00A42559" w:rsidTr="00656CE1">
        <w:trPr>
          <w:trHeight w:val="315"/>
          <w:jc w:val="center"/>
        </w:trPr>
        <w:tc>
          <w:tcPr>
            <w:tcW w:w="254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C501C" w:rsidRPr="00A42559" w:rsidRDefault="00BC501C" w:rsidP="00656CE1">
            <w:pPr>
              <w:widowControl/>
              <w:jc w:val="center"/>
              <w:rPr>
                <w:color w:val="000000"/>
              </w:rPr>
            </w:pPr>
            <w:r w:rsidRPr="00A42559">
              <w:rPr>
                <w:color w:val="000000"/>
              </w:rPr>
              <w:t> </w:t>
            </w:r>
            <w:r>
              <w:rPr>
                <w:color w:val="000000"/>
              </w:rPr>
              <w:t>Total Costs</w:t>
            </w:r>
          </w:p>
        </w:tc>
        <w:tc>
          <w:tcPr>
            <w:tcW w:w="1500" w:type="dxa"/>
            <w:tcBorders>
              <w:top w:val="nil"/>
              <w:left w:val="nil"/>
              <w:bottom w:val="single" w:sz="4" w:space="0" w:color="auto"/>
              <w:right w:val="single" w:sz="4" w:space="0" w:color="auto"/>
            </w:tcBorders>
            <w:shd w:val="clear" w:color="auto" w:fill="auto"/>
            <w:vAlign w:val="center"/>
            <w:hideMark/>
          </w:tcPr>
          <w:p w:rsidR="00BC501C" w:rsidRPr="00A42559" w:rsidRDefault="00BC501C" w:rsidP="00091579">
            <w:pPr>
              <w:widowControl/>
              <w:jc w:val="center"/>
              <w:rPr>
                <w:color w:val="000000"/>
              </w:rPr>
            </w:pPr>
            <w:r w:rsidRPr="00A42559">
              <w:rPr>
                <w:color w:val="000000"/>
              </w:rPr>
              <w:t>$</w:t>
            </w:r>
            <w:r w:rsidR="00091579">
              <w:rPr>
                <w:color w:val="000000"/>
              </w:rPr>
              <w:t>208</w:t>
            </w:r>
            <w:r w:rsidR="009560C9">
              <w:rPr>
                <w:color w:val="000000"/>
              </w:rPr>
              <w:t>,</w:t>
            </w:r>
            <w:r w:rsidR="00091579">
              <w:rPr>
                <w:color w:val="000000"/>
              </w:rPr>
              <w:t>125</w:t>
            </w:r>
          </w:p>
        </w:tc>
        <w:tc>
          <w:tcPr>
            <w:tcW w:w="4680" w:type="dxa"/>
            <w:tcBorders>
              <w:top w:val="nil"/>
              <w:left w:val="nil"/>
              <w:bottom w:val="single" w:sz="4" w:space="0" w:color="auto"/>
              <w:right w:val="single" w:sz="4" w:space="0" w:color="auto"/>
            </w:tcBorders>
            <w:shd w:val="clear" w:color="auto" w:fill="auto"/>
            <w:hideMark/>
          </w:tcPr>
          <w:p w:rsidR="00BC501C" w:rsidRPr="00A42559" w:rsidRDefault="00BC501C" w:rsidP="00656CE1">
            <w:pPr>
              <w:widowControl/>
              <w:rPr>
                <w:color w:val="000000"/>
              </w:rPr>
            </w:pPr>
            <w:r w:rsidRPr="00A42559">
              <w:rPr>
                <w:color w:val="000000"/>
              </w:rPr>
              <w:t> </w:t>
            </w:r>
          </w:p>
        </w:tc>
      </w:tr>
    </w:tbl>
    <w:p w:rsidR="00BC501C" w:rsidRPr="00136679" w:rsidRDefault="00BC501C" w:rsidP="00456483">
      <w:pPr>
        <w:spacing w:before="120" w:beforeAutospacing="0"/>
        <w:rPr>
          <w:szCs w:val="24"/>
        </w:rPr>
      </w:pPr>
    </w:p>
    <w:p w:rsidR="000C651B" w:rsidRPr="007F116D" w:rsidRDefault="000C651B" w:rsidP="00F44A02">
      <w:pPr>
        <w:pStyle w:val="Heading2"/>
      </w:pPr>
      <w:bookmarkStart w:id="30" w:name="_Toc418074693"/>
      <w:bookmarkStart w:id="31" w:name="OLE_LINK3"/>
      <w:bookmarkStart w:id="32" w:name="OLE_LINK4"/>
      <w:r w:rsidRPr="00B94109">
        <w:t>Changes in Burden to Respondents</w:t>
      </w:r>
      <w:bookmarkEnd w:id="30"/>
    </w:p>
    <w:bookmarkEnd w:id="31"/>
    <w:bookmarkEnd w:id="32"/>
    <w:p w:rsidR="007E669F" w:rsidRDefault="00B3329A" w:rsidP="00A27C71">
      <w:pPr>
        <w:spacing w:before="120" w:beforeAutospacing="0"/>
        <w:rPr>
          <w:snapToGrid/>
          <w:szCs w:val="24"/>
        </w:rPr>
      </w:pPr>
      <w:r w:rsidRPr="00B55846">
        <w:rPr>
          <w:lang w:val="en-CA"/>
        </w:rPr>
        <w:t xml:space="preserve">It is estimated that there will be </w:t>
      </w:r>
      <w:r>
        <w:rPr>
          <w:lang w:val="en-CA"/>
        </w:rPr>
        <w:t>a reduction</w:t>
      </w:r>
      <w:r w:rsidRPr="00B55846">
        <w:rPr>
          <w:lang w:val="en-CA"/>
        </w:rPr>
        <w:t xml:space="preserve"> in the total respondent burden for the </w:t>
      </w:r>
      <w:r w:rsidRPr="00B55846">
        <w:t xml:space="preserve">Form </w:t>
      </w:r>
      <w:r>
        <w:t>NWPA-830G</w:t>
      </w:r>
      <w:r w:rsidRPr="00B55846">
        <w:t xml:space="preserve">, </w:t>
      </w:r>
      <w:r>
        <w:t>“</w:t>
      </w:r>
      <w:r w:rsidRPr="00B55846">
        <w:t>Appendix G</w:t>
      </w:r>
      <w:r>
        <w:t xml:space="preserve"> - Standard Remittance Advice for Payment of Fees,” including Annex A to Appendix G,</w:t>
      </w:r>
      <w:r w:rsidRPr="00B55846">
        <w:t xml:space="preserve"> </w:t>
      </w:r>
      <w:r w:rsidR="00FF10A5">
        <w:t>to</w:t>
      </w:r>
      <w:r w:rsidR="00FF10A5" w:rsidRPr="00B55846">
        <w:t xml:space="preserve"> </w:t>
      </w:r>
      <w:r>
        <w:t>2,000</w:t>
      </w:r>
      <w:r w:rsidRPr="00B55846">
        <w:t xml:space="preserve"> hours</w:t>
      </w:r>
      <w:r>
        <w:t xml:space="preserve"> per </w:t>
      </w:r>
      <w:r w:rsidRPr="00B55846">
        <w:t>year</w:t>
      </w:r>
      <w:r>
        <w:t>,</w:t>
      </w:r>
      <w:r w:rsidRPr="001E2889">
        <w:t xml:space="preserve"> </w:t>
      </w:r>
      <w:r>
        <w:t>the result of a reduction in the number of respondents</w:t>
      </w:r>
      <w:r w:rsidR="0046015B">
        <w:rPr>
          <w:snapToGrid/>
          <w:szCs w:val="24"/>
        </w:rPr>
        <w:t>.</w:t>
      </w:r>
    </w:p>
    <w:p w:rsidR="00F132D6" w:rsidRPr="007F116D" w:rsidRDefault="00F132D6" w:rsidP="00456483">
      <w:pPr>
        <w:pStyle w:val="Heading2"/>
      </w:pPr>
      <w:bookmarkStart w:id="33" w:name="_Toc418074694"/>
      <w:r w:rsidRPr="00FD6119">
        <w:t>Data Collection and Publication</w:t>
      </w:r>
      <w:bookmarkEnd w:id="33"/>
    </w:p>
    <w:p w:rsidR="000C651B" w:rsidRPr="00B3329A" w:rsidRDefault="00B3329A" w:rsidP="00B3329A">
      <w:pPr>
        <w:spacing w:before="120" w:beforeAutospacing="0" w:after="0" w:afterAutospacing="0"/>
      </w:pPr>
      <w:r w:rsidRPr="00B55846">
        <w:t xml:space="preserve">The Form </w:t>
      </w:r>
      <w:r>
        <w:t>NWPA-830G</w:t>
      </w:r>
      <w:r w:rsidRPr="00B55846">
        <w:t xml:space="preserve">, </w:t>
      </w:r>
      <w:r>
        <w:t xml:space="preserve">“Appendix G - Standard Remittance Advice for Payment of Fees,” including Annex A to Appendix G, </w:t>
      </w:r>
      <w:r w:rsidRPr="00B55846">
        <w:t>is filed quarterly covering assigned three-month periods.  The form is due no later than the last business day of the month following an assigned three-month period.  The data in these collections will not be published</w:t>
      </w:r>
      <w:r>
        <w:t xml:space="preserve">. </w:t>
      </w:r>
    </w:p>
    <w:p w:rsidR="000C651B" w:rsidRPr="00F41990" w:rsidRDefault="000C651B" w:rsidP="00F44A02">
      <w:pPr>
        <w:pStyle w:val="Heading2"/>
      </w:pPr>
      <w:bookmarkStart w:id="34" w:name="_Toc418074695"/>
      <w:r w:rsidRPr="00FD6119">
        <w:t>Display of Expiration Date</w:t>
      </w:r>
      <w:r w:rsidR="00567B35">
        <w:t xml:space="preserve"> and OMB Number</w:t>
      </w:r>
      <w:bookmarkEnd w:id="34"/>
    </w:p>
    <w:p w:rsidR="00D43D71" w:rsidRPr="0070041A" w:rsidRDefault="00014C93" w:rsidP="00014C93">
      <w:pPr>
        <w:widowControl/>
        <w:spacing w:before="120" w:beforeAutospacing="0"/>
      </w:pPr>
      <w:r>
        <w:t>The OMB Number (1905-02</w:t>
      </w:r>
      <w:r w:rsidRPr="00014C93">
        <w:t>60) and expiration date will be displayed on all the data collection forms and instructions.</w:t>
      </w:r>
    </w:p>
    <w:sectPr w:rsidR="00D43D71" w:rsidRPr="0070041A" w:rsidSect="00E24060">
      <w:headerReference w:type="default" r:id="rId20"/>
      <w:footerReference w:type="default" r:id="rId2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79A" w:rsidRDefault="0006579A">
      <w:r>
        <w:separator/>
      </w:r>
    </w:p>
  </w:endnote>
  <w:endnote w:type="continuationSeparator" w:id="0">
    <w:p w:rsidR="0006579A" w:rsidRDefault="0006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02" w:rsidRDefault="000D5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F3" w:rsidRDefault="005F35F3">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02" w:rsidRDefault="000D52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F3" w:rsidRDefault="005F35F3" w:rsidP="00E24060">
    <w:pPr>
      <w:ind w:right="360"/>
      <w:jc w:val="center"/>
    </w:pPr>
    <w:proofErr w:type="gramStart"/>
    <w:r>
      <w:t>i</w:t>
    </w:r>
    <w:proofErr w:type="gram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31527063"/>
      <w:docPartObj>
        <w:docPartGallery w:val="Page Numbers (Bottom of Page)"/>
        <w:docPartUnique/>
      </w:docPartObj>
    </w:sdtPr>
    <w:sdtEndPr/>
    <w:sdtContent>
      <w:sdt>
        <w:sdtPr>
          <w:rPr>
            <w:sz w:val="20"/>
          </w:rPr>
          <w:id w:val="31527064"/>
          <w:docPartObj>
            <w:docPartGallery w:val="Page Numbers (Top of Page)"/>
            <w:docPartUnique/>
          </w:docPartObj>
        </w:sdtPr>
        <w:sdtEndPr/>
        <w:sdtContent>
          <w:p w:rsidR="005F35F3" w:rsidRDefault="005F35F3" w:rsidP="00D059F6">
            <w:pPr>
              <w:pStyle w:val="Footer"/>
              <w:tabs>
                <w:tab w:val="clear" w:pos="8640"/>
                <w:tab w:val="right" w:pos="10080"/>
              </w:tabs>
              <w:jc w:val="center"/>
              <w:rPr>
                <w:sz w:val="20"/>
              </w:rPr>
            </w:pPr>
          </w:p>
          <w:p w:rsidR="005F35F3" w:rsidRPr="00F172C2" w:rsidRDefault="009A522C" w:rsidP="00F172C2">
            <w:pPr>
              <w:pStyle w:val="Footer"/>
              <w:tabs>
                <w:tab w:val="clear" w:pos="8640"/>
                <w:tab w:val="right" w:pos="10080"/>
              </w:tabs>
              <w:jc w:val="right"/>
              <w:rPr>
                <w:sz w:val="20"/>
              </w:rPr>
            </w:pPr>
            <w:r w:rsidRPr="009A522C">
              <w:rPr>
                <w:sz w:val="20"/>
              </w:rPr>
              <w:t>Standard Remittance Advice for Payment of Fees</w:t>
            </w:r>
            <w:r w:rsidR="005F35F3" w:rsidRPr="009A522C">
              <w:rPr>
                <w:sz w:val="20"/>
              </w:rPr>
              <w:t xml:space="preserve"> </w:t>
            </w:r>
            <w:r w:rsidR="005F35F3" w:rsidRPr="00C84F62">
              <w:rPr>
                <w:sz w:val="20"/>
              </w:rPr>
              <w:t>Supporting Statement</w:t>
            </w:r>
            <w:r w:rsidR="005F35F3">
              <w:rPr>
                <w:sz w:val="20"/>
              </w:rPr>
              <w:t>, Part A</w:t>
            </w:r>
            <w:r w:rsidR="005F35F3" w:rsidRPr="00C84F62">
              <w:rPr>
                <w:sz w:val="20"/>
              </w:rPr>
              <w:tab/>
              <w:t xml:space="preserve">Page </w:t>
            </w:r>
            <w:r w:rsidR="00186E52" w:rsidRPr="00C84F62">
              <w:rPr>
                <w:sz w:val="20"/>
              </w:rPr>
              <w:fldChar w:fldCharType="begin"/>
            </w:r>
            <w:r w:rsidR="005F35F3" w:rsidRPr="00C84F62">
              <w:rPr>
                <w:sz w:val="20"/>
              </w:rPr>
              <w:instrText xml:space="preserve"> PAGE </w:instrText>
            </w:r>
            <w:r w:rsidR="00186E52" w:rsidRPr="00C84F62">
              <w:rPr>
                <w:sz w:val="20"/>
              </w:rPr>
              <w:fldChar w:fldCharType="separate"/>
            </w:r>
            <w:r w:rsidR="0061779F">
              <w:rPr>
                <w:noProof/>
                <w:sz w:val="20"/>
              </w:rPr>
              <w:t>7</w:t>
            </w:r>
            <w:r w:rsidR="00186E52" w:rsidRPr="00C84F62">
              <w:rPr>
                <w:sz w:val="20"/>
              </w:rPr>
              <w:fldChar w:fldCharType="end"/>
            </w:r>
            <w:r w:rsidR="005F35F3" w:rsidRPr="00C84F62">
              <w:rPr>
                <w:sz w:val="20"/>
              </w:rPr>
              <w:t xml:space="preserve"> of </w:t>
            </w:r>
            <w:r w:rsidR="0077557F">
              <w:rPr>
                <w:sz w:val="20"/>
              </w:rPr>
              <w:t>9</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79A" w:rsidRDefault="0006579A">
      <w:r>
        <w:separator/>
      </w:r>
    </w:p>
  </w:footnote>
  <w:footnote w:type="continuationSeparator" w:id="0">
    <w:p w:rsidR="0006579A" w:rsidRDefault="00065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02" w:rsidRDefault="000D5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02" w:rsidRDefault="000D52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02" w:rsidRDefault="000D52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F3" w:rsidRDefault="009A522C">
    <w:pPr>
      <w:pStyle w:val="Header"/>
    </w:pPr>
    <w:r w:rsidRPr="00B55846">
      <w:t>Standard Remittance Advice for Payment of Fees</w:t>
    </w:r>
    <w:r w:rsidR="005F35F3">
      <w:t xml:space="preserve"> Supporting Statement, Part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F3" w:rsidRDefault="005F35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733"/>
    <w:multiLevelType w:val="hybridMultilevel"/>
    <w:tmpl w:val="02A02AD4"/>
    <w:lvl w:ilvl="0" w:tplc="7D860CA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E057F"/>
    <w:multiLevelType w:val="hybridMultilevel"/>
    <w:tmpl w:val="D9D8F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F15FA"/>
    <w:multiLevelType w:val="hybridMultilevel"/>
    <w:tmpl w:val="60B80C1E"/>
    <w:lvl w:ilvl="0" w:tplc="F7D2B684">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993E1B"/>
    <w:multiLevelType w:val="hybridMultilevel"/>
    <w:tmpl w:val="92A09238"/>
    <w:lvl w:ilvl="0" w:tplc="04090001">
      <w:start w:val="1"/>
      <w:numFmt w:val="bullet"/>
      <w:lvlText w:val=""/>
      <w:lvlJc w:val="left"/>
      <w:pPr>
        <w:ind w:left="720" w:hanging="360"/>
      </w:pPr>
      <w:rPr>
        <w:rFonts w:ascii="Symbol" w:hAnsi="Symbol" w:hint="default"/>
      </w:rPr>
    </w:lvl>
    <w:lvl w:ilvl="1" w:tplc="FEDCD258">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E6069"/>
    <w:multiLevelType w:val="hybridMultilevel"/>
    <w:tmpl w:val="282A2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965057"/>
    <w:multiLevelType w:val="hybridMultilevel"/>
    <w:tmpl w:val="DD2C7D9C"/>
    <w:lvl w:ilvl="0" w:tplc="12721836">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D6B6BE08">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CB5354"/>
    <w:multiLevelType w:val="hybridMultilevel"/>
    <w:tmpl w:val="BC7A3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6512A9"/>
    <w:multiLevelType w:val="hybridMultilevel"/>
    <w:tmpl w:val="148CA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C942688"/>
    <w:multiLevelType w:val="hybridMultilevel"/>
    <w:tmpl w:val="8670214C"/>
    <w:lvl w:ilvl="0" w:tplc="36F24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4D0998"/>
    <w:multiLevelType w:val="hybridMultilevel"/>
    <w:tmpl w:val="9BFE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1"/>
  </w:num>
  <w:num w:numId="5">
    <w:abstractNumId w:val="4"/>
  </w:num>
  <w:num w:numId="6">
    <w:abstractNumId w:val="0"/>
  </w:num>
  <w:num w:numId="7">
    <w:abstractNumId w:val="7"/>
  </w:num>
  <w:num w:numId="8">
    <w:abstractNumId w:val="5"/>
  </w:num>
  <w:num w:numId="9">
    <w:abstractNumId w:val="8"/>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631"/>
    <w:rsid w:val="00000552"/>
    <w:rsid w:val="0000111E"/>
    <w:rsid w:val="00003470"/>
    <w:rsid w:val="00004C4D"/>
    <w:rsid w:val="00011E90"/>
    <w:rsid w:val="000120E1"/>
    <w:rsid w:val="00012725"/>
    <w:rsid w:val="0001365C"/>
    <w:rsid w:val="00014C93"/>
    <w:rsid w:val="00015069"/>
    <w:rsid w:val="00020C25"/>
    <w:rsid w:val="000227E0"/>
    <w:rsid w:val="00024C21"/>
    <w:rsid w:val="0002717B"/>
    <w:rsid w:val="00032378"/>
    <w:rsid w:val="00032B0B"/>
    <w:rsid w:val="000345DB"/>
    <w:rsid w:val="00040CFB"/>
    <w:rsid w:val="00041E54"/>
    <w:rsid w:val="00042214"/>
    <w:rsid w:val="00042A1A"/>
    <w:rsid w:val="00043E25"/>
    <w:rsid w:val="00043F96"/>
    <w:rsid w:val="00046318"/>
    <w:rsid w:val="00046407"/>
    <w:rsid w:val="00050081"/>
    <w:rsid w:val="00053DBD"/>
    <w:rsid w:val="00054945"/>
    <w:rsid w:val="00055C6E"/>
    <w:rsid w:val="00056DAD"/>
    <w:rsid w:val="00056F38"/>
    <w:rsid w:val="00063F41"/>
    <w:rsid w:val="00064B41"/>
    <w:rsid w:val="0006579A"/>
    <w:rsid w:val="000661F5"/>
    <w:rsid w:val="00067870"/>
    <w:rsid w:val="00070754"/>
    <w:rsid w:val="00073D11"/>
    <w:rsid w:val="00073E19"/>
    <w:rsid w:val="000747AD"/>
    <w:rsid w:val="000775C2"/>
    <w:rsid w:val="00077893"/>
    <w:rsid w:val="000837A0"/>
    <w:rsid w:val="00083F1B"/>
    <w:rsid w:val="000865D3"/>
    <w:rsid w:val="00090CFE"/>
    <w:rsid w:val="00091579"/>
    <w:rsid w:val="000918BB"/>
    <w:rsid w:val="00091C3E"/>
    <w:rsid w:val="000926CF"/>
    <w:rsid w:val="0009331A"/>
    <w:rsid w:val="00093396"/>
    <w:rsid w:val="000A2C3D"/>
    <w:rsid w:val="000A46BB"/>
    <w:rsid w:val="000A4A67"/>
    <w:rsid w:val="000A4D98"/>
    <w:rsid w:val="000A673F"/>
    <w:rsid w:val="000B1230"/>
    <w:rsid w:val="000B642B"/>
    <w:rsid w:val="000C077E"/>
    <w:rsid w:val="000C46CB"/>
    <w:rsid w:val="000C651B"/>
    <w:rsid w:val="000C7DBF"/>
    <w:rsid w:val="000D0DB7"/>
    <w:rsid w:val="000D208E"/>
    <w:rsid w:val="000D499F"/>
    <w:rsid w:val="000D5202"/>
    <w:rsid w:val="000D69D3"/>
    <w:rsid w:val="000D7497"/>
    <w:rsid w:val="000E1C45"/>
    <w:rsid w:val="000E4398"/>
    <w:rsid w:val="000E5E58"/>
    <w:rsid w:val="000E792B"/>
    <w:rsid w:val="000F39B9"/>
    <w:rsid w:val="000F3B53"/>
    <w:rsid w:val="000F5BD2"/>
    <w:rsid w:val="000F5D14"/>
    <w:rsid w:val="001020CF"/>
    <w:rsid w:val="00102CA3"/>
    <w:rsid w:val="00103F81"/>
    <w:rsid w:val="00107365"/>
    <w:rsid w:val="00111583"/>
    <w:rsid w:val="00111BD1"/>
    <w:rsid w:val="001160F8"/>
    <w:rsid w:val="001179E1"/>
    <w:rsid w:val="00125B95"/>
    <w:rsid w:val="0012646F"/>
    <w:rsid w:val="0012653B"/>
    <w:rsid w:val="00130778"/>
    <w:rsid w:val="00131E0A"/>
    <w:rsid w:val="00132220"/>
    <w:rsid w:val="001343F2"/>
    <w:rsid w:val="00135104"/>
    <w:rsid w:val="00136679"/>
    <w:rsid w:val="00136D15"/>
    <w:rsid w:val="00140E5E"/>
    <w:rsid w:val="001418E3"/>
    <w:rsid w:val="0014392E"/>
    <w:rsid w:val="00143E2F"/>
    <w:rsid w:val="00147089"/>
    <w:rsid w:val="00147191"/>
    <w:rsid w:val="001517E0"/>
    <w:rsid w:val="00162737"/>
    <w:rsid w:val="00162934"/>
    <w:rsid w:val="00163E9C"/>
    <w:rsid w:val="00164FE3"/>
    <w:rsid w:val="00173A02"/>
    <w:rsid w:val="001801D9"/>
    <w:rsid w:val="001802BA"/>
    <w:rsid w:val="00181E8A"/>
    <w:rsid w:val="001823DB"/>
    <w:rsid w:val="00184E10"/>
    <w:rsid w:val="00186433"/>
    <w:rsid w:val="00186E52"/>
    <w:rsid w:val="0018745F"/>
    <w:rsid w:val="001905A7"/>
    <w:rsid w:val="00191719"/>
    <w:rsid w:val="0019185C"/>
    <w:rsid w:val="00191C50"/>
    <w:rsid w:val="00194837"/>
    <w:rsid w:val="001966DD"/>
    <w:rsid w:val="0019714A"/>
    <w:rsid w:val="001A2797"/>
    <w:rsid w:val="001A3206"/>
    <w:rsid w:val="001A5F67"/>
    <w:rsid w:val="001B0424"/>
    <w:rsid w:val="001B0A1F"/>
    <w:rsid w:val="001B2841"/>
    <w:rsid w:val="001B3261"/>
    <w:rsid w:val="001B55A7"/>
    <w:rsid w:val="001B6FFA"/>
    <w:rsid w:val="001B70D3"/>
    <w:rsid w:val="001B74CF"/>
    <w:rsid w:val="001B7952"/>
    <w:rsid w:val="001C2B9A"/>
    <w:rsid w:val="001C2F7D"/>
    <w:rsid w:val="001C48E1"/>
    <w:rsid w:val="001D0A14"/>
    <w:rsid w:val="001D518D"/>
    <w:rsid w:val="001D67EB"/>
    <w:rsid w:val="001D7665"/>
    <w:rsid w:val="001E4C1F"/>
    <w:rsid w:val="001E7683"/>
    <w:rsid w:val="001E7C45"/>
    <w:rsid w:val="001F07D8"/>
    <w:rsid w:val="001F1B73"/>
    <w:rsid w:val="001F2902"/>
    <w:rsid w:val="001F2EB5"/>
    <w:rsid w:val="00200577"/>
    <w:rsid w:val="00201131"/>
    <w:rsid w:val="00206052"/>
    <w:rsid w:val="00207231"/>
    <w:rsid w:val="00211350"/>
    <w:rsid w:val="0021199F"/>
    <w:rsid w:val="00212EFE"/>
    <w:rsid w:val="002145F2"/>
    <w:rsid w:val="002169C4"/>
    <w:rsid w:val="0022168E"/>
    <w:rsid w:val="00221D64"/>
    <w:rsid w:val="00222B6C"/>
    <w:rsid w:val="00223457"/>
    <w:rsid w:val="00227966"/>
    <w:rsid w:val="00227CD1"/>
    <w:rsid w:val="002353C2"/>
    <w:rsid w:val="00237329"/>
    <w:rsid w:val="00237FD0"/>
    <w:rsid w:val="0024035B"/>
    <w:rsid w:val="00241ED3"/>
    <w:rsid w:val="002457B9"/>
    <w:rsid w:val="00246FCA"/>
    <w:rsid w:val="00247613"/>
    <w:rsid w:val="00251B52"/>
    <w:rsid w:val="00252845"/>
    <w:rsid w:val="00252930"/>
    <w:rsid w:val="00255DE3"/>
    <w:rsid w:val="002570E1"/>
    <w:rsid w:val="002638CF"/>
    <w:rsid w:val="00264A21"/>
    <w:rsid w:val="00264F03"/>
    <w:rsid w:val="00266AA0"/>
    <w:rsid w:val="00267CD6"/>
    <w:rsid w:val="0027303B"/>
    <w:rsid w:val="00274697"/>
    <w:rsid w:val="00275CFB"/>
    <w:rsid w:val="00281C5C"/>
    <w:rsid w:val="00283626"/>
    <w:rsid w:val="00291117"/>
    <w:rsid w:val="00292EBB"/>
    <w:rsid w:val="00292F9B"/>
    <w:rsid w:val="0029376E"/>
    <w:rsid w:val="00293AFC"/>
    <w:rsid w:val="00293B2C"/>
    <w:rsid w:val="00295177"/>
    <w:rsid w:val="002A2975"/>
    <w:rsid w:val="002A3AFF"/>
    <w:rsid w:val="002A646C"/>
    <w:rsid w:val="002B0B28"/>
    <w:rsid w:val="002B1C34"/>
    <w:rsid w:val="002B22FF"/>
    <w:rsid w:val="002B778D"/>
    <w:rsid w:val="002B7B5E"/>
    <w:rsid w:val="002C0BBD"/>
    <w:rsid w:val="002C24A8"/>
    <w:rsid w:val="002C4CF4"/>
    <w:rsid w:val="002D0B5E"/>
    <w:rsid w:val="002D0E02"/>
    <w:rsid w:val="002D1AFB"/>
    <w:rsid w:val="002D5B73"/>
    <w:rsid w:val="002D5CA3"/>
    <w:rsid w:val="002E568A"/>
    <w:rsid w:val="002E6FBD"/>
    <w:rsid w:val="002E747E"/>
    <w:rsid w:val="002F0589"/>
    <w:rsid w:val="002F10EA"/>
    <w:rsid w:val="002F5C97"/>
    <w:rsid w:val="002F6AC6"/>
    <w:rsid w:val="002F7412"/>
    <w:rsid w:val="003016CD"/>
    <w:rsid w:val="003018C3"/>
    <w:rsid w:val="00304F29"/>
    <w:rsid w:val="0030566A"/>
    <w:rsid w:val="00312DAE"/>
    <w:rsid w:val="00315B6B"/>
    <w:rsid w:val="00317BEB"/>
    <w:rsid w:val="003224D0"/>
    <w:rsid w:val="00322A5E"/>
    <w:rsid w:val="003238D7"/>
    <w:rsid w:val="0032446C"/>
    <w:rsid w:val="00324FD9"/>
    <w:rsid w:val="00331E1F"/>
    <w:rsid w:val="00332CF7"/>
    <w:rsid w:val="00340991"/>
    <w:rsid w:val="00341238"/>
    <w:rsid w:val="0034505C"/>
    <w:rsid w:val="003450EC"/>
    <w:rsid w:val="003548C7"/>
    <w:rsid w:val="003553C2"/>
    <w:rsid w:val="003623AD"/>
    <w:rsid w:val="003634CC"/>
    <w:rsid w:val="00366B75"/>
    <w:rsid w:val="00382A3F"/>
    <w:rsid w:val="003839CD"/>
    <w:rsid w:val="003863FF"/>
    <w:rsid w:val="00394988"/>
    <w:rsid w:val="00394C30"/>
    <w:rsid w:val="003A0316"/>
    <w:rsid w:val="003A267B"/>
    <w:rsid w:val="003A335A"/>
    <w:rsid w:val="003A6A01"/>
    <w:rsid w:val="003B59EB"/>
    <w:rsid w:val="003B662B"/>
    <w:rsid w:val="003B6A8F"/>
    <w:rsid w:val="003C05AC"/>
    <w:rsid w:val="003C161F"/>
    <w:rsid w:val="003C41DE"/>
    <w:rsid w:val="003C620B"/>
    <w:rsid w:val="003C7B41"/>
    <w:rsid w:val="003D009D"/>
    <w:rsid w:val="003D29D4"/>
    <w:rsid w:val="003D691C"/>
    <w:rsid w:val="003E33CC"/>
    <w:rsid w:val="003E35E8"/>
    <w:rsid w:val="003E5F34"/>
    <w:rsid w:val="003F4044"/>
    <w:rsid w:val="003F4076"/>
    <w:rsid w:val="003F5E0C"/>
    <w:rsid w:val="00401116"/>
    <w:rsid w:val="0040170F"/>
    <w:rsid w:val="00401EC9"/>
    <w:rsid w:val="004056AD"/>
    <w:rsid w:val="004062A4"/>
    <w:rsid w:val="004071F3"/>
    <w:rsid w:val="0041132F"/>
    <w:rsid w:val="004153C8"/>
    <w:rsid w:val="00415CCB"/>
    <w:rsid w:val="00416391"/>
    <w:rsid w:val="0041775F"/>
    <w:rsid w:val="00421476"/>
    <w:rsid w:val="00422230"/>
    <w:rsid w:val="00422289"/>
    <w:rsid w:val="004229BF"/>
    <w:rsid w:val="00422CA7"/>
    <w:rsid w:val="004248A7"/>
    <w:rsid w:val="00431AEF"/>
    <w:rsid w:val="00431D88"/>
    <w:rsid w:val="004354D8"/>
    <w:rsid w:val="00436D9C"/>
    <w:rsid w:val="004373FA"/>
    <w:rsid w:val="004434E8"/>
    <w:rsid w:val="004439A8"/>
    <w:rsid w:val="0044405B"/>
    <w:rsid w:val="004452D4"/>
    <w:rsid w:val="0045364C"/>
    <w:rsid w:val="00454988"/>
    <w:rsid w:val="00456483"/>
    <w:rsid w:val="00457A79"/>
    <w:rsid w:val="00457BB1"/>
    <w:rsid w:val="0046015B"/>
    <w:rsid w:val="004619E3"/>
    <w:rsid w:val="00463D8B"/>
    <w:rsid w:val="0047089E"/>
    <w:rsid w:val="004717D8"/>
    <w:rsid w:val="00471FEB"/>
    <w:rsid w:val="00473C85"/>
    <w:rsid w:val="0047513B"/>
    <w:rsid w:val="00475A93"/>
    <w:rsid w:val="00475EDB"/>
    <w:rsid w:val="00477A5B"/>
    <w:rsid w:val="00482D20"/>
    <w:rsid w:val="004834A7"/>
    <w:rsid w:val="00483744"/>
    <w:rsid w:val="00485D02"/>
    <w:rsid w:val="00487F28"/>
    <w:rsid w:val="00487F3E"/>
    <w:rsid w:val="0049314F"/>
    <w:rsid w:val="004953AC"/>
    <w:rsid w:val="004967E9"/>
    <w:rsid w:val="004A2547"/>
    <w:rsid w:val="004A425E"/>
    <w:rsid w:val="004A57AA"/>
    <w:rsid w:val="004A68DF"/>
    <w:rsid w:val="004B020F"/>
    <w:rsid w:val="004B0548"/>
    <w:rsid w:val="004B113F"/>
    <w:rsid w:val="004B16A2"/>
    <w:rsid w:val="004B19D1"/>
    <w:rsid w:val="004B32C9"/>
    <w:rsid w:val="004B33FD"/>
    <w:rsid w:val="004B5776"/>
    <w:rsid w:val="004B71A5"/>
    <w:rsid w:val="004C0C8E"/>
    <w:rsid w:val="004C31D5"/>
    <w:rsid w:val="004D11DD"/>
    <w:rsid w:val="004D1763"/>
    <w:rsid w:val="004D4442"/>
    <w:rsid w:val="004D4BEC"/>
    <w:rsid w:val="004D4E8B"/>
    <w:rsid w:val="004E237C"/>
    <w:rsid w:val="004E277C"/>
    <w:rsid w:val="004E3F51"/>
    <w:rsid w:val="004F4CAC"/>
    <w:rsid w:val="004F5A4D"/>
    <w:rsid w:val="004F5C32"/>
    <w:rsid w:val="004F63BE"/>
    <w:rsid w:val="004F70F9"/>
    <w:rsid w:val="0050130A"/>
    <w:rsid w:val="00503B14"/>
    <w:rsid w:val="00505B73"/>
    <w:rsid w:val="00505CCA"/>
    <w:rsid w:val="005069AE"/>
    <w:rsid w:val="00510A14"/>
    <w:rsid w:val="00511937"/>
    <w:rsid w:val="00512995"/>
    <w:rsid w:val="005132D1"/>
    <w:rsid w:val="00514898"/>
    <w:rsid w:val="0051520C"/>
    <w:rsid w:val="005163CA"/>
    <w:rsid w:val="005179EE"/>
    <w:rsid w:val="0052171A"/>
    <w:rsid w:val="005235BE"/>
    <w:rsid w:val="0052373C"/>
    <w:rsid w:val="00526DC6"/>
    <w:rsid w:val="00527A8A"/>
    <w:rsid w:val="005303F3"/>
    <w:rsid w:val="005310BB"/>
    <w:rsid w:val="00531976"/>
    <w:rsid w:val="005445D6"/>
    <w:rsid w:val="00544937"/>
    <w:rsid w:val="00545C21"/>
    <w:rsid w:val="00547F04"/>
    <w:rsid w:val="005534FE"/>
    <w:rsid w:val="00554959"/>
    <w:rsid w:val="00555F3F"/>
    <w:rsid w:val="0055600B"/>
    <w:rsid w:val="005655D3"/>
    <w:rsid w:val="00566DEA"/>
    <w:rsid w:val="00567B35"/>
    <w:rsid w:val="00572D66"/>
    <w:rsid w:val="00573EDC"/>
    <w:rsid w:val="00576474"/>
    <w:rsid w:val="005778F8"/>
    <w:rsid w:val="0058087D"/>
    <w:rsid w:val="00580FAC"/>
    <w:rsid w:val="00581169"/>
    <w:rsid w:val="00586D78"/>
    <w:rsid w:val="00590C38"/>
    <w:rsid w:val="00593373"/>
    <w:rsid w:val="005961B0"/>
    <w:rsid w:val="005A1398"/>
    <w:rsid w:val="005A2E29"/>
    <w:rsid w:val="005A6D09"/>
    <w:rsid w:val="005B160C"/>
    <w:rsid w:val="005B2C8F"/>
    <w:rsid w:val="005B312D"/>
    <w:rsid w:val="005B44CE"/>
    <w:rsid w:val="005B5453"/>
    <w:rsid w:val="005B5901"/>
    <w:rsid w:val="005B7A8E"/>
    <w:rsid w:val="005B7DED"/>
    <w:rsid w:val="005C19AC"/>
    <w:rsid w:val="005C233F"/>
    <w:rsid w:val="005C691E"/>
    <w:rsid w:val="005C716B"/>
    <w:rsid w:val="005D049B"/>
    <w:rsid w:val="005D133D"/>
    <w:rsid w:val="005D137A"/>
    <w:rsid w:val="005D6373"/>
    <w:rsid w:val="005D6B93"/>
    <w:rsid w:val="005E2F67"/>
    <w:rsid w:val="005E3FB6"/>
    <w:rsid w:val="005E5ADA"/>
    <w:rsid w:val="005E6422"/>
    <w:rsid w:val="005E78CB"/>
    <w:rsid w:val="005F014B"/>
    <w:rsid w:val="005F2149"/>
    <w:rsid w:val="005F253B"/>
    <w:rsid w:val="005F35F3"/>
    <w:rsid w:val="005F4BDD"/>
    <w:rsid w:val="005F5586"/>
    <w:rsid w:val="005F68A9"/>
    <w:rsid w:val="005F7CEC"/>
    <w:rsid w:val="0060121C"/>
    <w:rsid w:val="00602560"/>
    <w:rsid w:val="006054E5"/>
    <w:rsid w:val="006061F9"/>
    <w:rsid w:val="00611164"/>
    <w:rsid w:val="00614F04"/>
    <w:rsid w:val="0061584D"/>
    <w:rsid w:val="0061779F"/>
    <w:rsid w:val="00620EF5"/>
    <w:rsid w:val="00632CD8"/>
    <w:rsid w:val="00634271"/>
    <w:rsid w:val="0063695E"/>
    <w:rsid w:val="00641EDC"/>
    <w:rsid w:val="00643529"/>
    <w:rsid w:val="00643EB3"/>
    <w:rsid w:val="0065097A"/>
    <w:rsid w:val="00650E1E"/>
    <w:rsid w:val="0065191A"/>
    <w:rsid w:val="00652A86"/>
    <w:rsid w:val="0065547F"/>
    <w:rsid w:val="006559DF"/>
    <w:rsid w:val="006560E2"/>
    <w:rsid w:val="0065736E"/>
    <w:rsid w:val="0066284D"/>
    <w:rsid w:val="006702EF"/>
    <w:rsid w:val="00672F2F"/>
    <w:rsid w:val="00673261"/>
    <w:rsid w:val="00673853"/>
    <w:rsid w:val="006744D8"/>
    <w:rsid w:val="00681F8A"/>
    <w:rsid w:val="006845FF"/>
    <w:rsid w:val="006851DC"/>
    <w:rsid w:val="006909DF"/>
    <w:rsid w:val="00690F17"/>
    <w:rsid w:val="00694117"/>
    <w:rsid w:val="0069491F"/>
    <w:rsid w:val="00697604"/>
    <w:rsid w:val="00697703"/>
    <w:rsid w:val="00697D1B"/>
    <w:rsid w:val="006A0400"/>
    <w:rsid w:val="006A15DC"/>
    <w:rsid w:val="006A3609"/>
    <w:rsid w:val="006A3ACC"/>
    <w:rsid w:val="006A61CE"/>
    <w:rsid w:val="006B01EA"/>
    <w:rsid w:val="006B0241"/>
    <w:rsid w:val="006B0CFB"/>
    <w:rsid w:val="006B1057"/>
    <w:rsid w:val="006B292D"/>
    <w:rsid w:val="006B2D8A"/>
    <w:rsid w:val="006B451D"/>
    <w:rsid w:val="006B6872"/>
    <w:rsid w:val="006B70DF"/>
    <w:rsid w:val="006C1642"/>
    <w:rsid w:val="006C3F86"/>
    <w:rsid w:val="006D1640"/>
    <w:rsid w:val="006D2D64"/>
    <w:rsid w:val="006D3847"/>
    <w:rsid w:val="006D6F0D"/>
    <w:rsid w:val="006E12D4"/>
    <w:rsid w:val="006E13F0"/>
    <w:rsid w:val="006E1997"/>
    <w:rsid w:val="006E286F"/>
    <w:rsid w:val="006E3F18"/>
    <w:rsid w:val="006E40BD"/>
    <w:rsid w:val="006E561F"/>
    <w:rsid w:val="006E7D30"/>
    <w:rsid w:val="006F0AB3"/>
    <w:rsid w:val="006F1138"/>
    <w:rsid w:val="006F5ADF"/>
    <w:rsid w:val="006F6B2A"/>
    <w:rsid w:val="0070041A"/>
    <w:rsid w:val="00700EE2"/>
    <w:rsid w:val="00712C38"/>
    <w:rsid w:val="00713F20"/>
    <w:rsid w:val="00717375"/>
    <w:rsid w:val="0072048E"/>
    <w:rsid w:val="00721EE4"/>
    <w:rsid w:val="00722782"/>
    <w:rsid w:val="00723101"/>
    <w:rsid w:val="0072344C"/>
    <w:rsid w:val="00723FC0"/>
    <w:rsid w:val="0073617E"/>
    <w:rsid w:val="00736BCF"/>
    <w:rsid w:val="007405BF"/>
    <w:rsid w:val="00740C70"/>
    <w:rsid w:val="007416B9"/>
    <w:rsid w:val="00741B7B"/>
    <w:rsid w:val="0074251E"/>
    <w:rsid w:val="0074329D"/>
    <w:rsid w:val="00750ED8"/>
    <w:rsid w:val="007571EC"/>
    <w:rsid w:val="00761D61"/>
    <w:rsid w:val="007653B5"/>
    <w:rsid w:val="007666D2"/>
    <w:rsid w:val="0076701B"/>
    <w:rsid w:val="00770AA5"/>
    <w:rsid w:val="007754DA"/>
    <w:rsid w:val="0077557F"/>
    <w:rsid w:val="00780005"/>
    <w:rsid w:val="007808B3"/>
    <w:rsid w:val="00780CB7"/>
    <w:rsid w:val="00784CA1"/>
    <w:rsid w:val="00785009"/>
    <w:rsid w:val="007858AD"/>
    <w:rsid w:val="00785DCE"/>
    <w:rsid w:val="00792222"/>
    <w:rsid w:val="00792E32"/>
    <w:rsid w:val="00793B77"/>
    <w:rsid w:val="00796E8B"/>
    <w:rsid w:val="007A4769"/>
    <w:rsid w:val="007A7696"/>
    <w:rsid w:val="007B0491"/>
    <w:rsid w:val="007B0DDF"/>
    <w:rsid w:val="007B14A0"/>
    <w:rsid w:val="007C3610"/>
    <w:rsid w:val="007C4E3C"/>
    <w:rsid w:val="007C62FC"/>
    <w:rsid w:val="007C6D71"/>
    <w:rsid w:val="007C7494"/>
    <w:rsid w:val="007D0E96"/>
    <w:rsid w:val="007D30AC"/>
    <w:rsid w:val="007D365E"/>
    <w:rsid w:val="007D476E"/>
    <w:rsid w:val="007D48C1"/>
    <w:rsid w:val="007E02AC"/>
    <w:rsid w:val="007E0CB7"/>
    <w:rsid w:val="007E5559"/>
    <w:rsid w:val="007E669F"/>
    <w:rsid w:val="007F0791"/>
    <w:rsid w:val="007F116D"/>
    <w:rsid w:val="007F3631"/>
    <w:rsid w:val="007F62A1"/>
    <w:rsid w:val="007F713B"/>
    <w:rsid w:val="007F77F3"/>
    <w:rsid w:val="008029D9"/>
    <w:rsid w:val="0080495C"/>
    <w:rsid w:val="00805D24"/>
    <w:rsid w:val="00805F54"/>
    <w:rsid w:val="00807A3A"/>
    <w:rsid w:val="00814914"/>
    <w:rsid w:val="008155EE"/>
    <w:rsid w:val="0081573C"/>
    <w:rsid w:val="00816094"/>
    <w:rsid w:val="008205AD"/>
    <w:rsid w:val="00821EA7"/>
    <w:rsid w:val="00822D1B"/>
    <w:rsid w:val="0082375E"/>
    <w:rsid w:val="008260D9"/>
    <w:rsid w:val="00831819"/>
    <w:rsid w:val="00831BED"/>
    <w:rsid w:val="00833452"/>
    <w:rsid w:val="00833C26"/>
    <w:rsid w:val="00834E66"/>
    <w:rsid w:val="00841FF0"/>
    <w:rsid w:val="00843F04"/>
    <w:rsid w:val="008448DC"/>
    <w:rsid w:val="00844F4F"/>
    <w:rsid w:val="0084616B"/>
    <w:rsid w:val="00847244"/>
    <w:rsid w:val="00847830"/>
    <w:rsid w:val="008503A5"/>
    <w:rsid w:val="00851899"/>
    <w:rsid w:val="00852989"/>
    <w:rsid w:val="008533D9"/>
    <w:rsid w:val="008534DE"/>
    <w:rsid w:val="008575C1"/>
    <w:rsid w:val="00857B33"/>
    <w:rsid w:val="00861BD7"/>
    <w:rsid w:val="008710A3"/>
    <w:rsid w:val="00872064"/>
    <w:rsid w:val="008765B3"/>
    <w:rsid w:val="00876CB7"/>
    <w:rsid w:val="0087762F"/>
    <w:rsid w:val="008816A5"/>
    <w:rsid w:val="0088178E"/>
    <w:rsid w:val="008839BE"/>
    <w:rsid w:val="008844BD"/>
    <w:rsid w:val="00885AB0"/>
    <w:rsid w:val="0088790A"/>
    <w:rsid w:val="00887C3E"/>
    <w:rsid w:val="00895CA1"/>
    <w:rsid w:val="0089706C"/>
    <w:rsid w:val="00897E4D"/>
    <w:rsid w:val="008A104C"/>
    <w:rsid w:val="008A11D4"/>
    <w:rsid w:val="008A42AC"/>
    <w:rsid w:val="008A64E5"/>
    <w:rsid w:val="008A67D8"/>
    <w:rsid w:val="008A6BD3"/>
    <w:rsid w:val="008A6D33"/>
    <w:rsid w:val="008B005E"/>
    <w:rsid w:val="008B3EAD"/>
    <w:rsid w:val="008B443E"/>
    <w:rsid w:val="008B60B5"/>
    <w:rsid w:val="008B6BA2"/>
    <w:rsid w:val="008C1B3B"/>
    <w:rsid w:val="008C21EA"/>
    <w:rsid w:val="008C6141"/>
    <w:rsid w:val="008D09C3"/>
    <w:rsid w:val="008D5CA8"/>
    <w:rsid w:val="008E0B3B"/>
    <w:rsid w:val="008E282B"/>
    <w:rsid w:val="008E371D"/>
    <w:rsid w:val="008E5E4D"/>
    <w:rsid w:val="008E7117"/>
    <w:rsid w:val="008F2B3E"/>
    <w:rsid w:val="008F59EF"/>
    <w:rsid w:val="0090197E"/>
    <w:rsid w:val="00902C9A"/>
    <w:rsid w:val="00904598"/>
    <w:rsid w:val="00905315"/>
    <w:rsid w:val="00905722"/>
    <w:rsid w:val="00905EDA"/>
    <w:rsid w:val="009113A3"/>
    <w:rsid w:val="009115C6"/>
    <w:rsid w:val="00911C1A"/>
    <w:rsid w:val="009126F1"/>
    <w:rsid w:val="00913A74"/>
    <w:rsid w:val="00913B1A"/>
    <w:rsid w:val="0091536E"/>
    <w:rsid w:val="00920447"/>
    <w:rsid w:val="00920F3B"/>
    <w:rsid w:val="00921AD1"/>
    <w:rsid w:val="00921B4C"/>
    <w:rsid w:val="00921C01"/>
    <w:rsid w:val="0092252C"/>
    <w:rsid w:val="00924BF4"/>
    <w:rsid w:val="00924CD3"/>
    <w:rsid w:val="00926610"/>
    <w:rsid w:val="00930D07"/>
    <w:rsid w:val="00935AFE"/>
    <w:rsid w:val="00936B6A"/>
    <w:rsid w:val="00940DC6"/>
    <w:rsid w:val="00941055"/>
    <w:rsid w:val="009420E3"/>
    <w:rsid w:val="00943632"/>
    <w:rsid w:val="00943795"/>
    <w:rsid w:val="009448FF"/>
    <w:rsid w:val="00945BFD"/>
    <w:rsid w:val="00953387"/>
    <w:rsid w:val="009534CF"/>
    <w:rsid w:val="00955849"/>
    <w:rsid w:val="009560C9"/>
    <w:rsid w:val="00956B3E"/>
    <w:rsid w:val="00962CA1"/>
    <w:rsid w:val="009638AA"/>
    <w:rsid w:val="00964B92"/>
    <w:rsid w:val="0096548C"/>
    <w:rsid w:val="00967561"/>
    <w:rsid w:val="00973865"/>
    <w:rsid w:val="009828E8"/>
    <w:rsid w:val="00982F0B"/>
    <w:rsid w:val="00983372"/>
    <w:rsid w:val="00984D9A"/>
    <w:rsid w:val="0099125D"/>
    <w:rsid w:val="0099243E"/>
    <w:rsid w:val="00994063"/>
    <w:rsid w:val="009940E3"/>
    <w:rsid w:val="00994AA7"/>
    <w:rsid w:val="00997840"/>
    <w:rsid w:val="009A00CE"/>
    <w:rsid w:val="009A2741"/>
    <w:rsid w:val="009A35B3"/>
    <w:rsid w:val="009A38DC"/>
    <w:rsid w:val="009A4ADF"/>
    <w:rsid w:val="009A522C"/>
    <w:rsid w:val="009B05C5"/>
    <w:rsid w:val="009B18A5"/>
    <w:rsid w:val="009C070B"/>
    <w:rsid w:val="009C21E8"/>
    <w:rsid w:val="009C3A30"/>
    <w:rsid w:val="009C54E6"/>
    <w:rsid w:val="009C5A35"/>
    <w:rsid w:val="009C69A6"/>
    <w:rsid w:val="009C6B72"/>
    <w:rsid w:val="009C73ED"/>
    <w:rsid w:val="009D07DF"/>
    <w:rsid w:val="009D14FE"/>
    <w:rsid w:val="009D2543"/>
    <w:rsid w:val="009D3B77"/>
    <w:rsid w:val="009D4214"/>
    <w:rsid w:val="009D6A74"/>
    <w:rsid w:val="009E1AFE"/>
    <w:rsid w:val="009E28FA"/>
    <w:rsid w:val="009E2974"/>
    <w:rsid w:val="009E6319"/>
    <w:rsid w:val="009F237F"/>
    <w:rsid w:val="009F2DC7"/>
    <w:rsid w:val="009F305D"/>
    <w:rsid w:val="009F79B5"/>
    <w:rsid w:val="00A00A21"/>
    <w:rsid w:val="00A0664C"/>
    <w:rsid w:val="00A1059C"/>
    <w:rsid w:val="00A15086"/>
    <w:rsid w:val="00A15D6A"/>
    <w:rsid w:val="00A16B0A"/>
    <w:rsid w:val="00A2129A"/>
    <w:rsid w:val="00A21770"/>
    <w:rsid w:val="00A23C9E"/>
    <w:rsid w:val="00A25777"/>
    <w:rsid w:val="00A27C71"/>
    <w:rsid w:val="00A31208"/>
    <w:rsid w:val="00A32CCA"/>
    <w:rsid w:val="00A32DA4"/>
    <w:rsid w:val="00A3439C"/>
    <w:rsid w:val="00A35D09"/>
    <w:rsid w:val="00A36EA8"/>
    <w:rsid w:val="00A40207"/>
    <w:rsid w:val="00A42A18"/>
    <w:rsid w:val="00A42C14"/>
    <w:rsid w:val="00A54690"/>
    <w:rsid w:val="00A5686B"/>
    <w:rsid w:val="00A61316"/>
    <w:rsid w:val="00A61CD0"/>
    <w:rsid w:val="00A61F75"/>
    <w:rsid w:val="00A635AD"/>
    <w:rsid w:val="00A64B16"/>
    <w:rsid w:val="00A7123D"/>
    <w:rsid w:val="00A719A9"/>
    <w:rsid w:val="00A75089"/>
    <w:rsid w:val="00A767E6"/>
    <w:rsid w:val="00A76A54"/>
    <w:rsid w:val="00A76E73"/>
    <w:rsid w:val="00A86DB2"/>
    <w:rsid w:val="00A91FC9"/>
    <w:rsid w:val="00A92B1A"/>
    <w:rsid w:val="00A94F87"/>
    <w:rsid w:val="00A96D7F"/>
    <w:rsid w:val="00AA13C5"/>
    <w:rsid w:val="00AA1793"/>
    <w:rsid w:val="00AA4AF1"/>
    <w:rsid w:val="00AB094A"/>
    <w:rsid w:val="00AB35D3"/>
    <w:rsid w:val="00AB423C"/>
    <w:rsid w:val="00AB6092"/>
    <w:rsid w:val="00AB628E"/>
    <w:rsid w:val="00AB65F0"/>
    <w:rsid w:val="00AB69A7"/>
    <w:rsid w:val="00AB77EB"/>
    <w:rsid w:val="00AC2EA5"/>
    <w:rsid w:val="00AC3A81"/>
    <w:rsid w:val="00AC75EE"/>
    <w:rsid w:val="00AD03DD"/>
    <w:rsid w:val="00AD3791"/>
    <w:rsid w:val="00AD384E"/>
    <w:rsid w:val="00AD7E19"/>
    <w:rsid w:val="00AE09B1"/>
    <w:rsid w:val="00AE10E2"/>
    <w:rsid w:val="00AE35AC"/>
    <w:rsid w:val="00AE46E4"/>
    <w:rsid w:val="00AE47E1"/>
    <w:rsid w:val="00AE5645"/>
    <w:rsid w:val="00AE62EF"/>
    <w:rsid w:val="00AE77A6"/>
    <w:rsid w:val="00AF0253"/>
    <w:rsid w:val="00AF10BE"/>
    <w:rsid w:val="00AF3A52"/>
    <w:rsid w:val="00B03109"/>
    <w:rsid w:val="00B0467A"/>
    <w:rsid w:val="00B04D18"/>
    <w:rsid w:val="00B06DBB"/>
    <w:rsid w:val="00B07AB7"/>
    <w:rsid w:val="00B1558B"/>
    <w:rsid w:val="00B160BD"/>
    <w:rsid w:val="00B243F8"/>
    <w:rsid w:val="00B264DF"/>
    <w:rsid w:val="00B26635"/>
    <w:rsid w:val="00B30665"/>
    <w:rsid w:val="00B328D3"/>
    <w:rsid w:val="00B331C0"/>
    <w:rsid w:val="00B3329A"/>
    <w:rsid w:val="00B34F3A"/>
    <w:rsid w:val="00B364E7"/>
    <w:rsid w:val="00B40029"/>
    <w:rsid w:val="00B410EB"/>
    <w:rsid w:val="00B43C33"/>
    <w:rsid w:val="00B4421E"/>
    <w:rsid w:val="00B51DDD"/>
    <w:rsid w:val="00B5224B"/>
    <w:rsid w:val="00B53484"/>
    <w:rsid w:val="00B5655F"/>
    <w:rsid w:val="00B612BD"/>
    <w:rsid w:val="00B614F4"/>
    <w:rsid w:val="00B62C41"/>
    <w:rsid w:val="00B64763"/>
    <w:rsid w:val="00B64AEF"/>
    <w:rsid w:val="00B67A12"/>
    <w:rsid w:val="00B70003"/>
    <w:rsid w:val="00B815FC"/>
    <w:rsid w:val="00B82D24"/>
    <w:rsid w:val="00B87A2D"/>
    <w:rsid w:val="00B902F8"/>
    <w:rsid w:val="00B91793"/>
    <w:rsid w:val="00B91E36"/>
    <w:rsid w:val="00B94109"/>
    <w:rsid w:val="00B9503B"/>
    <w:rsid w:val="00B97952"/>
    <w:rsid w:val="00B97EC7"/>
    <w:rsid w:val="00BA3C9C"/>
    <w:rsid w:val="00BA3E21"/>
    <w:rsid w:val="00BA44C3"/>
    <w:rsid w:val="00BA77EA"/>
    <w:rsid w:val="00BB1808"/>
    <w:rsid w:val="00BB25DC"/>
    <w:rsid w:val="00BB5714"/>
    <w:rsid w:val="00BC13DB"/>
    <w:rsid w:val="00BC1FD0"/>
    <w:rsid w:val="00BC3875"/>
    <w:rsid w:val="00BC501C"/>
    <w:rsid w:val="00BD071E"/>
    <w:rsid w:val="00BD70C2"/>
    <w:rsid w:val="00BE4177"/>
    <w:rsid w:val="00BE47DB"/>
    <w:rsid w:val="00BF25A9"/>
    <w:rsid w:val="00BF356A"/>
    <w:rsid w:val="00BF4359"/>
    <w:rsid w:val="00BF7B23"/>
    <w:rsid w:val="00C121F1"/>
    <w:rsid w:val="00C143A2"/>
    <w:rsid w:val="00C15E03"/>
    <w:rsid w:val="00C22399"/>
    <w:rsid w:val="00C24055"/>
    <w:rsid w:val="00C2540D"/>
    <w:rsid w:val="00C31794"/>
    <w:rsid w:val="00C32BA8"/>
    <w:rsid w:val="00C336C8"/>
    <w:rsid w:val="00C3483D"/>
    <w:rsid w:val="00C35060"/>
    <w:rsid w:val="00C41479"/>
    <w:rsid w:val="00C41EA5"/>
    <w:rsid w:val="00C43508"/>
    <w:rsid w:val="00C46879"/>
    <w:rsid w:val="00C53908"/>
    <w:rsid w:val="00C5592D"/>
    <w:rsid w:val="00C56E43"/>
    <w:rsid w:val="00C603C6"/>
    <w:rsid w:val="00C60F05"/>
    <w:rsid w:val="00C617C7"/>
    <w:rsid w:val="00C62386"/>
    <w:rsid w:val="00C63430"/>
    <w:rsid w:val="00C640FD"/>
    <w:rsid w:val="00C656ED"/>
    <w:rsid w:val="00C65EFD"/>
    <w:rsid w:val="00C66314"/>
    <w:rsid w:val="00C66378"/>
    <w:rsid w:val="00C7541A"/>
    <w:rsid w:val="00C7663F"/>
    <w:rsid w:val="00C83CF4"/>
    <w:rsid w:val="00C84C48"/>
    <w:rsid w:val="00C84F62"/>
    <w:rsid w:val="00C85631"/>
    <w:rsid w:val="00C931E4"/>
    <w:rsid w:val="00C96622"/>
    <w:rsid w:val="00C975FF"/>
    <w:rsid w:val="00CA02D6"/>
    <w:rsid w:val="00CA0C39"/>
    <w:rsid w:val="00CA5342"/>
    <w:rsid w:val="00CA5E46"/>
    <w:rsid w:val="00CA6295"/>
    <w:rsid w:val="00CA7EF1"/>
    <w:rsid w:val="00CB0726"/>
    <w:rsid w:val="00CB073B"/>
    <w:rsid w:val="00CB0F46"/>
    <w:rsid w:val="00CB468D"/>
    <w:rsid w:val="00CC00EC"/>
    <w:rsid w:val="00CC02B2"/>
    <w:rsid w:val="00CC3D83"/>
    <w:rsid w:val="00CC4441"/>
    <w:rsid w:val="00CD0C0C"/>
    <w:rsid w:val="00CD1F78"/>
    <w:rsid w:val="00CD685A"/>
    <w:rsid w:val="00CD6A62"/>
    <w:rsid w:val="00CE01BD"/>
    <w:rsid w:val="00CE060B"/>
    <w:rsid w:val="00CE3E6E"/>
    <w:rsid w:val="00CE5B9A"/>
    <w:rsid w:val="00CF6419"/>
    <w:rsid w:val="00CF78B7"/>
    <w:rsid w:val="00D0199B"/>
    <w:rsid w:val="00D0364C"/>
    <w:rsid w:val="00D059F6"/>
    <w:rsid w:val="00D0669C"/>
    <w:rsid w:val="00D070B0"/>
    <w:rsid w:val="00D158CD"/>
    <w:rsid w:val="00D15D35"/>
    <w:rsid w:val="00D164F1"/>
    <w:rsid w:val="00D17D9F"/>
    <w:rsid w:val="00D21DC0"/>
    <w:rsid w:val="00D22F4C"/>
    <w:rsid w:val="00D24A70"/>
    <w:rsid w:val="00D275F2"/>
    <w:rsid w:val="00D339CA"/>
    <w:rsid w:val="00D36721"/>
    <w:rsid w:val="00D405EC"/>
    <w:rsid w:val="00D42313"/>
    <w:rsid w:val="00D42521"/>
    <w:rsid w:val="00D43A57"/>
    <w:rsid w:val="00D43D71"/>
    <w:rsid w:val="00D443E6"/>
    <w:rsid w:val="00D45AD3"/>
    <w:rsid w:val="00D47A4B"/>
    <w:rsid w:val="00D54701"/>
    <w:rsid w:val="00D54A30"/>
    <w:rsid w:val="00D54C3B"/>
    <w:rsid w:val="00D55845"/>
    <w:rsid w:val="00D55BBC"/>
    <w:rsid w:val="00D57800"/>
    <w:rsid w:val="00D62467"/>
    <w:rsid w:val="00D6368E"/>
    <w:rsid w:val="00D63A46"/>
    <w:rsid w:val="00D67552"/>
    <w:rsid w:val="00D72A3D"/>
    <w:rsid w:val="00D72D87"/>
    <w:rsid w:val="00D733BB"/>
    <w:rsid w:val="00D82DBD"/>
    <w:rsid w:val="00D86DA1"/>
    <w:rsid w:val="00D87E8B"/>
    <w:rsid w:val="00D9015D"/>
    <w:rsid w:val="00D913E4"/>
    <w:rsid w:val="00D91936"/>
    <w:rsid w:val="00D92437"/>
    <w:rsid w:val="00D92CFF"/>
    <w:rsid w:val="00D95564"/>
    <w:rsid w:val="00D96997"/>
    <w:rsid w:val="00D970DE"/>
    <w:rsid w:val="00DA0342"/>
    <w:rsid w:val="00DA0546"/>
    <w:rsid w:val="00DA3690"/>
    <w:rsid w:val="00DA42B1"/>
    <w:rsid w:val="00DA46A4"/>
    <w:rsid w:val="00DA4E7A"/>
    <w:rsid w:val="00DA5179"/>
    <w:rsid w:val="00DA5820"/>
    <w:rsid w:val="00DA6F7D"/>
    <w:rsid w:val="00DA769A"/>
    <w:rsid w:val="00DB1495"/>
    <w:rsid w:val="00DB27CB"/>
    <w:rsid w:val="00DB36E4"/>
    <w:rsid w:val="00DB783F"/>
    <w:rsid w:val="00DC56CA"/>
    <w:rsid w:val="00DD0D8E"/>
    <w:rsid w:val="00DE2F4D"/>
    <w:rsid w:val="00DE3DFD"/>
    <w:rsid w:val="00DE43F2"/>
    <w:rsid w:val="00DE51A7"/>
    <w:rsid w:val="00DE5A79"/>
    <w:rsid w:val="00DF0C8C"/>
    <w:rsid w:val="00DF12E2"/>
    <w:rsid w:val="00DF607E"/>
    <w:rsid w:val="00DF75F3"/>
    <w:rsid w:val="00E04200"/>
    <w:rsid w:val="00E05A4E"/>
    <w:rsid w:val="00E05C80"/>
    <w:rsid w:val="00E07E13"/>
    <w:rsid w:val="00E15D0F"/>
    <w:rsid w:val="00E170C5"/>
    <w:rsid w:val="00E20192"/>
    <w:rsid w:val="00E2373A"/>
    <w:rsid w:val="00E24060"/>
    <w:rsid w:val="00E253C5"/>
    <w:rsid w:val="00E257FE"/>
    <w:rsid w:val="00E25DD4"/>
    <w:rsid w:val="00E34CFC"/>
    <w:rsid w:val="00E36675"/>
    <w:rsid w:val="00E37190"/>
    <w:rsid w:val="00E42BCC"/>
    <w:rsid w:val="00E42D01"/>
    <w:rsid w:val="00E432F7"/>
    <w:rsid w:val="00E45336"/>
    <w:rsid w:val="00E47F19"/>
    <w:rsid w:val="00E552C2"/>
    <w:rsid w:val="00E573C4"/>
    <w:rsid w:val="00E6173C"/>
    <w:rsid w:val="00E61F05"/>
    <w:rsid w:val="00E62D85"/>
    <w:rsid w:val="00E65160"/>
    <w:rsid w:val="00E6793C"/>
    <w:rsid w:val="00E73B06"/>
    <w:rsid w:val="00E74A77"/>
    <w:rsid w:val="00E75D5F"/>
    <w:rsid w:val="00E832FF"/>
    <w:rsid w:val="00E85724"/>
    <w:rsid w:val="00E8582A"/>
    <w:rsid w:val="00E86240"/>
    <w:rsid w:val="00E87C7A"/>
    <w:rsid w:val="00E90BB8"/>
    <w:rsid w:val="00E91041"/>
    <w:rsid w:val="00E91FDF"/>
    <w:rsid w:val="00EA2968"/>
    <w:rsid w:val="00EA423F"/>
    <w:rsid w:val="00EA5771"/>
    <w:rsid w:val="00EA5979"/>
    <w:rsid w:val="00EA5F5B"/>
    <w:rsid w:val="00EA6C2F"/>
    <w:rsid w:val="00EA732D"/>
    <w:rsid w:val="00EB0275"/>
    <w:rsid w:val="00EB1D5C"/>
    <w:rsid w:val="00EB26C4"/>
    <w:rsid w:val="00EB2B89"/>
    <w:rsid w:val="00EB4343"/>
    <w:rsid w:val="00EC03C5"/>
    <w:rsid w:val="00EC068B"/>
    <w:rsid w:val="00EC2F01"/>
    <w:rsid w:val="00EC6BDC"/>
    <w:rsid w:val="00EC6D62"/>
    <w:rsid w:val="00EC79E0"/>
    <w:rsid w:val="00ED437E"/>
    <w:rsid w:val="00ED6722"/>
    <w:rsid w:val="00EE2BA2"/>
    <w:rsid w:val="00EE5CFD"/>
    <w:rsid w:val="00EF6844"/>
    <w:rsid w:val="00F0020A"/>
    <w:rsid w:val="00F0648E"/>
    <w:rsid w:val="00F06C2A"/>
    <w:rsid w:val="00F06D51"/>
    <w:rsid w:val="00F1227A"/>
    <w:rsid w:val="00F132D6"/>
    <w:rsid w:val="00F1703B"/>
    <w:rsid w:val="00F172C2"/>
    <w:rsid w:val="00F17E73"/>
    <w:rsid w:val="00F2168C"/>
    <w:rsid w:val="00F23D87"/>
    <w:rsid w:val="00F26B96"/>
    <w:rsid w:val="00F273AB"/>
    <w:rsid w:val="00F31A0A"/>
    <w:rsid w:val="00F36E0F"/>
    <w:rsid w:val="00F36FA6"/>
    <w:rsid w:val="00F3718E"/>
    <w:rsid w:val="00F374A2"/>
    <w:rsid w:val="00F3787D"/>
    <w:rsid w:val="00F40DC0"/>
    <w:rsid w:val="00F41990"/>
    <w:rsid w:val="00F41B8E"/>
    <w:rsid w:val="00F42DDE"/>
    <w:rsid w:val="00F44A02"/>
    <w:rsid w:val="00F51682"/>
    <w:rsid w:val="00F54FD0"/>
    <w:rsid w:val="00F558AE"/>
    <w:rsid w:val="00F57FE7"/>
    <w:rsid w:val="00F61812"/>
    <w:rsid w:val="00F653D1"/>
    <w:rsid w:val="00F65D3F"/>
    <w:rsid w:val="00F709A9"/>
    <w:rsid w:val="00F72E8B"/>
    <w:rsid w:val="00F74F69"/>
    <w:rsid w:val="00F7531E"/>
    <w:rsid w:val="00F76E04"/>
    <w:rsid w:val="00F77056"/>
    <w:rsid w:val="00F77169"/>
    <w:rsid w:val="00F772DA"/>
    <w:rsid w:val="00F915F6"/>
    <w:rsid w:val="00F9390D"/>
    <w:rsid w:val="00F9417A"/>
    <w:rsid w:val="00F951C7"/>
    <w:rsid w:val="00F95AC9"/>
    <w:rsid w:val="00F96618"/>
    <w:rsid w:val="00F96660"/>
    <w:rsid w:val="00FA0DB2"/>
    <w:rsid w:val="00FA1BA8"/>
    <w:rsid w:val="00FA27C4"/>
    <w:rsid w:val="00FA32C7"/>
    <w:rsid w:val="00FA36A5"/>
    <w:rsid w:val="00FA53CB"/>
    <w:rsid w:val="00FB206F"/>
    <w:rsid w:val="00FB7139"/>
    <w:rsid w:val="00FC0935"/>
    <w:rsid w:val="00FC7C38"/>
    <w:rsid w:val="00FD11C8"/>
    <w:rsid w:val="00FD137D"/>
    <w:rsid w:val="00FD19BA"/>
    <w:rsid w:val="00FD44C9"/>
    <w:rsid w:val="00FD5D91"/>
    <w:rsid w:val="00FD6119"/>
    <w:rsid w:val="00FD63C2"/>
    <w:rsid w:val="00FD7B73"/>
    <w:rsid w:val="00FE3995"/>
    <w:rsid w:val="00FE431E"/>
    <w:rsid w:val="00FE4330"/>
    <w:rsid w:val="00FE5001"/>
    <w:rsid w:val="00FE573D"/>
    <w:rsid w:val="00FE7E5E"/>
    <w:rsid w:val="00FF10A5"/>
    <w:rsid w:val="00FF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20C"/>
    <w:pPr>
      <w:widowControl w:val="0"/>
      <w:spacing w:before="100" w:beforeAutospacing="1" w:after="100" w:afterAutospacing="1"/>
      <w:jc w:val="both"/>
    </w:pPr>
    <w:rPr>
      <w:snapToGrid w:val="0"/>
      <w:sz w:val="24"/>
    </w:rPr>
  </w:style>
  <w:style w:type="paragraph" w:styleId="Heading1">
    <w:name w:val="heading 1"/>
    <w:basedOn w:val="ListParagraph"/>
    <w:next w:val="Normal"/>
    <w:qFormat/>
    <w:rsid w:val="0051520C"/>
    <w:pPr>
      <w:spacing w:before="480" w:beforeAutospacing="0" w:after="0" w:afterAutospacing="0"/>
      <w:ind w:left="0"/>
      <w:contextualSpacing w:val="0"/>
      <w:jc w:val="left"/>
      <w:outlineLvl w:val="0"/>
    </w:pPr>
    <w:rPr>
      <w:b/>
      <w:sz w:val="28"/>
      <w:szCs w:val="28"/>
    </w:rPr>
  </w:style>
  <w:style w:type="paragraph" w:styleId="Heading2">
    <w:name w:val="heading 2"/>
    <w:basedOn w:val="ListParagraph"/>
    <w:next w:val="Normal"/>
    <w:qFormat/>
    <w:rsid w:val="00143E2F"/>
    <w:pPr>
      <w:numPr>
        <w:numId w:val="6"/>
      </w:numPr>
      <w:tabs>
        <w:tab w:val="left" w:pos="360"/>
      </w:tabs>
      <w:spacing w:before="480" w:beforeAutospacing="0" w:after="0" w:afterAutospacing="0"/>
      <w:ind w:left="0" w:firstLine="0"/>
      <w:contextualSpacing w:val="0"/>
      <w:jc w:val="left"/>
      <w:outlineLvl w:val="1"/>
    </w:pPr>
    <w:rPr>
      <w:b/>
      <w:sz w:val="24"/>
      <w:szCs w:val="24"/>
    </w:rPr>
  </w:style>
  <w:style w:type="paragraph" w:styleId="Heading3">
    <w:name w:val="heading 3"/>
    <w:basedOn w:val="Normal"/>
    <w:next w:val="Normal"/>
    <w:qFormat/>
    <w:rsid w:val="003634CC"/>
    <w:pPr>
      <w:keepNext/>
      <w:outlineLvl w:val="2"/>
    </w:pPr>
    <w:rPr>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34CC"/>
  </w:style>
  <w:style w:type="paragraph" w:styleId="BodyText">
    <w:name w:val="Body Text"/>
    <w:basedOn w:val="Normal"/>
    <w:rsid w:val="003634CC"/>
    <w:rPr>
      <w:b/>
      <w:i/>
      <w:u w:val="single"/>
    </w:rPr>
  </w:style>
  <w:style w:type="paragraph" w:customStyle="1" w:styleId="1Bullets">
    <w:name w:val="1Bullets"/>
    <w:rsid w:val="003634CC"/>
    <w:pPr>
      <w:tabs>
        <w:tab w:val="left" w:pos="720"/>
      </w:tabs>
      <w:autoSpaceDE w:val="0"/>
      <w:autoSpaceDN w:val="0"/>
      <w:adjustRightInd w:val="0"/>
      <w:ind w:left="720" w:hanging="720"/>
    </w:pPr>
    <w:rPr>
      <w:szCs w:val="24"/>
    </w:rPr>
  </w:style>
  <w:style w:type="paragraph" w:styleId="Header">
    <w:name w:val="header"/>
    <w:basedOn w:val="Normal"/>
    <w:rsid w:val="003634CC"/>
    <w:pPr>
      <w:tabs>
        <w:tab w:val="center" w:pos="4320"/>
        <w:tab w:val="right" w:pos="8640"/>
      </w:tabs>
    </w:pPr>
  </w:style>
  <w:style w:type="paragraph" w:styleId="Footer">
    <w:name w:val="footer"/>
    <w:basedOn w:val="Normal"/>
    <w:link w:val="FooterChar"/>
    <w:uiPriority w:val="99"/>
    <w:rsid w:val="003634CC"/>
    <w:pPr>
      <w:tabs>
        <w:tab w:val="center" w:pos="4320"/>
        <w:tab w:val="right" w:pos="8640"/>
      </w:tabs>
    </w:pPr>
  </w:style>
  <w:style w:type="paragraph" w:styleId="BodyTextIndent">
    <w:name w:val="Body Text Indent"/>
    <w:basedOn w:val="Normal"/>
    <w:rsid w:val="003634CC"/>
    <w:pPr>
      <w:ind w:left="720"/>
    </w:pPr>
  </w:style>
  <w:style w:type="paragraph" w:styleId="BodyText2">
    <w:name w:val="Body Text 2"/>
    <w:basedOn w:val="Normal"/>
    <w:rsid w:val="003634CC"/>
    <w:rPr>
      <w:color w:val="0000FF"/>
    </w:rPr>
  </w:style>
  <w:style w:type="paragraph" w:styleId="BodyText3">
    <w:name w:val="Body Text 3"/>
    <w:basedOn w:val="Normal"/>
    <w:rsid w:val="003634CC"/>
    <w:rPr>
      <w:rFonts w:ascii="Arial" w:hAnsi="Arial" w:cs="Arial"/>
      <w:sz w:val="20"/>
    </w:rPr>
  </w:style>
  <w:style w:type="paragraph" w:styleId="DocumentMap">
    <w:name w:val="Document Map"/>
    <w:basedOn w:val="Normal"/>
    <w:semiHidden/>
    <w:rsid w:val="003634CC"/>
    <w:pPr>
      <w:shd w:val="clear" w:color="auto" w:fill="000080"/>
    </w:pPr>
    <w:rPr>
      <w:rFonts w:ascii="Tahoma" w:hAnsi="Tahoma" w:cs="Tahoma"/>
    </w:rPr>
  </w:style>
  <w:style w:type="paragraph" w:styleId="BalloonText">
    <w:name w:val="Balloon Text"/>
    <w:basedOn w:val="Normal"/>
    <w:semiHidden/>
    <w:rsid w:val="003634CC"/>
    <w:rPr>
      <w:rFonts w:ascii="Tahoma" w:hAnsi="Tahoma" w:cs="Tahoma"/>
      <w:sz w:val="16"/>
      <w:szCs w:val="16"/>
    </w:rPr>
  </w:style>
  <w:style w:type="paragraph" w:styleId="Title">
    <w:name w:val="Title"/>
    <w:basedOn w:val="Normal"/>
    <w:qFormat/>
    <w:rsid w:val="003634CC"/>
    <w:pPr>
      <w:jc w:val="center"/>
    </w:pPr>
    <w:rPr>
      <w:b/>
    </w:rPr>
  </w:style>
  <w:style w:type="paragraph" w:customStyle="1" w:styleId="Level1">
    <w:name w:val="Level 1"/>
    <w:rsid w:val="003634CC"/>
    <w:pPr>
      <w:autoSpaceDE w:val="0"/>
      <w:autoSpaceDN w:val="0"/>
      <w:adjustRightInd w:val="0"/>
      <w:ind w:left="720"/>
    </w:pPr>
    <w:rPr>
      <w:sz w:val="24"/>
      <w:szCs w:val="24"/>
    </w:rPr>
  </w:style>
  <w:style w:type="character" w:styleId="PageNumber">
    <w:name w:val="page number"/>
    <w:basedOn w:val="DefaultParagraphFont"/>
    <w:rsid w:val="003634CC"/>
  </w:style>
  <w:style w:type="character" w:styleId="CommentReference">
    <w:name w:val="annotation reference"/>
    <w:basedOn w:val="DefaultParagraphFont"/>
    <w:uiPriority w:val="99"/>
    <w:rsid w:val="00905722"/>
    <w:rPr>
      <w:sz w:val="16"/>
      <w:szCs w:val="16"/>
    </w:rPr>
  </w:style>
  <w:style w:type="paragraph" w:styleId="CommentText">
    <w:name w:val="annotation text"/>
    <w:basedOn w:val="Normal"/>
    <w:link w:val="CommentTextChar"/>
    <w:uiPriority w:val="99"/>
    <w:rsid w:val="00905722"/>
    <w:rPr>
      <w:sz w:val="20"/>
    </w:rPr>
  </w:style>
  <w:style w:type="paragraph" w:styleId="CommentSubject">
    <w:name w:val="annotation subject"/>
    <w:basedOn w:val="CommentText"/>
    <w:next w:val="CommentText"/>
    <w:semiHidden/>
    <w:rsid w:val="00905722"/>
    <w:rPr>
      <w:b/>
      <w:bCs/>
    </w:rPr>
  </w:style>
  <w:style w:type="paragraph" w:styleId="BodyTextIndent2">
    <w:name w:val="Body Text Indent 2"/>
    <w:basedOn w:val="Normal"/>
    <w:rsid w:val="005655D3"/>
    <w:pPr>
      <w:spacing w:after="120" w:line="480" w:lineRule="auto"/>
      <w:ind w:left="360"/>
    </w:pPr>
  </w:style>
  <w:style w:type="paragraph" w:customStyle="1" w:styleId="Default">
    <w:name w:val="Default"/>
    <w:rsid w:val="00510A14"/>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CE3E6E"/>
    <w:pPr>
      <w:widowControl/>
    </w:pPr>
    <w:rPr>
      <w:snapToGrid/>
      <w:szCs w:val="24"/>
    </w:rPr>
  </w:style>
  <w:style w:type="character" w:styleId="Hyperlink">
    <w:name w:val="Hyperlink"/>
    <w:basedOn w:val="DefaultParagraphFont"/>
    <w:uiPriority w:val="99"/>
    <w:rsid w:val="0040170F"/>
    <w:rPr>
      <w:rFonts w:cs="Times New Roman"/>
      <w:color w:val="0000FF"/>
      <w:u w:val="single"/>
    </w:rPr>
  </w:style>
  <w:style w:type="table" w:styleId="TableGrid">
    <w:name w:val="Table Grid"/>
    <w:basedOn w:val="TableNormal"/>
    <w:rsid w:val="0008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7D8"/>
    <w:pPr>
      <w:widowControl/>
      <w:ind w:left="720"/>
      <w:contextualSpacing/>
    </w:pPr>
    <w:rPr>
      <w:snapToGrid/>
      <w:sz w:val="20"/>
    </w:rPr>
  </w:style>
  <w:style w:type="character" w:customStyle="1" w:styleId="FooterChar">
    <w:name w:val="Footer Char"/>
    <w:basedOn w:val="DefaultParagraphFont"/>
    <w:link w:val="Footer"/>
    <w:uiPriority w:val="99"/>
    <w:rsid w:val="00C84F62"/>
    <w:rPr>
      <w:snapToGrid w:val="0"/>
      <w:sz w:val="24"/>
    </w:rPr>
  </w:style>
  <w:style w:type="paragraph" w:styleId="TOCHeading">
    <w:name w:val="TOC Heading"/>
    <w:basedOn w:val="Heading1"/>
    <w:next w:val="Normal"/>
    <w:uiPriority w:val="39"/>
    <w:semiHidden/>
    <w:unhideWhenUsed/>
    <w:qFormat/>
    <w:rsid w:val="00E24060"/>
    <w:pPr>
      <w:keepNext/>
      <w:keepLines/>
      <w:spacing w:line="276" w:lineRule="auto"/>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rsid w:val="00E24060"/>
  </w:style>
  <w:style w:type="paragraph" w:styleId="TOC2">
    <w:name w:val="toc 2"/>
    <w:basedOn w:val="Normal"/>
    <w:next w:val="Normal"/>
    <w:autoRedefine/>
    <w:uiPriority w:val="39"/>
    <w:rsid w:val="00E24060"/>
    <w:pPr>
      <w:ind w:left="240"/>
    </w:pPr>
  </w:style>
  <w:style w:type="character" w:styleId="FollowedHyperlink">
    <w:name w:val="FollowedHyperlink"/>
    <w:basedOn w:val="DefaultParagraphFont"/>
    <w:rsid w:val="003C161F"/>
    <w:rPr>
      <w:color w:val="800080" w:themeColor="followedHyperlink"/>
      <w:u w:val="single"/>
    </w:rPr>
  </w:style>
  <w:style w:type="paragraph" w:styleId="Revision">
    <w:name w:val="Revision"/>
    <w:hidden/>
    <w:uiPriority w:val="99"/>
    <w:semiHidden/>
    <w:rsid w:val="00AE10E2"/>
    <w:rPr>
      <w:snapToGrid w:val="0"/>
      <w:sz w:val="24"/>
    </w:rPr>
  </w:style>
  <w:style w:type="paragraph" w:styleId="FootnoteText">
    <w:name w:val="footnote text"/>
    <w:basedOn w:val="Normal"/>
    <w:link w:val="FootnoteTextChar"/>
    <w:rsid w:val="00D733BB"/>
    <w:pPr>
      <w:widowControl/>
      <w:spacing w:before="0" w:beforeAutospacing="0" w:after="0" w:afterAutospacing="0"/>
      <w:jc w:val="left"/>
    </w:pPr>
    <w:rPr>
      <w:snapToGrid/>
      <w:sz w:val="20"/>
    </w:rPr>
  </w:style>
  <w:style w:type="character" w:customStyle="1" w:styleId="FootnoteTextChar">
    <w:name w:val="Footnote Text Char"/>
    <w:basedOn w:val="DefaultParagraphFont"/>
    <w:link w:val="FootnoteText"/>
    <w:rsid w:val="00D733BB"/>
  </w:style>
  <w:style w:type="character" w:customStyle="1" w:styleId="CommentTextChar">
    <w:name w:val="Comment Text Char"/>
    <w:basedOn w:val="DefaultParagraphFont"/>
    <w:link w:val="CommentText"/>
    <w:uiPriority w:val="99"/>
    <w:rsid w:val="00AE62EF"/>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20C"/>
    <w:pPr>
      <w:widowControl w:val="0"/>
      <w:spacing w:before="100" w:beforeAutospacing="1" w:after="100" w:afterAutospacing="1"/>
      <w:jc w:val="both"/>
    </w:pPr>
    <w:rPr>
      <w:snapToGrid w:val="0"/>
      <w:sz w:val="24"/>
    </w:rPr>
  </w:style>
  <w:style w:type="paragraph" w:styleId="Heading1">
    <w:name w:val="heading 1"/>
    <w:basedOn w:val="ListParagraph"/>
    <w:next w:val="Normal"/>
    <w:qFormat/>
    <w:rsid w:val="0051520C"/>
    <w:pPr>
      <w:spacing w:before="480" w:beforeAutospacing="0" w:after="0" w:afterAutospacing="0"/>
      <w:ind w:left="0"/>
      <w:contextualSpacing w:val="0"/>
      <w:jc w:val="left"/>
      <w:outlineLvl w:val="0"/>
    </w:pPr>
    <w:rPr>
      <w:b/>
      <w:sz w:val="28"/>
      <w:szCs w:val="28"/>
    </w:rPr>
  </w:style>
  <w:style w:type="paragraph" w:styleId="Heading2">
    <w:name w:val="heading 2"/>
    <w:basedOn w:val="ListParagraph"/>
    <w:next w:val="Normal"/>
    <w:qFormat/>
    <w:rsid w:val="00143E2F"/>
    <w:pPr>
      <w:numPr>
        <w:numId w:val="6"/>
      </w:numPr>
      <w:tabs>
        <w:tab w:val="left" w:pos="360"/>
      </w:tabs>
      <w:spacing w:before="480" w:beforeAutospacing="0" w:after="0" w:afterAutospacing="0"/>
      <w:ind w:left="0" w:firstLine="0"/>
      <w:contextualSpacing w:val="0"/>
      <w:jc w:val="left"/>
      <w:outlineLvl w:val="1"/>
    </w:pPr>
    <w:rPr>
      <w:b/>
      <w:sz w:val="24"/>
      <w:szCs w:val="24"/>
    </w:rPr>
  </w:style>
  <w:style w:type="paragraph" w:styleId="Heading3">
    <w:name w:val="heading 3"/>
    <w:basedOn w:val="Normal"/>
    <w:next w:val="Normal"/>
    <w:qFormat/>
    <w:rsid w:val="003634CC"/>
    <w:pPr>
      <w:keepNext/>
      <w:outlineLvl w:val="2"/>
    </w:pPr>
    <w:rPr>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34CC"/>
  </w:style>
  <w:style w:type="paragraph" w:styleId="BodyText">
    <w:name w:val="Body Text"/>
    <w:basedOn w:val="Normal"/>
    <w:rsid w:val="003634CC"/>
    <w:rPr>
      <w:b/>
      <w:i/>
      <w:u w:val="single"/>
    </w:rPr>
  </w:style>
  <w:style w:type="paragraph" w:customStyle="1" w:styleId="1Bullets">
    <w:name w:val="1Bullets"/>
    <w:rsid w:val="003634CC"/>
    <w:pPr>
      <w:tabs>
        <w:tab w:val="left" w:pos="720"/>
      </w:tabs>
      <w:autoSpaceDE w:val="0"/>
      <w:autoSpaceDN w:val="0"/>
      <w:adjustRightInd w:val="0"/>
      <w:ind w:left="720" w:hanging="720"/>
    </w:pPr>
    <w:rPr>
      <w:szCs w:val="24"/>
    </w:rPr>
  </w:style>
  <w:style w:type="paragraph" w:styleId="Header">
    <w:name w:val="header"/>
    <w:basedOn w:val="Normal"/>
    <w:rsid w:val="003634CC"/>
    <w:pPr>
      <w:tabs>
        <w:tab w:val="center" w:pos="4320"/>
        <w:tab w:val="right" w:pos="8640"/>
      </w:tabs>
    </w:pPr>
  </w:style>
  <w:style w:type="paragraph" w:styleId="Footer">
    <w:name w:val="footer"/>
    <w:basedOn w:val="Normal"/>
    <w:link w:val="FooterChar"/>
    <w:uiPriority w:val="99"/>
    <w:rsid w:val="003634CC"/>
    <w:pPr>
      <w:tabs>
        <w:tab w:val="center" w:pos="4320"/>
        <w:tab w:val="right" w:pos="8640"/>
      </w:tabs>
    </w:pPr>
  </w:style>
  <w:style w:type="paragraph" w:styleId="BodyTextIndent">
    <w:name w:val="Body Text Indent"/>
    <w:basedOn w:val="Normal"/>
    <w:rsid w:val="003634CC"/>
    <w:pPr>
      <w:ind w:left="720"/>
    </w:pPr>
  </w:style>
  <w:style w:type="paragraph" w:styleId="BodyText2">
    <w:name w:val="Body Text 2"/>
    <w:basedOn w:val="Normal"/>
    <w:rsid w:val="003634CC"/>
    <w:rPr>
      <w:color w:val="0000FF"/>
    </w:rPr>
  </w:style>
  <w:style w:type="paragraph" w:styleId="BodyText3">
    <w:name w:val="Body Text 3"/>
    <w:basedOn w:val="Normal"/>
    <w:rsid w:val="003634CC"/>
    <w:rPr>
      <w:rFonts w:ascii="Arial" w:hAnsi="Arial" w:cs="Arial"/>
      <w:sz w:val="20"/>
    </w:rPr>
  </w:style>
  <w:style w:type="paragraph" w:styleId="DocumentMap">
    <w:name w:val="Document Map"/>
    <w:basedOn w:val="Normal"/>
    <w:semiHidden/>
    <w:rsid w:val="003634CC"/>
    <w:pPr>
      <w:shd w:val="clear" w:color="auto" w:fill="000080"/>
    </w:pPr>
    <w:rPr>
      <w:rFonts w:ascii="Tahoma" w:hAnsi="Tahoma" w:cs="Tahoma"/>
    </w:rPr>
  </w:style>
  <w:style w:type="paragraph" w:styleId="BalloonText">
    <w:name w:val="Balloon Text"/>
    <w:basedOn w:val="Normal"/>
    <w:semiHidden/>
    <w:rsid w:val="003634CC"/>
    <w:rPr>
      <w:rFonts w:ascii="Tahoma" w:hAnsi="Tahoma" w:cs="Tahoma"/>
      <w:sz w:val="16"/>
      <w:szCs w:val="16"/>
    </w:rPr>
  </w:style>
  <w:style w:type="paragraph" w:styleId="Title">
    <w:name w:val="Title"/>
    <w:basedOn w:val="Normal"/>
    <w:qFormat/>
    <w:rsid w:val="003634CC"/>
    <w:pPr>
      <w:jc w:val="center"/>
    </w:pPr>
    <w:rPr>
      <w:b/>
    </w:rPr>
  </w:style>
  <w:style w:type="paragraph" w:customStyle="1" w:styleId="Level1">
    <w:name w:val="Level 1"/>
    <w:rsid w:val="003634CC"/>
    <w:pPr>
      <w:autoSpaceDE w:val="0"/>
      <w:autoSpaceDN w:val="0"/>
      <w:adjustRightInd w:val="0"/>
      <w:ind w:left="720"/>
    </w:pPr>
    <w:rPr>
      <w:sz w:val="24"/>
      <w:szCs w:val="24"/>
    </w:rPr>
  </w:style>
  <w:style w:type="character" w:styleId="PageNumber">
    <w:name w:val="page number"/>
    <w:basedOn w:val="DefaultParagraphFont"/>
    <w:rsid w:val="003634CC"/>
  </w:style>
  <w:style w:type="character" w:styleId="CommentReference">
    <w:name w:val="annotation reference"/>
    <w:basedOn w:val="DefaultParagraphFont"/>
    <w:uiPriority w:val="99"/>
    <w:rsid w:val="00905722"/>
    <w:rPr>
      <w:sz w:val="16"/>
      <w:szCs w:val="16"/>
    </w:rPr>
  </w:style>
  <w:style w:type="paragraph" w:styleId="CommentText">
    <w:name w:val="annotation text"/>
    <w:basedOn w:val="Normal"/>
    <w:link w:val="CommentTextChar"/>
    <w:uiPriority w:val="99"/>
    <w:rsid w:val="00905722"/>
    <w:rPr>
      <w:sz w:val="20"/>
    </w:rPr>
  </w:style>
  <w:style w:type="paragraph" w:styleId="CommentSubject">
    <w:name w:val="annotation subject"/>
    <w:basedOn w:val="CommentText"/>
    <w:next w:val="CommentText"/>
    <w:semiHidden/>
    <w:rsid w:val="00905722"/>
    <w:rPr>
      <w:b/>
      <w:bCs/>
    </w:rPr>
  </w:style>
  <w:style w:type="paragraph" w:styleId="BodyTextIndent2">
    <w:name w:val="Body Text Indent 2"/>
    <w:basedOn w:val="Normal"/>
    <w:rsid w:val="005655D3"/>
    <w:pPr>
      <w:spacing w:after="120" w:line="480" w:lineRule="auto"/>
      <w:ind w:left="360"/>
    </w:pPr>
  </w:style>
  <w:style w:type="paragraph" w:customStyle="1" w:styleId="Default">
    <w:name w:val="Default"/>
    <w:rsid w:val="00510A14"/>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CE3E6E"/>
    <w:pPr>
      <w:widowControl/>
    </w:pPr>
    <w:rPr>
      <w:snapToGrid/>
      <w:szCs w:val="24"/>
    </w:rPr>
  </w:style>
  <w:style w:type="character" w:styleId="Hyperlink">
    <w:name w:val="Hyperlink"/>
    <w:basedOn w:val="DefaultParagraphFont"/>
    <w:uiPriority w:val="99"/>
    <w:rsid w:val="0040170F"/>
    <w:rPr>
      <w:rFonts w:cs="Times New Roman"/>
      <w:color w:val="0000FF"/>
      <w:u w:val="single"/>
    </w:rPr>
  </w:style>
  <w:style w:type="table" w:styleId="TableGrid">
    <w:name w:val="Table Grid"/>
    <w:basedOn w:val="TableNormal"/>
    <w:rsid w:val="0008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7D8"/>
    <w:pPr>
      <w:widowControl/>
      <w:ind w:left="720"/>
      <w:contextualSpacing/>
    </w:pPr>
    <w:rPr>
      <w:snapToGrid/>
      <w:sz w:val="20"/>
    </w:rPr>
  </w:style>
  <w:style w:type="character" w:customStyle="1" w:styleId="FooterChar">
    <w:name w:val="Footer Char"/>
    <w:basedOn w:val="DefaultParagraphFont"/>
    <w:link w:val="Footer"/>
    <w:uiPriority w:val="99"/>
    <w:rsid w:val="00C84F62"/>
    <w:rPr>
      <w:snapToGrid w:val="0"/>
      <w:sz w:val="24"/>
    </w:rPr>
  </w:style>
  <w:style w:type="paragraph" w:styleId="TOCHeading">
    <w:name w:val="TOC Heading"/>
    <w:basedOn w:val="Heading1"/>
    <w:next w:val="Normal"/>
    <w:uiPriority w:val="39"/>
    <w:semiHidden/>
    <w:unhideWhenUsed/>
    <w:qFormat/>
    <w:rsid w:val="00E24060"/>
    <w:pPr>
      <w:keepNext/>
      <w:keepLines/>
      <w:spacing w:line="276" w:lineRule="auto"/>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rsid w:val="00E24060"/>
  </w:style>
  <w:style w:type="paragraph" w:styleId="TOC2">
    <w:name w:val="toc 2"/>
    <w:basedOn w:val="Normal"/>
    <w:next w:val="Normal"/>
    <w:autoRedefine/>
    <w:uiPriority w:val="39"/>
    <w:rsid w:val="00E24060"/>
    <w:pPr>
      <w:ind w:left="240"/>
    </w:pPr>
  </w:style>
  <w:style w:type="character" w:styleId="FollowedHyperlink">
    <w:name w:val="FollowedHyperlink"/>
    <w:basedOn w:val="DefaultParagraphFont"/>
    <w:rsid w:val="003C161F"/>
    <w:rPr>
      <w:color w:val="800080" w:themeColor="followedHyperlink"/>
      <w:u w:val="single"/>
    </w:rPr>
  </w:style>
  <w:style w:type="paragraph" w:styleId="Revision">
    <w:name w:val="Revision"/>
    <w:hidden/>
    <w:uiPriority w:val="99"/>
    <w:semiHidden/>
    <w:rsid w:val="00AE10E2"/>
    <w:rPr>
      <w:snapToGrid w:val="0"/>
      <w:sz w:val="24"/>
    </w:rPr>
  </w:style>
  <w:style w:type="paragraph" w:styleId="FootnoteText">
    <w:name w:val="footnote text"/>
    <w:basedOn w:val="Normal"/>
    <w:link w:val="FootnoteTextChar"/>
    <w:rsid w:val="00D733BB"/>
    <w:pPr>
      <w:widowControl/>
      <w:spacing w:before="0" w:beforeAutospacing="0" w:after="0" w:afterAutospacing="0"/>
      <w:jc w:val="left"/>
    </w:pPr>
    <w:rPr>
      <w:snapToGrid/>
      <w:sz w:val="20"/>
    </w:rPr>
  </w:style>
  <w:style w:type="character" w:customStyle="1" w:styleId="FootnoteTextChar">
    <w:name w:val="Footnote Text Char"/>
    <w:basedOn w:val="DefaultParagraphFont"/>
    <w:link w:val="FootnoteText"/>
    <w:rsid w:val="00D733BB"/>
  </w:style>
  <w:style w:type="character" w:customStyle="1" w:styleId="CommentTextChar">
    <w:name w:val="Comment Text Char"/>
    <w:basedOn w:val="DefaultParagraphFont"/>
    <w:link w:val="CommentText"/>
    <w:uiPriority w:val="99"/>
    <w:rsid w:val="00AE62EF"/>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5436">
      <w:bodyDiv w:val="1"/>
      <w:marLeft w:val="0"/>
      <w:marRight w:val="0"/>
      <w:marTop w:val="0"/>
      <w:marBottom w:val="0"/>
      <w:divBdr>
        <w:top w:val="none" w:sz="0" w:space="0" w:color="auto"/>
        <w:left w:val="none" w:sz="0" w:space="0" w:color="auto"/>
        <w:bottom w:val="none" w:sz="0" w:space="0" w:color="auto"/>
        <w:right w:val="none" w:sz="0" w:space="0" w:color="auto"/>
      </w:divBdr>
    </w:div>
    <w:div w:id="457604259">
      <w:bodyDiv w:val="1"/>
      <w:marLeft w:val="0"/>
      <w:marRight w:val="0"/>
      <w:marTop w:val="0"/>
      <w:marBottom w:val="0"/>
      <w:divBdr>
        <w:top w:val="none" w:sz="0" w:space="0" w:color="auto"/>
        <w:left w:val="none" w:sz="0" w:space="0" w:color="auto"/>
        <w:bottom w:val="none" w:sz="0" w:space="0" w:color="auto"/>
        <w:right w:val="none" w:sz="0" w:space="0" w:color="auto"/>
      </w:divBdr>
    </w:div>
    <w:div w:id="477377935">
      <w:bodyDiv w:val="1"/>
      <w:marLeft w:val="0"/>
      <w:marRight w:val="0"/>
      <w:marTop w:val="0"/>
      <w:marBottom w:val="0"/>
      <w:divBdr>
        <w:top w:val="none" w:sz="0" w:space="0" w:color="auto"/>
        <w:left w:val="none" w:sz="0" w:space="0" w:color="auto"/>
        <w:bottom w:val="none" w:sz="0" w:space="0" w:color="auto"/>
        <w:right w:val="none" w:sz="0" w:space="0" w:color="auto"/>
      </w:divBdr>
    </w:div>
    <w:div w:id="866986613">
      <w:bodyDiv w:val="1"/>
      <w:marLeft w:val="0"/>
      <w:marRight w:val="0"/>
      <w:marTop w:val="0"/>
      <w:marBottom w:val="0"/>
      <w:divBdr>
        <w:top w:val="none" w:sz="0" w:space="0" w:color="auto"/>
        <w:left w:val="none" w:sz="0" w:space="0" w:color="auto"/>
        <w:bottom w:val="none" w:sz="0" w:space="0" w:color="auto"/>
        <w:right w:val="none" w:sz="0" w:space="0" w:color="auto"/>
      </w:divBdr>
    </w:div>
    <w:div w:id="1085801293">
      <w:bodyDiv w:val="1"/>
      <w:marLeft w:val="0"/>
      <w:marRight w:val="0"/>
      <w:marTop w:val="0"/>
      <w:marBottom w:val="0"/>
      <w:divBdr>
        <w:top w:val="none" w:sz="0" w:space="0" w:color="auto"/>
        <w:left w:val="none" w:sz="0" w:space="0" w:color="auto"/>
        <w:bottom w:val="none" w:sz="0" w:space="0" w:color="auto"/>
        <w:right w:val="none" w:sz="0" w:space="0" w:color="auto"/>
      </w:divBdr>
    </w:div>
    <w:div w:id="1217400002">
      <w:bodyDiv w:val="1"/>
      <w:marLeft w:val="0"/>
      <w:marRight w:val="0"/>
      <w:marTop w:val="0"/>
      <w:marBottom w:val="0"/>
      <w:divBdr>
        <w:top w:val="none" w:sz="0" w:space="0" w:color="auto"/>
        <w:left w:val="none" w:sz="0" w:space="0" w:color="auto"/>
        <w:bottom w:val="none" w:sz="0" w:space="0" w:color="auto"/>
        <w:right w:val="none" w:sz="0" w:space="0" w:color="auto"/>
      </w:divBdr>
    </w:div>
    <w:div w:id="1353992428">
      <w:bodyDiv w:val="1"/>
      <w:marLeft w:val="0"/>
      <w:marRight w:val="0"/>
      <w:marTop w:val="0"/>
      <w:marBottom w:val="0"/>
      <w:divBdr>
        <w:top w:val="none" w:sz="0" w:space="0" w:color="auto"/>
        <w:left w:val="none" w:sz="0" w:space="0" w:color="auto"/>
        <w:bottom w:val="none" w:sz="0" w:space="0" w:color="auto"/>
        <w:right w:val="none" w:sz="0" w:space="0" w:color="auto"/>
      </w:divBdr>
    </w:div>
    <w:div w:id="1865748525">
      <w:bodyDiv w:val="1"/>
      <w:marLeft w:val="0"/>
      <w:marRight w:val="0"/>
      <w:marTop w:val="0"/>
      <w:marBottom w:val="0"/>
      <w:divBdr>
        <w:top w:val="none" w:sz="0" w:space="0" w:color="auto"/>
        <w:left w:val="none" w:sz="0" w:space="0" w:color="auto"/>
        <w:bottom w:val="none" w:sz="0" w:space="0" w:color="auto"/>
        <w:right w:val="none" w:sz="0" w:space="0" w:color="auto"/>
      </w:divBdr>
    </w:div>
    <w:div w:id="2030794941">
      <w:bodyDiv w:val="1"/>
      <w:marLeft w:val="0"/>
      <w:marRight w:val="0"/>
      <w:marTop w:val="0"/>
      <w:marBottom w:val="0"/>
      <w:divBdr>
        <w:top w:val="none" w:sz="0" w:space="0" w:color="auto"/>
        <w:left w:val="none" w:sz="0" w:space="0" w:color="auto"/>
        <w:bottom w:val="none" w:sz="0" w:space="0" w:color="auto"/>
        <w:right w:val="none" w:sz="0" w:space="0" w:color="auto"/>
      </w:divBdr>
    </w:div>
    <w:div w:id="2079741668">
      <w:bodyDiv w:val="1"/>
      <w:marLeft w:val="0"/>
      <w:marRight w:val="0"/>
      <w:marTop w:val="0"/>
      <w:marBottom w:val="0"/>
      <w:divBdr>
        <w:top w:val="none" w:sz="0" w:space="0" w:color="auto"/>
        <w:left w:val="none" w:sz="0" w:space="0" w:color="auto"/>
        <w:bottom w:val="none" w:sz="0" w:space="0" w:color="auto"/>
        <w:right w:val="none" w:sz="0" w:space="0" w:color="auto"/>
      </w:divBdr>
    </w:div>
    <w:div w:id="2080980593">
      <w:bodyDiv w:val="1"/>
      <w:marLeft w:val="0"/>
      <w:marRight w:val="0"/>
      <w:marTop w:val="0"/>
      <w:marBottom w:val="0"/>
      <w:divBdr>
        <w:top w:val="none" w:sz="0" w:space="0" w:color="auto"/>
        <w:left w:val="none" w:sz="0" w:space="0" w:color="auto"/>
        <w:bottom w:val="none" w:sz="0" w:space="0" w:color="auto"/>
        <w:right w:val="none" w:sz="0" w:space="0" w:color="auto"/>
      </w:divBdr>
      <w:divsChild>
        <w:div w:id="177840634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514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energy.gov/sites/prod/files/gcprod/documents/New_Standard_Contract.pdf"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eia.gov/survey/frn/alternative/alternative2016.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E1B37-67FD-49D8-B9E7-D1509A1E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3329</Words>
  <Characters>19220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PSRS Supporting Statement, Part A</vt:lpstr>
    </vt:vector>
  </TitlesOfParts>
  <Company>DOE/EIA</Company>
  <LinksUpToDate>false</LinksUpToDate>
  <CharactersWithSpaces>22504</CharactersWithSpaces>
  <SharedDoc>false</SharedDoc>
  <HLinks>
    <vt:vector size="30" baseType="variant">
      <vt:variant>
        <vt:i4>5963898</vt:i4>
      </vt:variant>
      <vt:variant>
        <vt:i4>16</vt:i4>
      </vt:variant>
      <vt:variant>
        <vt:i4>0</vt:i4>
      </vt:variant>
      <vt:variant>
        <vt:i4>5</vt:i4>
      </vt:variant>
      <vt:variant>
        <vt:lpwstr>mailto:julie.harris@eia.doe.gov</vt:lpwstr>
      </vt:variant>
      <vt:variant>
        <vt:lpwstr/>
      </vt:variant>
      <vt:variant>
        <vt:i4>852056</vt:i4>
      </vt:variant>
      <vt:variant>
        <vt:i4>13</vt:i4>
      </vt:variant>
      <vt:variant>
        <vt:i4>0</vt:i4>
      </vt:variant>
      <vt:variant>
        <vt:i4>5</vt:i4>
      </vt:variant>
      <vt:variant>
        <vt:lpwstr>https://idc.eia.doe.gov/upload/noticeoog.jsp</vt:lpwstr>
      </vt:variant>
      <vt:variant>
        <vt:lpwstr/>
      </vt:variant>
      <vt:variant>
        <vt:i4>6881368</vt:i4>
      </vt:variant>
      <vt:variant>
        <vt:i4>10</vt:i4>
      </vt:variant>
      <vt:variant>
        <vt:i4>0</vt:i4>
      </vt:variant>
      <vt:variant>
        <vt:i4>5</vt:i4>
      </vt:variant>
      <vt:variant>
        <vt:lpwstr>mailto:oog.surveys@eia.doe.gov</vt:lpwstr>
      </vt:variant>
      <vt:variant>
        <vt:lpwstr/>
      </vt:variant>
      <vt:variant>
        <vt:i4>8323125</vt:i4>
      </vt:variant>
      <vt:variant>
        <vt:i4>7</vt:i4>
      </vt:variant>
      <vt:variant>
        <vt:i4>0</vt:i4>
      </vt:variant>
      <vt:variant>
        <vt:i4>5</vt:i4>
      </vt:variant>
      <vt:variant>
        <vt:lpwstr>http://www.eia.doe.gov/oil_gas/petroleum/survey_forms/pet_survey_forms.html</vt:lpwstr>
      </vt:variant>
      <vt:variant>
        <vt:lpwstr/>
      </vt:variant>
      <vt:variant>
        <vt:i4>4128825</vt:i4>
      </vt:variant>
      <vt:variant>
        <vt:i4>4</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PSRS Supporting Statement, Part A</dc:title>
  <dc:subject>OMB Forms Clearance Proces, PSRS Supporting Statement, Part A</dc:subject>
  <dc:creator>Sylvia Norris</dc:creator>
  <dc:description>Final 10/19/2012 Version from and approved by the Program Office.  Updated on 11/20/2012 for Table of Contents and to apply a November date to the cover page to coincide with sending the document to the EIA SDT Forms Clearance Officer.</dc:description>
  <cp:lastModifiedBy>Lewis, Michael (CONTR)</cp:lastModifiedBy>
  <cp:revision>3</cp:revision>
  <cp:lastPrinted>2015-09-30T17:30:00Z</cp:lastPrinted>
  <dcterms:created xsi:type="dcterms:W3CDTF">2015-11-24T14:55:00Z</dcterms:created>
  <dcterms:modified xsi:type="dcterms:W3CDTF">2015-12-04T19:41:00Z</dcterms:modified>
</cp:coreProperties>
</file>