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361" w:rsidRPr="002B698E" w:rsidRDefault="00B27361">
      <w:pPr>
        <w:autoSpaceDE w:val="0"/>
        <w:autoSpaceDN w:val="0"/>
        <w:adjustRightInd w:val="0"/>
        <w:jc w:val="center"/>
        <w:rPr>
          <w:b/>
          <w:bCs/>
          <w:u w:val="single"/>
        </w:rPr>
      </w:pPr>
      <w:r w:rsidRPr="002B698E">
        <w:rPr>
          <w:b/>
          <w:bCs/>
          <w:u w:val="single"/>
        </w:rPr>
        <w:t>SECTION I: PART A OF THE SUPPORTING STATEMENT</w:t>
      </w:r>
    </w:p>
    <w:p w:rsidR="00B27361" w:rsidRPr="002B698E" w:rsidRDefault="00B27361">
      <w:pPr>
        <w:autoSpaceDE w:val="0"/>
        <w:autoSpaceDN w:val="0"/>
        <w:adjustRightInd w:val="0"/>
        <w:jc w:val="center"/>
        <w:rPr>
          <w:b/>
          <w:bCs/>
          <w:u w:val="single"/>
        </w:rPr>
      </w:pPr>
    </w:p>
    <w:p w:rsidR="00B27361" w:rsidRPr="002B698E" w:rsidRDefault="00B27361">
      <w:pPr>
        <w:autoSpaceDE w:val="0"/>
        <w:autoSpaceDN w:val="0"/>
        <w:adjustRightInd w:val="0"/>
        <w:rPr>
          <w:b/>
          <w:bCs/>
        </w:rPr>
      </w:pPr>
      <w:r w:rsidRPr="002B698E">
        <w:rPr>
          <w:b/>
          <w:bCs/>
        </w:rPr>
        <w:t xml:space="preserve">1. </w:t>
      </w:r>
      <w:r w:rsidRPr="002B698E">
        <w:rPr>
          <w:b/>
          <w:bCs/>
        </w:rPr>
        <w:tab/>
      </w:r>
      <w:r w:rsidRPr="002B698E">
        <w:rPr>
          <w:b/>
          <w:bCs/>
          <w:u w:val="single"/>
        </w:rPr>
        <w:t>IDENTIFICATION OF THE INFORMATION COLLECTION</w:t>
      </w:r>
    </w:p>
    <w:p w:rsidR="00B27361" w:rsidRPr="002B698E" w:rsidRDefault="00B27361">
      <w:pPr>
        <w:autoSpaceDE w:val="0"/>
        <w:autoSpaceDN w:val="0"/>
        <w:adjustRightInd w:val="0"/>
      </w:pPr>
      <w:r w:rsidRPr="002B698E">
        <w:t xml:space="preserve">1 (a) </w:t>
      </w:r>
      <w:r w:rsidRPr="002B698E">
        <w:tab/>
      </w:r>
      <w:r w:rsidRPr="002B698E">
        <w:rPr>
          <w:u w:val="single"/>
        </w:rPr>
        <w:t>TITLE OF THE INFORMATION COLLECTION</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w:t>
      </w:r>
      <w:r w:rsidRPr="00CB2425">
        <w:rPr>
          <w:b/>
        </w:rPr>
        <w:t>Drinking Water State Revolving Fund Program</w:t>
      </w:r>
      <w:r w:rsidRPr="002B698E">
        <w:t>”</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1 (b) </w:t>
      </w:r>
      <w:r w:rsidRPr="002B698E">
        <w:tab/>
      </w:r>
      <w:r w:rsidRPr="002B698E">
        <w:rPr>
          <w:u w:val="single"/>
        </w:rPr>
        <w:t>SHORT CHARACTERIZATION (ABSTRACT)</w:t>
      </w:r>
    </w:p>
    <w:p w:rsidR="00B27361" w:rsidRPr="002B698E" w:rsidRDefault="00B27361">
      <w:pPr>
        <w:autoSpaceDE w:val="0"/>
        <w:autoSpaceDN w:val="0"/>
        <w:adjustRightInd w:val="0"/>
      </w:pPr>
    </w:p>
    <w:p w:rsidR="00DF7D67" w:rsidRDefault="00B27361">
      <w:pPr>
        <w:autoSpaceDE w:val="0"/>
        <w:autoSpaceDN w:val="0"/>
        <w:adjustRightInd w:val="0"/>
        <w:rPr>
          <w:rFonts w:ascii="Helv" w:hAnsi="Helv" w:cs="Helv"/>
          <w:color w:val="000000"/>
          <w:sz w:val="20"/>
          <w:szCs w:val="20"/>
        </w:rPr>
      </w:pPr>
      <w:r w:rsidRPr="002B698E">
        <w:t>The</w:t>
      </w:r>
      <w:r w:rsidR="00CB2425">
        <w:t xml:space="preserve"> </w:t>
      </w:r>
      <w:r w:rsidR="00CB2425" w:rsidRPr="00B20AFA">
        <w:t xml:space="preserve">Drinking </w:t>
      </w:r>
      <w:smartTag w:uri="urn:schemas-microsoft-com:office:smarttags" w:element="place">
        <w:smartTag w:uri="urn:schemas-microsoft-com:office:smarttags" w:element="PlaceName">
          <w:r w:rsidR="00CB2425" w:rsidRPr="00B20AFA">
            <w:t>Water</w:t>
          </w:r>
        </w:smartTag>
        <w:r w:rsidR="00CB2425" w:rsidRPr="00B20AFA">
          <w:t xml:space="preserve"> </w:t>
        </w:r>
        <w:smartTag w:uri="urn:schemas-microsoft-com:office:smarttags" w:element="PlaceType">
          <w:r w:rsidR="00CB2425" w:rsidRPr="00B20AFA">
            <w:t>State</w:t>
          </w:r>
        </w:smartTag>
      </w:smartTag>
      <w:r w:rsidR="00CB2425" w:rsidRPr="00B20AFA">
        <w:t xml:space="preserve"> Revolving Fund Program </w:t>
      </w:r>
      <w:r w:rsidRPr="002B698E">
        <w:t>information collection activities will occur primarily at the program level through the State “Capitalization Grant Agreement / Intended Use Plan</w:t>
      </w:r>
      <w:r w:rsidR="00DF7D67">
        <w:t>,</w:t>
      </w:r>
      <w:r w:rsidRPr="002B698E">
        <w:t xml:space="preserve">” “Biennial </w:t>
      </w:r>
      <w:r w:rsidR="00BA13BE" w:rsidRPr="002B698E">
        <w:t>Report</w:t>
      </w:r>
      <w:r w:rsidR="00F81724">
        <w:t>,</w:t>
      </w:r>
      <w:r w:rsidR="00BA13BE" w:rsidRPr="002B698E">
        <w:t>”</w:t>
      </w:r>
      <w:r w:rsidR="00BA13BE">
        <w:t xml:space="preserve"> </w:t>
      </w:r>
      <w:r w:rsidR="00F81724">
        <w:t xml:space="preserve">the </w:t>
      </w:r>
      <w:r w:rsidR="00715C7E">
        <w:t>“</w:t>
      </w:r>
      <w:r w:rsidR="00F81724">
        <w:t>Drinking Water National Information Management System (DWNIMS)</w:t>
      </w:r>
      <w:r w:rsidR="00715C7E">
        <w:t>”</w:t>
      </w:r>
      <w:r w:rsidR="00F81724">
        <w:t xml:space="preserve"> </w:t>
      </w:r>
      <w:r w:rsidR="00BA13BE">
        <w:t>and</w:t>
      </w:r>
      <w:r w:rsidR="00DF7D67">
        <w:t xml:space="preserve"> the </w:t>
      </w:r>
      <w:r w:rsidR="00715C7E">
        <w:t>“</w:t>
      </w:r>
      <w:r w:rsidR="00DF7D67">
        <w:t xml:space="preserve">Project &amp; Benefits Reporting </w:t>
      </w:r>
      <w:r w:rsidR="00F81724">
        <w:t xml:space="preserve">(PBR) </w:t>
      </w:r>
      <w:r w:rsidR="00DF7D67">
        <w:t>System.</w:t>
      </w:r>
      <w:r w:rsidR="00715C7E">
        <w:t>”</w:t>
      </w:r>
      <w:r w:rsidRPr="002B698E">
        <w:t xml:space="preserve"> The information on the Intended Use Plan (IUP) is needed annually to describe how the State intends to use available Drinking Water State Revolving F</w:t>
      </w:r>
      <w:r w:rsidR="00E958E7">
        <w:t xml:space="preserve">und (DWSRF) funds for the year </w:t>
      </w:r>
      <w:r w:rsidRPr="002B698E">
        <w:t>to meet the objectives of the Safe Drinking Water Act (SDWA) and to further the goal of protecting public health. The Biennial Report is needed to provide detailed information on how the State met its goals and objectives of the previous two fiscal years as stated in the IUP and grant agreement. The SDWA requires th</w:t>
      </w:r>
      <w:r w:rsidR="00CA0A5F">
        <w:t>is</w:t>
      </w:r>
      <w:r w:rsidRPr="002B698E">
        <w:t xml:space="preserve"> information to ensure </w:t>
      </w:r>
      <w:r w:rsidR="00CA0A5F">
        <w:t xml:space="preserve">the </w:t>
      </w:r>
      <w:r w:rsidRPr="002B698E">
        <w:t xml:space="preserve">national accountability, adequate public review and comment, fiscal integrity, and consistent management </w:t>
      </w:r>
      <w:r w:rsidR="00CA0A5F">
        <w:t>needed to achieve</w:t>
      </w:r>
      <w:r w:rsidRPr="002B698E">
        <w:t xml:space="preserve"> public health</w:t>
      </w:r>
      <w:r w:rsidR="00DF7D67">
        <w:t xml:space="preserve"> and SDWA compliance objectives. </w:t>
      </w:r>
      <w:r w:rsidR="00F81724">
        <w:t xml:space="preserve">To ensure expeditious and timely use of the Fund, financial data </w:t>
      </w:r>
      <w:r w:rsidR="00715C7E">
        <w:t>must</w:t>
      </w:r>
      <w:r w:rsidR="00F81724">
        <w:t xml:space="preserve"> be collected annually through DWNIMS. </w:t>
      </w:r>
      <w:r w:rsidR="00C46019">
        <w:rPr>
          <w:color w:val="000000"/>
        </w:rPr>
        <w:t xml:space="preserve">Project level data will be collected </w:t>
      </w:r>
      <w:r w:rsidR="00145AAC">
        <w:rPr>
          <w:color w:val="000000"/>
        </w:rPr>
        <w:t xml:space="preserve">on a quarterly basis </w:t>
      </w:r>
      <w:r w:rsidR="00C46019">
        <w:rPr>
          <w:color w:val="000000"/>
        </w:rPr>
        <w:t xml:space="preserve">using the </w:t>
      </w:r>
      <w:r w:rsidR="00F81724">
        <w:rPr>
          <w:color w:val="000000"/>
        </w:rPr>
        <w:t>PBR</w:t>
      </w:r>
      <w:r w:rsidR="00C46019">
        <w:rPr>
          <w:color w:val="000000"/>
        </w:rPr>
        <w:t xml:space="preserve"> System</w:t>
      </w:r>
      <w:r w:rsidR="00D51BAD">
        <w:rPr>
          <w:color w:val="000000"/>
        </w:rPr>
        <w:t xml:space="preserve"> to ensure SDWA eligibility and assess public health results from DWSRF projects.</w:t>
      </w:r>
    </w:p>
    <w:p w:rsidR="00DF7D67" w:rsidRDefault="00DF7D67">
      <w:pPr>
        <w:autoSpaceDE w:val="0"/>
        <w:autoSpaceDN w:val="0"/>
        <w:adjustRightInd w:val="0"/>
        <w:rPr>
          <w:rFonts w:ascii="Helv" w:hAnsi="Helv" w:cs="Helv"/>
          <w:color w:val="000000"/>
          <w:sz w:val="20"/>
          <w:szCs w:val="20"/>
        </w:rPr>
      </w:pPr>
    </w:p>
    <w:p w:rsidR="00B27361" w:rsidRPr="002B698E" w:rsidRDefault="00B27361">
      <w:pPr>
        <w:autoSpaceDE w:val="0"/>
        <w:autoSpaceDN w:val="0"/>
        <w:adjustRightInd w:val="0"/>
      </w:pPr>
      <w:r w:rsidRPr="002B698E">
        <w:t>The individual information collections are described as follows:</w:t>
      </w:r>
    </w:p>
    <w:p w:rsidR="00B27361" w:rsidRPr="002B698E" w:rsidRDefault="00B27361">
      <w:pPr>
        <w:autoSpaceDE w:val="0"/>
        <w:autoSpaceDN w:val="0"/>
        <w:adjustRightInd w:val="0"/>
      </w:pPr>
    </w:p>
    <w:p w:rsidR="00B27361" w:rsidRPr="002B698E" w:rsidRDefault="00B27361">
      <w:pPr>
        <w:numPr>
          <w:ilvl w:val="0"/>
          <w:numId w:val="2"/>
        </w:numPr>
        <w:autoSpaceDE w:val="0"/>
        <w:autoSpaceDN w:val="0"/>
        <w:adjustRightInd w:val="0"/>
        <w:rPr>
          <w:u w:val="single"/>
        </w:rPr>
      </w:pPr>
      <w:r w:rsidRPr="002B698E">
        <w:rPr>
          <w:u w:val="single"/>
        </w:rPr>
        <w:t xml:space="preserve">Capitalization Grant Agreement / </w:t>
      </w:r>
      <w:r w:rsidR="00943C52">
        <w:rPr>
          <w:u w:val="single"/>
        </w:rPr>
        <w:t>IUP</w:t>
      </w:r>
    </w:p>
    <w:p w:rsidR="00B27361" w:rsidRDefault="00B27361">
      <w:pPr>
        <w:autoSpaceDE w:val="0"/>
        <w:autoSpaceDN w:val="0"/>
        <w:adjustRightInd w:val="0"/>
        <w:ind w:left="720"/>
      </w:pPr>
      <w:r w:rsidRPr="002B698E">
        <w:t xml:space="preserve">The Capitalization Grant Agreement is the principal instrument by which the State commits to manage its revolving fund program in conformity with the requirements of the SDWA. The grant agreement contains or incorporates by reference the IUP, application materials, payment schedule, required certifications, Operating Agreement (if used), and other documentation required by the Regional Administrator. Information on set-asides and disadvantaged community assistance, </w:t>
      </w:r>
      <w:r w:rsidR="00715C7E">
        <w:t>public health</w:t>
      </w:r>
      <w:r w:rsidRPr="002B698E">
        <w:t xml:space="preserve"> indicators, core measurements, and work plans can be found in the IUP and is needed for input into the DWSRF National Information Management System</w:t>
      </w:r>
      <w:r w:rsidR="00EB4BCA">
        <w:t xml:space="preserve"> </w:t>
      </w:r>
      <w:r w:rsidR="00923DE6">
        <w:t>or</w:t>
      </w:r>
      <w:r w:rsidR="00EB4BCA">
        <w:t xml:space="preserve"> the Project &amp; Benefits Reporting System</w:t>
      </w:r>
      <w:r w:rsidRPr="002B698E">
        <w:t xml:space="preserve">. The agreement is a general instrument </w:t>
      </w:r>
      <w:r w:rsidR="00135ABD">
        <w:t>to legally commit the State and the Environmental Protection Agency (</w:t>
      </w:r>
      <w:r w:rsidRPr="002B698E">
        <w:t>EPA</w:t>
      </w:r>
      <w:r w:rsidR="00135ABD">
        <w:t>)</w:t>
      </w:r>
      <w:r w:rsidRPr="002B698E">
        <w:t xml:space="preserve"> to execute their responsibilities under the SDWA.</w:t>
      </w:r>
    </w:p>
    <w:p w:rsidR="00135ABD" w:rsidRPr="002B698E" w:rsidRDefault="00135ABD">
      <w:pPr>
        <w:autoSpaceDE w:val="0"/>
        <w:autoSpaceDN w:val="0"/>
        <w:adjustRightInd w:val="0"/>
        <w:ind w:left="720"/>
      </w:pPr>
    </w:p>
    <w:p w:rsidR="00B27361" w:rsidRPr="002B698E" w:rsidRDefault="00B27361">
      <w:pPr>
        <w:numPr>
          <w:ilvl w:val="0"/>
          <w:numId w:val="2"/>
        </w:numPr>
        <w:autoSpaceDE w:val="0"/>
        <w:autoSpaceDN w:val="0"/>
        <w:adjustRightInd w:val="0"/>
      </w:pPr>
      <w:r w:rsidRPr="002B698E">
        <w:rPr>
          <w:u w:val="single"/>
        </w:rPr>
        <w:t>Biennial Report</w:t>
      </w:r>
    </w:p>
    <w:p w:rsidR="00B27361" w:rsidRDefault="00B27361">
      <w:pPr>
        <w:autoSpaceDE w:val="0"/>
        <w:autoSpaceDN w:val="0"/>
        <w:adjustRightInd w:val="0"/>
        <w:ind w:left="720"/>
      </w:pPr>
      <w:r w:rsidRPr="002B698E">
        <w:t>The Biennial Report indicates how the State has met its goals and objectives of the previous two fiscal years as stated in the grant agreement and</w:t>
      </w:r>
      <w:r w:rsidR="00CA0A5F">
        <w:t>,</w:t>
      </w:r>
      <w:r w:rsidRPr="002B698E">
        <w:t xml:space="preserve"> more specifically</w:t>
      </w:r>
      <w:r w:rsidR="00CA0A5F">
        <w:t>, in the IUP. The R</w:t>
      </w:r>
      <w:r w:rsidRPr="002B698E">
        <w:t xml:space="preserve">eport provides information on loan recipients, loan amounts, loan terms, project categories of eligible costs, and similar data on other forms of assistance. The </w:t>
      </w:r>
      <w:r w:rsidR="00CA0A5F">
        <w:t>R</w:t>
      </w:r>
      <w:r w:rsidRPr="002B698E">
        <w:t xml:space="preserve">eport also describes the extent to which the existing DWSRF financial operating policies, alone or in combination with other State financial assistance programs, will </w:t>
      </w:r>
      <w:r w:rsidRPr="002B698E">
        <w:lastRenderedPageBreak/>
        <w:t>provide for the long-term fiscal health of the Fund and carry out other provisions as specified in a State’s drinking water strategy. Financial information from the Biennial Report may be entered into the DWSRF National Information Management System</w:t>
      </w:r>
      <w:r w:rsidR="00923DE6">
        <w:t xml:space="preserve"> or the Project &amp; Benefits Reporting System</w:t>
      </w:r>
      <w:r w:rsidRPr="002B698E">
        <w:t>.</w:t>
      </w:r>
    </w:p>
    <w:p w:rsidR="00C46019" w:rsidRDefault="00C46019">
      <w:pPr>
        <w:autoSpaceDE w:val="0"/>
        <w:autoSpaceDN w:val="0"/>
        <w:adjustRightInd w:val="0"/>
        <w:ind w:left="720"/>
      </w:pPr>
    </w:p>
    <w:p w:rsidR="00B27361" w:rsidRPr="002B698E" w:rsidRDefault="00B27361">
      <w:pPr>
        <w:numPr>
          <w:ilvl w:val="0"/>
          <w:numId w:val="2"/>
        </w:numPr>
        <w:autoSpaceDE w:val="0"/>
        <w:autoSpaceDN w:val="0"/>
        <w:adjustRightInd w:val="0"/>
      </w:pPr>
      <w:r w:rsidRPr="002B698E">
        <w:rPr>
          <w:u w:val="single"/>
        </w:rPr>
        <w:t>State Audit</w:t>
      </w:r>
    </w:p>
    <w:p w:rsidR="00135ABD" w:rsidRDefault="00B27361">
      <w:pPr>
        <w:autoSpaceDE w:val="0"/>
        <w:autoSpaceDN w:val="0"/>
        <w:adjustRightInd w:val="0"/>
        <w:ind w:left="720"/>
      </w:pPr>
      <w:r w:rsidRPr="002B698E">
        <w:t xml:space="preserve">A State must comply with the provisions of the Single Audit Act Amendments of 1996. Best management practices suggest and </w:t>
      </w:r>
      <w:r w:rsidR="00A61317">
        <w:t xml:space="preserve">the </w:t>
      </w:r>
      <w:r w:rsidRPr="002B698E">
        <w:t>EPA recommends that a State conduct an annual independent audit of its DWSRF program (including set-asides)</w:t>
      </w:r>
      <w:r w:rsidR="0069387C">
        <w:t xml:space="preserve">. The </w:t>
      </w:r>
      <w:r w:rsidR="00943C52">
        <w:t>Audit</w:t>
      </w:r>
      <w:r w:rsidR="0069387C">
        <w:t xml:space="preserve"> must c</w:t>
      </w:r>
      <w:r w:rsidRPr="002B698E">
        <w:t xml:space="preserve">ontain an opinion on the financial condition of the DWSRF program, a report on its internal controls, and a report on compliance with applicable laws and the SDWA. Therefore, a State may voluntarily agree to conduct annual independent audits. </w:t>
      </w:r>
    </w:p>
    <w:p w:rsidR="001E4D31" w:rsidRPr="002B698E" w:rsidRDefault="001E4D31">
      <w:pPr>
        <w:autoSpaceDE w:val="0"/>
        <w:autoSpaceDN w:val="0"/>
        <w:adjustRightInd w:val="0"/>
        <w:ind w:left="720"/>
      </w:pPr>
    </w:p>
    <w:p w:rsidR="00715C7E" w:rsidRDefault="00715C7E" w:rsidP="000D4CFE">
      <w:pPr>
        <w:pStyle w:val="ListParagraph"/>
        <w:numPr>
          <w:ilvl w:val="0"/>
          <w:numId w:val="2"/>
        </w:numPr>
      </w:pPr>
      <w:r w:rsidRPr="000D4CFE">
        <w:rPr>
          <w:u w:val="single"/>
        </w:rPr>
        <w:t xml:space="preserve">State </w:t>
      </w:r>
      <w:r w:rsidR="00B27361" w:rsidRPr="000D4CFE">
        <w:rPr>
          <w:u w:val="single"/>
        </w:rPr>
        <w:t>Review</w:t>
      </w:r>
      <w:r w:rsidRPr="000D4CFE">
        <w:rPr>
          <w:u w:val="single"/>
        </w:rPr>
        <w:t>s of</w:t>
      </w:r>
      <w:r w:rsidR="00B27361" w:rsidRPr="000D4CFE">
        <w:rPr>
          <w:u w:val="single"/>
        </w:rPr>
        <w:t xml:space="preserve"> </w:t>
      </w:r>
      <w:r w:rsidRPr="000D4CFE">
        <w:rPr>
          <w:u w:val="single"/>
        </w:rPr>
        <w:t xml:space="preserve">DWSRF Financing Assistance </w:t>
      </w:r>
      <w:r w:rsidR="00B27361" w:rsidRPr="000D4CFE">
        <w:rPr>
          <w:u w:val="single"/>
        </w:rPr>
        <w:t xml:space="preserve">Applications </w:t>
      </w:r>
    </w:p>
    <w:p w:rsidR="00B27361" w:rsidRDefault="00B27361" w:rsidP="000D4CFE">
      <w:pPr>
        <w:autoSpaceDE w:val="0"/>
        <w:autoSpaceDN w:val="0"/>
        <w:adjustRightInd w:val="0"/>
        <w:ind w:left="720"/>
      </w:pPr>
      <w:r w:rsidRPr="002B698E">
        <w:t>The State has the sole responsibility for reviewing the applications, entering into loan and other financing arrangements with applicants, and otherwise managing the operations of the DWSRF program.</w:t>
      </w:r>
    </w:p>
    <w:p w:rsidR="00145AAC" w:rsidRDefault="00145AAC">
      <w:pPr>
        <w:autoSpaceDE w:val="0"/>
        <w:autoSpaceDN w:val="0"/>
        <w:adjustRightInd w:val="0"/>
        <w:ind w:left="720"/>
      </w:pPr>
    </w:p>
    <w:p w:rsidR="00145AAC" w:rsidRPr="000D4CFE" w:rsidRDefault="001E4D31" w:rsidP="000D4CFE">
      <w:pPr>
        <w:pStyle w:val="ListParagraph"/>
        <w:numPr>
          <w:ilvl w:val="0"/>
          <w:numId w:val="2"/>
        </w:numPr>
        <w:autoSpaceDE w:val="0"/>
        <w:autoSpaceDN w:val="0"/>
        <w:adjustRightInd w:val="0"/>
        <w:rPr>
          <w:u w:val="single"/>
        </w:rPr>
      </w:pPr>
      <w:r w:rsidRPr="000D4CFE">
        <w:rPr>
          <w:u w:val="single"/>
        </w:rPr>
        <w:t>Financial and Project Data</w:t>
      </w:r>
    </w:p>
    <w:p w:rsidR="00D939D0" w:rsidRPr="002B698E" w:rsidRDefault="001E4D31" w:rsidP="000D4CFE">
      <w:pPr>
        <w:pStyle w:val="ListParagraph"/>
        <w:autoSpaceDE w:val="0"/>
        <w:autoSpaceDN w:val="0"/>
        <w:adjustRightInd w:val="0"/>
      </w:pPr>
      <w:r>
        <w:t>To meet the SDWA objective of “</w:t>
      </w:r>
      <w:proofErr w:type="spellStart"/>
      <w:r>
        <w:t>promot</w:t>
      </w:r>
      <w:proofErr w:type="spellEnd"/>
      <w:r>
        <w:t>[ing]</w:t>
      </w:r>
      <w:r w:rsidRPr="001E4D31">
        <w:t xml:space="preserve"> the efficient use of fund resources</w:t>
      </w:r>
      <w:r>
        <w:t xml:space="preserve">,” states </w:t>
      </w:r>
      <w:r w:rsidR="005D3263">
        <w:t>must</w:t>
      </w:r>
      <w:r>
        <w:t xml:space="preserve"> enter financial data, including project and set-aside </w:t>
      </w:r>
      <w:r w:rsidR="005D3263">
        <w:t>commitments and disbursements, into DWNIMS on an annual basis. These data</w:t>
      </w:r>
      <w:r w:rsidR="00715C7E">
        <w:t>, also available to the public,</w:t>
      </w:r>
      <w:r w:rsidR="005D3263">
        <w:t xml:space="preserve"> are used by </w:t>
      </w:r>
      <w:r w:rsidR="00A61317">
        <w:t xml:space="preserve">the </w:t>
      </w:r>
      <w:r w:rsidR="005D3263">
        <w:t xml:space="preserve">EPA to assess compliance with the Program’s mandate to use all funds in an “expeditious and timely” manner and achieve maximum public health protection from the Fund. </w:t>
      </w:r>
      <w:r w:rsidR="005D3263" w:rsidRPr="005D3263">
        <w:t xml:space="preserve">Project level data </w:t>
      </w:r>
      <w:r w:rsidR="005D3263">
        <w:t>is</w:t>
      </w:r>
      <w:r w:rsidR="005D3263" w:rsidRPr="005D3263">
        <w:t xml:space="preserve"> collected on a quarterly basis using the PBR System to ensure SDWA eligibility and assess public health results from DWSRF projects.</w:t>
      </w:r>
      <w:r w:rsidR="005D3263">
        <w:t xml:space="preserve"> To reduce burden on state respondents, </w:t>
      </w:r>
      <w:r w:rsidR="00A61317">
        <w:t xml:space="preserve">the </w:t>
      </w:r>
      <w:r w:rsidR="005D3263">
        <w:t xml:space="preserve">EPA connected these two online systems </w:t>
      </w:r>
      <w:r w:rsidR="00D75489">
        <w:t>eliminate duplicative data entry.</w:t>
      </w:r>
    </w:p>
    <w:p w:rsidR="007F4745" w:rsidRDefault="007F4745">
      <w:pPr>
        <w:autoSpaceDE w:val="0"/>
        <w:autoSpaceDN w:val="0"/>
        <w:adjustRightInd w:val="0"/>
        <w:rPr>
          <w:b/>
          <w:bCs/>
        </w:rPr>
      </w:pPr>
    </w:p>
    <w:p w:rsidR="00B27361" w:rsidRPr="002B698E" w:rsidRDefault="00B27361">
      <w:pPr>
        <w:autoSpaceDE w:val="0"/>
        <w:autoSpaceDN w:val="0"/>
        <w:adjustRightInd w:val="0"/>
        <w:rPr>
          <w:b/>
          <w:bCs/>
          <w:u w:val="single"/>
        </w:rPr>
      </w:pPr>
      <w:r w:rsidRPr="00135ABD">
        <w:rPr>
          <w:b/>
          <w:bCs/>
        </w:rPr>
        <w:t xml:space="preserve">2. </w:t>
      </w:r>
      <w:r w:rsidR="00135ABD" w:rsidRPr="00135ABD">
        <w:rPr>
          <w:b/>
          <w:bCs/>
        </w:rPr>
        <w:tab/>
      </w:r>
      <w:r w:rsidRPr="002B698E">
        <w:rPr>
          <w:b/>
          <w:bCs/>
          <w:u w:val="single"/>
        </w:rPr>
        <w:t xml:space="preserve">NEED FOR </w:t>
      </w:r>
      <w:smartTag w:uri="urn:schemas-microsoft-com:office:smarttags" w:element="stockticker">
        <w:r w:rsidRPr="002B698E">
          <w:rPr>
            <w:b/>
            <w:bCs/>
            <w:u w:val="single"/>
          </w:rPr>
          <w:t>AND</w:t>
        </w:r>
      </w:smartTag>
      <w:r w:rsidRPr="002B698E">
        <w:rPr>
          <w:b/>
          <w:bCs/>
          <w:u w:val="single"/>
        </w:rPr>
        <w:t xml:space="preserve"> USE OF THE COLLECTION</w:t>
      </w:r>
    </w:p>
    <w:p w:rsidR="00B27361" w:rsidRPr="002B698E" w:rsidRDefault="00B27361">
      <w:pPr>
        <w:autoSpaceDE w:val="0"/>
        <w:autoSpaceDN w:val="0"/>
        <w:adjustRightInd w:val="0"/>
        <w:rPr>
          <w:b/>
          <w:bCs/>
          <w:u w:val="single"/>
        </w:rPr>
      </w:pPr>
    </w:p>
    <w:p w:rsidR="00B27361" w:rsidRPr="002B698E" w:rsidRDefault="00B27361">
      <w:pPr>
        <w:autoSpaceDE w:val="0"/>
        <w:autoSpaceDN w:val="0"/>
        <w:adjustRightInd w:val="0"/>
        <w:rPr>
          <w:u w:val="single"/>
        </w:rPr>
      </w:pPr>
      <w:r w:rsidRPr="00135ABD">
        <w:t xml:space="preserve">2 (a) </w:t>
      </w:r>
      <w:r w:rsidR="00135ABD" w:rsidRPr="00135ABD">
        <w:tab/>
      </w:r>
      <w:r w:rsidRPr="002B698E">
        <w:rPr>
          <w:u w:val="single"/>
        </w:rPr>
        <w:t>NEED / AUTHORITY FOR THE COLLECTION</w:t>
      </w:r>
    </w:p>
    <w:p w:rsidR="00B27361" w:rsidRPr="002B698E" w:rsidRDefault="00B27361">
      <w:pPr>
        <w:autoSpaceDE w:val="0"/>
        <w:autoSpaceDN w:val="0"/>
        <w:adjustRightInd w:val="0"/>
        <w:rPr>
          <w:u w:val="single"/>
        </w:rPr>
      </w:pPr>
    </w:p>
    <w:p w:rsidR="00B27361" w:rsidRPr="002B698E" w:rsidRDefault="00B27361">
      <w:pPr>
        <w:autoSpaceDE w:val="0"/>
        <w:autoSpaceDN w:val="0"/>
        <w:adjustRightInd w:val="0"/>
      </w:pPr>
      <w:r w:rsidRPr="002B698E">
        <w:t>The SDWA Amendments of 1996 (Pub. L. 104-182) authorize a DWSRF program to assist public water systems to finance the costs of infrastructure needed to achieve or maintain compliance with SDWA requirements and to protect public health. Section 1452(a)(1) auth</w:t>
      </w:r>
      <w:r w:rsidR="00E958E7">
        <w:t xml:space="preserve">orizes the Administrator of </w:t>
      </w:r>
      <w:r w:rsidR="00A61317">
        <w:t xml:space="preserve">the </w:t>
      </w:r>
      <w:r w:rsidR="00E958E7">
        <w:t xml:space="preserve">EPA </w:t>
      </w:r>
      <w:r w:rsidRPr="002B698E">
        <w:t xml:space="preserve">to award capitalization grants to States, which in turn can provide low cost loans and other types of assistance to eligible systems. The information collection activities are addressed in the DWSRF Interim Final Rule found in 40 </w:t>
      </w:r>
      <w:smartTag w:uri="urn:schemas-microsoft-com:office:smarttags" w:element="stockticker">
        <w:r w:rsidRPr="002B698E">
          <w:t>CFR</w:t>
        </w:r>
      </w:smartTag>
      <w:r w:rsidR="00E958E7">
        <w:t xml:space="preserve"> P</w:t>
      </w:r>
      <w:r w:rsidRPr="002B698E">
        <w:t xml:space="preserve">art 35, </w:t>
      </w:r>
      <w:r w:rsidR="00E958E7">
        <w:t>S</w:t>
      </w:r>
      <w:r w:rsidRPr="002B698E">
        <w:t xml:space="preserve">ubpart L (August 2000).  </w:t>
      </w:r>
    </w:p>
    <w:p w:rsidR="00B27361" w:rsidRPr="002B698E" w:rsidRDefault="00B27361">
      <w:pPr>
        <w:autoSpaceDE w:val="0"/>
        <w:autoSpaceDN w:val="0"/>
        <w:adjustRightInd w:val="0"/>
      </w:pPr>
    </w:p>
    <w:p w:rsidR="00B27361" w:rsidRDefault="00B27361">
      <w:pPr>
        <w:autoSpaceDE w:val="0"/>
        <w:autoSpaceDN w:val="0"/>
        <w:adjustRightInd w:val="0"/>
      </w:pPr>
      <w:r w:rsidRPr="002B698E">
        <w:t>The 1996 A</w:t>
      </w:r>
      <w:r w:rsidR="0069387C">
        <w:t>mendments</w:t>
      </w:r>
      <w:r w:rsidRPr="002B698E">
        <w:t xml:space="preserve"> declare that the DWSRF program shall be administered by an instrumentality of the State and is subject to the requirements of the Act. This means that each State is responsible for administering its revolving fund and must make certain assurances regarding its plans to carry out its administrative duties.</w:t>
      </w:r>
    </w:p>
    <w:p w:rsidR="00E958E7" w:rsidRDefault="00E958E7">
      <w:pPr>
        <w:autoSpaceDE w:val="0"/>
        <w:autoSpaceDN w:val="0"/>
        <w:adjustRightInd w:val="0"/>
      </w:pPr>
    </w:p>
    <w:p w:rsidR="00E958E7" w:rsidRDefault="00E958E7">
      <w:pPr>
        <w:autoSpaceDE w:val="0"/>
        <w:autoSpaceDN w:val="0"/>
        <w:adjustRightInd w:val="0"/>
      </w:pPr>
      <w:r w:rsidRPr="002B698E">
        <w:lastRenderedPageBreak/>
        <w:t xml:space="preserve">In general, the information collections are required to ensure compliance with Section 1452 of the SDWA and to ensure that self-sufficient DWSRF programs are established. These </w:t>
      </w:r>
      <w:r>
        <w:t>data also</w:t>
      </w:r>
      <w:r w:rsidRPr="002B698E">
        <w:t xml:space="preserve"> provide the accountability needed to detect and remedy situations of waste, fraud</w:t>
      </w:r>
      <w:r>
        <w:t>,</w:t>
      </w:r>
      <w:r w:rsidRPr="002B698E">
        <w:t xml:space="preserve"> and abuse of </w:t>
      </w:r>
      <w:r w:rsidR="00CB2425">
        <w:t>f</w:t>
      </w:r>
      <w:r w:rsidRPr="002B698E">
        <w:t>ederal funds.</w:t>
      </w:r>
    </w:p>
    <w:p w:rsidR="00715C7E" w:rsidRPr="002B698E" w:rsidRDefault="00715C7E">
      <w:pPr>
        <w:autoSpaceDE w:val="0"/>
        <w:autoSpaceDN w:val="0"/>
        <w:adjustRightInd w:val="0"/>
      </w:pPr>
    </w:p>
    <w:p w:rsidR="00B27361" w:rsidRPr="002B698E" w:rsidRDefault="00B27361">
      <w:pPr>
        <w:autoSpaceDE w:val="0"/>
        <w:autoSpaceDN w:val="0"/>
        <w:adjustRightInd w:val="0"/>
        <w:rPr>
          <w:u w:val="single"/>
        </w:rPr>
      </w:pPr>
      <w:r w:rsidRPr="002B698E">
        <w:t xml:space="preserve">2 (b) </w:t>
      </w:r>
      <w:r w:rsidR="00135ABD">
        <w:tab/>
      </w:r>
      <w:r w:rsidRPr="002B698E">
        <w:rPr>
          <w:u w:val="single"/>
        </w:rPr>
        <w:t xml:space="preserve">USE / USERS OF THE </w:t>
      </w:r>
      <w:smartTag w:uri="urn:schemas-microsoft-com:office:smarttags" w:element="stockticker">
        <w:r w:rsidRPr="002B698E">
          <w:rPr>
            <w:u w:val="single"/>
          </w:rPr>
          <w:t>DATA</w:t>
        </w:r>
      </w:smartTag>
    </w:p>
    <w:p w:rsidR="00B27361" w:rsidRPr="002B698E" w:rsidRDefault="00B27361">
      <w:pPr>
        <w:autoSpaceDE w:val="0"/>
        <w:autoSpaceDN w:val="0"/>
        <w:adjustRightInd w:val="0"/>
      </w:pPr>
    </w:p>
    <w:p w:rsidR="00B27361" w:rsidRDefault="00B27361">
      <w:pPr>
        <w:autoSpaceDE w:val="0"/>
        <w:autoSpaceDN w:val="0"/>
        <w:adjustRightInd w:val="0"/>
      </w:pPr>
      <w:r w:rsidRPr="002B698E">
        <w:t xml:space="preserve">In order for a State to receive a capitalization grant, it must enter into an agreement (Capitalization Grant Agreement) with </w:t>
      </w:r>
      <w:r w:rsidR="00A61317">
        <w:t xml:space="preserve">the </w:t>
      </w:r>
      <w:r w:rsidR="00135ABD">
        <w:t>EPA</w:t>
      </w:r>
      <w:r w:rsidRPr="002B698E">
        <w:t>. State responsibilities include:</w:t>
      </w:r>
    </w:p>
    <w:p w:rsidR="00E958E7" w:rsidRPr="002B698E" w:rsidRDefault="00E958E7">
      <w:pPr>
        <w:autoSpaceDE w:val="0"/>
        <w:autoSpaceDN w:val="0"/>
        <w:adjustRightInd w:val="0"/>
      </w:pPr>
    </w:p>
    <w:p w:rsidR="00B27361" w:rsidRPr="002B698E" w:rsidRDefault="00B27361" w:rsidP="00E958E7">
      <w:pPr>
        <w:numPr>
          <w:ilvl w:val="0"/>
          <w:numId w:val="3"/>
        </w:numPr>
        <w:tabs>
          <w:tab w:val="clear" w:pos="1080"/>
          <w:tab w:val="num" w:pos="720"/>
        </w:tabs>
        <w:autoSpaceDE w:val="0"/>
        <w:autoSpaceDN w:val="0"/>
        <w:adjustRightInd w:val="0"/>
        <w:ind w:left="720"/>
      </w:pPr>
      <w:r w:rsidRPr="002B698E">
        <w:t>Contributing 20 percent matching funds;</w:t>
      </w:r>
    </w:p>
    <w:p w:rsidR="00B27361" w:rsidRPr="002B698E" w:rsidRDefault="00B27361" w:rsidP="00E958E7">
      <w:pPr>
        <w:numPr>
          <w:ilvl w:val="0"/>
          <w:numId w:val="3"/>
        </w:numPr>
        <w:tabs>
          <w:tab w:val="clear" w:pos="1080"/>
          <w:tab w:val="num" w:pos="720"/>
        </w:tabs>
        <w:autoSpaceDE w:val="0"/>
        <w:autoSpaceDN w:val="0"/>
        <w:adjustRightInd w:val="0"/>
        <w:ind w:left="720"/>
      </w:pPr>
      <w:r w:rsidRPr="002B698E">
        <w:t xml:space="preserve">Committing </w:t>
      </w:r>
      <w:r w:rsidR="00A033F6">
        <w:t xml:space="preserve">and disbursing </w:t>
      </w:r>
      <w:r w:rsidRPr="002B698E">
        <w:t>funds expeditiously;</w:t>
      </w:r>
    </w:p>
    <w:p w:rsidR="00B27361" w:rsidRPr="002B698E" w:rsidRDefault="00B27361" w:rsidP="00E958E7">
      <w:pPr>
        <w:numPr>
          <w:ilvl w:val="0"/>
          <w:numId w:val="3"/>
        </w:numPr>
        <w:tabs>
          <w:tab w:val="clear" w:pos="1080"/>
          <w:tab w:val="num" w:pos="720"/>
        </w:tabs>
        <w:autoSpaceDE w:val="0"/>
        <w:autoSpaceDN w:val="0"/>
        <w:adjustRightInd w:val="0"/>
        <w:ind w:left="720"/>
      </w:pPr>
      <w:r w:rsidRPr="002B698E">
        <w:t xml:space="preserve">Jointly establishing a payment schedule with the </w:t>
      </w:r>
      <w:r w:rsidR="00CB2425">
        <w:t>f</w:t>
      </w:r>
      <w:r w:rsidRPr="002B698E">
        <w:t>ederal government;</w:t>
      </w:r>
    </w:p>
    <w:p w:rsidR="00B27361" w:rsidRPr="002B698E" w:rsidRDefault="00B27361" w:rsidP="00E958E7">
      <w:pPr>
        <w:numPr>
          <w:ilvl w:val="0"/>
          <w:numId w:val="3"/>
        </w:numPr>
        <w:tabs>
          <w:tab w:val="clear" w:pos="1080"/>
          <w:tab w:val="num" w:pos="720"/>
        </w:tabs>
        <w:autoSpaceDE w:val="0"/>
        <w:autoSpaceDN w:val="0"/>
        <w:adjustRightInd w:val="0"/>
        <w:ind w:left="720"/>
      </w:pPr>
      <w:r w:rsidRPr="002B698E">
        <w:t>Ensuring that enforceable requirements are fulfilled before assistance is provided to recipients for other purposes;</w:t>
      </w:r>
    </w:p>
    <w:p w:rsidR="00B27361" w:rsidRPr="002B698E" w:rsidRDefault="00B27361" w:rsidP="00E958E7">
      <w:pPr>
        <w:numPr>
          <w:ilvl w:val="0"/>
          <w:numId w:val="3"/>
        </w:numPr>
        <w:tabs>
          <w:tab w:val="clear" w:pos="1080"/>
          <w:tab w:val="num" w:pos="720"/>
        </w:tabs>
        <w:autoSpaceDE w:val="0"/>
        <w:autoSpaceDN w:val="0"/>
        <w:adjustRightInd w:val="0"/>
        <w:ind w:left="720"/>
      </w:pPr>
      <w:r w:rsidRPr="002B698E">
        <w:t xml:space="preserve">Monitoring assistance recipient compliance with program requirements and other </w:t>
      </w:r>
      <w:r w:rsidR="00CB2425">
        <w:t>f</w:t>
      </w:r>
      <w:r w:rsidRPr="002B698E">
        <w:t>ederal cross-cutting authorities during the period of the assistance agreement; and</w:t>
      </w:r>
    </w:p>
    <w:p w:rsidR="00B27361" w:rsidRPr="002B698E" w:rsidRDefault="00B27361" w:rsidP="00E958E7">
      <w:pPr>
        <w:numPr>
          <w:ilvl w:val="0"/>
          <w:numId w:val="3"/>
        </w:numPr>
        <w:tabs>
          <w:tab w:val="clear" w:pos="1080"/>
          <w:tab w:val="num" w:pos="720"/>
        </w:tabs>
        <w:autoSpaceDE w:val="0"/>
        <w:autoSpaceDN w:val="0"/>
        <w:adjustRightInd w:val="0"/>
        <w:ind w:left="720"/>
      </w:pPr>
      <w:r w:rsidRPr="002B698E">
        <w:t xml:space="preserve">Supplying work plans detailing how set-aside funds will be expended. </w:t>
      </w:r>
    </w:p>
    <w:p w:rsidR="00B27361" w:rsidRPr="002B698E" w:rsidRDefault="00B27361" w:rsidP="00E958E7">
      <w:pPr>
        <w:tabs>
          <w:tab w:val="num" w:pos="720"/>
        </w:tabs>
        <w:autoSpaceDE w:val="0"/>
        <w:autoSpaceDN w:val="0"/>
        <w:adjustRightInd w:val="0"/>
        <w:ind w:left="720"/>
      </w:pPr>
    </w:p>
    <w:p w:rsidR="00B27361" w:rsidRPr="002B698E" w:rsidRDefault="00A61317">
      <w:pPr>
        <w:autoSpaceDE w:val="0"/>
        <w:autoSpaceDN w:val="0"/>
        <w:adjustRightInd w:val="0"/>
      </w:pPr>
      <w:r>
        <w:t xml:space="preserve">The </w:t>
      </w:r>
      <w:r w:rsidR="00B27361" w:rsidRPr="002B698E">
        <w:t>EPA recommends that States have their DWSRF funds audited on an annual basis in accordance with generally accepted government auditing standards (</w:t>
      </w:r>
      <w:r w:rsidR="00B27361" w:rsidRPr="00820D14">
        <w:t>GAGAS</w:t>
      </w:r>
      <w:r w:rsidR="00B27361" w:rsidRPr="002B698E">
        <w:t>).</w:t>
      </w:r>
    </w:p>
    <w:p w:rsidR="00B27361" w:rsidRPr="002B698E" w:rsidRDefault="00B27361">
      <w:pPr>
        <w:autoSpaceDE w:val="0"/>
        <w:autoSpaceDN w:val="0"/>
        <w:adjustRightInd w:val="0"/>
      </w:pPr>
    </w:p>
    <w:p w:rsidR="00B27361" w:rsidRDefault="00B27361">
      <w:pPr>
        <w:autoSpaceDE w:val="0"/>
        <w:autoSpaceDN w:val="0"/>
        <w:adjustRightInd w:val="0"/>
      </w:pPr>
      <w:r w:rsidRPr="002B698E">
        <w:t xml:space="preserve">The information to be provided to </w:t>
      </w:r>
      <w:r w:rsidR="00A61317">
        <w:t xml:space="preserve">the </w:t>
      </w:r>
      <w:r w:rsidRPr="002B698E">
        <w:t>EPA by the States includes:</w:t>
      </w:r>
    </w:p>
    <w:p w:rsidR="00E958E7" w:rsidRPr="002B698E" w:rsidRDefault="00E958E7">
      <w:pPr>
        <w:autoSpaceDE w:val="0"/>
        <w:autoSpaceDN w:val="0"/>
        <w:adjustRightInd w:val="0"/>
      </w:pPr>
    </w:p>
    <w:p w:rsidR="00B27361" w:rsidRPr="002B698E" w:rsidRDefault="00943C52" w:rsidP="00E958E7">
      <w:pPr>
        <w:numPr>
          <w:ilvl w:val="1"/>
          <w:numId w:val="2"/>
        </w:numPr>
        <w:tabs>
          <w:tab w:val="clear" w:pos="1440"/>
          <w:tab w:val="num" w:pos="720"/>
        </w:tabs>
        <w:autoSpaceDE w:val="0"/>
        <w:autoSpaceDN w:val="0"/>
        <w:adjustRightInd w:val="0"/>
        <w:ind w:left="720"/>
      </w:pPr>
      <w:r>
        <w:t>IUP</w:t>
      </w:r>
      <w:r w:rsidR="00B27361" w:rsidRPr="002B698E">
        <w:t xml:space="preserve"> / Capitalization Grant Agreement and Application;</w:t>
      </w:r>
    </w:p>
    <w:p w:rsidR="00B27361" w:rsidRPr="002B698E" w:rsidRDefault="00B27361" w:rsidP="00E958E7">
      <w:pPr>
        <w:numPr>
          <w:ilvl w:val="1"/>
          <w:numId w:val="2"/>
        </w:numPr>
        <w:tabs>
          <w:tab w:val="clear" w:pos="1440"/>
          <w:tab w:val="num" w:pos="720"/>
        </w:tabs>
        <w:autoSpaceDE w:val="0"/>
        <w:autoSpaceDN w:val="0"/>
        <w:adjustRightInd w:val="0"/>
        <w:ind w:left="720"/>
      </w:pPr>
      <w:r w:rsidRPr="002B698E">
        <w:t xml:space="preserve">Biennial Report; </w:t>
      </w:r>
    </w:p>
    <w:p w:rsidR="00D75489" w:rsidRDefault="00885956" w:rsidP="00E958E7">
      <w:pPr>
        <w:numPr>
          <w:ilvl w:val="1"/>
          <w:numId w:val="2"/>
        </w:numPr>
        <w:tabs>
          <w:tab w:val="clear" w:pos="1440"/>
          <w:tab w:val="num" w:pos="720"/>
        </w:tabs>
        <w:autoSpaceDE w:val="0"/>
        <w:autoSpaceDN w:val="0"/>
        <w:adjustRightInd w:val="0"/>
        <w:ind w:left="720"/>
      </w:pPr>
      <w:r>
        <w:t xml:space="preserve">Most recent </w:t>
      </w:r>
      <w:r w:rsidR="00943C52">
        <w:t>Audit</w:t>
      </w:r>
      <w:r w:rsidR="00D75489">
        <w:t>; and</w:t>
      </w:r>
    </w:p>
    <w:p w:rsidR="00B27361" w:rsidRPr="002B698E" w:rsidRDefault="00D75489" w:rsidP="00E958E7">
      <w:pPr>
        <w:numPr>
          <w:ilvl w:val="1"/>
          <w:numId w:val="2"/>
        </w:numPr>
        <w:tabs>
          <w:tab w:val="clear" w:pos="1440"/>
          <w:tab w:val="num" w:pos="720"/>
        </w:tabs>
        <w:autoSpaceDE w:val="0"/>
        <w:autoSpaceDN w:val="0"/>
        <w:adjustRightInd w:val="0"/>
        <w:ind w:left="720"/>
      </w:pPr>
      <w:r>
        <w:t>Financial and Project Data.</w:t>
      </w:r>
    </w:p>
    <w:p w:rsidR="00B27361" w:rsidRPr="002B698E" w:rsidRDefault="00B27361">
      <w:pPr>
        <w:autoSpaceDE w:val="0"/>
        <w:autoSpaceDN w:val="0"/>
        <w:adjustRightInd w:val="0"/>
        <w:ind w:left="1080"/>
      </w:pPr>
    </w:p>
    <w:p w:rsidR="00B27361" w:rsidRPr="002B698E" w:rsidRDefault="00B27361">
      <w:pPr>
        <w:autoSpaceDE w:val="0"/>
        <w:autoSpaceDN w:val="0"/>
        <w:adjustRightInd w:val="0"/>
      </w:pPr>
      <w:r w:rsidRPr="002B698E">
        <w:t xml:space="preserve">Upon approval of the Capitalization Grant Application, each State may begin awarding project funds and using set-aside funds </w:t>
      </w:r>
      <w:r w:rsidR="00885956">
        <w:t>after</w:t>
      </w:r>
      <w:r w:rsidRPr="002B698E">
        <w:t xml:space="preserve"> work plans are approved. </w:t>
      </w:r>
      <w:r w:rsidR="00D75489">
        <w:t>T</w:t>
      </w:r>
      <w:r w:rsidRPr="002B698E">
        <w:t xml:space="preserve">he State will receive and review applications for DWSRF financing assistance. The State will review the applications for conformance with the IUP, </w:t>
      </w:r>
      <w:r w:rsidR="006A1FA2">
        <w:t>public health</w:t>
      </w:r>
      <w:r w:rsidRPr="002B698E">
        <w:t xml:space="preserve"> impacts, and financial capabilities of the applicant. For those projects and activities funded with monies in an amount equal to the </w:t>
      </w:r>
      <w:r w:rsidR="00CB2425">
        <w:t>f</w:t>
      </w:r>
      <w:r w:rsidRPr="002B698E">
        <w:t xml:space="preserve">ederal capitalization grant (including set-asides), the State will also review the proposed projects and activities for consistency with </w:t>
      </w:r>
      <w:r w:rsidR="00CB2425">
        <w:t>f</w:t>
      </w:r>
      <w:r w:rsidRPr="002B698E">
        <w:t>ederal cross-cutting authorities as described in the DWSRF Interim Final Rule. The specific procedures for preparation and review of assistance application materials will be developed by each State. If an application is acceptable</w:t>
      </w:r>
      <w:r w:rsidR="006A1FA2">
        <w:t xml:space="preserve"> and the project ranks highly enough on the Project Priority List</w:t>
      </w:r>
      <w:r w:rsidRPr="002B698E">
        <w:t xml:space="preserve">, the State </w:t>
      </w:r>
      <w:r w:rsidR="0069387C">
        <w:t xml:space="preserve">will </w:t>
      </w:r>
      <w:r w:rsidRPr="002B698E">
        <w:t>prepare the appropriate loan agreement documents.</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Although </w:t>
      </w:r>
      <w:r w:rsidR="00A61317">
        <w:t xml:space="preserve">the </w:t>
      </w:r>
      <w:r w:rsidRPr="002B698E">
        <w:t>EPA oversees the general operations of the DWSRF program as part of its Annual Review process, the Agency does not have any responsibility for reviewing or approving individual applications for DWSRF financial assistance.</w:t>
      </w:r>
    </w:p>
    <w:p w:rsidR="00B27361" w:rsidRPr="002B698E" w:rsidRDefault="00B27361">
      <w:pPr>
        <w:autoSpaceDE w:val="0"/>
        <w:autoSpaceDN w:val="0"/>
        <w:adjustRightInd w:val="0"/>
        <w:rPr>
          <w:b/>
          <w:bCs/>
        </w:rPr>
      </w:pPr>
    </w:p>
    <w:p w:rsidR="007F4745" w:rsidRPr="002B698E" w:rsidRDefault="007F4745">
      <w:pPr>
        <w:autoSpaceDE w:val="0"/>
        <w:autoSpaceDN w:val="0"/>
        <w:adjustRightInd w:val="0"/>
        <w:rPr>
          <w:b/>
          <w:bCs/>
        </w:rPr>
      </w:pPr>
    </w:p>
    <w:p w:rsidR="00B27361" w:rsidRPr="002B698E" w:rsidRDefault="00B27361">
      <w:pPr>
        <w:autoSpaceDE w:val="0"/>
        <w:autoSpaceDN w:val="0"/>
        <w:adjustRightInd w:val="0"/>
        <w:rPr>
          <w:b/>
          <w:bCs/>
          <w:u w:val="single"/>
        </w:rPr>
      </w:pPr>
      <w:r w:rsidRPr="002B698E">
        <w:rPr>
          <w:b/>
          <w:bCs/>
        </w:rPr>
        <w:t xml:space="preserve">3. </w:t>
      </w:r>
      <w:r w:rsidR="00135ABD">
        <w:rPr>
          <w:b/>
          <w:bCs/>
        </w:rPr>
        <w:tab/>
      </w:r>
      <w:r w:rsidRPr="002B698E">
        <w:rPr>
          <w:b/>
          <w:bCs/>
          <w:u w:val="single"/>
        </w:rPr>
        <w:t xml:space="preserve">THE RESPONDENTS </w:t>
      </w:r>
      <w:smartTag w:uri="urn:schemas-microsoft-com:office:smarttags" w:element="stockticker">
        <w:r w:rsidRPr="002B698E">
          <w:rPr>
            <w:b/>
            <w:bCs/>
            <w:u w:val="single"/>
          </w:rPr>
          <w:t>AND</w:t>
        </w:r>
      </w:smartTag>
      <w:r w:rsidRPr="002B698E">
        <w:rPr>
          <w:b/>
          <w:bCs/>
          <w:u w:val="single"/>
        </w:rPr>
        <w:t xml:space="preserve"> THE INFORMATION REQUESTED</w:t>
      </w:r>
    </w:p>
    <w:p w:rsidR="00B27361" w:rsidRPr="002B698E" w:rsidRDefault="00B27361">
      <w:pPr>
        <w:autoSpaceDE w:val="0"/>
        <w:autoSpaceDN w:val="0"/>
        <w:adjustRightInd w:val="0"/>
        <w:rPr>
          <w:b/>
          <w:bCs/>
        </w:rPr>
      </w:pPr>
    </w:p>
    <w:p w:rsidR="00B27361" w:rsidRPr="002B698E" w:rsidRDefault="00B27361">
      <w:pPr>
        <w:autoSpaceDE w:val="0"/>
        <w:autoSpaceDN w:val="0"/>
        <w:adjustRightInd w:val="0"/>
      </w:pPr>
      <w:r w:rsidRPr="002B698E">
        <w:t xml:space="preserve">3 (a) </w:t>
      </w:r>
      <w:r w:rsidR="00135ABD">
        <w:tab/>
      </w:r>
      <w:r w:rsidRPr="002B698E">
        <w:rPr>
          <w:u w:val="single"/>
        </w:rPr>
        <w:t>RESPONDENTS / SIC CODES</w:t>
      </w:r>
    </w:p>
    <w:p w:rsidR="00B27361" w:rsidRPr="002B698E" w:rsidRDefault="00885956">
      <w:pPr>
        <w:autoSpaceDE w:val="0"/>
        <w:autoSpaceDN w:val="0"/>
        <w:adjustRightInd w:val="0"/>
      </w:pPr>
      <w:r>
        <w:t>The respondents for this request are s</w:t>
      </w:r>
      <w:r w:rsidR="00B27361" w:rsidRPr="002B698E">
        <w:t xml:space="preserve">tate and local governments (SIC Code #99). Community and nonprofit non-community public water systems are eligible for assistance from the State. These water systems may be </w:t>
      </w:r>
      <w:r w:rsidR="00135ABD">
        <w:t xml:space="preserve">publicly </w:t>
      </w:r>
      <w:r w:rsidR="00B27361" w:rsidRPr="002B698E">
        <w:t xml:space="preserve">owned (such as a community or a county) or </w:t>
      </w:r>
      <w:r w:rsidR="00135ABD">
        <w:t xml:space="preserve">privately </w:t>
      </w:r>
      <w:r w:rsidR="00B27361" w:rsidRPr="002B698E">
        <w:t>owned (such as an investor-owned utility or non-profit homeowner association).</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3 (b) </w:t>
      </w:r>
      <w:r w:rsidR="00135ABD">
        <w:tab/>
      </w:r>
      <w:r w:rsidRPr="002B698E">
        <w:rPr>
          <w:u w:val="single"/>
        </w:rPr>
        <w:t>INFORMATION REQUESTED</w:t>
      </w:r>
    </w:p>
    <w:p w:rsidR="00B27361" w:rsidRPr="002B698E" w:rsidRDefault="00943C52">
      <w:pPr>
        <w:autoSpaceDE w:val="0"/>
        <w:autoSpaceDN w:val="0"/>
        <w:adjustRightInd w:val="0"/>
      </w:pPr>
      <w:r>
        <w:t>(</w:t>
      </w:r>
      <w:proofErr w:type="spellStart"/>
      <w:r>
        <w:t>i</w:t>
      </w:r>
      <w:proofErr w:type="spellEnd"/>
      <w:r>
        <w:t>)</w:t>
      </w:r>
      <w:r w:rsidR="00B27361" w:rsidRPr="002B698E">
        <w:t xml:space="preserve"> </w:t>
      </w:r>
      <w:r w:rsidR="00885956">
        <w:tab/>
      </w:r>
      <w:r w:rsidR="00B27361" w:rsidRPr="002B698E">
        <w:rPr>
          <w:u w:val="single"/>
        </w:rPr>
        <w:t>Data Items</w:t>
      </w:r>
      <w:r w:rsidR="00B27361" w:rsidRPr="002B698E">
        <w:t xml:space="preserve"> </w:t>
      </w:r>
    </w:p>
    <w:p w:rsidR="00E958E7" w:rsidRPr="002B698E" w:rsidRDefault="00E958E7" w:rsidP="00E958E7">
      <w:pPr>
        <w:autoSpaceDE w:val="0"/>
        <w:autoSpaceDN w:val="0"/>
        <w:adjustRightInd w:val="0"/>
      </w:pPr>
      <w:r>
        <w:t>The following</w:t>
      </w:r>
      <w:r w:rsidRPr="002B698E">
        <w:t xml:space="preserve"> information elements provide the accountability needed to detect and remedy situations of waste, fraud</w:t>
      </w:r>
      <w:r>
        <w:t>,</w:t>
      </w:r>
      <w:r w:rsidRPr="002B698E">
        <w:t xml:space="preserve"> and abuse of </w:t>
      </w:r>
      <w:r w:rsidR="00CB2425">
        <w:t>f</w:t>
      </w:r>
      <w:r w:rsidRPr="002B698E">
        <w:t>ederal funds.</w:t>
      </w:r>
    </w:p>
    <w:p w:rsidR="00B27361" w:rsidRPr="002B698E" w:rsidRDefault="00B27361">
      <w:pPr>
        <w:autoSpaceDE w:val="0"/>
        <w:autoSpaceDN w:val="0"/>
        <w:adjustRightInd w:val="0"/>
      </w:pPr>
    </w:p>
    <w:p w:rsidR="00B27361" w:rsidRPr="002B698E" w:rsidRDefault="00B27361" w:rsidP="00E958E7">
      <w:pPr>
        <w:autoSpaceDE w:val="0"/>
        <w:autoSpaceDN w:val="0"/>
        <w:adjustRightInd w:val="0"/>
        <w:ind w:left="720" w:hanging="360"/>
      </w:pPr>
      <w:r w:rsidRPr="002B698E">
        <w:t xml:space="preserve">a. </w:t>
      </w:r>
      <w:r w:rsidR="00E958E7">
        <w:tab/>
      </w:r>
      <w:r w:rsidR="00943C52">
        <w:rPr>
          <w:u w:val="single"/>
        </w:rPr>
        <w:t>IUP</w:t>
      </w:r>
      <w:r w:rsidRPr="002B698E">
        <w:rPr>
          <w:u w:val="single"/>
        </w:rPr>
        <w:t xml:space="preserve"> / Capitalization Grant Agreement</w:t>
      </w:r>
    </w:p>
    <w:p w:rsidR="00B27361" w:rsidRPr="002B698E" w:rsidRDefault="00B27361">
      <w:pPr>
        <w:autoSpaceDE w:val="0"/>
        <w:autoSpaceDN w:val="0"/>
        <w:adjustRightInd w:val="0"/>
        <w:ind w:left="720"/>
      </w:pPr>
      <w:r w:rsidRPr="002B698E">
        <w:t>The Capitalization Grant Application is made on EPA Standard Form</w:t>
      </w:r>
      <w:r w:rsidR="00885956">
        <w:t xml:space="preserve"> (SF)</w:t>
      </w:r>
      <w:r w:rsidRPr="002B698E">
        <w:t xml:space="preserve"> No. 424 (OMB No. 2020-0020). The </w:t>
      </w:r>
      <w:r w:rsidRPr="00885956">
        <w:rPr>
          <w:i/>
        </w:rPr>
        <w:t>DWSRF Management Manual</w:t>
      </w:r>
      <w:r w:rsidRPr="002B698E">
        <w:t xml:space="preserve"> includes a model IUP and SF 424</w:t>
      </w:r>
      <w:r w:rsidR="0069387C">
        <w:t xml:space="preserve">. This </w:t>
      </w:r>
      <w:r w:rsidRPr="002B698E">
        <w:t>should improve program efficiency and reduce the burden on the States and the EPA Regions.</w:t>
      </w:r>
    </w:p>
    <w:p w:rsidR="00B27361" w:rsidRPr="002B698E" w:rsidRDefault="00B27361">
      <w:pPr>
        <w:autoSpaceDE w:val="0"/>
        <w:autoSpaceDN w:val="0"/>
        <w:adjustRightInd w:val="0"/>
      </w:pPr>
    </w:p>
    <w:p w:rsidR="00B27361" w:rsidRPr="002B698E" w:rsidRDefault="00B27361" w:rsidP="00B90AEA">
      <w:pPr>
        <w:autoSpaceDE w:val="0"/>
        <w:autoSpaceDN w:val="0"/>
        <w:adjustRightInd w:val="0"/>
        <w:ind w:left="720" w:hanging="360"/>
      </w:pPr>
      <w:r w:rsidRPr="002B698E">
        <w:t xml:space="preserve">b. </w:t>
      </w:r>
      <w:r w:rsidR="00B90AEA">
        <w:tab/>
      </w:r>
      <w:r w:rsidRPr="002B698E">
        <w:rPr>
          <w:u w:val="single"/>
        </w:rPr>
        <w:t>Biennial Report</w:t>
      </w:r>
    </w:p>
    <w:p w:rsidR="00B27361" w:rsidRPr="002B698E" w:rsidRDefault="00B27361">
      <w:pPr>
        <w:autoSpaceDE w:val="0"/>
        <w:autoSpaceDN w:val="0"/>
        <w:adjustRightInd w:val="0"/>
        <w:ind w:left="720"/>
      </w:pPr>
      <w:r w:rsidRPr="002B698E">
        <w:t xml:space="preserve">Section 1452(g)(4) of the SDWA requires each State to submit a Biennial Report at the end of every other fiscal year that identifies the accomplishments of the previous two years under the </w:t>
      </w:r>
      <w:r w:rsidR="00885956">
        <w:t>IUP</w:t>
      </w:r>
      <w:r w:rsidRPr="002B698E">
        <w:t>. The Biennial Report provides the dates, amounts, recipients, and terms of loans and other types of financial assistance from Respondent Activities.</w:t>
      </w:r>
      <w:r w:rsidR="00881558">
        <w:t xml:space="preserve"> </w:t>
      </w:r>
      <w:r w:rsidRPr="002B698E">
        <w:t xml:space="preserve">To reduce the burden on the States, </w:t>
      </w:r>
      <w:r w:rsidR="00A61317">
        <w:t xml:space="preserve">the </w:t>
      </w:r>
      <w:r w:rsidRPr="002B698E">
        <w:t xml:space="preserve">EPA has developed a model Biennial Report that is included in the </w:t>
      </w:r>
      <w:r w:rsidRPr="00885956">
        <w:rPr>
          <w:i/>
        </w:rPr>
        <w:t>DWSRF Management Manual</w:t>
      </w:r>
      <w:r w:rsidRPr="002B698E">
        <w:t>.</w:t>
      </w:r>
    </w:p>
    <w:p w:rsidR="00B27361" w:rsidRPr="002B698E" w:rsidRDefault="00B27361">
      <w:pPr>
        <w:autoSpaceDE w:val="0"/>
        <w:autoSpaceDN w:val="0"/>
        <w:adjustRightInd w:val="0"/>
      </w:pPr>
    </w:p>
    <w:p w:rsidR="00B27361" w:rsidRPr="002B698E" w:rsidRDefault="00B27361" w:rsidP="00B90AEA">
      <w:pPr>
        <w:autoSpaceDE w:val="0"/>
        <w:autoSpaceDN w:val="0"/>
        <w:adjustRightInd w:val="0"/>
        <w:ind w:left="720" w:hanging="360"/>
      </w:pPr>
      <w:r w:rsidRPr="002B698E">
        <w:t xml:space="preserve">c. </w:t>
      </w:r>
      <w:r w:rsidR="00B90AEA">
        <w:tab/>
      </w:r>
      <w:r w:rsidRPr="002B698E">
        <w:rPr>
          <w:u w:val="single"/>
        </w:rPr>
        <w:t>State Audit</w:t>
      </w:r>
    </w:p>
    <w:p w:rsidR="00B27361" w:rsidRPr="002B698E" w:rsidRDefault="00B27361">
      <w:pPr>
        <w:autoSpaceDE w:val="0"/>
        <w:autoSpaceDN w:val="0"/>
        <w:adjustRightInd w:val="0"/>
        <w:ind w:left="720"/>
      </w:pPr>
      <w:r w:rsidRPr="002B698E">
        <w:t xml:space="preserve">A State must comply with the provisions of the Single Audit Act Amendments of 1996. </w:t>
      </w:r>
      <w:r w:rsidR="00A61317">
        <w:t xml:space="preserve">The </w:t>
      </w:r>
      <w:r w:rsidRPr="002B698E">
        <w:t>EPA recommends</w:t>
      </w:r>
      <w:r w:rsidR="0069387C">
        <w:t xml:space="preserve"> that States conduct voluntary annual independent a</w:t>
      </w:r>
      <w:r w:rsidRPr="002B698E">
        <w:t xml:space="preserve">udits that contain an opinion on the financial condition of the DWSRF program, a report on its internal controls, and a report on compliance with </w:t>
      </w:r>
      <w:r w:rsidR="00885956">
        <w:t xml:space="preserve">both </w:t>
      </w:r>
      <w:r w:rsidRPr="002B698E">
        <w:t>applicable laws and SDWA requirements.</w:t>
      </w:r>
    </w:p>
    <w:p w:rsidR="00B27361" w:rsidRPr="002B698E" w:rsidRDefault="00B27361">
      <w:pPr>
        <w:autoSpaceDE w:val="0"/>
        <w:autoSpaceDN w:val="0"/>
        <w:adjustRightInd w:val="0"/>
        <w:ind w:left="720"/>
      </w:pPr>
    </w:p>
    <w:p w:rsidR="00B27361" w:rsidRPr="002B698E" w:rsidRDefault="00B27361" w:rsidP="00B90AEA">
      <w:pPr>
        <w:autoSpaceDE w:val="0"/>
        <w:autoSpaceDN w:val="0"/>
        <w:adjustRightInd w:val="0"/>
        <w:ind w:left="720" w:hanging="360"/>
        <w:rPr>
          <w:u w:val="single"/>
        </w:rPr>
      </w:pPr>
      <w:r w:rsidRPr="00B90AEA">
        <w:t>d.</w:t>
      </w:r>
      <w:r w:rsidR="00B90AEA">
        <w:t xml:space="preserve"> </w:t>
      </w:r>
      <w:r w:rsidR="00B90AEA">
        <w:tab/>
      </w:r>
      <w:r w:rsidR="006A1FA2" w:rsidRPr="00916600">
        <w:rPr>
          <w:u w:val="single"/>
        </w:rPr>
        <w:t xml:space="preserve">State Reviews of DWSRF Financing Assistance Applications </w:t>
      </w:r>
    </w:p>
    <w:p w:rsidR="00B27361" w:rsidRPr="002B698E" w:rsidRDefault="00B27361">
      <w:pPr>
        <w:autoSpaceDE w:val="0"/>
        <w:autoSpaceDN w:val="0"/>
        <w:adjustRightInd w:val="0"/>
        <w:ind w:left="720"/>
      </w:pPr>
      <w:r w:rsidRPr="002B698E">
        <w:t xml:space="preserve">Section 1452(a) of the SDWA and the DWSRF Final Guidelines outline the eligibilities under the DWSRF program in terms of potential recipients, types of projects and activities that may receive DWSRF assistance, and the types of financial assistance which may be provided. The SDWA provides significant flexibility to the States regarding the development of specific procedures for reviewing and approving applications for DWSRF assistance and for managing the DWSRF program. </w:t>
      </w:r>
    </w:p>
    <w:p w:rsidR="006F14A1" w:rsidRDefault="006F14A1" w:rsidP="000D4CFE">
      <w:pPr>
        <w:autoSpaceDE w:val="0"/>
        <w:autoSpaceDN w:val="0"/>
        <w:adjustRightInd w:val="0"/>
        <w:ind w:left="720"/>
      </w:pPr>
    </w:p>
    <w:p w:rsidR="008B2728" w:rsidRDefault="00B27361" w:rsidP="000D4CFE">
      <w:pPr>
        <w:autoSpaceDE w:val="0"/>
        <w:autoSpaceDN w:val="0"/>
        <w:adjustRightInd w:val="0"/>
        <w:ind w:left="720"/>
      </w:pPr>
      <w:r w:rsidRPr="002B698E">
        <w:t xml:space="preserve">Specific reporting requirements, which are statutorily based, relate only to the relationship between the State as recipient of the </w:t>
      </w:r>
      <w:r w:rsidR="00CB2425">
        <w:t>f</w:t>
      </w:r>
      <w:r w:rsidRPr="002B698E">
        <w:t xml:space="preserve">ederal capitalization grant and the Agency as the grantor. The </w:t>
      </w:r>
      <w:r w:rsidRPr="00883182">
        <w:rPr>
          <w:i/>
        </w:rPr>
        <w:t>DWSRF Management Manual</w:t>
      </w:r>
      <w:r w:rsidRPr="002B698E">
        <w:t xml:space="preserve"> and other DWSRF program materials provide limited guidance or direction to the States regarding the development of </w:t>
      </w:r>
      <w:r w:rsidRPr="002B698E">
        <w:lastRenderedPageBreak/>
        <w:t>application materials or specific procedures for the processing and disposition of applications for DWSRF assistance.</w:t>
      </w:r>
    </w:p>
    <w:p w:rsidR="008B2728" w:rsidRDefault="008B2728" w:rsidP="000D4CFE">
      <w:pPr>
        <w:autoSpaceDE w:val="0"/>
        <w:autoSpaceDN w:val="0"/>
        <w:adjustRightInd w:val="0"/>
      </w:pPr>
      <w:r>
        <w:t xml:space="preserve">      </w:t>
      </w:r>
    </w:p>
    <w:p w:rsidR="008B2728" w:rsidRPr="000D4CFE" w:rsidRDefault="008B2728" w:rsidP="000D4CFE">
      <w:pPr>
        <w:pStyle w:val="ListParagraph"/>
        <w:numPr>
          <w:ilvl w:val="0"/>
          <w:numId w:val="2"/>
        </w:numPr>
        <w:autoSpaceDE w:val="0"/>
        <w:autoSpaceDN w:val="0"/>
        <w:adjustRightInd w:val="0"/>
        <w:rPr>
          <w:u w:val="single"/>
        </w:rPr>
      </w:pPr>
      <w:r w:rsidRPr="000D4CFE">
        <w:rPr>
          <w:u w:val="single"/>
        </w:rPr>
        <w:t>Financial and Project Data</w:t>
      </w:r>
    </w:p>
    <w:p w:rsidR="008B2728" w:rsidRPr="002B698E" w:rsidRDefault="006F14A1" w:rsidP="000D4CFE">
      <w:pPr>
        <w:pStyle w:val="ListParagraph"/>
        <w:autoSpaceDE w:val="0"/>
        <w:autoSpaceDN w:val="0"/>
        <w:adjustRightInd w:val="0"/>
      </w:pPr>
      <w:r w:rsidRPr="006F14A1">
        <w:t>To ensure expeditious and timely use of the Fund, financial data will be collected annually through DWNIMS. Project level data will be collected on a quarterly basis using the PBR System to ensure SDWA eligibility and assess public health results from DWSRF projects.</w:t>
      </w:r>
      <w:r>
        <w:t xml:space="preserve"> To reduce burden on state respondents, </w:t>
      </w:r>
      <w:r w:rsidR="00A61317">
        <w:t xml:space="preserve">the </w:t>
      </w:r>
      <w:r>
        <w:t>EPA connected these two online systems eliminate duplicative data entry and provides training on systems’ use.</w:t>
      </w:r>
    </w:p>
    <w:p w:rsidR="00B27361" w:rsidRPr="002B698E" w:rsidRDefault="00443C02" w:rsidP="000D4CFE">
      <w:pPr>
        <w:tabs>
          <w:tab w:val="left" w:pos="6405"/>
        </w:tabs>
        <w:autoSpaceDE w:val="0"/>
        <w:autoSpaceDN w:val="0"/>
        <w:adjustRightInd w:val="0"/>
      </w:pPr>
      <w:r>
        <w:tab/>
      </w:r>
    </w:p>
    <w:p w:rsidR="00B27361" w:rsidRPr="002B698E" w:rsidRDefault="00943C52" w:rsidP="0082340C">
      <w:pPr>
        <w:autoSpaceDE w:val="0"/>
        <w:autoSpaceDN w:val="0"/>
        <w:adjustRightInd w:val="0"/>
      </w:pPr>
      <w:r>
        <w:t>(ii)</w:t>
      </w:r>
      <w:r w:rsidR="00B27361" w:rsidRPr="002B698E">
        <w:t xml:space="preserve"> </w:t>
      </w:r>
      <w:r w:rsidR="0082340C">
        <w:tab/>
      </w:r>
      <w:r w:rsidR="00B27361" w:rsidRPr="000D4CFE">
        <w:rPr>
          <w:u w:val="single"/>
        </w:rPr>
        <w:t>Respondent Activities</w:t>
      </w:r>
    </w:p>
    <w:p w:rsidR="00B27361" w:rsidRPr="002B698E" w:rsidRDefault="0069387C" w:rsidP="00E958E7">
      <w:pPr>
        <w:autoSpaceDE w:val="0"/>
        <w:autoSpaceDN w:val="0"/>
        <w:adjustRightInd w:val="0"/>
      </w:pPr>
      <w:r>
        <w:t xml:space="preserve">As a condition of receiving </w:t>
      </w:r>
      <w:r w:rsidR="00CB2425">
        <w:t>f</w:t>
      </w:r>
      <w:r>
        <w:t xml:space="preserve">ederal funds, </w:t>
      </w:r>
      <w:r w:rsidR="00B27361" w:rsidRPr="002B698E">
        <w:t xml:space="preserve">State respondents </w:t>
      </w:r>
      <w:r>
        <w:t xml:space="preserve">must </w:t>
      </w:r>
      <w:r w:rsidR="00B27361" w:rsidRPr="002B698E">
        <w:t xml:space="preserve">prepare and submit the following </w:t>
      </w:r>
      <w:r>
        <w:t>documents</w:t>
      </w:r>
      <w:r w:rsidR="00B27361" w:rsidRPr="002B698E">
        <w:t xml:space="preserve"> to apply for </w:t>
      </w:r>
      <w:r w:rsidR="00CB2425">
        <w:t>f</w:t>
      </w:r>
      <w:r w:rsidR="00B27361" w:rsidRPr="002B698E">
        <w:t>ederal financial assistance:</w:t>
      </w:r>
    </w:p>
    <w:p w:rsidR="00B27361" w:rsidRPr="002B698E" w:rsidRDefault="00943C52" w:rsidP="00E958E7">
      <w:pPr>
        <w:numPr>
          <w:ilvl w:val="0"/>
          <w:numId w:val="6"/>
        </w:numPr>
        <w:autoSpaceDE w:val="0"/>
        <w:autoSpaceDN w:val="0"/>
        <w:adjustRightInd w:val="0"/>
        <w:ind w:left="1260"/>
      </w:pPr>
      <w:r>
        <w:t>IUP</w:t>
      </w:r>
      <w:r w:rsidR="00B27361" w:rsidRPr="002B698E">
        <w:t xml:space="preserve"> / Capitalization Grant Agreement;</w:t>
      </w:r>
    </w:p>
    <w:p w:rsidR="00B27361" w:rsidRPr="002B698E" w:rsidRDefault="00B27361" w:rsidP="00E958E7">
      <w:pPr>
        <w:numPr>
          <w:ilvl w:val="0"/>
          <w:numId w:val="6"/>
        </w:numPr>
        <w:autoSpaceDE w:val="0"/>
        <w:autoSpaceDN w:val="0"/>
        <w:adjustRightInd w:val="0"/>
        <w:ind w:left="1260"/>
      </w:pPr>
      <w:r w:rsidRPr="002B698E">
        <w:t>Biennial Report; and</w:t>
      </w:r>
    </w:p>
    <w:p w:rsidR="00B27361" w:rsidRPr="002B698E" w:rsidRDefault="0082340C" w:rsidP="00E958E7">
      <w:pPr>
        <w:numPr>
          <w:ilvl w:val="0"/>
          <w:numId w:val="6"/>
        </w:numPr>
        <w:autoSpaceDE w:val="0"/>
        <w:autoSpaceDN w:val="0"/>
        <w:adjustRightInd w:val="0"/>
        <w:ind w:left="1260"/>
      </w:pPr>
      <w:r>
        <w:t xml:space="preserve">Most recent </w:t>
      </w:r>
      <w:r w:rsidR="00943C52">
        <w:t>Audit</w:t>
      </w:r>
      <w:r>
        <w:t>.</w:t>
      </w:r>
    </w:p>
    <w:p w:rsidR="00881558" w:rsidRDefault="00881558" w:rsidP="0009098C">
      <w:pPr>
        <w:autoSpaceDE w:val="0"/>
        <w:autoSpaceDN w:val="0"/>
        <w:adjustRightInd w:val="0"/>
      </w:pPr>
    </w:p>
    <w:p w:rsidR="0009098C" w:rsidRDefault="0009098C" w:rsidP="0009098C">
      <w:pPr>
        <w:autoSpaceDE w:val="0"/>
        <w:autoSpaceDN w:val="0"/>
        <w:adjustRightInd w:val="0"/>
      </w:pPr>
      <w:r>
        <w:t xml:space="preserve">Per EPA Grants Policy Issuance (GPI) 14-02: </w:t>
      </w:r>
      <w:r w:rsidRPr="000D4CFE">
        <w:rPr>
          <w:i/>
        </w:rPr>
        <w:t>Enhancing Public Awareness of EPA Assistance Agreements</w:t>
      </w:r>
      <w:r>
        <w:t xml:space="preserve">, local respondents must publicize </w:t>
      </w:r>
      <w:r w:rsidR="00A61317">
        <w:t xml:space="preserve">the </w:t>
      </w:r>
      <w:r>
        <w:t xml:space="preserve">EPA’s involvement in project funding only up to the funding amount in each year’s capitalization grant. States have various options to meet this requirement. </w:t>
      </w:r>
    </w:p>
    <w:p w:rsidR="00B27361" w:rsidRPr="002B698E" w:rsidRDefault="00B27361" w:rsidP="000D4CFE">
      <w:pPr>
        <w:autoSpaceDE w:val="0"/>
        <w:autoSpaceDN w:val="0"/>
        <w:adjustRightInd w:val="0"/>
      </w:pPr>
    </w:p>
    <w:p w:rsidR="00B27361" w:rsidRPr="002B698E" w:rsidRDefault="00B27361">
      <w:pPr>
        <w:autoSpaceDE w:val="0"/>
        <w:autoSpaceDN w:val="0"/>
        <w:adjustRightInd w:val="0"/>
        <w:ind w:left="720"/>
      </w:pPr>
    </w:p>
    <w:p w:rsidR="00B27361" w:rsidRPr="002B698E" w:rsidRDefault="00B27361">
      <w:pPr>
        <w:autoSpaceDE w:val="0"/>
        <w:autoSpaceDN w:val="0"/>
        <w:adjustRightInd w:val="0"/>
        <w:rPr>
          <w:b/>
          <w:bCs/>
          <w:u w:val="single"/>
        </w:rPr>
      </w:pPr>
      <w:r w:rsidRPr="002B698E">
        <w:rPr>
          <w:b/>
          <w:bCs/>
        </w:rPr>
        <w:t xml:space="preserve">4. </w:t>
      </w:r>
      <w:r w:rsidR="0082340C">
        <w:rPr>
          <w:b/>
          <w:bCs/>
        </w:rPr>
        <w:tab/>
      </w:r>
      <w:r w:rsidR="0082340C">
        <w:rPr>
          <w:b/>
          <w:bCs/>
          <w:u w:val="single"/>
        </w:rPr>
        <w:t>THE INFORMATION COLLECTED – A</w:t>
      </w:r>
      <w:r w:rsidRPr="002B698E">
        <w:rPr>
          <w:b/>
          <w:bCs/>
          <w:u w:val="single"/>
        </w:rPr>
        <w:t xml:space="preserve">GENCY ACTIVITIES,   </w:t>
      </w:r>
    </w:p>
    <w:p w:rsidR="00B27361" w:rsidRPr="002B698E" w:rsidRDefault="00B27361" w:rsidP="0082340C">
      <w:pPr>
        <w:autoSpaceDE w:val="0"/>
        <w:autoSpaceDN w:val="0"/>
        <w:adjustRightInd w:val="0"/>
        <w:ind w:left="720"/>
        <w:rPr>
          <w:b/>
          <w:bCs/>
          <w:u w:val="single"/>
        </w:rPr>
      </w:pPr>
      <w:r w:rsidRPr="002B698E">
        <w:rPr>
          <w:b/>
          <w:bCs/>
          <w:u w:val="single"/>
        </w:rPr>
        <w:t xml:space="preserve">COLLECTION, METHODOLOGY, </w:t>
      </w:r>
      <w:smartTag w:uri="urn:schemas-microsoft-com:office:smarttags" w:element="stockticker">
        <w:r w:rsidRPr="002B698E">
          <w:rPr>
            <w:b/>
            <w:bCs/>
            <w:u w:val="single"/>
          </w:rPr>
          <w:t>AND</w:t>
        </w:r>
      </w:smartTag>
      <w:r w:rsidRPr="002B698E">
        <w:rPr>
          <w:b/>
          <w:bCs/>
          <w:u w:val="single"/>
        </w:rPr>
        <w:t xml:space="preserve"> INFORMATION MANAGEMENT</w:t>
      </w:r>
    </w:p>
    <w:p w:rsidR="00B27361" w:rsidRPr="002B698E" w:rsidRDefault="00B27361">
      <w:pPr>
        <w:autoSpaceDE w:val="0"/>
        <w:autoSpaceDN w:val="0"/>
        <w:adjustRightInd w:val="0"/>
        <w:rPr>
          <w:b/>
          <w:bCs/>
          <w:u w:val="single"/>
        </w:rPr>
      </w:pPr>
    </w:p>
    <w:p w:rsidR="00B27361" w:rsidRPr="002B698E" w:rsidRDefault="00B27361">
      <w:pPr>
        <w:autoSpaceDE w:val="0"/>
        <w:autoSpaceDN w:val="0"/>
        <w:adjustRightInd w:val="0"/>
      </w:pPr>
      <w:r w:rsidRPr="002B698E">
        <w:t xml:space="preserve">4 (a) </w:t>
      </w:r>
      <w:r w:rsidR="0082340C">
        <w:tab/>
      </w:r>
      <w:r w:rsidRPr="002B698E">
        <w:rPr>
          <w:u w:val="single"/>
        </w:rPr>
        <w:t>AGENCY ACTIVITIES</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The Agency reviews the submissions from the State and analyzes the data provided on the Capitalization Grant Agreement / </w:t>
      </w:r>
      <w:r w:rsidR="00943C52">
        <w:t>IUP</w:t>
      </w:r>
      <w:r w:rsidRPr="002B698E">
        <w:t xml:space="preserve"> in order to support the State’s management of the program. The Agency also reviews Biennial Reports and State </w:t>
      </w:r>
      <w:r w:rsidR="00943C52">
        <w:t>Audit</w:t>
      </w:r>
      <w:r w:rsidRPr="002B698E">
        <w:t xml:space="preserve">s from each State to ensure that the intended financial and programmatic objectives of the </w:t>
      </w:r>
      <w:r w:rsidR="0069387C">
        <w:t xml:space="preserve">national </w:t>
      </w:r>
      <w:r w:rsidRPr="002B698E">
        <w:t>program are being met.</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4 (b) </w:t>
      </w:r>
      <w:r w:rsidR="0082340C">
        <w:tab/>
      </w:r>
      <w:r w:rsidRPr="002B698E">
        <w:rPr>
          <w:u w:val="single"/>
        </w:rPr>
        <w:t xml:space="preserve">COLLECTION METHODOLOGY </w:t>
      </w:r>
      <w:smartTag w:uri="urn:schemas-microsoft-com:office:smarttags" w:element="stockticker">
        <w:r w:rsidRPr="002B698E">
          <w:rPr>
            <w:u w:val="single"/>
          </w:rPr>
          <w:t>AND</w:t>
        </w:r>
      </w:smartTag>
      <w:r w:rsidRPr="002B698E">
        <w:rPr>
          <w:u w:val="single"/>
        </w:rPr>
        <w:t xml:space="preserve"> MANAGEMENT</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The </w:t>
      </w:r>
      <w:r w:rsidRPr="0082340C">
        <w:rPr>
          <w:i/>
        </w:rPr>
        <w:t>DWSRF Management Manual</w:t>
      </w:r>
      <w:r w:rsidRPr="002B698E">
        <w:t xml:space="preserve"> includes a model grant agreement </w:t>
      </w:r>
      <w:r w:rsidR="00883182">
        <w:t>that</w:t>
      </w:r>
      <w:r w:rsidRPr="002B698E">
        <w:t xml:space="preserve"> draws from the C</w:t>
      </w:r>
      <w:r w:rsidR="0082340C">
        <w:t xml:space="preserve">lean </w:t>
      </w:r>
      <w:r w:rsidRPr="002B698E">
        <w:t>W</w:t>
      </w:r>
      <w:r w:rsidR="0082340C">
        <w:t xml:space="preserve">ater </w:t>
      </w:r>
      <w:r w:rsidRPr="002B698E">
        <w:t>S</w:t>
      </w:r>
      <w:r w:rsidR="0082340C">
        <w:t xml:space="preserve">tate </w:t>
      </w:r>
      <w:r w:rsidRPr="002B698E">
        <w:t>R</w:t>
      </w:r>
      <w:r w:rsidR="0082340C">
        <w:t xml:space="preserve">evolving </w:t>
      </w:r>
      <w:r w:rsidRPr="002B698E">
        <w:t>F</w:t>
      </w:r>
      <w:r w:rsidR="0082340C">
        <w:t>und (CWSRF)</w:t>
      </w:r>
      <w:r w:rsidRPr="002B698E">
        <w:t xml:space="preserve"> Grant Agreement. Us</w:t>
      </w:r>
      <w:r w:rsidR="0069387C">
        <w:t>ing</w:t>
      </w:r>
      <w:r w:rsidRPr="002B698E">
        <w:t xml:space="preserve"> this </w:t>
      </w:r>
      <w:r w:rsidR="0069387C">
        <w:t>example should</w:t>
      </w:r>
      <w:r w:rsidRPr="002B698E">
        <w:t xml:space="preserve"> reduce the information burden on States and EPA Regions.</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Section 1452(b) of the SDWA requires States to prepare a plan identifying the intended uses of funds in the DWSRF program to meet the objectives of the SDWA and further the goal of protecting public health. The State must prepare the IUP, after providing for public review and comment, and submit it to the Regional Administrator as part of its Capitalization Grant Application. In the IUP, the State must include specific details on how it will use all funds available, </w:t>
      </w:r>
      <w:r w:rsidR="00883182">
        <w:t xml:space="preserve">including </w:t>
      </w:r>
      <w:r w:rsidRPr="002B698E">
        <w:t xml:space="preserve">both funds allocated to the Fund and those that will be allocated to the set-aside programs. In addition to uses for the Fund, </w:t>
      </w:r>
      <w:r w:rsidR="00883182">
        <w:t xml:space="preserve">specified percentages of the </w:t>
      </w:r>
      <w:r w:rsidRPr="002B698E">
        <w:t xml:space="preserve">Capitalization </w:t>
      </w:r>
      <w:r w:rsidRPr="002B698E">
        <w:lastRenderedPageBreak/>
        <w:t>Grant funds can be used as set-asides to: (1) administer the DWSRF program and provide technical assistance to public water systems (</w:t>
      </w:r>
      <w:r w:rsidR="00883182">
        <w:t xml:space="preserve">max </w:t>
      </w:r>
      <w:r w:rsidRPr="002B698E">
        <w:t>4</w:t>
      </w:r>
      <w:r w:rsidR="00943C52">
        <w:t xml:space="preserve"> percent</w:t>
      </w:r>
      <w:r w:rsidRPr="002B698E">
        <w:t>); (2) supplement State drinking water management programs (</w:t>
      </w:r>
      <w:r w:rsidR="00883182">
        <w:t xml:space="preserve">max </w:t>
      </w:r>
      <w:r w:rsidRPr="002B698E">
        <w:t>10</w:t>
      </w:r>
      <w:r w:rsidR="00943C52">
        <w:t xml:space="preserve"> percent</w:t>
      </w:r>
      <w:r w:rsidRPr="002B698E">
        <w:t>); (3) provide technical assistance to small systems (</w:t>
      </w:r>
      <w:r w:rsidR="00883182">
        <w:t xml:space="preserve">max </w:t>
      </w:r>
      <w:r w:rsidRPr="002B698E">
        <w:t>2</w:t>
      </w:r>
      <w:r w:rsidR="00943C52">
        <w:t xml:space="preserve"> percent</w:t>
      </w:r>
      <w:r w:rsidRPr="002B698E">
        <w:t>); and (4) provide assistance for source water protection and capacity development activities (</w:t>
      </w:r>
      <w:r w:rsidR="00883182">
        <w:t xml:space="preserve">max </w:t>
      </w:r>
      <w:r w:rsidRPr="002B698E">
        <w:t>15</w:t>
      </w:r>
      <w:r w:rsidR="00943C52">
        <w:t xml:space="preserve"> percent</w:t>
      </w:r>
      <w:r w:rsidRPr="002B698E">
        <w:t xml:space="preserve">). A State </w:t>
      </w:r>
      <w:r w:rsidR="00756EB7">
        <w:t>has the option to</w:t>
      </w:r>
      <w:r w:rsidR="0082340C">
        <w:t xml:space="preserve"> develop the IUP in a two-</w:t>
      </w:r>
      <w:r w:rsidRPr="002B698E">
        <w:t>part process with one part identifying the distribution and uses of the funds among the various set-asides and the other part dealing with project assistance from the Fund. The two</w:t>
      </w:r>
      <w:r w:rsidR="00965F31">
        <w:t>-</w:t>
      </w:r>
      <w:r w:rsidRPr="002B698E">
        <w:t>part process allow</w:t>
      </w:r>
      <w:r w:rsidR="0069387C">
        <w:t>s</w:t>
      </w:r>
      <w:r w:rsidRPr="002B698E">
        <w:t xml:space="preserve"> States the flexibility to submit a Capitalization Grant Application for a portion of the funds before it complete</w:t>
      </w:r>
      <w:r w:rsidR="00756EB7">
        <w:t>s</w:t>
      </w:r>
      <w:r w:rsidRPr="002B698E">
        <w:t xml:space="preserve"> all of its specific funding decisions. In this situation, a State would have to conduct two rounds of public review </w:t>
      </w:r>
      <w:r w:rsidR="0082340C">
        <w:t>and comment. One round addresses</w:t>
      </w:r>
      <w:r w:rsidRPr="002B698E">
        <w:t xml:space="preserve"> the use of set-aside funding</w:t>
      </w:r>
      <w:r w:rsidR="0082340C">
        <w:t>, and the other deals</w:t>
      </w:r>
      <w:r w:rsidRPr="002B698E">
        <w:t xml:space="preserve"> with assistance for projects on the project priority list. </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Under Section 1452(b), the IUP must contain a list of projects, description of the projects, expected terms of financial assistance, size of the community served, criteria and methods established for the distribution of the funds, and a description of the financial status of the Fund and the short-term and long-term goals of the Fund. The IUP should provide to the maximum extent practicable: (1) priority for the use of the funds to be given to projects that address the most serious risk to human health; (2) priority for projects that are necessary to ensure compliance with the requirements of the SDWA; and (3) priority for projects that assist drinking water systems most in need, on a per household basis, according to State affordability criteria.</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Under Section 1452, States are required to provide assurances in the Capitalization Grant Agreement / IUP on how it will comply with requirements. Some of the fifteen assurances that follow require the State to simply agree or certify in the grant application that it will comply with them. Some of the fifteen assurances require the State to furnish documentation on the procedures by which the State plans to ensure compliance with them. The State must include this documentation with its Capitalization Grant Application, except when noted. The following fifteen assurances are necessary to establish a loan fund that complies with </w:t>
      </w:r>
      <w:r w:rsidR="00CB2425">
        <w:t>f</w:t>
      </w:r>
      <w:r w:rsidRPr="002B698E">
        <w:t>ederal requirements:</w:t>
      </w:r>
    </w:p>
    <w:p w:rsidR="00B27361" w:rsidRPr="002B698E" w:rsidRDefault="00B27361">
      <w:pPr>
        <w:autoSpaceDE w:val="0"/>
        <w:autoSpaceDN w:val="0"/>
        <w:adjustRightInd w:val="0"/>
      </w:pPr>
    </w:p>
    <w:p w:rsidR="00B27361" w:rsidRPr="002B698E" w:rsidRDefault="00B27361" w:rsidP="00B90AEA">
      <w:pPr>
        <w:autoSpaceDE w:val="0"/>
        <w:autoSpaceDN w:val="0"/>
        <w:adjustRightInd w:val="0"/>
        <w:ind w:left="720" w:hanging="360"/>
      </w:pPr>
      <w:r w:rsidRPr="002B698E">
        <w:t xml:space="preserve">1. </w:t>
      </w:r>
      <w:r w:rsidR="00B90AEA">
        <w:tab/>
      </w:r>
      <w:r w:rsidRPr="002B698E">
        <w:t>Section 1452(a)(1)(B)</w:t>
      </w:r>
      <w:r w:rsidR="0082340C">
        <w:t xml:space="preserve"> – </w:t>
      </w:r>
      <w:r w:rsidRPr="002B698E">
        <w:t xml:space="preserve">State certification that </w:t>
      </w:r>
      <w:r w:rsidR="0082340C">
        <w:t>the state</w:t>
      </w:r>
      <w:r w:rsidRPr="002B698E">
        <w:t xml:space="preserve"> has the authority to establish a DWSRF program and that it may legally bind itself to the terms of the Capitalization Grant Agreement.</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2. </w:t>
      </w:r>
      <w:r w:rsidR="00B90AEA">
        <w:tab/>
      </w:r>
      <w:r w:rsidRPr="002B698E">
        <w:t xml:space="preserve">Section 1452(a)(1)(G) </w:t>
      </w:r>
      <w:r w:rsidR="0082340C">
        <w:t xml:space="preserve">– </w:t>
      </w:r>
      <w:r w:rsidRPr="002B698E">
        <w:t>Assurance that the State is eligible to receive full allotment of funds by complying with the requirements of capacity development and operator certification provisions.</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3. </w:t>
      </w:r>
      <w:r w:rsidR="00B90AEA">
        <w:tab/>
      </w:r>
      <w:r w:rsidRPr="002B698E">
        <w:t xml:space="preserve">Section 1452(g)(3) </w:t>
      </w:r>
      <w:r w:rsidR="0082340C">
        <w:t xml:space="preserve">– </w:t>
      </w:r>
      <w:r w:rsidRPr="002B698E">
        <w:t>Assurance that the State will comply with State statutes and regulations.</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4. </w:t>
      </w:r>
      <w:r w:rsidR="00B90AEA">
        <w:tab/>
      </w:r>
      <w:r w:rsidRPr="002B698E">
        <w:t xml:space="preserve">Section 1452(a)(1) </w:t>
      </w:r>
      <w:r w:rsidR="0082340C">
        <w:t xml:space="preserve">– </w:t>
      </w:r>
      <w:r w:rsidRPr="002B698E">
        <w:t xml:space="preserve">Assurance that the State has the technical capability to operate the </w:t>
      </w:r>
      <w:r w:rsidR="0082340C">
        <w:t xml:space="preserve">DWSRF </w:t>
      </w:r>
      <w:r w:rsidRPr="002B698E">
        <w:t>program.</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5. </w:t>
      </w:r>
      <w:r w:rsidR="00B90AEA">
        <w:tab/>
      </w:r>
      <w:r w:rsidRPr="002B698E">
        <w:t xml:space="preserve">Section 1452(g)(3) </w:t>
      </w:r>
      <w:r w:rsidR="0082340C">
        <w:t xml:space="preserve">– </w:t>
      </w:r>
      <w:r w:rsidRPr="002B698E">
        <w:t xml:space="preserve">Assurance that the State will accept capitalization grant funds in accordance with a payment schedule and the State will receive </w:t>
      </w:r>
      <w:r w:rsidR="00CB2425">
        <w:t>f</w:t>
      </w:r>
      <w:r w:rsidRPr="002B698E">
        <w:t xml:space="preserve">ederal funds in </w:t>
      </w:r>
      <w:r w:rsidRPr="002B698E">
        <w:lastRenderedPageBreak/>
        <w:t>accordance with the provisions of the EPA Automated Clearing House or Automated Standard Application for Payments.</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6. </w:t>
      </w:r>
      <w:r w:rsidR="00B90AEA">
        <w:tab/>
      </w:r>
      <w:r w:rsidRPr="002B698E">
        <w:t xml:space="preserve">Section 1452(a)(1)(B) </w:t>
      </w:r>
      <w:r w:rsidR="0082340C">
        <w:t xml:space="preserve">– </w:t>
      </w:r>
      <w:r w:rsidRPr="002B698E">
        <w:t>Assurance that the State will deposit all capitalization grant funds in the Fund, including repayment of principal and interest and any other funds, except for those portions of the grant that the State intends to use for set-aside purposes authorized under the SDWA.</w:t>
      </w:r>
    </w:p>
    <w:p w:rsidR="0082340C" w:rsidRDefault="0082340C"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7. </w:t>
      </w:r>
      <w:r w:rsidR="00B90AEA">
        <w:tab/>
      </w:r>
      <w:r w:rsidRPr="002B698E">
        <w:t xml:space="preserve">Section 1452(e) </w:t>
      </w:r>
      <w:r w:rsidR="0082340C">
        <w:t xml:space="preserve">– </w:t>
      </w:r>
      <w:r w:rsidRPr="002B698E">
        <w:t>Assurance the State will deposit an amount at least equal to 20 percent of the capitalization grant (State match) in the Fund and deposit any required match for set-aside activities in a non-project account.</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8. </w:t>
      </w:r>
      <w:r w:rsidR="00B90AEA">
        <w:tab/>
      </w:r>
      <w:r w:rsidRPr="002B698E">
        <w:t xml:space="preserve">Section 1452(g)(2) </w:t>
      </w:r>
      <w:r w:rsidR="0082340C">
        <w:t xml:space="preserve">– </w:t>
      </w:r>
      <w:r w:rsidRPr="002B698E">
        <w:t>Assurance that the State will provide a dollar for dollar match up to 10</w:t>
      </w:r>
      <w:r w:rsidR="00943C52">
        <w:t xml:space="preserve"> percent</w:t>
      </w:r>
      <w:r w:rsidRPr="002B698E">
        <w:t xml:space="preserve"> of the funds the State uses for the State program management set-aside.</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9. </w:t>
      </w:r>
      <w:r w:rsidR="00B90AEA">
        <w:tab/>
      </w:r>
      <w:r w:rsidRPr="002B698E">
        <w:t xml:space="preserve">Section 1452(g)(3) </w:t>
      </w:r>
      <w:r w:rsidR="0082340C">
        <w:t xml:space="preserve">– </w:t>
      </w:r>
      <w:r w:rsidRPr="002B698E">
        <w:t>Assurance that the State will use generally accepted accounting principles. The State must agree to establish fiscal controls and accounting principles, as promulgated by the Governmental Accounting Standards Board, that are sufficient to account for and report DWSRF program activities.</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10. Section 1452(f)(1)(C) </w:t>
      </w:r>
      <w:r w:rsidR="0082340C">
        <w:t xml:space="preserve">– </w:t>
      </w:r>
      <w:r w:rsidRPr="002B698E">
        <w:t>Assurance that the State will adopt policies and procedures to assure that borrowers have a dedicated source of revenue (or in the case of privately owned systems, assure that there is adequate security) of all loans to be repaid.</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11. Section 1452(g)(3)(A) </w:t>
      </w:r>
      <w:r w:rsidR="0082340C">
        <w:t xml:space="preserve">– </w:t>
      </w:r>
      <w:r w:rsidRPr="002B698E">
        <w:t>Assurance that the State will disburse loans as efficiently as possible and in an expeditious and timely manner.</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12. Section 1452(g)(3)(A) </w:t>
      </w:r>
      <w:r w:rsidR="0082340C">
        <w:t xml:space="preserve">– </w:t>
      </w:r>
      <w:r w:rsidRPr="002B698E">
        <w:t>Assurance that the State</w:t>
      </w:r>
      <w:r w:rsidR="00990549">
        <w:t xml:space="preserve"> will</w:t>
      </w:r>
      <w:r w:rsidRPr="002B698E">
        <w:t xml:space="preserve"> commit and expend all DWSRF Fund monies as efficiently as possible and </w:t>
      </w:r>
      <w:r w:rsidR="00990549">
        <w:t>will</w:t>
      </w:r>
      <w:r w:rsidRPr="002B698E">
        <w:t xml:space="preserve"> enter into binding commitments with recipients of Fund assistance equal to the combined amount of each quarterly grant payment and match within one year of the grant payment.</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13. Section 1452(b) </w:t>
      </w:r>
      <w:r w:rsidR="0082340C">
        <w:t xml:space="preserve">– </w:t>
      </w:r>
      <w:r w:rsidRPr="002B698E">
        <w:t>Assurance that funds will be used in accordance with the IUP. The State must agree to expend DWSRF program funds in accordance with an IUP that has undergone public review and comment.</w:t>
      </w:r>
    </w:p>
    <w:p w:rsidR="00B27361" w:rsidRPr="002B698E" w:rsidRDefault="00B27361"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14. Section 1452(g)(4) </w:t>
      </w:r>
      <w:r w:rsidR="0082340C">
        <w:t xml:space="preserve">– </w:t>
      </w:r>
      <w:r w:rsidRPr="002B698E">
        <w:t xml:space="preserve">Assurance that the State will provide </w:t>
      </w:r>
      <w:r w:rsidR="00A61317">
        <w:t xml:space="preserve">the </w:t>
      </w:r>
      <w:r w:rsidRPr="002B698E">
        <w:t xml:space="preserve">EPA with a Biennial Report, which includes the most recent </w:t>
      </w:r>
      <w:r w:rsidR="00943C52">
        <w:t>Audit</w:t>
      </w:r>
      <w:r w:rsidRPr="002B698E">
        <w:t xml:space="preserve"> of the Fund and the entire State allotment.</w:t>
      </w:r>
    </w:p>
    <w:p w:rsidR="007F4745" w:rsidRDefault="007F4745" w:rsidP="00B90AEA">
      <w:pPr>
        <w:autoSpaceDE w:val="0"/>
        <w:autoSpaceDN w:val="0"/>
        <w:adjustRightInd w:val="0"/>
        <w:ind w:left="720" w:hanging="360"/>
      </w:pPr>
    </w:p>
    <w:p w:rsidR="00B27361" w:rsidRPr="002B698E" w:rsidRDefault="00B27361" w:rsidP="00B90AEA">
      <w:pPr>
        <w:autoSpaceDE w:val="0"/>
        <w:autoSpaceDN w:val="0"/>
        <w:adjustRightInd w:val="0"/>
        <w:ind w:left="720" w:hanging="360"/>
      </w:pPr>
      <w:r w:rsidRPr="002B698E">
        <w:t xml:space="preserve">15. Section 1452(g)(3) </w:t>
      </w:r>
      <w:r w:rsidR="0082340C">
        <w:t xml:space="preserve">– </w:t>
      </w:r>
      <w:r w:rsidRPr="002B698E">
        <w:t xml:space="preserve">Assurance that the State will comply with all </w:t>
      </w:r>
      <w:r w:rsidR="00CB2425">
        <w:t>f</w:t>
      </w:r>
      <w:r w:rsidRPr="002B698E">
        <w:t>ederal crosscutting authorities.</w:t>
      </w:r>
    </w:p>
    <w:p w:rsidR="00B27361" w:rsidRPr="002B698E" w:rsidRDefault="00B27361">
      <w:pPr>
        <w:autoSpaceDE w:val="0"/>
        <w:autoSpaceDN w:val="0"/>
        <w:adjustRightInd w:val="0"/>
        <w:ind w:left="720"/>
      </w:pPr>
    </w:p>
    <w:p w:rsidR="00B27361" w:rsidRPr="002B698E" w:rsidRDefault="00B27361">
      <w:pPr>
        <w:autoSpaceDE w:val="0"/>
        <w:autoSpaceDN w:val="0"/>
        <w:adjustRightInd w:val="0"/>
      </w:pPr>
      <w:r w:rsidRPr="002B698E">
        <w:t>State</w:t>
      </w:r>
      <w:r w:rsidR="00990549">
        <w:t>s</w:t>
      </w:r>
      <w:r w:rsidRPr="002B698E">
        <w:t xml:space="preserve"> must also assure tha</w:t>
      </w:r>
      <w:r w:rsidR="0069387C">
        <w:t xml:space="preserve">t, as a condition of receiving </w:t>
      </w:r>
      <w:r w:rsidR="00CB2425">
        <w:t>f</w:t>
      </w:r>
      <w:r w:rsidRPr="002B698E">
        <w:t>ederal financial assistance, they will comply with the provisions of the Single Audit Act of 1996.</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lastRenderedPageBreak/>
        <w:t xml:space="preserve">Section 1452 requires the State to prepare a Capitalization Grant Agreement, which is the principal instrument by which the State commits to manage its revolving fund program and to ensure that it conforms </w:t>
      </w:r>
      <w:r w:rsidR="003175CA" w:rsidRPr="002B698E">
        <w:t>to</w:t>
      </w:r>
      <w:r w:rsidRPr="002B698E">
        <w:t xml:space="preserve"> the requirements of the SDWA Amendments of 1996. The Capitalization Grant Agreement contains, or incorporates by reference, the following parts of the agreement: the IUP; the application materials; the payment schedule; required certifications; the Operating Agreement, if used; and other documentation required by the Regional Administrator. In addition to these requirements, the Capitalization Grant Agreement will define the types of oversight responsibilities that are required to determine compliance with Section 1452. </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In order to lessen the burden of the annual Capitalization Grant Application process, the State and </w:t>
      </w:r>
      <w:r w:rsidR="00A61317">
        <w:t xml:space="preserve">the </w:t>
      </w:r>
      <w:r w:rsidRPr="002B698E">
        <w:t xml:space="preserve">EPA may develop an Operating Agreement that covers parts of the DWSRF program </w:t>
      </w:r>
      <w:r w:rsidR="00990549">
        <w:t>that</w:t>
      </w:r>
      <w:r w:rsidRPr="002B698E">
        <w:t xml:space="preserve"> are not expected to change from year to year. </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Section 1452(g)(4) requires the State to submit a Biennial Report to the Regional Administrator reporting on its </w:t>
      </w:r>
      <w:r w:rsidR="00990549">
        <w:t xml:space="preserve">program </w:t>
      </w:r>
      <w:r w:rsidRPr="002B698E">
        <w:t xml:space="preserve">activities, including the findings of </w:t>
      </w:r>
      <w:r w:rsidR="00990549">
        <w:t>the</w:t>
      </w:r>
      <w:r w:rsidRPr="002B698E">
        <w:t xml:space="preserve"> most recent </w:t>
      </w:r>
      <w:r w:rsidR="00943C52">
        <w:t>Audit</w:t>
      </w:r>
      <w:r w:rsidRPr="002B698E">
        <w:t xml:space="preserve"> of the Fund and the entire State allotment. The report should be submitted according to the schedule established in the grant agreement. The report will contain detailed information on progress toward meeting the goals and objectives of the previous two fiscal years as stated in the IUP and grant agreement. The report will provide information on actual assistance provided, including: loan recipients; loan amounts; loan terms; project categories of eligible cost; and similar details on other forms of assistance. The information is provided in a format and a manner that is consistent with the needs of the EPA Regional Office. The report will describe the extent to which the existing DWSRF financial operating policies, alone or in combination with other State financial assistance programs, will provide for the long-term fiscal health of the Fund, attain and maintain compliance with the SDWA, and carry out other provisions specified in the legislation.</w:t>
      </w:r>
    </w:p>
    <w:p w:rsidR="00B27361" w:rsidRPr="002B698E" w:rsidRDefault="00B27361">
      <w:pPr>
        <w:autoSpaceDE w:val="0"/>
        <w:autoSpaceDN w:val="0"/>
        <w:adjustRightInd w:val="0"/>
      </w:pPr>
    </w:p>
    <w:p w:rsidR="00B27361" w:rsidRDefault="00B27361">
      <w:pPr>
        <w:autoSpaceDE w:val="0"/>
        <w:autoSpaceDN w:val="0"/>
        <w:adjustRightInd w:val="0"/>
      </w:pPr>
      <w:r w:rsidRPr="002B698E">
        <w:t xml:space="preserve">The State must submit detailed financial statements as part of the Biennial Report. At a minimum, </w:t>
      </w:r>
      <w:r w:rsidR="00990549">
        <w:t xml:space="preserve">this should include </w:t>
      </w:r>
      <w:r w:rsidRPr="002B698E">
        <w:t xml:space="preserve">the financial statements and footnotes required under </w:t>
      </w:r>
      <w:r w:rsidR="00990549">
        <w:t>generally accepted accounting principles (</w:t>
      </w:r>
      <w:r w:rsidRPr="002B698E">
        <w:t>GAAP</w:t>
      </w:r>
      <w:r w:rsidR="00990549">
        <w:t>)</w:t>
      </w:r>
      <w:r w:rsidRPr="002B698E">
        <w:t xml:space="preserve"> to present fairly the financial condition and results of operation. These financial statements will measure and demonstrate the DWSRF program’s ability to maintain its contributed capital. The financial report will follow generally accepted accounting principles and will follow enterprise fund reporting standards. Financial information from financial reports may be used in the DWSRF National Information Management System</w:t>
      </w:r>
      <w:r w:rsidR="002750F1">
        <w:t xml:space="preserve"> or the Project &amp; Benefits Reporting System</w:t>
      </w:r>
      <w:r w:rsidRPr="002B698E">
        <w:t>.</w:t>
      </w:r>
    </w:p>
    <w:p w:rsidR="007F4745" w:rsidRPr="002B698E" w:rsidRDefault="007F4745">
      <w:pPr>
        <w:autoSpaceDE w:val="0"/>
        <w:autoSpaceDN w:val="0"/>
        <w:adjustRightInd w:val="0"/>
      </w:pPr>
    </w:p>
    <w:p w:rsidR="00B27361" w:rsidRDefault="00B27361">
      <w:pPr>
        <w:autoSpaceDE w:val="0"/>
        <w:autoSpaceDN w:val="0"/>
        <w:adjustRightInd w:val="0"/>
      </w:pPr>
      <w:r w:rsidRPr="002B698E">
        <w:t>In addition, the State must address in its Biennial Report that it has:</w:t>
      </w:r>
    </w:p>
    <w:p w:rsidR="00990549" w:rsidRPr="002B698E" w:rsidRDefault="00990549">
      <w:pPr>
        <w:autoSpaceDE w:val="0"/>
        <w:autoSpaceDN w:val="0"/>
        <w:adjustRightInd w:val="0"/>
      </w:pPr>
    </w:p>
    <w:p w:rsidR="00B27361" w:rsidRPr="002B698E" w:rsidRDefault="0069387C">
      <w:pPr>
        <w:numPr>
          <w:ilvl w:val="0"/>
          <w:numId w:val="7"/>
        </w:numPr>
        <w:autoSpaceDE w:val="0"/>
        <w:autoSpaceDN w:val="0"/>
        <w:adjustRightInd w:val="0"/>
      </w:pPr>
      <w:r>
        <w:t>R</w:t>
      </w:r>
      <w:r w:rsidR="00965F31">
        <w:t>eviewed all DWSRF program-</w:t>
      </w:r>
      <w:r w:rsidR="00B27361" w:rsidRPr="002B698E">
        <w:t>funded projects and activities in accordance with the approved State Environmental Review Procedures;</w:t>
      </w:r>
    </w:p>
    <w:p w:rsidR="00B27361" w:rsidRPr="002B698E" w:rsidRDefault="0069387C">
      <w:pPr>
        <w:numPr>
          <w:ilvl w:val="0"/>
          <w:numId w:val="7"/>
        </w:numPr>
        <w:autoSpaceDE w:val="0"/>
        <w:autoSpaceDN w:val="0"/>
        <w:adjustRightInd w:val="0"/>
      </w:pPr>
      <w:r>
        <w:t>D</w:t>
      </w:r>
      <w:r w:rsidR="00B27361" w:rsidRPr="002B698E">
        <w:t xml:space="preserve">eposited its match on or before the date </w:t>
      </w:r>
      <w:r w:rsidR="00990549">
        <w:t>when</w:t>
      </w:r>
      <w:r w:rsidR="00B27361" w:rsidRPr="002B698E">
        <w:t xml:space="preserve"> each grant payment was made; </w:t>
      </w:r>
    </w:p>
    <w:p w:rsidR="00B27361" w:rsidRPr="002B698E" w:rsidRDefault="0069387C">
      <w:pPr>
        <w:numPr>
          <w:ilvl w:val="0"/>
          <w:numId w:val="7"/>
        </w:numPr>
        <w:autoSpaceDE w:val="0"/>
        <w:autoSpaceDN w:val="0"/>
        <w:adjustRightInd w:val="0"/>
      </w:pPr>
      <w:r>
        <w:t>M</w:t>
      </w:r>
      <w:r w:rsidR="00B27361" w:rsidRPr="002B698E">
        <w:t>ade binding commitments in an amount equal to the amount of each grant payment and accompanying State match that is deposited into the Fund within one year after receiving the grant payment;</w:t>
      </w:r>
    </w:p>
    <w:p w:rsidR="00B27361" w:rsidRPr="002B698E" w:rsidRDefault="0069387C">
      <w:pPr>
        <w:numPr>
          <w:ilvl w:val="0"/>
          <w:numId w:val="7"/>
        </w:numPr>
        <w:autoSpaceDE w:val="0"/>
        <w:autoSpaceDN w:val="0"/>
        <w:adjustRightInd w:val="0"/>
      </w:pPr>
      <w:r>
        <w:t>M</w:t>
      </w:r>
      <w:r w:rsidR="00B27361" w:rsidRPr="002B698E">
        <w:t>anaged the Fund in a fiscally prudent manner and adopted policies and processes which promote the long-term financial health of the Fund;</w:t>
      </w:r>
    </w:p>
    <w:p w:rsidR="00B27361" w:rsidRPr="002B698E" w:rsidRDefault="0069387C">
      <w:pPr>
        <w:numPr>
          <w:ilvl w:val="0"/>
          <w:numId w:val="7"/>
        </w:numPr>
        <w:autoSpaceDE w:val="0"/>
        <w:autoSpaceDN w:val="0"/>
        <w:adjustRightInd w:val="0"/>
      </w:pPr>
      <w:r>
        <w:lastRenderedPageBreak/>
        <w:t>C</w:t>
      </w:r>
      <w:r w:rsidR="00B27361" w:rsidRPr="002B698E">
        <w:t xml:space="preserve">omplied with Agency grant regulations (40 </w:t>
      </w:r>
      <w:smartTag w:uri="urn:schemas-microsoft-com:office:smarttags" w:element="stockticker">
        <w:r w:rsidR="00B27361" w:rsidRPr="002B698E">
          <w:t>CFR</w:t>
        </w:r>
      </w:smartTag>
      <w:r w:rsidR="00B27361" w:rsidRPr="002B698E">
        <w:t xml:space="preserve"> Part 31) and specific conditions of the grant;</w:t>
      </w:r>
    </w:p>
    <w:p w:rsidR="00B27361" w:rsidRPr="002B698E" w:rsidRDefault="0069387C">
      <w:pPr>
        <w:numPr>
          <w:ilvl w:val="0"/>
          <w:numId w:val="7"/>
        </w:numPr>
        <w:autoSpaceDE w:val="0"/>
        <w:autoSpaceDN w:val="0"/>
        <w:adjustRightInd w:val="0"/>
      </w:pPr>
      <w:r>
        <w:t>C</w:t>
      </w:r>
      <w:r w:rsidR="00B27361" w:rsidRPr="002B698E">
        <w:t xml:space="preserve">omplied with </w:t>
      </w:r>
      <w:r w:rsidR="00CB2425">
        <w:t>f</w:t>
      </w:r>
      <w:r w:rsidR="00B27361" w:rsidRPr="002B698E">
        <w:t xml:space="preserve">ederal cross-cutting authorities that apply to the State as a </w:t>
      </w:r>
      <w:r w:rsidR="00CB2425">
        <w:t>f</w:t>
      </w:r>
      <w:r w:rsidR="00B27361" w:rsidRPr="002B698E">
        <w:t xml:space="preserve">ederal grantee and those </w:t>
      </w:r>
      <w:r w:rsidR="00990549">
        <w:t>that</w:t>
      </w:r>
      <w:r w:rsidR="00B27361" w:rsidRPr="002B698E">
        <w:t xml:space="preserve"> flow through to assistance recipients;</w:t>
      </w:r>
    </w:p>
    <w:p w:rsidR="00B27361" w:rsidRPr="002B698E" w:rsidRDefault="0069387C">
      <w:pPr>
        <w:numPr>
          <w:ilvl w:val="0"/>
          <w:numId w:val="7"/>
        </w:numPr>
        <w:autoSpaceDE w:val="0"/>
        <w:autoSpaceDN w:val="0"/>
        <w:adjustRightInd w:val="0"/>
      </w:pPr>
      <w:r>
        <w:t>P</w:t>
      </w:r>
      <w:r w:rsidR="00B27361" w:rsidRPr="002B698E">
        <w:t>rovided assistance only to eligible water systems and for eligible purposes under Section 1452; and</w:t>
      </w:r>
    </w:p>
    <w:p w:rsidR="00B27361" w:rsidRPr="002B698E" w:rsidRDefault="0069387C">
      <w:pPr>
        <w:numPr>
          <w:ilvl w:val="0"/>
          <w:numId w:val="7"/>
        </w:numPr>
        <w:autoSpaceDE w:val="0"/>
        <w:autoSpaceDN w:val="0"/>
        <w:adjustRightInd w:val="0"/>
      </w:pPr>
      <w:r>
        <w:t>F</w:t>
      </w:r>
      <w:r w:rsidR="00B27361" w:rsidRPr="002B698E">
        <w:t>unded only the highest priority projects listed on the IUP, according to their priority and readiness to proceed, and complied with any procedures for bypassing priority projects outlined in the IUP.</w:t>
      </w:r>
    </w:p>
    <w:p w:rsidR="00B27361" w:rsidRPr="002B698E" w:rsidRDefault="00B27361">
      <w:pPr>
        <w:autoSpaceDE w:val="0"/>
        <w:autoSpaceDN w:val="0"/>
        <w:adjustRightInd w:val="0"/>
        <w:ind w:left="360"/>
      </w:pPr>
    </w:p>
    <w:p w:rsidR="00B27361" w:rsidRPr="002B698E" w:rsidRDefault="00B27361">
      <w:pPr>
        <w:autoSpaceDE w:val="0"/>
        <w:autoSpaceDN w:val="0"/>
        <w:adjustRightInd w:val="0"/>
      </w:pPr>
      <w:r w:rsidRPr="002B698E">
        <w:t xml:space="preserve">States are encouraged to conduct an annual financial and compliance audit of the DWSRF program and its operations. The State may designate an independent auditor of the State to carry out its audit or may contractually procure the service. Under Section 1452(g)(4), the Administrator shall periodically audit all State loan funds established by, and other amounts allotted to, the States pursuant to Section 1452 in accordance with procedures established by the Comptroller General. If needed, a financial and compliance audit of the DWSRF program for a State will be conducted by the Office of </w:t>
      </w:r>
      <w:r w:rsidR="00990549">
        <w:t xml:space="preserve">the </w:t>
      </w:r>
      <w:r w:rsidRPr="002B698E">
        <w:t>Inspector General (OIG). The OIG has developed an audit guide for SRFs, which should reduce the burden on States and improve the efficiency of EPA reviews.</w:t>
      </w:r>
    </w:p>
    <w:p w:rsidR="00B27361" w:rsidRPr="002B698E" w:rsidRDefault="00B27361">
      <w:pPr>
        <w:autoSpaceDE w:val="0"/>
        <w:autoSpaceDN w:val="0"/>
        <w:adjustRightInd w:val="0"/>
      </w:pPr>
    </w:p>
    <w:p w:rsidR="00B27361" w:rsidRDefault="00B27361">
      <w:pPr>
        <w:autoSpaceDE w:val="0"/>
        <w:autoSpaceDN w:val="0"/>
        <w:adjustRightInd w:val="0"/>
      </w:pPr>
      <w:r w:rsidRPr="002B698E">
        <w:t>Section</w:t>
      </w:r>
      <w:r w:rsidR="00990549">
        <w:t>s</w:t>
      </w:r>
      <w:r w:rsidRPr="002B698E">
        <w:t xml:space="preserve"> 1452(a)(2) and 1452(f) </w:t>
      </w:r>
      <w:r w:rsidR="00990549">
        <w:t xml:space="preserve">of SDWA </w:t>
      </w:r>
      <w:r w:rsidRPr="002B698E">
        <w:t>outline the eligibilities under the DWSRF program in terms of potential recipients and the types of financial assistance that the DWSRF may provide. The DWSRF Interim Final Rule identifies types of projects and activities that may receive DWSRF assistance. The SDWA provides significant flexibility to the States regarding the development of specific procedures for reviewing and approving applications for DWSRF assistance and for managing the DWSRF program.</w:t>
      </w:r>
    </w:p>
    <w:p w:rsidR="007F4745" w:rsidRDefault="007F4745">
      <w:pPr>
        <w:autoSpaceDE w:val="0"/>
        <w:autoSpaceDN w:val="0"/>
        <w:adjustRightInd w:val="0"/>
      </w:pPr>
    </w:p>
    <w:p w:rsidR="00B27361" w:rsidRPr="002B698E" w:rsidRDefault="00B27361">
      <w:pPr>
        <w:autoSpaceDE w:val="0"/>
        <w:autoSpaceDN w:val="0"/>
        <w:adjustRightInd w:val="0"/>
      </w:pPr>
      <w:r w:rsidRPr="002B698E">
        <w:t xml:space="preserve">Specific reporting requirements that are statutorily based relate only to the relationship between the State as recipient of the </w:t>
      </w:r>
      <w:r w:rsidR="00CB2425">
        <w:t>f</w:t>
      </w:r>
      <w:r w:rsidRPr="002B698E">
        <w:t>ederal capitalization grant and the Agency as grantor. Similarly, the DWSRF Interim Final Rule, Management Manual, and other DWSRF program materials do not provide guidance or direction to the States regarding the development of application materials or specific procedures for the processing and disposition of applications for DWSRF assistance to eligible recipients.</w:t>
      </w:r>
    </w:p>
    <w:p w:rsidR="00B27361" w:rsidRPr="002B698E" w:rsidRDefault="00B27361">
      <w:pPr>
        <w:autoSpaceDE w:val="0"/>
        <w:autoSpaceDN w:val="0"/>
        <w:adjustRightInd w:val="0"/>
      </w:pPr>
    </w:p>
    <w:p w:rsidR="00B27361" w:rsidRDefault="00B27361">
      <w:pPr>
        <w:autoSpaceDE w:val="0"/>
        <w:autoSpaceDN w:val="0"/>
        <w:adjustRightInd w:val="0"/>
      </w:pPr>
      <w:r w:rsidRPr="002B698E">
        <w:t>Generally, State programs require that applications for DWSRF assistance provide the following information:</w:t>
      </w:r>
    </w:p>
    <w:p w:rsidR="00990549" w:rsidRPr="002B698E" w:rsidRDefault="00990549">
      <w:pPr>
        <w:autoSpaceDE w:val="0"/>
        <w:autoSpaceDN w:val="0"/>
        <w:adjustRightInd w:val="0"/>
      </w:pPr>
    </w:p>
    <w:p w:rsidR="00B27361" w:rsidRPr="002B698E" w:rsidRDefault="00943C52">
      <w:pPr>
        <w:numPr>
          <w:ilvl w:val="0"/>
          <w:numId w:val="8"/>
        </w:numPr>
        <w:autoSpaceDE w:val="0"/>
        <w:autoSpaceDN w:val="0"/>
        <w:adjustRightInd w:val="0"/>
      </w:pPr>
      <w:r>
        <w:t>P</w:t>
      </w:r>
      <w:r w:rsidR="00B27361" w:rsidRPr="002B698E">
        <w:t>roject description;</w:t>
      </w:r>
    </w:p>
    <w:p w:rsidR="00B27361" w:rsidRPr="002B698E" w:rsidRDefault="00943C52">
      <w:pPr>
        <w:numPr>
          <w:ilvl w:val="0"/>
          <w:numId w:val="8"/>
        </w:numPr>
        <w:autoSpaceDE w:val="0"/>
        <w:autoSpaceDN w:val="0"/>
        <w:adjustRightInd w:val="0"/>
      </w:pPr>
      <w:r>
        <w:t>P</w:t>
      </w:r>
      <w:r w:rsidR="00B27361" w:rsidRPr="002B698E">
        <w:t>roject cost estimate;</w:t>
      </w:r>
    </w:p>
    <w:p w:rsidR="00B27361" w:rsidRPr="002B698E" w:rsidRDefault="00943C52">
      <w:pPr>
        <w:numPr>
          <w:ilvl w:val="0"/>
          <w:numId w:val="8"/>
        </w:numPr>
        <w:autoSpaceDE w:val="0"/>
        <w:autoSpaceDN w:val="0"/>
        <w:adjustRightInd w:val="0"/>
      </w:pPr>
      <w:r>
        <w:t>E</w:t>
      </w:r>
      <w:r w:rsidR="00B27361" w:rsidRPr="002B698E">
        <w:t>stimated construction schedule;</w:t>
      </w:r>
    </w:p>
    <w:p w:rsidR="00B27361" w:rsidRPr="002B698E" w:rsidRDefault="00943C52">
      <w:pPr>
        <w:numPr>
          <w:ilvl w:val="0"/>
          <w:numId w:val="8"/>
        </w:numPr>
        <w:autoSpaceDE w:val="0"/>
        <w:autoSpaceDN w:val="0"/>
        <w:adjustRightInd w:val="0"/>
      </w:pPr>
      <w:r>
        <w:t>P</w:t>
      </w:r>
      <w:r w:rsidR="00B27361" w:rsidRPr="002B698E">
        <w:t>rojected disbursement schedule;</w:t>
      </w:r>
    </w:p>
    <w:p w:rsidR="00B27361" w:rsidRPr="002B698E" w:rsidRDefault="00943C52">
      <w:pPr>
        <w:numPr>
          <w:ilvl w:val="0"/>
          <w:numId w:val="8"/>
        </w:numPr>
        <w:autoSpaceDE w:val="0"/>
        <w:autoSpaceDN w:val="0"/>
        <w:adjustRightInd w:val="0"/>
      </w:pPr>
      <w:r>
        <w:t>D</w:t>
      </w:r>
      <w:r w:rsidR="00B27361" w:rsidRPr="002B698E">
        <w:t xml:space="preserve">escription of </w:t>
      </w:r>
      <w:r w:rsidR="006A1FA2">
        <w:t>public health</w:t>
      </w:r>
      <w:r w:rsidR="00B27361" w:rsidRPr="002B698E">
        <w:t xml:space="preserve"> impacts;</w:t>
      </w:r>
    </w:p>
    <w:p w:rsidR="00B27361" w:rsidRPr="002B698E" w:rsidRDefault="00943C52">
      <w:pPr>
        <w:numPr>
          <w:ilvl w:val="0"/>
          <w:numId w:val="8"/>
        </w:numPr>
        <w:autoSpaceDE w:val="0"/>
        <w:autoSpaceDN w:val="0"/>
        <w:adjustRightInd w:val="0"/>
      </w:pPr>
      <w:r>
        <w:t>E</w:t>
      </w:r>
      <w:r w:rsidR="00B27361" w:rsidRPr="002B698E">
        <w:t>stimation of cost impacts on users;</w:t>
      </w:r>
    </w:p>
    <w:p w:rsidR="00B27361" w:rsidRPr="002B698E" w:rsidRDefault="00943C52">
      <w:pPr>
        <w:numPr>
          <w:ilvl w:val="0"/>
          <w:numId w:val="8"/>
        </w:numPr>
        <w:autoSpaceDE w:val="0"/>
        <w:autoSpaceDN w:val="0"/>
        <w:adjustRightInd w:val="0"/>
      </w:pPr>
      <w:r>
        <w:t>I</w:t>
      </w:r>
      <w:r w:rsidR="00B27361" w:rsidRPr="002B698E">
        <w:t>dentification of repayment source;</w:t>
      </w:r>
    </w:p>
    <w:p w:rsidR="00B27361" w:rsidRPr="002B698E" w:rsidRDefault="00943C52">
      <w:pPr>
        <w:numPr>
          <w:ilvl w:val="0"/>
          <w:numId w:val="8"/>
        </w:numPr>
        <w:autoSpaceDE w:val="0"/>
        <w:autoSpaceDN w:val="0"/>
        <w:adjustRightInd w:val="0"/>
      </w:pPr>
      <w:r>
        <w:t>D</w:t>
      </w:r>
      <w:r w:rsidR="00B27361" w:rsidRPr="002B698E">
        <w:t>escription of community;</w:t>
      </w:r>
    </w:p>
    <w:p w:rsidR="00B27361" w:rsidRPr="002B698E" w:rsidRDefault="00943C52">
      <w:pPr>
        <w:numPr>
          <w:ilvl w:val="0"/>
          <w:numId w:val="8"/>
        </w:numPr>
        <w:autoSpaceDE w:val="0"/>
        <w:autoSpaceDN w:val="0"/>
        <w:adjustRightInd w:val="0"/>
      </w:pPr>
      <w:r>
        <w:t>F</w:t>
      </w:r>
      <w:r w:rsidR="00B27361" w:rsidRPr="002B698E">
        <w:t>inancial, technical, and managerial capability; and</w:t>
      </w:r>
      <w:r w:rsidR="00E46645">
        <w:t>,</w:t>
      </w:r>
    </w:p>
    <w:p w:rsidR="00B27361" w:rsidRPr="002B698E" w:rsidRDefault="00943C52" w:rsidP="00E46645">
      <w:pPr>
        <w:numPr>
          <w:ilvl w:val="0"/>
          <w:numId w:val="8"/>
        </w:numPr>
        <w:autoSpaceDE w:val="0"/>
        <w:autoSpaceDN w:val="0"/>
        <w:adjustRightInd w:val="0"/>
      </w:pPr>
      <w:r>
        <w:lastRenderedPageBreak/>
        <w:t>C</w:t>
      </w:r>
      <w:r w:rsidR="00B27361" w:rsidRPr="002B698E">
        <w:t>ertain projects, certifications</w:t>
      </w:r>
      <w:r>
        <w:t>,</w:t>
      </w:r>
      <w:r w:rsidR="00B27361" w:rsidRPr="002B698E">
        <w:t xml:space="preserve"> and demonstrations regarding compliance with</w:t>
      </w:r>
      <w:r w:rsidR="00E46645">
        <w:t xml:space="preserve"> </w:t>
      </w:r>
      <w:r w:rsidR="00CB2425">
        <w:t>f</w:t>
      </w:r>
      <w:r w:rsidR="00B27361" w:rsidRPr="002B698E">
        <w:t>ederal cross-cutting authorities.</w:t>
      </w:r>
    </w:p>
    <w:p w:rsidR="00B27361" w:rsidRPr="002B698E" w:rsidRDefault="00B27361">
      <w:pPr>
        <w:autoSpaceDE w:val="0"/>
        <w:autoSpaceDN w:val="0"/>
        <w:adjustRightInd w:val="0"/>
      </w:pPr>
    </w:p>
    <w:p w:rsidR="00B27361" w:rsidRPr="002B698E" w:rsidRDefault="00A61317">
      <w:pPr>
        <w:autoSpaceDE w:val="0"/>
        <w:autoSpaceDN w:val="0"/>
        <w:adjustRightInd w:val="0"/>
      </w:pPr>
      <w:r>
        <w:t xml:space="preserve">The </w:t>
      </w:r>
      <w:r w:rsidR="00B27361" w:rsidRPr="002B698E">
        <w:t>EPA undertake</w:t>
      </w:r>
      <w:r w:rsidR="006A1FA2">
        <w:t>s</w:t>
      </w:r>
      <w:r w:rsidR="00B27361" w:rsidRPr="002B698E">
        <w:t xml:space="preserve"> many activities to support the Regions and the States with implementation. </w:t>
      </w:r>
      <w:r>
        <w:t xml:space="preserve">The </w:t>
      </w:r>
      <w:r w:rsidR="00B27361" w:rsidRPr="002B698E">
        <w:t>EPA provide</w:t>
      </w:r>
      <w:r w:rsidR="006A1FA2">
        <w:t>s</w:t>
      </w:r>
      <w:r w:rsidR="00B27361" w:rsidRPr="002B698E">
        <w:t xml:space="preserve"> training on the program and prepared model documents relating to </w:t>
      </w:r>
      <w:r w:rsidR="00E46645">
        <w:t>IUPs</w:t>
      </w:r>
      <w:r w:rsidR="00B27361" w:rsidRPr="002B698E">
        <w:t>, Capitalization Grant Agreements, and Biennial Reports. EPA Regional personnel are regularly in contact with their State counterparts and are currently working to determine efficient ways to communicate needed information and reduce the burden</w:t>
      </w:r>
      <w:r w:rsidR="00E46645">
        <w:t xml:space="preserve"> on respondents</w:t>
      </w:r>
      <w:r w:rsidR="00B27361" w:rsidRPr="002B698E">
        <w:t>.</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4 (c) </w:t>
      </w:r>
      <w:r w:rsidR="00990549">
        <w:tab/>
      </w:r>
      <w:r w:rsidRPr="002B698E">
        <w:rPr>
          <w:u w:val="single"/>
        </w:rPr>
        <w:t>SMALL ENTITY FLEXIBILITY</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Respondents are the States, usually within the State Department of H</w:t>
      </w:r>
      <w:r w:rsidR="00965F31">
        <w:t>ealth, Environmental Department</w:t>
      </w:r>
      <w:r w:rsidRPr="002B698E">
        <w:t>, and</w:t>
      </w:r>
      <w:r w:rsidR="00965F31">
        <w:t>/or Finance Agency</w:t>
      </w:r>
      <w:r w:rsidRPr="002B698E">
        <w:t xml:space="preserve">. Although information collection activities do not directly affect small businesses or organizations as defined in the Regulatory Flexibility Act, 5 U.S.C. Sections 601 (3) and (4), States </w:t>
      </w:r>
      <w:r w:rsidR="00E46645">
        <w:t>might</w:t>
      </w:r>
      <w:r w:rsidRPr="002B698E">
        <w:t xml:space="preserve"> have activities that require information from small businesses or organizations. </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4 (d) </w:t>
      </w:r>
      <w:r w:rsidR="00E46645">
        <w:tab/>
      </w:r>
      <w:r w:rsidRPr="002B698E">
        <w:rPr>
          <w:u w:val="single"/>
        </w:rPr>
        <w:t>COLLECTION SCHEDULE</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The information collection activities will occur primarily at the program level through the State IUP and the Biennial Report. The information is needed annually to implement Section 1452 o</w:t>
      </w:r>
      <w:r w:rsidR="00943C52">
        <w:t>f the SDWA. The Act requires this</w:t>
      </w:r>
      <w:r w:rsidRPr="002B698E">
        <w:t xml:space="preserve"> information to ensure national accountability, adequate public comment and review, fiscal integrity, and consistent management directed to achieve </w:t>
      </w:r>
      <w:r w:rsidR="008B6B87">
        <w:t xml:space="preserve">public health </w:t>
      </w:r>
      <w:r w:rsidRPr="002B698E">
        <w:t>objectives.</w:t>
      </w:r>
    </w:p>
    <w:p w:rsidR="00B27361" w:rsidRPr="002B698E" w:rsidRDefault="00B27361">
      <w:pPr>
        <w:autoSpaceDE w:val="0"/>
        <w:autoSpaceDN w:val="0"/>
        <w:adjustRightInd w:val="0"/>
      </w:pPr>
    </w:p>
    <w:p w:rsidR="00B27361" w:rsidRPr="002B698E" w:rsidRDefault="00B27361">
      <w:pPr>
        <w:autoSpaceDE w:val="0"/>
        <w:autoSpaceDN w:val="0"/>
        <w:adjustRightInd w:val="0"/>
      </w:pPr>
    </w:p>
    <w:p w:rsidR="00B27361" w:rsidRPr="002B698E" w:rsidRDefault="00B27361">
      <w:pPr>
        <w:autoSpaceDE w:val="0"/>
        <w:autoSpaceDN w:val="0"/>
        <w:adjustRightInd w:val="0"/>
        <w:rPr>
          <w:b/>
          <w:bCs/>
          <w:u w:val="single"/>
        </w:rPr>
      </w:pPr>
      <w:r w:rsidRPr="002B698E">
        <w:rPr>
          <w:b/>
          <w:bCs/>
        </w:rPr>
        <w:t xml:space="preserve">5. </w:t>
      </w:r>
      <w:r w:rsidR="00E46645">
        <w:rPr>
          <w:b/>
          <w:bCs/>
        </w:rPr>
        <w:tab/>
      </w:r>
      <w:r w:rsidRPr="002B698E">
        <w:rPr>
          <w:b/>
          <w:bCs/>
          <w:u w:val="single"/>
        </w:rPr>
        <w:t xml:space="preserve">NON-DUPLICATION, CONSULTATIONS, </w:t>
      </w:r>
      <w:smartTag w:uri="urn:schemas-microsoft-com:office:smarttags" w:element="stockticker">
        <w:r w:rsidRPr="002B698E">
          <w:rPr>
            <w:b/>
            <w:bCs/>
            <w:u w:val="single"/>
          </w:rPr>
          <w:t>AND</w:t>
        </w:r>
      </w:smartTag>
      <w:r w:rsidRPr="002B698E">
        <w:rPr>
          <w:b/>
          <w:bCs/>
          <w:u w:val="single"/>
        </w:rPr>
        <w:t xml:space="preserve"> OTHER COLLECTION</w:t>
      </w:r>
    </w:p>
    <w:p w:rsidR="00B27361" w:rsidRPr="002B698E" w:rsidRDefault="00B27361" w:rsidP="00E46645">
      <w:pPr>
        <w:autoSpaceDE w:val="0"/>
        <w:autoSpaceDN w:val="0"/>
        <w:adjustRightInd w:val="0"/>
        <w:ind w:firstLine="720"/>
        <w:rPr>
          <w:b/>
          <w:bCs/>
          <w:u w:val="single"/>
        </w:rPr>
      </w:pPr>
      <w:r w:rsidRPr="002B698E">
        <w:rPr>
          <w:b/>
          <w:bCs/>
          <w:u w:val="single"/>
        </w:rPr>
        <w:t>CRITERIA</w:t>
      </w:r>
    </w:p>
    <w:p w:rsidR="00B27361" w:rsidRPr="002B698E" w:rsidRDefault="00B27361">
      <w:pPr>
        <w:autoSpaceDE w:val="0"/>
        <w:autoSpaceDN w:val="0"/>
        <w:adjustRightInd w:val="0"/>
      </w:pPr>
    </w:p>
    <w:p w:rsidR="00B27361" w:rsidRPr="002B698E" w:rsidRDefault="00B27361">
      <w:pPr>
        <w:autoSpaceDE w:val="0"/>
        <w:autoSpaceDN w:val="0"/>
        <w:adjustRightInd w:val="0"/>
        <w:rPr>
          <w:u w:val="single"/>
        </w:rPr>
      </w:pPr>
      <w:r w:rsidRPr="002B698E">
        <w:t xml:space="preserve">5 (a) </w:t>
      </w:r>
      <w:r w:rsidR="00E46645">
        <w:tab/>
      </w:r>
      <w:r w:rsidRPr="002B698E">
        <w:rPr>
          <w:u w:val="single"/>
        </w:rPr>
        <w:t>NON-DUPLICATION</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The information collection elements are specific to Section 1452, established under the SDWA Amendments of 1996. The information in the IUP, </w:t>
      </w:r>
      <w:r w:rsidR="00943C52">
        <w:t>Biennial Report, the State Audit</w:t>
      </w:r>
      <w:r w:rsidR="008B6B87">
        <w:t xml:space="preserve"> and DWNIMS/PBR </w:t>
      </w:r>
      <w:r w:rsidRPr="002B698E">
        <w:t xml:space="preserve">is unique to each State participating in the DWSRF program. Therefore, </w:t>
      </w:r>
      <w:r w:rsidR="00943C52">
        <w:t xml:space="preserve">there is no </w:t>
      </w:r>
      <w:r w:rsidRPr="002B698E">
        <w:t xml:space="preserve">duplication of the effort. The information collection activities herein are based </w:t>
      </w:r>
      <w:r w:rsidR="00943C52">
        <w:t>on</w:t>
      </w:r>
      <w:r w:rsidRPr="002B698E">
        <w:t xml:space="preserve"> program</w:t>
      </w:r>
      <w:r w:rsidR="00965F31">
        <w:t>-</w:t>
      </w:r>
      <w:r w:rsidRPr="002B698E">
        <w:t xml:space="preserve">specific State sources </w:t>
      </w:r>
      <w:r w:rsidR="00943C52">
        <w:t>that</w:t>
      </w:r>
      <w:r w:rsidRPr="002B698E">
        <w:t xml:space="preserve"> are not duplicated anywhere else.</w:t>
      </w:r>
    </w:p>
    <w:p w:rsidR="00B27361" w:rsidRPr="002B698E" w:rsidRDefault="00B27361">
      <w:pPr>
        <w:autoSpaceDE w:val="0"/>
        <w:autoSpaceDN w:val="0"/>
        <w:adjustRightInd w:val="0"/>
      </w:pPr>
    </w:p>
    <w:p w:rsidR="00B27361" w:rsidRPr="002B698E" w:rsidRDefault="006C144C">
      <w:pPr>
        <w:autoSpaceDE w:val="0"/>
        <w:autoSpaceDN w:val="0"/>
        <w:adjustRightInd w:val="0"/>
        <w:rPr>
          <w:u w:val="single"/>
        </w:rPr>
      </w:pPr>
      <w:r>
        <w:t>5 (b</w:t>
      </w:r>
      <w:r w:rsidR="00B27361" w:rsidRPr="002B698E">
        <w:t xml:space="preserve">) </w:t>
      </w:r>
      <w:r w:rsidR="00E46645">
        <w:tab/>
      </w:r>
      <w:r w:rsidR="00B27361" w:rsidRPr="002B698E">
        <w:rPr>
          <w:u w:val="single"/>
        </w:rPr>
        <w:t>CONSULTATIONS</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The information requirements were subjected to the same reviews as the other requirements and procedures contained in the DWSRF Interim Final Rule. The DWSRF Interim Final Rule was commented on by State officials, representatives of local government, private concerns involved with municipal finance, EPA Regional and Headquarters offices, and the Office of Management and Budget</w:t>
      </w:r>
      <w:r w:rsidR="00E46645">
        <w:t xml:space="preserve"> (OMB)</w:t>
      </w:r>
      <w:r w:rsidRPr="002B698E">
        <w:t>.</w:t>
      </w:r>
    </w:p>
    <w:p w:rsidR="00B27361" w:rsidRPr="002B698E" w:rsidRDefault="00B27361">
      <w:pPr>
        <w:autoSpaceDE w:val="0"/>
        <w:autoSpaceDN w:val="0"/>
        <w:adjustRightInd w:val="0"/>
      </w:pPr>
    </w:p>
    <w:p w:rsidR="00B27361" w:rsidRPr="002B698E" w:rsidRDefault="006C144C">
      <w:pPr>
        <w:autoSpaceDE w:val="0"/>
        <w:autoSpaceDN w:val="0"/>
        <w:adjustRightInd w:val="0"/>
      </w:pPr>
      <w:r>
        <w:t>5 (c</w:t>
      </w:r>
      <w:r w:rsidR="00B27361" w:rsidRPr="002B698E">
        <w:t xml:space="preserve">) </w:t>
      </w:r>
      <w:r w:rsidR="00E46645">
        <w:tab/>
      </w:r>
      <w:r w:rsidR="00B27361" w:rsidRPr="002B698E">
        <w:rPr>
          <w:u w:val="single"/>
        </w:rPr>
        <w:t>EFFECTS OF LESS FREQUENT COLLECTION</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The SDWA requires information to be provided annually. </w:t>
      </w:r>
      <w:r w:rsidR="00A61317">
        <w:t xml:space="preserve">The </w:t>
      </w:r>
      <w:r w:rsidRPr="002B698E">
        <w:t xml:space="preserve">EPA is not requesting the information more frequently than the Act requires, although a State may submit information more frequently. </w:t>
      </w:r>
    </w:p>
    <w:p w:rsidR="00B27361" w:rsidRPr="002B698E" w:rsidRDefault="00B27361">
      <w:pPr>
        <w:autoSpaceDE w:val="0"/>
        <w:autoSpaceDN w:val="0"/>
        <w:adjustRightInd w:val="0"/>
      </w:pPr>
    </w:p>
    <w:p w:rsidR="00B27361" w:rsidRPr="002B698E" w:rsidRDefault="006C144C">
      <w:pPr>
        <w:autoSpaceDE w:val="0"/>
        <w:autoSpaceDN w:val="0"/>
        <w:adjustRightInd w:val="0"/>
      </w:pPr>
      <w:r>
        <w:t>5 (d</w:t>
      </w:r>
      <w:r w:rsidR="00B27361" w:rsidRPr="002B698E">
        <w:t xml:space="preserve">) </w:t>
      </w:r>
      <w:r w:rsidR="00E46645">
        <w:tab/>
      </w:r>
      <w:r w:rsidR="00B27361" w:rsidRPr="002B698E">
        <w:rPr>
          <w:u w:val="single"/>
        </w:rPr>
        <w:t>GENERAL GUIDELINES</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The data collections covered by this ICR are in compliance with the OMB General Guidelines for information collections.</w:t>
      </w:r>
    </w:p>
    <w:p w:rsidR="00B27361" w:rsidRPr="002B698E" w:rsidRDefault="00B27361">
      <w:pPr>
        <w:autoSpaceDE w:val="0"/>
        <w:autoSpaceDN w:val="0"/>
        <w:adjustRightInd w:val="0"/>
      </w:pPr>
    </w:p>
    <w:p w:rsidR="00B27361" w:rsidRPr="002B698E" w:rsidRDefault="006C144C">
      <w:pPr>
        <w:autoSpaceDE w:val="0"/>
        <w:autoSpaceDN w:val="0"/>
        <w:adjustRightInd w:val="0"/>
      </w:pPr>
      <w:r>
        <w:t>5 (e</w:t>
      </w:r>
      <w:r w:rsidR="00B27361" w:rsidRPr="002B698E">
        <w:t xml:space="preserve">) </w:t>
      </w:r>
      <w:r w:rsidR="00E46645">
        <w:tab/>
      </w:r>
      <w:r w:rsidR="00B27361" w:rsidRPr="002B698E">
        <w:rPr>
          <w:u w:val="single"/>
        </w:rPr>
        <w:t xml:space="preserve">CONFIDENTIALITY </w:t>
      </w:r>
      <w:smartTag w:uri="urn:schemas-microsoft-com:office:smarttags" w:element="stockticker">
        <w:r w:rsidR="00B27361" w:rsidRPr="002B698E">
          <w:rPr>
            <w:u w:val="single"/>
          </w:rPr>
          <w:t>AND</w:t>
        </w:r>
      </w:smartTag>
      <w:r w:rsidR="00B27361" w:rsidRPr="002B698E">
        <w:rPr>
          <w:u w:val="single"/>
        </w:rPr>
        <w:t xml:space="preserve"> SENSITIVE QUESTIONS</w:t>
      </w:r>
    </w:p>
    <w:p w:rsidR="00B27361" w:rsidRPr="002B698E" w:rsidRDefault="00B27361" w:rsidP="00E958E7">
      <w:pPr>
        <w:autoSpaceDE w:val="0"/>
        <w:autoSpaceDN w:val="0"/>
        <w:adjustRightInd w:val="0"/>
      </w:pPr>
      <w:r w:rsidRPr="002B698E">
        <w:t>(</w:t>
      </w:r>
      <w:proofErr w:type="spellStart"/>
      <w:r w:rsidRPr="002B698E">
        <w:t>i</w:t>
      </w:r>
      <w:proofErr w:type="spellEnd"/>
      <w:r w:rsidRPr="002B698E">
        <w:t xml:space="preserve">) </w:t>
      </w:r>
      <w:r w:rsidR="00E46645">
        <w:tab/>
      </w:r>
      <w:r w:rsidRPr="002B698E">
        <w:t>Confidentiality</w:t>
      </w:r>
      <w:r w:rsidR="008B6B87">
        <w:t xml:space="preserve">: </w:t>
      </w:r>
      <w:r w:rsidRPr="002B698E">
        <w:t>No confidential data is collected.</w:t>
      </w:r>
    </w:p>
    <w:p w:rsidR="00B27361" w:rsidRPr="002B698E" w:rsidRDefault="00B27361">
      <w:pPr>
        <w:autoSpaceDE w:val="0"/>
        <w:autoSpaceDN w:val="0"/>
        <w:adjustRightInd w:val="0"/>
        <w:ind w:left="720"/>
      </w:pPr>
    </w:p>
    <w:p w:rsidR="00B27361" w:rsidRPr="002B698E" w:rsidRDefault="00B27361" w:rsidP="00E958E7">
      <w:pPr>
        <w:autoSpaceDE w:val="0"/>
        <w:autoSpaceDN w:val="0"/>
        <w:adjustRightInd w:val="0"/>
      </w:pPr>
      <w:r w:rsidRPr="002B698E">
        <w:t xml:space="preserve">(ii) </w:t>
      </w:r>
      <w:r w:rsidR="00E46645">
        <w:tab/>
      </w:r>
      <w:r w:rsidRPr="002B698E">
        <w:t>Sensitive Questions</w:t>
      </w:r>
      <w:r w:rsidR="008B6B87">
        <w:t xml:space="preserve">: </w:t>
      </w:r>
      <w:r w:rsidRPr="002B698E">
        <w:t>Financial information, such as income tax records and financial statements, may be required from private water systems for assessing financial capability during the loan application process.</w:t>
      </w:r>
    </w:p>
    <w:p w:rsidR="00B27361" w:rsidRDefault="00B27361">
      <w:pPr>
        <w:autoSpaceDE w:val="0"/>
        <w:autoSpaceDN w:val="0"/>
        <w:adjustRightInd w:val="0"/>
        <w:ind w:left="720"/>
      </w:pPr>
      <w:bookmarkStart w:id="0" w:name="_GoBack"/>
      <w:bookmarkEnd w:id="0"/>
    </w:p>
    <w:p w:rsidR="008E2289" w:rsidRDefault="008E2289" w:rsidP="008E2289">
      <w:pPr>
        <w:autoSpaceDE w:val="0"/>
        <w:autoSpaceDN w:val="0"/>
        <w:adjustRightInd w:val="0"/>
      </w:pPr>
      <w:r>
        <w:t>5 (f)</w:t>
      </w:r>
      <w:r>
        <w:tab/>
      </w:r>
      <w:r w:rsidRPr="008E2289">
        <w:rPr>
          <w:u w:val="single"/>
        </w:rPr>
        <w:t>PUBLIC NOTICE REQUIRED PRIOR TO ICR SUBMISSION TO OMB</w:t>
      </w:r>
    </w:p>
    <w:p w:rsidR="008E2289" w:rsidRDefault="008E2289" w:rsidP="008E2289">
      <w:pPr>
        <w:autoSpaceDE w:val="0"/>
        <w:autoSpaceDN w:val="0"/>
        <w:adjustRightInd w:val="0"/>
      </w:pPr>
    </w:p>
    <w:p w:rsidR="008E2289" w:rsidRDefault="008E2289" w:rsidP="008E2289">
      <w:pPr>
        <w:autoSpaceDE w:val="0"/>
        <w:autoSpaceDN w:val="0"/>
        <w:adjustRightInd w:val="0"/>
      </w:pPr>
      <w:r w:rsidRPr="008E2289">
        <w:t xml:space="preserve">Public comments were previously requested via the </w:t>
      </w:r>
      <w:r w:rsidRPr="008E2289">
        <w:rPr>
          <w:i/>
        </w:rPr>
        <w:t>Federal Register</w:t>
      </w:r>
      <w:r w:rsidRPr="008E2289">
        <w:t xml:space="preserve"> (80 FR 57605) on September 24, 2015, during a 60-day comment period.</w:t>
      </w:r>
      <w:r>
        <w:t xml:space="preserve"> No comments were received.</w:t>
      </w:r>
    </w:p>
    <w:p w:rsidR="008E2289" w:rsidRDefault="008E2289">
      <w:pPr>
        <w:autoSpaceDE w:val="0"/>
        <w:autoSpaceDN w:val="0"/>
        <w:adjustRightInd w:val="0"/>
        <w:ind w:left="720"/>
      </w:pPr>
    </w:p>
    <w:p w:rsidR="00E46645" w:rsidRPr="002B698E" w:rsidRDefault="00E46645">
      <w:pPr>
        <w:autoSpaceDE w:val="0"/>
        <w:autoSpaceDN w:val="0"/>
        <w:adjustRightInd w:val="0"/>
        <w:ind w:left="720"/>
      </w:pPr>
    </w:p>
    <w:p w:rsidR="00B27361" w:rsidRPr="002B698E" w:rsidRDefault="00B27361">
      <w:pPr>
        <w:autoSpaceDE w:val="0"/>
        <w:autoSpaceDN w:val="0"/>
        <w:adjustRightInd w:val="0"/>
        <w:rPr>
          <w:b/>
          <w:bCs/>
        </w:rPr>
      </w:pPr>
      <w:r w:rsidRPr="002B698E">
        <w:rPr>
          <w:b/>
          <w:bCs/>
        </w:rPr>
        <w:t xml:space="preserve">6. </w:t>
      </w:r>
      <w:r w:rsidR="00A47774">
        <w:rPr>
          <w:b/>
          <w:bCs/>
        </w:rPr>
        <w:tab/>
      </w:r>
      <w:r w:rsidRPr="002B698E">
        <w:rPr>
          <w:b/>
          <w:bCs/>
          <w:u w:val="single"/>
        </w:rPr>
        <w:t xml:space="preserve">ESTIMATING THE BURDEN </w:t>
      </w:r>
      <w:smartTag w:uri="urn:schemas-microsoft-com:office:smarttags" w:element="stockticker">
        <w:r w:rsidRPr="002B698E">
          <w:rPr>
            <w:b/>
            <w:bCs/>
            <w:u w:val="single"/>
          </w:rPr>
          <w:t>AND</w:t>
        </w:r>
      </w:smartTag>
      <w:r w:rsidRPr="002B698E">
        <w:rPr>
          <w:b/>
          <w:bCs/>
          <w:u w:val="single"/>
        </w:rPr>
        <w:t xml:space="preserve"> </w:t>
      </w:r>
      <w:smartTag w:uri="urn:schemas-microsoft-com:office:smarttags" w:element="stockticker">
        <w:r w:rsidRPr="002B698E">
          <w:rPr>
            <w:b/>
            <w:bCs/>
            <w:u w:val="single"/>
          </w:rPr>
          <w:t>COST</w:t>
        </w:r>
      </w:smartTag>
      <w:r w:rsidRPr="002B698E">
        <w:rPr>
          <w:b/>
          <w:bCs/>
          <w:u w:val="single"/>
        </w:rPr>
        <w:t xml:space="preserve"> OF THE COLLECTION</w:t>
      </w:r>
    </w:p>
    <w:p w:rsidR="00B27361" w:rsidRPr="002B698E" w:rsidRDefault="00B27361">
      <w:pPr>
        <w:autoSpaceDE w:val="0"/>
        <w:autoSpaceDN w:val="0"/>
        <w:adjustRightInd w:val="0"/>
      </w:pPr>
    </w:p>
    <w:p w:rsidR="00B27361" w:rsidRPr="002B698E" w:rsidRDefault="00B27361">
      <w:pPr>
        <w:autoSpaceDE w:val="0"/>
        <w:autoSpaceDN w:val="0"/>
        <w:adjustRightInd w:val="0"/>
        <w:rPr>
          <w:u w:val="single"/>
        </w:rPr>
      </w:pPr>
      <w:r w:rsidRPr="002B698E">
        <w:t xml:space="preserve">6 (a) </w:t>
      </w:r>
      <w:r w:rsidR="00A47774">
        <w:tab/>
      </w:r>
      <w:r w:rsidRPr="002B698E">
        <w:rPr>
          <w:u w:val="single"/>
        </w:rPr>
        <w:t>ESTIMATING RESPONDENT BURDEN</w:t>
      </w:r>
    </w:p>
    <w:p w:rsidR="00B27361" w:rsidRPr="002B698E" w:rsidRDefault="00B27361">
      <w:pPr>
        <w:autoSpaceDE w:val="0"/>
        <w:autoSpaceDN w:val="0"/>
        <w:adjustRightInd w:val="0"/>
      </w:pPr>
    </w:p>
    <w:p w:rsidR="00B27361" w:rsidRPr="002B698E" w:rsidRDefault="00B27361">
      <w:pPr>
        <w:autoSpaceDE w:val="0"/>
        <w:autoSpaceDN w:val="0"/>
        <w:adjustRightInd w:val="0"/>
      </w:pPr>
      <w:r w:rsidRPr="002B698E">
        <w:t xml:space="preserve">The respondent burden estimates are based on the incremental effort associated with the information collection activity. </w:t>
      </w:r>
    </w:p>
    <w:p w:rsidR="00B27361" w:rsidRPr="002B698E" w:rsidRDefault="00B27361">
      <w:pPr>
        <w:autoSpaceDE w:val="0"/>
        <w:autoSpaceDN w:val="0"/>
        <w:adjustRightInd w:val="0"/>
      </w:pPr>
    </w:p>
    <w:p w:rsidR="00B27361" w:rsidRDefault="00B27361">
      <w:pPr>
        <w:autoSpaceDE w:val="0"/>
        <w:autoSpaceDN w:val="0"/>
        <w:adjustRightInd w:val="0"/>
      </w:pPr>
      <w:r w:rsidRPr="002B698E">
        <w:t xml:space="preserve">The respondents may use DWSRF administrative monies to pay the costs of the annual State </w:t>
      </w:r>
      <w:r w:rsidR="00943C52">
        <w:t>Audit</w:t>
      </w:r>
      <w:r w:rsidRPr="002B698E">
        <w:t>. Section 1452(g)(2) of the SDWA allows each State to set-aside up to 4</w:t>
      </w:r>
      <w:r w:rsidR="00943C52">
        <w:t xml:space="preserve"> percent</w:t>
      </w:r>
      <w:r w:rsidRPr="002B698E">
        <w:t xml:space="preserve"> of the funds allotted to it to cover the reasonable costs of administering the DWSRF program. The estimation of the State respondents’ burden for the four information collections </w:t>
      </w:r>
      <w:r w:rsidR="00AE46B0">
        <w:t>is</w:t>
      </w:r>
      <w:r w:rsidR="007F4745">
        <w:t xml:space="preserve"> shown below.</w:t>
      </w:r>
    </w:p>
    <w:p w:rsidR="007F4745" w:rsidRDefault="007F4745">
      <w:pPr>
        <w:autoSpaceDE w:val="0"/>
        <w:autoSpaceDN w:val="0"/>
        <w:adjustRightInd w:val="0"/>
      </w:pPr>
    </w:p>
    <w:p w:rsidR="00B27361" w:rsidRPr="002B698E" w:rsidRDefault="00B27361" w:rsidP="00B90AEA">
      <w:pPr>
        <w:autoSpaceDE w:val="0"/>
        <w:autoSpaceDN w:val="0"/>
        <w:adjustRightInd w:val="0"/>
        <w:ind w:left="720" w:hanging="360"/>
        <w:rPr>
          <w:u w:val="single"/>
        </w:rPr>
      </w:pPr>
      <w:r w:rsidRPr="002B698E">
        <w:t xml:space="preserve">a. </w:t>
      </w:r>
      <w:r w:rsidR="00B90AEA">
        <w:tab/>
      </w:r>
      <w:r w:rsidR="00943C52">
        <w:rPr>
          <w:u w:val="single"/>
        </w:rPr>
        <w:t>IUP</w:t>
      </w:r>
      <w:r w:rsidR="00A47774">
        <w:rPr>
          <w:u w:val="single"/>
        </w:rPr>
        <w:t>/</w:t>
      </w:r>
      <w:r w:rsidRPr="002B698E">
        <w:rPr>
          <w:u w:val="single"/>
        </w:rPr>
        <w:t>Capitalization Grant Agreement</w:t>
      </w:r>
    </w:p>
    <w:p w:rsidR="00B27361" w:rsidRPr="002B698E" w:rsidRDefault="00A61317" w:rsidP="00F17765">
      <w:pPr>
        <w:autoSpaceDE w:val="0"/>
        <w:autoSpaceDN w:val="0"/>
        <w:adjustRightInd w:val="0"/>
        <w:ind w:left="720"/>
      </w:pPr>
      <w:r>
        <w:t xml:space="preserve">The </w:t>
      </w:r>
      <w:r w:rsidR="00F17765" w:rsidRPr="002B698E">
        <w:t>EPA estimates that each State will spend an average of 400 hours per year to prepare the IUP and Capitalization G</w:t>
      </w:r>
      <w:r>
        <w:t>rant Agreement for submission</w:t>
      </w:r>
      <w:r w:rsidR="00F17765">
        <w:t xml:space="preserve">.  </w:t>
      </w:r>
      <w:r w:rsidR="00943C52">
        <w:t xml:space="preserve">Information on set-asides, </w:t>
      </w:r>
      <w:r w:rsidR="00B27361" w:rsidRPr="002B698E">
        <w:t xml:space="preserve">disadvantaged community assistance, </w:t>
      </w:r>
      <w:r w:rsidR="006A1FA2">
        <w:t>public health</w:t>
      </w:r>
      <w:r w:rsidR="00B27361" w:rsidRPr="002B698E">
        <w:t xml:space="preserve"> indicators, core measurements, and work plans can be found in the IUP. Table 1 represents the total national burden from the IUP/Capitalization Grant Agreement for 50 states and </w:t>
      </w:r>
      <w:smartTag w:uri="urn:schemas-microsoft-com:office:smarttags" w:element="place">
        <w:r w:rsidR="00B27361" w:rsidRPr="002B698E">
          <w:t>Puerto Rico</w:t>
        </w:r>
      </w:smartTag>
      <w:r w:rsidR="00B27361" w:rsidRPr="002B698E">
        <w:t>.</w:t>
      </w:r>
    </w:p>
    <w:p w:rsidR="004F02A4" w:rsidRPr="002B698E" w:rsidRDefault="004F02A4" w:rsidP="00AE46B0">
      <w:pPr>
        <w:autoSpaceDE w:val="0"/>
        <w:autoSpaceDN w:val="0"/>
        <w:adjustRightInd w:val="0"/>
      </w:pPr>
    </w:p>
    <w:p w:rsidR="00C81EE2" w:rsidRDefault="00A47774" w:rsidP="00AE46B0">
      <w:pPr>
        <w:autoSpaceDE w:val="0"/>
        <w:autoSpaceDN w:val="0"/>
        <w:adjustRightInd w:val="0"/>
        <w:ind w:firstLine="720"/>
        <w:rPr>
          <w:b/>
        </w:rPr>
      </w:pPr>
      <w:r>
        <w:rPr>
          <w:b/>
        </w:rPr>
        <w:t>Table 1: IUP/</w:t>
      </w:r>
      <w:r w:rsidR="004F02A4" w:rsidRPr="005F113E">
        <w:rPr>
          <w:b/>
        </w:rPr>
        <w:t>Capitalization Grant Agreement National Burden Hours</w:t>
      </w:r>
    </w:p>
    <w:tbl>
      <w:tblPr>
        <w:tblW w:w="8509" w:type="dxa"/>
        <w:tblInd w:w="828" w:type="dxa"/>
        <w:tblLayout w:type="fixed"/>
        <w:tblLook w:val="0000" w:firstRow="0" w:lastRow="0" w:firstColumn="0" w:lastColumn="0" w:noHBand="0" w:noVBand="0"/>
      </w:tblPr>
      <w:tblGrid>
        <w:gridCol w:w="1080"/>
        <w:gridCol w:w="2389"/>
        <w:gridCol w:w="2250"/>
        <w:gridCol w:w="2790"/>
      </w:tblGrid>
      <w:tr w:rsidR="00792C8D" w:rsidTr="000D4CFE">
        <w:trPr>
          <w:trHeight w:val="468"/>
        </w:trPr>
        <w:tc>
          <w:tcPr>
            <w:tcW w:w="1080" w:type="dxa"/>
            <w:vMerge w:val="restart"/>
            <w:tcBorders>
              <w:top w:val="double" w:sz="6" w:space="0" w:color="auto"/>
              <w:left w:val="double" w:sz="6" w:space="0" w:color="auto"/>
              <w:bottom w:val="single" w:sz="12" w:space="0" w:color="000000"/>
              <w:right w:val="single" w:sz="4" w:space="0" w:color="auto"/>
            </w:tcBorders>
            <w:shd w:val="clear" w:color="auto" w:fill="auto"/>
            <w:vAlign w:val="center"/>
          </w:tcPr>
          <w:p w:rsidR="00792C8D" w:rsidRDefault="00792C8D" w:rsidP="00E801D6">
            <w:pPr>
              <w:jc w:val="center"/>
              <w:rPr>
                <w:b/>
                <w:bCs/>
              </w:rPr>
            </w:pPr>
            <w:r>
              <w:rPr>
                <w:b/>
                <w:bCs/>
              </w:rPr>
              <w:t>Year</w:t>
            </w:r>
          </w:p>
        </w:tc>
        <w:tc>
          <w:tcPr>
            <w:tcW w:w="2389" w:type="dxa"/>
            <w:tcBorders>
              <w:top w:val="double" w:sz="6" w:space="0" w:color="auto"/>
              <w:left w:val="nil"/>
              <w:bottom w:val="single" w:sz="4" w:space="0" w:color="auto"/>
              <w:right w:val="single" w:sz="4" w:space="0" w:color="auto"/>
            </w:tcBorders>
            <w:shd w:val="clear" w:color="auto" w:fill="auto"/>
            <w:vAlign w:val="center"/>
          </w:tcPr>
          <w:p w:rsidR="00792C8D" w:rsidRDefault="00792C8D" w:rsidP="00E801D6">
            <w:pPr>
              <w:jc w:val="center"/>
              <w:rPr>
                <w:b/>
                <w:bCs/>
              </w:rPr>
            </w:pPr>
            <w:r>
              <w:rPr>
                <w:b/>
                <w:bCs/>
              </w:rPr>
              <w:t>Number of States</w:t>
            </w:r>
          </w:p>
        </w:tc>
        <w:tc>
          <w:tcPr>
            <w:tcW w:w="2250" w:type="dxa"/>
            <w:tcBorders>
              <w:top w:val="double" w:sz="6" w:space="0" w:color="auto"/>
              <w:left w:val="nil"/>
              <w:bottom w:val="single" w:sz="4" w:space="0" w:color="auto"/>
              <w:right w:val="nil"/>
            </w:tcBorders>
            <w:shd w:val="clear" w:color="auto" w:fill="auto"/>
            <w:vAlign w:val="center"/>
          </w:tcPr>
          <w:p w:rsidR="00792C8D" w:rsidRDefault="00792C8D" w:rsidP="00E801D6">
            <w:pPr>
              <w:jc w:val="center"/>
              <w:rPr>
                <w:b/>
                <w:bCs/>
              </w:rPr>
            </w:pPr>
            <w:r>
              <w:rPr>
                <w:b/>
                <w:bCs/>
              </w:rPr>
              <w:t>Preparation Hours</w:t>
            </w:r>
          </w:p>
        </w:tc>
        <w:tc>
          <w:tcPr>
            <w:tcW w:w="2790" w:type="dxa"/>
            <w:tcBorders>
              <w:top w:val="double" w:sz="6" w:space="0" w:color="auto"/>
              <w:left w:val="single" w:sz="4" w:space="0" w:color="auto"/>
              <w:bottom w:val="single" w:sz="4" w:space="0" w:color="auto"/>
              <w:right w:val="double" w:sz="6" w:space="0" w:color="auto"/>
            </w:tcBorders>
            <w:shd w:val="clear" w:color="auto" w:fill="auto"/>
            <w:vAlign w:val="center"/>
          </w:tcPr>
          <w:p w:rsidR="00792C8D" w:rsidRDefault="00792C8D" w:rsidP="000D4CFE">
            <w:pPr>
              <w:jc w:val="center"/>
              <w:rPr>
                <w:b/>
                <w:bCs/>
              </w:rPr>
            </w:pPr>
            <w:r>
              <w:rPr>
                <w:b/>
                <w:bCs/>
              </w:rPr>
              <w:t>Burden</w:t>
            </w:r>
            <w:r w:rsidR="00881558">
              <w:rPr>
                <w:b/>
                <w:bCs/>
              </w:rPr>
              <w:t xml:space="preserve"> </w:t>
            </w:r>
            <w:r>
              <w:rPr>
                <w:b/>
                <w:bCs/>
              </w:rPr>
              <w:t>Hours</w:t>
            </w:r>
          </w:p>
        </w:tc>
      </w:tr>
      <w:tr w:rsidR="00792C8D" w:rsidTr="000D4CFE">
        <w:trPr>
          <w:trHeight w:val="35"/>
        </w:trPr>
        <w:tc>
          <w:tcPr>
            <w:tcW w:w="1080" w:type="dxa"/>
            <w:vMerge/>
            <w:tcBorders>
              <w:top w:val="double" w:sz="6" w:space="0" w:color="auto"/>
              <w:left w:val="double" w:sz="6" w:space="0" w:color="auto"/>
              <w:bottom w:val="single" w:sz="12" w:space="0" w:color="000000"/>
              <w:right w:val="single" w:sz="4" w:space="0" w:color="auto"/>
            </w:tcBorders>
            <w:vAlign w:val="center"/>
          </w:tcPr>
          <w:p w:rsidR="00792C8D" w:rsidRDefault="00792C8D" w:rsidP="00E801D6">
            <w:pPr>
              <w:jc w:val="center"/>
              <w:rPr>
                <w:b/>
                <w:bCs/>
              </w:rPr>
            </w:pPr>
          </w:p>
        </w:tc>
        <w:tc>
          <w:tcPr>
            <w:tcW w:w="2389" w:type="dxa"/>
            <w:tcBorders>
              <w:top w:val="nil"/>
              <w:left w:val="nil"/>
              <w:bottom w:val="single" w:sz="12" w:space="0" w:color="auto"/>
              <w:right w:val="single" w:sz="4" w:space="0" w:color="auto"/>
            </w:tcBorders>
            <w:shd w:val="clear" w:color="auto" w:fill="auto"/>
            <w:vAlign w:val="center"/>
          </w:tcPr>
          <w:p w:rsidR="00792C8D" w:rsidRDefault="00792C8D" w:rsidP="00E801D6">
            <w:pPr>
              <w:jc w:val="center"/>
              <w:rPr>
                <w:b/>
                <w:bCs/>
              </w:rPr>
            </w:pPr>
            <w:r>
              <w:rPr>
                <w:b/>
                <w:bCs/>
              </w:rPr>
              <w:t>(A)</w:t>
            </w:r>
          </w:p>
        </w:tc>
        <w:tc>
          <w:tcPr>
            <w:tcW w:w="2250" w:type="dxa"/>
            <w:tcBorders>
              <w:top w:val="nil"/>
              <w:left w:val="nil"/>
              <w:bottom w:val="single" w:sz="12" w:space="0" w:color="auto"/>
              <w:right w:val="nil"/>
            </w:tcBorders>
            <w:shd w:val="clear" w:color="auto" w:fill="auto"/>
            <w:vAlign w:val="center"/>
          </w:tcPr>
          <w:p w:rsidR="00792C8D" w:rsidRDefault="00792C8D" w:rsidP="00E801D6">
            <w:pPr>
              <w:jc w:val="center"/>
              <w:rPr>
                <w:b/>
                <w:bCs/>
              </w:rPr>
            </w:pPr>
            <w:r>
              <w:rPr>
                <w:b/>
                <w:bCs/>
              </w:rPr>
              <w:t>(B)</w:t>
            </w:r>
          </w:p>
        </w:tc>
        <w:tc>
          <w:tcPr>
            <w:tcW w:w="2790" w:type="dxa"/>
            <w:tcBorders>
              <w:top w:val="nil"/>
              <w:left w:val="single" w:sz="4" w:space="0" w:color="auto"/>
              <w:bottom w:val="single" w:sz="12" w:space="0" w:color="auto"/>
              <w:right w:val="double" w:sz="6" w:space="0" w:color="auto"/>
            </w:tcBorders>
            <w:shd w:val="clear" w:color="auto" w:fill="auto"/>
            <w:vAlign w:val="center"/>
          </w:tcPr>
          <w:p w:rsidR="00792C8D" w:rsidRDefault="00792C8D" w:rsidP="00E801D6">
            <w:pPr>
              <w:jc w:val="center"/>
              <w:rPr>
                <w:b/>
                <w:bCs/>
              </w:rPr>
            </w:pPr>
            <w:r>
              <w:rPr>
                <w:b/>
                <w:bCs/>
              </w:rPr>
              <w:t>(A x B)</w:t>
            </w:r>
          </w:p>
        </w:tc>
      </w:tr>
      <w:tr w:rsidR="00792C8D" w:rsidTr="000D4CFE">
        <w:trPr>
          <w:trHeight w:val="330"/>
        </w:trPr>
        <w:tc>
          <w:tcPr>
            <w:tcW w:w="1080" w:type="dxa"/>
            <w:tcBorders>
              <w:top w:val="nil"/>
              <w:left w:val="double" w:sz="6" w:space="0" w:color="auto"/>
              <w:bottom w:val="single" w:sz="4" w:space="0" w:color="auto"/>
              <w:right w:val="single" w:sz="4" w:space="0" w:color="auto"/>
            </w:tcBorders>
            <w:shd w:val="clear" w:color="auto" w:fill="auto"/>
            <w:noWrap/>
            <w:vAlign w:val="bottom"/>
          </w:tcPr>
          <w:p w:rsidR="00792C8D" w:rsidRPr="00E801D6" w:rsidRDefault="00792C8D" w:rsidP="00ED12A3">
            <w:pPr>
              <w:jc w:val="center"/>
              <w:rPr>
                <w:b/>
                <w:bCs/>
              </w:rPr>
            </w:pPr>
            <w:r w:rsidRPr="00E801D6">
              <w:rPr>
                <w:b/>
                <w:bCs/>
              </w:rPr>
              <w:lastRenderedPageBreak/>
              <w:t>20</w:t>
            </w:r>
            <w:r>
              <w:rPr>
                <w:b/>
                <w:bCs/>
              </w:rPr>
              <w:t>16</w:t>
            </w:r>
          </w:p>
        </w:tc>
        <w:tc>
          <w:tcPr>
            <w:tcW w:w="2389" w:type="dxa"/>
            <w:tcBorders>
              <w:top w:val="nil"/>
              <w:left w:val="nil"/>
              <w:bottom w:val="single" w:sz="4" w:space="0" w:color="auto"/>
              <w:right w:val="single" w:sz="4" w:space="0" w:color="auto"/>
            </w:tcBorders>
            <w:shd w:val="clear" w:color="auto" w:fill="auto"/>
            <w:noWrap/>
            <w:vAlign w:val="bottom"/>
          </w:tcPr>
          <w:p w:rsidR="00792C8D" w:rsidRDefault="00792C8D">
            <w:pPr>
              <w:jc w:val="center"/>
            </w:pPr>
            <w:r>
              <w:t>51</w:t>
            </w:r>
          </w:p>
        </w:tc>
        <w:tc>
          <w:tcPr>
            <w:tcW w:w="2250" w:type="dxa"/>
            <w:tcBorders>
              <w:top w:val="nil"/>
              <w:left w:val="nil"/>
              <w:bottom w:val="single" w:sz="4" w:space="0" w:color="auto"/>
              <w:right w:val="nil"/>
            </w:tcBorders>
            <w:shd w:val="clear" w:color="auto" w:fill="auto"/>
            <w:noWrap/>
            <w:vAlign w:val="bottom"/>
          </w:tcPr>
          <w:p w:rsidR="00792C8D" w:rsidRDefault="00792C8D">
            <w:pPr>
              <w:jc w:val="center"/>
            </w:pPr>
            <w:r>
              <w:t>400</w:t>
            </w:r>
          </w:p>
        </w:tc>
        <w:tc>
          <w:tcPr>
            <w:tcW w:w="2790" w:type="dxa"/>
            <w:tcBorders>
              <w:top w:val="single" w:sz="4" w:space="0" w:color="auto"/>
              <w:left w:val="single" w:sz="4" w:space="0" w:color="auto"/>
              <w:bottom w:val="single" w:sz="4" w:space="0" w:color="auto"/>
              <w:right w:val="double" w:sz="6" w:space="0" w:color="auto"/>
            </w:tcBorders>
            <w:shd w:val="clear" w:color="auto" w:fill="auto"/>
            <w:noWrap/>
            <w:vAlign w:val="bottom"/>
          </w:tcPr>
          <w:p w:rsidR="00792C8D" w:rsidRDefault="00792C8D">
            <w:pPr>
              <w:jc w:val="center"/>
            </w:pPr>
            <w:r>
              <w:t>20,400</w:t>
            </w:r>
          </w:p>
        </w:tc>
      </w:tr>
      <w:tr w:rsidR="00792C8D" w:rsidTr="000D4CFE">
        <w:trPr>
          <w:trHeight w:val="315"/>
        </w:trPr>
        <w:tc>
          <w:tcPr>
            <w:tcW w:w="1080" w:type="dxa"/>
            <w:tcBorders>
              <w:top w:val="nil"/>
              <w:left w:val="double" w:sz="6" w:space="0" w:color="auto"/>
              <w:bottom w:val="single" w:sz="4" w:space="0" w:color="auto"/>
              <w:right w:val="single" w:sz="4" w:space="0" w:color="auto"/>
            </w:tcBorders>
            <w:shd w:val="clear" w:color="auto" w:fill="auto"/>
            <w:noWrap/>
            <w:vAlign w:val="bottom"/>
          </w:tcPr>
          <w:p w:rsidR="00792C8D" w:rsidRPr="00E801D6" w:rsidRDefault="00792C8D" w:rsidP="00ED12A3">
            <w:pPr>
              <w:jc w:val="center"/>
              <w:rPr>
                <w:b/>
              </w:rPr>
            </w:pPr>
            <w:r w:rsidRPr="00E801D6">
              <w:rPr>
                <w:b/>
              </w:rPr>
              <w:t>201</w:t>
            </w:r>
            <w:r>
              <w:rPr>
                <w:b/>
              </w:rPr>
              <w:t>7</w:t>
            </w:r>
          </w:p>
        </w:tc>
        <w:tc>
          <w:tcPr>
            <w:tcW w:w="2389" w:type="dxa"/>
            <w:tcBorders>
              <w:top w:val="nil"/>
              <w:left w:val="nil"/>
              <w:bottom w:val="single" w:sz="4" w:space="0" w:color="auto"/>
              <w:right w:val="single" w:sz="4" w:space="0" w:color="auto"/>
            </w:tcBorders>
            <w:shd w:val="clear" w:color="auto" w:fill="auto"/>
            <w:noWrap/>
            <w:vAlign w:val="bottom"/>
          </w:tcPr>
          <w:p w:rsidR="00792C8D" w:rsidRDefault="00792C8D">
            <w:pPr>
              <w:jc w:val="center"/>
            </w:pPr>
            <w:r>
              <w:t>51</w:t>
            </w:r>
          </w:p>
        </w:tc>
        <w:tc>
          <w:tcPr>
            <w:tcW w:w="2250" w:type="dxa"/>
            <w:tcBorders>
              <w:top w:val="nil"/>
              <w:left w:val="nil"/>
              <w:bottom w:val="single" w:sz="4" w:space="0" w:color="auto"/>
              <w:right w:val="nil"/>
            </w:tcBorders>
            <w:shd w:val="clear" w:color="auto" w:fill="auto"/>
            <w:noWrap/>
            <w:vAlign w:val="bottom"/>
          </w:tcPr>
          <w:p w:rsidR="00792C8D" w:rsidRDefault="00792C8D">
            <w:pPr>
              <w:jc w:val="center"/>
            </w:pPr>
            <w:r>
              <w:t>400</w:t>
            </w:r>
          </w:p>
        </w:tc>
        <w:tc>
          <w:tcPr>
            <w:tcW w:w="2790" w:type="dxa"/>
            <w:tcBorders>
              <w:top w:val="nil"/>
              <w:left w:val="single" w:sz="4" w:space="0" w:color="auto"/>
              <w:bottom w:val="single" w:sz="4" w:space="0" w:color="auto"/>
              <w:right w:val="double" w:sz="6" w:space="0" w:color="auto"/>
            </w:tcBorders>
            <w:shd w:val="clear" w:color="auto" w:fill="auto"/>
            <w:noWrap/>
            <w:vAlign w:val="bottom"/>
          </w:tcPr>
          <w:p w:rsidR="00792C8D" w:rsidRDefault="00792C8D">
            <w:pPr>
              <w:jc w:val="center"/>
            </w:pPr>
            <w:r>
              <w:t>20,400</w:t>
            </w:r>
          </w:p>
        </w:tc>
      </w:tr>
      <w:tr w:rsidR="00792C8D" w:rsidTr="000D4CFE">
        <w:trPr>
          <w:trHeight w:val="70"/>
        </w:trPr>
        <w:tc>
          <w:tcPr>
            <w:tcW w:w="1080" w:type="dxa"/>
            <w:tcBorders>
              <w:top w:val="nil"/>
              <w:left w:val="double" w:sz="6" w:space="0" w:color="auto"/>
              <w:bottom w:val="double" w:sz="6" w:space="0" w:color="auto"/>
              <w:right w:val="single" w:sz="4" w:space="0" w:color="auto"/>
            </w:tcBorders>
            <w:shd w:val="clear" w:color="auto" w:fill="auto"/>
            <w:noWrap/>
            <w:vAlign w:val="bottom"/>
          </w:tcPr>
          <w:p w:rsidR="00792C8D" w:rsidRPr="00E801D6" w:rsidRDefault="00792C8D" w:rsidP="00ED12A3">
            <w:pPr>
              <w:jc w:val="center"/>
              <w:rPr>
                <w:b/>
              </w:rPr>
            </w:pPr>
            <w:r w:rsidRPr="00E801D6">
              <w:rPr>
                <w:b/>
              </w:rPr>
              <w:t>201</w:t>
            </w:r>
            <w:r>
              <w:rPr>
                <w:b/>
              </w:rPr>
              <w:t>8</w:t>
            </w:r>
          </w:p>
        </w:tc>
        <w:tc>
          <w:tcPr>
            <w:tcW w:w="2389" w:type="dxa"/>
            <w:tcBorders>
              <w:top w:val="nil"/>
              <w:left w:val="nil"/>
              <w:bottom w:val="double" w:sz="6" w:space="0" w:color="auto"/>
              <w:right w:val="single" w:sz="4" w:space="0" w:color="auto"/>
            </w:tcBorders>
            <w:shd w:val="clear" w:color="auto" w:fill="auto"/>
            <w:noWrap/>
            <w:vAlign w:val="bottom"/>
          </w:tcPr>
          <w:p w:rsidR="00792C8D" w:rsidRDefault="00792C8D">
            <w:pPr>
              <w:jc w:val="center"/>
            </w:pPr>
            <w:r>
              <w:t>51</w:t>
            </w:r>
          </w:p>
        </w:tc>
        <w:tc>
          <w:tcPr>
            <w:tcW w:w="2250" w:type="dxa"/>
            <w:tcBorders>
              <w:top w:val="nil"/>
              <w:left w:val="nil"/>
              <w:bottom w:val="double" w:sz="6" w:space="0" w:color="auto"/>
              <w:right w:val="nil"/>
            </w:tcBorders>
            <w:shd w:val="clear" w:color="auto" w:fill="auto"/>
            <w:noWrap/>
            <w:vAlign w:val="bottom"/>
          </w:tcPr>
          <w:p w:rsidR="00792C8D" w:rsidRDefault="00792C8D">
            <w:pPr>
              <w:jc w:val="center"/>
            </w:pPr>
            <w:r>
              <w:t>400</w:t>
            </w:r>
          </w:p>
        </w:tc>
        <w:tc>
          <w:tcPr>
            <w:tcW w:w="2790" w:type="dxa"/>
            <w:tcBorders>
              <w:top w:val="nil"/>
              <w:left w:val="single" w:sz="4" w:space="0" w:color="auto"/>
              <w:bottom w:val="double" w:sz="6" w:space="0" w:color="auto"/>
              <w:right w:val="double" w:sz="6" w:space="0" w:color="auto"/>
            </w:tcBorders>
            <w:shd w:val="clear" w:color="auto" w:fill="auto"/>
            <w:noWrap/>
            <w:vAlign w:val="bottom"/>
          </w:tcPr>
          <w:p w:rsidR="00792C8D" w:rsidRDefault="00792C8D">
            <w:pPr>
              <w:jc w:val="center"/>
            </w:pPr>
            <w:r>
              <w:t>20,400</w:t>
            </w:r>
          </w:p>
        </w:tc>
      </w:tr>
    </w:tbl>
    <w:p w:rsidR="00C00C13" w:rsidRDefault="00C00C13" w:rsidP="00BD4000">
      <w:pPr>
        <w:autoSpaceDE w:val="0"/>
        <w:autoSpaceDN w:val="0"/>
        <w:adjustRightInd w:val="0"/>
        <w:rPr>
          <w:b/>
        </w:rPr>
      </w:pPr>
    </w:p>
    <w:p w:rsidR="00B27361" w:rsidRPr="002B698E" w:rsidRDefault="00B27361" w:rsidP="00B90AEA">
      <w:pPr>
        <w:autoSpaceDE w:val="0"/>
        <w:autoSpaceDN w:val="0"/>
        <w:adjustRightInd w:val="0"/>
        <w:ind w:left="720" w:hanging="360"/>
      </w:pPr>
      <w:r w:rsidRPr="002B698E">
        <w:t xml:space="preserve">b. </w:t>
      </w:r>
      <w:r w:rsidR="00B90AEA">
        <w:tab/>
      </w:r>
      <w:r w:rsidRPr="002B698E">
        <w:rPr>
          <w:u w:val="single"/>
        </w:rPr>
        <w:t>Biennial Report</w:t>
      </w:r>
    </w:p>
    <w:p w:rsidR="0057005B" w:rsidRDefault="00A61317" w:rsidP="0057005B">
      <w:pPr>
        <w:autoSpaceDE w:val="0"/>
        <w:autoSpaceDN w:val="0"/>
        <w:adjustRightInd w:val="0"/>
        <w:ind w:left="720"/>
      </w:pPr>
      <w:r>
        <w:t xml:space="preserve">The </w:t>
      </w:r>
      <w:r w:rsidR="00B27361" w:rsidRPr="002B698E">
        <w:t>EPA estimate</w:t>
      </w:r>
      <w:r w:rsidR="00965F31">
        <w:t xml:space="preserve">s that, over the </w:t>
      </w:r>
      <w:r w:rsidR="002C0BA7">
        <w:t>3-year</w:t>
      </w:r>
      <w:r w:rsidR="00B27361" w:rsidRPr="002B698E">
        <w:t xml:space="preserve"> period covered by this ICR, each State will spend a</w:t>
      </w:r>
      <w:r w:rsidR="00965F31">
        <w:t xml:space="preserve">n average of 275 hours per year in years during which a report is due </w:t>
      </w:r>
      <w:r w:rsidR="00B27361" w:rsidRPr="002B698E">
        <w:t>to compile each Biennial Report.</w:t>
      </w:r>
      <w:r w:rsidR="00BD4000">
        <w:t xml:space="preserve"> </w:t>
      </w:r>
      <w:r w:rsidR="00B27361" w:rsidRPr="002B698E">
        <w:t xml:space="preserve">The Report is required every two years. This ICR assumes that </w:t>
      </w:r>
      <w:r w:rsidR="005146D4">
        <w:t xml:space="preserve">approximately half of the States will submit a Report in </w:t>
      </w:r>
      <w:r w:rsidR="003C1333">
        <w:t xml:space="preserve">2016 </w:t>
      </w:r>
      <w:r w:rsidR="002A0FED">
        <w:t xml:space="preserve">(having last submitted a Report in </w:t>
      </w:r>
      <w:r w:rsidR="003C1333">
        <w:t>2014</w:t>
      </w:r>
      <w:r w:rsidR="002A0FED">
        <w:t xml:space="preserve">) </w:t>
      </w:r>
      <w:r w:rsidR="005146D4">
        <w:t xml:space="preserve">and </w:t>
      </w:r>
      <w:r w:rsidR="003C1333">
        <w:t xml:space="preserve">2018 </w:t>
      </w:r>
      <w:r w:rsidR="005146D4">
        <w:t xml:space="preserve">while the other </w:t>
      </w:r>
      <w:r w:rsidR="00667536">
        <w:t xml:space="preserve">half will submit a Report in </w:t>
      </w:r>
      <w:r w:rsidR="003C1333">
        <w:t xml:space="preserve">2017 </w:t>
      </w:r>
      <w:r w:rsidR="005146D4">
        <w:t xml:space="preserve">(having last submitted a Report in </w:t>
      </w:r>
      <w:r w:rsidR="003C1333">
        <w:t>20</w:t>
      </w:r>
      <w:r w:rsidR="000D5570">
        <w:t>15</w:t>
      </w:r>
      <w:r w:rsidR="005146D4">
        <w:t>).</w:t>
      </w:r>
      <w:r w:rsidR="00B27361" w:rsidRPr="002B698E">
        <w:t xml:space="preserve"> Table 2 shows the total national burden from the Biennial Report.</w:t>
      </w:r>
    </w:p>
    <w:p w:rsidR="0057005B" w:rsidRDefault="0057005B" w:rsidP="0057005B">
      <w:pPr>
        <w:autoSpaceDE w:val="0"/>
        <w:autoSpaceDN w:val="0"/>
        <w:adjustRightInd w:val="0"/>
        <w:ind w:left="720"/>
      </w:pPr>
    </w:p>
    <w:p w:rsidR="00022181" w:rsidRDefault="00F11A9D" w:rsidP="00022181">
      <w:pPr>
        <w:autoSpaceDE w:val="0"/>
        <w:autoSpaceDN w:val="0"/>
        <w:adjustRightInd w:val="0"/>
        <w:ind w:left="720"/>
        <w:rPr>
          <w:b/>
        </w:rPr>
      </w:pPr>
      <w:r w:rsidRPr="005F113E">
        <w:rPr>
          <w:b/>
        </w:rPr>
        <w:t>Table 2: Biennial Report National Burden Hours</w:t>
      </w:r>
    </w:p>
    <w:tbl>
      <w:tblPr>
        <w:tblW w:w="8509" w:type="dxa"/>
        <w:tblInd w:w="828" w:type="dxa"/>
        <w:tblLook w:val="0000" w:firstRow="0" w:lastRow="0" w:firstColumn="0" w:lastColumn="0" w:noHBand="0" w:noVBand="0"/>
      </w:tblPr>
      <w:tblGrid>
        <w:gridCol w:w="1176"/>
        <w:gridCol w:w="2293"/>
        <w:gridCol w:w="2250"/>
        <w:gridCol w:w="2790"/>
      </w:tblGrid>
      <w:tr w:rsidR="003C1333" w:rsidTr="000D4CFE">
        <w:trPr>
          <w:trHeight w:val="342"/>
        </w:trPr>
        <w:tc>
          <w:tcPr>
            <w:tcW w:w="1176" w:type="dxa"/>
            <w:vMerge w:val="restart"/>
            <w:tcBorders>
              <w:top w:val="double" w:sz="6" w:space="0" w:color="auto"/>
              <w:left w:val="double" w:sz="6" w:space="0" w:color="auto"/>
              <w:bottom w:val="single" w:sz="12" w:space="0" w:color="000000"/>
              <w:right w:val="single" w:sz="4" w:space="0" w:color="auto"/>
            </w:tcBorders>
            <w:shd w:val="clear" w:color="auto" w:fill="auto"/>
            <w:vAlign w:val="center"/>
          </w:tcPr>
          <w:p w:rsidR="003C1333" w:rsidRDefault="003C1333" w:rsidP="00022181">
            <w:pPr>
              <w:jc w:val="center"/>
              <w:rPr>
                <w:b/>
                <w:bCs/>
              </w:rPr>
            </w:pPr>
            <w:r>
              <w:rPr>
                <w:b/>
                <w:bCs/>
              </w:rPr>
              <w:t>Year</w:t>
            </w:r>
          </w:p>
        </w:tc>
        <w:tc>
          <w:tcPr>
            <w:tcW w:w="2293" w:type="dxa"/>
            <w:tcBorders>
              <w:top w:val="double" w:sz="6" w:space="0" w:color="auto"/>
              <w:left w:val="nil"/>
              <w:bottom w:val="single" w:sz="4" w:space="0" w:color="auto"/>
              <w:right w:val="single" w:sz="4" w:space="0" w:color="auto"/>
            </w:tcBorders>
            <w:shd w:val="clear" w:color="auto" w:fill="auto"/>
            <w:vAlign w:val="center"/>
          </w:tcPr>
          <w:p w:rsidR="003C1333" w:rsidRDefault="003C1333" w:rsidP="00022181">
            <w:pPr>
              <w:jc w:val="center"/>
              <w:rPr>
                <w:b/>
                <w:bCs/>
              </w:rPr>
            </w:pPr>
            <w:r>
              <w:rPr>
                <w:b/>
                <w:bCs/>
              </w:rPr>
              <w:t>Number of States</w:t>
            </w:r>
          </w:p>
        </w:tc>
        <w:tc>
          <w:tcPr>
            <w:tcW w:w="2250" w:type="dxa"/>
            <w:tcBorders>
              <w:top w:val="double" w:sz="6" w:space="0" w:color="auto"/>
              <w:left w:val="nil"/>
              <w:bottom w:val="single" w:sz="4" w:space="0" w:color="auto"/>
              <w:right w:val="single" w:sz="4" w:space="0" w:color="auto"/>
            </w:tcBorders>
            <w:shd w:val="clear" w:color="auto" w:fill="auto"/>
            <w:vAlign w:val="center"/>
          </w:tcPr>
          <w:p w:rsidR="003C1333" w:rsidRDefault="003C1333" w:rsidP="00022181">
            <w:pPr>
              <w:jc w:val="center"/>
              <w:rPr>
                <w:b/>
                <w:bCs/>
              </w:rPr>
            </w:pPr>
            <w:r>
              <w:rPr>
                <w:b/>
                <w:bCs/>
              </w:rPr>
              <w:t>Preparation Hours</w:t>
            </w:r>
          </w:p>
        </w:tc>
        <w:tc>
          <w:tcPr>
            <w:tcW w:w="2790" w:type="dxa"/>
            <w:tcBorders>
              <w:top w:val="double" w:sz="6" w:space="0" w:color="auto"/>
              <w:left w:val="nil"/>
              <w:bottom w:val="single" w:sz="4" w:space="0" w:color="auto"/>
              <w:right w:val="double" w:sz="6" w:space="0" w:color="auto"/>
            </w:tcBorders>
            <w:shd w:val="clear" w:color="auto" w:fill="auto"/>
            <w:vAlign w:val="center"/>
          </w:tcPr>
          <w:p w:rsidR="003C1333" w:rsidRDefault="003C1333" w:rsidP="000D4CFE">
            <w:pPr>
              <w:jc w:val="center"/>
              <w:rPr>
                <w:b/>
                <w:bCs/>
              </w:rPr>
            </w:pPr>
            <w:r>
              <w:rPr>
                <w:b/>
                <w:bCs/>
              </w:rPr>
              <w:t>Burden Hours</w:t>
            </w:r>
          </w:p>
        </w:tc>
      </w:tr>
      <w:tr w:rsidR="003C1333" w:rsidTr="000D4CFE">
        <w:trPr>
          <w:trHeight w:val="330"/>
        </w:trPr>
        <w:tc>
          <w:tcPr>
            <w:tcW w:w="1176" w:type="dxa"/>
            <w:vMerge/>
            <w:tcBorders>
              <w:top w:val="double" w:sz="6" w:space="0" w:color="auto"/>
              <w:left w:val="double" w:sz="6" w:space="0" w:color="auto"/>
              <w:bottom w:val="single" w:sz="12" w:space="0" w:color="000000"/>
              <w:right w:val="single" w:sz="4" w:space="0" w:color="auto"/>
            </w:tcBorders>
            <w:vAlign w:val="center"/>
          </w:tcPr>
          <w:p w:rsidR="003C1333" w:rsidRDefault="003C1333" w:rsidP="00022181">
            <w:pPr>
              <w:jc w:val="center"/>
              <w:rPr>
                <w:b/>
                <w:bCs/>
              </w:rPr>
            </w:pPr>
          </w:p>
        </w:tc>
        <w:tc>
          <w:tcPr>
            <w:tcW w:w="2293" w:type="dxa"/>
            <w:tcBorders>
              <w:top w:val="nil"/>
              <w:left w:val="nil"/>
              <w:bottom w:val="single" w:sz="12" w:space="0" w:color="auto"/>
              <w:right w:val="single" w:sz="4" w:space="0" w:color="auto"/>
            </w:tcBorders>
            <w:shd w:val="clear" w:color="auto" w:fill="auto"/>
            <w:vAlign w:val="center"/>
          </w:tcPr>
          <w:p w:rsidR="003C1333" w:rsidRDefault="003C1333" w:rsidP="00022181">
            <w:pPr>
              <w:jc w:val="center"/>
              <w:rPr>
                <w:b/>
                <w:bCs/>
              </w:rPr>
            </w:pPr>
            <w:r>
              <w:rPr>
                <w:b/>
                <w:bCs/>
              </w:rPr>
              <w:t>(A)</w:t>
            </w:r>
          </w:p>
        </w:tc>
        <w:tc>
          <w:tcPr>
            <w:tcW w:w="2250" w:type="dxa"/>
            <w:tcBorders>
              <w:top w:val="nil"/>
              <w:left w:val="nil"/>
              <w:bottom w:val="single" w:sz="12" w:space="0" w:color="auto"/>
              <w:right w:val="single" w:sz="4" w:space="0" w:color="auto"/>
            </w:tcBorders>
            <w:shd w:val="clear" w:color="auto" w:fill="auto"/>
            <w:vAlign w:val="center"/>
          </w:tcPr>
          <w:p w:rsidR="003C1333" w:rsidRDefault="003C1333" w:rsidP="00022181">
            <w:pPr>
              <w:jc w:val="center"/>
              <w:rPr>
                <w:b/>
                <w:bCs/>
              </w:rPr>
            </w:pPr>
            <w:r>
              <w:rPr>
                <w:b/>
                <w:bCs/>
              </w:rPr>
              <w:t>(B)</w:t>
            </w:r>
          </w:p>
        </w:tc>
        <w:tc>
          <w:tcPr>
            <w:tcW w:w="2790" w:type="dxa"/>
            <w:tcBorders>
              <w:top w:val="nil"/>
              <w:left w:val="nil"/>
              <w:bottom w:val="single" w:sz="12" w:space="0" w:color="auto"/>
              <w:right w:val="double" w:sz="6" w:space="0" w:color="auto"/>
            </w:tcBorders>
            <w:shd w:val="clear" w:color="auto" w:fill="auto"/>
            <w:vAlign w:val="center"/>
          </w:tcPr>
          <w:p w:rsidR="003C1333" w:rsidRDefault="003C1333" w:rsidP="00022181">
            <w:pPr>
              <w:jc w:val="center"/>
              <w:rPr>
                <w:b/>
                <w:bCs/>
              </w:rPr>
            </w:pPr>
            <w:r>
              <w:rPr>
                <w:b/>
                <w:bCs/>
              </w:rPr>
              <w:t>(A x B)</w:t>
            </w:r>
          </w:p>
        </w:tc>
      </w:tr>
      <w:tr w:rsidR="003C1333" w:rsidTr="000D4CFE">
        <w:trPr>
          <w:trHeight w:val="360"/>
        </w:trPr>
        <w:tc>
          <w:tcPr>
            <w:tcW w:w="1176" w:type="dxa"/>
            <w:tcBorders>
              <w:top w:val="nil"/>
              <w:left w:val="double" w:sz="6" w:space="0" w:color="auto"/>
              <w:bottom w:val="single" w:sz="4" w:space="0" w:color="auto"/>
              <w:right w:val="single" w:sz="4" w:space="0" w:color="auto"/>
            </w:tcBorders>
            <w:shd w:val="clear" w:color="auto" w:fill="auto"/>
            <w:noWrap/>
            <w:vAlign w:val="bottom"/>
          </w:tcPr>
          <w:p w:rsidR="003C1333" w:rsidRDefault="003C1333" w:rsidP="003C1333">
            <w:pPr>
              <w:jc w:val="center"/>
              <w:rPr>
                <w:b/>
                <w:bCs/>
              </w:rPr>
            </w:pPr>
            <w:r w:rsidRPr="00E801D6">
              <w:rPr>
                <w:b/>
                <w:bCs/>
              </w:rPr>
              <w:t>20</w:t>
            </w:r>
            <w:r>
              <w:rPr>
                <w:b/>
                <w:bCs/>
              </w:rPr>
              <w:t>16</w:t>
            </w:r>
          </w:p>
        </w:tc>
        <w:tc>
          <w:tcPr>
            <w:tcW w:w="2293" w:type="dxa"/>
            <w:tcBorders>
              <w:top w:val="nil"/>
              <w:left w:val="nil"/>
              <w:bottom w:val="single" w:sz="4" w:space="0" w:color="auto"/>
              <w:right w:val="single" w:sz="4" w:space="0" w:color="auto"/>
            </w:tcBorders>
            <w:shd w:val="clear" w:color="auto" w:fill="auto"/>
            <w:noWrap/>
            <w:vAlign w:val="center"/>
          </w:tcPr>
          <w:p w:rsidR="003C1333" w:rsidRDefault="003C1333" w:rsidP="003C1333">
            <w:pPr>
              <w:jc w:val="center"/>
            </w:pPr>
            <w:r>
              <w:t>26</w:t>
            </w:r>
          </w:p>
        </w:tc>
        <w:tc>
          <w:tcPr>
            <w:tcW w:w="2250" w:type="dxa"/>
            <w:tcBorders>
              <w:top w:val="nil"/>
              <w:left w:val="nil"/>
              <w:bottom w:val="single" w:sz="4" w:space="0" w:color="auto"/>
              <w:right w:val="single" w:sz="4" w:space="0" w:color="auto"/>
            </w:tcBorders>
            <w:shd w:val="clear" w:color="auto" w:fill="auto"/>
            <w:noWrap/>
            <w:vAlign w:val="center"/>
          </w:tcPr>
          <w:p w:rsidR="003C1333" w:rsidRDefault="003C1333" w:rsidP="003C1333">
            <w:pPr>
              <w:jc w:val="center"/>
            </w:pPr>
            <w:r>
              <w:t>275</w:t>
            </w:r>
          </w:p>
        </w:tc>
        <w:tc>
          <w:tcPr>
            <w:tcW w:w="2790" w:type="dxa"/>
            <w:tcBorders>
              <w:top w:val="nil"/>
              <w:left w:val="nil"/>
              <w:bottom w:val="single" w:sz="4" w:space="0" w:color="auto"/>
              <w:right w:val="double" w:sz="6" w:space="0" w:color="auto"/>
            </w:tcBorders>
            <w:shd w:val="clear" w:color="auto" w:fill="auto"/>
            <w:noWrap/>
            <w:vAlign w:val="center"/>
          </w:tcPr>
          <w:p w:rsidR="003C1333" w:rsidRDefault="003C1333" w:rsidP="003C1333">
            <w:pPr>
              <w:jc w:val="center"/>
            </w:pPr>
            <w:r>
              <w:t>7,150</w:t>
            </w:r>
          </w:p>
        </w:tc>
      </w:tr>
      <w:tr w:rsidR="003C1333" w:rsidTr="000D4CFE">
        <w:trPr>
          <w:trHeight w:val="315"/>
        </w:trPr>
        <w:tc>
          <w:tcPr>
            <w:tcW w:w="1176" w:type="dxa"/>
            <w:tcBorders>
              <w:top w:val="nil"/>
              <w:left w:val="double" w:sz="6" w:space="0" w:color="auto"/>
              <w:bottom w:val="single" w:sz="4" w:space="0" w:color="auto"/>
              <w:right w:val="single" w:sz="4" w:space="0" w:color="auto"/>
            </w:tcBorders>
            <w:shd w:val="clear" w:color="auto" w:fill="auto"/>
            <w:noWrap/>
            <w:vAlign w:val="bottom"/>
          </w:tcPr>
          <w:p w:rsidR="003C1333" w:rsidRDefault="003C1333" w:rsidP="003C1333">
            <w:pPr>
              <w:jc w:val="center"/>
              <w:rPr>
                <w:b/>
                <w:bCs/>
              </w:rPr>
            </w:pPr>
            <w:r w:rsidRPr="00E801D6">
              <w:rPr>
                <w:b/>
              </w:rPr>
              <w:t>201</w:t>
            </w:r>
            <w:r>
              <w:rPr>
                <w:b/>
              </w:rPr>
              <w:t>7</w:t>
            </w:r>
          </w:p>
        </w:tc>
        <w:tc>
          <w:tcPr>
            <w:tcW w:w="2293" w:type="dxa"/>
            <w:tcBorders>
              <w:top w:val="nil"/>
              <w:left w:val="nil"/>
              <w:bottom w:val="single" w:sz="4" w:space="0" w:color="auto"/>
              <w:right w:val="single" w:sz="4" w:space="0" w:color="auto"/>
            </w:tcBorders>
            <w:shd w:val="clear" w:color="auto" w:fill="auto"/>
            <w:noWrap/>
            <w:vAlign w:val="center"/>
          </w:tcPr>
          <w:p w:rsidR="003C1333" w:rsidRDefault="003C1333" w:rsidP="003C1333">
            <w:pPr>
              <w:jc w:val="center"/>
            </w:pPr>
            <w:r>
              <w:t>25</w:t>
            </w:r>
          </w:p>
        </w:tc>
        <w:tc>
          <w:tcPr>
            <w:tcW w:w="2250" w:type="dxa"/>
            <w:tcBorders>
              <w:top w:val="nil"/>
              <w:left w:val="nil"/>
              <w:bottom w:val="single" w:sz="4" w:space="0" w:color="auto"/>
              <w:right w:val="single" w:sz="4" w:space="0" w:color="auto"/>
            </w:tcBorders>
            <w:shd w:val="clear" w:color="auto" w:fill="auto"/>
            <w:noWrap/>
            <w:vAlign w:val="center"/>
          </w:tcPr>
          <w:p w:rsidR="003C1333" w:rsidRDefault="003C1333" w:rsidP="003C1333">
            <w:pPr>
              <w:jc w:val="center"/>
            </w:pPr>
            <w:r>
              <w:t>275</w:t>
            </w:r>
          </w:p>
        </w:tc>
        <w:tc>
          <w:tcPr>
            <w:tcW w:w="2790" w:type="dxa"/>
            <w:tcBorders>
              <w:top w:val="nil"/>
              <w:left w:val="nil"/>
              <w:bottom w:val="single" w:sz="4" w:space="0" w:color="auto"/>
              <w:right w:val="double" w:sz="6" w:space="0" w:color="auto"/>
            </w:tcBorders>
            <w:shd w:val="clear" w:color="auto" w:fill="auto"/>
            <w:noWrap/>
            <w:vAlign w:val="center"/>
          </w:tcPr>
          <w:p w:rsidR="003C1333" w:rsidRDefault="003C1333" w:rsidP="003C1333">
            <w:pPr>
              <w:jc w:val="center"/>
            </w:pPr>
            <w:r>
              <w:t>6,875</w:t>
            </w:r>
          </w:p>
        </w:tc>
      </w:tr>
      <w:tr w:rsidR="003C1333" w:rsidTr="000D4CFE">
        <w:trPr>
          <w:trHeight w:val="330"/>
        </w:trPr>
        <w:tc>
          <w:tcPr>
            <w:tcW w:w="1176" w:type="dxa"/>
            <w:tcBorders>
              <w:top w:val="nil"/>
              <w:left w:val="double" w:sz="6" w:space="0" w:color="auto"/>
              <w:bottom w:val="double" w:sz="6" w:space="0" w:color="auto"/>
              <w:right w:val="single" w:sz="4" w:space="0" w:color="auto"/>
            </w:tcBorders>
            <w:shd w:val="clear" w:color="auto" w:fill="auto"/>
            <w:noWrap/>
            <w:vAlign w:val="bottom"/>
          </w:tcPr>
          <w:p w:rsidR="003C1333" w:rsidRDefault="003C1333" w:rsidP="003C1333">
            <w:pPr>
              <w:jc w:val="center"/>
              <w:rPr>
                <w:b/>
                <w:bCs/>
              </w:rPr>
            </w:pPr>
            <w:r w:rsidRPr="00E801D6">
              <w:rPr>
                <w:b/>
              </w:rPr>
              <w:t>201</w:t>
            </w:r>
            <w:r>
              <w:rPr>
                <w:b/>
              </w:rPr>
              <w:t>8</w:t>
            </w:r>
          </w:p>
        </w:tc>
        <w:tc>
          <w:tcPr>
            <w:tcW w:w="2293" w:type="dxa"/>
            <w:tcBorders>
              <w:top w:val="nil"/>
              <w:left w:val="nil"/>
              <w:bottom w:val="double" w:sz="6" w:space="0" w:color="auto"/>
              <w:right w:val="single" w:sz="4" w:space="0" w:color="auto"/>
            </w:tcBorders>
            <w:shd w:val="clear" w:color="auto" w:fill="auto"/>
            <w:noWrap/>
            <w:vAlign w:val="center"/>
          </w:tcPr>
          <w:p w:rsidR="003C1333" w:rsidRDefault="003C1333" w:rsidP="003C1333">
            <w:pPr>
              <w:jc w:val="center"/>
            </w:pPr>
            <w:r>
              <w:t>26</w:t>
            </w:r>
          </w:p>
        </w:tc>
        <w:tc>
          <w:tcPr>
            <w:tcW w:w="2250" w:type="dxa"/>
            <w:tcBorders>
              <w:top w:val="nil"/>
              <w:left w:val="nil"/>
              <w:bottom w:val="double" w:sz="6" w:space="0" w:color="auto"/>
              <w:right w:val="single" w:sz="4" w:space="0" w:color="auto"/>
            </w:tcBorders>
            <w:shd w:val="clear" w:color="auto" w:fill="auto"/>
            <w:noWrap/>
            <w:vAlign w:val="center"/>
          </w:tcPr>
          <w:p w:rsidR="003C1333" w:rsidRDefault="003C1333" w:rsidP="003C1333">
            <w:pPr>
              <w:jc w:val="center"/>
            </w:pPr>
            <w:r>
              <w:t>275</w:t>
            </w:r>
          </w:p>
        </w:tc>
        <w:tc>
          <w:tcPr>
            <w:tcW w:w="2790" w:type="dxa"/>
            <w:tcBorders>
              <w:top w:val="nil"/>
              <w:left w:val="nil"/>
              <w:bottom w:val="double" w:sz="6" w:space="0" w:color="auto"/>
              <w:right w:val="double" w:sz="6" w:space="0" w:color="auto"/>
            </w:tcBorders>
            <w:shd w:val="clear" w:color="auto" w:fill="auto"/>
            <w:noWrap/>
            <w:vAlign w:val="center"/>
          </w:tcPr>
          <w:p w:rsidR="003C1333" w:rsidRDefault="003C1333" w:rsidP="003C1333">
            <w:pPr>
              <w:jc w:val="center"/>
            </w:pPr>
            <w:r>
              <w:t>7,150</w:t>
            </w:r>
          </w:p>
        </w:tc>
      </w:tr>
    </w:tbl>
    <w:p w:rsidR="00022181" w:rsidRDefault="00022181" w:rsidP="00AE46B0">
      <w:pPr>
        <w:autoSpaceDE w:val="0"/>
        <w:autoSpaceDN w:val="0"/>
        <w:adjustRightInd w:val="0"/>
        <w:rPr>
          <w:b/>
        </w:rPr>
      </w:pPr>
    </w:p>
    <w:p w:rsidR="00B27361" w:rsidRPr="002B698E" w:rsidRDefault="00B27361" w:rsidP="00B90AEA">
      <w:pPr>
        <w:autoSpaceDE w:val="0"/>
        <w:autoSpaceDN w:val="0"/>
        <w:adjustRightInd w:val="0"/>
        <w:ind w:left="720" w:hanging="360"/>
        <w:rPr>
          <w:u w:val="single"/>
        </w:rPr>
      </w:pPr>
      <w:r w:rsidRPr="002B698E">
        <w:t xml:space="preserve">c. </w:t>
      </w:r>
      <w:r w:rsidRPr="002B698E">
        <w:rPr>
          <w:u w:val="single"/>
        </w:rPr>
        <w:t>State Audit</w:t>
      </w:r>
    </w:p>
    <w:p w:rsidR="00B27361" w:rsidRPr="002B698E" w:rsidRDefault="00B27361" w:rsidP="00B90AEA">
      <w:pPr>
        <w:autoSpaceDE w:val="0"/>
        <w:autoSpaceDN w:val="0"/>
        <w:adjustRightInd w:val="0"/>
        <w:ind w:left="720"/>
      </w:pPr>
      <w:r w:rsidRPr="002B698E">
        <w:t xml:space="preserve">The estimated average burden for each State </w:t>
      </w:r>
      <w:r w:rsidR="00943C52">
        <w:t>Audit</w:t>
      </w:r>
      <w:r w:rsidRPr="002B698E">
        <w:t xml:space="preserve"> </w:t>
      </w:r>
      <w:r w:rsidR="00943C52">
        <w:t>is</w:t>
      </w:r>
      <w:r w:rsidRPr="002B698E">
        <w:t xml:space="preserve"> 80 hours per year. States are required to comply with the provisions of the Single Audit Act. </w:t>
      </w:r>
      <w:r w:rsidR="00943C52">
        <w:t xml:space="preserve">States may build </w:t>
      </w:r>
      <w:r w:rsidRPr="002B698E">
        <w:t>on audit work done under the Single Audit Act to complete the separate audit required for this program. Table 3 shows the total national burden from the State Audit.</w:t>
      </w:r>
    </w:p>
    <w:p w:rsidR="002750F1" w:rsidRPr="002B698E" w:rsidRDefault="002750F1" w:rsidP="00AE46B0">
      <w:pPr>
        <w:autoSpaceDE w:val="0"/>
        <w:autoSpaceDN w:val="0"/>
        <w:adjustRightInd w:val="0"/>
      </w:pPr>
    </w:p>
    <w:p w:rsidR="00B27361" w:rsidRDefault="00F11A9D" w:rsidP="005C24C9">
      <w:pPr>
        <w:autoSpaceDE w:val="0"/>
        <w:autoSpaceDN w:val="0"/>
        <w:adjustRightInd w:val="0"/>
        <w:ind w:firstLine="720"/>
        <w:rPr>
          <w:b/>
        </w:rPr>
      </w:pPr>
      <w:r w:rsidRPr="005F113E">
        <w:rPr>
          <w:b/>
        </w:rPr>
        <w:t>Table 3: State Audit National Burden Hours</w:t>
      </w:r>
    </w:p>
    <w:tbl>
      <w:tblPr>
        <w:tblW w:w="8517" w:type="dxa"/>
        <w:tblInd w:w="828" w:type="dxa"/>
        <w:tblLook w:val="0000" w:firstRow="0" w:lastRow="0" w:firstColumn="0" w:lastColumn="0" w:noHBand="0" w:noVBand="0"/>
      </w:tblPr>
      <w:tblGrid>
        <w:gridCol w:w="1176"/>
        <w:gridCol w:w="2301"/>
        <w:gridCol w:w="2250"/>
        <w:gridCol w:w="2790"/>
      </w:tblGrid>
      <w:tr w:rsidR="00C02D16" w:rsidTr="000D4CFE">
        <w:trPr>
          <w:trHeight w:val="330"/>
        </w:trPr>
        <w:tc>
          <w:tcPr>
            <w:tcW w:w="1176" w:type="dxa"/>
            <w:vMerge w:val="restart"/>
            <w:tcBorders>
              <w:top w:val="double" w:sz="4" w:space="0" w:color="auto"/>
              <w:left w:val="double" w:sz="4" w:space="0" w:color="auto"/>
              <w:bottom w:val="single" w:sz="12" w:space="0" w:color="000000"/>
              <w:right w:val="single" w:sz="4" w:space="0" w:color="auto"/>
            </w:tcBorders>
            <w:shd w:val="clear" w:color="auto" w:fill="auto"/>
            <w:vAlign w:val="center"/>
          </w:tcPr>
          <w:p w:rsidR="00C02D16" w:rsidRDefault="00C02D16" w:rsidP="005C24C9">
            <w:pPr>
              <w:jc w:val="center"/>
              <w:rPr>
                <w:b/>
                <w:bCs/>
              </w:rPr>
            </w:pPr>
            <w:r>
              <w:rPr>
                <w:b/>
                <w:bCs/>
              </w:rPr>
              <w:t>Year</w:t>
            </w:r>
          </w:p>
        </w:tc>
        <w:tc>
          <w:tcPr>
            <w:tcW w:w="2301" w:type="dxa"/>
            <w:tcBorders>
              <w:top w:val="double" w:sz="4" w:space="0" w:color="auto"/>
              <w:left w:val="single" w:sz="4" w:space="0" w:color="auto"/>
              <w:bottom w:val="single" w:sz="4" w:space="0" w:color="auto"/>
              <w:right w:val="single" w:sz="4" w:space="0" w:color="auto"/>
            </w:tcBorders>
            <w:shd w:val="clear" w:color="auto" w:fill="auto"/>
            <w:vAlign w:val="center"/>
          </w:tcPr>
          <w:p w:rsidR="00C02D16" w:rsidRDefault="00C02D16" w:rsidP="00654726">
            <w:pPr>
              <w:jc w:val="center"/>
              <w:rPr>
                <w:b/>
                <w:bCs/>
              </w:rPr>
            </w:pPr>
            <w:r>
              <w:rPr>
                <w:b/>
                <w:bCs/>
              </w:rPr>
              <w:t>Number of States</w:t>
            </w:r>
          </w:p>
        </w:tc>
        <w:tc>
          <w:tcPr>
            <w:tcW w:w="2250" w:type="dxa"/>
            <w:tcBorders>
              <w:top w:val="double" w:sz="4" w:space="0" w:color="auto"/>
              <w:left w:val="nil"/>
              <w:bottom w:val="single" w:sz="4" w:space="0" w:color="auto"/>
              <w:right w:val="single" w:sz="4" w:space="0" w:color="auto"/>
            </w:tcBorders>
            <w:shd w:val="clear" w:color="auto" w:fill="auto"/>
            <w:vAlign w:val="center"/>
          </w:tcPr>
          <w:p w:rsidR="00C02D16" w:rsidRDefault="00C02D16" w:rsidP="0035701F">
            <w:pPr>
              <w:jc w:val="center"/>
              <w:rPr>
                <w:b/>
                <w:bCs/>
              </w:rPr>
            </w:pPr>
            <w:r>
              <w:rPr>
                <w:b/>
                <w:bCs/>
              </w:rPr>
              <w:t>Preparation Hours</w:t>
            </w:r>
          </w:p>
        </w:tc>
        <w:tc>
          <w:tcPr>
            <w:tcW w:w="2790" w:type="dxa"/>
            <w:tcBorders>
              <w:top w:val="double" w:sz="4" w:space="0" w:color="auto"/>
              <w:left w:val="nil"/>
              <w:bottom w:val="single" w:sz="4" w:space="0" w:color="auto"/>
              <w:right w:val="double" w:sz="4" w:space="0" w:color="auto"/>
            </w:tcBorders>
            <w:shd w:val="clear" w:color="auto" w:fill="auto"/>
            <w:vAlign w:val="center"/>
          </w:tcPr>
          <w:p w:rsidR="00C02D16" w:rsidRDefault="00C02D16" w:rsidP="000D4CFE">
            <w:pPr>
              <w:jc w:val="center"/>
              <w:rPr>
                <w:b/>
                <w:bCs/>
              </w:rPr>
            </w:pPr>
            <w:r>
              <w:rPr>
                <w:b/>
                <w:bCs/>
              </w:rPr>
              <w:t>Burden Hours</w:t>
            </w:r>
          </w:p>
        </w:tc>
      </w:tr>
      <w:tr w:rsidR="00C02D16" w:rsidTr="000D4CFE">
        <w:trPr>
          <w:trHeight w:val="225"/>
        </w:trPr>
        <w:tc>
          <w:tcPr>
            <w:tcW w:w="1176" w:type="dxa"/>
            <w:vMerge/>
            <w:tcBorders>
              <w:top w:val="double" w:sz="6" w:space="0" w:color="auto"/>
              <w:left w:val="double" w:sz="4" w:space="0" w:color="auto"/>
              <w:bottom w:val="single" w:sz="12" w:space="0" w:color="000000"/>
              <w:right w:val="single" w:sz="4" w:space="0" w:color="auto"/>
            </w:tcBorders>
            <w:vAlign w:val="center"/>
          </w:tcPr>
          <w:p w:rsidR="00C02D16" w:rsidRDefault="00C02D16" w:rsidP="005C24C9">
            <w:pPr>
              <w:jc w:val="center"/>
              <w:rPr>
                <w:b/>
                <w:bCs/>
              </w:rPr>
            </w:pPr>
          </w:p>
        </w:tc>
        <w:tc>
          <w:tcPr>
            <w:tcW w:w="2301" w:type="dxa"/>
            <w:tcBorders>
              <w:top w:val="single" w:sz="4" w:space="0" w:color="auto"/>
              <w:left w:val="single" w:sz="4" w:space="0" w:color="auto"/>
              <w:bottom w:val="single" w:sz="12" w:space="0" w:color="000000"/>
              <w:right w:val="single" w:sz="4" w:space="0" w:color="auto"/>
            </w:tcBorders>
            <w:shd w:val="clear" w:color="auto" w:fill="auto"/>
            <w:vAlign w:val="center"/>
          </w:tcPr>
          <w:p w:rsidR="00C02D16" w:rsidRDefault="00C02D16" w:rsidP="005C24C9">
            <w:pPr>
              <w:jc w:val="center"/>
              <w:rPr>
                <w:b/>
                <w:bCs/>
              </w:rPr>
            </w:pPr>
            <w:r>
              <w:rPr>
                <w:b/>
                <w:bCs/>
              </w:rPr>
              <w:t>(A)</w:t>
            </w:r>
          </w:p>
        </w:tc>
        <w:tc>
          <w:tcPr>
            <w:tcW w:w="2250" w:type="dxa"/>
            <w:tcBorders>
              <w:top w:val="nil"/>
              <w:left w:val="nil"/>
              <w:bottom w:val="single" w:sz="12" w:space="0" w:color="auto"/>
              <w:right w:val="single" w:sz="4" w:space="0" w:color="auto"/>
            </w:tcBorders>
            <w:shd w:val="clear" w:color="auto" w:fill="auto"/>
            <w:vAlign w:val="center"/>
          </w:tcPr>
          <w:p w:rsidR="00C02D16" w:rsidRDefault="00C02D16" w:rsidP="005C24C9">
            <w:pPr>
              <w:jc w:val="center"/>
              <w:rPr>
                <w:b/>
                <w:bCs/>
              </w:rPr>
            </w:pPr>
            <w:r>
              <w:rPr>
                <w:b/>
                <w:bCs/>
              </w:rPr>
              <w:t>(B)</w:t>
            </w:r>
          </w:p>
        </w:tc>
        <w:tc>
          <w:tcPr>
            <w:tcW w:w="2790" w:type="dxa"/>
            <w:tcBorders>
              <w:top w:val="nil"/>
              <w:left w:val="nil"/>
              <w:bottom w:val="single" w:sz="12" w:space="0" w:color="auto"/>
              <w:right w:val="double" w:sz="4" w:space="0" w:color="auto"/>
            </w:tcBorders>
            <w:shd w:val="clear" w:color="auto" w:fill="auto"/>
            <w:vAlign w:val="center"/>
          </w:tcPr>
          <w:p w:rsidR="00C02D16" w:rsidRDefault="00C02D16" w:rsidP="005C24C9">
            <w:pPr>
              <w:jc w:val="center"/>
              <w:rPr>
                <w:b/>
                <w:bCs/>
              </w:rPr>
            </w:pPr>
            <w:r>
              <w:rPr>
                <w:b/>
                <w:bCs/>
              </w:rPr>
              <w:t>(A x B)</w:t>
            </w:r>
          </w:p>
        </w:tc>
      </w:tr>
      <w:tr w:rsidR="00C02D16" w:rsidTr="000D4CFE">
        <w:trPr>
          <w:trHeight w:val="330"/>
        </w:trPr>
        <w:tc>
          <w:tcPr>
            <w:tcW w:w="1176" w:type="dxa"/>
            <w:tcBorders>
              <w:top w:val="nil"/>
              <w:left w:val="double" w:sz="4" w:space="0" w:color="auto"/>
              <w:bottom w:val="single" w:sz="4" w:space="0" w:color="auto"/>
              <w:right w:val="single" w:sz="4" w:space="0" w:color="auto"/>
            </w:tcBorders>
            <w:shd w:val="clear" w:color="auto" w:fill="auto"/>
            <w:noWrap/>
            <w:vAlign w:val="bottom"/>
          </w:tcPr>
          <w:p w:rsidR="00C02D16" w:rsidRDefault="00C02D16" w:rsidP="00C02D16">
            <w:pPr>
              <w:jc w:val="center"/>
              <w:rPr>
                <w:b/>
                <w:bCs/>
              </w:rPr>
            </w:pPr>
            <w:r w:rsidRPr="00E801D6">
              <w:rPr>
                <w:b/>
                <w:bCs/>
              </w:rPr>
              <w:t>20</w:t>
            </w:r>
            <w:r>
              <w:rPr>
                <w:b/>
                <w:bCs/>
              </w:rPr>
              <w:t>16</w:t>
            </w:r>
          </w:p>
        </w:tc>
        <w:tc>
          <w:tcPr>
            <w:tcW w:w="2301" w:type="dxa"/>
            <w:tcBorders>
              <w:top w:val="nil"/>
              <w:left w:val="nil"/>
              <w:bottom w:val="single" w:sz="4" w:space="0" w:color="auto"/>
              <w:right w:val="single" w:sz="4" w:space="0" w:color="auto"/>
            </w:tcBorders>
            <w:shd w:val="clear" w:color="auto" w:fill="auto"/>
            <w:noWrap/>
            <w:vAlign w:val="center"/>
          </w:tcPr>
          <w:p w:rsidR="00C02D16" w:rsidRDefault="00C02D16" w:rsidP="00C02D16">
            <w:pPr>
              <w:jc w:val="center"/>
            </w:pPr>
            <w:r>
              <w:t>51</w:t>
            </w:r>
          </w:p>
        </w:tc>
        <w:tc>
          <w:tcPr>
            <w:tcW w:w="2250" w:type="dxa"/>
            <w:tcBorders>
              <w:top w:val="nil"/>
              <w:left w:val="nil"/>
              <w:bottom w:val="single" w:sz="4" w:space="0" w:color="auto"/>
              <w:right w:val="single" w:sz="4" w:space="0" w:color="auto"/>
            </w:tcBorders>
            <w:shd w:val="clear" w:color="auto" w:fill="auto"/>
            <w:noWrap/>
            <w:vAlign w:val="center"/>
          </w:tcPr>
          <w:p w:rsidR="00C02D16" w:rsidRDefault="00C02D16" w:rsidP="00C02D16">
            <w:pPr>
              <w:jc w:val="center"/>
            </w:pPr>
            <w:r>
              <w:t>80</w:t>
            </w:r>
          </w:p>
        </w:tc>
        <w:tc>
          <w:tcPr>
            <w:tcW w:w="2790" w:type="dxa"/>
            <w:tcBorders>
              <w:top w:val="nil"/>
              <w:left w:val="nil"/>
              <w:bottom w:val="single" w:sz="4" w:space="0" w:color="auto"/>
              <w:right w:val="double" w:sz="4" w:space="0" w:color="auto"/>
            </w:tcBorders>
            <w:shd w:val="clear" w:color="auto" w:fill="auto"/>
            <w:noWrap/>
            <w:vAlign w:val="center"/>
          </w:tcPr>
          <w:p w:rsidR="00C02D16" w:rsidRDefault="00C02D16" w:rsidP="00C02D16">
            <w:pPr>
              <w:jc w:val="center"/>
            </w:pPr>
            <w:r>
              <w:t>4,080</w:t>
            </w:r>
          </w:p>
        </w:tc>
      </w:tr>
      <w:tr w:rsidR="00C02D16" w:rsidTr="000D4CFE">
        <w:trPr>
          <w:trHeight w:val="315"/>
        </w:trPr>
        <w:tc>
          <w:tcPr>
            <w:tcW w:w="1176" w:type="dxa"/>
            <w:tcBorders>
              <w:top w:val="nil"/>
              <w:left w:val="double" w:sz="4" w:space="0" w:color="auto"/>
              <w:bottom w:val="single" w:sz="4" w:space="0" w:color="auto"/>
              <w:right w:val="single" w:sz="4" w:space="0" w:color="auto"/>
            </w:tcBorders>
            <w:shd w:val="clear" w:color="auto" w:fill="auto"/>
            <w:noWrap/>
            <w:vAlign w:val="bottom"/>
          </w:tcPr>
          <w:p w:rsidR="00C02D16" w:rsidRDefault="00C02D16" w:rsidP="00C02D16">
            <w:pPr>
              <w:jc w:val="center"/>
              <w:rPr>
                <w:b/>
                <w:bCs/>
              </w:rPr>
            </w:pPr>
            <w:r w:rsidRPr="00E801D6">
              <w:rPr>
                <w:b/>
              </w:rPr>
              <w:t>201</w:t>
            </w:r>
            <w:r>
              <w:rPr>
                <w:b/>
              </w:rPr>
              <w:t>7</w:t>
            </w:r>
          </w:p>
        </w:tc>
        <w:tc>
          <w:tcPr>
            <w:tcW w:w="2301" w:type="dxa"/>
            <w:tcBorders>
              <w:top w:val="nil"/>
              <w:left w:val="nil"/>
              <w:bottom w:val="single" w:sz="4" w:space="0" w:color="auto"/>
              <w:right w:val="single" w:sz="4" w:space="0" w:color="auto"/>
            </w:tcBorders>
            <w:shd w:val="clear" w:color="auto" w:fill="auto"/>
            <w:noWrap/>
            <w:vAlign w:val="center"/>
          </w:tcPr>
          <w:p w:rsidR="00C02D16" w:rsidRDefault="00C02D16" w:rsidP="00C02D16">
            <w:pPr>
              <w:jc w:val="center"/>
            </w:pPr>
            <w:r>
              <w:t>51</w:t>
            </w:r>
          </w:p>
        </w:tc>
        <w:tc>
          <w:tcPr>
            <w:tcW w:w="2250" w:type="dxa"/>
            <w:tcBorders>
              <w:top w:val="nil"/>
              <w:left w:val="nil"/>
              <w:bottom w:val="single" w:sz="4" w:space="0" w:color="auto"/>
              <w:right w:val="single" w:sz="4" w:space="0" w:color="auto"/>
            </w:tcBorders>
            <w:shd w:val="clear" w:color="auto" w:fill="auto"/>
            <w:noWrap/>
            <w:vAlign w:val="center"/>
          </w:tcPr>
          <w:p w:rsidR="00C02D16" w:rsidRDefault="00C02D16" w:rsidP="00C02D16">
            <w:pPr>
              <w:jc w:val="center"/>
            </w:pPr>
            <w:r>
              <w:t>80</w:t>
            </w:r>
          </w:p>
        </w:tc>
        <w:tc>
          <w:tcPr>
            <w:tcW w:w="2790" w:type="dxa"/>
            <w:tcBorders>
              <w:top w:val="nil"/>
              <w:left w:val="nil"/>
              <w:bottom w:val="single" w:sz="4" w:space="0" w:color="auto"/>
              <w:right w:val="double" w:sz="4" w:space="0" w:color="auto"/>
            </w:tcBorders>
            <w:shd w:val="clear" w:color="auto" w:fill="auto"/>
            <w:noWrap/>
            <w:vAlign w:val="center"/>
          </w:tcPr>
          <w:p w:rsidR="00C02D16" w:rsidRDefault="00C02D16" w:rsidP="00C02D16">
            <w:pPr>
              <w:jc w:val="center"/>
            </w:pPr>
            <w:r>
              <w:t>4,080</w:t>
            </w:r>
          </w:p>
        </w:tc>
      </w:tr>
      <w:tr w:rsidR="00C02D16" w:rsidTr="000D4CFE">
        <w:trPr>
          <w:trHeight w:val="330"/>
        </w:trPr>
        <w:tc>
          <w:tcPr>
            <w:tcW w:w="1176" w:type="dxa"/>
            <w:tcBorders>
              <w:top w:val="nil"/>
              <w:left w:val="double" w:sz="4" w:space="0" w:color="auto"/>
              <w:bottom w:val="double" w:sz="4" w:space="0" w:color="auto"/>
              <w:right w:val="single" w:sz="4" w:space="0" w:color="auto"/>
            </w:tcBorders>
            <w:shd w:val="clear" w:color="auto" w:fill="auto"/>
            <w:noWrap/>
            <w:vAlign w:val="bottom"/>
          </w:tcPr>
          <w:p w:rsidR="00C02D16" w:rsidRDefault="00C02D16" w:rsidP="00C02D16">
            <w:pPr>
              <w:jc w:val="center"/>
              <w:rPr>
                <w:b/>
                <w:bCs/>
              </w:rPr>
            </w:pPr>
            <w:r w:rsidRPr="00E801D6">
              <w:rPr>
                <w:b/>
              </w:rPr>
              <w:t>201</w:t>
            </w:r>
            <w:r>
              <w:rPr>
                <w:b/>
              </w:rPr>
              <w:t>8</w:t>
            </w:r>
          </w:p>
        </w:tc>
        <w:tc>
          <w:tcPr>
            <w:tcW w:w="2301" w:type="dxa"/>
            <w:tcBorders>
              <w:top w:val="nil"/>
              <w:left w:val="nil"/>
              <w:bottom w:val="double" w:sz="4" w:space="0" w:color="auto"/>
              <w:right w:val="single" w:sz="4" w:space="0" w:color="auto"/>
            </w:tcBorders>
            <w:shd w:val="clear" w:color="auto" w:fill="auto"/>
            <w:noWrap/>
            <w:vAlign w:val="center"/>
          </w:tcPr>
          <w:p w:rsidR="00C02D16" w:rsidRDefault="00C02D16" w:rsidP="00C02D16">
            <w:pPr>
              <w:jc w:val="center"/>
            </w:pPr>
            <w:r>
              <w:t>51</w:t>
            </w:r>
          </w:p>
        </w:tc>
        <w:tc>
          <w:tcPr>
            <w:tcW w:w="2250" w:type="dxa"/>
            <w:tcBorders>
              <w:top w:val="nil"/>
              <w:left w:val="nil"/>
              <w:bottom w:val="double" w:sz="4" w:space="0" w:color="auto"/>
              <w:right w:val="single" w:sz="4" w:space="0" w:color="auto"/>
            </w:tcBorders>
            <w:shd w:val="clear" w:color="auto" w:fill="auto"/>
            <w:noWrap/>
            <w:vAlign w:val="center"/>
          </w:tcPr>
          <w:p w:rsidR="00C02D16" w:rsidRDefault="00C02D16" w:rsidP="00C02D16">
            <w:pPr>
              <w:jc w:val="center"/>
            </w:pPr>
            <w:r>
              <w:t>80</w:t>
            </w:r>
          </w:p>
        </w:tc>
        <w:tc>
          <w:tcPr>
            <w:tcW w:w="2790" w:type="dxa"/>
            <w:tcBorders>
              <w:top w:val="nil"/>
              <w:left w:val="nil"/>
              <w:bottom w:val="double" w:sz="4" w:space="0" w:color="auto"/>
              <w:right w:val="double" w:sz="4" w:space="0" w:color="auto"/>
            </w:tcBorders>
            <w:shd w:val="clear" w:color="auto" w:fill="auto"/>
            <w:noWrap/>
            <w:vAlign w:val="center"/>
          </w:tcPr>
          <w:p w:rsidR="00C02D16" w:rsidRDefault="00C02D16" w:rsidP="00C02D16">
            <w:pPr>
              <w:jc w:val="center"/>
            </w:pPr>
            <w:r>
              <w:t>4,080</w:t>
            </w:r>
          </w:p>
        </w:tc>
      </w:tr>
    </w:tbl>
    <w:p w:rsidR="005C24C9" w:rsidRPr="00A2336D" w:rsidRDefault="005C24C9" w:rsidP="00AE46B0">
      <w:pPr>
        <w:autoSpaceDE w:val="0"/>
        <w:autoSpaceDN w:val="0"/>
        <w:adjustRightInd w:val="0"/>
        <w:rPr>
          <w:b/>
          <w:sz w:val="16"/>
          <w:szCs w:val="16"/>
        </w:rPr>
      </w:pPr>
    </w:p>
    <w:p w:rsidR="00B27361" w:rsidRPr="002B698E" w:rsidRDefault="00B27361" w:rsidP="00B90AEA">
      <w:pPr>
        <w:autoSpaceDE w:val="0"/>
        <w:autoSpaceDN w:val="0"/>
        <w:adjustRightInd w:val="0"/>
        <w:ind w:left="720" w:hanging="360"/>
        <w:rPr>
          <w:u w:val="single"/>
        </w:rPr>
      </w:pPr>
      <w:r w:rsidRPr="00A47774">
        <w:t>d.</w:t>
      </w:r>
      <w:r w:rsidR="00A47774">
        <w:t xml:space="preserve"> </w:t>
      </w:r>
      <w:r w:rsidR="00B90AEA">
        <w:tab/>
      </w:r>
      <w:r w:rsidR="00005674" w:rsidRPr="002B698E">
        <w:rPr>
          <w:u w:val="single"/>
        </w:rPr>
        <w:t xml:space="preserve">Application </w:t>
      </w:r>
      <w:r w:rsidR="00AE46B0">
        <w:rPr>
          <w:u w:val="single"/>
        </w:rPr>
        <w:t>f</w:t>
      </w:r>
      <w:r w:rsidRPr="002B698E">
        <w:rPr>
          <w:u w:val="single"/>
        </w:rPr>
        <w:t xml:space="preserve">or </w:t>
      </w:r>
      <w:r w:rsidR="00005674" w:rsidRPr="002B698E">
        <w:rPr>
          <w:u w:val="single"/>
        </w:rPr>
        <w:t xml:space="preserve">Assistance </w:t>
      </w:r>
      <w:r w:rsidRPr="002B698E">
        <w:rPr>
          <w:u w:val="single"/>
        </w:rPr>
        <w:t>Review</w:t>
      </w:r>
    </w:p>
    <w:p w:rsidR="00B27361" w:rsidRPr="002B698E" w:rsidRDefault="00B27361" w:rsidP="00B90AEA">
      <w:pPr>
        <w:autoSpaceDE w:val="0"/>
        <w:autoSpaceDN w:val="0"/>
        <w:adjustRightInd w:val="0"/>
        <w:ind w:left="720"/>
      </w:pPr>
      <w:r w:rsidRPr="002B698E">
        <w:t>States have responsibility for reviewing and approving local applications for assistance</w:t>
      </w:r>
      <w:r w:rsidR="00F11A9D" w:rsidRPr="002B698E">
        <w:t xml:space="preserve"> </w:t>
      </w:r>
      <w:r w:rsidRPr="002B698E">
        <w:t xml:space="preserve">from the DWSRF program. </w:t>
      </w:r>
      <w:r w:rsidR="00A61317">
        <w:t xml:space="preserve">The </w:t>
      </w:r>
      <w:r w:rsidRPr="002B698E">
        <w:t xml:space="preserve">EPA estimates that the </w:t>
      </w:r>
      <w:r w:rsidR="005528A8">
        <w:t xml:space="preserve">States will spend an average of </w:t>
      </w:r>
      <w:r w:rsidR="00BB21B8">
        <w:t>40</w:t>
      </w:r>
      <w:r w:rsidR="00F11A9D" w:rsidRPr="002B698E">
        <w:t xml:space="preserve"> </w:t>
      </w:r>
      <w:r w:rsidRPr="002B698E">
        <w:t>hours reviewing and approving each assistance applicati</w:t>
      </w:r>
      <w:r w:rsidR="00F11A9D" w:rsidRPr="002B698E">
        <w:t>on</w:t>
      </w:r>
      <w:r w:rsidR="005528A8">
        <w:t xml:space="preserve"> </w:t>
      </w:r>
      <w:r w:rsidR="00BB21B8">
        <w:t>in each of the three years</w:t>
      </w:r>
      <w:r w:rsidR="005528A8">
        <w:t xml:space="preserve">.  </w:t>
      </w:r>
      <w:r w:rsidR="00965F31">
        <w:t xml:space="preserve">Based on historical data, </w:t>
      </w:r>
      <w:r w:rsidR="00A61317">
        <w:t xml:space="preserve">the </w:t>
      </w:r>
      <w:r w:rsidR="00965F31">
        <w:t xml:space="preserve">EPA estimates that, on average, a state will receive 27 applications for review each year. </w:t>
      </w:r>
      <w:r w:rsidR="00F11A9D" w:rsidRPr="002B698E">
        <w:t xml:space="preserve">Table 4 represents the total </w:t>
      </w:r>
      <w:r w:rsidRPr="002B698E">
        <w:t xml:space="preserve">national State burden </w:t>
      </w:r>
      <w:r w:rsidR="00943C52">
        <w:t>from</w:t>
      </w:r>
      <w:r w:rsidRPr="002B698E">
        <w:t xml:space="preserve"> processing DWSRF assistance applications.</w:t>
      </w:r>
    </w:p>
    <w:p w:rsidR="0099498E" w:rsidRPr="00A2336D" w:rsidRDefault="0099498E" w:rsidP="00B90AEA">
      <w:pPr>
        <w:autoSpaceDE w:val="0"/>
        <w:autoSpaceDN w:val="0"/>
        <w:adjustRightInd w:val="0"/>
        <w:ind w:left="720"/>
        <w:rPr>
          <w:sz w:val="16"/>
          <w:szCs w:val="16"/>
        </w:rPr>
      </w:pPr>
    </w:p>
    <w:p w:rsidR="0079679F" w:rsidRDefault="0099498E" w:rsidP="00B90AEA">
      <w:pPr>
        <w:autoSpaceDE w:val="0"/>
        <w:autoSpaceDN w:val="0"/>
        <w:adjustRightInd w:val="0"/>
        <w:ind w:left="720"/>
        <w:rPr>
          <w:b/>
        </w:rPr>
      </w:pPr>
      <w:r w:rsidRPr="005F113E">
        <w:rPr>
          <w:b/>
        </w:rPr>
        <w:t>Table 4: Application Review National Burden Hours</w:t>
      </w:r>
    </w:p>
    <w:tbl>
      <w:tblPr>
        <w:tblW w:w="8247" w:type="dxa"/>
        <w:tblInd w:w="828" w:type="dxa"/>
        <w:tblLayout w:type="fixed"/>
        <w:tblLook w:val="0000" w:firstRow="0" w:lastRow="0" w:firstColumn="0" w:lastColumn="0" w:noHBand="0" w:noVBand="0"/>
      </w:tblPr>
      <w:tblGrid>
        <w:gridCol w:w="900"/>
        <w:gridCol w:w="2037"/>
        <w:gridCol w:w="990"/>
        <w:gridCol w:w="1980"/>
        <w:gridCol w:w="2340"/>
      </w:tblGrid>
      <w:tr w:rsidR="009F2DD8" w:rsidTr="000D4CFE">
        <w:trPr>
          <w:trHeight w:val="357"/>
        </w:trPr>
        <w:tc>
          <w:tcPr>
            <w:tcW w:w="900" w:type="dxa"/>
            <w:vMerge w:val="restart"/>
            <w:tcBorders>
              <w:top w:val="double" w:sz="4" w:space="0" w:color="auto"/>
              <w:left w:val="double" w:sz="4" w:space="0" w:color="auto"/>
              <w:bottom w:val="single" w:sz="12" w:space="0" w:color="000000"/>
              <w:right w:val="single" w:sz="4" w:space="0" w:color="auto"/>
            </w:tcBorders>
            <w:shd w:val="clear" w:color="auto" w:fill="auto"/>
            <w:vAlign w:val="center"/>
          </w:tcPr>
          <w:p w:rsidR="009F2DD8" w:rsidRDefault="009F2DD8" w:rsidP="0079679F">
            <w:pPr>
              <w:jc w:val="center"/>
              <w:rPr>
                <w:b/>
                <w:bCs/>
              </w:rPr>
            </w:pPr>
            <w:r>
              <w:rPr>
                <w:b/>
                <w:bCs/>
              </w:rPr>
              <w:t>Year</w:t>
            </w:r>
          </w:p>
        </w:tc>
        <w:tc>
          <w:tcPr>
            <w:tcW w:w="2037" w:type="dxa"/>
            <w:tcBorders>
              <w:top w:val="double" w:sz="4" w:space="0" w:color="auto"/>
              <w:left w:val="single" w:sz="4" w:space="0" w:color="auto"/>
              <w:bottom w:val="single" w:sz="4" w:space="0" w:color="auto"/>
              <w:right w:val="single" w:sz="4" w:space="0" w:color="auto"/>
            </w:tcBorders>
            <w:shd w:val="clear" w:color="auto" w:fill="auto"/>
            <w:vAlign w:val="center"/>
          </w:tcPr>
          <w:p w:rsidR="009F2DD8" w:rsidRDefault="009F2DD8" w:rsidP="0079679F">
            <w:pPr>
              <w:jc w:val="center"/>
              <w:rPr>
                <w:b/>
                <w:bCs/>
              </w:rPr>
            </w:pPr>
            <w:r>
              <w:rPr>
                <w:b/>
                <w:bCs/>
              </w:rPr>
              <w:t xml:space="preserve">Number of States </w:t>
            </w:r>
          </w:p>
        </w:tc>
        <w:tc>
          <w:tcPr>
            <w:tcW w:w="990" w:type="dxa"/>
            <w:tcBorders>
              <w:top w:val="double" w:sz="4" w:space="0" w:color="auto"/>
              <w:left w:val="single" w:sz="4" w:space="0" w:color="auto"/>
              <w:bottom w:val="single" w:sz="4" w:space="0" w:color="auto"/>
              <w:right w:val="single" w:sz="4" w:space="0" w:color="auto"/>
            </w:tcBorders>
            <w:shd w:val="clear" w:color="auto" w:fill="auto"/>
            <w:vAlign w:val="center"/>
          </w:tcPr>
          <w:p w:rsidR="009F2DD8" w:rsidRDefault="009F2DD8" w:rsidP="0079679F">
            <w:pPr>
              <w:jc w:val="center"/>
              <w:rPr>
                <w:b/>
                <w:bCs/>
              </w:rPr>
            </w:pPr>
            <w:r>
              <w:rPr>
                <w:b/>
                <w:bCs/>
              </w:rPr>
              <w:t>Apps</w:t>
            </w:r>
          </w:p>
        </w:tc>
        <w:tc>
          <w:tcPr>
            <w:tcW w:w="1980" w:type="dxa"/>
            <w:tcBorders>
              <w:top w:val="double" w:sz="4" w:space="0" w:color="auto"/>
              <w:left w:val="single" w:sz="4" w:space="0" w:color="auto"/>
              <w:bottom w:val="single" w:sz="4" w:space="0" w:color="auto"/>
              <w:right w:val="single" w:sz="4" w:space="0" w:color="auto"/>
            </w:tcBorders>
            <w:shd w:val="clear" w:color="auto" w:fill="auto"/>
            <w:vAlign w:val="center"/>
          </w:tcPr>
          <w:p w:rsidR="009F2DD8" w:rsidRDefault="009F2DD8" w:rsidP="000D4CFE">
            <w:pPr>
              <w:jc w:val="center"/>
              <w:rPr>
                <w:b/>
                <w:bCs/>
              </w:rPr>
            </w:pPr>
            <w:r>
              <w:rPr>
                <w:b/>
                <w:bCs/>
              </w:rPr>
              <w:t xml:space="preserve">Prep Hours </w:t>
            </w:r>
          </w:p>
        </w:tc>
        <w:tc>
          <w:tcPr>
            <w:tcW w:w="2340" w:type="dxa"/>
            <w:tcBorders>
              <w:top w:val="double" w:sz="4" w:space="0" w:color="auto"/>
              <w:left w:val="nil"/>
              <w:bottom w:val="single" w:sz="4" w:space="0" w:color="auto"/>
              <w:right w:val="double" w:sz="4" w:space="0" w:color="auto"/>
            </w:tcBorders>
            <w:shd w:val="clear" w:color="auto" w:fill="auto"/>
            <w:vAlign w:val="center"/>
          </w:tcPr>
          <w:p w:rsidR="009F2DD8" w:rsidRDefault="009F2DD8" w:rsidP="0079679F">
            <w:pPr>
              <w:jc w:val="center"/>
              <w:rPr>
                <w:b/>
                <w:bCs/>
              </w:rPr>
            </w:pPr>
            <w:r>
              <w:rPr>
                <w:b/>
                <w:bCs/>
              </w:rPr>
              <w:t>Burden Hours</w:t>
            </w:r>
          </w:p>
        </w:tc>
      </w:tr>
      <w:tr w:rsidR="009F2DD8" w:rsidTr="000D4CFE">
        <w:trPr>
          <w:trHeight w:val="330"/>
        </w:trPr>
        <w:tc>
          <w:tcPr>
            <w:tcW w:w="900" w:type="dxa"/>
            <w:vMerge/>
            <w:tcBorders>
              <w:top w:val="double" w:sz="6" w:space="0" w:color="auto"/>
              <w:left w:val="double" w:sz="4" w:space="0" w:color="auto"/>
              <w:bottom w:val="single" w:sz="12" w:space="0" w:color="000000"/>
              <w:right w:val="single" w:sz="4" w:space="0" w:color="auto"/>
            </w:tcBorders>
            <w:vAlign w:val="center"/>
          </w:tcPr>
          <w:p w:rsidR="009F2DD8" w:rsidRDefault="009F2DD8" w:rsidP="0079679F">
            <w:pPr>
              <w:jc w:val="center"/>
              <w:rPr>
                <w:b/>
                <w:bCs/>
              </w:rPr>
            </w:pPr>
          </w:p>
        </w:tc>
        <w:tc>
          <w:tcPr>
            <w:tcW w:w="2037" w:type="dxa"/>
            <w:tcBorders>
              <w:top w:val="single" w:sz="4" w:space="0" w:color="auto"/>
              <w:left w:val="single" w:sz="4" w:space="0" w:color="auto"/>
              <w:bottom w:val="single" w:sz="12" w:space="0" w:color="000000"/>
              <w:right w:val="single" w:sz="4" w:space="0" w:color="auto"/>
            </w:tcBorders>
            <w:shd w:val="clear" w:color="auto" w:fill="auto"/>
            <w:vAlign w:val="center"/>
          </w:tcPr>
          <w:p w:rsidR="009F2DD8" w:rsidRDefault="009F2DD8" w:rsidP="0079679F">
            <w:pPr>
              <w:jc w:val="center"/>
              <w:rPr>
                <w:b/>
                <w:bCs/>
              </w:rPr>
            </w:pPr>
            <w:r>
              <w:rPr>
                <w:b/>
                <w:bCs/>
              </w:rPr>
              <w:t>(A)</w:t>
            </w:r>
          </w:p>
        </w:tc>
        <w:tc>
          <w:tcPr>
            <w:tcW w:w="990" w:type="dxa"/>
            <w:tcBorders>
              <w:top w:val="single" w:sz="4" w:space="0" w:color="auto"/>
              <w:left w:val="single" w:sz="4" w:space="0" w:color="auto"/>
              <w:bottom w:val="single" w:sz="12" w:space="0" w:color="000000"/>
              <w:right w:val="single" w:sz="4" w:space="0" w:color="auto"/>
            </w:tcBorders>
            <w:shd w:val="clear" w:color="auto" w:fill="auto"/>
            <w:vAlign w:val="center"/>
          </w:tcPr>
          <w:p w:rsidR="009F2DD8" w:rsidRDefault="009F2DD8" w:rsidP="0079679F">
            <w:pPr>
              <w:jc w:val="center"/>
              <w:rPr>
                <w:b/>
                <w:bCs/>
              </w:rPr>
            </w:pPr>
            <w:r>
              <w:rPr>
                <w:b/>
                <w:bCs/>
              </w:rPr>
              <w:t>(B)</w:t>
            </w:r>
          </w:p>
        </w:tc>
        <w:tc>
          <w:tcPr>
            <w:tcW w:w="1980" w:type="dxa"/>
            <w:tcBorders>
              <w:top w:val="single" w:sz="4" w:space="0" w:color="auto"/>
              <w:left w:val="single" w:sz="4" w:space="0" w:color="auto"/>
              <w:bottom w:val="single" w:sz="12" w:space="0" w:color="000000"/>
              <w:right w:val="single" w:sz="4" w:space="0" w:color="auto"/>
            </w:tcBorders>
            <w:shd w:val="clear" w:color="auto" w:fill="auto"/>
            <w:vAlign w:val="center"/>
          </w:tcPr>
          <w:p w:rsidR="009F2DD8" w:rsidRDefault="009F2DD8" w:rsidP="0079679F">
            <w:pPr>
              <w:jc w:val="center"/>
              <w:rPr>
                <w:b/>
                <w:bCs/>
              </w:rPr>
            </w:pPr>
            <w:r>
              <w:rPr>
                <w:b/>
                <w:bCs/>
              </w:rPr>
              <w:t>(C)</w:t>
            </w:r>
          </w:p>
        </w:tc>
        <w:tc>
          <w:tcPr>
            <w:tcW w:w="2340" w:type="dxa"/>
            <w:tcBorders>
              <w:top w:val="nil"/>
              <w:left w:val="nil"/>
              <w:bottom w:val="single" w:sz="12" w:space="0" w:color="auto"/>
              <w:right w:val="double" w:sz="4" w:space="0" w:color="auto"/>
            </w:tcBorders>
            <w:shd w:val="clear" w:color="auto" w:fill="auto"/>
            <w:vAlign w:val="center"/>
          </w:tcPr>
          <w:p w:rsidR="009F2DD8" w:rsidRDefault="009F2DD8" w:rsidP="0079679F">
            <w:pPr>
              <w:jc w:val="center"/>
              <w:rPr>
                <w:b/>
                <w:bCs/>
              </w:rPr>
            </w:pPr>
            <w:r>
              <w:rPr>
                <w:b/>
                <w:bCs/>
              </w:rPr>
              <w:t>(A x B x C)</w:t>
            </w:r>
          </w:p>
        </w:tc>
      </w:tr>
      <w:tr w:rsidR="009F2DD8" w:rsidTr="000D4CFE">
        <w:trPr>
          <w:trHeight w:val="330"/>
        </w:trPr>
        <w:tc>
          <w:tcPr>
            <w:tcW w:w="900" w:type="dxa"/>
            <w:tcBorders>
              <w:top w:val="nil"/>
              <w:left w:val="double" w:sz="4" w:space="0" w:color="auto"/>
              <w:bottom w:val="single" w:sz="4" w:space="0" w:color="auto"/>
              <w:right w:val="single" w:sz="4" w:space="0" w:color="auto"/>
            </w:tcBorders>
            <w:shd w:val="clear" w:color="auto" w:fill="auto"/>
            <w:noWrap/>
            <w:vAlign w:val="center"/>
          </w:tcPr>
          <w:p w:rsidR="009F2DD8" w:rsidRPr="00654726" w:rsidRDefault="009F2DD8" w:rsidP="0079679F">
            <w:pPr>
              <w:jc w:val="center"/>
              <w:rPr>
                <w:b/>
                <w:bCs/>
              </w:rPr>
            </w:pPr>
            <w:r w:rsidRPr="00654726">
              <w:rPr>
                <w:b/>
                <w:bCs/>
              </w:rPr>
              <w:t>20</w:t>
            </w:r>
            <w:r w:rsidR="00881558">
              <w:rPr>
                <w:b/>
                <w:bCs/>
              </w:rPr>
              <w:t>16</w:t>
            </w:r>
          </w:p>
        </w:tc>
        <w:tc>
          <w:tcPr>
            <w:tcW w:w="2037" w:type="dxa"/>
            <w:tcBorders>
              <w:top w:val="nil"/>
              <w:left w:val="nil"/>
              <w:bottom w:val="single" w:sz="4" w:space="0" w:color="auto"/>
              <w:right w:val="single" w:sz="4" w:space="0" w:color="auto"/>
            </w:tcBorders>
            <w:shd w:val="clear" w:color="auto" w:fill="auto"/>
            <w:noWrap/>
            <w:vAlign w:val="center"/>
          </w:tcPr>
          <w:p w:rsidR="009F2DD8" w:rsidRDefault="009F2DD8" w:rsidP="0079679F">
            <w:pPr>
              <w:jc w:val="center"/>
            </w:pPr>
            <w:r>
              <w:t>51</w:t>
            </w:r>
          </w:p>
        </w:tc>
        <w:tc>
          <w:tcPr>
            <w:tcW w:w="990" w:type="dxa"/>
            <w:tcBorders>
              <w:top w:val="nil"/>
              <w:left w:val="nil"/>
              <w:bottom w:val="single" w:sz="4" w:space="0" w:color="auto"/>
              <w:right w:val="single" w:sz="4" w:space="0" w:color="auto"/>
            </w:tcBorders>
            <w:shd w:val="clear" w:color="auto" w:fill="auto"/>
            <w:noWrap/>
            <w:vAlign w:val="center"/>
          </w:tcPr>
          <w:p w:rsidR="009F2DD8" w:rsidRDefault="009F2DD8" w:rsidP="0079679F">
            <w:pPr>
              <w:jc w:val="center"/>
            </w:pPr>
            <w:r>
              <w:t>27</w:t>
            </w:r>
          </w:p>
        </w:tc>
        <w:tc>
          <w:tcPr>
            <w:tcW w:w="1980" w:type="dxa"/>
            <w:tcBorders>
              <w:top w:val="nil"/>
              <w:left w:val="nil"/>
              <w:bottom w:val="single" w:sz="4" w:space="0" w:color="auto"/>
              <w:right w:val="single" w:sz="4" w:space="0" w:color="auto"/>
            </w:tcBorders>
            <w:shd w:val="clear" w:color="auto" w:fill="auto"/>
            <w:noWrap/>
            <w:vAlign w:val="center"/>
          </w:tcPr>
          <w:p w:rsidR="009F2DD8" w:rsidRDefault="009F2DD8" w:rsidP="0079679F">
            <w:pPr>
              <w:jc w:val="center"/>
            </w:pPr>
            <w:r>
              <w:t>40</w:t>
            </w:r>
          </w:p>
        </w:tc>
        <w:tc>
          <w:tcPr>
            <w:tcW w:w="2340" w:type="dxa"/>
            <w:tcBorders>
              <w:top w:val="nil"/>
              <w:left w:val="nil"/>
              <w:bottom w:val="single" w:sz="4" w:space="0" w:color="auto"/>
              <w:right w:val="double" w:sz="4" w:space="0" w:color="auto"/>
            </w:tcBorders>
            <w:shd w:val="clear" w:color="auto" w:fill="auto"/>
            <w:noWrap/>
            <w:vAlign w:val="center"/>
          </w:tcPr>
          <w:p w:rsidR="009F2DD8" w:rsidRDefault="009F2DD8" w:rsidP="0079679F">
            <w:pPr>
              <w:jc w:val="center"/>
            </w:pPr>
            <w:r>
              <w:t>55,080</w:t>
            </w:r>
          </w:p>
        </w:tc>
      </w:tr>
      <w:tr w:rsidR="009F2DD8" w:rsidTr="000D4CFE">
        <w:trPr>
          <w:trHeight w:val="315"/>
        </w:trPr>
        <w:tc>
          <w:tcPr>
            <w:tcW w:w="900" w:type="dxa"/>
            <w:tcBorders>
              <w:top w:val="nil"/>
              <w:left w:val="double" w:sz="4" w:space="0" w:color="auto"/>
              <w:bottom w:val="single" w:sz="4" w:space="0" w:color="auto"/>
              <w:right w:val="single" w:sz="4" w:space="0" w:color="auto"/>
            </w:tcBorders>
            <w:shd w:val="clear" w:color="auto" w:fill="auto"/>
            <w:noWrap/>
            <w:vAlign w:val="center"/>
          </w:tcPr>
          <w:p w:rsidR="009F2DD8" w:rsidRPr="00654726" w:rsidRDefault="009F2DD8" w:rsidP="0079679F">
            <w:pPr>
              <w:jc w:val="center"/>
              <w:rPr>
                <w:b/>
              </w:rPr>
            </w:pPr>
            <w:r w:rsidRPr="00654726">
              <w:rPr>
                <w:b/>
              </w:rPr>
              <w:t>201</w:t>
            </w:r>
            <w:r w:rsidR="00881558">
              <w:rPr>
                <w:b/>
              </w:rPr>
              <w:t>7</w:t>
            </w:r>
          </w:p>
        </w:tc>
        <w:tc>
          <w:tcPr>
            <w:tcW w:w="2037" w:type="dxa"/>
            <w:tcBorders>
              <w:top w:val="nil"/>
              <w:left w:val="nil"/>
              <w:bottom w:val="single" w:sz="4" w:space="0" w:color="auto"/>
              <w:right w:val="single" w:sz="4" w:space="0" w:color="auto"/>
            </w:tcBorders>
            <w:shd w:val="clear" w:color="auto" w:fill="auto"/>
            <w:noWrap/>
            <w:vAlign w:val="center"/>
          </w:tcPr>
          <w:p w:rsidR="009F2DD8" w:rsidRDefault="009F2DD8" w:rsidP="0079679F">
            <w:pPr>
              <w:jc w:val="center"/>
            </w:pPr>
            <w:r>
              <w:t>51</w:t>
            </w:r>
          </w:p>
        </w:tc>
        <w:tc>
          <w:tcPr>
            <w:tcW w:w="990" w:type="dxa"/>
            <w:tcBorders>
              <w:top w:val="nil"/>
              <w:left w:val="nil"/>
              <w:bottom w:val="single" w:sz="4" w:space="0" w:color="auto"/>
              <w:right w:val="single" w:sz="4" w:space="0" w:color="auto"/>
            </w:tcBorders>
            <w:shd w:val="clear" w:color="auto" w:fill="auto"/>
            <w:noWrap/>
            <w:vAlign w:val="center"/>
          </w:tcPr>
          <w:p w:rsidR="009F2DD8" w:rsidRDefault="009F2DD8" w:rsidP="0079679F">
            <w:pPr>
              <w:jc w:val="center"/>
            </w:pPr>
            <w:r>
              <w:t>27</w:t>
            </w:r>
          </w:p>
        </w:tc>
        <w:tc>
          <w:tcPr>
            <w:tcW w:w="1980" w:type="dxa"/>
            <w:tcBorders>
              <w:top w:val="nil"/>
              <w:left w:val="nil"/>
              <w:bottom w:val="single" w:sz="4" w:space="0" w:color="auto"/>
              <w:right w:val="single" w:sz="4" w:space="0" w:color="auto"/>
            </w:tcBorders>
            <w:shd w:val="clear" w:color="auto" w:fill="auto"/>
            <w:noWrap/>
            <w:vAlign w:val="center"/>
          </w:tcPr>
          <w:p w:rsidR="009F2DD8" w:rsidRDefault="009F2DD8" w:rsidP="0079679F">
            <w:pPr>
              <w:jc w:val="center"/>
            </w:pPr>
            <w:r>
              <w:t>40</w:t>
            </w:r>
          </w:p>
        </w:tc>
        <w:tc>
          <w:tcPr>
            <w:tcW w:w="2340" w:type="dxa"/>
            <w:tcBorders>
              <w:top w:val="nil"/>
              <w:left w:val="nil"/>
              <w:bottom w:val="single" w:sz="4" w:space="0" w:color="auto"/>
              <w:right w:val="double" w:sz="4" w:space="0" w:color="auto"/>
            </w:tcBorders>
            <w:shd w:val="clear" w:color="auto" w:fill="auto"/>
            <w:noWrap/>
            <w:vAlign w:val="center"/>
          </w:tcPr>
          <w:p w:rsidR="009F2DD8" w:rsidRDefault="009F2DD8" w:rsidP="0079679F">
            <w:pPr>
              <w:jc w:val="center"/>
            </w:pPr>
            <w:r>
              <w:t>55,080</w:t>
            </w:r>
          </w:p>
        </w:tc>
      </w:tr>
      <w:tr w:rsidR="009F2DD8" w:rsidTr="000D4CFE">
        <w:trPr>
          <w:trHeight w:val="330"/>
        </w:trPr>
        <w:tc>
          <w:tcPr>
            <w:tcW w:w="900" w:type="dxa"/>
            <w:tcBorders>
              <w:top w:val="nil"/>
              <w:left w:val="double" w:sz="4" w:space="0" w:color="auto"/>
              <w:bottom w:val="double" w:sz="4" w:space="0" w:color="auto"/>
              <w:right w:val="single" w:sz="4" w:space="0" w:color="auto"/>
            </w:tcBorders>
            <w:shd w:val="clear" w:color="auto" w:fill="auto"/>
            <w:noWrap/>
            <w:vAlign w:val="center"/>
          </w:tcPr>
          <w:p w:rsidR="009F2DD8" w:rsidRPr="00654726" w:rsidRDefault="009F2DD8" w:rsidP="0079679F">
            <w:pPr>
              <w:jc w:val="center"/>
              <w:rPr>
                <w:b/>
              </w:rPr>
            </w:pPr>
            <w:r w:rsidRPr="00654726">
              <w:rPr>
                <w:b/>
              </w:rPr>
              <w:t>201</w:t>
            </w:r>
            <w:r w:rsidR="00881558">
              <w:rPr>
                <w:b/>
              </w:rPr>
              <w:t>8</w:t>
            </w:r>
          </w:p>
        </w:tc>
        <w:tc>
          <w:tcPr>
            <w:tcW w:w="2037" w:type="dxa"/>
            <w:tcBorders>
              <w:top w:val="nil"/>
              <w:left w:val="nil"/>
              <w:bottom w:val="double" w:sz="4" w:space="0" w:color="auto"/>
              <w:right w:val="single" w:sz="4" w:space="0" w:color="auto"/>
            </w:tcBorders>
            <w:shd w:val="clear" w:color="auto" w:fill="auto"/>
            <w:noWrap/>
            <w:vAlign w:val="center"/>
          </w:tcPr>
          <w:p w:rsidR="009F2DD8" w:rsidRDefault="009F2DD8" w:rsidP="0079679F">
            <w:pPr>
              <w:jc w:val="center"/>
            </w:pPr>
            <w:r>
              <w:t>51</w:t>
            </w:r>
          </w:p>
        </w:tc>
        <w:tc>
          <w:tcPr>
            <w:tcW w:w="990" w:type="dxa"/>
            <w:tcBorders>
              <w:top w:val="nil"/>
              <w:left w:val="nil"/>
              <w:bottom w:val="double" w:sz="4" w:space="0" w:color="auto"/>
              <w:right w:val="single" w:sz="4" w:space="0" w:color="auto"/>
            </w:tcBorders>
            <w:shd w:val="clear" w:color="auto" w:fill="auto"/>
            <w:noWrap/>
            <w:vAlign w:val="center"/>
          </w:tcPr>
          <w:p w:rsidR="009F2DD8" w:rsidRDefault="009F2DD8" w:rsidP="0079679F">
            <w:pPr>
              <w:jc w:val="center"/>
            </w:pPr>
            <w:r>
              <w:t>27</w:t>
            </w:r>
          </w:p>
        </w:tc>
        <w:tc>
          <w:tcPr>
            <w:tcW w:w="1980" w:type="dxa"/>
            <w:tcBorders>
              <w:top w:val="nil"/>
              <w:left w:val="nil"/>
              <w:bottom w:val="double" w:sz="4" w:space="0" w:color="auto"/>
              <w:right w:val="single" w:sz="4" w:space="0" w:color="auto"/>
            </w:tcBorders>
            <w:shd w:val="clear" w:color="auto" w:fill="auto"/>
            <w:noWrap/>
            <w:vAlign w:val="center"/>
          </w:tcPr>
          <w:p w:rsidR="009F2DD8" w:rsidRDefault="009F2DD8" w:rsidP="0079679F">
            <w:pPr>
              <w:jc w:val="center"/>
            </w:pPr>
            <w:r>
              <w:t>40</w:t>
            </w:r>
          </w:p>
        </w:tc>
        <w:tc>
          <w:tcPr>
            <w:tcW w:w="2340" w:type="dxa"/>
            <w:tcBorders>
              <w:top w:val="nil"/>
              <w:left w:val="nil"/>
              <w:bottom w:val="double" w:sz="4" w:space="0" w:color="auto"/>
              <w:right w:val="double" w:sz="4" w:space="0" w:color="auto"/>
            </w:tcBorders>
            <w:shd w:val="clear" w:color="auto" w:fill="auto"/>
            <w:noWrap/>
            <w:vAlign w:val="center"/>
          </w:tcPr>
          <w:p w:rsidR="009F2DD8" w:rsidRDefault="009F2DD8" w:rsidP="0079679F">
            <w:pPr>
              <w:jc w:val="center"/>
            </w:pPr>
            <w:r>
              <w:t>55,080</w:t>
            </w:r>
          </w:p>
        </w:tc>
      </w:tr>
    </w:tbl>
    <w:p w:rsidR="0079679F" w:rsidRDefault="0079679F" w:rsidP="00B90AEA">
      <w:pPr>
        <w:autoSpaceDE w:val="0"/>
        <w:autoSpaceDN w:val="0"/>
        <w:adjustRightInd w:val="0"/>
        <w:ind w:left="720"/>
        <w:rPr>
          <w:b/>
        </w:rPr>
      </w:pPr>
    </w:p>
    <w:p w:rsidR="00C9536B" w:rsidRDefault="00C9536B" w:rsidP="000D4CFE">
      <w:pPr>
        <w:pStyle w:val="ListParagraph"/>
        <w:numPr>
          <w:ilvl w:val="0"/>
          <w:numId w:val="13"/>
        </w:numPr>
        <w:autoSpaceDE w:val="0"/>
        <w:autoSpaceDN w:val="0"/>
        <w:adjustRightInd w:val="0"/>
        <w:rPr>
          <w:u w:val="single"/>
        </w:rPr>
      </w:pPr>
      <w:r>
        <w:rPr>
          <w:u w:val="single"/>
        </w:rPr>
        <w:t xml:space="preserve">Financial and </w:t>
      </w:r>
      <w:r w:rsidR="00F32875">
        <w:rPr>
          <w:u w:val="single"/>
        </w:rPr>
        <w:t>Project</w:t>
      </w:r>
      <w:r>
        <w:rPr>
          <w:u w:val="single"/>
        </w:rPr>
        <w:t xml:space="preserve"> Data</w:t>
      </w:r>
    </w:p>
    <w:p w:rsidR="00C9536B" w:rsidRDefault="00C9536B" w:rsidP="000D4CFE">
      <w:pPr>
        <w:autoSpaceDE w:val="0"/>
        <w:autoSpaceDN w:val="0"/>
        <w:adjustRightInd w:val="0"/>
        <w:ind w:left="720"/>
      </w:pPr>
      <w:r>
        <w:t xml:space="preserve">States have the responsibility to report financial and program data into DWNIMS and PBR. </w:t>
      </w:r>
      <w:r w:rsidR="00A61317">
        <w:t xml:space="preserve">The </w:t>
      </w:r>
      <w:r>
        <w:t xml:space="preserve">EPA estimates that States will spend an average of </w:t>
      </w:r>
      <w:r w:rsidR="00CF2DB9">
        <w:t>24</w:t>
      </w:r>
      <w:r>
        <w:t xml:space="preserve"> hours preparing and entering financial data into DWNIMS on annual basis. </w:t>
      </w:r>
      <w:r w:rsidR="00A61317">
        <w:t xml:space="preserve">The </w:t>
      </w:r>
      <w:r>
        <w:t xml:space="preserve">EPA estimates that States will spend an average of </w:t>
      </w:r>
      <w:r w:rsidR="00CF2DB9">
        <w:t>7.5</w:t>
      </w:r>
      <w:r>
        <w:t xml:space="preserve"> hours preparing and ente</w:t>
      </w:r>
      <w:r w:rsidR="00CF2DB9">
        <w:t>ring project data into PBR over a year</w:t>
      </w:r>
      <w:r>
        <w:t>. Table 5 represents the total national State respondent burden.</w:t>
      </w:r>
    </w:p>
    <w:p w:rsidR="00F32875" w:rsidRDefault="00F32875" w:rsidP="000D4CFE">
      <w:pPr>
        <w:autoSpaceDE w:val="0"/>
        <w:autoSpaceDN w:val="0"/>
        <w:adjustRightInd w:val="0"/>
        <w:ind w:left="720"/>
      </w:pPr>
    </w:p>
    <w:p w:rsidR="00F32875" w:rsidRPr="000D4CFE" w:rsidRDefault="00F32875" w:rsidP="000D4CFE">
      <w:pPr>
        <w:autoSpaceDE w:val="0"/>
        <w:autoSpaceDN w:val="0"/>
        <w:adjustRightInd w:val="0"/>
        <w:ind w:left="720"/>
        <w:rPr>
          <w:b/>
        </w:rPr>
      </w:pPr>
      <w:r w:rsidRPr="000D4CFE">
        <w:rPr>
          <w:b/>
        </w:rPr>
        <w:t>Table 5: Financial and Project Data Burden Hours</w:t>
      </w:r>
    </w:p>
    <w:tbl>
      <w:tblPr>
        <w:tblW w:w="8517" w:type="dxa"/>
        <w:tblInd w:w="828" w:type="dxa"/>
        <w:tblLook w:val="0000" w:firstRow="0" w:lastRow="0" w:firstColumn="0" w:lastColumn="0" w:noHBand="0" w:noVBand="0"/>
      </w:tblPr>
      <w:tblGrid>
        <w:gridCol w:w="1176"/>
        <w:gridCol w:w="2301"/>
        <w:gridCol w:w="2250"/>
        <w:gridCol w:w="2790"/>
      </w:tblGrid>
      <w:tr w:rsidR="00F32875" w:rsidTr="008B6B87">
        <w:trPr>
          <w:trHeight w:val="330"/>
        </w:trPr>
        <w:tc>
          <w:tcPr>
            <w:tcW w:w="1176" w:type="dxa"/>
            <w:vMerge w:val="restart"/>
            <w:tcBorders>
              <w:top w:val="double" w:sz="4" w:space="0" w:color="auto"/>
              <w:left w:val="double" w:sz="4" w:space="0" w:color="auto"/>
              <w:bottom w:val="single" w:sz="12" w:space="0" w:color="000000"/>
              <w:right w:val="single" w:sz="4" w:space="0" w:color="auto"/>
            </w:tcBorders>
            <w:shd w:val="clear" w:color="auto" w:fill="auto"/>
            <w:vAlign w:val="center"/>
          </w:tcPr>
          <w:p w:rsidR="00F32875" w:rsidRDefault="00F32875" w:rsidP="008B6B87">
            <w:pPr>
              <w:jc w:val="center"/>
              <w:rPr>
                <w:b/>
                <w:bCs/>
              </w:rPr>
            </w:pPr>
            <w:r>
              <w:rPr>
                <w:b/>
                <w:bCs/>
              </w:rPr>
              <w:t>Year</w:t>
            </w:r>
          </w:p>
        </w:tc>
        <w:tc>
          <w:tcPr>
            <w:tcW w:w="2301" w:type="dxa"/>
            <w:tcBorders>
              <w:top w:val="double" w:sz="4" w:space="0" w:color="auto"/>
              <w:left w:val="single" w:sz="4" w:space="0" w:color="auto"/>
              <w:bottom w:val="single" w:sz="4" w:space="0" w:color="auto"/>
              <w:right w:val="single" w:sz="4" w:space="0" w:color="auto"/>
            </w:tcBorders>
            <w:shd w:val="clear" w:color="auto" w:fill="auto"/>
            <w:vAlign w:val="center"/>
          </w:tcPr>
          <w:p w:rsidR="00F32875" w:rsidRDefault="00F32875" w:rsidP="008B6B87">
            <w:pPr>
              <w:jc w:val="center"/>
              <w:rPr>
                <w:b/>
                <w:bCs/>
              </w:rPr>
            </w:pPr>
            <w:r>
              <w:rPr>
                <w:b/>
                <w:bCs/>
              </w:rPr>
              <w:t>Number of States</w:t>
            </w:r>
          </w:p>
        </w:tc>
        <w:tc>
          <w:tcPr>
            <w:tcW w:w="2250" w:type="dxa"/>
            <w:tcBorders>
              <w:top w:val="double" w:sz="4" w:space="0" w:color="auto"/>
              <w:left w:val="nil"/>
              <w:bottom w:val="single" w:sz="4" w:space="0" w:color="auto"/>
              <w:right w:val="single" w:sz="4" w:space="0" w:color="auto"/>
            </w:tcBorders>
            <w:shd w:val="clear" w:color="auto" w:fill="auto"/>
            <w:vAlign w:val="center"/>
          </w:tcPr>
          <w:p w:rsidR="00F32875" w:rsidRDefault="00F32875" w:rsidP="008B6B87">
            <w:pPr>
              <w:jc w:val="center"/>
              <w:rPr>
                <w:b/>
                <w:bCs/>
              </w:rPr>
            </w:pPr>
            <w:r>
              <w:rPr>
                <w:b/>
                <w:bCs/>
              </w:rPr>
              <w:t>Preparation Hours</w:t>
            </w:r>
          </w:p>
        </w:tc>
        <w:tc>
          <w:tcPr>
            <w:tcW w:w="2790" w:type="dxa"/>
            <w:tcBorders>
              <w:top w:val="double" w:sz="4" w:space="0" w:color="auto"/>
              <w:left w:val="nil"/>
              <w:bottom w:val="single" w:sz="4" w:space="0" w:color="auto"/>
              <w:right w:val="double" w:sz="4" w:space="0" w:color="auto"/>
            </w:tcBorders>
            <w:shd w:val="clear" w:color="auto" w:fill="auto"/>
            <w:vAlign w:val="center"/>
          </w:tcPr>
          <w:p w:rsidR="00F32875" w:rsidRDefault="00F32875" w:rsidP="008B6B87">
            <w:pPr>
              <w:jc w:val="center"/>
              <w:rPr>
                <w:b/>
                <w:bCs/>
              </w:rPr>
            </w:pPr>
            <w:r>
              <w:rPr>
                <w:b/>
                <w:bCs/>
              </w:rPr>
              <w:t>Burden Hours</w:t>
            </w:r>
          </w:p>
        </w:tc>
      </w:tr>
      <w:tr w:rsidR="00F32875" w:rsidTr="008B6B87">
        <w:trPr>
          <w:trHeight w:val="330"/>
        </w:trPr>
        <w:tc>
          <w:tcPr>
            <w:tcW w:w="1176" w:type="dxa"/>
            <w:vMerge/>
            <w:tcBorders>
              <w:top w:val="double" w:sz="6" w:space="0" w:color="auto"/>
              <w:left w:val="double" w:sz="4" w:space="0" w:color="auto"/>
              <w:bottom w:val="single" w:sz="12" w:space="0" w:color="000000"/>
              <w:right w:val="single" w:sz="4" w:space="0" w:color="auto"/>
            </w:tcBorders>
            <w:vAlign w:val="center"/>
          </w:tcPr>
          <w:p w:rsidR="00F32875" w:rsidRDefault="00F32875" w:rsidP="008B6B87">
            <w:pPr>
              <w:jc w:val="center"/>
              <w:rPr>
                <w:b/>
                <w:bCs/>
              </w:rPr>
            </w:pPr>
          </w:p>
        </w:tc>
        <w:tc>
          <w:tcPr>
            <w:tcW w:w="2301" w:type="dxa"/>
            <w:tcBorders>
              <w:top w:val="single" w:sz="4" w:space="0" w:color="auto"/>
              <w:left w:val="single" w:sz="4" w:space="0" w:color="auto"/>
              <w:bottom w:val="single" w:sz="12" w:space="0" w:color="000000"/>
              <w:right w:val="single" w:sz="4" w:space="0" w:color="auto"/>
            </w:tcBorders>
            <w:shd w:val="clear" w:color="auto" w:fill="auto"/>
            <w:vAlign w:val="center"/>
          </w:tcPr>
          <w:p w:rsidR="00F32875" w:rsidRDefault="00F32875" w:rsidP="008B6B87">
            <w:pPr>
              <w:jc w:val="center"/>
              <w:rPr>
                <w:b/>
                <w:bCs/>
              </w:rPr>
            </w:pPr>
            <w:r>
              <w:rPr>
                <w:b/>
                <w:bCs/>
              </w:rPr>
              <w:t>(A)</w:t>
            </w:r>
          </w:p>
        </w:tc>
        <w:tc>
          <w:tcPr>
            <w:tcW w:w="2250" w:type="dxa"/>
            <w:tcBorders>
              <w:top w:val="nil"/>
              <w:left w:val="nil"/>
              <w:bottom w:val="single" w:sz="12" w:space="0" w:color="auto"/>
              <w:right w:val="single" w:sz="4" w:space="0" w:color="auto"/>
            </w:tcBorders>
            <w:shd w:val="clear" w:color="auto" w:fill="auto"/>
            <w:vAlign w:val="center"/>
          </w:tcPr>
          <w:p w:rsidR="00F32875" w:rsidRDefault="00F32875" w:rsidP="008B6B87">
            <w:pPr>
              <w:jc w:val="center"/>
              <w:rPr>
                <w:b/>
                <w:bCs/>
              </w:rPr>
            </w:pPr>
            <w:r>
              <w:rPr>
                <w:b/>
                <w:bCs/>
              </w:rPr>
              <w:t>(B)</w:t>
            </w:r>
          </w:p>
        </w:tc>
        <w:tc>
          <w:tcPr>
            <w:tcW w:w="2790" w:type="dxa"/>
            <w:tcBorders>
              <w:top w:val="nil"/>
              <w:left w:val="nil"/>
              <w:bottom w:val="single" w:sz="12" w:space="0" w:color="auto"/>
              <w:right w:val="double" w:sz="4" w:space="0" w:color="auto"/>
            </w:tcBorders>
            <w:shd w:val="clear" w:color="auto" w:fill="auto"/>
            <w:vAlign w:val="center"/>
          </w:tcPr>
          <w:p w:rsidR="00F32875" w:rsidRDefault="00F32875" w:rsidP="008B6B87">
            <w:pPr>
              <w:jc w:val="center"/>
              <w:rPr>
                <w:b/>
                <w:bCs/>
              </w:rPr>
            </w:pPr>
            <w:r>
              <w:rPr>
                <w:b/>
                <w:bCs/>
              </w:rPr>
              <w:t>(A x B)</w:t>
            </w:r>
          </w:p>
        </w:tc>
      </w:tr>
      <w:tr w:rsidR="00F32875" w:rsidTr="008B6B87">
        <w:trPr>
          <w:trHeight w:val="330"/>
        </w:trPr>
        <w:tc>
          <w:tcPr>
            <w:tcW w:w="1176" w:type="dxa"/>
            <w:tcBorders>
              <w:top w:val="nil"/>
              <w:left w:val="double" w:sz="4" w:space="0" w:color="auto"/>
              <w:bottom w:val="single" w:sz="4" w:space="0" w:color="auto"/>
              <w:right w:val="single" w:sz="4" w:space="0" w:color="auto"/>
            </w:tcBorders>
            <w:shd w:val="clear" w:color="auto" w:fill="auto"/>
            <w:noWrap/>
            <w:vAlign w:val="bottom"/>
          </w:tcPr>
          <w:p w:rsidR="00F32875" w:rsidRDefault="00F32875" w:rsidP="008B6B87">
            <w:pPr>
              <w:jc w:val="center"/>
              <w:rPr>
                <w:b/>
                <w:bCs/>
              </w:rPr>
            </w:pPr>
            <w:r w:rsidRPr="00E801D6">
              <w:rPr>
                <w:b/>
                <w:bCs/>
              </w:rPr>
              <w:t>20</w:t>
            </w:r>
            <w:r>
              <w:rPr>
                <w:b/>
                <w:bCs/>
              </w:rPr>
              <w:t>16</w:t>
            </w:r>
          </w:p>
        </w:tc>
        <w:tc>
          <w:tcPr>
            <w:tcW w:w="2301" w:type="dxa"/>
            <w:tcBorders>
              <w:top w:val="nil"/>
              <w:left w:val="nil"/>
              <w:bottom w:val="single" w:sz="4" w:space="0" w:color="auto"/>
              <w:right w:val="single" w:sz="4" w:space="0" w:color="auto"/>
            </w:tcBorders>
            <w:shd w:val="clear" w:color="auto" w:fill="auto"/>
            <w:noWrap/>
            <w:vAlign w:val="center"/>
          </w:tcPr>
          <w:p w:rsidR="00F32875" w:rsidRDefault="00F32875" w:rsidP="008B6B87">
            <w:pPr>
              <w:jc w:val="center"/>
            </w:pPr>
            <w:r>
              <w:t>51</w:t>
            </w:r>
          </w:p>
        </w:tc>
        <w:tc>
          <w:tcPr>
            <w:tcW w:w="2250" w:type="dxa"/>
            <w:tcBorders>
              <w:top w:val="nil"/>
              <w:left w:val="nil"/>
              <w:bottom w:val="single" w:sz="4" w:space="0" w:color="auto"/>
              <w:right w:val="single" w:sz="4" w:space="0" w:color="auto"/>
            </w:tcBorders>
            <w:shd w:val="clear" w:color="auto" w:fill="auto"/>
            <w:noWrap/>
            <w:vAlign w:val="center"/>
          </w:tcPr>
          <w:p w:rsidR="00F32875" w:rsidRDefault="00CF2DB9" w:rsidP="008B6B87">
            <w:pPr>
              <w:jc w:val="center"/>
            </w:pPr>
            <w:r>
              <w:t>31.5</w:t>
            </w:r>
          </w:p>
        </w:tc>
        <w:tc>
          <w:tcPr>
            <w:tcW w:w="2790" w:type="dxa"/>
            <w:tcBorders>
              <w:top w:val="nil"/>
              <w:left w:val="nil"/>
              <w:bottom w:val="single" w:sz="4" w:space="0" w:color="auto"/>
              <w:right w:val="double" w:sz="4" w:space="0" w:color="auto"/>
            </w:tcBorders>
            <w:shd w:val="clear" w:color="auto" w:fill="auto"/>
            <w:noWrap/>
            <w:vAlign w:val="center"/>
          </w:tcPr>
          <w:p w:rsidR="00F32875" w:rsidRDefault="00CF2DB9" w:rsidP="008B6B87">
            <w:pPr>
              <w:jc w:val="center"/>
            </w:pPr>
            <w:r>
              <w:t>1,606.5</w:t>
            </w:r>
          </w:p>
        </w:tc>
      </w:tr>
      <w:tr w:rsidR="00F32875" w:rsidTr="008B6B87">
        <w:trPr>
          <w:trHeight w:val="315"/>
        </w:trPr>
        <w:tc>
          <w:tcPr>
            <w:tcW w:w="1176" w:type="dxa"/>
            <w:tcBorders>
              <w:top w:val="nil"/>
              <w:left w:val="double" w:sz="4" w:space="0" w:color="auto"/>
              <w:bottom w:val="single" w:sz="4" w:space="0" w:color="auto"/>
              <w:right w:val="single" w:sz="4" w:space="0" w:color="auto"/>
            </w:tcBorders>
            <w:shd w:val="clear" w:color="auto" w:fill="auto"/>
            <w:noWrap/>
            <w:vAlign w:val="bottom"/>
          </w:tcPr>
          <w:p w:rsidR="00F32875" w:rsidRDefault="00F32875" w:rsidP="008B6B87">
            <w:pPr>
              <w:jc w:val="center"/>
              <w:rPr>
                <w:b/>
                <w:bCs/>
              </w:rPr>
            </w:pPr>
            <w:r w:rsidRPr="00E801D6">
              <w:rPr>
                <w:b/>
              </w:rPr>
              <w:t>201</w:t>
            </w:r>
            <w:r>
              <w:rPr>
                <w:b/>
              </w:rPr>
              <w:t>7</w:t>
            </w:r>
          </w:p>
        </w:tc>
        <w:tc>
          <w:tcPr>
            <w:tcW w:w="2301" w:type="dxa"/>
            <w:tcBorders>
              <w:top w:val="nil"/>
              <w:left w:val="nil"/>
              <w:bottom w:val="single" w:sz="4" w:space="0" w:color="auto"/>
              <w:right w:val="single" w:sz="4" w:space="0" w:color="auto"/>
            </w:tcBorders>
            <w:shd w:val="clear" w:color="auto" w:fill="auto"/>
            <w:noWrap/>
            <w:vAlign w:val="center"/>
          </w:tcPr>
          <w:p w:rsidR="00F32875" w:rsidRDefault="00F32875" w:rsidP="008B6B87">
            <w:pPr>
              <w:jc w:val="center"/>
            </w:pPr>
            <w:r>
              <w:t>51</w:t>
            </w:r>
          </w:p>
        </w:tc>
        <w:tc>
          <w:tcPr>
            <w:tcW w:w="2250" w:type="dxa"/>
            <w:tcBorders>
              <w:top w:val="nil"/>
              <w:left w:val="nil"/>
              <w:bottom w:val="single" w:sz="4" w:space="0" w:color="auto"/>
              <w:right w:val="single" w:sz="4" w:space="0" w:color="auto"/>
            </w:tcBorders>
            <w:shd w:val="clear" w:color="auto" w:fill="auto"/>
            <w:noWrap/>
            <w:vAlign w:val="center"/>
          </w:tcPr>
          <w:p w:rsidR="00F32875" w:rsidRDefault="00CF2DB9" w:rsidP="008B6B87">
            <w:pPr>
              <w:jc w:val="center"/>
            </w:pPr>
            <w:r>
              <w:t>31.5</w:t>
            </w:r>
          </w:p>
        </w:tc>
        <w:tc>
          <w:tcPr>
            <w:tcW w:w="2790" w:type="dxa"/>
            <w:tcBorders>
              <w:top w:val="nil"/>
              <w:left w:val="nil"/>
              <w:bottom w:val="single" w:sz="4" w:space="0" w:color="auto"/>
              <w:right w:val="double" w:sz="4" w:space="0" w:color="auto"/>
            </w:tcBorders>
            <w:shd w:val="clear" w:color="auto" w:fill="auto"/>
            <w:noWrap/>
            <w:vAlign w:val="center"/>
          </w:tcPr>
          <w:p w:rsidR="00F32875" w:rsidRDefault="00CF2DB9" w:rsidP="008B6B87">
            <w:pPr>
              <w:jc w:val="center"/>
            </w:pPr>
            <w:r>
              <w:t>1,606.5</w:t>
            </w:r>
          </w:p>
        </w:tc>
      </w:tr>
      <w:tr w:rsidR="00F32875" w:rsidTr="008B6B87">
        <w:trPr>
          <w:trHeight w:val="330"/>
        </w:trPr>
        <w:tc>
          <w:tcPr>
            <w:tcW w:w="1176" w:type="dxa"/>
            <w:tcBorders>
              <w:top w:val="nil"/>
              <w:left w:val="double" w:sz="4" w:space="0" w:color="auto"/>
              <w:bottom w:val="double" w:sz="4" w:space="0" w:color="auto"/>
              <w:right w:val="single" w:sz="4" w:space="0" w:color="auto"/>
            </w:tcBorders>
            <w:shd w:val="clear" w:color="auto" w:fill="auto"/>
            <w:noWrap/>
            <w:vAlign w:val="bottom"/>
          </w:tcPr>
          <w:p w:rsidR="00F32875" w:rsidRDefault="00F32875" w:rsidP="008B6B87">
            <w:pPr>
              <w:jc w:val="center"/>
              <w:rPr>
                <w:b/>
                <w:bCs/>
              </w:rPr>
            </w:pPr>
            <w:r w:rsidRPr="00E801D6">
              <w:rPr>
                <w:b/>
              </w:rPr>
              <w:t>201</w:t>
            </w:r>
            <w:r>
              <w:rPr>
                <w:b/>
              </w:rPr>
              <w:t>8</w:t>
            </w:r>
          </w:p>
        </w:tc>
        <w:tc>
          <w:tcPr>
            <w:tcW w:w="2301" w:type="dxa"/>
            <w:tcBorders>
              <w:top w:val="nil"/>
              <w:left w:val="nil"/>
              <w:bottom w:val="double" w:sz="4" w:space="0" w:color="auto"/>
              <w:right w:val="single" w:sz="4" w:space="0" w:color="auto"/>
            </w:tcBorders>
            <w:shd w:val="clear" w:color="auto" w:fill="auto"/>
            <w:noWrap/>
            <w:vAlign w:val="center"/>
          </w:tcPr>
          <w:p w:rsidR="00F32875" w:rsidRDefault="00F32875" w:rsidP="008B6B87">
            <w:pPr>
              <w:jc w:val="center"/>
            </w:pPr>
            <w:r>
              <w:t>51</w:t>
            </w:r>
          </w:p>
        </w:tc>
        <w:tc>
          <w:tcPr>
            <w:tcW w:w="2250" w:type="dxa"/>
            <w:tcBorders>
              <w:top w:val="nil"/>
              <w:left w:val="nil"/>
              <w:bottom w:val="double" w:sz="4" w:space="0" w:color="auto"/>
              <w:right w:val="single" w:sz="4" w:space="0" w:color="auto"/>
            </w:tcBorders>
            <w:shd w:val="clear" w:color="auto" w:fill="auto"/>
            <w:noWrap/>
            <w:vAlign w:val="center"/>
          </w:tcPr>
          <w:p w:rsidR="00F32875" w:rsidRDefault="00CF2DB9" w:rsidP="008B6B87">
            <w:pPr>
              <w:jc w:val="center"/>
            </w:pPr>
            <w:r>
              <w:t>31.5</w:t>
            </w:r>
          </w:p>
        </w:tc>
        <w:tc>
          <w:tcPr>
            <w:tcW w:w="2790" w:type="dxa"/>
            <w:tcBorders>
              <w:top w:val="nil"/>
              <w:left w:val="nil"/>
              <w:bottom w:val="double" w:sz="4" w:space="0" w:color="auto"/>
              <w:right w:val="double" w:sz="4" w:space="0" w:color="auto"/>
            </w:tcBorders>
            <w:shd w:val="clear" w:color="auto" w:fill="auto"/>
            <w:noWrap/>
            <w:vAlign w:val="center"/>
          </w:tcPr>
          <w:p w:rsidR="00F32875" w:rsidRDefault="00CF2DB9" w:rsidP="008B6B87">
            <w:pPr>
              <w:jc w:val="center"/>
            </w:pPr>
            <w:r>
              <w:t>1,606.5</w:t>
            </w:r>
          </w:p>
        </w:tc>
      </w:tr>
    </w:tbl>
    <w:p w:rsidR="00C9536B" w:rsidRPr="000D4CFE" w:rsidRDefault="00C9536B" w:rsidP="000D4CFE">
      <w:pPr>
        <w:autoSpaceDE w:val="0"/>
        <w:autoSpaceDN w:val="0"/>
        <w:adjustRightInd w:val="0"/>
        <w:ind w:left="720"/>
      </w:pPr>
    </w:p>
    <w:p w:rsidR="009F2DD8" w:rsidRPr="000D4CFE" w:rsidRDefault="009F2DD8" w:rsidP="000D4CFE">
      <w:pPr>
        <w:pStyle w:val="ListParagraph"/>
        <w:numPr>
          <w:ilvl w:val="0"/>
          <w:numId w:val="13"/>
        </w:numPr>
        <w:autoSpaceDE w:val="0"/>
        <w:autoSpaceDN w:val="0"/>
        <w:adjustRightInd w:val="0"/>
        <w:rPr>
          <w:u w:val="single"/>
        </w:rPr>
      </w:pPr>
      <w:r w:rsidRPr="000D4CFE">
        <w:rPr>
          <w:u w:val="single"/>
        </w:rPr>
        <w:t>Public Awareness Requirements</w:t>
      </w:r>
    </w:p>
    <w:p w:rsidR="00244A81" w:rsidRDefault="00D91901" w:rsidP="00244A81">
      <w:pPr>
        <w:autoSpaceDE w:val="0"/>
        <w:autoSpaceDN w:val="0"/>
        <w:adjustRightInd w:val="0"/>
        <w:ind w:left="720"/>
      </w:pPr>
      <w:r w:rsidRPr="00D91901">
        <w:t xml:space="preserve">Per EPA Grants Policy Issuance (GPI) 14-02: </w:t>
      </w:r>
      <w:r w:rsidRPr="000D4CFE">
        <w:rPr>
          <w:i/>
        </w:rPr>
        <w:t>Enhancing Public Awareness of EPA Assistance Agreements</w:t>
      </w:r>
      <w:r w:rsidRPr="00D91901">
        <w:t xml:space="preserve">, local respondents </w:t>
      </w:r>
      <w:r>
        <w:t xml:space="preserve">(excluding Indian Tribes and Alaska Native Villages) receiving DWSRF funds </w:t>
      </w:r>
      <w:r w:rsidRPr="00D91901">
        <w:t xml:space="preserve">must publicize </w:t>
      </w:r>
      <w:r w:rsidR="00A61317">
        <w:t xml:space="preserve">the </w:t>
      </w:r>
      <w:r w:rsidRPr="00D91901">
        <w:t>EPA’s involvement in project funding</w:t>
      </w:r>
      <w:r>
        <w:t xml:space="preserve">. </w:t>
      </w:r>
      <w:r w:rsidR="00A61317">
        <w:t xml:space="preserve">The </w:t>
      </w:r>
      <w:r w:rsidR="00244A81">
        <w:t xml:space="preserve">EPA issued guidance to assist states and local communities in meeting this requirement. </w:t>
      </w:r>
    </w:p>
    <w:p w:rsidR="00244A81" w:rsidRDefault="00244A81" w:rsidP="00244A81">
      <w:pPr>
        <w:autoSpaceDE w:val="0"/>
        <w:autoSpaceDN w:val="0"/>
        <w:adjustRightInd w:val="0"/>
        <w:ind w:left="720"/>
      </w:pPr>
    </w:p>
    <w:p w:rsidR="00244A81" w:rsidRDefault="00244A81" w:rsidP="00244A81">
      <w:pPr>
        <w:autoSpaceDE w:val="0"/>
        <w:autoSpaceDN w:val="0"/>
        <w:adjustRightInd w:val="0"/>
        <w:ind w:left="720"/>
      </w:pPr>
      <w:r>
        <w:t>This policy only applies to funding up to the amount of each year’s capitalization grant and states may choose the systems to which this requirement applies. It is at the discretion of the state SRF program to select projects most able to efficiently and effectively comply in a way that meets the intention to enhance public awareness without significant financial hardship to the state or its borrowers.</w:t>
      </w:r>
    </w:p>
    <w:p w:rsidR="00244A81" w:rsidRDefault="00244A81" w:rsidP="00B90AEA">
      <w:pPr>
        <w:autoSpaceDE w:val="0"/>
        <w:autoSpaceDN w:val="0"/>
        <w:adjustRightInd w:val="0"/>
        <w:ind w:left="720"/>
      </w:pPr>
    </w:p>
    <w:p w:rsidR="009F2DD8" w:rsidRDefault="00D91901" w:rsidP="00B90AEA">
      <w:pPr>
        <w:autoSpaceDE w:val="0"/>
        <w:autoSpaceDN w:val="0"/>
        <w:adjustRightInd w:val="0"/>
        <w:ind w:left="720"/>
      </w:pPr>
      <w:r>
        <w:t>Local respondents</w:t>
      </w:r>
      <w:r w:rsidRPr="00D91901">
        <w:t xml:space="preserve"> have various o</w:t>
      </w:r>
      <w:r>
        <w:t xml:space="preserve">ptions to meet this requirement and are encouraged to choose the method most cost-effective and accessible to a broad audience. After consulting with EPA and state staff throughout the country, the following </w:t>
      </w:r>
      <w:r w:rsidR="009C7682">
        <w:t xml:space="preserve">compliance </w:t>
      </w:r>
      <w:r>
        <w:t>options were developed:</w:t>
      </w:r>
    </w:p>
    <w:p w:rsidR="00D91901" w:rsidRDefault="00D91901" w:rsidP="000D4CFE">
      <w:pPr>
        <w:pStyle w:val="ListParagraph"/>
        <w:numPr>
          <w:ilvl w:val="2"/>
          <w:numId w:val="13"/>
        </w:numPr>
        <w:autoSpaceDE w:val="0"/>
        <w:autoSpaceDN w:val="0"/>
        <w:adjustRightInd w:val="0"/>
        <w:ind w:left="1440"/>
      </w:pPr>
      <w:r>
        <w:t>Standard signage</w:t>
      </w:r>
    </w:p>
    <w:p w:rsidR="00D91901" w:rsidRDefault="00D91901" w:rsidP="000D4CFE">
      <w:pPr>
        <w:pStyle w:val="ListParagraph"/>
        <w:numPr>
          <w:ilvl w:val="2"/>
          <w:numId w:val="13"/>
        </w:numPr>
        <w:autoSpaceDE w:val="0"/>
        <w:autoSpaceDN w:val="0"/>
        <w:adjustRightInd w:val="0"/>
        <w:ind w:left="1440"/>
      </w:pPr>
      <w:r>
        <w:t>Posters or wall signage in a public building or location</w:t>
      </w:r>
    </w:p>
    <w:p w:rsidR="00D91901" w:rsidRDefault="00D91901" w:rsidP="000D4CFE">
      <w:pPr>
        <w:pStyle w:val="ListParagraph"/>
        <w:numPr>
          <w:ilvl w:val="2"/>
          <w:numId w:val="13"/>
        </w:numPr>
        <w:autoSpaceDE w:val="0"/>
        <w:autoSpaceDN w:val="0"/>
        <w:adjustRightInd w:val="0"/>
        <w:ind w:left="1440"/>
      </w:pPr>
      <w:r>
        <w:t>Newspaper or periodical advertisement for project construction, groundbreaking ceremony, or operation of the new or improved facility</w:t>
      </w:r>
    </w:p>
    <w:p w:rsidR="00D91901" w:rsidRDefault="00D91901" w:rsidP="000D4CFE">
      <w:pPr>
        <w:pStyle w:val="ListParagraph"/>
        <w:numPr>
          <w:ilvl w:val="2"/>
          <w:numId w:val="13"/>
        </w:numPr>
        <w:autoSpaceDE w:val="0"/>
        <w:autoSpaceDN w:val="0"/>
        <w:adjustRightInd w:val="0"/>
        <w:ind w:left="1440"/>
      </w:pPr>
      <w:r>
        <w:t>Online signage placed on community website or social media outlet</w:t>
      </w:r>
    </w:p>
    <w:p w:rsidR="00D91901" w:rsidRDefault="00D91901" w:rsidP="000D4CFE">
      <w:pPr>
        <w:pStyle w:val="ListParagraph"/>
        <w:numPr>
          <w:ilvl w:val="2"/>
          <w:numId w:val="13"/>
        </w:numPr>
        <w:autoSpaceDE w:val="0"/>
        <w:autoSpaceDN w:val="0"/>
        <w:adjustRightInd w:val="0"/>
        <w:ind w:left="1440"/>
      </w:pPr>
      <w:r>
        <w:t>Press release</w:t>
      </w:r>
    </w:p>
    <w:p w:rsidR="009F2DD8" w:rsidRDefault="009F2DD8" w:rsidP="00B90AEA">
      <w:pPr>
        <w:autoSpaceDE w:val="0"/>
        <w:autoSpaceDN w:val="0"/>
        <w:adjustRightInd w:val="0"/>
        <w:ind w:left="720"/>
      </w:pPr>
    </w:p>
    <w:p w:rsidR="009F2DD8" w:rsidRDefault="0000310F" w:rsidP="00B90AEA">
      <w:pPr>
        <w:autoSpaceDE w:val="0"/>
        <w:autoSpaceDN w:val="0"/>
        <w:adjustRightInd w:val="0"/>
        <w:ind w:left="720"/>
      </w:pPr>
      <w:r>
        <w:t>The following</w:t>
      </w:r>
      <w:r w:rsidR="009C7682">
        <w:t xml:space="preserve"> information</w:t>
      </w:r>
      <w:r>
        <w:t xml:space="preserve"> must be included:</w:t>
      </w:r>
    </w:p>
    <w:p w:rsidR="0000310F" w:rsidRDefault="0000310F" w:rsidP="000D4CFE">
      <w:pPr>
        <w:pStyle w:val="ListParagraph"/>
        <w:numPr>
          <w:ilvl w:val="1"/>
          <w:numId w:val="12"/>
        </w:numPr>
        <w:autoSpaceDE w:val="0"/>
        <w:autoSpaceDN w:val="0"/>
        <w:adjustRightInd w:val="0"/>
      </w:pPr>
      <w:r>
        <w:lastRenderedPageBreak/>
        <w:t>Name of facility, project and community</w:t>
      </w:r>
    </w:p>
    <w:p w:rsidR="0000310F" w:rsidRDefault="0000310F" w:rsidP="000D4CFE">
      <w:pPr>
        <w:pStyle w:val="ListParagraph"/>
        <w:numPr>
          <w:ilvl w:val="1"/>
          <w:numId w:val="12"/>
        </w:numPr>
        <w:autoSpaceDE w:val="0"/>
        <w:autoSpaceDN w:val="0"/>
        <w:adjustRightInd w:val="0"/>
      </w:pPr>
      <w:r>
        <w:t>State SRF administering the program</w:t>
      </w:r>
    </w:p>
    <w:p w:rsidR="0000310F" w:rsidRDefault="0000310F" w:rsidP="000D4CFE">
      <w:pPr>
        <w:pStyle w:val="ListParagraph"/>
        <w:numPr>
          <w:ilvl w:val="1"/>
          <w:numId w:val="12"/>
        </w:numPr>
        <w:autoSpaceDE w:val="0"/>
        <w:autoSpaceDN w:val="0"/>
        <w:adjustRightInd w:val="0"/>
      </w:pPr>
      <w:r>
        <w:t>Project is wholly or partially funded with EPA funding</w:t>
      </w:r>
    </w:p>
    <w:p w:rsidR="0000310F" w:rsidRDefault="0000310F" w:rsidP="000D4CFE">
      <w:pPr>
        <w:pStyle w:val="ListParagraph"/>
        <w:numPr>
          <w:ilvl w:val="1"/>
          <w:numId w:val="12"/>
        </w:numPr>
        <w:autoSpaceDE w:val="0"/>
        <w:autoSpaceDN w:val="0"/>
        <w:adjustRightInd w:val="0"/>
      </w:pPr>
      <w:r>
        <w:t>Brief description of project</w:t>
      </w:r>
    </w:p>
    <w:p w:rsidR="0000310F" w:rsidRDefault="0000310F" w:rsidP="000D4CFE">
      <w:pPr>
        <w:pStyle w:val="ListParagraph"/>
        <w:numPr>
          <w:ilvl w:val="1"/>
          <w:numId w:val="12"/>
        </w:numPr>
        <w:autoSpaceDE w:val="0"/>
        <w:autoSpaceDN w:val="0"/>
        <w:adjustRightInd w:val="0"/>
      </w:pPr>
      <w:r>
        <w:t>Brief description of the water quality benefits the project will achieve</w:t>
      </w:r>
    </w:p>
    <w:p w:rsidR="0000310F" w:rsidRDefault="0000310F" w:rsidP="00B90AEA">
      <w:pPr>
        <w:autoSpaceDE w:val="0"/>
        <w:autoSpaceDN w:val="0"/>
        <w:adjustRightInd w:val="0"/>
        <w:ind w:left="720"/>
      </w:pPr>
    </w:p>
    <w:p w:rsidR="0099498E" w:rsidRDefault="00A61317" w:rsidP="00B90AEA">
      <w:pPr>
        <w:autoSpaceDE w:val="0"/>
        <w:autoSpaceDN w:val="0"/>
        <w:adjustRightInd w:val="0"/>
        <w:ind w:left="720"/>
      </w:pPr>
      <w:r>
        <w:t xml:space="preserve">The </w:t>
      </w:r>
      <w:r w:rsidR="00C9536B">
        <w:t xml:space="preserve">EPA estimates that 328 local respondents will be affected by this policy each year. </w:t>
      </w:r>
      <w:r w:rsidR="00B27361" w:rsidRPr="002B698E">
        <w:t xml:space="preserve">Table </w:t>
      </w:r>
      <w:r w:rsidR="00C9536B">
        <w:t>6</w:t>
      </w:r>
      <w:r w:rsidR="00B27361" w:rsidRPr="002B698E">
        <w:t xml:space="preserve"> represents the total national local respondent burden.</w:t>
      </w:r>
      <w:r w:rsidR="007E14AF">
        <w:t xml:space="preserve"> </w:t>
      </w:r>
    </w:p>
    <w:p w:rsidR="00A451C2" w:rsidRPr="00A2336D" w:rsidRDefault="00A451C2" w:rsidP="00B90AEA">
      <w:pPr>
        <w:autoSpaceDE w:val="0"/>
        <w:autoSpaceDN w:val="0"/>
        <w:adjustRightInd w:val="0"/>
        <w:ind w:left="720"/>
        <w:rPr>
          <w:sz w:val="16"/>
          <w:szCs w:val="16"/>
        </w:rPr>
      </w:pPr>
    </w:p>
    <w:p w:rsidR="00B27361" w:rsidRDefault="0099498E" w:rsidP="009432D5">
      <w:pPr>
        <w:autoSpaceDE w:val="0"/>
        <w:autoSpaceDN w:val="0"/>
        <w:adjustRightInd w:val="0"/>
        <w:ind w:firstLine="720"/>
        <w:rPr>
          <w:b/>
        </w:rPr>
      </w:pPr>
      <w:r w:rsidRPr="005F113E">
        <w:rPr>
          <w:b/>
        </w:rPr>
        <w:t xml:space="preserve">Table </w:t>
      </w:r>
      <w:r w:rsidR="00C9536B">
        <w:rPr>
          <w:b/>
        </w:rPr>
        <w:t>6</w:t>
      </w:r>
      <w:r w:rsidRPr="005F113E">
        <w:rPr>
          <w:b/>
        </w:rPr>
        <w:t xml:space="preserve">: </w:t>
      </w:r>
      <w:r w:rsidR="00244A81">
        <w:rPr>
          <w:b/>
        </w:rPr>
        <w:t>Public Awareness</w:t>
      </w:r>
      <w:r w:rsidRPr="005F113E">
        <w:rPr>
          <w:b/>
        </w:rPr>
        <w:t xml:space="preserve"> Local Respondent Burden Hours</w:t>
      </w:r>
    </w:p>
    <w:tbl>
      <w:tblPr>
        <w:tblW w:w="7887" w:type="dxa"/>
        <w:tblInd w:w="828" w:type="dxa"/>
        <w:tblLayout w:type="fixed"/>
        <w:tblLook w:val="0000" w:firstRow="0" w:lastRow="0" w:firstColumn="0" w:lastColumn="0" w:noHBand="0" w:noVBand="0"/>
      </w:tblPr>
      <w:tblGrid>
        <w:gridCol w:w="900"/>
        <w:gridCol w:w="3387"/>
        <w:gridCol w:w="1530"/>
        <w:gridCol w:w="2070"/>
      </w:tblGrid>
      <w:tr w:rsidR="009F2DD8" w:rsidTr="000D4CFE">
        <w:trPr>
          <w:trHeight w:val="492"/>
        </w:trPr>
        <w:tc>
          <w:tcPr>
            <w:tcW w:w="900" w:type="dxa"/>
            <w:vMerge w:val="restart"/>
            <w:tcBorders>
              <w:top w:val="double" w:sz="4" w:space="0" w:color="auto"/>
              <w:left w:val="double" w:sz="4" w:space="0" w:color="auto"/>
              <w:bottom w:val="single" w:sz="12" w:space="0" w:color="000000"/>
              <w:right w:val="single" w:sz="4" w:space="0" w:color="auto"/>
            </w:tcBorders>
            <w:shd w:val="clear" w:color="auto" w:fill="auto"/>
            <w:vAlign w:val="center"/>
          </w:tcPr>
          <w:p w:rsidR="009F2DD8" w:rsidRDefault="009F2DD8" w:rsidP="009432D5">
            <w:pPr>
              <w:jc w:val="center"/>
              <w:rPr>
                <w:b/>
                <w:bCs/>
              </w:rPr>
            </w:pPr>
            <w:r>
              <w:rPr>
                <w:b/>
                <w:bCs/>
              </w:rPr>
              <w:t>Year</w:t>
            </w:r>
          </w:p>
        </w:tc>
        <w:tc>
          <w:tcPr>
            <w:tcW w:w="3387" w:type="dxa"/>
            <w:tcBorders>
              <w:top w:val="double" w:sz="4" w:space="0" w:color="auto"/>
              <w:left w:val="single" w:sz="4" w:space="0" w:color="auto"/>
              <w:bottom w:val="single" w:sz="4" w:space="0" w:color="auto"/>
              <w:right w:val="single" w:sz="4" w:space="0" w:color="auto"/>
            </w:tcBorders>
            <w:shd w:val="clear" w:color="auto" w:fill="auto"/>
            <w:vAlign w:val="center"/>
          </w:tcPr>
          <w:p w:rsidR="009F2DD8" w:rsidRDefault="009F2DD8" w:rsidP="009432D5">
            <w:pPr>
              <w:jc w:val="center"/>
              <w:rPr>
                <w:b/>
                <w:bCs/>
              </w:rPr>
            </w:pPr>
            <w:r>
              <w:rPr>
                <w:b/>
                <w:bCs/>
              </w:rPr>
              <w:t xml:space="preserve">Number of Local Respondents </w:t>
            </w:r>
          </w:p>
        </w:tc>
        <w:tc>
          <w:tcPr>
            <w:tcW w:w="1530" w:type="dxa"/>
            <w:tcBorders>
              <w:top w:val="double" w:sz="4" w:space="0" w:color="auto"/>
              <w:left w:val="nil"/>
              <w:bottom w:val="single" w:sz="4" w:space="0" w:color="auto"/>
              <w:right w:val="single" w:sz="4" w:space="0" w:color="auto"/>
            </w:tcBorders>
            <w:shd w:val="clear" w:color="auto" w:fill="auto"/>
            <w:vAlign w:val="center"/>
          </w:tcPr>
          <w:p w:rsidR="009F2DD8" w:rsidRDefault="009F2DD8" w:rsidP="009914C1">
            <w:pPr>
              <w:jc w:val="center"/>
              <w:rPr>
                <w:b/>
                <w:bCs/>
              </w:rPr>
            </w:pPr>
            <w:r>
              <w:rPr>
                <w:b/>
                <w:bCs/>
              </w:rPr>
              <w:t>Prep Hours</w:t>
            </w:r>
          </w:p>
        </w:tc>
        <w:tc>
          <w:tcPr>
            <w:tcW w:w="2070" w:type="dxa"/>
            <w:tcBorders>
              <w:top w:val="double" w:sz="4" w:space="0" w:color="auto"/>
              <w:left w:val="nil"/>
              <w:bottom w:val="single" w:sz="4" w:space="0" w:color="auto"/>
              <w:right w:val="double" w:sz="4" w:space="0" w:color="auto"/>
            </w:tcBorders>
            <w:shd w:val="clear" w:color="auto" w:fill="auto"/>
            <w:vAlign w:val="center"/>
          </w:tcPr>
          <w:p w:rsidR="009F2DD8" w:rsidRDefault="009F2DD8" w:rsidP="009432D5">
            <w:pPr>
              <w:jc w:val="center"/>
              <w:rPr>
                <w:b/>
                <w:bCs/>
              </w:rPr>
            </w:pPr>
            <w:r>
              <w:rPr>
                <w:b/>
                <w:bCs/>
              </w:rPr>
              <w:t>Burden Hours</w:t>
            </w:r>
          </w:p>
        </w:tc>
      </w:tr>
      <w:tr w:rsidR="009F2DD8" w:rsidTr="000D4CFE">
        <w:trPr>
          <w:trHeight w:val="135"/>
        </w:trPr>
        <w:tc>
          <w:tcPr>
            <w:tcW w:w="900" w:type="dxa"/>
            <w:vMerge/>
            <w:tcBorders>
              <w:top w:val="double" w:sz="6" w:space="0" w:color="auto"/>
              <w:left w:val="double" w:sz="4" w:space="0" w:color="auto"/>
              <w:bottom w:val="single" w:sz="12" w:space="0" w:color="000000"/>
              <w:right w:val="single" w:sz="4" w:space="0" w:color="auto"/>
            </w:tcBorders>
            <w:vAlign w:val="center"/>
          </w:tcPr>
          <w:p w:rsidR="009F2DD8" w:rsidRDefault="009F2DD8" w:rsidP="009432D5">
            <w:pPr>
              <w:jc w:val="center"/>
              <w:rPr>
                <w:b/>
                <w:bCs/>
              </w:rPr>
            </w:pPr>
          </w:p>
        </w:tc>
        <w:tc>
          <w:tcPr>
            <w:tcW w:w="3387" w:type="dxa"/>
            <w:tcBorders>
              <w:top w:val="single" w:sz="4" w:space="0" w:color="auto"/>
              <w:left w:val="single" w:sz="4" w:space="0" w:color="auto"/>
              <w:bottom w:val="single" w:sz="12" w:space="0" w:color="000000"/>
              <w:right w:val="single" w:sz="4" w:space="0" w:color="auto"/>
            </w:tcBorders>
            <w:shd w:val="clear" w:color="auto" w:fill="auto"/>
            <w:vAlign w:val="center"/>
          </w:tcPr>
          <w:p w:rsidR="009F2DD8" w:rsidRDefault="009F2DD8" w:rsidP="00BD66E9">
            <w:pPr>
              <w:jc w:val="center"/>
              <w:rPr>
                <w:b/>
                <w:bCs/>
              </w:rPr>
            </w:pPr>
            <w:r>
              <w:rPr>
                <w:b/>
                <w:bCs/>
              </w:rPr>
              <w:t>(A)</w:t>
            </w:r>
          </w:p>
        </w:tc>
        <w:tc>
          <w:tcPr>
            <w:tcW w:w="1530" w:type="dxa"/>
            <w:tcBorders>
              <w:top w:val="nil"/>
              <w:left w:val="nil"/>
              <w:bottom w:val="single" w:sz="12" w:space="0" w:color="auto"/>
              <w:right w:val="single" w:sz="4" w:space="0" w:color="auto"/>
            </w:tcBorders>
            <w:shd w:val="clear" w:color="auto" w:fill="auto"/>
            <w:vAlign w:val="center"/>
          </w:tcPr>
          <w:p w:rsidR="009F2DD8" w:rsidRDefault="009F2DD8" w:rsidP="00BD66E9">
            <w:pPr>
              <w:jc w:val="center"/>
              <w:rPr>
                <w:b/>
                <w:bCs/>
              </w:rPr>
            </w:pPr>
            <w:r>
              <w:rPr>
                <w:b/>
                <w:bCs/>
              </w:rPr>
              <w:t>(B)</w:t>
            </w:r>
          </w:p>
        </w:tc>
        <w:tc>
          <w:tcPr>
            <w:tcW w:w="2070" w:type="dxa"/>
            <w:tcBorders>
              <w:top w:val="nil"/>
              <w:left w:val="nil"/>
              <w:bottom w:val="single" w:sz="12" w:space="0" w:color="auto"/>
              <w:right w:val="double" w:sz="4" w:space="0" w:color="auto"/>
            </w:tcBorders>
            <w:shd w:val="clear" w:color="auto" w:fill="auto"/>
            <w:vAlign w:val="center"/>
          </w:tcPr>
          <w:p w:rsidR="009F2DD8" w:rsidRDefault="009F2DD8" w:rsidP="00BD66E9">
            <w:pPr>
              <w:jc w:val="center"/>
              <w:rPr>
                <w:b/>
                <w:bCs/>
              </w:rPr>
            </w:pPr>
            <w:r>
              <w:rPr>
                <w:b/>
                <w:bCs/>
              </w:rPr>
              <w:t>(A x B)</w:t>
            </w:r>
          </w:p>
        </w:tc>
      </w:tr>
      <w:tr w:rsidR="009F2DD8" w:rsidTr="000D4CFE">
        <w:trPr>
          <w:trHeight w:val="332"/>
        </w:trPr>
        <w:tc>
          <w:tcPr>
            <w:tcW w:w="900" w:type="dxa"/>
            <w:tcBorders>
              <w:top w:val="nil"/>
              <w:left w:val="double" w:sz="4" w:space="0" w:color="auto"/>
              <w:bottom w:val="single" w:sz="4" w:space="0" w:color="auto"/>
              <w:right w:val="single" w:sz="4" w:space="0" w:color="auto"/>
            </w:tcBorders>
            <w:shd w:val="clear" w:color="auto" w:fill="auto"/>
            <w:noWrap/>
            <w:vAlign w:val="center"/>
          </w:tcPr>
          <w:p w:rsidR="009F2DD8" w:rsidRDefault="00D91901" w:rsidP="00D91901">
            <w:pPr>
              <w:jc w:val="center"/>
              <w:rPr>
                <w:b/>
                <w:bCs/>
              </w:rPr>
            </w:pPr>
            <w:r>
              <w:rPr>
                <w:b/>
                <w:bCs/>
              </w:rPr>
              <w:t>2016</w:t>
            </w:r>
          </w:p>
        </w:tc>
        <w:tc>
          <w:tcPr>
            <w:tcW w:w="3387" w:type="dxa"/>
            <w:tcBorders>
              <w:top w:val="nil"/>
              <w:left w:val="nil"/>
              <w:bottom w:val="single" w:sz="4" w:space="0" w:color="auto"/>
              <w:right w:val="single" w:sz="4" w:space="0" w:color="auto"/>
            </w:tcBorders>
            <w:shd w:val="clear" w:color="auto" w:fill="auto"/>
            <w:noWrap/>
            <w:vAlign w:val="center"/>
          </w:tcPr>
          <w:p w:rsidR="009F2DD8" w:rsidRDefault="009C7682" w:rsidP="00BD66E9">
            <w:pPr>
              <w:jc w:val="center"/>
            </w:pPr>
            <w:r>
              <w:t>328</w:t>
            </w:r>
          </w:p>
        </w:tc>
        <w:tc>
          <w:tcPr>
            <w:tcW w:w="1530" w:type="dxa"/>
            <w:tcBorders>
              <w:top w:val="nil"/>
              <w:left w:val="nil"/>
              <w:bottom w:val="single" w:sz="4" w:space="0" w:color="auto"/>
              <w:right w:val="single" w:sz="4" w:space="0" w:color="auto"/>
            </w:tcBorders>
            <w:shd w:val="clear" w:color="auto" w:fill="auto"/>
            <w:noWrap/>
            <w:vAlign w:val="center"/>
          </w:tcPr>
          <w:p w:rsidR="009F2DD8" w:rsidRPr="00CF2DB9" w:rsidRDefault="00CF2DB9" w:rsidP="00BD66E9">
            <w:pPr>
              <w:jc w:val="center"/>
            </w:pPr>
            <w:r w:rsidRPr="00CF2DB9">
              <w:t>2</w:t>
            </w:r>
          </w:p>
        </w:tc>
        <w:tc>
          <w:tcPr>
            <w:tcW w:w="2070" w:type="dxa"/>
            <w:tcBorders>
              <w:top w:val="nil"/>
              <w:left w:val="nil"/>
              <w:bottom w:val="single" w:sz="4" w:space="0" w:color="auto"/>
              <w:right w:val="double" w:sz="4" w:space="0" w:color="auto"/>
            </w:tcBorders>
            <w:shd w:val="clear" w:color="auto" w:fill="auto"/>
            <w:noWrap/>
            <w:vAlign w:val="center"/>
          </w:tcPr>
          <w:p w:rsidR="009F2DD8" w:rsidRPr="00CF2DB9" w:rsidRDefault="00CF2DB9" w:rsidP="00BD66E9">
            <w:pPr>
              <w:jc w:val="center"/>
            </w:pPr>
            <w:r>
              <w:t>656</w:t>
            </w:r>
          </w:p>
        </w:tc>
      </w:tr>
      <w:tr w:rsidR="009F2DD8" w:rsidTr="000D4CFE">
        <w:trPr>
          <w:trHeight w:val="317"/>
        </w:trPr>
        <w:tc>
          <w:tcPr>
            <w:tcW w:w="900" w:type="dxa"/>
            <w:tcBorders>
              <w:top w:val="nil"/>
              <w:left w:val="double" w:sz="4" w:space="0" w:color="auto"/>
              <w:bottom w:val="single" w:sz="4" w:space="0" w:color="auto"/>
              <w:right w:val="single" w:sz="4" w:space="0" w:color="auto"/>
            </w:tcBorders>
            <w:shd w:val="clear" w:color="auto" w:fill="auto"/>
            <w:noWrap/>
            <w:vAlign w:val="center"/>
          </w:tcPr>
          <w:p w:rsidR="009F2DD8" w:rsidRDefault="00D91901" w:rsidP="00D91901">
            <w:pPr>
              <w:jc w:val="center"/>
              <w:rPr>
                <w:b/>
                <w:bCs/>
              </w:rPr>
            </w:pPr>
            <w:r>
              <w:rPr>
                <w:b/>
                <w:bCs/>
              </w:rPr>
              <w:t>2017</w:t>
            </w:r>
          </w:p>
        </w:tc>
        <w:tc>
          <w:tcPr>
            <w:tcW w:w="3387" w:type="dxa"/>
            <w:tcBorders>
              <w:top w:val="nil"/>
              <w:left w:val="nil"/>
              <w:bottom w:val="single" w:sz="4" w:space="0" w:color="auto"/>
              <w:right w:val="single" w:sz="4" w:space="0" w:color="auto"/>
            </w:tcBorders>
            <w:shd w:val="clear" w:color="auto" w:fill="auto"/>
            <w:noWrap/>
            <w:vAlign w:val="center"/>
          </w:tcPr>
          <w:p w:rsidR="009F2DD8" w:rsidRDefault="009C7682" w:rsidP="00BD66E9">
            <w:pPr>
              <w:jc w:val="center"/>
            </w:pPr>
            <w:r>
              <w:t>328</w:t>
            </w:r>
          </w:p>
        </w:tc>
        <w:tc>
          <w:tcPr>
            <w:tcW w:w="1530" w:type="dxa"/>
            <w:tcBorders>
              <w:top w:val="nil"/>
              <w:left w:val="nil"/>
              <w:bottom w:val="single" w:sz="4" w:space="0" w:color="auto"/>
              <w:right w:val="single" w:sz="4" w:space="0" w:color="auto"/>
            </w:tcBorders>
            <w:shd w:val="clear" w:color="auto" w:fill="auto"/>
            <w:noWrap/>
            <w:vAlign w:val="center"/>
          </w:tcPr>
          <w:p w:rsidR="009F2DD8" w:rsidRPr="00CF2DB9" w:rsidRDefault="00CF2DB9" w:rsidP="00BD66E9">
            <w:pPr>
              <w:jc w:val="center"/>
            </w:pPr>
            <w:r w:rsidRPr="00CF2DB9">
              <w:t>2</w:t>
            </w:r>
          </w:p>
        </w:tc>
        <w:tc>
          <w:tcPr>
            <w:tcW w:w="2070" w:type="dxa"/>
            <w:tcBorders>
              <w:top w:val="nil"/>
              <w:left w:val="nil"/>
              <w:bottom w:val="single" w:sz="4" w:space="0" w:color="auto"/>
              <w:right w:val="double" w:sz="4" w:space="0" w:color="auto"/>
            </w:tcBorders>
            <w:shd w:val="clear" w:color="auto" w:fill="auto"/>
            <w:noWrap/>
            <w:vAlign w:val="center"/>
          </w:tcPr>
          <w:p w:rsidR="009F2DD8" w:rsidRPr="00CF2DB9" w:rsidRDefault="00CF2DB9" w:rsidP="00BD66E9">
            <w:pPr>
              <w:jc w:val="center"/>
            </w:pPr>
            <w:r>
              <w:t>656</w:t>
            </w:r>
          </w:p>
        </w:tc>
      </w:tr>
      <w:tr w:rsidR="009F2DD8" w:rsidTr="000D4CFE">
        <w:trPr>
          <w:trHeight w:val="332"/>
        </w:trPr>
        <w:tc>
          <w:tcPr>
            <w:tcW w:w="900" w:type="dxa"/>
            <w:tcBorders>
              <w:top w:val="nil"/>
              <w:left w:val="double" w:sz="4" w:space="0" w:color="auto"/>
              <w:bottom w:val="double" w:sz="4" w:space="0" w:color="auto"/>
              <w:right w:val="single" w:sz="4" w:space="0" w:color="auto"/>
            </w:tcBorders>
            <w:shd w:val="clear" w:color="auto" w:fill="auto"/>
            <w:noWrap/>
            <w:vAlign w:val="center"/>
          </w:tcPr>
          <w:p w:rsidR="009F2DD8" w:rsidRPr="00A451C2" w:rsidRDefault="00D91901" w:rsidP="00D91901">
            <w:pPr>
              <w:jc w:val="center"/>
              <w:rPr>
                <w:b/>
              </w:rPr>
            </w:pPr>
            <w:r w:rsidRPr="00A451C2">
              <w:rPr>
                <w:b/>
              </w:rPr>
              <w:t>201</w:t>
            </w:r>
            <w:r>
              <w:rPr>
                <w:b/>
              </w:rPr>
              <w:t>8</w:t>
            </w:r>
          </w:p>
        </w:tc>
        <w:tc>
          <w:tcPr>
            <w:tcW w:w="3387" w:type="dxa"/>
            <w:tcBorders>
              <w:top w:val="nil"/>
              <w:left w:val="nil"/>
              <w:bottom w:val="double" w:sz="4" w:space="0" w:color="auto"/>
              <w:right w:val="single" w:sz="4" w:space="0" w:color="auto"/>
            </w:tcBorders>
            <w:shd w:val="clear" w:color="auto" w:fill="auto"/>
            <w:noWrap/>
            <w:vAlign w:val="center"/>
          </w:tcPr>
          <w:p w:rsidR="009F2DD8" w:rsidRDefault="009C7682" w:rsidP="00BD66E9">
            <w:pPr>
              <w:jc w:val="center"/>
            </w:pPr>
            <w:r>
              <w:t>328</w:t>
            </w:r>
          </w:p>
        </w:tc>
        <w:tc>
          <w:tcPr>
            <w:tcW w:w="1530" w:type="dxa"/>
            <w:tcBorders>
              <w:top w:val="nil"/>
              <w:left w:val="nil"/>
              <w:bottom w:val="double" w:sz="4" w:space="0" w:color="auto"/>
              <w:right w:val="single" w:sz="4" w:space="0" w:color="auto"/>
            </w:tcBorders>
            <w:shd w:val="clear" w:color="auto" w:fill="auto"/>
            <w:noWrap/>
            <w:vAlign w:val="center"/>
          </w:tcPr>
          <w:p w:rsidR="009F2DD8" w:rsidRPr="00CF2DB9" w:rsidRDefault="00CF2DB9" w:rsidP="00BD66E9">
            <w:pPr>
              <w:jc w:val="center"/>
            </w:pPr>
            <w:r w:rsidRPr="00CF2DB9">
              <w:t>2</w:t>
            </w:r>
          </w:p>
        </w:tc>
        <w:tc>
          <w:tcPr>
            <w:tcW w:w="2070" w:type="dxa"/>
            <w:tcBorders>
              <w:top w:val="nil"/>
              <w:left w:val="nil"/>
              <w:bottom w:val="double" w:sz="4" w:space="0" w:color="auto"/>
              <w:right w:val="double" w:sz="4" w:space="0" w:color="auto"/>
            </w:tcBorders>
            <w:shd w:val="clear" w:color="auto" w:fill="auto"/>
            <w:noWrap/>
            <w:vAlign w:val="center"/>
          </w:tcPr>
          <w:p w:rsidR="009F2DD8" w:rsidRPr="00CF2DB9" w:rsidRDefault="00CF2DB9" w:rsidP="00BD66E9">
            <w:pPr>
              <w:jc w:val="center"/>
            </w:pPr>
            <w:r>
              <w:t>656</w:t>
            </w:r>
          </w:p>
        </w:tc>
      </w:tr>
    </w:tbl>
    <w:p w:rsidR="00C9536B" w:rsidRDefault="00C9536B" w:rsidP="00B90AEA">
      <w:pPr>
        <w:autoSpaceDE w:val="0"/>
        <w:autoSpaceDN w:val="0"/>
        <w:adjustRightInd w:val="0"/>
        <w:ind w:left="720"/>
        <w:jc w:val="center"/>
        <w:rPr>
          <w:u w:val="single"/>
        </w:rPr>
      </w:pPr>
    </w:p>
    <w:p w:rsidR="00B27361" w:rsidRPr="002B698E" w:rsidRDefault="00B27361" w:rsidP="00B90AEA">
      <w:pPr>
        <w:autoSpaceDE w:val="0"/>
        <w:autoSpaceDN w:val="0"/>
        <w:adjustRightInd w:val="0"/>
        <w:ind w:left="720"/>
        <w:jc w:val="center"/>
        <w:rPr>
          <w:u w:val="single"/>
        </w:rPr>
      </w:pPr>
      <w:r w:rsidRPr="002B698E">
        <w:rPr>
          <w:u w:val="single"/>
        </w:rPr>
        <w:t>SUMMARY OF RESPONDENT BURDEN HOURS</w:t>
      </w:r>
    </w:p>
    <w:p w:rsidR="00B27361" w:rsidRDefault="00B27361" w:rsidP="00B90AEA">
      <w:pPr>
        <w:autoSpaceDE w:val="0"/>
        <w:autoSpaceDN w:val="0"/>
        <w:adjustRightInd w:val="0"/>
        <w:ind w:left="720"/>
      </w:pPr>
      <w:r w:rsidRPr="002B698E">
        <w:t xml:space="preserve">Table </w:t>
      </w:r>
      <w:r w:rsidR="00F32875">
        <w:t>7</w:t>
      </w:r>
      <w:r w:rsidRPr="002B698E">
        <w:t xml:space="preserve"> summari</w:t>
      </w:r>
      <w:r w:rsidR="00943C52">
        <w:t>zes</w:t>
      </w:r>
      <w:r w:rsidRPr="002B698E">
        <w:t xml:space="preserve"> the State burden hours for the </w:t>
      </w:r>
      <w:r w:rsidR="00C9536B">
        <w:t>five</w:t>
      </w:r>
      <w:r w:rsidR="00C9536B" w:rsidRPr="002B698E">
        <w:t xml:space="preserve"> </w:t>
      </w:r>
      <w:r w:rsidRPr="002B698E">
        <w:t>individual information collection activities. Average burden hours per State and total hours for all States for the three years covered by this ICR are provided for each activity.</w:t>
      </w:r>
    </w:p>
    <w:p w:rsidR="00CB4816" w:rsidRDefault="00CB4816" w:rsidP="00B90AEA">
      <w:pPr>
        <w:autoSpaceDE w:val="0"/>
        <w:autoSpaceDN w:val="0"/>
        <w:adjustRightInd w:val="0"/>
        <w:ind w:left="720"/>
        <w:rPr>
          <w:b/>
        </w:rPr>
      </w:pPr>
    </w:p>
    <w:p w:rsidR="0099498E" w:rsidRPr="005F113E" w:rsidRDefault="0099498E" w:rsidP="00B90AEA">
      <w:pPr>
        <w:autoSpaceDE w:val="0"/>
        <w:autoSpaceDN w:val="0"/>
        <w:adjustRightInd w:val="0"/>
        <w:ind w:left="720"/>
        <w:rPr>
          <w:b/>
        </w:rPr>
      </w:pPr>
      <w:r w:rsidRPr="005F113E">
        <w:rPr>
          <w:b/>
        </w:rPr>
        <w:t xml:space="preserve">Table </w:t>
      </w:r>
      <w:r w:rsidR="00F32875">
        <w:rPr>
          <w:b/>
        </w:rPr>
        <w:t>7</w:t>
      </w:r>
      <w:r w:rsidRPr="005F113E">
        <w:rPr>
          <w:b/>
        </w:rPr>
        <w:t xml:space="preserve">: Summary of State Burden Hours (FY </w:t>
      </w:r>
      <w:r w:rsidR="00A452DF" w:rsidRPr="005F113E">
        <w:rPr>
          <w:b/>
        </w:rPr>
        <w:t>20</w:t>
      </w:r>
      <w:r w:rsidR="00A452DF">
        <w:rPr>
          <w:b/>
        </w:rPr>
        <w:t xml:space="preserve">16 </w:t>
      </w:r>
      <w:r w:rsidR="008A4FEA">
        <w:rPr>
          <w:b/>
        </w:rPr>
        <w:t xml:space="preserve">- FY </w:t>
      </w:r>
      <w:r w:rsidR="00A452DF">
        <w:rPr>
          <w:b/>
        </w:rPr>
        <w:t>2018</w:t>
      </w:r>
      <w:r w:rsidRPr="005F113E">
        <w:rPr>
          <w:b/>
        </w:rPr>
        <w:t>)</w:t>
      </w:r>
    </w:p>
    <w:tbl>
      <w:tblPr>
        <w:tblW w:w="8175" w:type="dxa"/>
        <w:tblInd w:w="72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168"/>
        <w:gridCol w:w="2577"/>
        <w:gridCol w:w="2430"/>
      </w:tblGrid>
      <w:tr w:rsidR="00C9536B" w:rsidRPr="002B698E" w:rsidTr="000D4CFE">
        <w:trPr>
          <w:trHeight w:val="1158"/>
        </w:trPr>
        <w:tc>
          <w:tcPr>
            <w:tcW w:w="3168" w:type="dxa"/>
            <w:tcBorders>
              <w:top w:val="double" w:sz="4" w:space="0" w:color="auto"/>
              <w:left w:val="double" w:sz="4" w:space="0" w:color="auto"/>
              <w:right w:val="double" w:sz="4" w:space="0" w:color="auto"/>
            </w:tcBorders>
            <w:shd w:val="clear" w:color="auto" w:fill="auto"/>
            <w:noWrap/>
            <w:vAlign w:val="center"/>
          </w:tcPr>
          <w:p w:rsidR="00C9536B" w:rsidRPr="005F113E" w:rsidRDefault="00C9536B" w:rsidP="004E70C3">
            <w:pPr>
              <w:jc w:val="center"/>
              <w:rPr>
                <w:b/>
              </w:rPr>
            </w:pPr>
            <w:r w:rsidRPr="005F113E">
              <w:rPr>
                <w:b/>
              </w:rPr>
              <w:t>ICR</w:t>
            </w:r>
          </w:p>
        </w:tc>
        <w:tc>
          <w:tcPr>
            <w:tcW w:w="2577" w:type="dxa"/>
            <w:tcBorders>
              <w:top w:val="double" w:sz="4" w:space="0" w:color="auto"/>
              <w:left w:val="double" w:sz="4" w:space="0" w:color="auto"/>
              <w:right w:val="single" w:sz="6" w:space="0" w:color="auto"/>
            </w:tcBorders>
            <w:shd w:val="clear" w:color="auto" w:fill="auto"/>
            <w:noWrap/>
            <w:vAlign w:val="center"/>
          </w:tcPr>
          <w:p w:rsidR="00C9536B" w:rsidRPr="005F113E" w:rsidRDefault="00C9536B" w:rsidP="004E70C3">
            <w:pPr>
              <w:jc w:val="center"/>
              <w:rPr>
                <w:b/>
              </w:rPr>
            </w:pPr>
            <w:r w:rsidRPr="005F113E">
              <w:rPr>
                <w:b/>
              </w:rPr>
              <w:t>Hours Per State</w:t>
            </w:r>
          </w:p>
        </w:tc>
        <w:tc>
          <w:tcPr>
            <w:tcW w:w="2430" w:type="dxa"/>
            <w:tcBorders>
              <w:top w:val="double" w:sz="4" w:space="0" w:color="auto"/>
              <w:left w:val="single" w:sz="6" w:space="0" w:color="auto"/>
              <w:right w:val="double" w:sz="4" w:space="0" w:color="auto"/>
            </w:tcBorders>
            <w:vAlign w:val="center"/>
          </w:tcPr>
          <w:p w:rsidR="00C9536B" w:rsidRPr="005F113E" w:rsidRDefault="00C9536B" w:rsidP="004E70C3">
            <w:pPr>
              <w:jc w:val="center"/>
              <w:rPr>
                <w:b/>
              </w:rPr>
            </w:pPr>
            <w:r w:rsidRPr="005F113E">
              <w:rPr>
                <w:b/>
              </w:rPr>
              <w:t>Hours for All States</w:t>
            </w:r>
          </w:p>
        </w:tc>
      </w:tr>
      <w:tr w:rsidR="00C9536B" w:rsidRPr="002B698E" w:rsidTr="000D4CFE">
        <w:trPr>
          <w:trHeight w:val="312"/>
        </w:trPr>
        <w:tc>
          <w:tcPr>
            <w:tcW w:w="3168" w:type="dxa"/>
            <w:tcBorders>
              <w:top w:val="single" w:sz="12" w:space="0" w:color="auto"/>
              <w:left w:val="double" w:sz="4" w:space="0" w:color="auto"/>
              <w:bottom w:val="single" w:sz="8" w:space="0" w:color="auto"/>
              <w:right w:val="double" w:sz="4" w:space="0" w:color="auto"/>
            </w:tcBorders>
            <w:shd w:val="clear" w:color="auto" w:fill="auto"/>
            <w:noWrap/>
          </w:tcPr>
          <w:p w:rsidR="00C9536B" w:rsidRPr="0080640E" w:rsidRDefault="00C9536B" w:rsidP="000D4CFE">
            <w:pPr>
              <w:rPr>
                <w:b/>
              </w:rPr>
            </w:pPr>
            <w:r w:rsidRPr="0080640E">
              <w:rPr>
                <w:b/>
              </w:rPr>
              <w:t>IUP / Cap Grant Agreement</w:t>
            </w:r>
          </w:p>
        </w:tc>
        <w:tc>
          <w:tcPr>
            <w:tcW w:w="2577" w:type="dxa"/>
            <w:tcBorders>
              <w:top w:val="single" w:sz="12" w:space="0" w:color="auto"/>
              <w:left w:val="double" w:sz="4" w:space="0" w:color="auto"/>
              <w:bottom w:val="single" w:sz="8" w:space="0" w:color="auto"/>
              <w:right w:val="single" w:sz="8" w:space="0" w:color="auto"/>
            </w:tcBorders>
            <w:shd w:val="clear" w:color="auto" w:fill="auto"/>
            <w:noWrap/>
          </w:tcPr>
          <w:p w:rsidR="00C9536B" w:rsidRPr="002B698E" w:rsidRDefault="00C9536B" w:rsidP="00AE46B0">
            <w:pPr>
              <w:jc w:val="center"/>
            </w:pPr>
            <w:r>
              <w:t>1,200</w:t>
            </w:r>
          </w:p>
        </w:tc>
        <w:tc>
          <w:tcPr>
            <w:tcW w:w="2430" w:type="dxa"/>
            <w:tcBorders>
              <w:top w:val="single" w:sz="12" w:space="0" w:color="auto"/>
              <w:left w:val="single" w:sz="8" w:space="0" w:color="auto"/>
              <w:bottom w:val="single" w:sz="8" w:space="0" w:color="auto"/>
              <w:right w:val="double" w:sz="4" w:space="0" w:color="auto"/>
            </w:tcBorders>
          </w:tcPr>
          <w:p w:rsidR="00C9536B" w:rsidRPr="002B698E" w:rsidRDefault="00C9536B" w:rsidP="0035701F">
            <w:pPr>
              <w:jc w:val="center"/>
            </w:pPr>
            <w:r>
              <w:t>61,200</w:t>
            </w:r>
          </w:p>
        </w:tc>
      </w:tr>
      <w:tr w:rsidR="00C9536B" w:rsidRPr="002B698E" w:rsidTr="000D4CFE">
        <w:trPr>
          <w:trHeight w:val="255"/>
        </w:trPr>
        <w:tc>
          <w:tcPr>
            <w:tcW w:w="3168" w:type="dxa"/>
            <w:tcBorders>
              <w:top w:val="single" w:sz="8" w:space="0" w:color="auto"/>
              <w:left w:val="double" w:sz="4" w:space="0" w:color="auto"/>
              <w:bottom w:val="single" w:sz="8" w:space="0" w:color="auto"/>
              <w:right w:val="double" w:sz="4" w:space="0" w:color="auto"/>
            </w:tcBorders>
            <w:shd w:val="clear" w:color="auto" w:fill="auto"/>
            <w:noWrap/>
          </w:tcPr>
          <w:p w:rsidR="00C9536B" w:rsidRPr="0080640E" w:rsidRDefault="00C9536B" w:rsidP="00AE46B0">
            <w:pPr>
              <w:rPr>
                <w:b/>
              </w:rPr>
            </w:pPr>
            <w:r w:rsidRPr="0080640E">
              <w:rPr>
                <w:b/>
              </w:rPr>
              <w:t>Biennial Report</w:t>
            </w:r>
          </w:p>
        </w:tc>
        <w:tc>
          <w:tcPr>
            <w:tcW w:w="2577" w:type="dxa"/>
            <w:tcBorders>
              <w:top w:val="single" w:sz="8" w:space="0" w:color="auto"/>
              <w:left w:val="double" w:sz="4" w:space="0" w:color="auto"/>
              <w:bottom w:val="single" w:sz="8" w:space="0" w:color="auto"/>
              <w:right w:val="single" w:sz="8" w:space="0" w:color="auto"/>
            </w:tcBorders>
            <w:shd w:val="clear" w:color="auto" w:fill="auto"/>
            <w:noWrap/>
          </w:tcPr>
          <w:p w:rsidR="00C9536B" w:rsidRPr="002B698E" w:rsidRDefault="00C9536B" w:rsidP="00AE46B0">
            <w:pPr>
              <w:jc w:val="center"/>
            </w:pPr>
            <w:r>
              <w:t>825</w:t>
            </w:r>
          </w:p>
        </w:tc>
        <w:tc>
          <w:tcPr>
            <w:tcW w:w="2430" w:type="dxa"/>
            <w:tcBorders>
              <w:top w:val="single" w:sz="8" w:space="0" w:color="auto"/>
              <w:left w:val="single" w:sz="8" w:space="0" w:color="auto"/>
              <w:bottom w:val="single" w:sz="8" w:space="0" w:color="auto"/>
              <w:right w:val="double" w:sz="4" w:space="0" w:color="auto"/>
            </w:tcBorders>
          </w:tcPr>
          <w:p w:rsidR="00C9536B" w:rsidRPr="002B698E" w:rsidRDefault="00C9536B" w:rsidP="0035701F">
            <w:pPr>
              <w:jc w:val="center"/>
            </w:pPr>
            <w:r>
              <w:t>21,175</w:t>
            </w:r>
          </w:p>
        </w:tc>
      </w:tr>
      <w:tr w:rsidR="00C9536B" w:rsidRPr="002B698E" w:rsidTr="000D4CFE">
        <w:trPr>
          <w:trHeight w:val="255"/>
        </w:trPr>
        <w:tc>
          <w:tcPr>
            <w:tcW w:w="3168" w:type="dxa"/>
            <w:tcBorders>
              <w:top w:val="single" w:sz="8" w:space="0" w:color="auto"/>
              <w:left w:val="double" w:sz="4" w:space="0" w:color="auto"/>
              <w:bottom w:val="single" w:sz="8" w:space="0" w:color="auto"/>
              <w:right w:val="double" w:sz="4" w:space="0" w:color="auto"/>
            </w:tcBorders>
            <w:shd w:val="clear" w:color="auto" w:fill="auto"/>
            <w:noWrap/>
          </w:tcPr>
          <w:p w:rsidR="00C9536B" w:rsidRPr="0080640E" w:rsidRDefault="00C9536B" w:rsidP="00AE46B0">
            <w:pPr>
              <w:rPr>
                <w:b/>
              </w:rPr>
            </w:pPr>
            <w:r w:rsidRPr="0080640E">
              <w:rPr>
                <w:b/>
              </w:rPr>
              <w:t>State Audit</w:t>
            </w:r>
          </w:p>
        </w:tc>
        <w:tc>
          <w:tcPr>
            <w:tcW w:w="2577" w:type="dxa"/>
            <w:tcBorders>
              <w:top w:val="single" w:sz="8" w:space="0" w:color="auto"/>
              <w:left w:val="double" w:sz="4" w:space="0" w:color="auto"/>
              <w:bottom w:val="single" w:sz="8" w:space="0" w:color="auto"/>
              <w:right w:val="single" w:sz="8" w:space="0" w:color="auto"/>
            </w:tcBorders>
            <w:shd w:val="clear" w:color="auto" w:fill="auto"/>
            <w:noWrap/>
          </w:tcPr>
          <w:p w:rsidR="00C9536B" w:rsidRPr="002B698E" w:rsidRDefault="00C9536B" w:rsidP="00AE46B0">
            <w:pPr>
              <w:jc w:val="center"/>
            </w:pPr>
            <w:r>
              <w:t>240</w:t>
            </w:r>
          </w:p>
        </w:tc>
        <w:tc>
          <w:tcPr>
            <w:tcW w:w="2430" w:type="dxa"/>
            <w:tcBorders>
              <w:top w:val="single" w:sz="8" w:space="0" w:color="auto"/>
              <w:left w:val="single" w:sz="8" w:space="0" w:color="auto"/>
              <w:bottom w:val="single" w:sz="8" w:space="0" w:color="auto"/>
              <w:right w:val="double" w:sz="4" w:space="0" w:color="auto"/>
            </w:tcBorders>
          </w:tcPr>
          <w:p w:rsidR="00C9536B" w:rsidRPr="002B698E" w:rsidRDefault="00C9536B" w:rsidP="0035701F">
            <w:pPr>
              <w:jc w:val="center"/>
            </w:pPr>
            <w:r>
              <w:t>12,240</w:t>
            </w:r>
          </w:p>
        </w:tc>
      </w:tr>
      <w:tr w:rsidR="00C9536B" w:rsidRPr="002B698E" w:rsidTr="000D4CFE">
        <w:trPr>
          <w:trHeight w:val="255"/>
        </w:trPr>
        <w:tc>
          <w:tcPr>
            <w:tcW w:w="3168" w:type="dxa"/>
            <w:tcBorders>
              <w:top w:val="single" w:sz="8" w:space="0" w:color="auto"/>
              <w:left w:val="double" w:sz="4" w:space="0" w:color="auto"/>
              <w:bottom w:val="single" w:sz="8" w:space="0" w:color="auto"/>
              <w:right w:val="double" w:sz="4" w:space="0" w:color="auto"/>
            </w:tcBorders>
            <w:shd w:val="clear" w:color="auto" w:fill="auto"/>
            <w:noWrap/>
          </w:tcPr>
          <w:p w:rsidR="00C9536B" w:rsidRPr="0080640E" w:rsidRDefault="00C9536B" w:rsidP="00C9536B">
            <w:pPr>
              <w:rPr>
                <w:b/>
              </w:rPr>
            </w:pPr>
            <w:r w:rsidRPr="0080640E">
              <w:rPr>
                <w:b/>
              </w:rPr>
              <w:t>Application Review</w:t>
            </w:r>
          </w:p>
        </w:tc>
        <w:tc>
          <w:tcPr>
            <w:tcW w:w="2577" w:type="dxa"/>
            <w:tcBorders>
              <w:top w:val="single" w:sz="8" w:space="0" w:color="auto"/>
              <w:left w:val="double" w:sz="4" w:space="0" w:color="auto"/>
              <w:bottom w:val="single" w:sz="8" w:space="0" w:color="auto"/>
              <w:right w:val="single" w:sz="8" w:space="0" w:color="auto"/>
            </w:tcBorders>
            <w:shd w:val="clear" w:color="auto" w:fill="auto"/>
            <w:noWrap/>
          </w:tcPr>
          <w:p w:rsidR="00C9536B" w:rsidRDefault="00C9536B" w:rsidP="00C9536B">
            <w:pPr>
              <w:jc w:val="center"/>
            </w:pPr>
            <w:r>
              <w:t>3,240</w:t>
            </w:r>
          </w:p>
        </w:tc>
        <w:tc>
          <w:tcPr>
            <w:tcW w:w="2430" w:type="dxa"/>
            <w:tcBorders>
              <w:top w:val="single" w:sz="8" w:space="0" w:color="auto"/>
              <w:left w:val="single" w:sz="8" w:space="0" w:color="auto"/>
              <w:bottom w:val="single" w:sz="8" w:space="0" w:color="auto"/>
              <w:right w:val="double" w:sz="4" w:space="0" w:color="auto"/>
            </w:tcBorders>
          </w:tcPr>
          <w:p w:rsidR="00C9536B" w:rsidRDefault="00C9536B" w:rsidP="00C9536B">
            <w:pPr>
              <w:jc w:val="center"/>
            </w:pPr>
            <w:r>
              <w:t>165,240</w:t>
            </w:r>
          </w:p>
        </w:tc>
      </w:tr>
      <w:tr w:rsidR="00C9536B" w:rsidRPr="002B698E" w:rsidTr="000D4CFE">
        <w:trPr>
          <w:trHeight w:val="255"/>
        </w:trPr>
        <w:tc>
          <w:tcPr>
            <w:tcW w:w="3168" w:type="dxa"/>
            <w:tcBorders>
              <w:top w:val="single" w:sz="8" w:space="0" w:color="auto"/>
              <w:left w:val="double" w:sz="4" w:space="0" w:color="auto"/>
              <w:bottom w:val="triple" w:sz="4" w:space="0" w:color="auto"/>
              <w:right w:val="double" w:sz="4" w:space="0" w:color="auto"/>
            </w:tcBorders>
            <w:shd w:val="clear" w:color="auto" w:fill="auto"/>
            <w:noWrap/>
          </w:tcPr>
          <w:p w:rsidR="00C9536B" w:rsidRPr="0080640E" w:rsidRDefault="00C9536B" w:rsidP="00C9536B">
            <w:pPr>
              <w:rPr>
                <w:b/>
              </w:rPr>
            </w:pPr>
            <w:r>
              <w:rPr>
                <w:b/>
              </w:rPr>
              <w:t>Financial &amp; Program Data</w:t>
            </w:r>
          </w:p>
        </w:tc>
        <w:tc>
          <w:tcPr>
            <w:tcW w:w="2577" w:type="dxa"/>
            <w:tcBorders>
              <w:top w:val="single" w:sz="8" w:space="0" w:color="auto"/>
              <w:left w:val="double" w:sz="4" w:space="0" w:color="auto"/>
              <w:bottom w:val="triple" w:sz="4" w:space="0" w:color="auto"/>
              <w:right w:val="single" w:sz="8" w:space="0" w:color="auto"/>
            </w:tcBorders>
            <w:shd w:val="clear" w:color="auto" w:fill="auto"/>
            <w:noWrap/>
          </w:tcPr>
          <w:p w:rsidR="00C9536B" w:rsidRPr="002B698E" w:rsidRDefault="00CF2DB9" w:rsidP="00C9536B">
            <w:pPr>
              <w:jc w:val="center"/>
            </w:pPr>
            <w:r>
              <w:t>94.5</w:t>
            </w:r>
          </w:p>
        </w:tc>
        <w:tc>
          <w:tcPr>
            <w:tcW w:w="2430" w:type="dxa"/>
            <w:tcBorders>
              <w:top w:val="single" w:sz="8" w:space="0" w:color="auto"/>
              <w:left w:val="single" w:sz="8" w:space="0" w:color="auto"/>
              <w:bottom w:val="triple" w:sz="4" w:space="0" w:color="auto"/>
              <w:right w:val="double" w:sz="4" w:space="0" w:color="auto"/>
            </w:tcBorders>
          </w:tcPr>
          <w:p w:rsidR="00C9536B" w:rsidRPr="002B698E" w:rsidRDefault="00CF2DB9" w:rsidP="00C9536B">
            <w:pPr>
              <w:jc w:val="center"/>
            </w:pPr>
            <w:r>
              <w:t>4,819.5</w:t>
            </w:r>
          </w:p>
        </w:tc>
      </w:tr>
      <w:tr w:rsidR="00C9536B" w:rsidRPr="002B698E" w:rsidTr="00A0502C">
        <w:trPr>
          <w:trHeight w:val="255"/>
        </w:trPr>
        <w:tc>
          <w:tcPr>
            <w:tcW w:w="3168" w:type="dxa"/>
            <w:tcBorders>
              <w:top w:val="triple" w:sz="4" w:space="0" w:color="auto"/>
              <w:left w:val="double" w:sz="4" w:space="0" w:color="auto"/>
              <w:bottom w:val="triple" w:sz="4" w:space="0" w:color="auto"/>
              <w:right w:val="double" w:sz="4" w:space="0" w:color="auto"/>
            </w:tcBorders>
            <w:shd w:val="clear" w:color="auto" w:fill="auto"/>
            <w:noWrap/>
          </w:tcPr>
          <w:p w:rsidR="00C9536B" w:rsidRPr="0080640E" w:rsidRDefault="00C9536B" w:rsidP="000D4CFE">
            <w:pPr>
              <w:rPr>
                <w:b/>
              </w:rPr>
            </w:pPr>
            <w:r>
              <w:rPr>
                <w:b/>
              </w:rPr>
              <w:t xml:space="preserve">Program </w:t>
            </w:r>
            <w:r w:rsidRPr="0080640E">
              <w:rPr>
                <w:b/>
              </w:rPr>
              <w:t xml:space="preserve">Total Burden Hours (FY </w:t>
            </w:r>
            <w:r w:rsidR="00F32875" w:rsidRPr="0080640E">
              <w:rPr>
                <w:b/>
              </w:rPr>
              <w:t>20</w:t>
            </w:r>
            <w:r w:rsidR="00F32875">
              <w:rPr>
                <w:b/>
              </w:rPr>
              <w:t>16</w:t>
            </w:r>
            <w:r w:rsidR="00F32875" w:rsidRPr="0080640E">
              <w:rPr>
                <w:b/>
              </w:rPr>
              <w:t xml:space="preserve"> </w:t>
            </w:r>
            <w:r w:rsidRPr="0080640E">
              <w:rPr>
                <w:b/>
              </w:rPr>
              <w:t>- FY 201</w:t>
            </w:r>
            <w:r w:rsidR="00F32875">
              <w:rPr>
                <w:b/>
              </w:rPr>
              <w:t>8</w:t>
            </w:r>
            <w:r w:rsidRPr="0080640E">
              <w:rPr>
                <w:b/>
              </w:rPr>
              <w:t>)</w:t>
            </w:r>
          </w:p>
        </w:tc>
        <w:tc>
          <w:tcPr>
            <w:tcW w:w="2577" w:type="dxa"/>
            <w:tcBorders>
              <w:top w:val="triple" w:sz="4" w:space="0" w:color="auto"/>
              <w:left w:val="double" w:sz="4" w:space="0" w:color="auto"/>
              <w:bottom w:val="triple" w:sz="4" w:space="0" w:color="auto"/>
              <w:right w:val="single" w:sz="8" w:space="0" w:color="auto"/>
            </w:tcBorders>
            <w:shd w:val="clear" w:color="auto" w:fill="auto"/>
            <w:noWrap/>
            <w:vAlign w:val="center"/>
          </w:tcPr>
          <w:p w:rsidR="00C9536B" w:rsidRPr="002307E7" w:rsidRDefault="00CF2DB9" w:rsidP="00A0502C">
            <w:pPr>
              <w:jc w:val="center"/>
              <w:rPr>
                <w:b/>
              </w:rPr>
            </w:pPr>
            <w:r>
              <w:rPr>
                <w:b/>
              </w:rPr>
              <w:t>5,599.5</w:t>
            </w:r>
          </w:p>
        </w:tc>
        <w:tc>
          <w:tcPr>
            <w:tcW w:w="2430" w:type="dxa"/>
            <w:tcBorders>
              <w:top w:val="triple" w:sz="4" w:space="0" w:color="auto"/>
              <w:left w:val="single" w:sz="8" w:space="0" w:color="auto"/>
              <w:bottom w:val="triple" w:sz="4" w:space="0" w:color="auto"/>
              <w:right w:val="double" w:sz="4" w:space="0" w:color="auto"/>
            </w:tcBorders>
            <w:vAlign w:val="center"/>
          </w:tcPr>
          <w:p w:rsidR="00C9536B" w:rsidRPr="002307E7" w:rsidRDefault="003A1427" w:rsidP="00A0502C">
            <w:pPr>
              <w:jc w:val="center"/>
              <w:rPr>
                <w:b/>
                <w:noProof/>
              </w:rPr>
            </w:pPr>
            <w:r>
              <w:rPr>
                <w:b/>
                <w:noProof/>
              </w:rPr>
              <w:t>264,674.5</w:t>
            </w:r>
          </w:p>
        </w:tc>
      </w:tr>
    </w:tbl>
    <w:p w:rsidR="0099498E" w:rsidRPr="002B698E" w:rsidRDefault="0099498E" w:rsidP="00AE46B0">
      <w:pPr>
        <w:autoSpaceDE w:val="0"/>
        <w:autoSpaceDN w:val="0"/>
        <w:adjustRightInd w:val="0"/>
        <w:rPr>
          <w:b/>
          <w:bCs/>
        </w:rPr>
      </w:pPr>
    </w:p>
    <w:p w:rsidR="00B27361" w:rsidRPr="00774B8E" w:rsidRDefault="00B27361" w:rsidP="00B90AEA">
      <w:pPr>
        <w:autoSpaceDE w:val="0"/>
        <w:autoSpaceDN w:val="0"/>
        <w:adjustRightInd w:val="0"/>
        <w:ind w:left="720"/>
        <w:rPr>
          <w:b/>
          <w:bCs/>
        </w:rPr>
      </w:pPr>
      <w:r w:rsidRPr="00774B8E">
        <w:t xml:space="preserve">Table </w:t>
      </w:r>
      <w:r w:rsidR="00F32875">
        <w:t>8</w:t>
      </w:r>
      <w:r w:rsidRPr="00774B8E">
        <w:t xml:space="preserve"> illustrates burden hours for local respondents </w:t>
      </w:r>
      <w:r w:rsidR="00943C52" w:rsidRPr="00774B8E">
        <w:t>from</w:t>
      </w:r>
      <w:r w:rsidRPr="00774B8E">
        <w:t xml:space="preserve"> </w:t>
      </w:r>
      <w:r w:rsidR="00F32875">
        <w:t>public awareness responses</w:t>
      </w:r>
      <w:r w:rsidR="00943C52" w:rsidRPr="00774B8E">
        <w:t xml:space="preserve">. </w:t>
      </w:r>
      <w:r w:rsidR="00A61317">
        <w:t xml:space="preserve">The </w:t>
      </w:r>
      <w:r w:rsidR="00943C52" w:rsidRPr="00774B8E">
        <w:t>EPA estimates that a</w:t>
      </w:r>
      <w:r w:rsidRPr="00774B8E">
        <w:t xml:space="preserve"> total of </w:t>
      </w:r>
      <w:r w:rsidR="00443C02">
        <w:t>328</w:t>
      </w:r>
      <w:r w:rsidRPr="00774B8E">
        <w:t xml:space="preserve"> local respondents will spend </w:t>
      </w:r>
      <w:r w:rsidR="001317F3">
        <w:t>2</w:t>
      </w:r>
      <w:r w:rsidR="00443C02" w:rsidRPr="00774B8E">
        <w:t xml:space="preserve"> </w:t>
      </w:r>
      <w:r w:rsidRPr="00774B8E">
        <w:t xml:space="preserve">hours </w:t>
      </w:r>
      <w:r w:rsidR="00774B8E">
        <w:t>during each of the three years</w:t>
      </w:r>
      <w:r w:rsidR="00443C02">
        <w:t>.</w:t>
      </w:r>
      <w:r w:rsidR="00774B8E">
        <w:t xml:space="preserve"> </w:t>
      </w:r>
    </w:p>
    <w:p w:rsidR="00AE46B0" w:rsidRPr="00774B8E" w:rsidRDefault="00AE46B0" w:rsidP="00B90AEA">
      <w:pPr>
        <w:autoSpaceDE w:val="0"/>
        <w:autoSpaceDN w:val="0"/>
        <w:adjustRightInd w:val="0"/>
        <w:ind w:left="720"/>
        <w:rPr>
          <w:b/>
        </w:rPr>
      </w:pPr>
    </w:p>
    <w:p w:rsidR="00B27361" w:rsidRPr="00774B8E" w:rsidRDefault="0099498E" w:rsidP="00B90AEA">
      <w:pPr>
        <w:autoSpaceDE w:val="0"/>
        <w:autoSpaceDN w:val="0"/>
        <w:adjustRightInd w:val="0"/>
        <w:ind w:left="720"/>
        <w:rPr>
          <w:b/>
          <w:bCs/>
        </w:rPr>
      </w:pPr>
      <w:r w:rsidRPr="00774B8E">
        <w:rPr>
          <w:b/>
        </w:rPr>
        <w:t xml:space="preserve">Table </w:t>
      </w:r>
      <w:r w:rsidR="00F32875">
        <w:rPr>
          <w:b/>
        </w:rPr>
        <w:t>8</w:t>
      </w:r>
      <w:r w:rsidRPr="00774B8E">
        <w:rPr>
          <w:b/>
        </w:rPr>
        <w:t>: Summary of Local Respondent Burden Hours (FY 20</w:t>
      </w:r>
      <w:r w:rsidR="00F32875">
        <w:rPr>
          <w:b/>
        </w:rPr>
        <w:t>16</w:t>
      </w:r>
      <w:r w:rsidRPr="00774B8E">
        <w:rPr>
          <w:b/>
        </w:rPr>
        <w:t xml:space="preserve"> - FY 20</w:t>
      </w:r>
      <w:r w:rsidR="009F7850" w:rsidRPr="00774B8E">
        <w:rPr>
          <w:b/>
        </w:rPr>
        <w:t>1</w:t>
      </w:r>
      <w:r w:rsidR="00F32875">
        <w:rPr>
          <w:b/>
        </w:rPr>
        <w:t>8</w:t>
      </w:r>
      <w:r w:rsidRPr="00774B8E">
        <w:rPr>
          <w:b/>
        </w:rPr>
        <w:t>)</w:t>
      </w:r>
    </w:p>
    <w:tbl>
      <w:tblPr>
        <w:tblW w:w="8730" w:type="dxa"/>
        <w:tblInd w:w="705" w:type="dxa"/>
        <w:tblBorders>
          <w:top w:val="double" w:sz="4" w:space="0" w:color="auto"/>
          <w:left w:val="double" w:sz="4" w:space="0" w:color="auto"/>
          <w:bottom w:val="double" w:sz="4" w:space="0" w:color="auto"/>
          <w:right w:val="double" w:sz="4" w:space="0" w:color="auto"/>
          <w:insideH w:val="single" w:sz="12" w:space="0" w:color="auto"/>
        </w:tblBorders>
        <w:tblCellMar>
          <w:left w:w="0" w:type="dxa"/>
          <w:right w:w="0" w:type="dxa"/>
        </w:tblCellMar>
        <w:tblLook w:val="0000" w:firstRow="0" w:lastRow="0" w:firstColumn="0" w:lastColumn="0" w:noHBand="0" w:noVBand="0"/>
      </w:tblPr>
      <w:tblGrid>
        <w:gridCol w:w="1928"/>
        <w:gridCol w:w="3135"/>
        <w:gridCol w:w="2317"/>
        <w:gridCol w:w="1350"/>
      </w:tblGrid>
      <w:tr w:rsidR="00F32875" w:rsidRPr="00774B8E" w:rsidTr="000D4CFE">
        <w:trPr>
          <w:trHeight w:val="510"/>
        </w:trPr>
        <w:tc>
          <w:tcPr>
            <w:tcW w:w="1928" w:type="dxa"/>
            <w:tcBorders>
              <w:bottom w:val="single" w:sz="12" w:space="0" w:color="auto"/>
              <w:right w:val="double" w:sz="4" w:space="0" w:color="auto"/>
            </w:tcBorders>
            <w:tcMar>
              <w:top w:w="17" w:type="dxa"/>
              <w:left w:w="17" w:type="dxa"/>
              <w:bottom w:w="0" w:type="dxa"/>
              <w:right w:w="17" w:type="dxa"/>
            </w:tcMar>
            <w:vAlign w:val="center"/>
          </w:tcPr>
          <w:p w:rsidR="00F32875" w:rsidRPr="00774B8E" w:rsidRDefault="00F32875" w:rsidP="00A26F1D">
            <w:pPr>
              <w:jc w:val="center"/>
              <w:rPr>
                <w:b/>
              </w:rPr>
            </w:pPr>
            <w:r w:rsidRPr="00774B8E">
              <w:rPr>
                <w:b/>
              </w:rPr>
              <w:t>ICR</w:t>
            </w:r>
          </w:p>
        </w:tc>
        <w:tc>
          <w:tcPr>
            <w:tcW w:w="3135" w:type="dxa"/>
            <w:tcBorders>
              <w:top w:val="double" w:sz="4" w:space="0" w:color="auto"/>
              <w:left w:val="double" w:sz="4" w:space="0" w:color="auto"/>
              <w:bottom w:val="single" w:sz="12" w:space="0" w:color="auto"/>
              <w:right w:val="single" w:sz="8" w:space="0" w:color="auto"/>
            </w:tcBorders>
            <w:tcMar>
              <w:top w:w="17" w:type="dxa"/>
              <w:left w:w="17" w:type="dxa"/>
              <w:bottom w:w="0" w:type="dxa"/>
              <w:right w:w="17" w:type="dxa"/>
            </w:tcMar>
            <w:vAlign w:val="center"/>
          </w:tcPr>
          <w:p w:rsidR="00F32875" w:rsidRPr="00774B8E" w:rsidRDefault="00F32875" w:rsidP="00A26F1D">
            <w:pPr>
              <w:jc w:val="center"/>
              <w:rPr>
                <w:b/>
              </w:rPr>
            </w:pPr>
            <w:r w:rsidRPr="00774B8E">
              <w:rPr>
                <w:b/>
              </w:rPr>
              <w:t>Number of Local Respondents</w:t>
            </w:r>
          </w:p>
        </w:tc>
        <w:tc>
          <w:tcPr>
            <w:tcW w:w="2317" w:type="dxa"/>
            <w:tcBorders>
              <w:top w:val="double" w:sz="4" w:space="0" w:color="auto"/>
              <w:left w:val="single" w:sz="8" w:space="0" w:color="auto"/>
              <w:bottom w:val="single" w:sz="12" w:space="0" w:color="auto"/>
              <w:right w:val="single" w:sz="8" w:space="0" w:color="auto"/>
            </w:tcBorders>
            <w:vAlign w:val="center"/>
          </w:tcPr>
          <w:p w:rsidR="00F32875" w:rsidRDefault="00F32875" w:rsidP="0035701F">
            <w:pPr>
              <w:jc w:val="center"/>
              <w:rPr>
                <w:b/>
              </w:rPr>
            </w:pPr>
            <w:r w:rsidRPr="00774B8E">
              <w:rPr>
                <w:b/>
              </w:rPr>
              <w:t xml:space="preserve">Hours </w:t>
            </w:r>
          </w:p>
          <w:p w:rsidR="00F32875" w:rsidRPr="00774B8E" w:rsidRDefault="00F32875" w:rsidP="0035701F">
            <w:pPr>
              <w:jc w:val="center"/>
              <w:rPr>
                <w:b/>
              </w:rPr>
            </w:pPr>
            <w:r w:rsidRPr="00774B8E">
              <w:rPr>
                <w:b/>
              </w:rPr>
              <w:t>per Local Respondent</w:t>
            </w:r>
          </w:p>
        </w:tc>
        <w:tc>
          <w:tcPr>
            <w:tcW w:w="1350" w:type="dxa"/>
            <w:tcBorders>
              <w:top w:val="double" w:sz="4" w:space="0" w:color="auto"/>
              <w:left w:val="single" w:sz="8" w:space="0" w:color="auto"/>
              <w:bottom w:val="single" w:sz="12" w:space="0" w:color="auto"/>
              <w:right w:val="double" w:sz="4" w:space="0" w:color="auto"/>
            </w:tcBorders>
            <w:vAlign w:val="center"/>
          </w:tcPr>
          <w:p w:rsidR="00F32875" w:rsidRPr="00774B8E" w:rsidRDefault="00F32875" w:rsidP="0035701F">
            <w:pPr>
              <w:jc w:val="center"/>
              <w:rPr>
                <w:b/>
              </w:rPr>
            </w:pPr>
            <w:r w:rsidRPr="00774B8E">
              <w:rPr>
                <w:b/>
              </w:rPr>
              <w:t>Hours for All Local Respondents</w:t>
            </w:r>
          </w:p>
        </w:tc>
      </w:tr>
      <w:tr w:rsidR="00F32875" w:rsidRPr="00774B8E" w:rsidTr="000D4CFE">
        <w:trPr>
          <w:trHeight w:val="255"/>
        </w:trPr>
        <w:tc>
          <w:tcPr>
            <w:tcW w:w="1928" w:type="dxa"/>
            <w:tcBorders>
              <w:top w:val="single" w:sz="12" w:space="0" w:color="auto"/>
              <w:bottom w:val="triple" w:sz="4" w:space="0" w:color="auto"/>
              <w:right w:val="double" w:sz="4" w:space="0" w:color="auto"/>
            </w:tcBorders>
            <w:noWrap/>
            <w:tcMar>
              <w:top w:w="17" w:type="dxa"/>
              <w:left w:w="17" w:type="dxa"/>
              <w:bottom w:w="0" w:type="dxa"/>
              <w:right w:w="17" w:type="dxa"/>
            </w:tcMar>
            <w:vAlign w:val="bottom"/>
          </w:tcPr>
          <w:p w:rsidR="00F32875" w:rsidRPr="00774B8E" w:rsidRDefault="00F32875" w:rsidP="000D4CFE">
            <w:r>
              <w:rPr>
                <w:b/>
              </w:rPr>
              <w:t>Public Awareness</w:t>
            </w:r>
          </w:p>
        </w:tc>
        <w:tc>
          <w:tcPr>
            <w:tcW w:w="3135" w:type="dxa"/>
            <w:tcBorders>
              <w:top w:val="single" w:sz="12" w:space="0" w:color="auto"/>
              <w:left w:val="double" w:sz="4" w:space="0" w:color="auto"/>
              <w:bottom w:val="triple" w:sz="4" w:space="0" w:color="auto"/>
              <w:right w:val="single" w:sz="8" w:space="0" w:color="auto"/>
            </w:tcBorders>
            <w:noWrap/>
            <w:tcMar>
              <w:top w:w="17" w:type="dxa"/>
              <w:left w:w="17" w:type="dxa"/>
              <w:bottom w:w="0" w:type="dxa"/>
              <w:right w:w="17" w:type="dxa"/>
            </w:tcMar>
            <w:vAlign w:val="center"/>
          </w:tcPr>
          <w:p w:rsidR="00F32875" w:rsidRPr="00774B8E" w:rsidRDefault="00F32875" w:rsidP="00A72B69">
            <w:pPr>
              <w:jc w:val="center"/>
            </w:pPr>
            <w:r>
              <w:t>984</w:t>
            </w:r>
          </w:p>
        </w:tc>
        <w:tc>
          <w:tcPr>
            <w:tcW w:w="2317" w:type="dxa"/>
            <w:tcBorders>
              <w:top w:val="single" w:sz="12" w:space="0" w:color="auto"/>
              <w:left w:val="single" w:sz="8" w:space="0" w:color="auto"/>
              <w:bottom w:val="triple" w:sz="4" w:space="0" w:color="auto"/>
              <w:right w:val="single" w:sz="8" w:space="0" w:color="auto"/>
            </w:tcBorders>
            <w:vAlign w:val="center"/>
          </w:tcPr>
          <w:p w:rsidR="00F32875" w:rsidRPr="00CF2DB9" w:rsidRDefault="00CF2DB9" w:rsidP="00A72B69">
            <w:pPr>
              <w:jc w:val="center"/>
            </w:pPr>
            <w:r w:rsidRPr="00CF2DB9">
              <w:t>2</w:t>
            </w:r>
          </w:p>
        </w:tc>
        <w:tc>
          <w:tcPr>
            <w:tcW w:w="1350" w:type="dxa"/>
            <w:tcBorders>
              <w:top w:val="single" w:sz="12" w:space="0" w:color="auto"/>
              <w:left w:val="single" w:sz="8" w:space="0" w:color="auto"/>
              <w:bottom w:val="triple" w:sz="4" w:space="0" w:color="auto"/>
              <w:right w:val="double" w:sz="4" w:space="0" w:color="auto"/>
            </w:tcBorders>
            <w:vAlign w:val="center"/>
          </w:tcPr>
          <w:p w:rsidR="00F32875" w:rsidRPr="00CF2DB9" w:rsidRDefault="00CF2DB9" w:rsidP="00A72B69">
            <w:pPr>
              <w:jc w:val="center"/>
            </w:pPr>
            <w:r>
              <w:t>1,968</w:t>
            </w:r>
          </w:p>
        </w:tc>
      </w:tr>
    </w:tbl>
    <w:p w:rsidR="00B27361" w:rsidRDefault="00B27361" w:rsidP="00AE46B0">
      <w:pPr>
        <w:autoSpaceDE w:val="0"/>
        <w:autoSpaceDN w:val="0"/>
        <w:adjustRightInd w:val="0"/>
        <w:jc w:val="center"/>
      </w:pPr>
    </w:p>
    <w:p w:rsidR="00B67EA9" w:rsidRDefault="00B67EA9" w:rsidP="00AE46B0">
      <w:pPr>
        <w:autoSpaceDE w:val="0"/>
        <w:autoSpaceDN w:val="0"/>
        <w:adjustRightInd w:val="0"/>
        <w:jc w:val="center"/>
      </w:pPr>
    </w:p>
    <w:p w:rsidR="00CB4816" w:rsidRDefault="00B27361" w:rsidP="00AE46B0">
      <w:pPr>
        <w:autoSpaceDE w:val="0"/>
        <w:autoSpaceDN w:val="0"/>
        <w:adjustRightInd w:val="0"/>
        <w:rPr>
          <w:u w:val="single"/>
        </w:rPr>
      </w:pPr>
      <w:r w:rsidRPr="002B698E">
        <w:t>6 (b)</w:t>
      </w:r>
      <w:r w:rsidR="00AE46B0">
        <w:t xml:space="preserve"> </w:t>
      </w:r>
      <w:r w:rsidR="00AE46B0">
        <w:tab/>
      </w:r>
      <w:r w:rsidRPr="002B698E">
        <w:rPr>
          <w:u w:val="single"/>
        </w:rPr>
        <w:t>ESTIMATING RESPONDENT COSTS</w:t>
      </w:r>
    </w:p>
    <w:p w:rsidR="00E70839" w:rsidRPr="00E70839" w:rsidRDefault="00E70839" w:rsidP="00AE46B0">
      <w:pPr>
        <w:autoSpaceDE w:val="0"/>
        <w:autoSpaceDN w:val="0"/>
        <w:adjustRightInd w:val="0"/>
        <w:rPr>
          <w:sz w:val="16"/>
          <w:szCs w:val="16"/>
          <w:u w:val="single"/>
        </w:rPr>
      </w:pPr>
    </w:p>
    <w:p w:rsidR="00B27361" w:rsidRPr="002B698E" w:rsidRDefault="00B27361" w:rsidP="00B90AEA">
      <w:pPr>
        <w:autoSpaceDE w:val="0"/>
        <w:autoSpaceDN w:val="0"/>
        <w:adjustRightInd w:val="0"/>
        <w:ind w:left="720" w:hanging="360"/>
        <w:rPr>
          <w:u w:val="single"/>
        </w:rPr>
      </w:pPr>
      <w:r w:rsidRPr="002B698E">
        <w:t xml:space="preserve">a. </w:t>
      </w:r>
      <w:r w:rsidR="00B90AEA">
        <w:tab/>
      </w:r>
      <w:r w:rsidR="00AE46B0">
        <w:rPr>
          <w:u w:val="single"/>
        </w:rPr>
        <w:t>Costs t</w:t>
      </w:r>
      <w:r w:rsidRPr="002B698E">
        <w:rPr>
          <w:u w:val="single"/>
        </w:rPr>
        <w:t xml:space="preserve">o State Respondents </w:t>
      </w:r>
    </w:p>
    <w:p w:rsidR="00B27361" w:rsidRPr="002B698E" w:rsidRDefault="00B27361" w:rsidP="00B90AEA">
      <w:pPr>
        <w:autoSpaceDE w:val="0"/>
        <w:autoSpaceDN w:val="0"/>
        <w:adjustRightInd w:val="0"/>
        <w:ind w:left="720"/>
      </w:pPr>
      <w:r w:rsidRPr="002B698E">
        <w:t xml:space="preserve">The average annual State costs for the </w:t>
      </w:r>
      <w:r w:rsidR="002C0BA7">
        <w:t>3-year</w:t>
      </w:r>
      <w:r w:rsidRPr="002B698E">
        <w:t xml:space="preserve"> period is estimated to be </w:t>
      </w:r>
      <w:r w:rsidR="00820D14" w:rsidRPr="00A0502C">
        <w:t>$4,860,306.07</w:t>
      </w:r>
      <w:r w:rsidR="008D20CC">
        <w:t>.</w:t>
      </w:r>
      <w:r w:rsidRPr="002B698E">
        <w:t xml:space="preserve"> </w:t>
      </w:r>
    </w:p>
    <w:p w:rsidR="00B27361" w:rsidRPr="00E70839" w:rsidRDefault="00B27361" w:rsidP="00B90AEA">
      <w:pPr>
        <w:autoSpaceDE w:val="0"/>
        <w:autoSpaceDN w:val="0"/>
        <w:adjustRightInd w:val="0"/>
        <w:ind w:left="720"/>
        <w:rPr>
          <w:sz w:val="16"/>
          <w:szCs w:val="16"/>
        </w:rPr>
      </w:pPr>
    </w:p>
    <w:p w:rsidR="00B27361" w:rsidRPr="00B20AFA" w:rsidRDefault="00B27361" w:rsidP="00B90AEA">
      <w:pPr>
        <w:autoSpaceDE w:val="0"/>
        <w:autoSpaceDN w:val="0"/>
        <w:adjustRightInd w:val="0"/>
        <w:ind w:left="720"/>
      </w:pPr>
      <w:r w:rsidRPr="002B698E">
        <w:t>Since these State costs are grant eligible, they can be paid for out of the DWSRF program. Under Section 1452(g)(2), monies can be set aside and used for any reasonable costs related to administering the Fund, provided the amount does not exceed 4</w:t>
      </w:r>
      <w:r w:rsidR="00943C52">
        <w:t xml:space="preserve"> percent</w:t>
      </w:r>
      <w:r w:rsidRPr="002B698E">
        <w:t xml:space="preserve"> of the State’s allotment. Reasonable costs under this section can include reasonable costs expended to establish a State loan fund and to provide technical assistance to public water </w:t>
      </w:r>
      <w:r w:rsidRPr="00B20AFA">
        <w:t>systems within the State.</w:t>
      </w:r>
    </w:p>
    <w:p w:rsidR="00B27361" w:rsidRPr="00B20AFA" w:rsidRDefault="00B27361" w:rsidP="00B90AEA">
      <w:pPr>
        <w:autoSpaceDE w:val="0"/>
        <w:autoSpaceDN w:val="0"/>
        <w:adjustRightInd w:val="0"/>
        <w:ind w:left="720"/>
        <w:rPr>
          <w:sz w:val="16"/>
          <w:szCs w:val="16"/>
        </w:rPr>
      </w:pPr>
    </w:p>
    <w:p w:rsidR="00B27361" w:rsidRPr="00B20AFA" w:rsidRDefault="00B27361" w:rsidP="00B90AEA">
      <w:pPr>
        <w:autoSpaceDE w:val="0"/>
        <w:autoSpaceDN w:val="0"/>
        <w:adjustRightInd w:val="0"/>
        <w:ind w:left="720"/>
      </w:pPr>
      <w:r w:rsidRPr="00B20AFA">
        <w:t>Under Section 1443(a), an additional 10</w:t>
      </w:r>
      <w:r w:rsidR="00943C52" w:rsidRPr="00B20AFA">
        <w:t xml:space="preserve"> percent</w:t>
      </w:r>
      <w:r w:rsidRPr="00B20AFA">
        <w:t xml:space="preserve"> of the State’s allotment may be used, in part, for: (1) supervising public water system programs; (2) administering or providing technical assistance through source water protection programs; (3) developing and implementing a capacity development strategy under Section 1420(c); and (4) developing an operator certification program for purposes of meeting the requirements of Section 1419. </w:t>
      </w:r>
    </w:p>
    <w:p w:rsidR="00B27361" w:rsidRPr="00B20AFA" w:rsidRDefault="00B27361" w:rsidP="00B90AEA">
      <w:pPr>
        <w:autoSpaceDE w:val="0"/>
        <w:autoSpaceDN w:val="0"/>
        <w:adjustRightInd w:val="0"/>
        <w:ind w:left="720"/>
      </w:pPr>
    </w:p>
    <w:p w:rsidR="00FC2DE6" w:rsidRPr="00B20AFA" w:rsidRDefault="00B27361" w:rsidP="00B90AEA">
      <w:pPr>
        <w:autoSpaceDE w:val="0"/>
        <w:autoSpaceDN w:val="0"/>
        <w:adjustRightInd w:val="0"/>
        <w:ind w:left="720"/>
      </w:pPr>
      <w:r w:rsidRPr="00B20AFA">
        <w:t xml:space="preserve">The following tables (Table </w:t>
      </w:r>
      <w:r w:rsidR="00F32875" w:rsidRPr="00B20AFA">
        <w:t>9</w:t>
      </w:r>
      <w:r w:rsidRPr="00B20AFA">
        <w:t xml:space="preserve">.1 - </w:t>
      </w:r>
      <w:r w:rsidR="00F32875" w:rsidRPr="00B20AFA">
        <w:t>9</w:t>
      </w:r>
      <w:r w:rsidRPr="00B20AFA">
        <w:t xml:space="preserve">.3) contain estimates of burden costs for the </w:t>
      </w:r>
      <w:r w:rsidR="00443C02" w:rsidRPr="00B20AFA">
        <w:t xml:space="preserve">five </w:t>
      </w:r>
      <w:r w:rsidRPr="00B20AFA">
        <w:t>individual activities involving information collections. The State salary cost of $</w:t>
      </w:r>
      <w:r w:rsidR="00FC2DE6" w:rsidRPr="00B20AFA">
        <w:t>55.09</w:t>
      </w:r>
      <w:r w:rsidRPr="00B20AFA">
        <w:t xml:space="preserve"> per hour is based </w:t>
      </w:r>
      <w:r w:rsidR="00CB2425" w:rsidRPr="00B20AFA">
        <w:t>on State wage rate information, inflated to year 2015 dollars using the Employment Cost Index.</w:t>
      </w:r>
    </w:p>
    <w:p w:rsidR="00CB2425" w:rsidRPr="00B20AFA" w:rsidRDefault="00CB2425" w:rsidP="00B90AEA">
      <w:pPr>
        <w:autoSpaceDE w:val="0"/>
        <w:autoSpaceDN w:val="0"/>
        <w:adjustRightInd w:val="0"/>
        <w:ind w:left="720"/>
      </w:pPr>
    </w:p>
    <w:p w:rsidR="00CB2425" w:rsidRPr="00B20AFA" w:rsidRDefault="00CB2425" w:rsidP="00B90AEA">
      <w:pPr>
        <w:autoSpaceDE w:val="0"/>
        <w:autoSpaceDN w:val="0"/>
        <w:adjustRightInd w:val="0"/>
        <w:ind w:left="720"/>
      </w:pPr>
    </w:p>
    <w:p w:rsidR="00FC2DE6" w:rsidRPr="00B20AFA" w:rsidRDefault="00FC2DE6" w:rsidP="00FC2DE6">
      <w:pPr>
        <w:autoSpaceDE w:val="0"/>
        <w:autoSpaceDN w:val="0"/>
        <w:adjustRightInd w:val="0"/>
        <w:ind w:left="720"/>
      </w:pPr>
      <w:r w:rsidRPr="00B20AFA">
        <w:rPr>
          <w:b/>
        </w:rPr>
        <w:t>Table 9.1: FY 2016 State Burden Costs</w:t>
      </w:r>
    </w:p>
    <w:tbl>
      <w:tblPr>
        <w:tblW w:w="9931" w:type="dxa"/>
        <w:tblInd w:w="77" w:type="dxa"/>
        <w:tblLayout w:type="fixed"/>
        <w:tblLook w:val="0000" w:firstRow="0" w:lastRow="0" w:firstColumn="0" w:lastColumn="0" w:noHBand="0" w:noVBand="0"/>
      </w:tblPr>
      <w:tblGrid>
        <w:gridCol w:w="2960"/>
        <w:gridCol w:w="1175"/>
        <w:gridCol w:w="1362"/>
        <w:gridCol w:w="1873"/>
        <w:gridCol w:w="2561"/>
      </w:tblGrid>
      <w:tr w:rsidR="00B20AFA" w:rsidRPr="00B20AFA" w:rsidTr="000D4CFE">
        <w:trPr>
          <w:trHeight w:val="358"/>
        </w:trPr>
        <w:tc>
          <w:tcPr>
            <w:tcW w:w="9931" w:type="dxa"/>
            <w:gridSpan w:val="5"/>
            <w:tcBorders>
              <w:top w:val="single" w:sz="8" w:space="0" w:color="auto"/>
              <w:left w:val="double" w:sz="6" w:space="0" w:color="auto"/>
              <w:bottom w:val="single" w:sz="8" w:space="0" w:color="000000"/>
              <w:right w:val="double" w:sz="6" w:space="0" w:color="auto"/>
            </w:tcBorders>
            <w:shd w:val="clear" w:color="auto" w:fill="auto"/>
            <w:vAlign w:val="center"/>
          </w:tcPr>
          <w:p w:rsidR="00FC2DE6" w:rsidRPr="00B20AFA" w:rsidRDefault="00FC2DE6" w:rsidP="00715C7E">
            <w:pPr>
              <w:jc w:val="center"/>
              <w:rPr>
                <w:b/>
                <w:bCs/>
              </w:rPr>
            </w:pPr>
            <w:r w:rsidRPr="00B20AFA">
              <w:rPr>
                <w:b/>
                <w:bCs/>
              </w:rPr>
              <w:t>Fiscal Year 2016</w:t>
            </w:r>
          </w:p>
        </w:tc>
      </w:tr>
      <w:tr w:rsidR="00B20AFA" w:rsidRPr="00B20AFA" w:rsidTr="000D4CFE">
        <w:trPr>
          <w:trHeight w:val="630"/>
        </w:trPr>
        <w:tc>
          <w:tcPr>
            <w:tcW w:w="2960" w:type="dxa"/>
            <w:vMerge w:val="restart"/>
            <w:tcBorders>
              <w:top w:val="single" w:sz="8" w:space="0" w:color="auto"/>
              <w:left w:val="double" w:sz="6" w:space="0" w:color="auto"/>
              <w:bottom w:val="single" w:sz="8" w:space="0" w:color="000000"/>
              <w:right w:val="single" w:sz="8" w:space="0" w:color="auto"/>
            </w:tcBorders>
            <w:shd w:val="clear" w:color="auto" w:fill="auto"/>
            <w:vAlign w:val="center"/>
          </w:tcPr>
          <w:p w:rsidR="00FC2DE6" w:rsidRPr="00B20AFA" w:rsidRDefault="00FC2DE6" w:rsidP="00715C7E">
            <w:pPr>
              <w:jc w:val="center"/>
              <w:rPr>
                <w:b/>
                <w:bCs/>
              </w:rPr>
            </w:pPr>
            <w:r w:rsidRPr="00B20AFA">
              <w:rPr>
                <w:b/>
                <w:bCs/>
              </w:rPr>
              <w:t>ICR</w:t>
            </w:r>
          </w:p>
        </w:tc>
        <w:tc>
          <w:tcPr>
            <w:tcW w:w="1175" w:type="dxa"/>
            <w:tcBorders>
              <w:top w:val="single" w:sz="8" w:space="0" w:color="auto"/>
              <w:left w:val="nil"/>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 of States</w:t>
            </w:r>
          </w:p>
        </w:tc>
        <w:tc>
          <w:tcPr>
            <w:tcW w:w="1362" w:type="dxa"/>
            <w:tcBorders>
              <w:top w:val="single" w:sz="8" w:space="0" w:color="auto"/>
              <w:left w:val="double" w:sz="6" w:space="0" w:color="auto"/>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Hours</w:t>
            </w:r>
          </w:p>
        </w:tc>
        <w:tc>
          <w:tcPr>
            <w:tcW w:w="1873" w:type="dxa"/>
            <w:tcBorders>
              <w:top w:val="single" w:sz="8" w:space="0" w:color="auto"/>
              <w:left w:val="single" w:sz="4" w:space="0" w:color="auto"/>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Cost Per Hour</w:t>
            </w:r>
          </w:p>
        </w:tc>
        <w:tc>
          <w:tcPr>
            <w:tcW w:w="2561" w:type="dxa"/>
            <w:tcBorders>
              <w:top w:val="single" w:sz="8" w:space="0" w:color="auto"/>
              <w:left w:val="single" w:sz="4" w:space="0" w:color="auto"/>
              <w:bottom w:val="single" w:sz="4" w:space="0" w:color="auto"/>
              <w:right w:val="double" w:sz="6" w:space="0" w:color="auto"/>
            </w:tcBorders>
            <w:shd w:val="clear" w:color="auto" w:fill="auto"/>
            <w:vAlign w:val="center"/>
          </w:tcPr>
          <w:p w:rsidR="00FC2DE6" w:rsidRPr="00B20AFA" w:rsidRDefault="00FC2DE6" w:rsidP="00715C7E">
            <w:pPr>
              <w:jc w:val="center"/>
              <w:rPr>
                <w:b/>
                <w:bCs/>
              </w:rPr>
            </w:pPr>
            <w:r w:rsidRPr="00B20AFA">
              <w:rPr>
                <w:b/>
                <w:bCs/>
              </w:rPr>
              <w:t>Cost</w:t>
            </w:r>
          </w:p>
        </w:tc>
      </w:tr>
      <w:tr w:rsidR="00B20AFA" w:rsidRPr="00B20AFA" w:rsidTr="000D4CFE">
        <w:trPr>
          <w:trHeight w:val="330"/>
        </w:trPr>
        <w:tc>
          <w:tcPr>
            <w:tcW w:w="2960" w:type="dxa"/>
            <w:vMerge/>
            <w:tcBorders>
              <w:top w:val="single" w:sz="8" w:space="0" w:color="auto"/>
              <w:left w:val="double" w:sz="6" w:space="0" w:color="auto"/>
              <w:bottom w:val="single" w:sz="8" w:space="0" w:color="000000"/>
              <w:right w:val="single" w:sz="8" w:space="0" w:color="auto"/>
            </w:tcBorders>
            <w:vAlign w:val="center"/>
          </w:tcPr>
          <w:p w:rsidR="00FC2DE6" w:rsidRPr="00B20AFA" w:rsidRDefault="00FC2DE6" w:rsidP="00715C7E">
            <w:pPr>
              <w:jc w:val="center"/>
              <w:rPr>
                <w:b/>
                <w:bCs/>
              </w:rPr>
            </w:pPr>
          </w:p>
        </w:tc>
        <w:tc>
          <w:tcPr>
            <w:tcW w:w="1175" w:type="dxa"/>
            <w:tcBorders>
              <w:top w:val="nil"/>
              <w:left w:val="nil"/>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(A)</w:t>
            </w:r>
          </w:p>
        </w:tc>
        <w:tc>
          <w:tcPr>
            <w:tcW w:w="1362" w:type="dxa"/>
            <w:tcBorders>
              <w:top w:val="nil"/>
              <w:left w:val="double" w:sz="6" w:space="0" w:color="auto"/>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(B)</w:t>
            </w:r>
          </w:p>
        </w:tc>
        <w:tc>
          <w:tcPr>
            <w:tcW w:w="1873" w:type="dxa"/>
            <w:tcBorders>
              <w:top w:val="nil"/>
              <w:left w:val="single" w:sz="4" w:space="0" w:color="auto"/>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(C )</w:t>
            </w:r>
          </w:p>
        </w:tc>
        <w:tc>
          <w:tcPr>
            <w:tcW w:w="2561" w:type="dxa"/>
            <w:tcBorders>
              <w:top w:val="nil"/>
              <w:left w:val="single" w:sz="4" w:space="0" w:color="auto"/>
              <w:bottom w:val="single" w:sz="8" w:space="0" w:color="auto"/>
              <w:right w:val="double" w:sz="4" w:space="0" w:color="auto"/>
            </w:tcBorders>
            <w:shd w:val="clear" w:color="auto" w:fill="auto"/>
            <w:vAlign w:val="center"/>
          </w:tcPr>
          <w:p w:rsidR="00FC2DE6" w:rsidRPr="00B20AFA" w:rsidRDefault="00FC2DE6" w:rsidP="00715C7E">
            <w:pPr>
              <w:jc w:val="center"/>
              <w:rPr>
                <w:b/>
                <w:bCs/>
              </w:rPr>
            </w:pPr>
            <w:r w:rsidRPr="00B20AFA">
              <w:rPr>
                <w:b/>
                <w:bCs/>
              </w:rPr>
              <w:t>(A x B x C)</w:t>
            </w:r>
          </w:p>
        </w:tc>
      </w:tr>
      <w:tr w:rsidR="00B20AFA" w:rsidRPr="00B20AFA" w:rsidTr="000D4CFE">
        <w:trPr>
          <w:trHeight w:val="6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IUP / CGA</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r w:rsidRPr="00B20AFA">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r w:rsidRPr="00B20AFA">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r w:rsidRPr="00B20AFA">
              <w:t> </w:t>
            </w: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r w:rsidRPr="00B20AFA">
              <w:t> </w:t>
            </w:r>
          </w:p>
        </w:tc>
      </w:tr>
      <w:tr w:rsidR="00B20AFA" w:rsidRPr="00B20AFA" w:rsidTr="000D4CF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 Initial Plan</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332</w:t>
            </w:r>
          </w:p>
        </w:tc>
        <w:tc>
          <w:tcPr>
            <w:tcW w:w="1873" w:type="dxa"/>
            <w:tcBorders>
              <w:top w:val="single" w:sz="4" w:space="0" w:color="auto"/>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single" w:sz="4" w:space="0" w:color="auto"/>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$932,783.88</w:t>
            </w:r>
          </w:p>
        </w:tc>
      </w:tr>
      <w:tr w:rsidR="00B20AFA" w:rsidRPr="00B20AFA" w:rsidTr="000D4CF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 Revised Plan</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68</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$191,052.12</w:t>
            </w:r>
          </w:p>
        </w:tc>
      </w:tr>
      <w:tr w:rsidR="00B20AFA" w:rsidRPr="00B20AFA" w:rsidTr="000D4CFE">
        <w:trPr>
          <w:trHeight w:val="7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0D4CF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Biennial Report</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26</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275</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$393,893.50</w:t>
            </w:r>
          </w:p>
        </w:tc>
      </w:tr>
      <w:tr w:rsidR="00B20AFA" w:rsidRPr="00B20AFA" w:rsidTr="000D4CFE">
        <w:trPr>
          <w:trHeight w:val="12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0D4CFE">
        <w:trPr>
          <w:trHeight w:val="107"/>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State Audit</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80</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$224,767.20</w:t>
            </w:r>
          </w:p>
        </w:tc>
      </w:tr>
      <w:tr w:rsidR="00B20AFA" w:rsidRPr="00B20AFA" w:rsidTr="000D4CFE">
        <w:trPr>
          <w:trHeight w:val="7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pP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pP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pPr>
          </w:p>
        </w:tc>
      </w:tr>
      <w:tr w:rsidR="00B20AFA" w:rsidRPr="00B20AFA" w:rsidTr="000D4CF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FC2DE6">
            <w:pPr>
              <w:rPr>
                <w:b/>
                <w:bCs/>
              </w:rPr>
            </w:pPr>
            <w:r w:rsidRPr="00B20AFA">
              <w:rPr>
                <w:b/>
                <w:bCs/>
              </w:rPr>
              <w:t>Application Review</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FC2DE6">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FC2DE6">
            <w:pPr>
              <w:jc w:val="center"/>
            </w:pPr>
            <w:r w:rsidRPr="00B20AFA">
              <w:t>1,080</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FC2DE6">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FC2DE6">
            <w:pPr>
              <w:jc w:val="center"/>
            </w:pPr>
            <w:r w:rsidRPr="00B20AFA">
              <w:t>$3,034,357.20</w:t>
            </w:r>
          </w:p>
        </w:tc>
      </w:tr>
      <w:tr w:rsidR="00B20AFA" w:rsidRPr="00B20AFA" w:rsidTr="000D4CFE">
        <w:trPr>
          <w:trHeight w:val="152"/>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FC2DE6">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FC2DE6">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FC2DE6">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FC2DE6">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FC2DE6">
            <w:pPr>
              <w:jc w:val="center"/>
              <w:rPr>
                <w:sz w:val="16"/>
                <w:szCs w:val="16"/>
              </w:rPr>
            </w:pPr>
          </w:p>
        </w:tc>
      </w:tr>
      <w:tr w:rsidR="00B20AFA" w:rsidRPr="00B20AFA" w:rsidTr="000D4CFE">
        <w:trPr>
          <w:trHeight w:val="330"/>
        </w:trPr>
        <w:tc>
          <w:tcPr>
            <w:tcW w:w="2960" w:type="dxa"/>
            <w:tcBorders>
              <w:top w:val="nil"/>
              <w:left w:val="double" w:sz="6" w:space="0" w:color="auto"/>
              <w:bottom w:val="single" w:sz="12" w:space="0" w:color="auto"/>
              <w:right w:val="single" w:sz="8" w:space="0" w:color="auto"/>
            </w:tcBorders>
            <w:shd w:val="clear" w:color="auto" w:fill="auto"/>
            <w:noWrap/>
            <w:vAlign w:val="bottom"/>
          </w:tcPr>
          <w:p w:rsidR="00FC2DE6" w:rsidRPr="00B20AFA" w:rsidRDefault="00FC2DE6" w:rsidP="00FC2DE6">
            <w:pPr>
              <w:rPr>
                <w:b/>
                <w:bCs/>
              </w:rPr>
            </w:pPr>
            <w:r w:rsidRPr="00B20AFA">
              <w:rPr>
                <w:b/>
                <w:bCs/>
              </w:rPr>
              <w:t>Financial &amp; Project Data</w:t>
            </w:r>
          </w:p>
        </w:tc>
        <w:tc>
          <w:tcPr>
            <w:tcW w:w="1175" w:type="dxa"/>
            <w:tcBorders>
              <w:top w:val="nil"/>
              <w:left w:val="nil"/>
              <w:bottom w:val="single" w:sz="12" w:space="0" w:color="auto"/>
              <w:right w:val="nil"/>
            </w:tcBorders>
            <w:shd w:val="clear" w:color="auto" w:fill="auto"/>
            <w:noWrap/>
            <w:vAlign w:val="bottom"/>
          </w:tcPr>
          <w:p w:rsidR="00FC2DE6" w:rsidRPr="00B20AFA" w:rsidRDefault="00FC2DE6" w:rsidP="00FC2DE6">
            <w:pPr>
              <w:jc w:val="center"/>
            </w:pPr>
            <w:r w:rsidRPr="00B20AFA">
              <w:t>51</w:t>
            </w:r>
          </w:p>
        </w:tc>
        <w:tc>
          <w:tcPr>
            <w:tcW w:w="1362" w:type="dxa"/>
            <w:tcBorders>
              <w:top w:val="nil"/>
              <w:left w:val="double" w:sz="6" w:space="0" w:color="auto"/>
              <w:bottom w:val="single" w:sz="12" w:space="0" w:color="auto"/>
              <w:right w:val="single" w:sz="4" w:space="0" w:color="auto"/>
            </w:tcBorders>
            <w:shd w:val="clear" w:color="auto" w:fill="auto"/>
            <w:noWrap/>
            <w:vAlign w:val="bottom"/>
          </w:tcPr>
          <w:p w:rsidR="00FC2DE6" w:rsidRPr="00B20AFA" w:rsidRDefault="00A0502C" w:rsidP="00FC2DE6">
            <w:pPr>
              <w:jc w:val="center"/>
            </w:pPr>
            <w:r w:rsidRPr="00B20AFA">
              <w:t>31.5</w:t>
            </w:r>
          </w:p>
        </w:tc>
        <w:tc>
          <w:tcPr>
            <w:tcW w:w="1873" w:type="dxa"/>
            <w:tcBorders>
              <w:top w:val="nil"/>
              <w:left w:val="nil"/>
              <w:bottom w:val="single" w:sz="12" w:space="0" w:color="auto"/>
              <w:right w:val="single" w:sz="4" w:space="0" w:color="auto"/>
            </w:tcBorders>
            <w:shd w:val="clear" w:color="auto" w:fill="auto"/>
            <w:noWrap/>
            <w:vAlign w:val="bottom"/>
          </w:tcPr>
          <w:p w:rsidR="00FC2DE6" w:rsidRPr="00B20AFA" w:rsidRDefault="00FC2DE6" w:rsidP="00FC2DE6">
            <w:pPr>
              <w:jc w:val="center"/>
            </w:pPr>
            <w:r w:rsidRPr="00B20AFA">
              <w:t>$55.09</w:t>
            </w:r>
          </w:p>
        </w:tc>
        <w:tc>
          <w:tcPr>
            <w:tcW w:w="2561" w:type="dxa"/>
            <w:tcBorders>
              <w:top w:val="nil"/>
              <w:left w:val="nil"/>
              <w:bottom w:val="single" w:sz="12" w:space="0" w:color="auto"/>
              <w:right w:val="double" w:sz="4" w:space="0" w:color="auto"/>
            </w:tcBorders>
            <w:shd w:val="clear" w:color="auto" w:fill="auto"/>
            <w:noWrap/>
            <w:vAlign w:val="bottom"/>
          </w:tcPr>
          <w:p w:rsidR="00FC2DE6" w:rsidRPr="00B20AFA" w:rsidRDefault="00A0502C" w:rsidP="00FC2DE6">
            <w:pPr>
              <w:jc w:val="center"/>
            </w:pPr>
            <w:r w:rsidRPr="00B20AFA">
              <w:t>$88,502.09</w:t>
            </w:r>
          </w:p>
        </w:tc>
      </w:tr>
      <w:tr w:rsidR="00FC2DE6" w:rsidRPr="00B20AFA" w:rsidTr="000D4CFE">
        <w:trPr>
          <w:trHeight w:val="345"/>
        </w:trPr>
        <w:tc>
          <w:tcPr>
            <w:tcW w:w="5497" w:type="dxa"/>
            <w:gridSpan w:val="3"/>
            <w:tcBorders>
              <w:top w:val="single" w:sz="12" w:space="0" w:color="auto"/>
              <w:left w:val="double" w:sz="6" w:space="0" w:color="auto"/>
              <w:bottom w:val="double" w:sz="6" w:space="0" w:color="auto"/>
              <w:right w:val="nil"/>
            </w:tcBorders>
            <w:shd w:val="clear" w:color="auto" w:fill="auto"/>
            <w:noWrap/>
            <w:vAlign w:val="bottom"/>
          </w:tcPr>
          <w:p w:rsidR="00FC2DE6" w:rsidRPr="00B20AFA" w:rsidRDefault="00FC2DE6" w:rsidP="00FC2DE6">
            <w:pPr>
              <w:rPr>
                <w:b/>
                <w:bCs/>
              </w:rPr>
            </w:pPr>
            <w:r w:rsidRPr="00B20AFA">
              <w:rPr>
                <w:b/>
                <w:bCs/>
              </w:rPr>
              <w:t>Program Total Fiscal Year 2016 State Cost</w:t>
            </w:r>
          </w:p>
        </w:tc>
        <w:tc>
          <w:tcPr>
            <w:tcW w:w="1873" w:type="dxa"/>
            <w:tcBorders>
              <w:top w:val="nil"/>
              <w:left w:val="nil"/>
              <w:bottom w:val="double" w:sz="6" w:space="0" w:color="auto"/>
              <w:right w:val="nil"/>
            </w:tcBorders>
            <w:shd w:val="clear" w:color="auto" w:fill="auto"/>
            <w:noWrap/>
            <w:vAlign w:val="bottom"/>
          </w:tcPr>
          <w:p w:rsidR="00FC2DE6" w:rsidRPr="00B20AFA" w:rsidRDefault="00FC2DE6" w:rsidP="00FC2DE6">
            <w:r w:rsidRPr="00B20AFA">
              <w:t> </w:t>
            </w:r>
          </w:p>
        </w:tc>
        <w:tc>
          <w:tcPr>
            <w:tcW w:w="2561" w:type="dxa"/>
            <w:tcBorders>
              <w:top w:val="nil"/>
              <w:left w:val="nil"/>
              <w:bottom w:val="double" w:sz="6" w:space="0" w:color="auto"/>
              <w:right w:val="double" w:sz="4" w:space="0" w:color="auto"/>
            </w:tcBorders>
            <w:shd w:val="clear" w:color="auto" w:fill="auto"/>
            <w:noWrap/>
            <w:vAlign w:val="bottom"/>
          </w:tcPr>
          <w:p w:rsidR="00FC2DE6" w:rsidRPr="00B20AFA" w:rsidRDefault="00A0502C" w:rsidP="00FC2DE6">
            <w:pPr>
              <w:jc w:val="center"/>
              <w:rPr>
                <w:b/>
                <w:bCs/>
              </w:rPr>
            </w:pPr>
            <w:r w:rsidRPr="00B20AFA">
              <w:rPr>
                <w:b/>
                <w:bCs/>
              </w:rPr>
              <w:t>$4,865,355.99</w:t>
            </w:r>
          </w:p>
        </w:tc>
      </w:tr>
    </w:tbl>
    <w:p w:rsidR="00FC2DE6" w:rsidRPr="00B20AFA" w:rsidRDefault="00FC2DE6" w:rsidP="000D4CFE">
      <w:pPr>
        <w:tabs>
          <w:tab w:val="left" w:pos="1995"/>
        </w:tabs>
        <w:autoSpaceDE w:val="0"/>
        <w:autoSpaceDN w:val="0"/>
        <w:adjustRightInd w:val="0"/>
        <w:ind w:left="720"/>
      </w:pPr>
    </w:p>
    <w:p w:rsidR="00FC2DE6" w:rsidRPr="00B20AFA" w:rsidRDefault="00FC2DE6" w:rsidP="00FC2DE6">
      <w:pPr>
        <w:autoSpaceDE w:val="0"/>
        <w:autoSpaceDN w:val="0"/>
        <w:adjustRightInd w:val="0"/>
        <w:ind w:left="720"/>
      </w:pPr>
      <w:r w:rsidRPr="00B20AFA">
        <w:rPr>
          <w:b/>
        </w:rPr>
        <w:t>Table 9.2: FY 2017 State Burden Costs</w:t>
      </w:r>
    </w:p>
    <w:tbl>
      <w:tblPr>
        <w:tblW w:w="9931" w:type="dxa"/>
        <w:tblInd w:w="77" w:type="dxa"/>
        <w:tblLayout w:type="fixed"/>
        <w:tblLook w:val="0000" w:firstRow="0" w:lastRow="0" w:firstColumn="0" w:lastColumn="0" w:noHBand="0" w:noVBand="0"/>
      </w:tblPr>
      <w:tblGrid>
        <w:gridCol w:w="2960"/>
        <w:gridCol w:w="1175"/>
        <w:gridCol w:w="1362"/>
        <w:gridCol w:w="1873"/>
        <w:gridCol w:w="2561"/>
      </w:tblGrid>
      <w:tr w:rsidR="00B20AFA" w:rsidRPr="00B20AFA" w:rsidTr="00715C7E">
        <w:trPr>
          <w:trHeight w:val="358"/>
        </w:trPr>
        <w:tc>
          <w:tcPr>
            <w:tcW w:w="9931" w:type="dxa"/>
            <w:gridSpan w:val="5"/>
            <w:tcBorders>
              <w:top w:val="single" w:sz="8" w:space="0" w:color="auto"/>
              <w:left w:val="double" w:sz="6" w:space="0" w:color="auto"/>
              <w:bottom w:val="single" w:sz="8" w:space="0" w:color="000000"/>
              <w:right w:val="double" w:sz="6" w:space="0" w:color="auto"/>
            </w:tcBorders>
            <w:shd w:val="clear" w:color="auto" w:fill="auto"/>
            <w:vAlign w:val="center"/>
          </w:tcPr>
          <w:p w:rsidR="00FC2DE6" w:rsidRPr="00B20AFA" w:rsidRDefault="00FC2DE6" w:rsidP="000D4CFE">
            <w:pPr>
              <w:jc w:val="center"/>
              <w:rPr>
                <w:b/>
                <w:bCs/>
              </w:rPr>
            </w:pPr>
            <w:r w:rsidRPr="00B20AFA">
              <w:rPr>
                <w:b/>
                <w:bCs/>
              </w:rPr>
              <w:lastRenderedPageBreak/>
              <w:t>Fiscal Year 2017</w:t>
            </w:r>
          </w:p>
        </w:tc>
      </w:tr>
      <w:tr w:rsidR="00B20AFA" w:rsidRPr="00B20AFA" w:rsidTr="00715C7E">
        <w:trPr>
          <w:trHeight w:val="630"/>
        </w:trPr>
        <w:tc>
          <w:tcPr>
            <w:tcW w:w="2960" w:type="dxa"/>
            <w:vMerge w:val="restart"/>
            <w:tcBorders>
              <w:top w:val="single" w:sz="8" w:space="0" w:color="auto"/>
              <w:left w:val="double" w:sz="6" w:space="0" w:color="auto"/>
              <w:bottom w:val="single" w:sz="8" w:space="0" w:color="000000"/>
              <w:right w:val="single" w:sz="8" w:space="0" w:color="auto"/>
            </w:tcBorders>
            <w:shd w:val="clear" w:color="auto" w:fill="auto"/>
            <w:vAlign w:val="center"/>
          </w:tcPr>
          <w:p w:rsidR="00FC2DE6" w:rsidRPr="00B20AFA" w:rsidRDefault="00FC2DE6" w:rsidP="00715C7E">
            <w:pPr>
              <w:jc w:val="center"/>
              <w:rPr>
                <w:b/>
                <w:bCs/>
              </w:rPr>
            </w:pPr>
            <w:r w:rsidRPr="00B20AFA">
              <w:rPr>
                <w:b/>
                <w:bCs/>
              </w:rPr>
              <w:t>ICR</w:t>
            </w:r>
          </w:p>
        </w:tc>
        <w:tc>
          <w:tcPr>
            <w:tcW w:w="1175" w:type="dxa"/>
            <w:tcBorders>
              <w:top w:val="single" w:sz="8" w:space="0" w:color="auto"/>
              <w:left w:val="nil"/>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 of States</w:t>
            </w:r>
          </w:p>
        </w:tc>
        <w:tc>
          <w:tcPr>
            <w:tcW w:w="1362" w:type="dxa"/>
            <w:tcBorders>
              <w:top w:val="single" w:sz="8" w:space="0" w:color="auto"/>
              <w:left w:val="double" w:sz="6" w:space="0" w:color="auto"/>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Hours</w:t>
            </w:r>
          </w:p>
        </w:tc>
        <w:tc>
          <w:tcPr>
            <w:tcW w:w="1873" w:type="dxa"/>
            <w:tcBorders>
              <w:top w:val="single" w:sz="8" w:space="0" w:color="auto"/>
              <w:left w:val="single" w:sz="4" w:space="0" w:color="auto"/>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Cost Per Hour</w:t>
            </w:r>
          </w:p>
        </w:tc>
        <w:tc>
          <w:tcPr>
            <w:tcW w:w="2561" w:type="dxa"/>
            <w:tcBorders>
              <w:top w:val="single" w:sz="8" w:space="0" w:color="auto"/>
              <w:left w:val="single" w:sz="4" w:space="0" w:color="auto"/>
              <w:bottom w:val="single" w:sz="4" w:space="0" w:color="auto"/>
              <w:right w:val="double" w:sz="6" w:space="0" w:color="auto"/>
            </w:tcBorders>
            <w:shd w:val="clear" w:color="auto" w:fill="auto"/>
            <w:vAlign w:val="center"/>
          </w:tcPr>
          <w:p w:rsidR="00FC2DE6" w:rsidRPr="00B20AFA" w:rsidRDefault="00FC2DE6" w:rsidP="00715C7E">
            <w:pPr>
              <w:jc w:val="center"/>
              <w:rPr>
                <w:b/>
                <w:bCs/>
              </w:rPr>
            </w:pPr>
            <w:r w:rsidRPr="00B20AFA">
              <w:rPr>
                <w:b/>
                <w:bCs/>
              </w:rPr>
              <w:t>Cost</w:t>
            </w:r>
          </w:p>
        </w:tc>
      </w:tr>
      <w:tr w:rsidR="00B20AFA" w:rsidRPr="00B20AFA" w:rsidTr="00715C7E">
        <w:trPr>
          <w:trHeight w:val="330"/>
        </w:trPr>
        <w:tc>
          <w:tcPr>
            <w:tcW w:w="2960" w:type="dxa"/>
            <w:vMerge/>
            <w:tcBorders>
              <w:top w:val="single" w:sz="8" w:space="0" w:color="auto"/>
              <w:left w:val="double" w:sz="6" w:space="0" w:color="auto"/>
              <w:bottom w:val="single" w:sz="8" w:space="0" w:color="000000"/>
              <w:right w:val="single" w:sz="8" w:space="0" w:color="auto"/>
            </w:tcBorders>
            <w:vAlign w:val="center"/>
          </w:tcPr>
          <w:p w:rsidR="00FC2DE6" w:rsidRPr="00B20AFA" w:rsidRDefault="00FC2DE6" w:rsidP="00715C7E">
            <w:pPr>
              <w:jc w:val="center"/>
              <w:rPr>
                <w:b/>
                <w:bCs/>
              </w:rPr>
            </w:pPr>
          </w:p>
        </w:tc>
        <w:tc>
          <w:tcPr>
            <w:tcW w:w="1175" w:type="dxa"/>
            <w:tcBorders>
              <w:top w:val="nil"/>
              <w:left w:val="nil"/>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(A)</w:t>
            </w:r>
          </w:p>
        </w:tc>
        <w:tc>
          <w:tcPr>
            <w:tcW w:w="1362" w:type="dxa"/>
            <w:tcBorders>
              <w:top w:val="nil"/>
              <w:left w:val="double" w:sz="6" w:space="0" w:color="auto"/>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(B)</w:t>
            </w:r>
          </w:p>
        </w:tc>
        <w:tc>
          <w:tcPr>
            <w:tcW w:w="1873" w:type="dxa"/>
            <w:tcBorders>
              <w:top w:val="nil"/>
              <w:left w:val="single" w:sz="4" w:space="0" w:color="auto"/>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(C )</w:t>
            </w:r>
          </w:p>
        </w:tc>
        <w:tc>
          <w:tcPr>
            <w:tcW w:w="2561" w:type="dxa"/>
            <w:tcBorders>
              <w:top w:val="nil"/>
              <w:left w:val="single" w:sz="4" w:space="0" w:color="auto"/>
              <w:bottom w:val="single" w:sz="8" w:space="0" w:color="auto"/>
              <w:right w:val="double" w:sz="4" w:space="0" w:color="auto"/>
            </w:tcBorders>
            <w:shd w:val="clear" w:color="auto" w:fill="auto"/>
            <w:vAlign w:val="center"/>
          </w:tcPr>
          <w:p w:rsidR="00FC2DE6" w:rsidRPr="00B20AFA" w:rsidRDefault="00FC2DE6" w:rsidP="00715C7E">
            <w:pPr>
              <w:jc w:val="center"/>
              <w:rPr>
                <w:b/>
                <w:bCs/>
              </w:rPr>
            </w:pPr>
            <w:r w:rsidRPr="00B20AFA">
              <w:rPr>
                <w:b/>
                <w:bCs/>
              </w:rPr>
              <w:t>(A x B x C)</w:t>
            </w:r>
          </w:p>
        </w:tc>
      </w:tr>
      <w:tr w:rsidR="00B20AFA" w:rsidRPr="00B20AFA" w:rsidTr="00715C7E">
        <w:trPr>
          <w:trHeight w:val="6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IUP / CGA</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r w:rsidRPr="00B20AFA">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r w:rsidRPr="00B20AFA">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r w:rsidRPr="00B20AFA">
              <w:t> </w:t>
            </w: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r w:rsidRPr="00B20AFA">
              <w:t> </w:t>
            </w: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 Initial Plan</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332</w:t>
            </w:r>
          </w:p>
        </w:tc>
        <w:tc>
          <w:tcPr>
            <w:tcW w:w="1873" w:type="dxa"/>
            <w:tcBorders>
              <w:top w:val="single" w:sz="4" w:space="0" w:color="auto"/>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single" w:sz="4" w:space="0" w:color="auto"/>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$932,783.88</w:t>
            </w: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 Revised Plan</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68</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$191,052.12</w:t>
            </w:r>
          </w:p>
        </w:tc>
      </w:tr>
      <w:tr w:rsidR="00B20AFA" w:rsidRPr="00B20AFA" w:rsidTr="00715C7E">
        <w:trPr>
          <w:trHeight w:val="7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Biennial Report</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25</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275</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0D4CFE">
            <w:pPr>
              <w:jc w:val="center"/>
            </w:pPr>
            <w:r w:rsidRPr="00B20AFA">
              <w:t>$378,743.75</w:t>
            </w:r>
          </w:p>
        </w:tc>
      </w:tr>
      <w:tr w:rsidR="00B20AFA" w:rsidRPr="00B20AFA" w:rsidTr="00715C7E">
        <w:trPr>
          <w:trHeight w:val="12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715C7E">
        <w:trPr>
          <w:trHeight w:val="107"/>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State Audit</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80</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$224,767.20</w:t>
            </w:r>
          </w:p>
        </w:tc>
      </w:tr>
      <w:tr w:rsidR="00B20AFA" w:rsidRPr="00B20AFA" w:rsidTr="00715C7E">
        <w:trPr>
          <w:trHeight w:val="7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pP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pP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pP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Application Review</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1,080</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$3,034,357.20</w:t>
            </w:r>
          </w:p>
        </w:tc>
      </w:tr>
      <w:tr w:rsidR="00B20AFA" w:rsidRPr="00B20AFA" w:rsidTr="00715C7E">
        <w:trPr>
          <w:trHeight w:val="152"/>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715C7E">
        <w:trPr>
          <w:trHeight w:val="330"/>
        </w:trPr>
        <w:tc>
          <w:tcPr>
            <w:tcW w:w="2960" w:type="dxa"/>
            <w:tcBorders>
              <w:top w:val="nil"/>
              <w:left w:val="double" w:sz="6" w:space="0" w:color="auto"/>
              <w:bottom w:val="single" w:sz="12" w:space="0" w:color="auto"/>
              <w:right w:val="single" w:sz="8" w:space="0" w:color="auto"/>
            </w:tcBorders>
            <w:shd w:val="clear" w:color="auto" w:fill="auto"/>
            <w:noWrap/>
            <w:vAlign w:val="bottom"/>
          </w:tcPr>
          <w:p w:rsidR="00A0502C" w:rsidRPr="00B20AFA" w:rsidRDefault="00A0502C" w:rsidP="00A0502C">
            <w:pPr>
              <w:rPr>
                <w:b/>
                <w:bCs/>
              </w:rPr>
            </w:pPr>
            <w:r w:rsidRPr="00B20AFA">
              <w:rPr>
                <w:b/>
                <w:bCs/>
              </w:rPr>
              <w:t>Financial &amp; Project Data</w:t>
            </w:r>
          </w:p>
        </w:tc>
        <w:tc>
          <w:tcPr>
            <w:tcW w:w="1175" w:type="dxa"/>
            <w:tcBorders>
              <w:top w:val="nil"/>
              <w:left w:val="nil"/>
              <w:bottom w:val="single" w:sz="12" w:space="0" w:color="auto"/>
              <w:right w:val="nil"/>
            </w:tcBorders>
            <w:shd w:val="clear" w:color="auto" w:fill="auto"/>
            <w:noWrap/>
            <w:vAlign w:val="bottom"/>
          </w:tcPr>
          <w:p w:rsidR="00A0502C" w:rsidRPr="00B20AFA" w:rsidRDefault="00A0502C" w:rsidP="00A0502C">
            <w:pPr>
              <w:jc w:val="center"/>
            </w:pPr>
            <w:r w:rsidRPr="00B20AFA">
              <w:t>51</w:t>
            </w:r>
          </w:p>
        </w:tc>
        <w:tc>
          <w:tcPr>
            <w:tcW w:w="1362" w:type="dxa"/>
            <w:tcBorders>
              <w:top w:val="nil"/>
              <w:left w:val="double" w:sz="6" w:space="0" w:color="auto"/>
              <w:bottom w:val="single" w:sz="12" w:space="0" w:color="auto"/>
              <w:right w:val="single" w:sz="4" w:space="0" w:color="auto"/>
            </w:tcBorders>
            <w:shd w:val="clear" w:color="auto" w:fill="auto"/>
            <w:noWrap/>
            <w:vAlign w:val="bottom"/>
          </w:tcPr>
          <w:p w:rsidR="00A0502C" w:rsidRPr="00B20AFA" w:rsidRDefault="00A0502C" w:rsidP="00A0502C">
            <w:pPr>
              <w:jc w:val="center"/>
            </w:pPr>
            <w:r w:rsidRPr="00B20AFA">
              <w:t>31.5</w:t>
            </w:r>
          </w:p>
        </w:tc>
        <w:tc>
          <w:tcPr>
            <w:tcW w:w="1873" w:type="dxa"/>
            <w:tcBorders>
              <w:top w:val="nil"/>
              <w:left w:val="nil"/>
              <w:bottom w:val="single" w:sz="12" w:space="0" w:color="auto"/>
              <w:right w:val="single" w:sz="4" w:space="0" w:color="auto"/>
            </w:tcBorders>
            <w:shd w:val="clear" w:color="auto" w:fill="auto"/>
            <w:noWrap/>
            <w:vAlign w:val="bottom"/>
          </w:tcPr>
          <w:p w:rsidR="00A0502C" w:rsidRPr="00B20AFA" w:rsidRDefault="00A0502C" w:rsidP="00A0502C">
            <w:pPr>
              <w:jc w:val="center"/>
            </w:pPr>
            <w:r w:rsidRPr="00B20AFA">
              <w:t>$55.09</w:t>
            </w:r>
          </w:p>
        </w:tc>
        <w:tc>
          <w:tcPr>
            <w:tcW w:w="2561" w:type="dxa"/>
            <w:tcBorders>
              <w:top w:val="nil"/>
              <w:left w:val="nil"/>
              <w:bottom w:val="single" w:sz="12" w:space="0" w:color="auto"/>
              <w:right w:val="double" w:sz="4" w:space="0" w:color="auto"/>
            </w:tcBorders>
            <w:shd w:val="clear" w:color="auto" w:fill="auto"/>
            <w:noWrap/>
            <w:vAlign w:val="bottom"/>
          </w:tcPr>
          <w:p w:rsidR="00A0502C" w:rsidRPr="00B20AFA" w:rsidRDefault="00A0502C" w:rsidP="00A0502C">
            <w:pPr>
              <w:jc w:val="center"/>
            </w:pPr>
            <w:r w:rsidRPr="00B20AFA">
              <w:t>$88,502.09</w:t>
            </w:r>
          </w:p>
        </w:tc>
      </w:tr>
      <w:tr w:rsidR="00A0502C" w:rsidRPr="00B20AFA" w:rsidTr="00715C7E">
        <w:trPr>
          <w:trHeight w:val="345"/>
        </w:trPr>
        <w:tc>
          <w:tcPr>
            <w:tcW w:w="5497" w:type="dxa"/>
            <w:gridSpan w:val="3"/>
            <w:tcBorders>
              <w:top w:val="single" w:sz="12" w:space="0" w:color="auto"/>
              <w:left w:val="double" w:sz="6" w:space="0" w:color="auto"/>
              <w:bottom w:val="double" w:sz="6" w:space="0" w:color="auto"/>
              <w:right w:val="nil"/>
            </w:tcBorders>
            <w:shd w:val="clear" w:color="auto" w:fill="auto"/>
            <w:noWrap/>
            <w:vAlign w:val="bottom"/>
          </w:tcPr>
          <w:p w:rsidR="00A0502C" w:rsidRPr="00B20AFA" w:rsidRDefault="00A0502C" w:rsidP="00A0502C">
            <w:pPr>
              <w:rPr>
                <w:b/>
                <w:bCs/>
              </w:rPr>
            </w:pPr>
            <w:r w:rsidRPr="00B20AFA">
              <w:rPr>
                <w:b/>
                <w:bCs/>
              </w:rPr>
              <w:t>Program Total Fiscal Year 2017 State Cost</w:t>
            </w:r>
          </w:p>
        </w:tc>
        <w:tc>
          <w:tcPr>
            <w:tcW w:w="1873" w:type="dxa"/>
            <w:tcBorders>
              <w:top w:val="nil"/>
              <w:left w:val="nil"/>
              <w:bottom w:val="double" w:sz="6" w:space="0" w:color="auto"/>
              <w:right w:val="nil"/>
            </w:tcBorders>
            <w:shd w:val="clear" w:color="auto" w:fill="auto"/>
            <w:noWrap/>
            <w:vAlign w:val="bottom"/>
          </w:tcPr>
          <w:p w:rsidR="00A0502C" w:rsidRPr="00B20AFA" w:rsidRDefault="00A0502C" w:rsidP="00A0502C">
            <w:r w:rsidRPr="00B20AFA">
              <w:t> </w:t>
            </w:r>
          </w:p>
        </w:tc>
        <w:tc>
          <w:tcPr>
            <w:tcW w:w="2561" w:type="dxa"/>
            <w:tcBorders>
              <w:top w:val="nil"/>
              <w:left w:val="nil"/>
              <w:bottom w:val="double" w:sz="6" w:space="0" w:color="auto"/>
              <w:right w:val="double" w:sz="4" w:space="0" w:color="auto"/>
            </w:tcBorders>
            <w:shd w:val="clear" w:color="auto" w:fill="auto"/>
            <w:noWrap/>
            <w:vAlign w:val="bottom"/>
          </w:tcPr>
          <w:p w:rsidR="00A0502C" w:rsidRPr="00B20AFA" w:rsidRDefault="00A0502C" w:rsidP="00A0502C">
            <w:pPr>
              <w:jc w:val="center"/>
              <w:rPr>
                <w:b/>
                <w:bCs/>
              </w:rPr>
            </w:pPr>
            <w:r w:rsidRPr="00B20AFA">
              <w:rPr>
                <w:b/>
                <w:bCs/>
              </w:rPr>
              <w:t>$4,850,206.24</w:t>
            </w:r>
          </w:p>
        </w:tc>
      </w:tr>
    </w:tbl>
    <w:p w:rsidR="00FC2DE6" w:rsidRPr="00B20AFA" w:rsidRDefault="00FC2DE6" w:rsidP="00FC2DE6">
      <w:pPr>
        <w:tabs>
          <w:tab w:val="left" w:pos="1995"/>
        </w:tabs>
        <w:autoSpaceDE w:val="0"/>
        <w:autoSpaceDN w:val="0"/>
        <w:adjustRightInd w:val="0"/>
        <w:ind w:left="720"/>
      </w:pPr>
    </w:p>
    <w:p w:rsidR="00FC2DE6" w:rsidRPr="00B20AFA" w:rsidRDefault="00FC2DE6" w:rsidP="00FC2DE6">
      <w:pPr>
        <w:autoSpaceDE w:val="0"/>
        <w:autoSpaceDN w:val="0"/>
        <w:adjustRightInd w:val="0"/>
        <w:ind w:left="720"/>
      </w:pPr>
      <w:r w:rsidRPr="00B20AFA">
        <w:rPr>
          <w:b/>
        </w:rPr>
        <w:t>Table 9.3: FY 2018 State Burden Costs</w:t>
      </w:r>
    </w:p>
    <w:tbl>
      <w:tblPr>
        <w:tblW w:w="9931" w:type="dxa"/>
        <w:tblInd w:w="77" w:type="dxa"/>
        <w:tblLayout w:type="fixed"/>
        <w:tblLook w:val="0000" w:firstRow="0" w:lastRow="0" w:firstColumn="0" w:lastColumn="0" w:noHBand="0" w:noVBand="0"/>
      </w:tblPr>
      <w:tblGrid>
        <w:gridCol w:w="2960"/>
        <w:gridCol w:w="1175"/>
        <w:gridCol w:w="1362"/>
        <w:gridCol w:w="1873"/>
        <w:gridCol w:w="2561"/>
      </w:tblGrid>
      <w:tr w:rsidR="00B20AFA" w:rsidRPr="00B20AFA" w:rsidTr="00715C7E">
        <w:trPr>
          <w:trHeight w:val="358"/>
        </w:trPr>
        <w:tc>
          <w:tcPr>
            <w:tcW w:w="9931" w:type="dxa"/>
            <w:gridSpan w:val="5"/>
            <w:tcBorders>
              <w:top w:val="single" w:sz="8" w:space="0" w:color="auto"/>
              <w:left w:val="double" w:sz="6" w:space="0" w:color="auto"/>
              <w:bottom w:val="single" w:sz="8" w:space="0" w:color="000000"/>
              <w:right w:val="double" w:sz="6" w:space="0" w:color="auto"/>
            </w:tcBorders>
            <w:shd w:val="clear" w:color="auto" w:fill="auto"/>
            <w:vAlign w:val="center"/>
          </w:tcPr>
          <w:p w:rsidR="00FC2DE6" w:rsidRPr="00B20AFA" w:rsidRDefault="00FC2DE6" w:rsidP="00715C7E">
            <w:pPr>
              <w:jc w:val="center"/>
              <w:rPr>
                <w:b/>
                <w:bCs/>
              </w:rPr>
            </w:pPr>
            <w:r w:rsidRPr="00B20AFA">
              <w:rPr>
                <w:b/>
                <w:bCs/>
              </w:rPr>
              <w:t>Fiscal Year 2018</w:t>
            </w:r>
          </w:p>
        </w:tc>
      </w:tr>
      <w:tr w:rsidR="00B20AFA" w:rsidRPr="00B20AFA" w:rsidTr="00715C7E">
        <w:trPr>
          <w:trHeight w:val="630"/>
        </w:trPr>
        <w:tc>
          <w:tcPr>
            <w:tcW w:w="2960" w:type="dxa"/>
            <w:vMerge w:val="restart"/>
            <w:tcBorders>
              <w:top w:val="single" w:sz="8" w:space="0" w:color="auto"/>
              <w:left w:val="double" w:sz="6" w:space="0" w:color="auto"/>
              <w:bottom w:val="single" w:sz="8" w:space="0" w:color="000000"/>
              <w:right w:val="single" w:sz="8" w:space="0" w:color="auto"/>
            </w:tcBorders>
            <w:shd w:val="clear" w:color="auto" w:fill="auto"/>
            <w:vAlign w:val="center"/>
          </w:tcPr>
          <w:p w:rsidR="00FC2DE6" w:rsidRPr="00B20AFA" w:rsidRDefault="00FC2DE6" w:rsidP="00715C7E">
            <w:pPr>
              <w:jc w:val="center"/>
              <w:rPr>
                <w:b/>
                <w:bCs/>
              </w:rPr>
            </w:pPr>
            <w:r w:rsidRPr="00B20AFA">
              <w:rPr>
                <w:b/>
                <w:bCs/>
              </w:rPr>
              <w:t>ICR</w:t>
            </w:r>
          </w:p>
        </w:tc>
        <w:tc>
          <w:tcPr>
            <w:tcW w:w="1175" w:type="dxa"/>
            <w:tcBorders>
              <w:top w:val="single" w:sz="8" w:space="0" w:color="auto"/>
              <w:left w:val="nil"/>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 of States</w:t>
            </w:r>
          </w:p>
        </w:tc>
        <w:tc>
          <w:tcPr>
            <w:tcW w:w="1362" w:type="dxa"/>
            <w:tcBorders>
              <w:top w:val="single" w:sz="8" w:space="0" w:color="auto"/>
              <w:left w:val="double" w:sz="6" w:space="0" w:color="auto"/>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Hours</w:t>
            </w:r>
          </w:p>
        </w:tc>
        <w:tc>
          <w:tcPr>
            <w:tcW w:w="1873" w:type="dxa"/>
            <w:tcBorders>
              <w:top w:val="single" w:sz="8" w:space="0" w:color="auto"/>
              <w:left w:val="single" w:sz="4" w:space="0" w:color="auto"/>
              <w:bottom w:val="single" w:sz="4" w:space="0" w:color="auto"/>
              <w:right w:val="nil"/>
            </w:tcBorders>
            <w:shd w:val="clear" w:color="auto" w:fill="auto"/>
            <w:vAlign w:val="center"/>
          </w:tcPr>
          <w:p w:rsidR="00FC2DE6" w:rsidRPr="00B20AFA" w:rsidRDefault="00FC2DE6" w:rsidP="00715C7E">
            <w:pPr>
              <w:jc w:val="center"/>
              <w:rPr>
                <w:b/>
                <w:bCs/>
              </w:rPr>
            </w:pPr>
            <w:r w:rsidRPr="00B20AFA">
              <w:rPr>
                <w:b/>
                <w:bCs/>
              </w:rPr>
              <w:t>Cost Per Hour</w:t>
            </w:r>
          </w:p>
        </w:tc>
        <w:tc>
          <w:tcPr>
            <w:tcW w:w="2561" w:type="dxa"/>
            <w:tcBorders>
              <w:top w:val="single" w:sz="8" w:space="0" w:color="auto"/>
              <w:left w:val="single" w:sz="4" w:space="0" w:color="auto"/>
              <w:bottom w:val="single" w:sz="4" w:space="0" w:color="auto"/>
              <w:right w:val="double" w:sz="6" w:space="0" w:color="auto"/>
            </w:tcBorders>
            <w:shd w:val="clear" w:color="auto" w:fill="auto"/>
            <w:vAlign w:val="center"/>
          </w:tcPr>
          <w:p w:rsidR="00FC2DE6" w:rsidRPr="00B20AFA" w:rsidRDefault="00FC2DE6" w:rsidP="00715C7E">
            <w:pPr>
              <w:jc w:val="center"/>
              <w:rPr>
                <w:b/>
                <w:bCs/>
              </w:rPr>
            </w:pPr>
            <w:r w:rsidRPr="00B20AFA">
              <w:rPr>
                <w:b/>
                <w:bCs/>
              </w:rPr>
              <w:t>Cost</w:t>
            </w:r>
          </w:p>
        </w:tc>
      </w:tr>
      <w:tr w:rsidR="00B20AFA" w:rsidRPr="00B20AFA" w:rsidTr="00715C7E">
        <w:trPr>
          <w:trHeight w:val="330"/>
        </w:trPr>
        <w:tc>
          <w:tcPr>
            <w:tcW w:w="2960" w:type="dxa"/>
            <w:vMerge/>
            <w:tcBorders>
              <w:top w:val="single" w:sz="8" w:space="0" w:color="auto"/>
              <w:left w:val="double" w:sz="6" w:space="0" w:color="auto"/>
              <w:bottom w:val="single" w:sz="8" w:space="0" w:color="000000"/>
              <w:right w:val="single" w:sz="8" w:space="0" w:color="auto"/>
            </w:tcBorders>
            <w:vAlign w:val="center"/>
          </w:tcPr>
          <w:p w:rsidR="00FC2DE6" w:rsidRPr="00B20AFA" w:rsidRDefault="00FC2DE6" w:rsidP="00715C7E">
            <w:pPr>
              <w:jc w:val="center"/>
              <w:rPr>
                <w:b/>
                <w:bCs/>
              </w:rPr>
            </w:pPr>
          </w:p>
        </w:tc>
        <w:tc>
          <w:tcPr>
            <w:tcW w:w="1175" w:type="dxa"/>
            <w:tcBorders>
              <w:top w:val="nil"/>
              <w:left w:val="nil"/>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(A)</w:t>
            </w:r>
          </w:p>
        </w:tc>
        <w:tc>
          <w:tcPr>
            <w:tcW w:w="1362" w:type="dxa"/>
            <w:tcBorders>
              <w:top w:val="nil"/>
              <w:left w:val="double" w:sz="6" w:space="0" w:color="auto"/>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(B)</w:t>
            </w:r>
          </w:p>
        </w:tc>
        <w:tc>
          <w:tcPr>
            <w:tcW w:w="1873" w:type="dxa"/>
            <w:tcBorders>
              <w:top w:val="nil"/>
              <w:left w:val="single" w:sz="4" w:space="0" w:color="auto"/>
              <w:bottom w:val="single" w:sz="8" w:space="0" w:color="auto"/>
              <w:right w:val="nil"/>
            </w:tcBorders>
            <w:shd w:val="clear" w:color="auto" w:fill="auto"/>
            <w:vAlign w:val="center"/>
          </w:tcPr>
          <w:p w:rsidR="00FC2DE6" w:rsidRPr="00B20AFA" w:rsidRDefault="00FC2DE6" w:rsidP="00715C7E">
            <w:pPr>
              <w:jc w:val="center"/>
              <w:rPr>
                <w:b/>
                <w:bCs/>
              </w:rPr>
            </w:pPr>
            <w:r w:rsidRPr="00B20AFA">
              <w:rPr>
                <w:b/>
                <w:bCs/>
              </w:rPr>
              <w:t>(C )</w:t>
            </w:r>
          </w:p>
        </w:tc>
        <w:tc>
          <w:tcPr>
            <w:tcW w:w="2561" w:type="dxa"/>
            <w:tcBorders>
              <w:top w:val="nil"/>
              <w:left w:val="single" w:sz="4" w:space="0" w:color="auto"/>
              <w:bottom w:val="single" w:sz="8" w:space="0" w:color="auto"/>
              <w:right w:val="double" w:sz="4" w:space="0" w:color="auto"/>
            </w:tcBorders>
            <w:shd w:val="clear" w:color="auto" w:fill="auto"/>
            <w:vAlign w:val="center"/>
          </w:tcPr>
          <w:p w:rsidR="00FC2DE6" w:rsidRPr="00B20AFA" w:rsidRDefault="00FC2DE6" w:rsidP="00715C7E">
            <w:pPr>
              <w:jc w:val="center"/>
              <w:rPr>
                <w:b/>
                <w:bCs/>
              </w:rPr>
            </w:pPr>
            <w:r w:rsidRPr="00B20AFA">
              <w:rPr>
                <w:b/>
                <w:bCs/>
              </w:rPr>
              <w:t>(A x B x C)</w:t>
            </w:r>
          </w:p>
        </w:tc>
      </w:tr>
      <w:tr w:rsidR="00B20AFA" w:rsidRPr="00B20AFA" w:rsidTr="00715C7E">
        <w:trPr>
          <w:trHeight w:val="6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IUP / CGA</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r w:rsidRPr="00B20AFA">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r w:rsidRPr="00B20AFA">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r w:rsidRPr="00B20AFA">
              <w:t> </w:t>
            </w: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r w:rsidRPr="00B20AFA">
              <w:t> </w:t>
            </w: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 Initial Plan</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332</w:t>
            </w:r>
          </w:p>
        </w:tc>
        <w:tc>
          <w:tcPr>
            <w:tcW w:w="1873" w:type="dxa"/>
            <w:tcBorders>
              <w:top w:val="single" w:sz="4" w:space="0" w:color="auto"/>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single" w:sz="4" w:space="0" w:color="auto"/>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$932,783.88</w:t>
            </w: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 Revised Plan</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68</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$191,052.12</w:t>
            </w:r>
          </w:p>
        </w:tc>
      </w:tr>
      <w:tr w:rsidR="00B20AFA" w:rsidRPr="00B20AFA" w:rsidTr="00715C7E">
        <w:trPr>
          <w:trHeight w:val="7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Biennial Report</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26</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275</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$393,893.50</w:t>
            </w:r>
          </w:p>
        </w:tc>
      </w:tr>
      <w:tr w:rsidR="00B20AFA" w:rsidRPr="00B20AFA" w:rsidTr="00715C7E">
        <w:trPr>
          <w:trHeight w:val="12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715C7E">
        <w:trPr>
          <w:trHeight w:val="107"/>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State Audit</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80</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$224,767.20</w:t>
            </w:r>
          </w:p>
        </w:tc>
      </w:tr>
      <w:tr w:rsidR="00B20AFA" w:rsidRPr="00B20AFA" w:rsidTr="00715C7E">
        <w:trPr>
          <w:trHeight w:val="70"/>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pP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pP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pPr>
          </w:p>
        </w:tc>
      </w:tr>
      <w:tr w:rsidR="00B20AFA" w:rsidRPr="00B20AFA" w:rsidTr="00715C7E">
        <w:trPr>
          <w:trHeight w:val="315"/>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b/>
                <w:bCs/>
              </w:rPr>
            </w:pPr>
            <w:r w:rsidRPr="00B20AFA">
              <w:rPr>
                <w:b/>
                <w:bCs/>
              </w:rPr>
              <w:t>Application Review</w:t>
            </w:r>
          </w:p>
        </w:tc>
        <w:tc>
          <w:tcPr>
            <w:tcW w:w="1175" w:type="dxa"/>
            <w:tcBorders>
              <w:top w:val="nil"/>
              <w:left w:val="nil"/>
              <w:bottom w:val="single" w:sz="4" w:space="0" w:color="auto"/>
              <w:right w:val="nil"/>
            </w:tcBorders>
            <w:shd w:val="clear" w:color="auto" w:fill="auto"/>
            <w:noWrap/>
            <w:vAlign w:val="bottom"/>
          </w:tcPr>
          <w:p w:rsidR="00FC2DE6" w:rsidRPr="00B20AFA" w:rsidRDefault="00FC2DE6" w:rsidP="00715C7E">
            <w:pPr>
              <w:jc w:val="center"/>
            </w:pPr>
            <w:r w:rsidRPr="00B20AFA">
              <w:t>51</w:t>
            </w:r>
          </w:p>
        </w:tc>
        <w:tc>
          <w:tcPr>
            <w:tcW w:w="1362" w:type="dxa"/>
            <w:tcBorders>
              <w:top w:val="nil"/>
              <w:left w:val="double" w:sz="6" w:space="0" w:color="auto"/>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1,080</w:t>
            </w:r>
          </w:p>
        </w:tc>
        <w:tc>
          <w:tcPr>
            <w:tcW w:w="1873" w:type="dxa"/>
            <w:tcBorders>
              <w:top w:val="nil"/>
              <w:left w:val="nil"/>
              <w:bottom w:val="single" w:sz="4" w:space="0" w:color="auto"/>
              <w:right w:val="single" w:sz="4" w:space="0" w:color="auto"/>
            </w:tcBorders>
            <w:shd w:val="clear" w:color="auto" w:fill="auto"/>
            <w:noWrap/>
            <w:vAlign w:val="bottom"/>
          </w:tcPr>
          <w:p w:rsidR="00FC2DE6" w:rsidRPr="00B20AFA" w:rsidRDefault="00FC2DE6" w:rsidP="00715C7E">
            <w:pPr>
              <w:jc w:val="center"/>
            </w:pPr>
            <w:r w:rsidRPr="00B20AFA">
              <w:t>$55.09</w:t>
            </w:r>
          </w:p>
        </w:tc>
        <w:tc>
          <w:tcPr>
            <w:tcW w:w="2561" w:type="dxa"/>
            <w:tcBorders>
              <w:top w:val="nil"/>
              <w:left w:val="nil"/>
              <w:bottom w:val="single" w:sz="4" w:space="0" w:color="auto"/>
              <w:right w:val="double" w:sz="4" w:space="0" w:color="auto"/>
            </w:tcBorders>
            <w:shd w:val="clear" w:color="auto" w:fill="auto"/>
            <w:noWrap/>
            <w:vAlign w:val="bottom"/>
          </w:tcPr>
          <w:p w:rsidR="00FC2DE6" w:rsidRPr="00B20AFA" w:rsidRDefault="00FC2DE6" w:rsidP="00715C7E">
            <w:pPr>
              <w:jc w:val="center"/>
            </w:pPr>
            <w:r w:rsidRPr="00B20AFA">
              <w:t>$3,034,357.20</w:t>
            </w:r>
          </w:p>
        </w:tc>
      </w:tr>
      <w:tr w:rsidR="00B20AFA" w:rsidRPr="00B20AFA" w:rsidTr="00715C7E">
        <w:trPr>
          <w:trHeight w:val="152"/>
        </w:trPr>
        <w:tc>
          <w:tcPr>
            <w:tcW w:w="2960" w:type="dxa"/>
            <w:tcBorders>
              <w:top w:val="nil"/>
              <w:left w:val="double" w:sz="6" w:space="0" w:color="auto"/>
              <w:bottom w:val="nil"/>
              <w:right w:val="single" w:sz="8" w:space="0" w:color="auto"/>
            </w:tcBorders>
            <w:shd w:val="clear" w:color="auto" w:fill="auto"/>
            <w:noWrap/>
            <w:vAlign w:val="bottom"/>
          </w:tcPr>
          <w:p w:rsidR="00FC2DE6" w:rsidRPr="00B20AFA" w:rsidRDefault="00FC2DE6" w:rsidP="00715C7E">
            <w:pPr>
              <w:rPr>
                <w:sz w:val="16"/>
                <w:szCs w:val="16"/>
              </w:rPr>
            </w:pPr>
            <w:r w:rsidRPr="00B20AFA">
              <w:rPr>
                <w:sz w:val="16"/>
                <w:szCs w:val="16"/>
              </w:rPr>
              <w:t> </w:t>
            </w:r>
          </w:p>
        </w:tc>
        <w:tc>
          <w:tcPr>
            <w:tcW w:w="1175" w:type="dxa"/>
            <w:tcBorders>
              <w:top w:val="nil"/>
              <w:left w:val="nil"/>
              <w:bottom w:val="single" w:sz="4" w:space="0" w:color="auto"/>
              <w:right w:val="nil"/>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362" w:type="dxa"/>
            <w:tcBorders>
              <w:top w:val="nil"/>
              <w:left w:val="double" w:sz="6" w:space="0" w:color="auto"/>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r w:rsidRPr="00B20AFA">
              <w:rPr>
                <w:sz w:val="16"/>
                <w:szCs w:val="16"/>
              </w:rPr>
              <w:t> </w:t>
            </w:r>
          </w:p>
        </w:tc>
        <w:tc>
          <w:tcPr>
            <w:tcW w:w="1873" w:type="dxa"/>
            <w:tcBorders>
              <w:top w:val="nil"/>
              <w:left w:val="nil"/>
              <w:bottom w:val="single" w:sz="4" w:space="0" w:color="auto"/>
              <w:right w:val="sing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c>
          <w:tcPr>
            <w:tcW w:w="2561" w:type="dxa"/>
            <w:tcBorders>
              <w:top w:val="nil"/>
              <w:left w:val="nil"/>
              <w:bottom w:val="single" w:sz="4" w:space="0" w:color="auto"/>
              <w:right w:val="double" w:sz="4" w:space="0" w:color="auto"/>
            </w:tcBorders>
            <w:shd w:val="clear" w:color="auto" w:fill="AEAAAA" w:themeFill="background2" w:themeFillShade="BF"/>
            <w:noWrap/>
            <w:vAlign w:val="bottom"/>
          </w:tcPr>
          <w:p w:rsidR="00FC2DE6" w:rsidRPr="00B20AFA" w:rsidRDefault="00FC2DE6" w:rsidP="00715C7E">
            <w:pPr>
              <w:jc w:val="center"/>
              <w:rPr>
                <w:sz w:val="16"/>
                <w:szCs w:val="16"/>
              </w:rPr>
            </w:pPr>
          </w:p>
        </w:tc>
      </w:tr>
      <w:tr w:rsidR="00B20AFA" w:rsidRPr="00B20AFA" w:rsidTr="00715C7E">
        <w:trPr>
          <w:trHeight w:val="330"/>
        </w:trPr>
        <w:tc>
          <w:tcPr>
            <w:tcW w:w="2960" w:type="dxa"/>
            <w:tcBorders>
              <w:top w:val="nil"/>
              <w:left w:val="double" w:sz="6" w:space="0" w:color="auto"/>
              <w:bottom w:val="single" w:sz="12" w:space="0" w:color="auto"/>
              <w:right w:val="single" w:sz="8" w:space="0" w:color="auto"/>
            </w:tcBorders>
            <w:shd w:val="clear" w:color="auto" w:fill="auto"/>
            <w:noWrap/>
            <w:vAlign w:val="bottom"/>
          </w:tcPr>
          <w:p w:rsidR="00A0502C" w:rsidRPr="00B20AFA" w:rsidRDefault="00A0502C" w:rsidP="00A0502C">
            <w:pPr>
              <w:rPr>
                <w:b/>
                <w:bCs/>
              </w:rPr>
            </w:pPr>
            <w:r w:rsidRPr="00B20AFA">
              <w:rPr>
                <w:b/>
                <w:bCs/>
              </w:rPr>
              <w:t>Financial &amp; Project Data</w:t>
            </w:r>
          </w:p>
        </w:tc>
        <w:tc>
          <w:tcPr>
            <w:tcW w:w="1175" w:type="dxa"/>
            <w:tcBorders>
              <w:top w:val="nil"/>
              <w:left w:val="nil"/>
              <w:bottom w:val="single" w:sz="12" w:space="0" w:color="auto"/>
              <w:right w:val="nil"/>
            </w:tcBorders>
            <w:shd w:val="clear" w:color="auto" w:fill="auto"/>
            <w:noWrap/>
            <w:vAlign w:val="bottom"/>
          </w:tcPr>
          <w:p w:rsidR="00A0502C" w:rsidRPr="00B20AFA" w:rsidRDefault="00A0502C" w:rsidP="00A0502C">
            <w:pPr>
              <w:jc w:val="center"/>
            </w:pPr>
            <w:r w:rsidRPr="00B20AFA">
              <w:t>51</w:t>
            </w:r>
          </w:p>
        </w:tc>
        <w:tc>
          <w:tcPr>
            <w:tcW w:w="1362" w:type="dxa"/>
            <w:tcBorders>
              <w:top w:val="nil"/>
              <w:left w:val="double" w:sz="6" w:space="0" w:color="auto"/>
              <w:bottom w:val="single" w:sz="12" w:space="0" w:color="auto"/>
              <w:right w:val="single" w:sz="4" w:space="0" w:color="auto"/>
            </w:tcBorders>
            <w:shd w:val="clear" w:color="auto" w:fill="auto"/>
            <w:noWrap/>
            <w:vAlign w:val="bottom"/>
          </w:tcPr>
          <w:p w:rsidR="00A0502C" w:rsidRPr="00B20AFA" w:rsidRDefault="00A0502C" w:rsidP="00A0502C">
            <w:pPr>
              <w:jc w:val="center"/>
            </w:pPr>
            <w:r w:rsidRPr="00B20AFA">
              <w:t>31.5</w:t>
            </w:r>
          </w:p>
        </w:tc>
        <w:tc>
          <w:tcPr>
            <w:tcW w:w="1873" w:type="dxa"/>
            <w:tcBorders>
              <w:top w:val="nil"/>
              <w:left w:val="nil"/>
              <w:bottom w:val="single" w:sz="12" w:space="0" w:color="auto"/>
              <w:right w:val="single" w:sz="4" w:space="0" w:color="auto"/>
            </w:tcBorders>
            <w:shd w:val="clear" w:color="auto" w:fill="auto"/>
            <w:noWrap/>
            <w:vAlign w:val="bottom"/>
          </w:tcPr>
          <w:p w:rsidR="00A0502C" w:rsidRPr="00B20AFA" w:rsidRDefault="00A0502C" w:rsidP="00A0502C">
            <w:pPr>
              <w:jc w:val="center"/>
            </w:pPr>
            <w:r w:rsidRPr="00B20AFA">
              <w:t>$55.09</w:t>
            </w:r>
          </w:p>
        </w:tc>
        <w:tc>
          <w:tcPr>
            <w:tcW w:w="2561" w:type="dxa"/>
            <w:tcBorders>
              <w:top w:val="nil"/>
              <w:left w:val="nil"/>
              <w:bottom w:val="single" w:sz="12" w:space="0" w:color="auto"/>
              <w:right w:val="double" w:sz="4" w:space="0" w:color="auto"/>
            </w:tcBorders>
            <w:shd w:val="clear" w:color="auto" w:fill="auto"/>
            <w:noWrap/>
            <w:vAlign w:val="bottom"/>
          </w:tcPr>
          <w:p w:rsidR="00A0502C" w:rsidRPr="00B20AFA" w:rsidRDefault="00A0502C" w:rsidP="00A0502C">
            <w:pPr>
              <w:jc w:val="center"/>
            </w:pPr>
            <w:r w:rsidRPr="00B20AFA">
              <w:t>$88,502.09</w:t>
            </w:r>
          </w:p>
        </w:tc>
      </w:tr>
      <w:tr w:rsidR="00A0502C" w:rsidRPr="00B20AFA" w:rsidTr="00715C7E">
        <w:trPr>
          <w:trHeight w:val="345"/>
        </w:trPr>
        <w:tc>
          <w:tcPr>
            <w:tcW w:w="5497" w:type="dxa"/>
            <w:gridSpan w:val="3"/>
            <w:tcBorders>
              <w:top w:val="single" w:sz="12" w:space="0" w:color="auto"/>
              <w:left w:val="double" w:sz="6" w:space="0" w:color="auto"/>
              <w:bottom w:val="double" w:sz="6" w:space="0" w:color="auto"/>
              <w:right w:val="nil"/>
            </w:tcBorders>
            <w:shd w:val="clear" w:color="auto" w:fill="auto"/>
            <w:noWrap/>
            <w:vAlign w:val="bottom"/>
          </w:tcPr>
          <w:p w:rsidR="00A0502C" w:rsidRPr="00B20AFA" w:rsidRDefault="00A0502C" w:rsidP="00A0502C">
            <w:pPr>
              <w:rPr>
                <w:b/>
                <w:bCs/>
              </w:rPr>
            </w:pPr>
            <w:r w:rsidRPr="00B20AFA">
              <w:rPr>
                <w:b/>
                <w:bCs/>
              </w:rPr>
              <w:t>Program Total Fiscal Year 2018 State Cost</w:t>
            </w:r>
          </w:p>
        </w:tc>
        <w:tc>
          <w:tcPr>
            <w:tcW w:w="1873" w:type="dxa"/>
            <w:tcBorders>
              <w:top w:val="nil"/>
              <w:left w:val="nil"/>
              <w:bottom w:val="double" w:sz="6" w:space="0" w:color="auto"/>
              <w:right w:val="nil"/>
            </w:tcBorders>
            <w:shd w:val="clear" w:color="auto" w:fill="auto"/>
            <w:noWrap/>
            <w:vAlign w:val="bottom"/>
          </w:tcPr>
          <w:p w:rsidR="00A0502C" w:rsidRPr="00B20AFA" w:rsidRDefault="00A0502C" w:rsidP="00A0502C">
            <w:r w:rsidRPr="00B20AFA">
              <w:t> </w:t>
            </w:r>
          </w:p>
        </w:tc>
        <w:tc>
          <w:tcPr>
            <w:tcW w:w="2561" w:type="dxa"/>
            <w:tcBorders>
              <w:top w:val="nil"/>
              <w:left w:val="nil"/>
              <w:bottom w:val="double" w:sz="6" w:space="0" w:color="auto"/>
              <w:right w:val="double" w:sz="4" w:space="0" w:color="auto"/>
            </w:tcBorders>
            <w:shd w:val="clear" w:color="auto" w:fill="auto"/>
            <w:noWrap/>
            <w:vAlign w:val="bottom"/>
          </w:tcPr>
          <w:p w:rsidR="00A0502C" w:rsidRPr="00B20AFA" w:rsidRDefault="00A0502C" w:rsidP="00A0502C">
            <w:pPr>
              <w:jc w:val="center"/>
              <w:rPr>
                <w:b/>
                <w:bCs/>
              </w:rPr>
            </w:pPr>
            <w:r w:rsidRPr="00B20AFA">
              <w:rPr>
                <w:b/>
                <w:bCs/>
              </w:rPr>
              <w:t>$4,865,355.99</w:t>
            </w:r>
          </w:p>
        </w:tc>
      </w:tr>
    </w:tbl>
    <w:p w:rsidR="00FC2DE6" w:rsidRPr="00B20AFA" w:rsidRDefault="00FC2DE6" w:rsidP="00FC2DE6">
      <w:pPr>
        <w:tabs>
          <w:tab w:val="left" w:pos="1995"/>
        </w:tabs>
        <w:autoSpaceDE w:val="0"/>
        <w:autoSpaceDN w:val="0"/>
        <w:adjustRightInd w:val="0"/>
        <w:ind w:left="720"/>
      </w:pPr>
    </w:p>
    <w:p w:rsidR="00B27361" w:rsidRPr="00B20AFA" w:rsidRDefault="00FC2DE6" w:rsidP="00B90AEA">
      <w:pPr>
        <w:autoSpaceDE w:val="0"/>
        <w:autoSpaceDN w:val="0"/>
        <w:adjustRightInd w:val="0"/>
        <w:ind w:left="720"/>
        <w:jc w:val="center"/>
        <w:rPr>
          <w:u w:val="single"/>
        </w:rPr>
      </w:pPr>
      <w:r w:rsidRPr="00B20AFA" w:rsidDel="00FC2DE6">
        <w:rPr>
          <w:b/>
        </w:rPr>
        <w:t xml:space="preserve"> </w:t>
      </w:r>
      <w:r w:rsidR="00B27361" w:rsidRPr="00B20AFA">
        <w:rPr>
          <w:u w:val="single"/>
        </w:rPr>
        <w:t>SUMMARY OF STATE COSTS</w:t>
      </w:r>
    </w:p>
    <w:tbl>
      <w:tblPr>
        <w:tblStyle w:val="TableGrid"/>
        <w:tblW w:w="0" w:type="auto"/>
        <w:tblInd w:w="828"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1E0" w:firstRow="1" w:lastRow="1" w:firstColumn="1" w:lastColumn="1" w:noHBand="0" w:noVBand="0"/>
      </w:tblPr>
      <w:tblGrid>
        <w:gridCol w:w="5220"/>
        <w:gridCol w:w="2340"/>
      </w:tblGrid>
      <w:tr w:rsidR="00B20AFA" w:rsidRPr="00B20AFA" w:rsidTr="008D20CC">
        <w:tc>
          <w:tcPr>
            <w:tcW w:w="5220" w:type="dxa"/>
          </w:tcPr>
          <w:p w:rsidR="00E55ECD" w:rsidRPr="00B20AFA" w:rsidRDefault="00E55ECD" w:rsidP="00B90AEA">
            <w:pPr>
              <w:autoSpaceDE w:val="0"/>
              <w:autoSpaceDN w:val="0"/>
              <w:adjustRightInd w:val="0"/>
              <w:rPr>
                <w:b/>
              </w:rPr>
            </w:pPr>
            <w:smartTag w:uri="urn:schemas-microsoft-com:office:smarttags" w:element="place">
              <w:smartTag w:uri="urn:schemas-microsoft-com:office:smarttags" w:element="PlaceName">
                <w:r w:rsidRPr="00B20AFA">
                  <w:rPr>
                    <w:b/>
                  </w:rPr>
                  <w:t>Total</w:t>
                </w:r>
              </w:smartTag>
              <w:r w:rsidRPr="00B20AFA">
                <w:rPr>
                  <w:b/>
                </w:rPr>
                <w:t xml:space="preserve"> </w:t>
              </w:r>
              <w:smartTag w:uri="urn:schemas-microsoft-com:office:smarttags" w:element="PlaceType">
                <w:r w:rsidRPr="00B20AFA">
                  <w:rPr>
                    <w:b/>
                  </w:rPr>
                  <w:t>State</w:t>
                </w:r>
              </w:smartTag>
            </w:smartTag>
            <w:r w:rsidRPr="00B20AFA">
              <w:rPr>
                <w:b/>
              </w:rPr>
              <w:t xml:space="preserve"> Costs (FY </w:t>
            </w:r>
            <w:r w:rsidR="00F32875" w:rsidRPr="00B20AFA">
              <w:rPr>
                <w:b/>
              </w:rPr>
              <w:t>2016</w:t>
            </w:r>
            <w:r w:rsidRPr="00B20AFA">
              <w:rPr>
                <w:b/>
              </w:rPr>
              <w:t xml:space="preserve"> - FY </w:t>
            </w:r>
            <w:r w:rsidR="00F32875" w:rsidRPr="00B20AFA">
              <w:rPr>
                <w:b/>
              </w:rPr>
              <w:t>2018</w:t>
            </w:r>
            <w:r w:rsidRPr="00B20AFA">
              <w:rPr>
                <w:b/>
              </w:rPr>
              <w:t>):</w:t>
            </w:r>
          </w:p>
        </w:tc>
        <w:tc>
          <w:tcPr>
            <w:tcW w:w="2340" w:type="dxa"/>
          </w:tcPr>
          <w:p w:rsidR="00E55ECD" w:rsidRPr="00B20AFA" w:rsidRDefault="00A0502C" w:rsidP="008D20CC">
            <w:pPr>
              <w:autoSpaceDE w:val="0"/>
              <w:autoSpaceDN w:val="0"/>
              <w:adjustRightInd w:val="0"/>
              <w:jc w:val="right"/>
            </w:pPr>
            <w:r w:rsidRPr="00B20AFA">
              <w:t>$14,580,918.22</w:t>
            </w:r>
          </w:p>
        </w:tc>
      </w:tr>
      <w:tr w:rsidR="00E55ECD" w:rsidRPr="00B20AFA" w:rsidTr="008D20CC">
        <w:tc>
          <w:tcPr>
            <w:tcW w:w="5220" w:type="dxa"/>
            <w:tcBorders>
              <w:top w:val="single" w:sz="6" w:space="0" w:color="auto"/>
              <w:bottom w:val="double" w:sz="6" w:space="0" w:color="auto"/>
            </w:tcBorders>
          </w:tcPr>
          <w:p w:rsidR="00E55ECD" w:rsidRPr="00B20AFA" w:rsidRDefault="00E55ECD" w:rsidP="00B90AEA">
            <w:pPr>
              <w:autoSpaceDE w:val="0"/>
              <w:autoSpaceDN w:val="0"/>
              <w:adjustRightInd w:val="0"/>
              <w:rPr>
                <w:b/>
              </w:rPr>
            </w:pPr>
            <w:r w:rsidRPr="00B20AFA">
              <w:rPr>
                <w:b/>
              </w:rPr>
              <w:t xml:space="preserve">Average </w:t>
            </w:r>
            <w:smartTag w:uri="urn:schemas-microsoft-com:office:smarttags" w:element="PlaceName">
              <w:r w:rsidRPr="00B20AFA">
                <w:rPr>
                  <w:b/>
                </w:rPr>
                <w:t>Annual</w:t>
              </w:r>
            </w:smartTag>
            <w:r w:rsidRPr="00B20AFA">
              <w:rPr>
                <w:b/>
              </w:rPr>
              <w:t xml:space="preserve"> </w:t>
            </w:r>
            <w:smartTag w:uri="urn:schemas-microsoft-com:office:smarttags" w:element="PlaceType">
              <w:r w:rsidRPr="00B20AFA">
                <w:rPr>
                  <w:b/>
                </w:rPr>
                <w:t>State</w:t>
              </w:r>
            </w:smartTag>
            <w:r w:rsidRPr="00B20AFA">
              <w:rPr>
                <w:b/>
              </w:rPr>
              <w:t xml:space="preserve"> cost over 3-Year Period:</w:t>
            </w:r>
          </w:p>
        </w:tc>
        <w:tc>
          <w:tcPr>
            <w:tcW w:w="2340" w:type="dxa"/>
            <w:tcBorders>
              <w:top w:val="single" w:sz="6" w:space="0" w:color="auto"/>
              <w:bottom w:val="double" w:sz="6" w:space="0" w:color="auto"/>
            </w:tcBorders>
          </w:tcPr>
          <w:p w:rsidR="00E55ECD" w:rsidRPr="00B20AFA" w:rsidRDefault="00A0502C" w:rsidP="008D20CC">
            <w:pPr>
              <w:autoSpaceDE w:val="0"/>
              <w:autoSpaceDN w:val="0"/>
              <w:adjustRightInd w:val="0"/>
              <w:jc w:val="right"/>
            </w:pPr>
            <w:r w:rsidRPr="00B20AFA">
              <w:t>$4,860,306.07</w:t>
            </w:r>
          </w:p>
        </w:tc>
      </w:tr>
    </w:tbl>
    <w:p w:rsidR="00B27361" w:rsidRPr="00B20AFA" w:rsidRDefault="00B27361" w:rsidP="00B90AEA">
      <w:pPr>
        <w:autoSpaceDE w:val="0"/>
        <w:autoSpaceDN w:val="0"/>
        <w:adjustRightInd w:val="0"/>
        <w:ind w:left="720"/>
      </w:pPr>
    </w:p>
    <w:p w:rsidR="00B27361" w:rsidRPr="00B20AFA" w:rsidRDefault="00B27361" w:rsidP="00AE46B0">
      <w:pPr>
        <w:autoSpaceDE w:val="0"/>
        <w:autoSpaceDN w:val="0"/>
        <w:adjustRightInd w:val="0"/>
      </w:pPr>
    </w:p>
    <w:p w:rsidR="00B27361" w:rsidRPr="00B20AFA" w:rsidRDefault="00B27361" w:rsidP="00B90AEA">
      <w:pPr>
        <w:autoSpaceDE w:val="0"/>
        <w:autoSpaceDN w:val="0"/>
        <w:adjustRightInd w:val="0"/>
        <w:ind w:left="720" w:hanging="360"/>
      </w:pPr>
      <w:r w:rsidRPr="00B20AFA">
        <w:t xml:space="preserve">b. </w:t>
      </w:r>
      <w:r w:rsidR="00B90AEA" w:rsidRPr="00B20AFA">
        <w:tab/>
      </w:r>
      <w:r w:rsidR="00AE46B0" w:rsidRPr="00B20AFA">
        <w:rPr>
          <w:u w:val="single"/>
        </w:rPr>
        <w:t>Costs t</w:t>
      </w:r>
      <w:r w:rsidRPr="00B20AFA">
        <w:rPr>
          <w:u w:val="single"/>
        </w:rPr>
        <w:t>o Local Respondents</w:t>
      </w:r>
    </w:p>
    <w:p w:rsidR="00CB2425" w:rsidRPr="00B20AFA" w:rsidRDefault="00B27361" w:rsidP="00CB2425">
      <w:pPr>
        <w:autoSpaceDE w:val="0"/>
        <w:autoSpaceDN w:val="0"/>
        <w:adjustRightInd w:val="0"/>
        <w:ind w:left="720"/>
      </w:pPr>
      <w:r w:rsidRPr="00B20AFA">
        <w:lastRenderedPageBreak/>
        <w:t xml:space="preserve">Table </w:t>
      </w:r>
      <w:r w:rsidR="00B136E9" w:rsidRPr="00B20AFA">
        <w:t>10</w:t>
      </w:r>
      <w:r w:rsidRPr="00B20AFA">
        <w:t xml:space="preserve"> illustrates the burden costs of application preparation for local respondents. The hourly rate of $</w:t>
      </w:r>
      <w:r w:rsidR="00D00022" w:rsidRPr="00B20AFA">
        <w:t>37.02</w:t>
      </w:r>
      <w:r w:rsidRPr="00B20AFA">
        <w:t xml:space="preserve"> for water system operators and professional personnel is </w:t>
      </w:r>
      <w:r w:rsidR="00A61337" w:rsidRPr="00B20AFA">
        <w:t>based on wage rate information</w:t>
      </w:r>
      <w:r w:rsidR="00CB2425" w:rsidRPr="00B20AFA">
        <w:t>, inflated to year 2015 dollars using the Employment Cost Index.</w:t>
      </w:r>
    </w:p>
    <w:p w:rsidR="00CB2425" w:rsidRPr="00B20AFA" w:rsidRDefault="00CB2425" w:rsidP="00B90AEA">
      <w:pPr>
        <w:autoSpaceDE w:val="0"/>
        <w:autoSpaceDN w:val="0"/>
        <w:adjustRightInd w:val="0"/>
        <w:ind w:left="720"/>
      </w:pPr>
    </w:p>
    <w:p w:rsidR="00B27361" w:rsidRPr="00B20AFA" w:rsidRDefault="00B27361" w:rsidP="00B90AEA">
      <w:pPr>
        <w:autoSpaceDE w:val="0"/>
        <w:autoSpaceDN w:val="0"/>
        <w:adjustRightInd w:val="0"/>
        <w:ind w:left="720"/>
      </w:pPr>
      <w:r w:rsidRPr="00B20AFA">
        <w:t xml:space="preserve">Only local respondents that </w:t>
      </w:r>
      <w:r w:rsidR="00B136E9" w:rsidRPr="00B20AFA">
        <w:t>receive DWSRF assistance in the amount equivalent to the state’s capitalization grant must meet this provision</w:t>
      </w:r>
      <w:r w:rsidR="00647EA2" w:rsidRPr="00B20AFA">
        <w:t xml:space="preserve"> and states are encouraged to select projects most able to efficiently and effectively comply in a way that meets the intention to enhance public awareness without significant financial hardship to the state or its borrowers.</w:t>
      </w:r>
      <w:r w:rsidRPr="00B20AFA">
        <w:t xml:space="preserve"> Therefore, this information collection will pertain only to a limited number of local respondents. The Agency estimates that</w:t>
      </w:r>
      <w:r w:rsidR="00EB448A" w:rsidRPr="00B20AFA">
        <w:t>,</w:t>
      </w:r>
      <w:r w:rsidRPr="00B20AFA">
        <w:t xml:space="preserve"> on average, </w:t>
      </w:r>
      <w:r w:rsidR="00635EFC" w:rsidRPr="00B20AFA">
        <w:t xml:space="preserve">328 </w:t>
      </w:r>
      <w:r w:rsidRPr="00B20AFA">
        <w:t xml:space="preserve">local respondents will spend approximately </w:t>
      </w:r>
      <w:r w:rsidR="00635EFC" w:rsidRPr="00B20AFA">
        <w:t>2</w:t>
      </w:r>
      <w:r w:rsidR="00B136E9" w:rsidRPr="00B20AFA">
        <w:t xml:space="preserve"> </w:t>
      </w:r>
      <w:r w:rsidRPr="00B20AFA">
        <w:t xml:space="preserve">hours </w:t>
      </w:r>
      <w:r w:rsidR="00B136E9" w:rsidRPr="00B20AFA">
        <w:t>meeting this provision</w:t>
      </w:r>
      <w:r w:rsidR="00635EFC" w:rsidRPr="00B20AFA">
        <w:t xml:space="preserve"> each year</w:t>
      </w:r>
      <w:r w:rsidR="00B136E9" w:rsidRPr="00B20AFA">
        <w:t>.</w:t>
      </w:r>
      <w:r w:rsidR="002F63DA" w:rsidRPr="00B20AFA">
        <w:t xml:space="preserve"> </w:t>
      </w:r>
    </w:p>
    <w:p w:rsidR="00B136E9" w:rsidRPr="00B20AFA" w:rsidRDefault="00B136E9" w:rsidP="00B90AEA">
      <w:pPr>
        <w:autoSpaceDE w:val="0"/>
        <w:autoSpaceDN w:val="0"/>
        <w:adjustRightInd w:val="0"/>
        <w:ind w:left="720"/>
      </w:pPr>
    </w:p>
    <w:p w:rsidR="00A61337" w:rsidRPr="00B20AFA" w:rsidRDefault="00B20B84" w:rsidP="00A61337">
      <w:pPr>
        <w:autoSpaceDE w:val="0"/>
        <w:autoSpaceDN w:val="0"/>
        <w:adjustRightInd w:val="0"/>
        <w:ind w:left="720"/>
        <w:rPr>
          <w:b/>
        </w:rPr>
      </w:pPr>
      <w:r w:rsidRPr="00B20AFA">
        <w:rPr>
          <w:b/>
        </w:rPr>
        <w:t xml:space="preserve">Table </w:t>
      </w:r>
      <w:r w:rsidR="00B136E9" w:rsidRPr="00B20AFA">
        <w:rPr>
          <w:b/>
        </w:rPr>
        <w:t>10</w:t>
      </w:r>
      <w:r w:rsidRPr="00B20AFA">
        <w:rPr>
          <w:b/>
        </w:rPr>
        <w:t xml:space="preserve">: Local Respondents Burden Costs (FY </w:t>
      </w:r>
      <w:r w:rsidR="00F32875" w:rsidRPr="00B20AFA">
        <w:rPr>
          <w:b/>
        </w:rPr>
        <w:t>2016</w:t>
      </w:r>
      <w:r w:rsidR="00BE6A89" w:rsidRPr="00B20AFA">
        <w:rPr>
          <w:b/>
        </w:rPr>
        <w:t xml:space="preserve"> - FY </w:t>
      </w:r>
      <w:r w:rsidR="00F32875" w:rsidRPr="00B20AFA">
        <w:rPr>
          <w:b/>
        </w:rPr>
        <w:t>2018</w:t>
      </w:r>
      <w:r w:rsidRPr="00B20AFA">
        <w:rPr>
          <w:b/>
        </w:rPr>
        <w:t>)</w:t>
      </w:r>
    </w:p>
    <w:tbl>
      <w:tblPr>
        <w:tblW w:w="8892" w:type="dxa"/>
        <w:tblInd w:w="85" w:type="dxa"/>
        <w:tblLayout w:type="fixed"/>
        <w:tblLook w:val="0000" w:firstRow="0" w:lastRow="0" w:firstColumn="0" w:lastColumn="0" w:noHBand="0" w:noVBand="0"/>
      </w:tblPr>
      <w:tblGrid>
        <w:gridCol w:w="743"/>
        <w:gridCol w:w="3019"/>
        <w:gridCol w:w="990"/>
        <w:gridCol w:w="2070"/>
        <w:gridCol w:w="2070"/>
      </w:tblGrid>
      <w:tr w:rsidR="00B20AFA" w:rsidRPr="00B20AFA" w:rsidTr="000D4CFE">
        <w:trPr>
          <w:trHeight w:val="345"/>
        </w:trPr>
        <w:tc>
          <w:tcPr>
            <w:tcW w:w="8892" w:type="dxa"/>
            <w:gridSpan w:val="5"/>
            <w:tcBorders>
              <w:top w:val="double" w:sz="6" w:space="0" w:color="auto"/>
              <w:left w:val="double" w:sz="6" w:space="0" w:color="auto"/>
              <w:bottom w:val="nil"/>
              <w:right w:val="double" w:sz="6" w:space="0" w:color="000000"/>
            </w:tcBorders>
            <w:shd w:val="clear" w:color="auto" w:fill="auto"/>
            <w:noWrap/>
            <w:vAlign w:val="bottom"/>
          </w:tcPr>
          <w:p w:rsidR="00A61337" w:rsidRPr="00B20AFA" w:rsidRDefault="00A61337" w:rsidP="000D4CFE">
            <w:pPr>
              <w:jc w:val="center"/>
              <w:rPr>
                <w:b/>
                <w:bCs/>
              </w:rPr>
            </w:pPr>
            <w:r w:rsidRPr="00B20AFA">
              <w:rPr>
                <w:b/>
                <w:bCs/>
              </w:rPr>
              <w:t xml:space="preserve">ICR </w:t>
            </w:r>
            <w:r w:rsidR="00B136E9" w:rsidRPr="00B20AFA">
              <w:rPr>
                <w:b/>
                <w:bCs/>
              </w:rPr>
              <w:t>–</w:t>
            </w:r>
            <w:r w:rsidRPr="00B20AFA">
              <w:rPr>
                <w:b/>
                <w:bCs/>
              </w:rPr>
              <w:t xml:space="preserve"> </w:t>
            </w:r>
            <w:r w:rsidR="00B136E9" w:rsidRPr="00B20AFA">
              <w:rPr>
                <w:b/>
                <w:bCs/>
              </w:rPr>
              <w:t>Public Awareness</w:t>
            </w:r>
          </w:p>
        </w:tc>
      </w:tr>
      <w:tr w:rsidR="00B20AFA" w:rsidRPr="00B20AFA" w:rsidTr="000D4CFE">
        <w:trPr>
          <w:trHeight w:val="393"/>
        </w:trPr>
        <w:tc>
          <w:tcPr>
            <w:tcW w:w="743" w:type="dxa"/>
            <w:vMerge w:val="restart"/>
            <w:tcBorders>
              <w:top w:val="single" w:sz="12" w:space="0" w:color="auto"/>
              <w:left w:val="double" w:sz="6" w:space="0" w:color="auto"/>
              <w:bottom w:val="single" w:sz="12" w:space="0" w:color="000000"/>
              <w:right w:val="single" w:sz="4" w:space="0" w:color="auto"/>
            </w:tcBorders>
            <w:shd w:val="clear" w:color="auto" w:fill="auto"/>
            <w:noWrap/>
            <w:vAlign w:val="center"/>
          </w:tcPr>
          <w:p w:rsidR="00B136E9" w:rsidRPr="00B20AFA" w:rsidRDefault="00B136E9" w:rsidP="0035701F">
            <w:pPr>
              <w:jc w:val="center"/>
              <w:rPr>
                <w:b/>
                <w:bCs/>
              </w:rPr>
            </w:pPr>
            <w:r w:rsidRPr="00B20AFA">
              <w:rPr>
                <w:b/>
                <w:bCs/>
              </w:rPr>
              <w:t>Year</w:t>
            </w:r>
          </w:p>
        </w:tc>
        <w:tc>
          <w:tcPr>
            <w:tcW w:w="3019" w:type="dxa"/>
            <w:tcBorders>
              <w:top w:val="single" w:sz="12" w:space="0" w:color="auto"/>
              <w:left w:val="nil"/>
              <w:bottom w:val="single" w:sz="4" w:space="0" w:color="auto"/>
              <w:right w:val="single" w:sz="4" w:space="0" w:color="auto"/>
            </w:tcBorders>
            <w:shd w:val="clear" w:color="auto" w:fill="auto"/>
            <w:vAlign w:val="center"/>
          </w:tcPr>
          <w:p w:rsidR="00B136E9" w:rsidRPr="00B20AFA" w:rsidRDefault="00B136E9" w:rsidP="0035701F">
            <w:pPr>
              <w:jc w:val="center"/>
              <w:rPr>
                <w:b/>
                <w:bCs/>
              </w:rPr>
            </w:pPr>
            <w:r w:rsidRPr="00B20AFA">
              <w:rPr>
                <w:b/>
                <w:bCs/>
              </w:rPr>
              <w:t># of Local Respondents</w:t>
            </w:r>
          </w:p>
        </w:tc>
        <w:tc>
          <w:tcPr>
            <w:tcW w:w="990" w:type="dxa"/>
            <w:tcBorders>
              <w:top w:val="single" w:sz="12" w:space="0" w:color="auto"/>
              <w:left w:val="nil"/>
              <w:bottom w:val="single" w:sz="4" w:space="0" w:color="auto"/>
              <w:right w:val="single" w:sz="4" w:space="0" w:color="auto"/>
            </w:tcBorders>
            <w:shd w:val="clear" w:color="auto" w:fill="auto"/>
            <w:vAlign w:val="center"/>
          </w:tcPr>
          <w:p w:rsidR="00B136E9" w:rsidRPr="00B20AFA" w:rsidRDefault="00B136E9" w:rsidP="0035701F">
            <w:pPr>
              <w:jc w:val="center"/>
              <w:rPr>
                <w:b/>
                <w:bCs/>
              </w:rPr>
            </w:pPr>
            <w:r w:rsidRPr="00B20AFA">
              <w:rPr>
                <w:b/>
                <w:bCs/>
              </w:rPr>
              <w:t>Hours</w:t>
            </w:r>
          </w:p>
        </w:tc>
        <w:tc>
          <w:tcPr>
            <w:tcW w:w="2070" w:type="dxa"/>
            <w:tcBorders>
              <w:top w:val="single" w:sz="12" w:space="0" w:color="auto"/>
              <w:left w:val="nil"/>
              <w:bottom w:val="single" w:sz="4" w:space="0" w:color="auto"/>
              <w:right w:val="single" w:sz="4" w:space="0" w:color="auto"/>
            </w:tcBorders>
            <w:shd w:val="clear" w:color="auto" w:fill="auto"/>
          </w:tcPr>
          <w:p w:rsidR="00B136E9" w:rsidRPr="00B20AFA" w:rsidRDefault="00B136E9" w:rsidP="000D4CFE">
            <w:pPr>
              <w:jc w:val="center"/>
              <w:rPr>
                <w:b/>
                <w:bCs/>
              </w:rPr>
            </w:pPr>
            <w:r w:rsidRPr="00B20AFA">
              <w:rPr>
                <w:b/>
                <w:bCs/>
              </w:rPr>
              <w:t xml:space="preserve">Cost Per Hour      </w:t>
            </w:r>
          </w:p>
        </w:tc>
        <w:tc>
          <w:tcPr>
            <w:tcW w:w="2070" w:type="dxa"/>
            <w:tcBorders>
              <w:top w:val="single" w:sz="12" w:space="0" w:color="auto"/>
              <w:left w:val="nil"/>
              <w:bottom w:val="single" w:sz="4" w:space="0" w:color="auto"/>
              <w:right w:val="double" w:sz="4" w:space="0" w:color="auto"/>
            </w:tcBorders>
            <w:shd w:val="clear" w:color="auto" w:fill="auto"/>
            <w:vAlign w:val="center"/>
          </w:tcPr>
          <w:p w:rsidR="00B136E9" w:rsidRPr="00B20AFA" w:rsidRDefault="00B136E9" w:rsidP="0035701F">
            <w:pPr>
              <w:jc w:val="center"/>
              <w:rPr>
                <w:b/>
                <w:bCs/>
              </w:rPr>
            </w:pPr>
            <w:r w:rsidRPr="00B20AFA">
              <w:rPr>
                <w:b/>
                <w:bCs/>
              </w:rPr>
              <w:t>Cost</w:t>
            </w:r>
          </w:p>
        </w:tc>
      </w:tr>
      <w:tr w:rsidR="00B20AFA" w:rsidRPr="00B20AFA" w:rsidTr="000D4CFE">
        <w:trPr>
          <w:trHeight w:val="330"/>
        </w:trPr>
        <w:tc>
          <w:tcPr>
            <w:tcW w:w="743" w:type="dxa"/>
            <w:vMerge/>
            <w:tcBorders>
              <w:top w:val="single" w:sz="12" w:space="0" w:color="auto"/>
              <w:left w:val="double" w:sz="6" w:space="0" w:color="auto"/>
              <w:bottom w:val="single" w:sz="12" w:space="0" w:color="000000"/>
              <w:right w:val="single" w:sz="4" w:space="0" w:color="auto"/>
            </w:tcBorders>
            <w:shd w:val="clear" w:color="auto" w:fill="auto"/>
            <w:vAlign w:val="center"/>
          </w:tcPr>
          <w:p w:rsidR="00B136E9" w:rsidRPr="00B20AFA" w:rsidRDefault="00B136E9" w:rsidP="0035701F">
            <w:pPr>
              <w:rPr>
                <w:b/>
                <w:bCs/>
              </w:rPr>
            </w:pPr>
          </w:p>
        </w:tc>
        <w:tc>
          <w:tcPr>
            <w:tcW w:w="3019" w:type="dxa"/>
            <w:tcBorders>
              <w:top w:val="nil"/>
              <w:left w:val="single" w:sz="8" w:space="0" w:color="auto"/>
              <w:bottom w:val="single" w:sz="8" w:space="0" w:color="auto"/>
              <w:right w:val="nil"/>
            </w:tcBorders>
            <w:shd w:val="clear" w:color="auto" w:fill="auto"/>
          </w:tcPr>
          <w:p w:rsidR="00B136E9" w:rsidRPr="00B20AFA" w:rsidRDefault="00B136E9" w:rsidP="0035701F">
            <w:pPr>
              <w:jc w:val="center"/>
              <w:rPr>
                <w:b/>
                <w:bCs/>
              </w:rPr>
            </w:pPr>
            <w:r w:rsidRPr="00B20AFA">
              <w:rPr>
                <w:b/>
                <w:bCs/>
              </w:rPr>
              <w:t>(A)</w:t>
            </w:r>
          </w:p>
        </w:tc>
        <w:tc>
          <w:tcPr>
            <w:tcW w:w="990" w:type="dxa"/>
            <w:tcBorders>
              <w:top w:val="nil"/>
              <w:left w:val="double" w:sz="6" w:space="0" w:color="auto"/>
              <w:bottom w:val="single" w:sz="8" w:space="0" w:color="auto"/>
              <w:right w:val="nil"/>
            </w:tcBorders>
            <w:shd w:val="clear" w:color="auto" w:fill="auto"/>
          </w:tcPr>
          <w:p w:rsidR="00B136E9" w:rsidRPr="00B20AFA" w:rsidRDefault="00B136E9" w:rsidP="0035701F">
            <w:pPr>
              <w:jc w:val="center"/>
              <w:rPr>
                <w:b/>
                <w:bCs/>
              </w:rPr>
            </w:pPr>
            <w:r w:rsidRPr="00B20AFA">
              <w:rPr>
                <w:b/>
                <w:bCs/>
              </w:rPr>
              <w:t>(B)</w:t>
            </w:r>
          </w:p>
        </w:tc>
        <w:tc>
          <w:tcPr>
            <w:tcW w:w="2070" w:type="dxa"/>
            <w:tcBorders>
              <w:top w:val="nil"/>
              <w:left w:val="single" w:sz="4" w:space="0" w:color="auto"/>
              <w:bottom w:val="single" w:sz="8" w:space="0" w:color="auto"/>
              <w:right w:val="nil"/>
            </w:tcBorders>
            <w:shd w:val="clear" w:color="auto" w:fill="auto"/>
          </w:tcPr>
          <w:p w:rsidR="00B136E9" w:rsidRPr="00B20AFA" w:rsidRDefault="00B136E9" w:rsidP="0035701F">
            <w:pPr>
              <w:jc w:val="center"/>
              <w:rPr>
                <w:b/>
                <w:bCs/>
              </w:rPr>
            </w:pPr>
            <w:r w:rsidRPr="00B20AFA">
              <w:rPr>
                <w:b/>
                <w:bCs/>
              </w:rPr>
              <w:t>(C )</w:t>
            </w:r>
          </w:p>
        </w:tc>
        <w:tc>
          <w:tcPr>
            <w:tcW w:w="2070" w:type="dxa"/>
            <w:tcBorders>
              <w:top w:val="nil"/>
              <w:left w:val="single" w:sz="4" w:space="0" w:color="auto"/>
              <w:bottom w:val="single" w:sz="8" w:space="0" w:color="auto"/>
              <w:right w:val="double" w:sz="4" w:space="0" w:color="auto"/>
            </w:tcBorders>
            <w:shd w:val="clear" w:color="auto" w:fill="auto"/>
          </w:tcPr>
          <w:p w:rsidR="00B136E9" w:rsidRPr="00B20AFA" w:rsidRDefault="00B136E9" w:rsidP="0035701F">
            <w:pPr>
              <w:jc w:val="center"/>
              <w:rPr>
                <w:b/>
                <w:bCs/>
              </w:rPr>
            </w:pPr>
            <w:r w:rsidRPr="00B20AFA">
              <w:rPr>
                <w:b/>
                <w:bCs/>
              </w:rPr>
              <w:t>(A x B x C)</w:t>
            </w:r>
          </w:p>
        </w:tc>
      </w:tr>
      <w:tr w:rsidR="00B20AFA" w:rsidRPr="00B20AFA" w:rsidTr="000D4CFE">
        <w:trPr>
          <w:trHeight w:val="330"/>
        </w:trPr>
        <w:tc>
          <w:tcPr>
            <w:tcW w:w="743" w:type="dxa"/>
            <w:tcBorders>
              <w:top w:val="nil"/>
              <w:left w:val="double" w:sz="6" w:space="0" w:color="auto"/>
              <w:bottom w:val="single" w:sz="4" w:space="0" w:color="auto"/>
              <w:right w:val="single" w:sz="4" w:space="0" w:color="auto"/>
            </w:tcBorders>
            <w:shd w:val="clear" w:color="auto" w:fill="auto"/>
            <w:noWrap/>
            <w:vAlign w:val="bottom"/>
          </w:tcPr>
          <w:p w:rsidR="00B136E9" w:rsidRPr="00B20AFA" w:rsidRDefault="00B136E9" w:rsidP="0035701F">
            <w:pPr>
              <w:jc w:val="center"/>
              <w:rPr>
                <w:b/>
                <w:bCs/>
              </w:rPr>
            </w:pPr>
            <w:r w:rsidRPr="00B20AFA">
              <w:rPr>
                <w:b/>
                <w:bCs/>
              </w:rPr>
              <w:t>2016</w:t>
            </w:r>
          </w:p>
        </w:tc>
        <w:tc>
          <w:tcPr>
            <w:tcW w:w="3019" w:type="dxa"/>
            <w:tcBorders>
              <w:top w:val="single" w:sz="12" w:space="0" w:color="auto"/>
              <w:left w:val="nil"/>
              <w:bottom w:val="single" w:sz="4" w:space="0" w:color="auto"/>
              <w:right w:val="single" w:sz="4" w:space="0" w:color="auto"/>
            </w:tcBorders>
            <w:shd w:val="clear" w:color="auto" w:fill="auto"/>
            <w:noWrap/>
            <w:vAlign w:val="bottom"/>
          </w:tcPr>
          <w:p w:rsidR="00B136E9" w:rsidRPr="00B20AFA" w:rsidRDefault="00B136E9" w:rsidP="0035701F">
            <w:pPr>
              <w:jc w:val="center"/>
            </w:pPr>
            <w:r w:rsidRPr="00B20AFA">
              <w:t>328</w:t>
            </w:r>
          </w:p>
        </w:tc>
        <w:tc>
          <w:tcPr>
            <w:tcW w:w="990" w:type="dxa"/>
            <w:tcBorders>
              <w:top w:val="single" w:sz="12" w:space="0" w:color="auto"/>
              <w:left w:val="nil"/>
              <w:bottom w:val="single" w:sz="4" w:space="0" w:color="auto"/>
              <w:right w:val="single" w:sz="4" w:space="0" w:color="auto"/>
            </w:tcBorders>
            <w:shd w:val="clear" w:color="auto" w:fill="auto"/>
            <w:noWrap/>
            <w:vAlign w:val="bottom"/>
          </w:tcPr>
          <w:p w:rsidR="00B136E9" w:rsidRPr="00B20AFA" w:rsidRDefault="00635EFC" w:rsidP="0035701F">
            <w:pPr>
              <w:jc w:val="center"/>
            </w:pPr>
            <w:r w:rsidRPr="00B20AFA">
              <w:t>2</w:t>
            </w:r>
          </w:p>
        </w:tc>
        <w:tc>
          <w:tcPr>
            <w:tcW w:w="2070" w:type="dxa"/>
            <w:tcBorders>
              <w:top w:val="single" w:sz="12" w:space="0" w:color="auto"/>
              <w:left w:val="nil"/>
              <w:bottom w:val="single" w:sz="4" w:space="0" w:color="auto"/>
              <w:right w:val="single" w:sz="4" w:space="0" w:color="auto"/>
            </w:tcBorders>
            <w:shd w:val="clear" w:color="auto" w:fill="auto"/>
            <w:noWrap/>
            <w:vAlign w:val="bottom"/>
          </w:tcPr>
          <w:p w:rsidR="00B136E9" w:rsidRPr="00B20AFA" w:rsidRDefault="00635EFC" w:rsidP="0035701F">
            <w:pPr>
              <w:jc w:val="center"/>
            </w:pPr>
            <w:r w:rsidRPr="00B20AFA">
              <w:t>$37.02</w:t>
            </w:r>
          </w:p>
        </w:tc>
        <w:tc>
          <w:tcPr>
            <w:tcW w:w="2070" w:type="dxa"/>
            <w:tcBorders>
              <w:top w:val="single" w:sz="12" w:space="0" w:color="auto"/>
              <w:left w:val="nil"/>
              <w:bottom w:val="single" w:sz="4" w:space="0" w:color="auto"/>
              <w:right w:val="double" w:sz="4" w:space="0" w:color="auto"/>
            </w:tcBorders>
            <w:shd w:val="clear" w:color="auto" w:fill="auto"/>
            <w:noWrap/>
            <w:vAlign w:val="bottom"/>
          </w:tcPr>
          <w:p w:rsidR="00B136E9" w:rsidRPr="00B20AFA" w:rsidRDefault="00635EFC" w:rsidP="0035701F">
            <w:pPr>
              <w:jc w:val="center"/>
            </w:pPr>
            <w:r w:rsidRPr="00B20AFA">
              <w:t>$24,285.12</w:t>
            </w:r>
          </w:p>
        </w:tc>
      </w:tr>
      <w:tr w:rsidR="00B20AFA" w:rsidRPr="00B20AFA" w:rsidTr="000D4CFE">
        <w:trPr>
          <w:trHeight w:val="315"/>
        </w:trPr>
        <w:tc>
          <w:tcPr>
            <w:tcW w:w="743" w:type="dxa"/>
            <w:tcBorders>
              <w:top w:val="nil"/>
              <w:left w:val="double" w:sz="6" w:space="0" w:color="auto"/>
              <w:bottom w:val="single" w:sz="4" w:space="0" w:color="auto"/>
              <w:right w:val="single" w:sz="4" w:space="0" w:color="auto"/>
            </w:tcBorders>
            <w:shd w:val="clear" w:color="auto" w:fill="auto"/>
            <w:noWrap/>
            <w:vAlign w:val="bottom"/>
          </w:tcPr>
          <w:p w:rsidR="00B136E9" w:rsidRPr="00B20AFA" w:rsidRDefault="00B136E9" w:rsidP="00B136E9">
            <w:pPr>
              <w:jc w:val="center"/>
              <w:rPr>
                <w:b/>
                <w:bCs/>
              </w:rPr>
            </w:pPr>
            <w:r w:rsidRPr="00B20AFA">
              <w:rPr>
                <w:b/>
                <w:bCs/>
              </w:rPr>
              <w:t>2017</w:t>
            </w:r>
          </w:p>
        </w:tc>
        <w:tc>
          <w:tcPr>
            <w:tcW w:w="3019" w:type="dxa"/>
            <w:tcBorders>
              <w:top w:val="nil"/>
              <w:left w:val="nil"/>
              <w:bottom w:val="single" w:sz="4" w:space="0" w:color="auto"/>
              <w:right w:val="single" w:sz="4" w:space="0" w:color="auto"/>
            </w:tcBorders>
            <w:shd w:val="clear" w:color="auto" w:fill="auto"/>
            <w:noWrap/>
            <w:vAlign w:val="bottom"/>
          </w:tcPr>
          <w:p w:rsidR="00B136E9" w:rsidRPr="00B20AFA" w:rsidRDefault="00B136E9" w:rsidP="000D4CFE">
            <w:pPr>
              <w:jc w:val="center"/>
            </w:pPr>
            <w:r w:rsidRPr="00B20AFA">
              <w:t>328</w:t>
            </w:r>
          </w:p>
        </w:tc>
        <w:tc>
          <w:tcPr>
            <w:tcW w:w="990" w:type="dxa"/>
            <w:tcBorders>
              <w:top w:val="nil"/>
              <w:left w:val="nil"/>
              <w:bottom w:val="single" w:sz="4" w:space="0" w:color="auto"/>
              <w:right w:val="single" w:sz="4" w:space="0" w:color="auto"/>
            </w:tcBorders>
            <w:shd w:val="clear" w:color="auto" w:fill="auto"/>
            <w:noWrap/>
            <w:vAlign w:val="bottom"/>
          </w:tcPr>
          <w:p w:rsidR="00B136E9" w:rsidRPr="00B20AFA" w:rsidRDefault="00635EFC" w:rsidP="00B136E9">
            <w:pPr>
              <w:jc w:val="center"/>
            </w:pPr>
            <w:r w:rsidRPr="00B20AFA">
              <w:t>2</w:t>
            </w:r>
          </w:p>
        </w:tc>
        <w:tc>
          <w:tcPr>
            <w:tcW w:w="2070" w:type="dxa"/>
            <w:tcBorders>
              <w:top w:val="nil"/>
              <w:left w:val="nil"/>
              <w:bottom w:val="single" w:sz="4" w:space="0" w:color="auto"/>
              <w:right w:val="single" w:sz="4" w:space="0" w:color="auto"/>
            </w:tcBorders>
            <w:shd w:val="clear" w:color="auto" w:fill="auto"/>
            <w:noWrap/>
            <w:vAlign w:val="bottom"/>
          </w:tcPr>
          <w:p w:rsidR="00B136E9" w:rsidRPr="00B20AFA" w:rsidRDefault="00635EFC" w:rsidP="00B136E9">
            <w:pPr>
              <w:jc w:val="center"/>
            </w:pPr>
            <w:r w:rsidRPr="00B20AFA">
              <w:t>$37.02</w:t>
            </w:r>
          </w:p>
        </w:tc>
        <w:tc>
          <w:tcPr>
            <w:tcW w:w="2070" w:type="dxa"/>
            <w:tcBorders>
              <w:top w:val="nil"/>
              <w:left w:val="nil"/>
              <w:bottom w:val="single" w:sz="4" w:space="0" w:color="auto"/>
              <w:right w:val="double" w:sz="4" w:space="0" w:color="auto"/>
            </w:tcBorders>
            <w:shd w:val="clear" w:color="auto" w:fill="auto"/>
            <w:noWrap/>
            <w:vAlign w:val="bottom"/>
          </w:tcPr>
          <w:p w:rsidR="00B136E9" w:rsidRPr="00B20AFA" w:rsidRDefault="00635EFC" w:rsidP="00B136E9">
            <w:pPr>
              <w:jc w:val="center"/>
            </w:pPr>
            <w:r w:rsidRPr="00B20AFA">
              <w:t>$24,285.12</w:t>
            </w:r>
          </w:p>
        </w:tc>
      </w:tr>
      <w:tr w:rsidR="00B20AFA" w:rsidRPr="00B20AFA" w:rsidTr="000D4CFE">
        <w:trPr>
          <w:trHeight w:val="330"/>
        </w:trPr>
        <w:tc>
          <w:tcPr>
            <w:tcW w:w="743" w:type="dxa"/>
            <w:tcBorders>
              <w:top w:val="nil"/>
              <w:left w:val="double" w:sz="6" w:space="0" w:color="auto"/>
              <w:bottom w:val="single" w:sz="12" w:space="0" w:color="auto"/>
              <w:right w:val="single" w:sz="4" w:space="0" w:color="auto"/>
            </w:tcBorders>
            <w:shd w:val="clear" w:color="auto" w:fill="auto"/>
            <w:noWrap/>
            <w:vAlign w:val="bottom"/>
          </w:tcPr>
          <w:p w:rsidR="00B136E9" w:rsidRPr="00B20AFA" w:rsidRDefault="00B136E9" w:rsidP="00B136E9">
            <w:pPr>
              <w:jc w:val="center"/>
              <w:rPr>
                <w:b/>
                <w:bCs/>
              </w:rPr>
            </w:pPr>
            <w:r w:rsidRPr="00B20AFA">
              <w:rPr>
                <w:b/>
                <w:bCs/>
              </w:rPr>
              <w:t>2018</w:t>
            </w:r>
          </w:p>
        </w:tc>
        <w:tc>
          <w:tcPr>
            <w:tcW w:w="3019" w:type="dxa"/>
            <w:tcBorders>
              <w:top w:val="nil"/>
              <w:left w:val="nil"/>
              <w:bottom w:val="single" w:sz="12" w:space="0" w:color="auto"/>
              <w:right w:val="single" w:sz="4" w:space="0" w:color="auto"/>
            </w:tcBorders>
            <w:shd w:val="clear" w:color="auto" w:fill="auto"/>
            <w:noWrap/>
            <w:vAlign w:val="bottom"/>
          </w:tcPr>
          <w:p w:rsidR="00B136E9" w:rsidRPr="00B20AFA" w:rsidRDefault="00B136E9" w:rsidP="00B136E9">
            <w:pPr>
              <w:jc w:val="center"/>
            </w:pPr>
            <w:r w:rsidRPr="00B20AFA">
              <w:t>328</w:t>
            </w:r>
          </w:p>
        </w:tc>
        <w:tc>
          <w:tcPr>
            <w:tcW w:w="990" w:type="dxa"/>
            <w:tcBorders>
              <w:top w:val="nil"/>
              <w:left w:val="nil"/>
              <w:bottom w:val="single" w:sz="12" w:space="0" w:color="auto"/>
              <w:right w:val="single" w:sz="4" w:space="0" w:color="auto"/>
            </w:tcBorders>
            <w:shd w:val="clear" w:color="auto" w:fill="auto"/>
            <w:noWrap/>
            <w:vAlign w:val="bottom"/>
          </w:tcPr>
          <w:p w:rsidR="00B136E9" w:rsidRPr="00B20AFA" w:rsidRDefault="00635EFC" w:rsidP="00B136E9">
            <w:pPr>
              <w:jc w:val="center"/>
            </w:pPr>
            <w:r w:rsidRPr="00B20AFA">
              <w:t>2</w:t>
            </w:r>
          </w:p>
        </w:tc>
        <w:tc>
          <w:tcPr>
            <w:tcW w:w="2070" w:type="dxa"/>
            <w:tcBorders>
              <w:top w:val="nil"/>
              <w:left w:val="nil"/>
              <w:bottom w:val="single" w:sz="12" w:space="0" w:color="auto"/>
              <w:right w:val="single" w:sz="4" w:space="0" w:color="auto"/>
            </w:tcBorders>
            <w:shd w:val="clear" w:color="auto" w:fill="auto"/>
            <w:noWrap/>
            <w:vAlign w:val="bottom"/>
          </w:tcPr>
          <w:p w:rsidR="00B136E9" w:rsidRPr="00B20AFA" w:rsidRDefault="00635EFC" w:rsidP="00B136E9">
            <w:pPr>
              <w:jc w:val="center"/>
            </w:pPr>
            <w:r w:rsidRPr="00B20AFA">
              <w:t>$37.02</w:t>
            </w:r>
          </w:p>
        </w:tc>
        <w:tc>
          <w:tcPr>
            <w:tcW w:w="2070" w:type="dxa"/>
            <w:tcBorders>
              <w:top w:val="nil"/>
              <w:left w:val="nil"/>
              <w:bottom w:val="single" w:sz="12" w:space="0" w:color="auto"/>
              <w:right w:val="double" w:sz="4" w:space="0" w:color="auto"/>
            </w:tcBorders>
            <w:shd w:val="clear" w:color="auto" w:fill="auto"/>
            <w:noWrap/>
            <w:vAlign w:val="bottom"/>
          </w:tcPr>
          <w:p w:rsidR="00B136E9" w:rsidRPr="00B20AFA" w:rsidRDefault="00635EFC" w:rsidP="00B136E9">
            <w:pPr>
              <w:jc w:val="center"/>
            </w:pPr>
            <w:r w:rsidRPr="00B20AFA">
              <w:t>$24,285.12</w:t>
            </w:r>
          </w:p>
        </w:tc>
      </w:tr>
      <w:tr w:rsidR="00B20AFA" w:rsidRPr="00B20AFA" w:rsidTr="000D4CFE">
        <w:trPr>
          <w:trHeight w:val="330"/>
        </w:trPr>
        <w:tc>
          <w:tcPr>
            <w:tcW w:w="6822" w:type="dxa"/>
            <w:gridSpan w:val="4"/>
            <w:tcBorders>
              <w:top w:val="nil"/>
              <w:left w:val="double" w:sz="6" w:space="0" w:color="auto"/>
              <w:bottom w:val="single" w:sz="4" w:space="0" w:color="auto"/>
              <w:right w:val="single" w:sz="4" w:space="0" w:color="auto"/>
            </w:tcBorders>
            <w:shd w:val="clear" w:color="auto" w:fill="auto"/>
            <w:noWrap/>
            <w:vAlign w:val="bottom"/>
          </w:tcPr>
          <w:p w:rsidR="00B136E9" w:rsidRPr="00B20AFA" w:rsidRDefault="00B136E9" w:rsidP="00B136E9">
            <w:pPr>
              <w:rPr>
                <w:b/>
                <w:bCs/>
              </w:rPr>
            </w:pPr>
            <w:r w:rsidRPr="00B20AFA">
              <w:rPr>
                <w:b/>
                <w:bCs/>
              </w:rPr>
              <w:t>Program Total Local Respondent Costs (FY 2016- FY 2018)</w:t>
            </w:r>
          </w:p>
        </w:tc>
        <w:tc>
          <w:tcPr>
            <w:tcW w:w="2070" w:type="dxa"/>
            <w:tcBorders>
              <w:top w:val="nil"/>
              <w:left w:val="nil"/>
              <w:bottom w:val="single" w:sz="4" w:space="0" w:color="auto"/>
              <w:right w:val="double" w:sz="4" w:space="0" w:color="auto"/>
            </w:tcBorders>
            <w:shd w:val="clear" w:color="auto" w:fill="auto"/>
            <w:noWrap/>
            <w:vAlign w:val="bottom"/>
          </w:tcPr>
          <w:p w:rsidR="00B136E9" w:rsidRPr="00B20AFA" w:rsidRDefault="00635EFC" w:rsidP="00B136E9">
            <w:pPr>
              <w:jc w:val="center"/>
              <w:rPr>
                <w:b/>
                <w:bCs/>
              </w:rPr>
            </w:pPr>
            <w:r w:rsidRPr="00B20AFA">
              <w:rPr>
                <w:b/>
                <w:bCs/>
              </w:rPr>
              <w:t>$72,855.36</w:t>
            </w:r>
          </w:p>
        </w:tc>
      </w:tr>
      <w:tr w:rsidR="00B136E9" w:rsidRPr="00B20AFA" w:rsidTr="000D4CFE">
        <w:trPr>
          <w:trHeight w:val="330"/>
        </w:trPr>
        <w:tc>
          <w:tcPr>
            <w:tcW w:w="8892" w:type="dxa"/>
            <w:gridSpan w:val="5"/>
            <w:tcBorders>
              <w:top w:val="single" w:sz="4" w:space="0" w:color="auto"/>
              <w:left w:val="double" w:sz="6" w:space="0" w:color="auto"/>
              <w:bottom w:val="double" w:sz="6" w:space="0" w:color="auto"/>
              <w:right w:val="double" w:sz="4" w:space="0" w:color="auto"/>
            </w:tcBorders>
            <w:shd w:val="clear" w:color="auto" w:fill="auto"/>
            <w:noWrap/>
            <w:vAlign w:val="bottom"/>
          </w:tcPr>
          <w:p w:rsidR="00B136E9" w:rsidRPr="00B20AFA" w:rsidRDefault="00B136E9" w:rsidP="00B136E9">
            <w:pPr>
              <w:rPr>
                <w:b/>
                <w:bCs/>
              </w:rPr>
            </w:pPr>
            <w:r w:rsidRPr="00B20AFA">
              <w:rPr>
                <w:b/>
                <w:bCs/>
              </w:rPr>
              <w:t>Average Annual Cost Over 3-Year Period</w:t>
            </w:r>
            <w:r w:rsidR="00635EFC" w:rsidRPr="00B20AFA">
              <w:rPr>
                <w:b/>
                <w:bCs/>
              </w:rPr>
              <w:t xml:space="preserve">                                                 $24,285.12</w:t>
            </w:r>
          </w:p>
        </w:tc>
      </w:tr>
    </w:tbl>
    <w:p w:rsidR="00A61337" w:rsidRPr="00B20AFA" w:rsidRDefault="00A61337" w:rsidP="00A61337">
      <w:pPr>
        <w:autoSpaceDE w:val="0"/>
        <w:autoSpaceDN w:val="0"/>
        <w:adjustRightInd w:val="0"/>
        <w:ind w:left="720"/>
        <w:rPr>
          <w:b/>
        </w:rPr>
      </w:pPr>
    </w:p>
    <w:p w:rsidR="00B27361" w:rsidRPr="00B20AFA" w:rsidRDefault="00A61337" w:rsidP="00A61337">
      <w:pPr>
        <w:autoSpaceDE w:val="0"/>
        <w:autoSpaceDN w:val="0"/>
        <w:adjustRightInd w:val="0"/>
        <w:ind w:left="720"/>
      </w:pPr>
      <w:r w:rsidRPr="00B20AFA">
        <w:t xml:space="preserve"> </w:t>
      </w:r>
    </w:p>
    <w:p w:rsidR="00B27361" w:rsidRPr="00B20AFA" w:rsidRDefault="00B27361">
      <w:pPr>
        <w:autoSpaceDE w:val="0"/>
        <w:autoSpaceDN w:val="0"/>
        <w:adjustRightInd w:val="0"/>
      </w:pPr>
      <w:r w:rsidRPr="00B20AFA">
        <w:t xml:space="preserve">6 (c) </w:t>
      </w:r>
      <w:r w:rsidR="00756EB7" w:rsidRPr="00B20AFA">
        <w:tab/>
      </w:r>
      <w:r w:rsidRPr="00B20AFA">
        <w:rPr>
          <w:u w:val="single"/>
        </w:rPr>
        <w:t>Estimating Agency Burden and Cost</w:t>
      </w:r>
    </w:p>
    <w:p w:rsidR="00B27361" w:rsidRPr="00B20AFA" w:rsidRDefault="00B27361">
      <w:pPr>
        <w:autoSpaceDE w:val="0"/>
        <w:autoSpaceDN w:val="0"/>
        <w:adjustRightInd w:val="0"/>
      </w:pPr>
    </w:p>
    <w:p w:rsidR="00B27361" w:rsidRPr="00B20AFA" w:rsidRDefault="00B27361">
      <w:pPr>
        <w:autoSpaceDE w:val="0"/>
        <w:autoSpaceDN w:val="0"/>
        <w:adjustRightInd w:val="0"/>
      </w:pPr>
      <w:r w:rsidRPr="00B20AFA">
        <w:t>Estimation of the direct cost to EPA to implement the DWSRF program covers negotiation and analysis of the IUP, Capitalization Grant Agreement, Grant Application, and State performance and compliance through the Biennial Report</w:t>
      </w:r>
      <w:r w:rsidR="00647EA2" w:rsidRPr="00B20AFA">
        <w:t xml:space="preserve">, </w:t>
      </w:r>
      <w:r w:rsidR="00943C52" w:rsidRPr="00B20AFA">
        <w:t>State Audit</w:t>
      </w:r>
      <w:r w:rsidR="00647EA2" w:rsidRPr="00B20AFA">
        <w:t xml:space="preserve"> and DWNIMS/PBR data</w:t>
      </w:r>
      <w:r w:rsidRPr="00B20AFA">
        <w:t xml:space="preserve">. </w:t>
      </w:r>
    </w:p>
    <w:p w:rsidR="00B27361" w:rsidRPr="00B20AFA" w:rsidRDefault="00B27361">
      <w:pPr>
        <w:autoSpaceDE w:val="0"/>
        <w:autoSpaceDN w:val="0"/>
        <w:adjustRightInd w:val="0"/>
      </w:pPr>
    </w:p>
    <w:p w:rsidR="00B27361" w:rsidRPr="00B20AFA" w:rsidRDefault="00B27361">
      <w:pPr>
        <w:autoSpaceDE w:val="0"/>
        <w:autoSpaceDN w:val="0"/>
        <w:adjustRightInd w:val="0"/>
      </w:pPr>
      <w:r w:rsidRPr="00B20AFA">
        <w:t>The estimates in Table</w:t>
      </w:r>
      <w:r w:rsidR="00943C52" w:rsidRPr="00B20AFA">
        <w:t>s</w:t>
      </w:r>
      <w:r w:rsidRPr="00B20AFA">
        <w:t xml:space="preserve"> 1</w:t>
      </w:r>
      <w:r w:rsidR="003C511D" w:rsidRPr="00B20AFA">
        <w:t>1</w:t>
      </w:r>
      <w:r w:rsidRPr="00B20AFA">
        <w:t>.1 - 1</w:t>
      </w:r>
      <w:r w:rsidR="003C511D" w:rsidRPr="00B20AFA">
        <w:t>1</w:t>
      </w:r>
      <w:r w:rsidRPr="00B20AFA">
        <w:t>.3 refl</w:t>
      </w:r>
      <w:r w:rsidR="00E32502" w:rsidRPr="00B20AFA">
        <w:t>ect Agency workload over the 3-</w:t>
      </w:r>
      <w:r w:rsidRPr="00B20AFA">
        <w:t>year period covered by this information collection. The estimate of EPA costs is based on average hourly expenditures, including Regional and Headquarters personnel compensation and benefits. The estimates were based on participation by all States in the DWSRF program.</w:t>
      </w:r>
    </w:p>
    <w:p w:rsidR="00B27361" w:rsidRPr="00B20AFA" w:rsidRDefault="00B27361">
      <w:pPr>
        <w:autoSpaceDE w:val="0"/>
        <w:autoSpaceDN w:val="0"/>
        <w:adjustRightInd w:val="0"/>
      </w:pPr>
    </w:p>
    <w:p w:rsidR="00FF6B92" w:rsidRPr="00B20AFA" w:rsidRDefault="00FF6B92" w:rsidP="00FF6B92">
      <w:pPr>
        <w:autoSpaceDE w:val="0"/>
        <w:autoSpaceDN w:val="0"/>
        <w:adjustRightInd w:val="0"/>
      </w:pPr>
      <w:r w:rsidRPr="00B20AFA">
        <w:t>The estimated average hourly cost of $</w:t>
      </w:r>
      <w:r w:rsidR="00C8406B" w:rsidRPr="00B20AFA">
        <w:t>53.60</w:t>
      </w:r>
      <w:r w:rsidRPr="00B20AFA">
        <w:t xml:space="preserve"> for EPA Headquarters and Regional personnel is based on the General Schedule (GS) 12, Step 05 level. The hourly estimates were calculated by dividing the annual compensation of $6</w:t>
      </w:r>
      <w:r w:rsidR="00C8406B" w:rsidRPr="00B20AFA">
        <w:t>9,686</w:t>
      </w:r>
      <w:r w:rsidRPr="00B20AFA">
        <w:t xml:space="preserve"> from the 20</w:t>
      </w:r>
      <w:r w:rsidR="003C511D" w:rsidRPr="00B20AFA">
        <w:t>15</w:t>
      </w:r>
      <w:r w:rsidRPr="00B20AFA">
        <w:t xml:space="preserve"> GS pay schedule, by 2,080 hours in the </w:t>
      </w:r>
      <w:r w:rsidR="00CB2425" w:rsidRPr="00B20AFA">
        <w:t>f</w:t>
      </w:r>
      <w:r w:rsidRPr="00B20AFA">
        <w:t>ederal work year. The hourly rates were then multiplied by the standard government benefits multiplication factor of 1.6.</w:t>
      </w:r>
    </w:p>
    <w:p w:rsidR="0059706D" w:rsidRPr="00B20AFA" w:rsidRDefault="0059706D" w:rsidP="0059706D">
      <w:pPr>
        <w:autoSpaceDE w:val="0"/>
        <w:autoSpaceDN w:val="0"/>
        <w:adjustRightInd w:val="0"/>
      </w:pPr>
    </w:p>
    <w:p w:rsidR="00B27361" w:rsidRPr="00B20AFA" w:rsidRDefault="00B27361">
      <w:pPr>
        <w:autoSpaceDE w:val="0"/>
        <w:autoSpaceDN w:val="0"/>
        <w:adjustRightInd w:val="0"/>
      </w:pPr>
      <w:r w:rsidRPr="00B20AFA">
        <w:t xml:space="preserve">The average annual </w:t>
      </w:r>
      <w:r w:rsidR="00CB2425" w:rsidRPr="00B20AFA">
        <w:t>f</w:t>
      </w:r>
      <w:r w:rsidRPr="00B20AFA">
        <w:t xml:space="preserve">ederal cost of </w:t>
      </w:r>
      <w:r w:rsidR="0073196B" w:rsidRPr="00B20AFA">
        <w:t>$2,4</w:t>
      </w:r>
      <w:r w:rsidR="00EA44F3">
        <w:t>12</w:t>
      </w:r>
      <w:r w:rsidR="0073196B" w:rsidRPr="00B20AFA">
        <w:t>,</w:t>
      </w:r>
      <w:r w:rsidR="00EA44F3">
        <w:t>607.4</w:t>
      </w:r>
      <w:r w:rsidR="0073196B" w:rsidRPr="00B20AFA">
        <w:t xml:space="preserve">7 </w:t>
      </w:r>
      <w:r w:rsidRPr="00B20AFA">
        <w:t>over the 3-year period was estimated as follows:</w:t>
      </w:r>
    </w:p>
    <w:p w:rsidR="003C511D" w:rsidRPr="00B20AFA" w:rsidRDefault="003C511D">
      <w:pPr>
        <w:autoSpaceDE w:val="0"/>
        <w:autoSpaceDN w:val="0"/>
        <w:adjustRightInd w:val="0"/>
      </w:pPr>
    </w:p>
    <w:p w:rsidR="003C511D" w:rsidRPr="00B20AFA" w:rsidRDefault="00476274">
      <w:pPr>
        <w:autoSpaceDE w:val="0"/>
        <w:autoSpaceDN w:val="0"/>
        <w:adjustRightInd w:val="0"/>
      </w:pPr>
      <w:r w:rsidRPr="00B20AFA">
        <w:rPr>
          <w:b/>
        </w:rPr>
        <w:t>Table 11.1: FY 2016 EPA Burden Costs</w:t>
      </w:r>
    </w:p>
    <w:tbl>
      <w:tblPr>
        <w:tblStyle w:val="TableGrid"/>
        <w:tblW w:w="0" w:type="auto"/>
        <w:tblLook w:val="04A0" w:firstRow="1" w:lastRow="0" w:firstColumn="1" w:lastColumn="0" w:noHBand="0" w:noVBand="1"/>
      </w:tblPr>
      <w:tblGrid>
        <w:gridCol w:w="4933"/>
        <w:gridCol w:w="1258"/>
        <w:gridCol w:w="1443"/>
        <w:gridCol w:w="1696"/>
      </w:tblGrid>
      <w:tr w:rsidR="00B20AFA" w:rsidRPr="00B20AFA" w:rsidTr="000D4CFE">
        <w:trPr>
          <w:trHeight w:val="390"/>
        </w:trPr>
        <w:tc>
          <w:tcPr>
            <w:tcW w:w="9350" w:type="dxa"/>
            <w:gridSpan w:val="4"/>
            <w:tcBorders>
              <w:top w:val="double" w:sz="4" w:space="0" w:color="auto"/>
              <w:left w:val="double" w:sz="4" w:space="0" w:color="auto"/>
              <w:right w:val="double" w:sz="4" w:space="0" w:color="auto"/>
            </w:tcBorders>
            <w:noWrap/>
            <w:hideMark/>
          </w:tcPr>
          <w:p w:rsidR="00476274" w:rsidRPr="00B20AFA" w:rsidRDefault="00476274" w:rsidP="000D4CFE">
            <w:pPr>
              <w:autoSpaceDE w:val="0"/>
              <w:autoSpaceDN w:val="0"/>
              <w:adjustRightInd w:val="0"/>
              <w:jc w:val="center"/>
              <w:rPr>
                <w:b/>
                <w:bCs/>
              </w:rPr>
            </w:pPr>
            <w:r w:rsidRPr="00B20AFA">
              <w:rPr>
                <w:b/>
                <w:bCs/>
              </w:rPr>
              <w:lastRenderedPageBreak/>
              <w:t>Fiscal Year 2016</w:t>
            </w:r>
          </w:p>
        </w:tc>
      </w:tr>
      <w:tr w:rsidR="00B20AFA" w:rsidRPr="00B20AFA" w:rsidTr="006A1FA2">
        <w:trPr>
          <w:trHeight w:val="315"/>
        </w:trPr>
        <w:tc>
          <w:tcPr>
            <w:tcW w:w="4945" w:type="dxa"/>
            <w:tcBorders>
              <w:left w:val="double" w:sz="4" w:space="0" w:color="auto"/>
            </w:tcBorders>
            <w:noWrap/>
            <w:vAlign w:val="center"/>
            <w:hideMark/>
          </w:tcPr>
          <w:p w:rsidR="00476274" w:rsidRPr="00B20AFA" w:rsidRDefault="00476274" w:rsidP="000D4CFE">
            <w:pPr>
              <w:autoSpaceDE w:val="0"/>
              <w:autoSpaceDN w:val="0"/>
              <w:adjustRightInd w:val="0"/>
              <w:jc w:val="center"/>
              <w:rPr>
                <w:b/>
                <w:bCs/>
              </w:rPr>
            </w:pPr>
            <w:r w:rsidRPr="00B20AFA">
              <w:rPr>
                <w:b/>
                <w:bCs/>
              </w:rPr>
              <w:t>ICR</w:t>
            </w:r>
          </w:p>
        </w:tc>
        <w:tc>
          <w:tcPr>
            <w:tcW w:w="1260" w:type="dxa"/>
            <w:vAlign w:val="center"/>
            <w:hideMark/>
          </w:tcPr>
          <w:p w:rsidR="00476274" w:rsidRPr="00B20AFA" w:rsidRDefault="00476274" w:rsidP="000D4CFE">
            <w:pPr>
              <w:autoSpaceDE w:val="0"/>
              <w:autoSpaceDN w:val="0"/>
              <w:adjustRightInd w:val="0"/>
              <w:jc w:val="center"/>
              <w:rPr>
                <w:b/>
                <w:bCs/>
              </w:rPr>
            </w:pPr>
            <w:r w:rsidRPr="00B20AFA">
              <w:rPr>
                <w:b/>
                <w:bCs/>
              </w:rPr>
              <w:t>Hours</w:t>
            </w:r>
          </w:p>
        </w:tc>
        <w:tc>
          <w:tcPr>
            <w:tcW w:w="1446" w:type="dxa"/>
            <w:vAlign w:val="center"/>
            <w:hideMark/>
          </w:tcPr>
          <w:p w:rsidR="00476274" w:rsidRPr="00B20AFA" w:rsidRDefault="00476274" w:rsidP="000D4CFE">
            <w:pPr>
              <w:autoSpaceDE w:val="0"/>
              <w:autoSpaceDN w:val="0"/>
              <w:adjustRightInd w:val="0"/>
              <w:jc w:val="center"/>
              <w:rPr>
                <w:b/>
                <w:bCs/>
              </w:rPr>
            </w:pPr>
            <w:r w:rsidRPr="00B20AFA">
              <w:rPr>
                <w:b/>
                <w:bCs/>
              </w:rPr>
              <w:t>Cost Per Hour</w:t>
            </w:r>
          </w:p>
        </w:tc>
        <w:tc>
          <w:tcPr>
            <w:tcW w:w="1699" w:type="dxa"/>
            <w:tcBorders>
              <w:right w:val="double" w:sz="4" w:space="0" w:color="auto"/>
            </w:tcBorders>
            <w:vAlign w:val="center"/>
            <w:hideMark/>
          </w:tcPr>
          <w:p w:rsidR="00476274" w:rsidRPr="00B20AFA" w:rsidRDefault="00476274" w:rsidP="000D4CFE">
            <w:pPr>
              <w:autoSpaceDE w:val="0"/>
              <w:autoSpaceDN w:val="0"/>
              <w:adjustRightInd w:val="0"/>
              <w:jc w:val="center"/>
              <w:rPr>
                <w:b/>
                <w:bCs/>
              </w:rPr>
            </w:pPr>
            <w:r w:rsidRPr="00B20AFA">
              <w:rPr>
                <w:b/>
                <w:bCs/>
              </w:rPr>
              <w:t>Agency Cost</w:t>
            </w:r>
          </w:p>
        </w:tc>
      </w:tr>
      <w:tr w:rsidR="00B20AFA" w:rsidRPr="00B20AFA" w:rsidTr="006A1FA2">
        <w:trPr>
          <w:trHeight w:val="570"/>
        </w:trPr>
        <w:tc>
          <w:tcPr>
            <w:tcW w:w="4945" w:type="dxa"/>
            <w:tcBorders>
              <w:left w:val="double" w:sz="4" w:space="0" w:color="auto"/>
            </w:tcBorders>
            <w:hideMark/>
          </w:tcPr>
          <w:p w:rsidR="00476274" w:rsidRPr="00B20AFA" w:rsidRDefault="00476274" w:rsidP="00476274">
            <w:pPr>
              <w:autoSpaceDE w:val="0"/>
              <w:autoSpaceDN w:val="0"/>
              <w:adjustRightInd w:val="0"/>
              <w:rPr>
                <w:b/>
                <w:bCs/>
              </w:rPr>
            </w:pPr>
            <w:r w:rsidRPr="00B20AFA">
              <w:rPr>
                <w:b/>
                <w:bCs/>
              </w:rPr>
              <w:t>EPA HQ Review of IUP and Agreement Materials (15 hours per State submission)</w:t>
            </w:r>
          </w:p>
        </w:tc>
        <w:tc>
          <w:tcPr>
            <w:tcW w:w="1260" w:type="dxa"/>
            <w:noWrap/>
            <w:hideMark/>
          </w:tcPr>
          <w:p w:rsidR="00476274" w:rsidRPr="00B20AFA" w:rsidRDefault="00476274" w:rsidP="000D4CFE">
            <w:pPr>
              <w:autoSpaceDE w:val="0"/>
              <w:autoSpaceDN w:val="0"/>
              <w:adjustRightInd w:val="0"/>
              <w:jc w:val="right"/>
            </w:pPr>
            <w:r w:rsidRPr="00B20AFA">
              <w:t>765</w:t>
            </w:r>
          </w:p>
        </w:tc>
        <w:tc>
          <w:tcPr>
            <w:tcW w:w="1446" w:type="dxa"/>
            <w:noWrap/>
            <w:hideMark/>
          </w:tcPr>
          <w:p w:rsidR="00476274" w:rsidRPr="00B20AFA" w:rsidRDefault="00476274" w:rsidP="000D4CFE">
            <w:pPr>
              <w:autoSpaceDE w:val="0"/>
              <w:autoSpaceDN w:val="0"/>
              <w:adjustRightInd w:val="0"/>
              <w:jc w:val="right"/>
            </w:pPr>
            <w:r w:rsidRPr="00B20AFA">
              <w:t xml:space="preserve">$53.60 </w:t>
            </w:r>
          </w:p>
        </w:tc>
        <w:tc>
          <w:tcPr>
            <w:tcW w:w="1699" w:type="dxa"/>
            <w:tcBorders>
              <w:right w:val="double" w:sz="4" w:space="0" w:color="auto"/>
            </w:tcBorders>
            <w:noWrap/>
            <w:hideMark/>
          </w:tcPr>
          <w:p w:rsidR="00476274" w:rsidRPr="00B20AFA" w:rsidRDefault="00476274" w:rsidP="000D4CFE">
            <w:pPr>
              <w:autoSpaceDE w:val="0"/>
              <w:autoSpaceDN w:val="0"/>
              <w:adjustRightInd w:val="0"/>
              <w:jc w:val="right"/>
            </w:pPr>
            <w:r w:rsidRPr="00B20AFA">
              <w:t xml:space="preserve">$41,004.00 </w:t>
            </w:r>
          </w:p>
        </w:tc>
      </w:tr>
      <w:tr w:rsidR="00B20AFA" w:rsidRPr="00B20AFA" w:rsidTr="006A1FA2">
        <w:trPr>
          <w:trHeight w:val="665"/>
        </w:trPr>
        <w:tc>
          <w:tcPr>
            <w:tcW w:w="4945" w:type="dxa"/>
            <w:tcBorders>
              <w:left w:val="double" w:sz="4" w:space="0" w:color="auto"/>
            </w:tcBorders>
            <w:hideMark/>
          </w:tcPr>
          <w:p w:rsidR="00476274" w:rsidRPr="00B20AFA" w:rsidRDefault="00476274" w:rsidP="00476274">
            <w:pPr>
              <w:autoSpaceDE w:val="0"/>
              <w:autoSpaceDN w:val="0"/>
              <w:adjustRightInd w:val="0"/>
              <w:rPr>
                <w:b/>
                <w:bCs/>
              </w:rPr>
            </w:pPr>
            <w:r w:rsidRPr="00B20AFA">
              <w:rPr>
                <w:b/>
                <w:bCs/>
              </w:rPr>
              <w:t>EPA Regional Review of IUP and Agreement Materials (350 hours per State submission)</w:t>
            </w:r>
          </w:p>
        </w:tc>
        <w:tc>
          <w:tcPr>
            <w:tcW w:w="1260" w:type="dxa"/>
            <w:noWrap/>
            <w:hideMark/>
          </w:tcPr>
          <w:p w:rsidR="00476274" w:rsidRPr="00B20AFA" w:rsidRDefault="00476274" w:rsidP="000D4CFE">
            <w:pPr>
              <w:autoSpaceDE w:val="0"/>
              <w:autoSpaceDN w:val="0"/>
              <w:adjustRightInd w:val="0"/>
              <w:jc w:val="right"/>
            </w:pPr>
            <w:r w:rsidRPr="00B20AFA">
              <w:t>17,850</w:t>
            </w:r>
          </w:p>
        </w:tc>
        <w:tc>
          <w:tcPr>
            <w:tcW w:w="1446" w:type="dxa"/>
            <w:noWrap/>
            <w:hideMark/>
          </w:tcPr>
          <w:p w:rsidR="00476274" w:rsidRPr="00B20AFA" w:rsidRDefault="00476274" w:rsidP="000D4CFE">
            <w:pPr>
              <w:autoSpaceDE w:val="0"/>
              <w:autoSpaceDN w:val="0"/>
              <w:adjustRightInd w:val="0"/>
              <w:jc w:val="right"/>
            </w:pPr>
            <w:r w:rsidRPr="00B20AFA">
              <w:t xml:space="preserve">$53.60 </w:t>
            </w:r>
          </w:p>
        </w:tc>
        <w:tc>
          <w:tcPr>
            <w:tcW w:w="1699" w:type="dxa"/>
            <w:tcBorders>
              <w:right w:val="double" w:sz="4" w:space="0" w:color="auto"/>
            </w:tcBorders>
            <w:noWrap/>
            <w:hideMark/>
          </w:tcPr>
          <w:p w:rsidR="00476274" w:rsidRPr="00B20AFA" w:rsidRDefault="00476274" w:rsidP="000D4CFE">
            <w:pPr>
              <w:autoSpaceDE w:val="0"/>
              <w:autoSpaceDN w:val="0"/>
              <w:adjustRightInd w:val="0"/>
              <w:jc w:val="right"/>
            </w:pPr>
            <w:r w:rsidRPr="00B20AFA">
              <w:t xml:space="preserve">$956,760.00 </w:t>
            </w:r>
          </w:p>
        </w:tc>
      </w:tr>
      <w:tr w:rsidR="00B20AFA" w:rsidRPr="00B20AFA" w:rsidTr="006A1FA2">
        <w:trPr>
          <w:trHeight w:val="1140"/>
        </w:trPr>
        <w:tc>
          <w:tcPr>
            <w:tcW w:w="4945" w:type="dxa"/>
            <w:tcBorders>
              <w:left w:val="double" w:sz="4" w:space="0" w:color="auto"/>
            </w:tcBorders>
            <w:hideMark/>
          </w:tcPr>
          <w:p w:rsidR="00476274" w:rsidRPr="00B20AFA" w:rsidRDefault="00476274" w:rsidP="00476274">
            <w:pPr>
              <w:autoSpaceDE w:val="0"/>
              <w:autoSpaceDN w:val="0"/>
              <w:adjustRightInd w:val="0"/>
              <w:rPr>
                <w:b/>
                <w:bCs/>
              </w:rPr>
            </w:pPr>
            <w:r w:rsidRPr="00B20AFA">
              <w:rPr>
                <w:b/>
                <w:bCs/>
              </w:rPr>
              <w:t>EPA HQ Oversight Review of Audit &amp; Biennial Reports (40 hours per State submitting Biennial report; 25 hours per State only submitting Audit Report)</w:t>
            </w:r>
          </w:p>
        </w:tc>
        <w:tc>
          <w:tcPr>
            <w:tcW w:w="1260" w:type="dxa"/>
            <w:hideMark/>
          </w:tcPr>
          <w:p w:rsidR="00476274" w:rsidRPr="00B20AFA" w:rsidRDefault="00476274" w:rsidP="000D4CFE">
            <w:pPr>
              <w:autoSpaceDE w:val="0"/>
              <w:autoSpaceDN w:val="0"/>
              <w:adjustRightInd w:val="0"/>
              <w:jc w:val="right"/>
            </w:pPr>
            <w:r w:rsidRPr="00B20AFA">
              <w:t>1,665</w:t>
            </w:r>
          </w:p>
        </w:tc>
        <w:tc>
          <w:tcPr>
            <w:tcW w:w="1446" w:type="dxa"/>
            <w:noWrap/>
            <w:hideMark/>
          </w:tcPr>
          <w:p w:rsidR="00476274" w:rsidRPr="00B20AFA" w:rsidRDefault="00476274" w:rsidP="000D4CFE">
            <w:pPr>
              <w:autoSpaceDE w:val="0"/>
              <w:autoSpaceDN w:val="0"/>
              <w:adjustRightInd w:val="0"/>
              <w:jc w:val="right"/>
            </w:pPr>
            <w:r w:rsidRPr="00B20AFA">
              <w:t xml:space="preserve">$53.60 </w:t>
            </w:r>
          </w:p>
        </w:tc>
        <w:tc>
          <w:tcPr>
            <w:tcW w:w="1699" w:type="dxa"/>
            <w:tcBorders>
              <w:right w:val="double" w:sz="4" w:space="0" w:color="auto"/>
            </w:tcBorders>
            <w:noWrap/>
            <w:hideMark/>
          </w:tcPr>
          <w:p w:rsidR="00476274" w:rsidRPr="00B20AFA" w:rsidRDefault="00476274" w:rsidP="000D4CFE">
            <w:pPr>
              <w:autoSpaceDE w:val="0"/>
              <w:autoSpaceDN w:val="0"/>
              <w:adjustRightInd w:val="0"/>
              <w:jc w:val="right"/>
            </w:pPr>
            <w:r w:rsidRPr="00B20AFA">
              <w:t xml:space="preserve">$89,244.00 </w:t>
            </w:r>
          </w:p>
        </w:tc>
      </w:tr>
      <w:tr w:rsidR="00B20AFA" w:rsidRPr="00B20AFA" w:rsidTr="006A1FA2">
        <w:trPr>
          <w:trHeight w:val="1140"/>
        </w:trPr>
        <w:tc>
          <w:tcPr>
            <w:tcW w:w="4945" w:type="dxa"/>
            <w:tcBorders>
              <w:left w:val="double" w:sz="4" w:space="0" w:color="auto"/>
            </w:tcBorders>
            <w:hideMark/>
          </w:tcPr>
          <w:p w:rsidR="00476274" w:rsidRPr="00B20AFA" w:rsidRDefault="00476274" w:rsidP="00476274">
            <w:pPr>
              <w:autoSpaceDE w:val="0"/>
              <w:autoSpaceDN w:val="0"/>
              <w:adjustRightInd w:val="0"/>
              <w:rPr>
                <w:b/>
                <w:bCs/>
              </w:rPr>
            </w:pPr>
            <w:r w:rsidRPr="00B20AFA">
              <w:rPr>
                <w:b/>
                <w:bCs/>
              </w:rPr>
              <w:t>EPA Regional Oversight Review of Audit &amp; Biennial Reports (500 hours per State submitting Biennial report; 445 hours per State only submitting Audit Report)</w:t>
            </w:r>
          </w:p>
        </w:tc>
        <w:tc>
          <w:tcPr>
            <w:tcW w:w="1260" w:type="dxa"/>
            <w:noWrap/>
            <w:hideMark/>
          </w:tcPr>
          <w:p w:rsidR="00476274" w:rsidRPr="00B20AFA" w:rsidRDefault="00476274" w:rsidP="000D4CFE">
            <w:pPr>
              <w:autoSpaceDE w:val="0"/>
              <w:autoSpaceDN w:val="0"/>
              <w:adjustRightInd w:val="0"/>
              <w:jc w:val="right"/>
            </w:pPr>
            <w:r w:rsidRPr="00B20AFA">
              <w:t>24,125</w:t>
            </w:r>
          </w:p>
        </w:tc>
        <w:tc>
          <w:tcPr>
            <w:tcW w:w="1446" w:type="dxa"/>
            <w:noWrap/>
            <w:hideMark/>
          </w:tcPr>
          <w:p w:rsidR="00476274" w:rsidRPr="00B20AFA" w:rsidRDefault="00476274" w:rsidP="000D4CFE">
            <w:pPr>
              <w:autoSpaceDE w:val="0"/>
              <w:autoSpaceDN w:val="0"/>
              <w:adjustRightInd w:val="0"/>
              <w:jc w:val="right"/>
            </w:pPr>
            <w:r w:rsidRPr="00B20AFA">
              <w:t xml:space="preserve">$53.60 </w:t>
            </w:r>
          </w:p>
        </w:tc>
        <w:tc>
          <w:tcPr>
            <w:tcW w:w="1699" w:type="dxa"/>
            <w:tcBorders>
              <w:right w:val="double" w:sz="4" w:space="0" w:color="auto"/>
            </w:tcBorders>
            <w:noWrap/>
            <w:hideMark/>
          </w:tcPr>
          <w:p w:rsidR="00476274" w:rsidRPr="00B20AFA" w:rsidRDefault="00476274" w:rsidP="000D4CFE">
            <w:pPr>
              <w:autoSpaceDE w:val="0"/>
              <w:autoSpaceDN w:val="0"/>
              <w:adjustRightInd w:val="0"/>
              <w:jc w:val="right"/>
            </w:pPr>
            <w:r w:rsidRPr="00B20AFA">
              <w:t xml:space="preserve">$1,293,100.00 </w:t>
            </w:r>
          </w:p>
        </w:tc>
      </w:tr>
      <w:tr w:rsidR="00B20AFA" w:rsidRPr="00B20AFA" w:rsidTr="006A1FA2">
        <w:trPr>
          <w:trHeight w:val="570"/>
        </w:trPr>
        <w:tc>
          <w:tcPr>
            <w:tcW w:w="4945" w:type="dxa"/>
            <w:tcBorders>
              <w:left w:val="double" w:sz="4" w:space="0" w:color="auto"/>
            </w:tcBorders>
            <w:hideMark/>
          </w:tcPr>
          <w:p w:rsidR="00476274" w:rsidRPr="00B20AFA" w:rsidRDefault="00476274" w:rsidP="0073196B">
            <w:pPr>
              <w:autoSpaceDE w:val="0"/>
              <w:autoSpaceDN w:val="0"/>
              <w:adjustRightInd w:val="0"/>
              <w:rPr>
                <w:b/>
                <w:bCs/>
              </w:rPr>
            </w:pPr>
            <w:r w:rsidRPr="00B20AFA">
              <w:rPr>
                <w:b/>
                <w:bCs/>
              </w:rPr>
              <w:t>EPA HQ Review of DWNIMS and PBR Data (</w:t>
            </w:r>
            <w:r w:rsidR="0073196B" w:rsidRPr="00B20AFA">
              <w:rPr>
                <w:b/>
                <w:bCs/>
              </w:rPr>
              <w:t>1 hour</w:t>
            </w:r>
            <w:r w:rsidRPr="00B20AFA">
              <w:rPr>
                <w:b/>
                <w:bCs/>
              </w:rPr>
              <w:t xml:space="preserve"> per State submission)</w:t>
            </w:r>
          </w:p>
        </w:tc>
        <w:tc>
          <w:tcPr>
            <w:tcW w:w="1260" w:type="dxa"/>
            <w:noWrap/>
            <w:hideMark/>
          </w:tcPr>
          <w:p w:rsidR="00476274" w:rsidRPr="00B20AFA" w:rsidRDefault="0073196B" w:rsidP="000D4CFE">
            <w:pPr>
              <w:autoSpaceDE w:val="0"/>
              <w:autoSpaceDN w:val="0"/>
              <w:adjustRightInd w:val="0"/>
              <w:jc w:val="right"/>
            </w:pPr>
            <w:r w:rsidRPr="00B20AFA">
              <w:t>51</w:t>
            </w:r>
            <w:r w:rsidR="00476274" w:rsidRPr="00B20AFA">
              <w:t> </w:t>
            </w:r>
          </w:p>
        </w:tc>
        <w:tc>
          <w:tcPr>
            <w:tcW w:w="1446" w:type="dxa"/>
            <w:noWrap/>
            <w:hideMark/>
          </w:tcPr>
          <w:p w:rsidR="00476274" w:rsidRPr="00B20AFA" w:rsidRDefault="00476274" w:rsidP="000D4CFE">
            <w:pPr>
              <w:autoSpaceDE w:val="0"/>
              <w:autoSpaceDN w:val="0"/>
              <w:adjustRightInd w:val="0"/>
              <w:jc w:val="right"/>
            </w:pPr>
            <w:r w:rsidRPr="00B20AFA">
              <w:t xml:space="preserve">$53.60 </w:t>
            </w:r>
          </w:p>
        </w:tc>
        <w:tc>
          <w:tcPr>
            <w:tcW w:w="1699" w:type="dxa"/>
            <w:tcBorders>
              <w:right w:val="double" w:sz="4" w:space="0" w:color="auto"/>
            </w:tcBorders>
            <w:noWrap/>
            <w:hideMark/>
          </w:tcPr>
          <w:p w:rsidR="00476274" w:rsidRPr="00B20AFA" w:rsidRDefault="0073196B" w:rsidP="000D4CFE">
            <w:pPr>
              <w:autoSpaceDE w:val="0"/>
              <w:autoSpaceDN w:val="0"/>
              <w:adjustRightInd w:val="0"/>
              <w:jc w:val="right"/>
            </w:pPr>
            <w:r w:rsidRPr="00B20AFA">
              <w:t>$2,733.60</w:t>
            </w:r>
            <w:r w:rsidR="00476274" w:rsidRPr="00B20AFA">
              <w:t> </w:t>
            </w:r>
          </w:p>
        </w:tc>
      </w:tr>
      <w:tr w:rsidR="00B20AFA" w:rsidRPr="00B20AFA" w:rsidTr="006A1FA2">
        <w:trPr>
          <w:trHeight w:val="570"/>
        </w:trPr>
        <w:tc>
          <w:tcPr>
            <w:tcW w:w="4945" w:type="dxa"/>
            <w:tcBorders>
              <w:left w:val="double" w:sz="4" w:space="0" w:color="auto"/>
              <w:bottom w:val="single" w:sz="4" w:space="0" w:color="auto"/>
            </w:tcBorders>
            <w:hideMark/>
          </w:tcPr>
          <w:p w:rsidR="00476274" w:rsidRPr="00B20AFA" w:rsidRDefault="00476274" w:rsidP="00476274">
            <w:pPr>
              <w:autoSpaceDE w:val="0"/>
              <w:autoSpaceDN w:val="0"/>
              <w:adjustRightInd w:val="0"/>
              <w:rPr>
                <w:b/>
                <w:bCs/>
              </w:rPr>
            </w:pPr>
            <w:r w:rsidRPr="00B20AFA">
              <w:rPr>
                <w:b/>
                <w:bCs/>
              </w:rPr>
              <w:t xml:space="preserve">EPA Regional </w:t>
            </w:r>
            <w:r w:rsidR="0073196B" w:rsidRPr="00B20AFA">
              <w:rPr>
                <w:b/>
                <w:bCs/>
              </w:rPr>
              <w:t>Review of DWNIMS and PBR Data (2</w:t>
            </w:r>
            <w:r w:rsidRPr="00B20AFA">
              <w:rPr>
                <w:b/>
                <w:bCs/>
              </w:rPr>
              <w:t xml:space="preserve"> hours per State submission)</w:t>
            </w:r>
          </w:p>
        </w:tc>
        <w:tc>
          <w:tcPr>
            <w:tcW w:w="1260" w:type="dxa"/>
            <w:tcBorders>
              <w:bottom w:val="single" w:sz="4" w:space="0" w:color="auto"/>
            </w:tcBorders>
            <w:noWrap/>
            <w:hideMark/>
          </w:tcPr>
          <w:p w:rsidR="00476274" w:rsidRPr="00B20AFA" w:rsidRDefault="0073196B" w:rsidP="000D4CFE">
            <w:pPr>
              <w:autoSpaceDE w:val="0"/>
              <w:autoSpaceDN w:val="0"/>
              <w:adjustRightInd w:val="0"/>
              <w:jc w:val="right"/>
            </w:pPr>
            <w:r w:rsidRPr="00B20AFA">
              <w:t>102</w:t>
            </w:r>
            <w:r w:rsidR="00476274" w:rsidRPr="00B20AFA">
              <w:t> </w:t>
            </w:r>
          </w:p>
        </w:tc>
        <w:tc>
          <w:tcPr>
            <w:tcW w:w="1446" w:type="dxa"/>
            <w:tcBorders>
              <w:bottom w:val="single" w:sz="4" w:space="0" w:color="auto"/>
            </w:tcBorders>
            <w:noWrap/>
            <w:hideMark/>
          </w:tcPr>
          <w:p w:rsidR="00476274" w:rsidRPr="00B20AFA" w:rsidRDefault="00476274" w:rsidP="000D4CFE">
            <w:pPr>
              <w:autoSpaceDE w:val="0"/>
              <w:autoSpaceDN w:val="0"/>
              <w:adjustRightInd w:val="0"/>
              <w:jc w:val="right"/>
            </w:pPr>
            <w:r w:rsidRPr="00B20AFA">
              <w:t xml:space="preserve">$53.60 </w:t>
            </w:r>
          </w:p>
        </w:tc>
        <w:tc>
          <w:tcPr>
            <w:tcW w:w="1699" w:type="dxa"/>
            <w:tcBorders>
              <w:bottom w:val="single" w:sz="4" w:space="0" w:color="auto"/>
              <w:right w:val="double" w:sz="4" w:space="0" w:color="auto"/>
            </w:tcBorders>
            <w:noWrap/>
            <w:hideMark/>
          </w:tcPr>
          <w:p w:rsidR="00476274" w:rsidRPr="00B20AFA" w:rsidRDefault="0073196B" w:rsidP="000D4CFE">
            <w:pPr>
              <w:autoSpaceDE w:val="0"/>
              <w:autoSpaceDN w:val="0"/>
              <w:adjustRightInd w:val="0"/>
              <w:jc w:val="right"/>
            </w:pPr>
            <w:r w:rsidRPr="00B20AFA">
              <w:t>$5,467.20</w:t>
            </w:r>
            <w:r w:rsidR="00476274" w:rsidRPr="00B20AFA">
              <w:t> </w:t>
            </w:r>
          </w:p>
        </w:tc>
      </w:tr>
      <w:tr w:rsidR="00476274" w:rsidRPr="00B20AFA" w:rsidTr="000D4CFE">
        <w:trPr>
          <w:trHeight w:val="413"/>
        </w:trPr>
        <w:tc>
          <w:tcPr>
            <w:tcW w:w="4945" w:type="dxa"/>
            <w:tcBorders>
              <w:left w:val="double" w:sz="4" w:space="0" w:color="auto"/>
              <w:bottom w:val="double" w:sz="4" w:space="0" w:color="auto"/>
              <w:right w:val="nil"/>
            </w:tcBorders>
            <w:hideMark/>
          </w:tcPr>
          <w:p w:rsidR="00476274" w:rsidRPr="00B20AFA" w:rsidRDefault="00476274" w:rsidP="00476274">
            <w:pPr>
              <w:autoSpaceDE w:val="0"/>
              <w:autoSpaceDN w:val="0"/>
              <w:adjustRightInd w:val="0"/>
              <w:rPr>
                <w:b/>
                <w:bCs/>
              </w:rPr>
            </w:pPr>
            <w:r w:rsidRPr="00B20AFA">
              <w:rPr>
                <w:b/>
                <w:bCs/>
              </w:rPr>
              <w:t>Grand Total Fiscal Year 2016 Federal Cost</w:t>
            </w:r>
          </w:p>
        </w:tc>
        <w:tc>
          <w:tcPr>
            <w:tcW w:w="1260" w:type="dxa"/>
            <w:tcBorders>
              <w:left w:val="nil"/>
              <w:bottom w:val="double" w:sz="4" w:space="0" w:color="auto"/>
              <w:right w:val="nil"/>
            </w:tcBorders>
            <w:noWrap/>
            <w:hideMark/>
          </w:tcPr>
          <w:p w:rsidR="00476274" w:rsidRPr="00B20AFA" w:rsidRDefault="00476274" w:rsidP="00476274">
            <w:pPr>
              <w:autoSpaceDE w:val="0"/>
              <w:autoSpaceDN w:val="0"/>
              <w:adjustRightInd w:val="0"/>
            </w:pPr>
            <w:r w:rsidRPr="00B20AFA">
              <w:t> </w:t>
            </w:r>
          </w:p>
        </w:tc>
        <w:tc>
          <w:tcPr>
            <w:tcW w:w="1446" w:type="dxa"/>
            <w:tcBorders>
              <w:left w:val="nil"/>
              <w:bottom w:val="double" w:sz="4" w:space="0" w:color="auto"/>
              <w:right w:val="nil"/>
            </w:tcBorders>
            <w:noWrap/>
            <w:hideMark/>
          </w:tcPr>
          <w:p w:rsidR="00476274" w:rsidRPr="00B20AFA" w:rsidRDefault="00476274" w:rsidP="00476274">
            <w:pPr>
              <w:autoSpaceDE w:val="0"/>
              <w:autoSpaceDN w:val="0"/>
              <w:adjustRightInd w:val="0"/>
            </w:pPr>
            <w:r w:rsidRPr="00B20AFA">
              <w:t> </w:t>
            </w:r>
          </w:p>
        </w:tc>
        <w:tc>
          <w:tcPr>
            <w:tcW w:w="1699" w:type="dxa"/>
            <w:tcBorders>
              <w:left w:val="nil"/>
              <w:bottom w:val="double" w:sz="4" w:space="0" w:color="auto"/>
              <w:right w:val="double" w:sz="4" w:space="0" w:color="auto"/>
            </w:tcBorders>
            <w:noWrap/>
            <w:hideMark/>
          </w:tcPr>
          <w:p w:rsidR="00476274" w:rsidRPr="00B20AFA" w:rsidRDefault="00476274" w:rsidP="00735531">
            <w:pPr>
              <w:tabs>
                <w:tab w:val="center" w:pos="740"/>
              </w:tabs>
              <w:autoSpaceDE w:val="0"/>
              <w:autoSpaceDN w:val="0"/>
              <w:adjustRightInd w:val="0"/>
              <w:rPr>
                <w:b/>
              </w:rPr>
            </w:pPr>
            <w:r w:rsidRPr="00B20AFA">
              <w:rPr>
                <w:b/>
              </w:rPr>
              <w:t> </w:t>
            </w:r>
            <w:r w:rsidR="0073196B" w:rsidRPr="00B20AFA">
              <w:rPr>
                <w:b/>
              </w:rPr>
              <w:t>$</w:t>
            </w:r>
            <w:r w:rsidR="00735531" w:rsidRPr="00B20AFA">
              <w:rPr>
                <w:b/>
              </w:rPr>
              <w:t>2,388,308.80</w:t>
            </w:r>
          </w:p>
        </w:tc>
      </w:tr>
    </w:tbl>
    <w:p w:rsidR="003C511D" w:rsidRPr="00B20AFA" w:rsidRDefault="003C511D">
      <w:pPr>
        <w:autoSpaceDE w:val="0"/>
        <w:autoSpaceDN w:val="0"/>
        <w:adjustRightInd w:val="0"/>
      </w:pPr>
    </w:p>
    <w:p w:rsidR="003C511D" w:rsidRPr="00B20AFA" w:rsidRDefault="003C511D">
      <w:pPr>
        <w:autoSpaceDE w:val="0"/>
        <w:autoSpaceDN w:val="0"/>
        <w:adjustRightInd w:val="0"/>
      </w:pPr>
    </w:p>
    <w:p w:rsidR="00715C7E" w:rsidRPr="00B20AFA" w:rsidRDefault="00B20B84" w:rsidP="00715C7E">
      <w:pPr>
        <w:autoSpaceDE w:val="0"/>
        <w:autoSpaceDN w:val="0"/>
        <w:adjustRightInd w:val="0"/>
        <w:ind w:left="720"/>
        <w:rPr>
          <w:b/>
        </w:rPr>
      </w:pPr>
      <w:r w:rsidRPr="00B20AFA">
        <w:rPr>
          <w:b/>
        </w:rPr>
        <w:t>Table 1</w:t>
      </w:r>
      <w:r w:rsidR="00116F43" w:rsidRPr="00B20AFA">
        <w:rPr>
          <w:b/>
        </w:rPr>
        <w:t>1</w:t>
      </w:r>
      <w:r w:rsidRPr="00B20AFA">
        <w:rPr>
          <w:b/>
        </w:rPr>
        <w:t xml:space="preserve">.2: FY </w:t>
      </w:r>
      <w:r w:rsidR="00F32875" w:rsidRPr="00B20AFA">
        <w:rPr>
          <w:b/>
        </w:rPr>
        <w:t>2017</w:t>
      </w:r>
      <w:r w:rsidRPr="00B20AFA">
        <w:rPr>
          <w:b/>
        </w:rPr>
        <w:t xml:space="preserve"> EPA Burden Costs</w:t>
      </w:r>
    </w:p>
    <w:tbl>
      <w:tblPr>
        <w:tblStyle w:val="TableGrid"/>
        <w:tblW w:w="0" w:type="auto"/>
        <w:tblLook w:val="04A0" w:firstRow="1" w:lastRow="0" w:firstColumn="1" w:lastColumn="0" w:noHBand="0" w:noVBand="1"/>
      </w:tblPr>
      <w:tblGrid>
        <w:gridCol w:w="4933"/>
        <w:gridCol w:w="1258"/>
        <w:gridCol w:w="1443"/>
        <w:gridCol w:w="1696"/>
      </w:tblGrid>
      <w:tr w:rsidR="00B20AFA" w:rsidRPr="00B20AFA" w:rsidTr="00715C7E">
        <w:trPr>
          <w:trHeight w:val="390"/>
        </w:trPr>
        <w:tc>
          <w:tcPr>
            <w:tcW w:w="9330" w:type="dxa"/>
            <w:gridSpan w:val="4"/>
            <w:tcBorders>
              <w:top w:val="double" w:sz="4" w:space="0" w:color="auto"/>
              <w:left w:val="double" w:sz="4" w:space="0" w:color="auto"/>
              <w:right w:val="double" w:sz="4" w:space="0" w:color="auto"/>
            </w:tcBorders>
            <w:noWrap/>
            <w:hideMark/>
          </w:tcPr>
          <w:p w:rsidR="00715C7E" w:rsidRPr="00B20AFA" w:rsidRDefault="00715C7E" w:rsidP="00715C7E">
            <w:pPr>
              <w:autoSpaceDE w:val="0"/>
              <w:autoSpaceDN w:val="0"/>
              <w:adjustRightInd w:val="0"/>
              <w:jc w:val="center"/>
              <w:rPr>
                <w:b/>
                <w:bCs/>
              </w:rPr>
            </w:pPr>
            <w:r w:rsidRPr="00B20AFA">
              <w:rPr>
                <w:b/>
                <w:bCs/>
              </w:rPr>
              <w:t>Fiscal Year 2017</w:t>
            </w:r>
          </w:p>
        </w:tc>
      </w:tr>
      <w:tr w:rsidR="00B20AFA" w:rsidRPr="00B20AFA" w:rsidTr="00715C7E">
        <w:trPr>
          <w:trHeight w:val="315"/>
        </w:trPr>
        <w:tc>
          <w:tcPr>
            <w:tcW w:w="4933" w:type="dxa"/>
            <w:tcBorders>
              <w:left w:val="double" w:sz="4" w:space="0" w:color="auto"/>
            </w:tcBorders>
            <w:noWrap/>
            <w:vAlign w:val="center"/>
            <w:hideMark/>
          </w:tcPr>
          <w:p w:rsidR="00715C7E" w:rsidRPr="00B20AFA" w:rsidRDefault="00715C7E" w:rsidP="00715C7E">
            <w:pPr>
              <w:autoSpaceDE w:val="0"/>
              <w:autoSpaceDN w:val="0"/>
              <w:adjustRightInd w:val="0"/>
              <w:jc w:val="center"/>
              <w:rPr>
                <w:b/>
                <w:bCs/>
              </w:rPr>
            </w:pPr>
            <w:r w:rsidRPr="00B20AFA">
              <w:rPr>
                <w:b/>
                <w:bCs/>
              </w:rPr>
              <w:t>ICR</w:t>
            </w:r>
          </w:p>
        </w:tc>
        <w:tc>
          <w:tcPr>
            <w:tcW w:w="1258" w:type="dxa"/>
            <w:vAlign w:val="center"/>
            <w:hideMark/>
          </w:tcPr>
          <w:p w:rsidR="00715C7E" w:rsidRPr="00B20AFA" w:rsidRDefault="00715C7E" w:rsidP="00715C7E">
            <w:pPr>
              <w:autoSpaceDE w:val="0"/>
              <w:autoSpaceDN w:val="0"/>
              <w:adjustRightInd w:val="0"/>
              <w:jc w:val="center"/>
              <w:rPr>
                <w:b/>
                <w:bCs/>
              </w:rPr>
            </w:pPr>
            <w:r w:rsidRPr="00B20AFA">
              <w:rPr>
                <w:b/>
                <w:bCs/>
              </w:rPr>
              <w:t>Hours</w:t>
            </w:r>
          </w:p>
        </w:tc>
        <w:tc>
          <w:tcPr>
            <w:tcW w:w="1443" w:type="dxa"/>
            <w:vAlign w:val="center"/>
            <w:hideMark/>
          </w:tcPr>
          <w:p w:rsidR="00715C7E" w:rsidRPr="00B20AFA" w:rsidRDefault="00715C7E" w:rsidP="00715C7E">
            <w:pPr>
              <w:autoSpaceDE w:val="0"/>
              <w:autoSpaceDN w:val="0"/>
              <w:adjustRightInd w:val="0"/>
              <w:jc w:val="center"/>
              <w:rPr>
                <w:b/>
                <w:bCs/>
              </w:rPr>
            </w:pPr>
            <w:r w:rsidRPr="00B20AFA">
              <w:rPr>
                <w:b/>
                <w:bCs/>
              </w:rPr>
              <w:t>Cost Per Hour</w:t>
            </w:r>
          </w:p>
        </w:tc>
        <w:tc>
          <w:tcPr>
            <w:tcW w:w="1696" w:type="dxa"/>
            <w:tcBorders>
              <w:right w:val="double" w:sz="4" w:space="0" w:color="auto"/>
            </w:tcBorders>
            <w:vAlign w:val="center"/>
            <w:hideMark/>
          </w:tcPr>
          <w:p w:rsidR="00715C7E" w:rsidRPr="00B20AFA" w:rsidRDefault="00715C7E" w:rsidP="00715C7E">
            <w:pPr>
              <w:autoSpaceDE w:val="0"/>
              <w:autoSpaceDN w:val="0"/>
              <w:adjustRightInd w:val="0"/>
              <w:jc w:val="center"/>
              <w:rPr>
                <w:b/>
                <w:bCs/>
              </w:rPr>
            </w:pPr>
            <w:r w:rsidRPr="00B20AFA">
              <w:rPr>
                <w:b/>
                <w:bCs/>
              </w:rPr>
              <w:t>Agency Cost</w:t>
            </w:r>
          </w:p>
        </w:tc>
      </w:tr>
      <w:tr w:rsidR="00B20AFA" w:rsidRPr="00B20AFA" w:rsidTr="00715C7E">
        <w:trPr>
          <w:trHeight w:val="570"/>
        </w:trPr>
        <w:tc>
          <w:tcPr>
            <w:tcW w:w="4933" w:type="dxa"/>
            <w:tcBorders>
              <w:left w:val="double" w:sz="4" w:space="0" w:color="auto"/>
            </w:tcBorders>
            <w:hideMark/>
          </w:tcPr>
          <w:p w:rsidR="00715C7E" w:rsidRPr="00B20AFA" w:rsidRDefault="00715C7E" w:rsidP="00715C7E">
            <w:pPr>
              <w:autoSpaceDE w:val="0"/>
              <w:autoSpaceDN w:val="0"/>
              <w:adjustRightInd w:val="0"/>
              <w:rPr>
                <w:b/>
                <w:bCs/>
              </w:rPr>
            </w:pPr>
            <w:r w:rsidRPr="00B20AFA">
              <w:rPr>
                <w:b/>
                <w:bCs/>
              </w:rPr>
              <w:t>EPA HQ Review of IUP and Agreement Materials (15 hours per State submission)</w:t>
            </w:r>
          </w:p>
        </w:tc>
        <w:tc>
          <w:tcPr>
            <w:tcW w:w="1258" w:type="dxa"/>
            <w:noWrap/>
            <w:hideMark/>
          </w:tcPr>
          <w:p w:rsidR="00715C7E" w:rsidRPr="00B20AFA" w:rsidRDefault="00715C7E" w:rsidP="00715C7E">
            <w:pPr>
              <w:autoSpaceDE w:val="0"/>
              <w:autoSpaceDN w:val="0"/>
              <w:adjustRightInd w:val="0"/>
              <w:jc w:val="right"/>
            </w:pPr>
            <w:r w:rsidRPr="00B20AFA">
              <w:t>765</w:t>
            </w:r>
          </w:p>
        </w:tc>
        <w:tc>
          <w:tcPr>
            <w:tcW w:w="1443" w:type="dxa"/>
            <w:noWrap/>
            <w:hideMark/>
          </w:tcPr>
          <w:p w:rsidR="00715C7E" w:rsidRPr="00B20AFA" w:rsidRDefault="00715C7E" w:rsidP="00715C7E">
            <w:pPr>
              <w:autoSpaceDE w:val="0"/>
              <w:autoSpaceDN w:val="0"/>
              <w:adjustRightInd w:val="0"/>
              <w:jc w:val="right"/>
            </w:pPr>
            <w:r w:rsidRPr="00B20AFA">
              <w:t xml:space="preserve">$53.60 </w:t>
            </w:r>
          </w:p>
        </w:tc>
        <w:tc>
          <w:tcPr>
            <w:tcW w:w="1696" w:type="dxa"/>
            <w:tcBorders>
              <w:right w:val="double" w:sz="4" w:space="0" w:color="auto"/>
            </w:tcBorders>
            <w:noWrap/>
            <w:hideMark/>
          </w:tcPr>
          <w:p w:rsidR="00715C7E" w:rsidRPr="00B20AFA" w:rsidRDefault="00715C7E" w:rsidP="00715C7E">
            <w:pPr>
              <w:autoSpaceDE w:val="0"/>
              <w:autoSpaceDN w:val="0"/>
              <w:adjustRightInd w:val="0"/>
              <w:jc w:val="right"/>
            </w:pPr>
            <w:r w:rsidRPr="00B20AFA">
              <w:t xml:space="preserve">$41,004.00 </w:t>
            </w:r>
          </w:p>
        </w:tc>
      </w:tr>
      <w:tr w:rsidR="00B20AFA" w:rsidRPr="00B20AFA" w:rsidTr="00715C7E">
        <w:trPr>
          <w:trHeight w:val="665"/>
        </w:trPr>
        <w:tc>
          <w:tcPr>
            <w:tcW w:w="4933" w:type="dxa"/>
            <w:tcBorders>
              <w:left w:val="double" w:sz="4" w:space="0" w:color="auto"/>
            </w:tcBorders>
            <w:hideMark/>
          </w:tcPr>
          <w:p w:rsidR="00715C7E" w:rsidRPr="00B20AFA" w:rsidRDefault="00715C7E" w:rsidP="00715C7E">
            <w:pPr>
              <w:autoSpaceDE w:val="0"/>
              <w:autoSpaceDN w:val="0"/>
              <w:adjustRightInd w:val="0"/>
              <w:rPr>
                <w:b/>
                <w:bCs/>
              </w:rPr>
            </w:pPr>
            <w:r w:rsidRPr="00B20AFA">
              <w:rPr>
                <w:b/>
                <w:bCs/>
              </w:rPr>
              <w:t>EPA Regional Review of IUP and Agreement Materials (350 hours per State submission)</w:t>
            </w:r>
          </w:p>
        </w:tc>
        <w:tc>
          <w:tcPr>
            <w:tcW w:w="1258" w:type="dxa"/>
            <w:noWrap/>
            <w:hideMark/>
          </w:tcPr>
          <w:p w:rsidR="00715C7E" w:rsidRPr="00B20AFA" w:rsidRDefault="00715C7E" w:rsidP="00715C7E">
            <w:pPr>
              <w:autoSpaceDE w:val="0"/>
              <w:autoSpaceDN w:val="0"/>
              <w:adjustRightInd w:val="0"/>
              <w:jc w:val="right"/>
            </w:pPr>
            <w:r w:rsidRPr="00B20AFA">
              <w:t>17,850</w:t>
            </w:r>
          </w:p>
        </w:tc>
        <w:tc>
          <w:tcPr>
            <w:tcW w:w="1443" w:type="dxa"/>
            <w:noWrap/>
            <w:hideMark/>
          </w:tcPr>
          <w:p w:rsidR="00715C7E" w:rsidRPr="00B20AFA" w:rsidRDefault="00715C7E" w:rsidP="00715C7E">
            <w:pPr>
              <w:autoSpaceDE w:val="0"/>
              <w:autoSpaceDN w:val="0"/>
              <w:adjustRightInd w:val="0"/>
              <w:jc w:val="right"/>
            </w:pPr>
            <w:r w:rsidRPr="00B20AFA">
              <w:t xml:space="preserve">$53.60 </w:t>
            </w:r>
          </w:p>
        </w:tc>
        <w:tc>
          <w:tcPr>
            <w:tcW w:w="1696" w:type="dxa"/>
            <w:tcBorders>
              <w:right w:val="double" w:sz="4" w:space="0" w:color="auto"/>
            </w:tcBorders>
            <w:noWrap/>
            <w:hideMark/>
          </w:tcPr>
          <w:p w:rsidR="00715C7E" w:rsidRPr="00B20AFA" w:rsidRDefault="00715C7E" w:rsidP="00715C7E">
            <w:pPr>
              <w:autoSpaceDE w:val="0"/>
              <w:autoSpaceDN w:val="0"/>
              <w:adjustRightInd w:val="0"/>
              <w:jc w:val="right"/>
            </w:pPr>
            <w:r w:rsidRPr="00B20AFA">
              <w:t xml:space="preserve">$956,760.00 </w:t>
            </w:r>
          </w:p>
        </w:tc>
      </w:tr>
      <w:tr w:rsidR="00B20AFA" w:rsidRPr="00B20AFA" w:rsidTr="006A1FA2">
        <w:trPr>
          <w:trHeight w:val="1140"/>
        </w:trPr>
        <w:tc>
          <w:tcPr>
            <w:tcW w:w="4933" w:type="dxa"/>
            <w:tcBorders>
              <w:left w:val="double" w:sz="4" w:space="0" w:color="auto"/>
            </w:tcBorders>
            <w:hideMark/>
          </w:tcPr>
          <w:p w:rsidR="00715C7E" w:rsidRPr="00B20AFA" w:rsidRDefault="00715C7E" w:rsidP="00715C7E">
            <w:pPr>
              <w:autoSpaceDE w:val="0"/>
              <w:autoSpaceDN w:val="0"/>
              <w:adjustRightInd w:val="0"/>
              <w:rPr>
                <w:b/>
                <w:bCs/>
              </w:rPr>
            </w:pPr>
            <w:r w:rsidRPr="00B20AFA">
              <w:rPr>
                <w:b/>
                <w:bCs/>
              </w:rPr>
              <w:t>EPA HQ Oversight Review of Audit &amp; Biennial Reports (40 hours per State submitting Biennial report; 25 hours per State only submitting Audit Report)</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C7E" w:rsidRPr="00B20AFA" w:rsidRDefault="00715C7E" w:rsidP="00715C7E">
            <w:pPr>
              <w:autoSpaceDE w:val="0"/>
              <w:autoSpaceDN w:val="0"/>
              <w:adjustRightInd w:val="0"/>
              <w:jc w:val="right"/>
            </w:pPr>
            <w:r w:rsidRPr="00B20AFA">
              <w:t>1,650</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rsidR="00715C7E" w:rsidRPr="00B20AFA" w:rsidRDefault="00715C7E" w:rsidP="00715C7E">
            <w:pPr>
              <w:autoSpaceDE w:val="0"/>
              <w:autoSpaceDN w:val="0"/>
              <w:adjustRightInd w:val="0"/>
              <w:jc w:val="right"/>
            </w:pPr>
            <w:r w:rsidRPr="00B20AFA">
              <w:t xml:space="preserve">$53.60 </w:t>
            </w:r>
          </w:p>
        </w:tc>
        <w:tc>
          <w:tcPr>
            <w:tcW w:w="1696" w:type="dxa"/>
            <w:tcBorders>
              <w:top w:val="single" w:sz="4" w:space="0" w:color="auto"/>
              <w:left w:val="nil"/>
              <w:bottom w:val="single" w:sz="4" w:space="0" w:color="auto"/>
              <w:right w:val="double" w:sz="6" w:space="0" w:color="auto"/>
            </w:tcBorders>
            <w:shd w:val="clear" w:color="auto" w:fill="auto"/>
            <w:noWrap/>
            <w:vAlign w:val="center"/>
            <w:hideMark/>
          </w:tcPr>
          <w:p w:rsidR="00715C7E" w:rsidRPr="00B20AFA" w:rsidRDefault="00715C7E" w:rsidP="00715C7E">
            <w:pPr>
              <w:autoSpaceDE w:val="0"/>
              <w:autoSpaceDN w:val="0"/>
              <w:adjustRightInd w:val="0"/>
              <w:jc w:val="right"/>
            </w:pPr>
            <w:r w:rsidRPr="00B20AFA">
              <w:t xml:space="preserve">$88,440.00 </w:t>
            </w:r>
          </w:p>
        </w:tc>
      </w:tr>
      <w:tr w:rsidR="00B20AFA" w:rsidRPr="00B20AFA" w:rsidTr="006A1FA2">
        <w:trPr>
          <w:trHeight w:val="1140"/>
        </w:trPr>
        <w:tc>
          <w:tcPr>
            <w:tcW w:w="4933" w:type="dxa"/>
            <w:tcBorders>
              <w:left w:val="double" w:sz="4" w:space="0" w:color="auto"/>
            </w:tcBorders>
            <w:hideMark/>
          </w:tcPr>
          <w:p w:rsidR="00715C7E" w:rsidRPr="00B20AFA" w:rsidRDefault="00715C7E" w:rsidP="00715C7E">
            <w:pPr>
              <w:autoSpaceDE w:val="0"/>
              <w:autoSpaceDN w:val="0"/>
              <w:adjustRightInd w:val="0"/>
              <w:rPr>
                <w:b/>
                <w:bCs/>
              </w:rPr>
            </w:pPr>
            <w:r w:rsidRPr="00B20AFA">
              <w:rPr>
                <w:b/>
                <w:bCs/>
              </w:rPr>
              <w:t>EPA Regional Oversight Review of Audit &amp; Biennial Reports (500 hours per State submitting Biennial report; 445 hours per State only submitting Audit Report)</w:t>
            </w:r>
          </w:p>
        </w:tc>
        <w:tc>
          <w:tcPr>
            <w:tcW w:w="1258" w:type="dxa"/>
            <w:tcBorders>
              <w:top w:val="nil"/>
              <w:left w:val="single" w:sz="4" w:space="0" w:color="auto"/>
              <w:bottom w:val="single" w:sz="4" w:space="0" w:color="auto"/>
              <w:right w:val="single" w:sz="4" w:space="0" w:color="auto"/>
            </w:tcBorders>
            <w:shd w:val="clear" w:color="auto" w:fill="auto"/>
            <w:noWrap/>
            <w:vAlign w:val="center"/>
            <w:hideMark/>
          </w:tcPr>
          <w:p w:rsidR="00715C7E" w:rsidRPr="00B20AFA" w:rsidRDefault="00715C7E" w:rsidP="00715C7E">
            <w:pPr>
              <w:autoSpaceDE w:val="0"/>
              <w:autoSpaceDN w:val="0"/>
              <w:adjustRightInd w:val="0"/>
              <w:jc w:val="right"/>
            </w:pPr>
            <w:r w:rsidRPr="00B20AFA">
              <w:t>25,500</w:t>
            </w:r>
          </w:p>
        </w:tc>
        <w:tc>
          <w:tcPr>
            <w:tcW w:w="1443" w:type="dxa"/>
            <w:tcBorders>
              <w:top w:val="nil"/>
              <w:left w:val="nil"/>
              <w:bottom w:val="single" w:sz="4" w:space="0" w:color="auto"/>
              <w:right w:val="single" w:sz="4" w:space="0" w:color="auto"/>
            </w:tcBorders>
            <w:shd w:val="clear" w:color="auto" w:fill="auto"/>
            <w:noWrap/>
            <w:vAlign w:val="center"/>
            <w:hideMark/>
          </w:tcPr>
          <w:p w:rsidR="00715C7E" w:rsidRPr="00B20AFA" w:rsidRDefault="00715C7E" w:rsidP="00715C7E">
            <w:pPr>
              <w:autoSpaceDE w:val="0"/>
              <w:autoSpaceDN w:val="0"/>
              <w:adjustRightInd w:val="0"/>
              <w:jc w:val="right"/>
            </w:pPr>
            <w:r w:rsidRPr="00B20AFA">
              <w:t xml:space="preserve">$53.60 </w:t>
            </w:r>
          </w:p>
        </w:tc>
        <w:tc>
          <w:tcPr>
            <w:tcW w:w="1696" w:type="dxa"/>
            <w:tcBorders>
              <w:top w:val="nil"/>
              <w:left w:val="nil"/>
              <w:bottom w:val="single" w:sz="4" w:space="0" w:color="auto"/>
              <w:right w:val="double" w:sz="6" w:space="0" w:color="auto"/>
            </w:tcBorders>
            <w:shd w:val="clear" w:color="auto" w:fill="auto"/>
            <w:noWrap/>
            <w:vAlign w:val="center"/>
            <w:hideMark/>
          </w:tcPr>
          <w:p w:rsidR="00715C7E" w:rsidRPr="00B20AFA" w:rsidRDefault="00715C7E" w:rsidP="00715C7E">
            <w:pPr>
              <w:autoSpaceDE w:val="0"/>
              <w:autoSpaceDN w:val="0"/>
              <w:adjustRightInd w:val="0"/>
              <w:jc w:val="right"/>
            </w:pPr>
            <w:r w:rsidRPr="00B20AFA">
              <w:t xml:space="preserve">$1,366,800.00 </w:t>
            </w:r>
          </w:p>
        </w:tc>
      </w:tr>
      <w:tr w:rsidR="00B20AFA" w:rsidRPr="00B20AFA" w:rsidTr="00715C7E">
        <w:trPr>
          <w:trHeight w:val="570"/>
        </w:trPr>
        <w:tc>
          <w:tcPr>
            <w:tcW w:w="4933" w:type="dxa"/>
            <w:tcBorders>
              <w:left w:val="double" w:sz="4" w:space="0" w:color="auto"/>
            </w:tcBorders>
            <w:hideMark/>
          </w:tcPr>
          <w:p w:rsidR="0073196B" w:rsidRPr="00B20AFA" w:rsidRDefault="0073196B" w:rsidP="0073196B">
            <w:pPr>
              <w:autoSpaceDE w:val="0"/>
              <w:autoSpaceDN w:val="0"/>
              <w:adjustRightInd w:val="0"/>
              <w:rPr>
                <w:b/>
                <w:bCs/>
              </w:rPr>
            </w:pPr>
            <w:r w:rsidRPr="00B20AFA">
              <w:rPr>
                <w:b/>
                <w:bCs/>
              </w:rPr>
              <w:t>EPA HQ Review of DWNIMS and PBR Data (1 hour per State submission)</w:t>
            </w:r>
          </w:p>
        </w:tc>
        <w:tc>
          <w:tcPr>
            <w:tcW w:w="1258" w:type="dxa"/>
            <w:noWrap/>
            <w:hideMark/>
          </w:tcPr>
          <w:p w:rsidR="0073196B" w:rsidRPr="00B20AFA" w:rsidRDefault="0073196B" w:rsidP="0073196B">
            <w:pPr>
              <w:autoSpaceDE w:val="0"/>
              <w:autoSpaceDN w:val="0"/>
              <w:adjustRightInd w:val="0"/>
              <w:jc w:val="right"/>
            </w:pPr>
            <w:r w:rsidRPr="00B20AFA">
              <w:t>51 </w:t>
            </w:r>
          </w:p>
        </w:tc>
        <w:tc>
          <w:tcPr>
            <w:tcW w:w="1443" w:type="dxa"/>
            <w:noWrap/>
            <w:hideMark/>
          </w:tcPr>
          <w:p w:rsidR="0073196B" w:rsidRPr="00B20AFA" w:rsidRDefault="0073196B" w:rsidP="0073196B">
            <w:pPr>
              <w:autoSpaceDE w:val="0"/>
              <w:autoSpaceDN w:val="0"/>
              <w:adjustRightInd w:val="0"/>
              <w:jc w:val="right"/>
            </w:pPr>
            <w:r w:rsidRPr="00B20AFA">
              <w:t xml:space="preserve">$53.60 </w:t>
            </w:r>
          </w:p>
        </w:tc>
        <w:tc>
          <w:tcPr>
            <w:tcW w:w="1696" w:type="dxa"/>
            <w:tcBorders>
              <w:right w:val="double" w:sz="4" w:space="0" w:color="auto"/>
            </w:tcBorders>
            <w:noWrap/>
            <w:hideMark/>
          </w:tcPr>
          <w:p w:rsidR="0073196B" w:rsidRPr="00B20AFA" w:rsidRDefault="0073196B" w:rsidP="0073196B">
            <w:pPr>
              <w:autoSpaceDE w:val="0"/>
              <w:autoSpaceDN w:val="0"/>
              <w:adjustRightInd w:val="0"/>
              <w:jc w:val="right"/>
            </w:pPr>
            <w:r w:rsidRPr="00B20AFA">
              <w:t>$2,733.60 </w:t>
            </w:r>
          </w:p>
        </w:tc>
      </w:tr>
      <w:tr w:rsidR="00B20AFA" w:rsidRPr="00B20AFA" w:rsidTr="00715C7E">
        <w:trPr>
          <w:trHeight w:val="570"/>
        </w:trPr>
        <w:tc>
          <w:tcPr>
            <w:tcW w:w="4933" w:type="dxa"/>
            <w:tcBorders>
              <w:left w:val="double" w:sz="4" w:space="0" w:color="auto"/>
              <w:bottom w:val="single" w:sz="4" w:space="0" w:color="auto"/>
            </w:tcBorders>
            <w:hideMark/>
          </w:tcPr>
          <w:p w:rsidR="0073196B" w:rsidRPr="00B20AFA" w:rsidRDefault="0073196B" w:rsidP="0073196B">
            <w:pPr>
              <w:autoSpaceDE w:val="0"/>
              <w:autoSpaceDN w:val="0"/>
              <w:adjustRightInd w:val="0"/>
              <w:rPr>
                <w:b/>
                <w:bCs/>
              </w:rPr>
            </w:pPr>
            <w:r w:rsidRPr="00B20AFA">
              <w:rPr>
                <w:b/>
                <w:bCs/>
              </w:rPr>
              <w:t>EPA Regional Review of DWNIMS and PBR Data (2 hours per State submission)</w:t>
            </w:r>
          </w:p>
        </w:tc>
        <w:tc>
          <w:tcPr>
            <w:tcW w:w="1258" w:type="dxa"/>
            <w:tcBorders>
              <w:bottom w:val="single" w:sz="4" w:space="0" w:color="auto"/>
            </w:tcBorders>
            <w:noWrap/>
            <w:hideMark/>
          </w:tcPr>
          <w:p w:rsidR="0073196B" w:rsidRPr="00B20AFA" w:rsidRDefault="0073196B" w:rsidP="0073196B">
            <w:pPr>
              <w:autoSpaceDE w:val="0"/>
              <w:autoSpaceDN w:val="0"/>
              <w:adjustRightInd w:val="0"/>
              <w:jc w:val="right"/>
            </w:pPr>
            <w:r w:rsidRPr="00B20AFA">
              <w:t>102 </w:t>
            </w:r>
          </w:p>
        </w:tc>
        <w:tc>
          <w:tcPr>
            <w:tcW w:w="1443" w:type="dxa"/>
            <w:tcBorders>
              <w:bottom w:val="single" w:sz="4" w:space="0" w:color="auto"/>
            </w:tcBorders>
            <w:noWrap/>
            <w:hideMark/>
          </w:tcPr>
          <w:p w:rsidR="0073196B" w:rsidRPr="00B20AFA" w:rsidRDefault="0073196B" w:rsidP="0073196B">
            <w:pPr>
              <w:autoSpaceDE w:val="0"/>
              <w:autoSpaceDN w:val="0"/>
              <w:adjustRightInd w:val="0"/>
              <w:jc w:val="right"/>
            </w:pPr>
            <w:r w:rsidRPr="00B20AFA">
              <w:t xml:space="preserve">$53.60 </w:t>
            </w:r>
          </w:p>
        </w:tc>
        <w:tc>
          <w:tcPr>
            <w:tcW w:w="1696" w:type="dxa"/>
            <w:tcBorders>
              <w:bottom w:val="single" w:sz="4" w:space="0" w:color="auto"/>
              <w:right w:val="double" w:sz="4" w:space="0" w:color="auto"/>
            </w:tcBorders>
            <w:noWrap/>
            <w:hideMark/>
          </w:tcPr>
          <w:p w:rsidR="0073196B" w:rsidRPr="00B20AFA" w:rsidRDefault="0073196B" w:rsidP="0073196B">
            <w:pPr>
              <w:autoSpaceDE w:val="0"/>
              <w:autoSpaceDN w:val="0"/>
              <w:adjustRightInd w:val="0"/>
              <w:jc w:val="right"/>
            </w:pPr>
            <w:r w:rsidRPr="00B20AFA">
              <w:t>$5,467.20 </w:t>
            </w:r>
          </w:p>
        </w:tc>
      </w:tr>
      <w:tr w:rsidR="0073196B" w:rsidRPr="00B20AFA" w:rsidTr="00715C7E">
        <w:trPr>
          <w:trHeight w:val="413"/>
        </w:trPr>
        <w:tc>
          <w:tcPr>
            <w:tcW w:w="4933" w:type="dxa"/>
            <w:tcBorders>
              <w:left w:val="double" w:sz="4" w:space="0" w:color="auto"/>
              <w:bottom w:val="double" w:sz="4" w:space="0" w:color="auto"/>
              <w:right w:val="nil"/>
            </w:tcBorders>
            <w:hideMark/>
          </w:tcPr>
          <w:p w:rsidR="0073196B" w:rsidRPr="00B20AFA" w:rsidRDefault="0073196B" w:rsidP="0073196B">
            <w:pPr>
              <w:autoSpaceDE w:val="0"/>
              <w:autoSpaceDN w:val="0"/>
              <w:adjustRightInd w:val="0"/>
              <w:rPr>
                <w:b/>
                <w:bCs/>
              </w:rPr>
            </w:pPr>
            <w:r w:rsidRPr="00B20AFA">
              <w:rPr>
                <w:b/>
                <w:bCs/>
              </w:rPr>
              <w:lastRenderedPageBreak/>
              <w:t>Grand Total Fiscal Year 2017 Federal Cost</w:t>
            </w:r>
          </w:p>
        </w:tc>
        <w:tc>
          <w:tcPr>
            <w:tcW w:w="1258" w:type="dxa"/>
            <w:tcBorders>
              <w:left w:val="nil"/>
              <w:bottom w:val="double" w:sz="4" w:space="0" w:color="auto"/>
              <w:right w:val="nil"/>
            </w:tcBorders>
            <w:noWrap/>
            <w:hideMark/>
          </w:tcPr>
          <w:p w:rsidR="0073196B" w:rsidRPr="00B20AFA" w:rsidRDefault="0073196B" w:rsidP="0073196B">
            <w:pPr>
              <w:autoSpaceDE w:val="0"/>
              <w:autoSpaceDN w:val="0"/>
              <w:adjustRightInd w:val="0"/>
            </w:pPr>
            <w:r w:rsidRPr="00B20AFA">
              <w:t> </w:t>
            </w:r>
          </w:p>
        </w:tc>
        <w:tc>
          <w:tcPr>
            <w:tcW w:w="1443" w:type="dxa"/>
            <w:tcBorders>
              <w:left w:val="nil"/>
              <w:bottom w:val="double" w:sz="4" w:space="0" w:color="auto"/>
              <w:right w:val="nil"/>
            </w:tcBorders>
            <w:noWrap/>
            <w:hideMark/>
          </w:tcPr>
          <w:p w:rsidR="0073196B" w:rsidRPr="00B20AFA" w:rsidRDefault="0073196B" w:rsidP="0073196B">
            <w:pPr>
              <w:autoSpaceDE w:val="0"/>
              <w:autoSpaceDN w:val="0"/>
              <w:adjustRightInd w:val="0"/>
            </w:pPr>
            <w:r w:rsidRPr="00B20AFA">
              <w:t> </w:t>
            </w:r>
          </w:p>
        </w:tc>
        <w:tc>
          <w:tcPr>
            <w:tcW w:w="1696" w:type="dxa"/>
            <w:tcBorders>
              <w:left w:val="nil"/>
              <w:bottom w:val="double" w:sz="4" w:space="0" w:color="auto"/>
              <w:right w:val="double" w:sz="4" w:space="0" w:color="auto"/>
            </w:tcBorders>
            <w:noWrap/>
            <w:hideMark/>
          </w:tcPr>
          <w:p w:rsidR="0073196B" w:rsidRPr="00B20AFA" w:rsidRDefault="0073196B" w:rsidP="00735531">
            <w:pPr>
              <w:tabs>
                <w:tab w:val="center" w:pos="740"/>
              </w:tabs>
              <w:autoSpaceDE w:val="0"/>
              <w:autoSpaceDN w:val="0"/>
              <w:adjustRightInd w:val="0"/>
              <w:rPr>
                <w:b/>
              </w:rPr>
            </w:pPr>
            <w:r w:rsidRPr="00B20AFA">
              <w:rPr>
                <w:b/>
              </w:rPr>
              <w:t> </w:t>
            </w:r>
            <w:r w:rsidRPr="00B20AFA">
              <w:rPr>
                <w:b/>
              </w:rPr>
              <w:tab/>
              <w:t>$</w:t>
            </w:r>
            <w:r w:rsidR="00735531" w:rsidRPr="00B20AFA">
              <w:rPr>
                <w:b/>
              </w:rPr>
              <w:t>2,461,204.80</w:t>
            </w:r>
          </w:p>
        </w:tc>
      </w:tr>
    </w:tbl>
    <w:p w:rsidR="00715C7E" w:rsidRPr="00B20AFA" w:rsidRDefault="00715C7E" w:rsidP="00715C7E">
      <w:pPr>
        <w:autoSpaceDE w:val="0"/>
        <w:autoSpaceDN w:val="0"/>
        <w:adjustRightInd w:val="0"/>
      </w:pPr>
    </w:p>
    <w:p w:rsidR="00BE36E3" w:rsidRPr="00B20AFA" w:rsidRDefault="00BE36E3" w:rsidP="000D4CFE">
      <w:pPr>
        <w:autoSpaceDE w:val="0"/>
        <w:autoSpaceDN w:val="0"/>
        <w:adjustRightInd w:val="0"/>
        <w:ind w:left="720"/>
      </w:pPr>
    </w:p>
    <w:p w:rsidR="00B27361" w:rsidRPr="00B20AFA" w:rsidRDefault="00116F43" w:rsidP="00017B7E">
      <w:pPr>
        <w:autoSpaceDE w:val="0"/>
        <w:autoSpaceDN w:val="0"/>
        <w:adjustRightInd w:val="0"/>
        <w:ind w:left="720"/>
        <w:rPr>
          <w:b/>
        </w:rPr>
      </w:pPr>
      <w:r w:rsidRPr="00B20AFA">
        <w:rPr>
          <w:b/>
        </w:rPr>
        <w:t>Table 11</w:t>
      </w:r>
      <w:r w:rsidR="00B20B84" w:rsidRPr="00B20AFA">
        <w:rPr>
          <w:b/>
        </w:rPr>
        <w:t xml:space="preserve">.3: FY </w:t>
      </w:r>
      <w:r w:rsidR="00F32875" w:rsidRPr="00B20AFA">
        <w:rPr>
          <w:b/>
        </w:rPr>
        <w:t>2018</w:t>
      </w:r>
      <w:r w:rsidR="00B20B84" w:rsidRPr="00B20AFA">
        <w:rPr>
          <w:b/>
        </w:rPr>
        <w:t xml:space="preserve"> EPA Burden Costs</w:t>
      </w:r>
    </w:p>
    <w:tbl>
      <w:tblPr>
        <w:tblStyle w:val="TableGrid"/>
        <w:tblW w:w="0" w:type="auto"/>
        <w:tblLook w:val="04A0" w:firstRow="1" w:lastRow="0" w:firstColumn="1" w:lastColumn="0" w:noHBand="0" w:noVBand="1"/>
      </w:tblPr>
      <w:tblGrid>
        <w:gridCol w:w="4933"/>
        <w:gridCol w:w="1258"/>
        <w:gridCol w:w="1443"/>
        <w:gridCol w:w="1696"/>
      </w:tblGrid>
      <w:tr w:rsidR="00B20AFA" w:rsidRPr="00B20AFA" w:rsidTr="000D4CFE">
        <w:trPr>
          <w:trHeight w:val="390"/>
        </w:trPr>
        <w:tc>
          <w:tcPr>
            <w:tcW w:w="9330" w:type="dxa"/>
            <w:gridSpan w:val="4"/>
            <w:tcBorders>
              <w:top w:val="double" w:sz="4" w:space="0" w:color="auto"/>
              <w:left w:val="double" w:sz="4" w:space="0" w:color="auto"/>
              <w:right w:val="double" w:sz="4" w:space="0" w:color="auto"/>
            </w:tcBorders>
            <w:noWrap/>
            <w:hideMark/>
          </w:tcPr>
          <w:p w:rsidR="0080144B" w:rsidRPr="00B20AFA" w:rsidRDefault="0080144B" w:rsidP="00715C7E">
            <w:pPr>
              <w:autoSpaceDE w:val="0"/>
              <w:autoSpaceDN w:val="0"/>
              <w:adjustRightInd w:val="0"/>
              <w:jc w:val="center"/>
              <w:rPr>
                <w:b/>
                <w:bCs/>
              </w:rPr>
            </w:pPr>
            <w:r w:rsidRPr="00B20AFA">
              <w:rPr>
                <w:b/>
                <w:bCs/>
              </w:rPr>
              <w:t>Fiscal Year 2018</w:t>
            </w:r>
          </w:p>
        </w:tc>
      </w:tr>
      <w:tr w:rsidR="00B20AFA" w:rsidRPr="00B20AFA" w:rsidTr="000D4CFE">
        <w:trPr>
          <w:trHeight w:val="315"/>
        </w:trPr>
        <w:tc>
          <w:tcPr>
            <w:tcW w:w="4933" w:type="dxa"/>
            <w:tcBorders>
              <w:left w:val="double" w:sz="4" w:space="0" w:color="auto"/>
            </w:tcBorders>
            <w:noWrap/>
            <w:vAlign w:val="center"/>
            <w:hideMark/>
          </w:tcPr>
          <w:p w:rsidR="0080144B" w:rsidRPr="00B20AFA" w:rsidRDefault="0080144B" w:rsidP="00715C7E">
            <w:pPr>
              <w:autoSpaceDE w:val="0"/>
              <w:autoSpaceDN w:val="0"/>
              <w:adjustRightInd w:val="0"/>
              <w:jc w:val="center"/>
              <w:rPr>
                <w:b/>
                <w:bCs/>
              </w:rPr>
            </w:pPr>
            <w:r w:rsidRPr="00B20AFA">
              <w:rPr>
                <w:b/>
                <w:bCs/>
              </w:rPr>
              <w:t>ICR</w:t>
            </w:r>
          </w:p>
        </w:tc>
        <w:tc>
          <w:tcPr>
            <w:tcW w:w="1258" w:type="dxa"/>
            <w:vAlign w:val="center"/>
            <w:hideMark/>
          </w:tcPr>
          <w:p w:rsidR="0080144B" w:rsidRPr="00B20AFA" w:rsidRDefault="0080144B" w:rsidP="00715C7E">
            <w:pPr>
              <w:autoSpaceDE w:val="0"/>
              <w:autoSpaceDN w:val="0"/>
              <w:adjustRightInd w:val="0"/>
              <w:jc w:val="center"/>
              <w:rPr>
                <w:b/>
                <w:bCs/>
              </w:rPr>
            </w:pPr>
            <w:r w:rsidRPr="00B20AFA">
              <w:rPr>
                <w:b/>
                <w:bCs/>
              </w:rPr>
              <w:t>Hours</w:t>
            </w:r>
          </w:p>
        </w:tc>
        <w:tc>
          <w:tcPr>
            <w:tcW w:w="1443" w:type="dxa"/>
            <w:vAlign w:val="center"/>
            <w:hideMark/>
          </w:tcPr>
          <w:p w:rsidR="0080144B" w:rsidRPr="00B20AFA" w:rsidRDefault="0080144B" w:rsidP="00715C7E">
            <w:pPr>
              <w:autoSpaceDE w:val="0"/>
              <w:autoSpaceDN w:val="0"/>
              <w:adjustRightInd w:val="0"/>
              <w:jc w:val="center"/>
              <w:rPr>
                <w:b/>
                <w:bCs/>
              </w:rPr>
            </w:pPr>
            <w:r w:rsidRPr="00B20AFA">
              <w:rPr>
                <w:b/>
                <w:bCs/>
              </w:rPr>
              <w:t>Cost Per Hour</w:t>
            </w:r>
          </w:p>
        </w:tc>
        <w:tc>
          <w:tcPr>
            <w:tcW w:w="1696" w:type="dxa"/>
            <w:tcBorders>
              <w:right w:val="double" w:sz="4" w:space="0" w:color="auto"/>
            </w:tcBorders>
            <w:vAlign w:val="center"/>
            <w:hideMark/>
          </w:tcPr>
          <w:p w:rsidR="0080144B" w:rsidRPr="00B20AFA" w:rsidRDefault="0080144B" w:rsidP="00715C7E">
            <w:pPr>
              <w:autoSpaceDE w:val="0"/>
              <w:autoSpaceDN w:val="0"/>
              <w:adjustRightInd w:val="0"/>
              <w:jc w:val="center"/>
              <w:rPr>
                <w:b/>
                <w:bCs/>
              </w:rPr>
            </w:pPr>
            <w:r w:rsidRPr="00B20AFA">
              <w:rPr>
                <w:b/>
                <w:bCs/>
              </w:rPr>
              <w:t>Agency Cost</w:t>
            </w:r>
          </w:p>
        </w:tc>
      </w:tr>
      <w:tr w:rsidR="00B20AFA" w:rsidRPr="00B20AFA" w:rsidTr="000D4CFE">
        <w:trPr>
          <w:trHeight w:val="570"/>
        </w:trPr>
        <w:tc>
          <w:tcPr>
            <w:tcW w:w="4933" w:type="dxa"/>
            <w:tcBorders>
              <w:left w:val="double" w:sz="4" w:space="0" w:color="auto"/>
            </w:tcBorders>
            <w:hideMark/>
          </w:tcPr>
          <w:p w:rsidR="0080144B" w:rsidRPr="00B20AFA" w:rsidRDefault="0080144B" w:rsidP="00715C7E">
            <w:pPr>
              <w:autoSpaceDE w:val="0"/>
              <w:autoSpaceDN w:val="0"/>
              <w:adjustRightInd w:val="0"/>
              <w:rPr>
                <w:b/>
                <w:bCs/>
              </w:rPr>
            </w:pPr>
            <w:r w:rsidRPr="00B20AFA">
              <w:rPr>
                <w:b/>
                <w:bCs/>
              </w:rPr>
              <w:t>EPA HQ Review of IUP and Agreement Materials (15 hours per State submission)</w:t>
            </w:r>
          </w:p>
        </w:tc>
        <w:tc>
          <w:tcPr>
            <w:tcW w:w="1258" w:type="dxa"/>
            <w:noWrap/>
            <w:hideMark/>
          </w:tcPr>
          <w:p w:rsidR="0080144B" w:rsidRPr="00B20AFA" w:rsidRDefault="0080144B" w:rsidP="00715C7E">
            <w:pPr>
              <w:autoSpaceDE w:val="0"/>
              <w:autoSpaceDN w:val="0"/>
              <w:adjustRightInd w:val="0"/>
              <w:jc w:val="right"/>
            </w:pPr>
            <w:r w:rsidRPr="00B20AFA">
              <w:t>765</w:t>
            </w:r>
          </w:p>
        </w:tc>
        <w:tc>
          <w:tcPr>
            <w:tcW w:w="1443" w:type="dxa"/>
            <w:noWrap/>
            <w:hideMark/>
          </w:tcPr>
          <w:p w:rsidR="0080144B" w:rsidRPr="00B20AFA" w:rsidRDefault="0080144B" w:rsidP="00715C7E">
            <w:pPr>
              <w:autoSpaceDE w:val="0"/>
              <w:autoSpaceDN w:val="0"/>
              <w:adjustRightInd w:val="0"/>
              <w:jc w:val="right"/>
            </w:pPr>
            <w:r w:rsidRPr="00B20AFA">
              <w:t xml:space="preserve">$53.60 </w:t>
            </w:r>
          </w:p>
        </w:tc>
        <w:tc>
          <w:tcPr>
            <w:tcW w:w="1696" w:type="dxa"/>
            <w:tcBorders>
              <w:right w:val="double" w:sz="4" w:space="0" w:color="auto"/>
            </w:tcBorders>
            <w:noWrap/>
            <w:hideMark/>
          </w:tcPr>
          <w:p w:rsidR="0080144B" w:rsidRPr="00B20AFA" w:rsidRDefault="0080144B" w:rsidP="00715C7E">
            <w:pPr>
              <w:autoSpaceDE w:val="0"/>
              <w:autoSpaceDN w:val="0"/>
              <w:adjustRightInd w:val="0"/>
              <w:jc w:val="right"/>
            </w:pPr>
            <w:r w:rsidRPr="00B20AFA">
              <w:t xml:space="preserve">$41,004.00 </w:t>
            </w:r>
          </w:p>
        </w:tc>
      </w:tr>
      <w:tr w:rsidR="00B20AFA" w:rsidRPr="00B20AFA" w:rsidTr="000D4CFE">
        <w:trPr>
          <w:trHeight w:val="665"/>
        </w:trPr>
        <w:tc>
          <w:tcPr>
            <w:tcW w:w="4933" w:type="dxa"/>
            <w:tcBorders>
              <w:left w:val="double" w:sz="4" w:space="0" w:color="auto"/>
            </w:tcBorders>
            <w:hideMark/>
          </w:tcPr>
          <w:p w:rsidR="0080144B" w:rsidRPr="00B20AFA" w:rsidRDefault="0080144B" w:rsidP="00715C7E">
            <w:pPr>
              <w:autoSpaceDE w:val="0"/>
              <w:autoSpaceDN w:val="0"/>
              <w:adjustRightInd w:val="0"/>
              <w:rPr>
                <w:b/>
                <w:bCs/>
              </w:rPr>
            </w:pPr>
            <w:r w:rsidRPr="00B20AFA">
              <w:rPr>
                <w:b/>
                <w:bCs/>
              </w:rPr>
              <w:t>EPA Regional Review of IUP and Agreement Materials (350 hours per State submission)</w:t>
            </w:r>
          </w:p>
        </w:tc>
        <w:tc>
          <w:tcPr>
            <w:tcW w:w="1258" w:type="dxa"/>
            <w:noWrap/>
            <w:hideMark/>
          </w:tcPr>
          <w:p w:rsidR="0080144B" w:rsidRPr="00B20AFA" w:rsidRDefault="0080144B" w:rsidP="00715C7E">
            <w:pPr>
              <w:autoSpaceDE w:val="0"/>
              <w:autoSpaceDN w:val="0"/>
              <w:adjustRightInd w:val="0"/>
              <w:jc w:val="right"/>
            </w:pPr>
            <w:r w:rsidRPr="00B20AFA">
              <w:t>17,850</w:t>
            </w:r>
          </w:p>
        </w:tc>
        <w:tc>
          <w:tcPr>
            <w:tcW w:w="1443" w:type="dxa"/>
            <w:noWrap/>
            <w:hideMark/>
          </w:tcPr>
          <w:p w:rsidR="0080144B" w:rsidRPr="00B20AFA" w:rsidRDefault="0080144B" w:rsidP="00715C7E">
            <w:pPr>
              <w:autoSpaceDE w:val="0"/>
              <w:autoSpaceDN w:val="0"/>
              <w:adjustRightInd w:val="0"/>
              <w:jc w:val="right"/>
            </w:pPr>
            <w:r w:rsidRPr="00B20AFA">
              <w:t xml:space="preserve">$53.60 </w:t>
            </w:r>
          </w:p>
        </w:tc>
        <w:tc>
          <w:tcPr>
            <w:tcW w:w="1696" w:type="dxa"/>
            <w:tcBorders>
              <w:right w:val="double" w:sz="4" w:space="0" w:color="auto"/>
            </w:tcBorders>
            <w:noWrap/>
            <w:hideMark/>
          </w:tcPr>
          <w:p w:rsidR="0080144B" w:rsidRPr="00B20AFA" w:rsidRDefault="0080144B" w:rsidP="00715C7E">
            <w:pPr>
              <w:autoSpaceDE w:val="0"/>
              <w:autoSpaceDN w:val="0"/>
              <w:adjustRightInd w:val="0"/>
              <w:jc w:val="right"/>
            </w:pPr>
            <w:r w:rsidRPr="00B20AFA">
              <w:t xml:space="preserve">$956,760.00 </w:t>
            </w:r>
          </w:p>
        </w:tc>
      </w:tr>
      <w:tr w:rsidR="00B20AFA" w:rsidRPr="00B20AFA" w:rsidTr="000D4CFE">
        <w:trPr>
          <w:trHeight w:val="1140"/>
        </w:trPr>
        <w:tc>
          <w:tcPr>
            <w:tcW w:w="4933" w:type="dxa"/>
            <w:tcBorders>
              <w:left w:val="double" w:sz="4" w:space="0" w:color="auto"/>
            </w:tcBorders>
            <w:hideMark/>
          </w:tcPr>
          <w:p w:rsidR="0080144B" w:rsidRPr="00B20AFA" w:rsidRDefault="0080144B" w:rsidP="00715C7E">
            <w:pPr>
              <w:autoSpaceDE w:val="0"/>
              <w:autoSpaceDN w:val="0"/>
              <w:adjustRightInd w:val="0"/>
              <w:rPr>
                <w:b/>
                <w:bCs/>
              </w:rPr>
            </w:pPr>
            <w:r w:rsidRPr="00B20AFA">
              <w:rPr>
                <w:b/>
                <w:bCs/>
              </w:rPr>
              <w:t>EPA HQ Oversight Review of Audit &amp; Biennial Reports (40 hours per State submitting Biennial report; 25 hours per State only submitting Audit Report)</w:t>
            </w:r>
          </w:p>
        </w:tc>
        <w:tc>
          <w:tcPr>
            <w:tcW w:w="1258" w:type="dxa"/>
            <w:hideMark/>
          </w:tcPr>
          <w:p w:rsidR="0080144B" w:rsidRPr="00B20AFA" w:rsidRDefault="0080144B" w:rsidP="00715C7E">
            <w:pPr>
              <w:autoSpaceDE w:val="0"/>
              <w:autoSpaceDN w:val="0"/>
              <w:adjustRightInd w:val="0"/>
              <w:jc w:val="right"/>
            </w:pPr>
            <w:r w:rsidRPr="00B20AFA">
              <w:t>1,665</w:t>
            </w:r>
          </w:p>
        </w:tc>
        <w:tc>
          <w:tcPr>
            <w:tcW w:w="1443" w:type="dxa"/>
            <w:noWrap/>
            <w:hideMark/>
          </w:tcPr>
          <w:p w:rsidR="0080144B" w:rsidRPr="00B20AFA" w:rsidRDefault="0080144B" w:rsidP="00715C7E">
            <w:pPr>
              <w:autoSpaceDE w:val="0"/>
              <w:autoSpaceDN w:val="0"/>
              <w:adjustRightInd w:val="0"/>
              <w:jc w:val="right"/>
            </w:pPr>
            <w:r w:rsidRPr="00B20AFA">
              <w:t xml:space="preserve">$53.60 </w:t>
            </w:r>
          </w:p>
        </w:tc>
        <w:tc>
          <w:tcPr>
            <w:tcW w:w="1696" w:type="dxa"/>
            <w:tcBorders>
              <w:right w:val="double" w:sz="4" w:space="0" w:color="auto"/>
            </w:tcBorders>
            <w:noWrap/>
            <w:hideMark/>
          </w:tcPr>
          <w:p w:rsidR="0080144B" w:rsidRPr="00B20AFA" w:rsidRDefault="0080144B" w:rsidP="00715C7E">
            <w:pPr>
              <w:autoSpaceDE w:val="0"/>
              <w:autoSpaceDN w:val="0"/>
              <w:adjustRightInd w:val="0"/>
              <w:jc w:val="right"/>
            </w:pPr>
            <w:r w:rsidRPr="00B20AFA">
              <w:t xml:space="preserve">$89,244.00 </w:t>
            </w:r>
          </w:p>
        </w:tc>
      </w:tr>
      <w:tr w:rsidR="00B20AFA" w:rsidRPr="00B20AFA" w:rsidTr="000D4CFE">
        <w:trPr>
          <w:trHeight w:val="1140"/>
        </w:trPr>
        <w:tc>
          <w:tcPr>
            <w:tcW w:w="4933" w:type="dxa"/>
            <w:tcBorders>
              <w:left w:val="double" w:sz="4" w:space="0" w:color="auto"/>
            </w:tcBorders>
            <w:hideMark/>
          </w:tcPr>
          <w:p w:rsidR="0080144B" w:rsidRPr="00B20AFA" w:rsidRDefault="0080144B" w:rsidP="00715C7E">
            <w:pPr>
              <w:autoSpaceDE w:val="0"/>
              <w:autoSpaceDN w:val="0"/>
              <w:adjustRightInd w:val="0"/>
              <w:rPr>
                <w:b/>
                <w:bCs/>
              </w:rPr>
            </w:pPr>
            <w:r w:rsidRPr="00B20AFA">
              <w:rPr>
                <w:b/>
                <w:bCs/>
              </w:rPr>
              <w:t>EPA Regional Oversight Review of Audit &amp; Biennial Reports (500 hours per State submitting Biennial report; 445 hours per State only submitting Audit Report)</w:t>
            </w:r>
          </w:p>
        </w:tc>
        <w:tc>
          <w:tcPr>
            <w:tcW w:w="1258" w:type="dxa"/>
            <w:noWrap/>
            <w:hideMark/>
          </w:tcPr>
          <w:p w:rsidR="0080144B" w:rsidRPr="00B20AFA" w:rsidRDefault="0080144B" w:rsidP="00715C7E">
            <w:pPr>
              <w:autoSpaceDE w:val="0"/>
              <w:autoSpaceDN w:val="0"/>
              <w:adjustRightInd w:val="0"/>
              <w:jc w:val="right"/>
            </w:pPr>
            <w:r w:rsidRPr="00B20AFA">
              <w:t>24,125</w:t>
            </w:r>
          </w:p>
        </w:tc>
        <w:tc>
          <w:tcPr>
            <w:tcW w:w="1443" w:type="dxa"/>
            <w:noWrap/>
            <w:hideMark/>
          </w:tcPr>
          <w:p w:rsidR="0080144B" w:rsidRPr="00B20AFA" w:rsidRDefault="0080144B" w:rsidP="00715C7E">
            <w:pPr>
              <w:autoSpaceDE w:val="0"/>
              <w:autoSpaceDN w:val="0"/>
              <w:adjustRightInd w:val="0"/>
              <w:jc w:val="right"/>
            </w:pPr>
            <w:r w:rsidRPr="00B20AFA">
              <w:t xml:space="preserve">$53.60 </w:t>
            </w:r>
          </w:p>
        </w:tc>
        <w:tc>
          <w:tcPr>
            <w:tcW w:w="1696" w:type="dxa"/>
            <w:tcBorders>
              <w:right w:val="double" w:sz="4" w:space="0" w:color="auto"/>
            </w:tcBorders>
            <w:noWrap/>
            <w:hideMark/>
          </w:tcPr>
          <w:p w:rsidR="0080144B" w:rsidRPr="00B20AFA" w:rsidRDefault="0080144B" w:rsidP="00715C7E">
            <w:pPr>
              <w:autoSpaceDE w:val="0"/>
              <w:autoSpaceDN w:val="0"/>
              <w:adjustRightInd w:val="0"/>
              <w:jc w:val="right"/>
            </w:pPr>
            <w:r w:rsidRPr="00B20AFA">
              <w:t xml:space="preserve">$1,293,100.00 </w:t>
            </w:r>
          </w:p>
        </w:tc>
      </w:tr>
      <w:tr w:rsidR="00B20AFA" w:rsidRPr="00B20AFA" w:rsidTr="000D4CFE">
        <w:trPr>
          <w:trHeight w:val="570"/>
        </w:trPr>
        <w:tc>
          <w:tcPr>
            <w:tcW w:w="4933" w:type="dxa"/>
            <w:tcBorders>
              <w:left w:val="double" w:sz="4" w:space="0" w:color="auto"/>
            </w:tcBorders>
            <w:hideMark/>
          </w:tcPr>
          <w:p w:rsidR="0073196B" w:rsidRPr="00B20AFA" w:rsidRDefault="0073196B" w:rsidP="0073196B">
            <w:pPr>
              <w:autoSpaceDE w:val="0"/>
              <w:autoSpaceDN w:val="0"/>
              <w:adjustRightInd w:val="0"/>
              <w:rPr>
                <w:b/>
                <w:bCs/>
              </w:rPr>
            </w:pPr>
            <w:r w:rsidRPr="00B20AFA">
              <w:rPr>
                <w:b/>
                <w:bCs/>
              </w:rPr>
              <w:t>EPA HQ Review of DWNIMS and PBR Data (1 hour per State submission)</w:t>
            </w:r>
          </w:p>
        </w:tc>
        <w:tc>
          <w:tcPr>
            <w:tcW w:w="1258" w:type="dxa"/>
            <w:noWrap/>
            <w:hideMark/>
          </w:tcPr>
          <w:p w:rsidR="0073196B" w:rsidRPr="00B20AFA" w:rsidRDefault="0073196B" w:rsidP="0073196B">
            <w:pPr>
              <w:autoSpaceDE w:val="0"/>
              <w:autoSpaceDN w:val="0"/>
              <w:adjustRightInd w:val="0"/>
              <w:jc w:val="right"/>
            </w:pPr>
            <w:r w:rsidRPr="00B20AFA">
              <w:t>51 </w:t>
            </w:r>
          </w:p>
        </w:tc>
        <w:tc>
          <w:tcPr>
            <w:tcW w:w="1443" w:type="dxa"/>
            <w:noWrap/>
            <w:hideMark/>
          </w:tcPr>
          <w:p w:rsidR="0073196B" w:rsidRPr="00B20AFA" w:rsidRDefault="0073196B" w:rsidP="0073196B">
            <w:pPr>
              <w:autoSpaceDE w:val="0"/>
              <w:autoSpaceDN w:val="0"/>
              <w:adjustRightInd w:val="0"/>
              <w:jc w:val="right"/>
            </w:pPr>
            <w:r w:rsidRPr="00B20AFA">
              <w:t xml:space="preserve">$53.60 </w:t>
            </w:r>
          </w:p>
        </w:tc>
        <w:tc>
          <w:tcPr>
            <w:tcW w:w="1696" w:type="dxa"/>
            <w:tcBorders>
              <w:right w:val="double" w:sz="4" w:space="0" w:color="auto"/>
            </w:tcBorders>
            <w:noWrap/>
            <w:hideMark/>
          </w:tcPr>
          <w:p w:rsidR="0073196B" w:rsidRPr="00B20AFA" w:rsidRDefault="0073196B" w:rsidP="0073196B">
            <w:pPr>
              <w:autoSpaceDE w:val="0"/>
              <w:autoSpaceDN w:val="0"/>
              <w:adjustRightInd w:val="0"/>
              <w:jc w:val="right"/>
            </w:pPr>
            <w:r w:rsidRPr="00B20AFA">
              <w:t>$2,733.60 </w:t>
            </w:r>
          </w:p>
        </w:tc>
      </w:tr>
      <w:tr w:rsidR="00B20AFA" w:rsidRPr="00B20AFA" w:rsidTr="000D4CFE">
        <w:trPr>
          <w:trHeight w:val="570"/>
        </w:trPr>
        <w:tc>
          <w:tcPr>
            <w:tcW w:w="4933" w:type="dxa"/>
            <w:tcBorders>
              <w:left w:val="double" w:sz="4" w:space="0" w:color="auto"/>
              <w:bottom w:val="single" w:sz="4" w:space="0" w:color="auto"/>
            </w:tcBorders>
            <w:hideMark/>
          </w:tcPr>
          <w:p w:rsidR="0073196B" w:rsidRPr="00B20AFA" w:rsidRDefault="0073196B" w:rsidP="0073196B">
            <w:pPr>
              <w:autoSpaceDE w:val="0"/>
              <w:autoSpaceDN w:val="0"/>
              <w:adjustRightInd w:val="0"/>
              <w:rPr>
                <w:b/>
                <w:bCs/>
              </w:rPr>
            </w:pPr>
            <w:r w:rsidRPr="00B20AFA">
              <w:rPr>
                <w:b/>
                <w:bCs/>
              </w:rPr>
              <w:t>EPA Regional Review of DWNIMS and PBR Data (2 hours per State submission)</w:t>
            </w:r>
          </w:p>
        </w:tc>
        <w:tc>
          <w:tcPr>
            <w:tcW w:w="1258" w:type="dxa"/>
            <w:tcBorders>
              <w:bottom w:val="single" w:sz="4" w:space="0" w:color="auto"/>
            </w:tcBorders>
            <w:noWrap/>
            <w:hideMark/>
          </w:tcPr>
          <w:p w:rsidR="0073196B" w:rsidRPr="00B20AFA" w:rsidRDefault="0073196B" w:rsidP="0073196B">
            <w:pPr>
              <w:autoSpaceDE w:val="0"/>
              <w:autoSpaceDN w:val="0"/>
              <w:adjustRightInd w:val="0"/>
              <w:jc w:val="right"/>
            </w:pPr>
            <w:r w:rsidRPr="00B20AFA">
              <w:t>102 </w:t>
            </w:r>
          </w:p>
        </w:tc>
        <w:tc>
          <w:tcPr>
            <w:tcW w:w="1443" w:type="dxa"/>
            <w:tcBorders>
              <w:bottom w:val="single" w:sz="4" w:space="0" w:color="auto"/>
            </w:tcBorders>
            <w:noWrap/>
            <w:hideMark/>
          </w:tcPr>
          <w:p w:rsidR="0073196B" w:rsidRPr="00B20AFA" w:rsidRDefault="0073196B" w:rsidP="0073196B">
            <w:pPr>
              <w:autoSpaceDE w:val="0"/>
              <w:autoSpaceDN w:val="0"/>
              <w:adjustRightInd w:val="0"/>
              <w:jc w:val="right"/>
            </w:pPr>
            <w:r w:rsidRPr="00B20AFA">
              <w:t xml:space="preserve">$53.60 </w:t>
            </w:r>
          </w:p>
        </w:tc>
        <w:tc>
          <w:tcPr>
            <w:tcW w:w="1696" w:type="dxa"/>
            <w:tcBorders>
              <w:bottom w:val="single" w:sz="4" w:space="0" w:color="auto"/>
              <w:right w:val="double" w:sz="4" w:space="0" w:color="auto"/>
            </w:tcBorders>
            <w:noWrap/>
            <w:hideMark/>
          </w:tcPr>
          <w:p w:rsidR="0073196B" w:rsidRPr="00B20AFA" w:rsidRDefault="0073196B" w:rsidP="0073196B">
            <w:pPr>
              <w:autoSpaceDE w:val="0"/>
              <w:autoSpaceDN w:val="0"/>
              <w:adjustRightInd w:val="0"/>
              <w:jc w:val="right"/>
            </w:pPr>
            <w:r w:rsidRPr="00B20AFA">
              <w:t>$5,467.20 </w:t>
            </w:r>
          </w:p>
        </w:tc>
      </w:tr>
      <w:tr w:rsidR="0073196B" w:rsidRPr="00B20AFA" w:rsidTr="000D4CFE">
        <w:trPr>
          <w:trHeight w:val="413"/>
        </w:trPr>
        <w:tc>
          <w:tcPr>
            <w:tcW w:w="4933" w:type="dxa"/>
            <w:tcBorders>
              <w:left w:val="double" w:sz="4" w:space="0" w:color="auto"/>
              <w:bottom w:val="double" w:sz="4" w:space="0" w:color="auto"/>
              <w:right w:val="nil"/>
            </w:tcBorders>
            <w:hideMark/>
          </w:tcPr>
          <w:p w:rsidR="0073196B" w:rsidRPr="00B20AFA" w:rsidRDefault="0073196B" w:rsidP="0073196B">
            <w:pPr>
              <w:autoSpaceDE w:val="0"/>
              <w:autoSpaceDN w:val="0"/>
              <w:adjustRightInd w:val="0"/>
              <w:rPr>
                <w:b/>
                <w:bCs/>
              </w:rPr>
            </w:pPr>
            <w:r w:rsidRPr="00B20AFA">
              <w:rPr>
                <w:b/>
                <w:bCs/>
              </w:rPr>
              <w:t>Grand Total Fiscal Year 2018 Federal Cost</w:t>
            </w:r>
          </w:p>
        </w:tc>
        <w:tc>
          <w:tcPr>
            <w:tcW w:w="1258" w:type="dxa"/>
            <w:tcBorders>
              <w:left w:val="nil"/>
              <w:bottom w:val="double" w:sz="4" w:space="0" w:color="auto"/>
              <w:right w:val="nil"/>
            </w:tcBorders>
            <w:noWrap/>
            <w:hideMark/>
          </w:tcPr>
          <w:p w:rsidR="0073196B" w:rsidRPr="00B20AFA" w:rsidRDefault="0073196B" w:rsidP="0073196B">
            <w:pPr>
              <w:autoSpaceDE w:val="0"/>
              <w:autoSpaceDN w:val="0"/>
              <w:adjustRightInd w:val="0"/>
            </w:pPr>
            <w:r w:rsidRPr="00B20AFA">
              <w:t> </w:t>
            </w:r>
          </w:p>
        </w:tc>
        <w:tc>
          <w:tcPr>
            <w:tcW w:w="1443" w:type="dxa"/>
            <w:tcBorders>
              <w:left w:val="nil"/>
              <w:bottom w:val="double" w:sz="4" w:space="0" w:color="auto"/>
              <w:right w:val="nil"/>
            </w:tcBorders>
            <w:noWrap/>
            <w:hideMark/>
          </w:tcPr>
          <w:p w:rsidR="0073196B" w:rsidRPr="00B20AFA" w:rsidRDefault="0073196B" w:rsidP="0073196B">
            <w:pPr>
              <w:autoSpaceDE w:val="0"/>
              <w:autoSpaceDN w:val="0"/>
              <w:adjustRightInd w:val="0"/>
            </w:pPr>
            <w:r w:rsidRPr="00B20AFA">
              <w:t> </w:t>
            </w:r>
          </w:p>
        </w:tc>
        <w:tc>
          <w:tcPr>
            <w:tcW w:w="1696" w:type="dxa"/>
            <w:tcBorders>
              <w:left w:val="nil"/>
              <w:bottom w:val="double" w:sz="4" w:space="0" w:color="auto"/>
              <w:right w:val="double" w:sz="4" w:space="0" w:color="auto"/>
            </w:tcBorders>
            <w:noWrap/>
            <w:hideMark/>
          </w:tcPr>
          <w:p w:rsidR="0073196B" w:rsidRPr="00B20AFA" w:rsidRDefault="0073196B" w:rsidP="00735531">
            <w:pPr>
              <w:autoSpaceDE w:val="0"/>
              <w:autoSpaceDN w:val="0"/>
              <w:adjustRightInd w:val="0"/>
            </w:pPr>
            <w:r w:rsidRPr="00B20AFA">
              <w:t> </w:t>
            </w:r>
            <w:r w:rsidRPr="00B20AFA">
              <w:rPr>
                <w:b/>
              </w:rPr>
              <w:t>$</w:t>
            </w:r>
            <w:r w:rsidR="00735531" w:rsidRPr="00B20AFA">
              <w:rPr>
                <w:b/>
              </w:rPr>
              <w:t>2,388,308.80</w:t>
            </w:r>
          </w:p>
        </w:tc>
      </w:tr>
    </w:tbl>
    <w:p w:rsidR="0080144B" w:rsidRPr="00B20AFA" w:rsidRDefault="0080144B" w:rsidP="0080144B">
      <w:pPr>
        <w:autoSpaceDE w:val="0"/>
        <w:autoSpaceDN w:val="0"/>
        <w:adjustRightInd w:val="0"/>
      </w:pPr>
    </w:p>
    <w:p w:rsidR="00F628E8" w:rsidRPr="00B20AFA" w:rsidRDefault="00F628E8">
      <w:pPr>
        <w:autoSpaceDE w:val="0"/>
        <w:autoSpaceDN w:val="0"/>
        <w:adjustRightInd w:val="0"/>
      </w:pPr>
    </w:p>
    <w:p w:rsidR="00B80E3F" w:rsidRPr="00B20AFA" w:rsidRDefault="00B80E3F">
      <w:pPr>
        <w:autoSpaceDE w:val="0"/>
        <w:autoSpaceDN w:val="0"/>
        <w:adjustRightInd w:val="0"/>
      </w:pPr>
    </w:p>
    <w:p w:rsidR="00B27361" w:rsidRPr="00B20AFA" w:rsidRDefault="00B27361">
      <w:pPr>
        <w:autoSpaceDE w:val="0"/>
        <w:autoSpaceDN w:val="0"/>
        <w:adjustRightInd w:val="0"/>
      </w:pPr>
      <w:r w:rsidRPr="00B20AFA">
        <w:t xml:space="preserve">6 (d) </w:t>
      </w:r>
      <w:r w:rsidR="00756EB7" w:rsidRPr="00B20AFA">
        <w:tab/>
      </w:r>
      <w:r w:rsidRPr="00B20AFA">
        <w:rPr>
          <w:u w:val="single"/>
        </w:rPr>
        <w:t xml:space="preserve">BOTTOM LINE BURDEN HOURS </w:t>
      </w:r>
      <w:smartTag w:uri="urn:schemas-microsoft-com:office:smarttags" w:element="stockticker">
        <w:r w:rsidRPr="00B20AFA">
          <w:rPr>
            <w:u w:val="single"/>
          </w:rPr>
          <w:t>AND</w:t>
        </w:r>
      </w:smartTag>
      <w:r w:rsidRPr="00B20AFA">
        <w:rPr>
          <w:u w:val="single"/>
        </w:rPr>
        <w:t xml:space="preserve"> COSTS / BURDEN TABLES</w:t>
      </w:r>
    </w:p>
    <w:p w:rsidR="00B27361" w:rsidRPr="00B20AFA" w:rsidRDefault="00B27361">
      <w:pPr>
        <w:autoSpaceDE w:val="0"/>
        <w:autoSpaceDN w:val="0"/>
        <w:adjustRightInd w:val="0"/>
      </w:pPr>
    </w:p>
    <w:p w:rsidR="00756EB7" w:rsidRPr="00B20AFA" w:rsidRDefault="00756EB7" w:rsidP="00756EB7">
      <w:pPr>
        <w:autoSpaceDE w:val="0"/>
        <w:autoSpaceDN w:val="0"/>
        <w:adjustRightInd w:val="0"/>
      </w:pPr>
      <w:r w:rsidRPr="00B20AFA">
        <w:t>(</w:t>
      </w:r>
      <w:proofErr w:type="spellStart"/>
      <w:r w:rsidRPr="00B20AFA">
        <w:t>i</w:t>
      </w:r>
      <w:proofErr w:type="spellEnd"/>
      <w:r w:rsidRPr="00B20AFA">
        <w:t xml:space="preserve">) </w:t>
      </w:r>
      <w:r w:rsidRPr="00B20AFA">
        <w:tab/>
        <w:t xml:space="preserve">Respondent Burden (FY </w:t>
      </w:r>
      <w:r w:rsidR="00F32875" w:rsidRPr="00B20AFA">
        <w:t>2016</w:t>
      </w:r>
      <w:r w:rsidRPr="00B20AFA">
        <w:t xml:space="preserve"> - FY </w:t>
      </w:r>
      <w:r w:rsidR="00F32875" w:rsidRPr="00B20AFA">
        <w:t>2018</w:t>
      </w:r>
      <w:r w:rsidRPr="00B20AFA">
        <w:t>)</w:t>
      </w:r>
      <w:r w:rsidRPr="00B20AFA">
        <w:tab/>
      </w:r>
    </w:p>
    <w:p w:rsidR="00756EB7" w:rsidRPr="00B20AFA" w:rsidRDefault="00756EB7" w:rsidP="00756EB7">
      <w:pPr>
        <w:autoSpaceDE w:val="0"/>
        <w:autoSpaceDN w:val="0"/>
        <w:adjustRightInd w:val="0"/>
        <w:ind w:left="720" w:firstLine="720"/>
      </w:pPr>
      <w:r w:rsidRPr="00B20AFA">
        <w:t xml:space="preserve">Total State Burden Hours: </w:t>
      </w:r>
      <w:r w:rsidRPr="00B20AFA">
        <w:tab/>
      </w:r>
      <w:r w:rsidR="009C6E6C" w:rsidRPr="00B20AFA">
        <w:tab/>
      </w:r>
      <w:r w:rsidR="009C6E6C" w:rsidRPr="00B20AFA">
        <w:tab/>
      </w:r>
      <w:r w:rsidR="009C6E6C" w:rsidRPr="00B20AFA">
        <w:tab/>
      </w:r>
      <w:r w:rsidR="001A5811" w:rsidRPr="00B20AFA">
        <w:rPr>
          <w:b/>
        </w:rPr>
        <w:t>264,674.50</w:t>
      </w:r>
      <w:r w:rsidRPr="00B20AFA">
        <w:tab/>
      </w:r>
      <w:r w:rsidRPr="00B20AFA">
        <w:tab/>
      </w:r>
      <w:r w:rsidRPr="00B20AFA">
        <w:tab/>
      </w:r>
    </w:p>
    <w:p w:rsidR="00756EB7" w:rsidRPr="00B20AFA" w:rsidRDefault="00756EB7" w:rsidP="00756EB7">
      <w:pPr>
        <w:autoSpaceDE w:val="0"/>
        <w:autoSpaceDN w:val="0"/>
        <w:adjustRightInd w:val="0"/>
        <w:ind w:left="1440"/>
      </w:pPr>
      <w:r w:rsidRPr="00B20AFA">
        <w:t xml:space="preserve">Total State Costs: </w:t>
      </w:r>
      <w:r w:rsidRPr="00B20AFA">
        <w:tab/>
      </w:r>
      <w:r w:rsidRPr="00B20AFA">
        <w:tab/>
      </w:r>
      <w:r w:rsidR="009C6E6C" w:rsidRPr="00B20AFA">
        <w:tab/>
      </w:r>
      <w:r w:rsidR="009C6E6C" w:rsidRPr="00B20AFA">
        <w:tab/>
      </w:r>
      <w:r w:rsidR="009C6E6C" w:rsidRPr="00B20AFA">
        <w:tab/>
      </w:r>
      <w:r w:rsidR="001A5811" w:rsidRPr="00B20AFA">
        <w:rPr>
          <w:b/>
        </w:rPr>
        <w:t>$14,580,918.22</w:t>
      </w:r>
      <w:r w:rsidRPr="00B20AFA">
        <w:tab/>
      </w:r>
      <w:r w:rsidRPr="00B20AFA">
        <w:tab/>
      </w:r>
    </w:p>
    <w:p w:rsidR="00756EB7" w:rsidRPr="00B20AFA" w:rsidRDefault="00756EB7" w:rsidP="00756EB7">
      <w:pPr>
        <w:autoSpaceDE w:val="0"/>
        <w:autoSpaceDN w:val="0"/>
        <w:adjustRightInd w:val="0"/>
        <w:ind w:left="1440"/>
      </w:pPr>
      <w:r w:rsidRPr="00B20AFA">
        <w:t xml:space="preserve">Annual State Burden Hours: </w:t>
      </w:r>
      <w:r w:rsidRPr="00B20AFA">
        <w:tab/>
      </w:r>
      <w:r w:rsidR="009C6E6C" w:rsidRPr="00B20AFA">
        <w:tab/>
      </w:r>
      <w:r w:rsidR="009C6E6C" w:rsidRPr="00B20AFA">
        <w:tab/>
      </w:r>
      <w:r w:rsidR="009C6E6C" w:rsidRPr="00B20AFA">
        <w:tab/>
      </w:r>
      <w:r w:rsidR="001A5811" w:rsidRPr="00B20AFA">
        <w:rPr>
          <w:b/>
        </w:rPr>
        <w:t>88,224.83</w:t>
      </w:r>
      <w:r w:rsidRPr="00B20AFA">
        <w:tab/>
      </w:r>
      <w:r w:rsidRPr="00B20AFA">
        <w:tab/>
      </w:r>
      <w:r w:rsidRPr="00B20AFA">
        <w:tab/>
      </w:r>
    </w:p>
    <w:p w:rsidR="00756EB7" w:rsidRPr="00B20AFA" w:rsidRDefault="00756EB7" w:rsidP="00756EB7">
      <w:pPr>
        <w:autoSpaceDE w:val="0"/>
        <w:autoSpaceDN w:val="0"/>
        <w:adjustRightInd w:val="0"/>
        <w:ind w:left="1440"/>
      </w:pPr>
      <w:r w:rsidRPr="00B20AFA">
        <w:t>Annual State Costs:</w:t>
      </w:r>
      <w:r w:rsidRPr="00B20AFA">
        <w:tab/>
      </w:r>
      <w:r w:rsidRPr="00B20AFA">
        <w:tab/>
      </w:r>
      <w:r w:rsidR="009C6E6C" w:rsidRPr="00B20AFA">
        <w:tab/>
      </w:r>
      <w:r w:rsidR="009C6E6C" w:rsidRPr="00B20AFA">
        <w:tab/>
      </w:r>
      <w:r w:rsidR="009C6E6C" w:rsidRPr="00B20AFA">
        <w:tab/>
      </w:r>
      <w:r w:rsidR="001A5811" w:rsidRPr="00B20AFA">
        <w:rPr>
          <w:b/>
        </w:rPr>
        <w:t>$4,860,306.07</w:t>
      </w:r>
      <w:r w:rsidRPr="00B20AFA">
        <w:rPr>
          <w:b/>
        </w:rPr>
        <w:tab/>
      </w:r>
      <w:r w:rsidRPr="00B20AFA">
        <w:tab/>
      </w:r>
      <w:r w:rsidRPr="00B20AFA">
        <w:tab/>
      </w:r>
    </w:p>
    <w:p w:rsidR="00756EB7" w:rsidRPr="00B20AFA" w:rsidRDefault="00756EB7" w:rsidP="003B569F">
      <w:pPr>
        <w:autoSpaceDE w:val="0"/>
        <w:autoSpaceDN w:val="0"/>
        <w:adjustRightInd w:val="0"/>
      </w:pPr>
      <w:r w:rsidRPr="00B20AFA">
        <w:tab/>
      </w:r>
    </w:p>
    <w:p w:rsidR="00756EB7" w:rsidRPr="00B20AFA" w:rsidRDefault="00756EB7" w:rsidP="00756EB7">
      <w:pPr>
        <w:autoSpaceDE w:val="0"/>
        <w:autoSpaceDN w:val="0"/>
        <w:adjustRightInd w:val="0"/>
        <w:ind w:left="1440"/>
      </w:pPr>
      <w:r w:rsidRPr="00B20AFA">
        <w:t xml:space="preserve">Total Local Respondent Burden Hours: </w:t>
      </w:r>
      <w:r w:rsidRPr="00B20AFA">
        <w:tab/>
      </w:r>
      <w:r w:rsidR="009C6E6C" w:rsidRPr="00B20AFA">
        <w:tab/>
      </w:r>
      <w:r w:rsidR="001A5811" w:rsidRPr="00B20AFA">
        <w:rPr>
          <w:b/>
        </w:rPr>
        <w:t>1,968</w:t>
      </w:r>
      <w:r w:rsidRPr="00B20AFA">
        <w:tab/>
      </w:r>
    </w:p>
    <w:p w:rsidR="00756EB7" w:rsidRPr="00B20AFA" w:rsidRDefault="00756EB7" w:rsidP="00756EB7">
      <w:pPr>
        <w:autoSpaceDE w:val="0"/>
        <w:autoSpaceDN w:val="0"/>
        <w:adjustRightInd w:val="0"/>
        <w:ind w:left="1440"/>
      </w:pPr>
      <w:r w:rsidRPr="00B20AFA">
        <w:t xml:space="preserve">Total Local Respondent Costs: </w:t>
      </w:r>
      <w:r w:rsidRPr="00B20AFA">
        <w:tab/>
      </w:r>
      <w:r w:rsidRPr="00B20AFA">
        <w:tab/>
      </w:r>
      <w:r w:rsidR="009C6E6C" w:rsidRPr="00B20AFA">
        <w:tab/>
      </w:r>
      <w:r w:rsidR="001A5811" w:rsidRPr="00B20AFA">
        <w:rPr>
          <w:b/>
        </w:rPr>
        <w:t>$72,855.36</w:t>
      </w:r>
      <w:r w:rsidRPr="00B20AFA">
        <w:tab/>
      </w:r>
    </w:p>
    <w:p w:rsidR="00756EB7" w:rsidRPr="00B20AFA" w:rsidRDefault="00756EB7" w:rsidP="00756EB7">
      <w:pPr>
        <w:autoSpaceDE w:val="0"/>
        <w:autoSpaceDN w:val="0"/>
        <w:adjustRightInd w:val="0"/>
        <w:ind w:left="1440"/>
      </w:pPr>
      <w:r w:rsidRPr="00B20AFA">
        <w:t xml:space="preserve">Annual Local Respondent Burden Hours: </w:t>
      </w:r>
      <w:r w:rsidRPr="00B20AFA">
        <w:tab/>
      </w:r>
      <w:r w:rsidR="009C6E6C" w:rsidRPr="00B20AFA">
        <w:tab/>
      </w:r>
      <w:r w:rsidR="001A5811" w:rsidRPr="00B20AFA">
        <w:rPr>
          <w:b/>
        </w:rPr>
        <w:t>656</w:t>
      </w:r>
      <w:r w:rsidRPr="00B20AFA">
        <w:tab/>
      </w:r>
    </w:p>
    <w:p w:rsidR="00756EB7" w:rsidRPr="00B20AFA" w:rsidRDefault="00756EB7" w:rsidP="00756EB7">
      <w:pPr>
        <w:autoSpaceDE w:val="0"/>
        <w:autoSpaceDN w:val="0"/>
        <w:adjustRightInd w:val="0"/>
        <w:ind w:left="1440"/>
      </w:pPr>
      <w:r w:rsidRPr="00B20AFA">
        <w:t>Annual Local Respondent Costs:</w:t>
      </w:r>
      <w:r w:rsidRPr="00B20AFA">
        <w:tab/>
      </w:r>
      <w:r w:rsidRPr="00B20AFA">
        <w:tab/>
      </w:r>
      <w:r w:rsidR="009C6E6C" w:rsidRPr="00B20AFA">
        <w:tab/>
      </w:r>
      <w:r w:rsidR="001A5811" w:rsidRPr="00B20AFA">
        <w:rPr>
          <w:b/>
        </w:rPr>
        <w:t>$24,285.12</w:t>
      </w:r>
      <w:r w:rsidRPr="00B20AFA">
        <w:tab/>
      </w:r>
    </w:p>
    <w:p w:rsidR="00756EB7" w:rsidRPr="00B20AFA" w:rsidRDefault="00756EB7" w:rsidP="00756EB7">
      <w:pPr>
        <w:autoSpaceDE w:val="0"/>
        <w:autoSpaceDN w:val="0"/>
        <w:adjustRightInd w:val="0"/>
        <w:ind w:left="1440"/>
      </w:pPr>
      <w:r w:rsidRPr="00B20AFA">
        <w:tab/>
      </w:r>
    </w:p>
    <w:p w:rsidR="008730A4" w:rsidRPr="00B20AFA" w:rsidRDefault="00756EB7" w:rsidP="008730A4">
      <w:pPr>
        <w:autoSpaceDE w:val="0"/>
        <w:autoSpaceDN w:val="0"/>
        <w:adjustRightInd w:val="0"/>
        <w:ind w:left="1440"/>
      </w:pPr>
      <w:r w:rsidRPr="00B20AFA">
        <w:t xml:space="preserve">Total Respondent (State &amp; Local) Burden Hours: </w:t>
      </w:r>
      <w:r w:rsidRPr="00B20AFA">
        <w:tab/>
      </w:r>
      <w:r w:rsidR="001A5811" w:rsidRPr="00B20AFA">
        <w:rPr>
          <w:b/>
        </w:rPr>
        <w:t>266,642.5</w:t>
      </w:r>
    </w:p>
    <w:p w:rsidR="00756EB7" w:rsidRPr="00B20AFA" w:rsidRDefault="00756EB7" w:rsidP="00756EB7">
      <w:pPr>
        <w:autoSpaceDE w:val="0"/>
        <w:autoSpaceDN w:val="0"/>
        <w:adjustRightInd w:val="0"/>
        <w:ind w:left="1440"/>
      </w:pPr>
      <w:r w:rsidRPr="00B20AFA">
        <w:t xml:space="preserve">Total Respondent (State &amp; Local) Costs: </w:t>
      </w:r>
      <w:r w:rsidRPr="00B20AFA">
        <w:tab/>
      </w:r>
      <w:r w:rsidRPr="00B20AFA">
        <w:tab/>
      </w:r>
      <w:r w:rsidR="001A5811" w:rsidRPr="00B20AFA">
        <w:rPr>
          <w:b/>
        </w:rPr>
        <w:t>$14,653,773.58</w:t>
      </w:r>
    </w:p>
    <w:p w:rsidR="00756EB7" w:rsidRPr="00B20AFA" w:rsidRDefault="00756EB7" w:rsidP="00756EB7">
      <w:pPr>
        <w:autoSpaceDE w:val="0"/>
        <w:autoSpaceDN w:val="0"/>
        <w:adjustRightInd w:val="0"/>
        <w:ind w:left="1440"/>
      </w:pPr>
      <w:r w:rsidRPr="00B20AFA">
        <w:t xml:space="preserve">Annual Respondent (State &amp; Local) Burden Hours: </w:t>
      </w:r>
      <w:r w:rsidR="009C6E6C" w:rsidRPr="00B20AFA">
        <w:t xml:space="preserve"> </w:t>
      </w:r>
      <w:r w:rsidR="001A5811" w:rsidRPr="00B20AFA">
        <w:rPr>
          <w:b/>
        </w:rPr>
        <w:t>88,880.83</w:t>
      </w:r>
    </w:p>
    <w:p w:rsidR="00756EB7" w:rsidRPr="00B20AFA" w:rsidRDefault="00756EB7" w:rsidP="00756EB7">
      <w:pPr>
        <w:autoSpaceDE w:val="0"/>
        <w:autoSpaceDN w:val="0"/>
        <w:adjustRightInd w:val="0"/>
        <w:ind w:left="1440"/>
      </w:pPr>
      <w:r w:rsidRPr="00B20AFA">
        <w:t xml:space="preserve">Annual Respondent (State &amp; Local) Costs: </w:t>
      </w:r>
      <w:r w:rsidRPr="00B20AFA">
        <w:tab/>
      </w:r>
      <w:r w:rsidRPr="00B20AFA">
        <w:tab/>
      </w:r>
      <w:r w:rsidR="001A5811" w:rsidRPr="00B20AFA">
        <w:rPr>
          <w:b/>
        </w:rPr>
        <w:t>$4,884,591.19</w:t>
      </w:r>
    </w:p>
    <w:p w:rsidR="00756EB7" w:rsidRPr="00B20AFA" w:rsidRDefault="00756EB7" w:rsidP="00756EB7">
      <w:pPr>
        <w:autoSpaceDE w:val="0"/>
        <w:autoSpaceDN w:val="0"/>
        <w:adjustRightInd w:val="0"/>
      </w:pPr>
      <w:r w:rsidRPr="00B20AFA">
        <w:lastRenderedPageBreak/>
        <w:tab/>
      </w:r>
    </w:p>
    <w:p w:rsidR="00756EB7" w:rsidRPr="00B20AFA" w:rsidRDefault="00756EB7" w:rsidP="00756EB7">
      <w:pPr>
        <w:autoSpaceDE w:val="0"/>
        <w:autoSpaceDN w:val="0"/>
        <w:adjustRightInd w:val="0"/>
      </w:pPr>
      <w:r w:rsidRPr="00B20AFA">
        <w:t xml:space="preserve">(ii) </w:t>
      </w:r>
      <w:r w:rsidRPr="00B20AFA">
        <w:tab/>
        <w:t xml:space="preserve">The Agency Burden (FY </w:t>
      </w:r>
      <w:r w:rsidR="00F32875" w:rsidRPr="00B20AFA">
        <w:t>2016</w:t>
      </w:r>
      <w:r w:rsidR="00682588" w:rsidRPr="00B20AFA">
        <w:t xml:space="preserve"> - FY </w:t>
      </w:r>
      <w:r w:rsidR="00F32875" w:rsidRPr="00B20AFA">
        <w:t>2018</w:t>
      </w:r>
      <w:r w:rsidRPr="00B20AFA">
        <w:t>)</w:t>
      </w:r>
      <w:r w:rsidRPr="00B20AFA">
        <w:tab/>
      </w:r>
    </w:p>
    <w:p w:rsidR="001079E2" w:rsidRPr="00B20AFA" w:rsidRDefault="00756EB7" w:rsidP="001079E2">
      <w:pPr>
        <w:autoSpaceDE w:val="0"/>
        <w:autoSpaceDN w:val="0"/>
        <w:adjustRightInd w:val="0"/>
        <w:ind w:left="1440"/>
        <w:rPr>
          <w:b/>
        </w:rPr>
      </w:pPr>
      <w:r w:rsidRPr="00B20AFA">
        <w:t xml:space="preserve">Annual Headquarters Burden Hours: </w:t>
      </w:r>
      <w:r w:rsidRPr="00B20AFA">
        <w:tab/>
      </w:r>
      <w:r w:rsidRPr="00B20AFA">
        <w:tab/>
      </w:r>
      <w:r w:rsidR="009C6E6C" w:rsidRPr="00B20AFA">
        <w:tab/>
      </w:r>
      <w:r w:rsidR="009C6E6C" w:rsidRPr="00B20AFA">
        <w:rPr>
          <w:b/>
        </w:rPr>
        <w:t>2,425</w:t>
      </w:r>
      <w:r w:rsidRPr="00B20AFA">
        <w:tab/>
      </w:r>
    </w:p>
    <w:p w:rsidR="00756EB7" w:rsidRPr="00B20AFA" w:rsidRDefault="00756EB7" w:rsidP="00756EB7">
      <w:pPr>
        <w:autoSpaceDE w:val="0"/>
        <w:autoSpaceDN w:val="0"/>
        <w:adjustRightInd w:val="0"/>
        <w:ind w:left="1440"/>
        <w:rPr>
          <w:b/>
        </w:rPr>
      </w:pPr>
      <w:r w:rsidRPr="00B20AFA">
        <w:t xml:space="preserve">Annual Headquarters Costs: </w:t>
      </w:r>
      <w:r w:rsidRPr="00B20AFA">
        <w:tab/>
      </w:r>
      <w:r w:rsidRPr="00B20AFA">
        <w:tab/>
      </w:r>
      <w:r w:rsidRPr="00B20AFA">
        <w:tab/>
      </w:r>
      <w:r w:rsidR="009C6E6C" w:rsidRPr="00B20AFA">
        <w:tab/>
      </w:r>
      <w:r w:rsidR="00735531" w:rsidRPr="00B20AFA">
        <w:rPr>
          <w:b/>
        </w:rPr>
        <w:t>$132,713.60</w:t>
      </w:r>
    </w:p>
    <w:p w:rsidR="00756EB7" w:rsidRPr="00B20AFA" w:rsidRDefault="00756EB7" w:rsidP="00756EB7">
      <w:pPr>
        <w:autoSpaceDE w:val="0"/>
        <w:autoSpaceDN w:val="0"/>
        <w:adjustRightInd w:val="0"/>
        <w:ind w:left="1440"/>
      </w:pPr>
      <w:r w:rsidRPr="00B20AFA">
        <w:tab/>
      </w:r>
    </w:p>
    <w:p w:rsidR="00756EB7" w:rsidRPr="00B20AFA" w:rsidRDefault="00756EB7" w:rsidP="00756EB7">
      <w:pPr>
        <w:autoSpaceDE w:val="0"/>
        <w:autoSpaceDN w:val="0"/>
        <w:adjustRightInd w:val="0"/>
        <w:ind w:left="1440"/>
        <w:rPr>
          <w:b/>
        </w:rPr>
      </w:pPr>
      <w:r w:rsidRPr="00B20AFA">
        <w:t xml:space="preserve">Annual Regional Burden Hours: </w:t>
      </w:r>
      <w:r w:rsidRPr="00B20AFA">
        <w:tab/>
      </w:r>
      <w:r w:rsidRPr="00B20AFA">
        <w:tab/>
      </w:r>
      <w:r w:rsidR="009C6E6C" w:rsidRPr="00B20AFA">
        <w:tab/>
      </w:r>
      <w:r w:rsidR="009C6E6C" w:rsidRPr="00B20AFA">
        <w:rPr>
          <w:b/>
        </w:rPr>
        <w:t>42,433</w:t>
      </w:r>
      <w:r w:rsidRPr="00B20AFA">
        <w:rPr>
          <w:b/>
        </w:rPr>
        <w:tab/>
      </w:r>
    </w:p>
    <w:p w:rsidR="00756EB7" w:rsidRPr="00B20AFA" w:rsidRDefault="00756EB7" w:rsidP="00756EB7">
      <w:pPr>
        <w:autoSpaceDE w:val="0"/>
        <w:autoSpaceDN w:val="0"/>
        <w:adjustRightInd w:val="0"/>
        <w:ind w:left="1440"/>
      </w:pPr>
      <w:r w:rsidRPr="00B20AFA">
        <w:t xml:space="preserve">Annual Regional Costs: </w:t>
      </w:r>
      <w:r w:rsidRPr="00B20AFA">
        <w:tab/>
      </w:r>
      <w:r w:rsidRPr="00B20AFA">
        <w:tab/>
      </w:r>
      <w:r w:rsidRPr="00B20AFA">
        <w:tab/>
      </w:r>
      <w:r w:rsidR="009C6E6C" w:rsidRPr="00B20AFA">
        <w:tab/>
      </w:r>
      <w:r w:rsidR="00735531" w:rsidRPr="00B20AFA">
        <w:rPr>
          <w:b/>
        </w:rPr>
        <w:t>$2,279,893.87</w:t>
      </w:r>
      <w:r w:rsidR="00092E6B" w:rsidRPr="00B20AFA">
        <w:rPr>
          <w:b/>
        </w:rPr>
        <w:tab/>
      </w:r>
      <w:r w:rsidR="002806B9" w:rsidRPr="00B20AFA">
        <w:tab/>
      </w:r>
    </w:p>
    <w:p w:rsidR="00B27361" w:rsidRPr="00B20AFA" w:rsidRDefault="00B27361" w:rsidP="00756EB7">
      <w:pPr>
        <w:autoSpaceDE w:val="0"/>
        <w:autoSpaceDN w:val="0"/>
        <w:adjustRightInd w:val="0"/>
      </w:pPr>
    </w:p>
    <w:p w:rsidR="00B27361" w:rsidRPr="00B20AFA" w:rsidRDefault="00B27361" w:rsidP="00756EB7">
      <w:pPr>
        <w:autoSpaceDE w:val="0"/>
        <w:autoSpaceDN w:val="0"/>
        <w:adjustRightInd w:val="0"/>
      </w:pPr>
      <w:r w:rsidRPr="00B20AFA">
        <w:t xml:space="preserve">(iii) </w:t>
      </w:r>
      <w:r w:rsidR="00756EB7" w:rsidRPr="00B20AFA">
        <w:tab/>
      </w:r>
      <w:r w:rsidR="00E958E7" w:rsidRPr="00B20AFA">
        <w:t>Variations in t</w:t>
      </w:r>
      <w:r w:rsidRPr="00B20AFA">
        <w:t>he Annual Bottom Line</w:t>
      </w:r>
    </w:p>
    <w:p w:rsidR="00B27361" w:rsidRPr="00B20AFA" w:rsidRDefault="00647EA2" w:rsidP="00756EB7">
      <w:pPr>
        <w:autoSpaceDE w:val="0"/>
        <w:autoSpaceDN w:val="0"/>
        <w:adjustRightInd w:val="0"/>
      </w:pPr>
      <w:r w:rsidRPr="00B20AFA">
        <w:t>There will be negligible variation in annual burden during the three years of this ICR.</w:t>
      </w:r>
    </w:p>
    <w:p w:rsidR="00B27361" w:rsidRPr="00B20AFA" w:rsidRDefault="00B27361">
      <w:pPr>
        <w:autoSpaceDE w:val="0"/>
        <w:autoSpaceDN w:val="0"/>
        <w:adjustRightInd w:val="0"/>
        <w:ind w:left="720"/>
      </w:pPr>
    </w:p>
    <w:p w:rsidR="00B27361" w:rsidRPr="00B20AFA" w:rsidRDefault="00B27361">
      <w:pPr>
        <w:autoSpaceDE w:val="0"/>
        <w:autoSpaceDN w:val="0"/>
        <w:adjustRightInd w:val="0"/>
      </w:pPr>
      <w:r w:rsidRPr="00B20AFA">
        <w:t xml:space="preserve">6 (e) </w:t>
      </w:r>
      <w:r w:rsidR="00756EB7" w:rsidRPr="00B20AFA">
        <w:tab/>
      </w:r>
      <w:r w:rsidRPr="00B20AFA">
        <w:rPr>
          <w:u w:val="single"/>
        </w:rPr>
        <w:t>REASONS FOR CHANGE IN BURDEN</w:t>
      </w:r>
    </w:p>
    <w:p w:rsidR="00EA44F3" w:rsidRDefault="00EA44F3">
      <w:pPr>
        <w:autoSpaceDE w:val="0"/>
        <w:autoSpaceDN w:val="0"/>
        <w:adjustRightInd w:val="0"/>
      </w:pPr>
    </w:p>
    <w:p w:rsidR="00B27361" w:rsidRDefault="00EA44F3">
      <w:pPr>
        <w:autoSpaceDE w:val="0"/>
        <w:autoSpaceDN w:val="0"/>
        <w:adjustRightInd w:val="0"/>
      </w:pPr>
      <w:r w:rsidRPr="00EA44F3">
        <w:t>There is a net decrease of 180,916 hours in annual respondent burden hours from the previous ICR. This is partially attributable to the previous ICR’s inclusion of burden hours from the American Recovery and Reinvestment Act (ARRA) signed by the President on February 17, 2009. ARRA’s additional $2 billion in funding for assistance agreements resulted in approximately twice the normal number of applications for assistance in 2009. There is also a net decrease in local respondent burden hours from the previous ICR, which included application preparation and submission burden hours for localities. This is a state need/requirement, not federal, and thus it is excluded from this ICR. Some of the decrease is offset by this ICR’s inclusion of local burden for public awareness activities.</w:t>
      </w:r>
    </w:p>
    <w:p w:rsidR="00EA44F3" w:rsidRPr="00B20AFA" w:rsidRDefault="00EA44F3">
      <w:pPr>
        <w:autoSpaceDE w:val="0"/>
        <w:autoSpaceDN w:val="0"/>
        <w:adjustRightInd w:val="0"/>
      </w:pPr>
    </w:p>
    <w:p w:rsidR="00B27361" w:rsidRPr="00B20AFA" w:rsidRDefault="00B27361">
      <w:pPr>
        <w:autoSpaceDE w:val="0"/>
        <w:autoSpaceDN w:val="0"/>
        <w:adjustRightInd w:val="0"/>
      </w:pPr>
      <w:r w:rsidRPr="00B20AFA">
        <w:t xml:space="preserve">6 (f) </w:t>
      </w:r>
      <w:r w:rsidR="00756EB7" w:rsidRPr="00B20AFA">
        <w:tab/>
      </w:r>
      <w:r w:rsidRPr="00B20AFA">
        <w:rPr>
          <w:u w:val="single"/>
        </w:rPr>
        <w:t>BURDEN STATEMENT</w:t>
      </w:r>
    </w:p>
    <w:p w:rsidR="00B27361" w:rsidRPr="00B20AFA" w:rsidRDefault="00B27361">
      <w:pPr>
        <w:autoSpaceDE w:val="0"/>
        <w:autoSpaceDN w:val="0"/>
        <w:adjustRightInd w:val="0"/>
      </w:pPr>
    </w:p>
    <w:p w:rsidR="00B27361" w:rsidRPr="00B20AFA" w:rsidRDefault="00B27361">
      <w:pPr>
        <w:autoSpaceDE w:val="0"/>
        <w:autoSpaceDN w:val="0"/>
        <w:adjustRightInd w:val="0"/>
      </w:pPr>
      <w:r w:rsidRPr="00B20AFA">
        <w:t xml:space="preserve">The public reporting and recordkeeping burden for this collection of information is estimated to average </w:t>
      </w:r>
      <w:r w:rsidR="000A1266" w:rsidRPr="00B20AFA">
        <w:t>1,729</w:t>
      </w:r>
      <w:r w:rsidRPr="00B20AFA">
        <w:t xml:space="preserve"> hours per state and </w:t>
      </w:r>
      <w:r w:rsidR="000A1266" w:rsidRPr="00B20AFA">
        <w:t>2</w:t>
      </w:r>
      <w:r w:rsidRPr="00B20AFA">
        <w:t xml:space="preserve"> hours per local respondent (</w:t>
      </w:r>
      <w:r w:rsidR="00446D89" w:rsidRPr="00B20AFA">
        <w:t xml:space="preserve">excluding </w:t>
      </w:r>
      <w:r w:rsidRPr="00B20AFA">
        <w:t xml:space="preserve">Indian Tribes and Alaska Native </w:t>
      </w:r>
      <w:r w:rsidR="00756EB7" w:rsidRPr="00B20AFA">
        <w:t>Villages</w:t>
      </w:r>
      <w:r w:rsidRPr="00B20AFA">
        <w:t>) annually. Burden means the total time, effort, or financial resources expended to generate, maintain, retain, disclose</w:t>
      </w:r>
      <w:r w:rsidR="00943C52" w:rsidRPr="00B20AFA">
        <w:t>,</w:t>
      </w:r>
      <w:r w:rsidRPr="00B20AFA">
        <w:t xml:space="preserve"> or provide information to or for a </w:t>
      </w:r>
      <w:r w:rsidR="00CB2425" w:rsidRPr="00B20AFA">
        <w:t>f</w:t>
      </w:r>
      <w:r w:rsidRPr="00B20AFA">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t>
      </w:r>
      <w:r w:rsidR="00756EB7" w:rsidRPr="00B20AFA">
        <w:t>processes</w:t>
      </w:r>
      <w:r w:rsidRPr="00B20AFA">
        <w:t xml:space="preserve">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w:t>
      </w:r>
      <w:smartTag w:uri="urn:schemas-microsoft-com:office:smarttags" w:element="stockticker">
        <w:r w:rsidRPr="00B20AFA">
          <w:t>CFR</w:t>
        </w:r>
      </w:smartTag>
      <w:r w:rsidRPr="00B20AFA">
        <w:t xml:space="preserve"> part 9 and 48 </w:t>
      </w:r>
      <w:smartTag w:uri="urn:schemas-microsoft-com:office:smarttags" w:element="stockticker">
        <w:r w:rsidRPr="00B20AFA">
          <w:t>CFR</w:t>
        </w:r>
      </w:smartTag>
      <w:r w:rsidRPr="00B20AFA">
        <w:t xml:space="preserve"> Chapter 15. </w:t>
      </w:r>
    </w:p>
    <w:p w:rsidR="00B27361" w:rsidRPr="00B20AFA" w:rsidRDefault="00B27361">
      <w:pPr>
        <w:autoSpaceDE w:val="0"/>
        <w:autoSpaceDN w:val="0"/>
        <w:adjustRightInd w:val="0"/>
      </w:pPr>
    </w:p>
    <w:p w:rsidR="00B27361" w:rsidRPr="00B20AFA" w:rsidRDefault="00B27361" w:rsidP="00756EB7">
      <w:pPr>
        <w:autoSpaceDE w:val="0"/>
        <w:autoSpaceDN w:val="0"/>
        <w:adjustRightInd w:val="0"/>
      </w:pPr>
      <w:r w:rsidRPr="00B20AFA">
        <w:t xml:space="preserve">To comment on the Agency's need for this information, the accuracy of the provided burden estimates, and any suggested methods for minimizing respondent burden, including the use of automated collection techniques, </w:t>
      </w:r>
      <w:r w:rsidR="00A61317" w:rsidRPr="00B20AFA">
        <w:t xml:space="preserve">the </w:t>
      </w:r>
      <w:r w:rsidRPr="00B20AFA">
        <w:t xml:space="preserve">EPA has established a public docket for this ICR under Docket ID No. </w:t>
      </w:r>
      <w:r w:rsidR="00DC75E2" w:rsidRPr="00B20AFA">
        <w:t>EPA-HQ-</w:t>
      </w:r>
      <w:r w:rsidR="00FF6B92" w:rsidRPr="00B20AFA">
        <w:t>OW-2002-0059</w:t>
      </w:r>
      <w:r w:rsidRPr="00B20AFA">
        <w:t xml:space="preserve">, which is available for public viewing at the Water Docket in the EPA Docket Center (EPA/DC), EPA West, Room </w:t>
      </w:r>
      <w:r w:rsidR="00777920">
        <w:t>3334</w:t>
      </w:r>
      <w:r w:rsidRPr="00B20AFA">
        <w:t>, 1301 Constitution Ave., NW, Washin</w:t>
      </w:r>
      <w:r w:rsidR="00AD1AA1" w:rsidRPr="00B20AFA">
        <w:t xml:space="preserve">gton, DC.  </w:t>
      </w:r>
      <w:r w:rsidRPr="00B20AFA">
        <w:t xml:space="preserve">An electronic version of the public docket is available through </w:t>
      </w:r>
      <w:r w:rsidR="00AD1AA1" w:rsidRPr="00B20AFA">
        <w:t>www</w:t>
      </w:r>
      <w:r w:rsidRPr="00B20AFA">
        <w:t>.</w:t>
      </w:r>
      <w:r w:rsidR="00AD1AA1" w:rsidRPr="00B20AFA">
        <w:t>regulations.gov</w:t>
      </w:r>
      <w:r w:rsidRPr="00B20AFA">
        <w:t xml:space="preserve">. </w:t>
      </w:r>
    </w:p>
    <w:sectPr w:rsidR="00B27361" w:rsidRPr="00B20AFA" w:rsidSect="00157F83">
      <w:footerReference w:type="default" r:id="rId8"/>
      <w:pgSz w:w="12240" w:h="15840"/>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CA9" w:rsidRDefault="00832CA9">
      <w:r>
        <w:separator/>
      </w:r>
    </w:p>
  </w:endnote>
  <w:endnote w:type="continuationSeparator" w:id="0">
    <w:p w:rsidR="00832CA9" w:rsidRDefault="0083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74" w:rsidRDefault="00005674" w:rsidP="00E958E7">
    <w:pPr>
      <w:pStyle w:val="Footer"/>
      <w:jc w:val="center"/>
    </w:pPr>
    <w:r>
      <w:rPr>
        <w:rStyle w:val="PageNumber"/>
      </w:rPr>
      <w:fldChar w:fldCharType="begin"/>
    </w:r>
    <w:r>
      <w:rPr>
        <w:rStyle w:val="PageNumber"/>
      </w:rPr>
      <w:instrText xml:space="preserve"> PAGE </w:instrText>
    </w:r>
    <w:r>
      <w:rPr>
        <w:rStyle w:val="PageNumber"/>
      </w:rPr>
      <w:fldChar w:fldCharType="separate"/>
    </w:r>
    <w:r w:rsidR="008E2289">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CA9" w:rsidRDefault="00832CA9">
      <w:r>
        <w:separator/>
      </w:r>
    </w:p>
  </w:footnote>
  <w:footnote w:type="continuationSeparator" w:id="0">
    <w:p w:rsidR="00832CA9" w:rsidRDefault="00832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4103"/>
    <w:multiLevelType w:val="hybridMultilevel"/>
    <w:tmpl w:val="9B0822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E00B89"/>
    <w:multiLevelType w:val="hybridMultilevel"/>
    <w:tmpl w:val="7B2A8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1F25FF"/>
    <w:multiLevelType w:val="multilevel"/>
    <w:tmpl w:val="A2923A5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B026A7"/>
    <w:multiLevelType w:val="hybridMultilevel"/>
    <w:tmpl w:val="1538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77880"/>
    <w:multiLevelType w:val="hybridMultilevel"/>
    <w:tmpl w:val="34E0FFA2"/>
    <w:lvl w:ilvl="0" w:tplc="6E843ABA">
      <w:start w:val="5"/>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C4A1F"/>
    <w:multiLevelType w:val="hybridMultilevel"/>
    <w:tmpl w:val="7B2A66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64AC5"/>
    <w:multiLevelType w:val="hybridMultilevel"/>
    <w:tmpl w:val="5274B3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3D762B"/>
    <w:multiLevelType w:val="hybridMultilevel"/>
    <w:tmpl w:val="5290F9A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CDB5495"/>
    <w:multiLevelType w:val="hybridMultilevel"/>
    <w:tmpl w:val="472263FA"/>
    <w:lvl w:ilvl="0" w:tplc="04090019">
      <w:start w:val="1"/>
      <w:numFmt w:val="lowerLetter"/>
      <w:lvlText w:val="%1."/>
      <w:lvlJc w:val="left"/>
      <w:pPr>
        <w:tabs>
          <w:tab w:val="num" w:pos="720"/>
        </w:tabs>
        <w:ind w:left="720" w:hanging="360"/>
      </w:pPr>
      <w:rPr>
        <w:rFonts w:hint="default"/>
        <w:u w:val="none"/>
      </w:rPr>
    </w:lvl>
    <w:lvl w:ilvl="1" w:tplc="A7FAC862">
      <w:numFmt w:val="bullet"/>
      <w:lvlText w:val="•"/>
      <w:lvlJc w:val="left"/>
      <w:pPr>
        <w:tabs>
          <w:tab w:val="num" w:pos="1440"/>
        </w:tabs>
        <w:ind w:left="1440" w:hanging="360"/>
      </w:pPr>
      <w:rPr>
        <w:rFonts w:ascii="Times New Roman" w:eastAsia="Times New Roman" w:hAnsi="Times New Roman" w:cs="Times New Roman"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092D58"/>
    <w:multiLevelType w:val="hybridMultilevel"/>
    <w:tmpl w:val="C5E8FED6"/>
    <w:lvl w:ilvl="0" w:tplc="6E4E47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89550A7"/>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CD2883"/>
    <w:multiLevelType w:val="hybridMultilevel"/>
    <w:tmpl w:val="A2923A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D70006A"/>
    <w:multiLevelType w:val="multilevel"/>
    <w:tmpl w:val="3522BA86"/>
    <w:lvl w:ilvl="0">
      <w:start w:val="32"/>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0"/>
  </w:num>
  <w:num w:numId="3">
    <w:abstractNumId w:val="9"/>
  </w:num>
  <w:num w:numId="4">
    <w:abstractNumId w:val="11"/>
  </w:num>
  <w:num w:numId="5">
    <w:abstractNumId w:val="2"/>
  </w:num>
  <w:num w:numId="6">
    <w:abstractNumId w:val="7"/>
  </w:num>
  <w:num w:numId="7">
    <w:abstractNumId w:val="5"/>
  </w:num>
  <w:num w:numId="8">
    <w:abstractNumId w:val="6"/>
  </w:num>
  <w:num w:numId="9">
    <w:abstractNumId w:val="12"/>
  </w:num>
  <w:num w:numId="10">
    <w:abstractNumId w:val="3"/>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61"/>
    <w:rsid w:val="0000310F"/>
    <w:rsid w:val="00005674"/>
    <w:rsid w:val="00017B7E"/>
    <w:rsid w:val="00022181"/>
    <w:rsid w:val="00024108"/>
    <w:rsid w:val="0003632D"/>
    <w:rsid w:val="00062712"/>
    <w:rsid w:val="00082C50"/>
    <w:rsid w:val="00082DA3"/>
    <w:rsid w:val="0009098C"/>
    <w:rsid w:val="00092E6B"/>
    <w:rsid w:val="000A1266"/>
    <w:rsid w:val="000A763E"/>
    <w:rsid w:val="000B2AA2"/>
    <w:rsid w:val="000C35C2"/>
    <w:rsid w:val="000D4CFE"/>
    <w:rsid w:val="000D5570"/>
    <w:rsid w:val="000D6960"/>
    <w:rsid w:val="001079E2"/>
    <w:rsid w:val="00116F43"/>
    <w:rsid w:val="001317F3"/>
    <w:rsid w:val="00135ABD"/>
    <w:rsid w:val="00144D8C"/>
    <w:rsid w:val="00145AAC"/>
    <w:rsid w:val="001460A3"/>
    <w:rsid w:val="00155750"/>
    <w:rsid w:val="00157F83"/>
    <w:rsid w:val="00182988"/>
    <w:rsid w:val="00192595"/>
    <w:rsid w:val="00196896"/>
    <w:rsid w:val="001A5811"/>
    <w:rsid w:val="001D0CE0"/>
    <w:rsid w:val="001E1F0A"/>
    <w:rsid w:val="001E4D31"/>
    <w:rsid w:val="00210841"/>
    <w:rsid w:val="002307E7"/>
    <w:rsid w:val="002434AC"/>
    <w:rsid w:val="00244A81"/>
    <w:rsid w:val="00266A58"/>
    <w:rsid w:val="00274DD4"/>
    <w:rsid w:val="002750F1"/>
    <w:rsid w:val="002806B9"/>
    <w:rsid w:val="00282BE0"/>
    <w:rsid w:val="00285463"/>
    <w:rsid w:val="00292403"/>
    <w:rsid w:val="002937B0"/>
    <w:rsid w:val="00296C63"/>
    <w:rsid w:val="002A0FED"/>
    <w:rsid w:val="002A6A93"/>
    <w:rsid w:val="002B698E"/>
    <w:rsid w:val="002C0BA7"/>
    <w:rsid w:val="002E789A"/>
    <w:rsid w:val="002F63DA"/>
    <w:rsid w:val="00301E18"/>
    <w:rsid w:val="00311AB9"/>
    <w:rsid w:val="003175CA"/>
    <w:rsid w:val="00322563"/>
    <w:rsid w:val="0034151C"/>
    <w:rsid w:val="003508D9"/>
    <w:rsid w:val="00352CEC"/>
    <w:rsid w:val="0035701F"/>
    <w:rsid w:val="0038699E"/>
    <w:rsid w:val="00386FA9"/>
    <w:rsid w:val="003925A3"/>
    <w:rsid w:val="003A1427"/>
    <w:rsid w:val="003A1B41"/>
    <w:rsid w:val="003A2DB4"/>
    <w:rsid w:val="003B0EF6"/>
    <w:rsid w:val="003B569F"/>
    <w:rsid w:val="003B7A6E"/>
    <w:rsid w:val="003C1333"/>
    <w:rsid w:val="003C511D"/>
    <w:rsid w:val="003D30CD"/>
    <w:rsid w:val="003D6D36"/>
    <w:rsid w:val="003E35AC"/>
    <w:rsid w:val="00431798"/>
    <w:rsid w:val="004368F1"/>
    <w:rsid w:val="00440B5F"/>
    <w:rsid w:val="00443C02"/>
    <w:rsid w:val="00446D89"/>
    <w:rsid w:val="00454C9C"/>
    <w:rsid w:val="004575D5"/>
    <w:rsid w:val="00476274"/>
    <w:rsid w:val="004A161E"/>
    <w:rsid w:val="004A20FE"/>
    <w:rsid w:val="004D341E"/>
    <w:rsid w:val="004D5CAE"/>
    <w:rsid w:val="004E70C3"/>
    <w:rsid w:val="004F02A4"/>
    <w:rsid w:val="00512FF5"/>
    <w:rsid w:val="005146D4"/>
    <w:rsid w:val="00531133"/>
    <w:rsid w:val="005528A8"/>
    <w:rsid w:val="00555F34"/>
    <w:rsid w:val="00560DB2"/>
    <w:rsid w:val="0057005B"/>
    <w:rsid w:val="0059706D"/>
    <w:rsid w:val="005A623C"/>
    <w:rsid w:val="005B1B80"/>
    <w:rsid w:val="005B5B82"/>
    <w:rsid w:val="005C24C9"/>
    <w:rsid w:val="005D3263"/>
    <w:rsid w:val="005E0C9C"/>
    <w:rsid w:val="005F113E"/>
    <w:rsid w:val="006262F8"/>
    <w:rsid w:val="00635EFC"/>
    <w:rsid w:val="0064660A"/>
    <w:rsid w:val="00647EA2"/>
    <w:rsid w:val="00654726"/>
    <w:rsid w:val="00667536"/>
    <w:rsid w:val="00672A56"/>
    <w:rsid w:val="00682588"/>
    <w:rsid w:val="0069387C"/>
    <w:rsid w:val="006A1FA2"/>
    <w:rsid w:val="006A7A37"/>
    <w:rsid w:val="006B1979"/>
    <w:rsid w:val="006C144C"/>
    <w:rsid w:val="006C3582"/>
    <w:rsid w:val="006C793F"/>
    <w:rsid w:val="006D1755"/>
    <w:rsid w:val="006E4EBA"/>
    <w:rsid w:val="006F14A1"/>
    <w:rsid w:val="00715C7E"/>
    <w:rsid w:val="00730105"/>
    <w:rsid w:val="0073196B"/>
    <w:rsid w:val="0073226E"/>
    <w:rsid w:val="00735531"/>
    <w:rsid w:val="00736A26"/>
    <w:rsid w:val="00756EB7"/>
    <w:rsid w:val="00774B8E"/>
    <w:rsid w:val="00777920"/>
    <w:rsid w:val="00792C8D"/>
    <w:rsid w:val="0079679F"/>
    <w:rsid w:val="007A5E7B"/>
    <w:rsid w:val="007A79EB"/>
    <w:rsid w:val="007E14AF"/>
    <w:rsid w:val="007F1F06"/>
    <w:rsid w:val="007F4745"/>
    <w:rsid w:val="007F597D"/>
    <w:rsid w:val="0080144B"/>
    <w:rsid w:val="00804B79"/>
    <w:rsid w:val="0080640E"/>
    <w:rsid w:val="00820D14"/>
    <w:rsid w:val="0082340C"/>
    <w:rsid w:val="00832CA9"/>
    <w:rsid w:val="00834EAF"/>
    <w:rsid w:val="008410B2"/>
    <w:rsid w:val="00844EFE"/>
    <w:rsid w:val="008730A4"/>
    <w:rsid w:val="008732B0"/>
    <w:rsid w:val="00880097"/>
    <w:rsid w:val="00881558"/>
    <w:rsid w:val="00883182"/>
    <w:rsid w:val="00883ECC"/>
    <w:rsid w:val="00885956"/>
    <w:rsid w:val="00887555"/>
    <w:rsid w:val="00891C23"/>
    <w:rsid w:val="008A4FEA"/>
    <w:rsid w:val="008B1FB8"/>
    <w:rsid w:val="008B2728"/>
    <w:rsid w:val="008B2CFC"/>
    <w:rsid w:val="008B4292"/>
    <w:rsid w:val="008B6B87"/>
    <w:rsid w:val="008C2FF8"/>
    <w:rsid w:val="008D20CC"/>
    <w:rsid w:val="008E2289"/>
    <w:rsid w:val="008F6131"/>
    <w:rsid w:val="0091109B"/>
    <w:rsid w:val="00913DB7"/>
    <w:rsid w:val="0091490F"/>
    <w:rsid w:val="009220D7"/>
    <w:rsid w:val="00923DE6"/>
    <w:rsid w:val="00927744"/>
    <w:rsid w:val="009432D5"/>
    <w:rsid w:val="00943C52"/>
    <w:rsid w:val="00951794"/>
    <w:rsid w:val="00965F31"/>
    <w:rsid w:val="00973BBE"/>
    <w:rsid w:val="00981322"/>
    <w:rsid w:val="00990549"/>
    <w:rsid w:val="00990CD5"/>
    <w:rsid w:val="009914C1"/>
    <w:rsid w:val="00991739"/>
    <w:rsid w:val="0099498E"/>
    <w:rsid w:val="009A10EC"/>
    <w:rsid w:val="009B0A82"/>
    <w:rsid w:val="009B653F"/>
    <w:rsid w:val="009C129F"/>
    <w:rsid w:val="009C6E6C"/>
    <w:rsid w:val="009C7682"/>
    <w:rsid w:val="009D5814"/>
    <w:rsid w:val="009F2DD8"/>
    <w:rsid w:val="009F7850"/>
    <w:rsid w:val="00A033F6"/>
    <w:rsid w:val="00A0502C"/>
    <w:rsid w:val="00A2336D"/>
    <w:rsid w:val="00A26F1D"/>
    <w:rsid w:val="00A31C56"/>
    <w:rsid w:val="00A451C2"/>
    <w:rsid w:val="00A452DF"/>
    <w:rsid w:val="00A47774"/>
    <w:rsid w:val="00A50742"/>
    <w:rsid w:val="00A5411C"/>
    <w:rsid w:val="00A54F98"/>
    <w:rsid w:val="00A564F6"/>
    <w:rsid w:val="00A60AA7"/>
    <w:rsid w:val="00A61317"/>
    <w:rsid w:val="00A61337"/>
    <w:rsid w:val="00A62100"/>
    <w:rsid w:val="00A72B69"/>
    <w:rsid w:val="00A777AE"/>
    <w:rsid w:val="00A847D7"/>
    <w:rsid w:val="00A92422"/>
    <w:rsid w:val="00AB175F"/>
    <w:rsid w:val="00AB7227"/>
    <w:rsid w:val="00AC021C"/>
    <w:rsid w:val="00AD1AA1"/>
    <w:rsid w:val="00AE46B0"/>
    <w:rsid w:val="00AE4CA0"/>
    <w:rsid w:val="00AF70A7"/>
    <w:rsid w:val="00B136E9"/>
    <w:rsid w:val="00B20232"/>
    <w:rsid w:val="00B20AFA"/>
    <w:rsid w:val="00B20B84"/>
    <w:rsid w:val="00B27361"/>
    <w:rsid w:val="00B4608F"/>
    <w:rsid w:val="00B5749F"/>
    <w:rsid w:val="00B6254A"/>
    <w:rsid w:val="00B65A48"/>
    <w:rsid w:val="00B67EA9"/>
    <w:rsid w:val="00B80E3F"/>
    <w:rsid w:val="00B8375D"/>
    <w:rsid w:val="00B83BE5"/>
    <w:rsid w:val="00B90AEA"/>
    <w:rsid w:val="00BA13BE"/>
    <w:rsid w:val="00BA6ED5"/>
    <w:rsid w:val="00BB21B8"/>
    <w:rsid w:val="00BB6839"/>
    <w:rsid w:val="00BB6C70"/>
    <w:rsid w:val="00BD4000"/>
    <w:rsid w:val="00BD66E9"/>
    <w:rsid w:val="00BE36E3"/>
    <w:rsid w:val="00BE6A89"/>
    <w:rsid w:val="00C00C13"/>
    <w:rsid w:val="00C02D16"/>
    <w:rsid w:val="00C02E66"/>
    <w:rsid w:val="00C14498"/>
    <w:rsid w:val="00C22243"/>
    <w:rsid w:val="00C370D2"/>
    <w:rsid w:val="00C41E51"/>
    <w:rsid w:val="00C43823"/>
    <w:rsid w:val="00C46019"/>
    <w:rsid w:val="00C475F2"/>
    <w:rsid w:val="00C47DA4"/>
    <w:rsid w:val="00C81EE2"/>
    <w:rsid w:val="00C8406B"/>
    <w:rsid w:val="00C87ADE"/>
    <w:rsid w:val="00C9536B"/>
    <w:rsid w:val="00CA0A5F"/>
    <w:rsid w:val="00CA7CD4"/>
    <w:rsid w:val="00CB2425"/>
    <w:rsid w:val="00CB4816"/>
    <w:rsid w:val="00CD2510"/>
    <w:rsid w:val="00CF2DB9"/>
    <w:rsid w:val="00D00022"/>
    <w:rsid w:val="00D06D48"/>
    <w:rsid w:val="00D4714F"/>
    <w:rsid w:val="00D51BAD"/>
    <w:rsid w:val="00D52DEC"/>
    <w:rsid w:val="00D55597"/>
    <w:rsid w:val="00D6303F"/>
    <w:rsid w:val="00D728D6"/>
    <w:rsid w:val="00D75489"/>
    <w:rsid w:val="00D80585"/>
    <w:rsid w:val="00D91901"/>
    <w:rsid w:val="00D939D0"/>
    <w:rsid w:val="00DC085C"/>
    <w:rsid w:val="00DC75E2"/>
    <w:rsid w:val="00DD2927"/>
    <w:rsid w:val="00DE2AEE"/>
    <w:rsid w:val="00DF7D67"/>
    <w:rsid w:val="00E16068"/>
    <w:rsid w:val="00E32502"/>
    <w:rsid w:val="00E46645"/>
    <w:rsid w:val="00E52722"/>
    <w:rsid w:val="00E55ECD"/>
    <w:rsid w:val="00E5680A"/>
    <w:rsid w:val="00E70839"/>
    <w:rsid w:val="00E765F9"/>
    <w:rsid w:val="00E801D6"/>
    <w:rsid w:val="00E875E4"/>
    <w:rsid w:val="00E8783A"/>
    <w:rsid w:val="00E958E7"/>
    <w:rsid w:val="00E9722F"/>
    <w:rsid w:val="00EA44F3"/>
    <w:rsid w:val="00EB448A"/>
    <w:rsid w:val="00EB4BCA"/>
    <w:rsid w:val="00EB6EC9"/>
    <w:rsid w:val="00ED12A3"/>
    <w:rsid w:val="00EF5611"/>
    <w:rsid w:val="00EF58AC"/>
    <w:rsid w:val="00EF6FE9"/>
    <w:rsid w:val="00F11A9D"/>
    <w:rsid w:val="00F1712E"/>
    <w:rsid w:val="00F17765"/>
    <w:rsid w:val="00F32428"/>
    <w:rsid w:val="00F32875"/>
    <w:rsid w:val="00F43618"/>
    <w:rsid w:val="00F43AA3"/>
    <w:rsid w:val="00F628E8"/>
    <w:rsid w:val="00F81724"/>
    <w:rsid w:val="00F820A5"/>
    <w:rsid w:val="00F868ED"/>
    <w:rsid w:val="00FA0650"/>
    <w:rsid w:val="00FB4FD9"/>
    <w:rsid w:val="00FC2DE6"/>
    <w:rsid w:val="00FF450F"/>
    <w:rsid w:val="00FF5498"/>
    <w:rsid w:val="00FF6AA3"/>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7744"/>
    <w:rPr>
      <w:rFonts w:ascii="Tahoma" w:hAnsi="Tahoma" w:cs="Tahoma"/>
      <w:sz w:val="16"/>
      <w:szCs w:val="16"/>
    </w:rPr>
  </w:style>
  <w:style w:type="paragraph" w:styleId="Header">
    <w:name w:val="header"/>
    <w:basedOn w:val="Normal"/>
    <w:rsid w:val="00E958E7"/>
    <w:pPr>
      <w:tabs>
        <w:tab w:val="center" w:pos="4320"/>
        <w:tab w:val="right" w:pos="8640"/>
      </w:tabs>
    </w:pPr>
  </w:style>
  <w:style w:type="paragraph" w:styleId="Footer">
    <w:name w:val="footer"/>
    <w:basedOn w:val="Normal"/>
    <w:rsid w:val="00E958E7"/>
    <w:pPr>
      <w:tabs>
        <w:tab w:val="center" w:pos="4320"/>
        <w:tab w:val="right" w:pos="8640"/>
      </w:tabs>
    </w:pPr>
  </w:style>
  <w:style w:type="character" w:styleId="PageNumber">
    <w:name w:val="page number"/>
    <w:basedOn w:val="DefaultParagraphFont"/>
    <w:rsid w:val="00E958E7"/>
  </w:style>
  <w:style w:type="character" w:styleId="CommentReference">
    <w:name w:val="annotation reference"/>
    <w:basedOn w:val="DefaultParagraphFont"/>
    <w:semiHidden/>
    <w:rsid w:val="00913DB7"/>
    <w:rPr>
      <w:sz w:val="16"/>
      <w:szCs w:val="16"/>
    </w:rPr>
  </w:style>
  <w:style w:type="paragraph" w:styleId="CommentText">
    <w:name w:val="annotation text"/>
    <w:basedOn w:val="Normal"/>
    <w:semiHidden/>
    <w:rsid w:val="00913DB7"/>
    <w:rPr>
      <w:sz w:val="20"/>
      <w:szCs w:val="20"/>
    </w:rPr>
  </w:style>
  <w:style w:type="paragraph" w:styleId="CommentSubject">
    <w:name w:val="annotation subject"/>
    <w:basedOn w:val="CommentText"/>
    <w:next w:val="CommentText"/>
    <w:semiHidden/>
    <w:rsid w:val="00913DB7"/>
    <w:rPr>
      <w:b/>
      <w:bCs/>
    </w:rPr>
  </w:style>
  <w:style w:type="table" w:styleId="TableGrid">
    <w:name w:val="Table Grid"/>
    <w:basedOn w:val="TableNormal"/>
    <w:rsid w:val="0002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414">
      <w:bodyDiv w:val="1"/>
      <w:marLeft w:val="0"/>
      <w:marRight w:val="0"/>
      <w:marTop w:val="0"/>
      <w:marBottom w:val="0"/>
      <w:divBdr>
        <w:top w:val="none" w:sz="0" w:space="0" w:color="auto"/>
        <w:left w:val="none" w:sz="0" w:space="0" w:color="auto"/>
        <w:bottom w:val="none" w:sz="0" w:space="0" w:color="auto"/>
        <w:right w:val="none" w:sz="0" w:space="0" w:color="auto"/>
      </w:divBdr>
    </w:div>
    <w:div w:id="19861063">
      <w:bodyDiv w:val="1"/>
      <w:marLeft w:val="0"/>
      <w:marRight w:val="0"/>
      <w:marTop w:val="0"/>
      <w:marBottom w:val="0"/>
      <w:divBdr>
        <w:top w:val="none" w:sz="0" w:space="0" w:color="auto"/>
        <w:left w:val="none" w:sz="0" w:space="0" w:color="auto"/>
        <w:bottom w:val="none" w:sz="0" w:space="0" w:color="auto"/>
        <w:right w:val="none" w:sz="0" w:space="0" w:color="auto"/>
      </w:divBdr>
    </w:div>
    <w:div w:id="139808612">
      <w:bodyDiv w:val="1"/>
      <w:marLeft w:val="0"/>
      <w:marRight w:val="0"/>
      <w:marTop w:val="0"/>
      <w:marBottom w:val="0"/>
      <w:divBdr>
        <w:top w:val="none" w:sz="0" w:space="0" w:color="auto"/>
        <w:left w:val="none" w:sz="0" w:space="0" w:color="auto"/>
        <w:bottom w:val="none" w:sz="0" w:space="0" w:color="auto"/>
        <w:right w:val="none" w:sz="0" w:space="0" w:color="auto"/>
      </w:divBdr>
    </w:div>
    <w:div w:id="210849687">
      <w:bodyDiv w:val="1"/>
      <w:marLeft w:val="0"/>
      <w:marRight w:val="0"/>
      <w:marTop w:val="0"/>
      <w:marBottom w:val="0"/>
      <w:divBdr>
        <w:top w:val="none" w:sz="0" w:space="0" w:color="auto"/>
        <w:left w:val="none" w:sz="0" w:space="0" w:color="auto"/>
        <w:bottom w:val="none" w:sz="0" w:space="0" w:color="auto"/>
        <w:right w:val="none" w:sz="0" w:space="0" w:color="auto"/>
      </w:divBdr>
    </w:div>
    <w:div w:id="267199228">
      <w:bodyDiv w:val="1"/>
      <w:marLeft w:val="0"/>
      <w:marRight w:val="0"/>
      <w:marTop w:val="0"/>
      <w:marBottom w:val="0"/>
      <w:divBdr>
        <w:top w:val="none" w:sz="0" w:space="0" w:color="auto"/>
        <w:left w:val="none" w:sz="0" w:space="0" w:color="auto"/>
        <w:bottom w:val="none" w:sz="0" w:space="0" w:color="auto"/>
        <w:right w:val="none" w:sz="0" w:space="0" w:color="auto"/>
      </w:divBdr>
    </w:div>
    <w:div w:id="315650679">
      <w:bodyDiv w:val="1"/>
      <w:marLeft w:val="0"/>
      <w:marRight w:val="0"/>
      <w:marTop w:val="0"/>
      <w:marBottom w:val="0"/>
      <w:divBdr>
        <w:top w:val="none" w:sz="0" w:space="0" w:color="auto"/>
        <w:left w:val="none" w:sz="0" w:space="0" w:color="auto"/>
        <w:bottom w:val="none" w:sz="0" w:space="0" w:color="auto"/>
        <w:right w:val="none" w:sz="0" w:space="0" w:color="auto"/>
      </w:divBdr>
    </w:div>
    <w:div w:id="492063645">
      <w:bodyDiv w:val="1"/>
      <w:marLeft w:val="0"/>
      <w:marRight w:val="0"/>
      <w:marTop w:val="0"/>
      <w:marBottom w:val="0"/>
      <w:divBdr>
        <w:top w:val="none" w:sz="0" w:space="0" w:color="auto"/>
        <w:left w:val="none" w:sz="0" w:space="0" w:color="auto"/>
        <w:bottom w:val="none" w:sz="0" w:space="0" w:color="auto"/>
        <w:right w:val="none" w:sz="0" w:space="0" w:color="auto"/>
      </w:divBdr>
    </w:div>
    <w:div w:id="542910933">
      <w:bodyDiv w:val="1"/>
      <w:marLeft w:val="0"/>
      <w:marRight w:val="0"/>
      <w:marTop w:val="0"/>
      <w:marBottom w:val="0"/>
      <w:divBdr>
        <w:top w:val="none" w:sz="0" w:space="0" w:color="auto"/>
        <w:left w:val="none" w:sz="0" w:space="0" w:color="auto"/>
        <w:bottom w:val="none" w:sz="0" w:space="0" w:color="auto"/>
        <w:right w:val="none" w:sz="0" w:space="0" w:color="auto"/>
      </w:divBdr>
    </w:div>
    <w:div w:id="553658740">
      <w:bodyDiv w:val="1"/>
      <w:marLeft w:val="0"/>
      <w:marRight w:val="0"/>
      <w:marTop w:val="0"/>
      <w:marBottom w:val="0"/>
      <w:divBdr>
        <w:top w:val="none" w:sz="0" w:space="0" w:color="auto"/>
        <w:left w:val="none" w:sz="0" w:space="0" w:color="auto"/>
        <w:bottom w:val="none" w:sz="0" w:space="0" w:color="auto"/>
        <w:right w:val="none" w:sz="0" w:space="0" w:color="auto"/>
      </w:divBdr>
    </w:div>
    <w:div w:id="590355037">
      <w:bodyDiv w:val="1"/>
      <w:marLeft w:val="0"/>
      <w:marRight w:val="0"/>
      <w:marTop w:val="0"/>
      <w:marBottom w:val="0"/>
      <w:divBdr>
        <w:top w:val="none" w:sz="0" w:space="0" w:color="auto"/>
        <w:left w:val="none" w:sz="0" w:space="0" w:color="auto"/>
        <w:bottom w:val="none" w:sz="0" w:space="0" w:color="auto"/>
        <w:right w:val="none" w:sz="0" w:space="0" w:color="auto"/>
      </w:divBdr>
    </w:div>
    <w:div w:id="603149702">
      <w:bodyDiv w:val="1"/>
      <w:marLeft w:val="0"/>
      <w:marRight w:val="0"/>
      <w:marTop w:val="0"/>
      <w:marBottom w:val="0"/>
      <w:divBdr>
        <w:top w:val="none" w:sz="0" w:space="0" w:color="auto"/>
        <w:left w:val="none" w:sz="0" w:space="0" w:color="auto"/>
        <w:bottom w:val="none" w:sz="0" w:space="0" w:color="auto"/>
        <w:right w:val="none" w:sz="0" w:space="0" w:color="auto"/>
      </w:divBdr>
    </w:div>
    <w:div w:id="690960830">
      <w:bodyDiv w:val="1"/>
      <w:marLeft w:val="0"/>
      <w:marRight w:val="0"/>
      <w:marTop w:val="0"/>
      <w:marBottom w:val="0"/>
      <w:divBdr>
        <w:top w:val="none" w:sz="0" w:space="0" w:color="auto"/>
        <w:left w:val="none" w:sz="0" w:space="0" w:color="auto"/>
        <w:bottom w:val="none" w:sz="0" w:space="0" w:color="auto"/>
        <w:right w:val="none" w:sz="0" w:space="0" w:color="auto"/>
      </w:divBdr>
    </w:div>
    <w:div w:id="745111070">
      <w:bodyDiv w:val="1"/>
      <w:marLeft w:val="0"/>
      <w:marRight w:val="0"/>
      <w:marTop w:val="0"/>
      <w:marBottom w:val="0"/>
      <w:divBdr>
        <w:top w:val="none" w:sz="0" w:space="0" w:color="auto"/>
        <w:left w:val="none" w:sz="0" w:space="0" w:color="auto"/>
        <w:bottom w:val="none" w:sz="0" w:space="0" w:color="auto"/>
        <w:right w:val="none" w:sz="0" w:space="0" w:color="auto"/>
      </w:divBdr>
    </w:div>
    <w:div w:id="845098217">
      <w:bodyDiv w:val="1"/>
      <w:marLeft w:val="0"/>
      <w:marRight w:val="0"/>
      <w:marTop w:val="0"/>
      <w:marBottom w:val="0"/>
      <w:divBdr>
        <w:top w:val="none" w:sz="0" w:space="0" w:color="auto"/>
        <w:left w:val="none" w:sz="0" w:space="0" w:color="auto"/>
        <w:bottom w:val="none" w:sz="0" w:space="0" w:color="auto"/>
        <w:right w:val="none" w:sz="0" w:space="0" w:color="auto"/>
      </w:divBdr>
    </w:div>
    <w:div w:id="894271065">
      <w:bodyDiv w:val="1"/>
      <w:marLeft w:val="0"/>
      <w:marRight w:val="0"/>
      <w:marTop w:val="0"/>
      <w:marBottom w:val="0"/>
      <w:divBdr>
        <w:top w:val="none" w:sz="0" w:space="0" w:color="auto"/>
        <w:left w:val="none" w:sz="0" w:space="0" w:color="auto"/>
        <w:bottom w:val="none" w:sz="0" w:space="0" w:color="auto"/>
        <w:right w:val="none" w:sz="0" w:space="0" w:color="auto"/>
      </w:divBdr>
    </w:div>
    <w:div w:id="950017147">
      <w:bodyDiv w:val="1"/>
      <w:marLeft w:val="0"/>
      <w:marRight w:val="0"/>
      <w:marTop w:val="0"/>
      <w:marBottom w:val="0"/>
      <w:divBdr>
        <w:top w:val="none" w:sz="0" w:space="0" w:color="auto"/>
        <w:left w:val="none" w:sz="0" w:space="0" w:color="auto"/>
        <w:bottom w:val="none" w:sz="0" w:space="0" w:color="auto"/>
        <w:right w:val="none" w:sz="0" w:space="0" w:color="auto"/>
      </w:divBdr>
    </w:div>
    <w:div w:id="1011957079">
      <w:bodyDiv w:val="1"/>
      <w:marLeft w:val="0"/>
      <w:marRight w:val="0"/>
      <w:marTop w:val="0"/>
      <w:marBottom w:val="0"/>
      <w:divBdr>
        <w:top w:val="none" w:sz="0" w:space="0" w:color="auto"/>
        <w:left w:val="none" w:sz="0" w:space="0" w:color="auto"/>
        <w:bottom w:val="none" w:sz="0" w:space="0" w:color="auto"/>
        <w:right w:val="none" w:sz="0" w:space="0" w:color="auto"/>
      </w:divBdr>
    </w:div>
    <w:div w:id="1033579986">
      <w:bodyDiv w:val="1"/>
      <w:marLeft w:val="0"/>
      <w:marRight w:val="0"/>
      <w:marTop w:val="0"/>
      <w:marBottom w:val="0"/>
      <w:divBdr>
        <w:top w:val="none" w:sz="0" w:space="0" w:color="auto"/>
        <w:left w:val="none" w:sz="0" w:space="0" w:color="auto"/>
        <w:bottom w:val="none" w:sz="0" w:space="0" w:color="auto"/>
        <w:right w:val="none" w:sz="0" w:space="0" w:color="auto"/>
      </w:divBdr>
    </w:div>
    <w:div w:id="1053193177">
      <w:bodyDiv w:val="1"/>
      <w:marLeft w:val="0"/>
      <w:marRight w:val="0"/>
      <w:marTop w:val="0"/>
      <w:marBottom w:val="0"/>
      <w:divBdr>
        <w:top w:val="none" w:sz="0" w:space="0" w:color="auto"/>
        <w:left w:val="none" w:sz="0" w:space="0" w:color="auto"/>
        <w:bottom w:val="none" w:sz="0" w:space="0" w:color="auto"/>
        <w:right w:val="none" w:sz="0" w:space="0" w:color="auto"/>
      </w:divBdr>
    </w:div>
    <w:div w:id="1082069810">
      <w:bodyDiv w:val="1"/>
      <w:marLeft w:val="0"/>
      <w:marRight w:val="0"/>
      <w:marTop w:val="0"/>
      <w:marBottom w:val="0"/>
      <w:divBdr>
        <w:top w:val="none" w:sz="0" w:space="0" w:color="auto"/>
        <w:left w:val="none" w:sz="0" w:space="0" w:color="auto"/>
        <w:bottom w:val="none" w:sz="0" w:space="0" w:color="auto"/>
        <w:right w:val="none" w:sz="0" w:space="0" w:color="auto"/>
      </w:divBdr>
    </w:div>
    <w:div w:id="1091317094">
      <w:bodyDiv w:val="1"/>
      <w:marLeft w:val="0"/>
      <w:marRight w:val="0"/>
      <w:marTop w:val="0"/>
      <w:marBottom w:val="0"/>
      <w:divBdr>
        <w:top w:val="none" w:sz="0" w:space="0" w:color="auto"/>
        <w:left w:val="none" w:sz="0" w:space="0" w:color="auto"/>
        <w:bottom w:val="none" w:sz="0" w:space="0" w:color="auto"/>
        <w:right w:val="none" w:sz="0" w:space="0" w:color="auto"/>
      </w:divBdr>
    </w:div>
    <w:div w:id="1169062271">
      <w:bodyDiv w:val="1"/>
      <w:marLeft w:val="0"/>
      <w:marRight w:val="0"/>
      <w:marTop w:val="0"/>
      <w:marBottom w:val="0"/>
      <w:divBdr>
        <w:top w:val="none" w:sz="0" w:space="0" w:color="auto"/>
        <w:left w:val="none" w:sz="0" w:space="0" w:color="auto"/>
        <w:bottom w:val="none" w:sz="0" w:space="0" w:color="auto"/>
        <w:right w:val="none" w:sz="0" w:space="0" w:color="auto"/>
      </w:divBdr>
    </w:div>
    <w:div w:id="1174953611">
      <w:bodyDiv w:val="1"/>
      <w:marLeft w:val="0"/>
      <w:marRight w:val="0"/>
      <w:marTop w:val="0"/>
      <w:marBottom w:val="0"/>
      <w:divBdr>
        <w:top w:val="none" w:sz="0" w:space="0" w:color="auto"/>
        <w:left w:val="none" w:sz="0" w:space="0" w:color="auto"/>
        <w:bottom w:val="none" w:sz="0" w:space="0" w:color="auto"/>
        <w:right w:val="none" w:sz="0" w:space="0" w:color="auto"/>
      </w:divBdr>
    </w:div>
    <w:div w:id="1324430823">
      <w:bodyDiv w:val="1"/>
      <w:marLeft w:val="0"/>
      <w:marRight w:val="0"/>
      <w:marTop w:val="0"/>
      <w:marBottom w:val="0"/>
      <w:divBdr>
        <w:top w:val="none" w:sz="0" w:space="0" w:color="auto"/>
        <w:left w:val="none" w:sz="0" w:space="0" w:color="auto"/>
        <w:bottom w:val="none" w:sz="0" w:space="0" w:color="auto"/>
        <w:right w:val="none" w:sz="0" w:space="0" w:color="auto"/>
      </w:divBdr>
    </w:div>
    <w:div w:id="1350374691">
      <w:bodyDiv w:val="1"/>
      <w:marLeft w:val="0"/>
      <w:marRight w:val="0"/>
      <w:marTop w:val="0"/>
      <w:marBottom w:val="0"/>
      <w:divBdr>
        <w:top w:val="none" w:sz="0" w:space="0" w:color="auto"/>
        <w:left w:val="none" w:sz="0" w:space="0" w:color="auto"/>
        <w:bottom w:val="none" w:sz="0" w:space="0" w:color="auto"/>
        <w:right w:val="none" w:sz="0" w:space="0" w:color="auto"/>
      </w:divBdr>
    </w:div>
    <w:div w:id="1474761081">
      <w:bodyDiv w:val="1"/>
      <w:marLeft w:val="0"/>
      <w:marRight w:val="0"/>
      <w:marTop w:val="0"/>
      <w:marBottom w:val="0"/>
      <w:divBdr>
        <w:top w:val="none" w:sz="0" w:space="0" w:color="auto"/>
        <w:left w:val="none" w:sz="0" w:space="0" w:color="auto"/>
        <w:bottom w:val="none" w:sz="0" w:space="0" w:color="auto"/>
        <w:right w:val="none" w:sz="0" w:space="0" w:color="auto"/>
      </w:divBdr>
    </w:div>
    <w:div w:id="1476992373">
      <w:bodyDiv w:val="1"/>
      <w:marLeft w:val="0"/>
      <w:marRight w:val="0"/>
      <w:marTop w:val="0"/>
      <w:marBottom w:val="0"/>
      <w:divBdr>
        <w:top w:val="none" w:sz="0" w:space="0" w:color="auto"/>
        <w:left w:val="none" w:sz="0" w:space="0" w:color="auto"/>
        <w:bottom w:val="none" w:sz="0" w:space="0" w:color="auto"/>
        <w:right w:val="none" w:sz="0" w:space="0" w:color="auto"/>
      </w:divBdr>
    </w:div>
    <w:div w:id="1567910100">
      <w:bodyDiv w:val="1"/>
      <w:marLeft w:val="0"/>
      <w:marRight w:val="0"/>
      <w:marTop w:val="0"/>
      <w:marBottom w:val="0"/>
      <w:divBdr>
        <w:top w:val="none" w:sz="0" w:space="0" w:color="auto"/>
        <w:left w:val="none" w:sz="0" w:space="0" w:color="auto"/>
        <w:bottom w:val="none" w:sz="0" w:space="0" w:color="auto"/>
        <w:right w:val="none" w:sz="0" w:space="0" w:color="auto"/>
      </w:divBdr>
    </w:div>
    <w:div w:id="1575503886">
      <w:bodyDiv w:val="1"/>
      <w:marLeft w:val="0"/>
      <w:marRight w:val="0"/>
      <w:marTop w:val="0"/>
      <w:marBottom w:val="0"/>
      <w:divBdr>
        <w:top w:val="none" w:sz="0" w:space="0" w:color="auto"/>
        <w:left w:val="none" w:sz="0" w:space="0" w:color="auto"/>
        <w:bottom w:val="none" w:sz="0" w:space="0" w:color="auto"/>
        <w:right w:val="none" w:sz="0" w:space="0" w:color="auto"/>
      </w:divBdr>
    </w:div>
    <w:div w:id="1634367411">
      <w:bodyDiv w:val="1"/>
      <w:marLeft w:val="0"/>
      <w:marRight w:val="0"/>
      <w:marTop w:val="0"/>
      <w:marBottom w:val="0"/>
      <w:divBdr>
        <w:top w:val="none" w:sz="0" w:space="0" w:color="auto"/>
        <w:left w:val="none" w:sz="0" w:space="0" w:color="auto"/>
        <w:bottom w:val="none" w:sz="0" w:space="0" w:color="auto"/>
        <w:right w:val="none" w:sz="0" w:space="0" w:color="auto"/>
      </w:divBdr>
    </w:div>
    <w:div w:id="1764956824">
      <w:bodyDiv w:val="1"/>
      <w:marLeft w:val="0"/>
      <w:marRight w:val="0"/>
      <w:marTop w:val="0"/>
      <w:marBottom w:val="0"/>
      <w:divBdr>
        <w:top w:val="none" w:sz="0" w:space="0" w:color="auto"/>
        <w:left w:val="none" w:sz="0" w:space="0" w:color="auto"/>
        <w:bottom w:val="none" w:sz="0" w:space="0" w:color="auto"/>
        <w:right w:val="none" w:sz="0" w:space="0" w:color="auto"/>
      </w:divBdr>
    </w:div>
    <w:div w:id="1838111157">
      <w:bodyDiv w:val="1"/>
      <w:marLeft w:val="0"/>
      <w:marRight w:val="0"/>
      <w:marTop w:val="0"/>
      <w:marBottom w:val="0"/>
      <w:divBdr>
        <w:top w:val="none" w:sz="0" w:space="0" w:color="auto"/>
        <w:left w:val="none" w:sz="0" w:space="0" w:color="auto"/>
        <w:bottom w:val="none" w:sz="0" w:space="0" w:color="auto"/>
        <w:right w:val="none" w:sz="0" w:space="0" w:color="auto"/>
      </w:divBdr>
    </w:div>
    <w:div w:id="1897163541">
      <w:bodyDiv w:val="1"/>
      <w:marLeft w:val="0"/>
      <w:marRight w:val="0"/>
      <w:marTop w:val="0"/>
      <w:marBottom w:val="0"/>
      <w:divBdr>
        <w:top w:val="none" w:sz="0" w:space="0" w:color="auto"/>
        <w:left w:val="none" w:sz="0" w:space="0" w:color="auto"/>
        <w:bottom w:val="none" w:sz="0" w:space="0" w:color="auto"/>
        <w:right w:val="none" w:sz="0" w:space="0" w:color="auto"/>
      </w:divBdr>
    </w:div>
    <w:div w:id="1952860792">
      <w:bodyDiv w:val="1"/>
      <w:marLeft w:val="0"/>
      <w:marRight w:val="0"/>
      <w:marTop w:val="0"/>
      <w:marBottom w:val="0"/>
      <w:divBdr>
        <w:top w:val="none" w:sz="0" w:space="0" w:color="auto"/>
        <w:left w:val="none" w:sz="0" w:space="0" w:color="auto"/>
        <w:bottom w:val="none" w:sz="0" w:space="0" w:color="auto"/>
        <w:right w:val="none" w:sz="0" w:space="0" w:color="auto"/>
      </w:divBdr>
    </w:div>
    <w:div w:id="1954509689">
      <w:bodyDiv w:val="1"/>
      <w:marLeft w:val="0"/>
      <w:marRight w:val="0"/>
      <w:marTop w:val="0"/>
      <w:marBottom w:val="0"/>
      <w:divBdr>
        <w:top w:val="none" w:sz="0" w:space="0" w:color="auto"/>
        <w:left w:val="none" w:sz="0" w:space="0" w:color="auto"/>
        <w:bottom w:val="none" w:sz="0" w:space="0" w:color="auto"/>
        <w:right w:val="none" w:sz="0" w:space="0" w:color="auto"/>
      </w:divBdr>
    </w:div>
    <w:div w:id="2023625628">
      <w:bodyDiv w:val="1"/>
      <w:marLeft w:val="0"/>
      <w:marRight w:val="0"/>
      <w:marTop w:val="0"/>
      <w:marBottom w:val="0"/>
      <w:divBdr>
        <w:top w:val="none" w:sz="0" w:space="0" w:color="auto"/>
        <w:left w:val="none" w:sz="0" w:space="0" w:color="auto"/>
        <w:bottom w:val="none" w:sz="0" w:space="0" w:color="auto"/>
        <w:right w:val="none" w:sz="0" w:space="0" w:color="auto"/>
      </w:divBdr>
    </w:div>
    <w:div w:id="2031566450">
      <w:bodyDiv w:val="1"/>
      <w:marLeft w:val="0"/>
      <w:marRight w:val="0"/>
      <w:marTop w:val="0"/>
      <w:marBottom w:val="0"/>
      <w:divBdr>
        <w:top w:val="none" w:sz="0" w:space="0" w:color="auto"/>
        <w:left w:val="none" w:sz="0" w:space="0" w:color="auto"/>
        <w:bottom w:val="none" w:sz="0" w:space="0" w:color="auto"/>
        <w:right w:val="none" w:sz="0" w:space="0" w:color="auto"/>
      </w:divBdr>
    </w:div>
    <w:div w:id="2057502726">
      <w:bodyDiv w:val="1"/>
      <w:marLeft w:val="0"/>
      <w:marRight w:val="0"/>
      <w:marTop w:val="0"/>
      <w:marBottom w:val="0"/>
      <w:divBdr>
        <w:top w:val="none" w:sz="0" w:space="0" w:color="auto"/>
        <w:left w:val="none" w:sz="0" w:space="0" w:color="auto"/>
        <w:bottom w:val="none" w:sz="0" w:space="0" w:color="auto"/>
        <w:right w:val="none" w:sz="0" w:space="0" w:color="auto"/>
      </w:divBdr>
    </w:div>
    <w:div w:id="2057896330">
      <w:bodyDiv w:val="1"/>
      <w:marLeft w:val="0"/>
      <w:marRight w:val="0"/>
      <w:marTop w:val="0"/>
      <w:marBottom w:val="0"/>
      <w:divBdr>
        <w:top w:val="none" w:sz="0" w:space="0" w:color="auto"/>
        <w:left w:val="none" w:sz="0" w:space="0" w:color="auto"/>
        <w:bottom w:val="none" w:sz="0" w:space="0" w:color="auto"/>
        <w:right w:val="none" w:sz="0" w:space="0" w:color="auto"/>
      </w:divBdr>
    </w:div>
    <w:div w:id="213544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DD958-62A4-4B8E-AE5C-0451B364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7068</Words>
  <Characters>40292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SECTION I: PART A OF THE SUPPORTING STATEMENT</vt:lpstr>
    </vt:vector>
  </TitlesOfParts>
  <Company/>
  <LinksUpToDate>false</LinksUpToDate>
  <CharactersWithSpaces>47266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 PART A OF THE SUPPORTING STATEMENT</dc:title>
  <dc:subject/>
  <dc:creator/>
  <cp:keywords/>
  <dc:description/>
  <cp:lastModifiedBy/>
  <cp:revision>1</cp:revision>
  <cp:lastPrinted>2010-01-26T22:06:00Z</cp:lastPrinted>
  <dcterms:created xsi:type="dcterms:W3CDTF">2015-12-17T21:48:00Z</dcterms:created>
  <dcterms:modified xsi:type="dcterms:W3CDTF">2015-12-17T23:18:00Z</dcterms:modified>
</cp:coreProperties>
</file>