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37DEA0" w14:textId="77777777" w:rsidR="008B534F" w:rsidRPr="00830E5B" w:rsidRDefault="008B534F" w:rsidP="008B534F">
      <w:pPr>
        <w:jc w:val="center"/>
        <w:rPr>
          <w:b/>
          <w:bCs/>
        </w:rPr>
      </w:pPr>
      <w:r w:rsidRPr="00830E5B">
        <w:rPr>
          <w:b/>
          <w:bCs/>
        </w:rPr>
        <w:t>INFORMATION COLLECTION</w:t>
      </w:r>
    </w:p>
    <w:p w14:paraId="36648C9F" w14:textId="77777777" w:rsidR="008B534F" w:rsidRDefault="008B534F" w:rsidP="008B534F">
      <w:pPr>
        <w:jc w:val="center"/>
        <w:rPr>
          <w:b/>
          <w:bCs/>
        </w:rPr>
      </w:pPr>
      <w:r w:rsidRPr="00830E5B">
        <w:rPr>
          <w:b/>
          <w:bCs/>
        </w:rPr>
        <w:t>SUPPORTING STATEMENT</w:t>
      </w:r>
    </w:p>
    <w:p w14:paraId="4A738A33" w14:textId="77777777" w:rsidR="008B534F" w:rsidRPr="00830E5B" w:rsidRDefault="008B534F" w:rsidP="008B534F">
      <w:pPr>
        <w:jc w:val="center"/>
        <w:rPr>
          <w:b/>
          <w:bCs/>
        </w:rPr>
      </w:pPr>
    </w:p>
    <w:p w14:paraId="4D89A995" w14:textId="77777777" w:rsidR="008B534F" w:rsidRPr="00610E47" w:rsidRDefault="008B534F" w:rsidP="008B534F">
      <w:pPr>
        <w:jc w:val="center"/>
        <w:rPr>
          <w:b/>
          <w:bCs/>
          <w:szCs w:val="22"/>
        </w:rPr>
      </w:pPr>
      <w:r w:rsidRPr="00610E47">
        <w:rPr>
          <w:b/>
          <w:bCs/>
          <w:szCs w:val="22"/>
        </w:rPr>
        <w:t>Evaluation of Correct Child Restraint System Installations</w:t>
      </w:r>
    </w:p>
    <w:p w14:paraId="7ABC4833" w14:textId="77777777" w:rsidR="008B534F" w:rsidRDefault="008B534F" w:rsidP="00207F7C">
      <w:pPr>
        <w:rPr>
          <w:b/>
          <w:bCs/>
          <w:u w:val="single"/>
        </w:rPr>
      </w:pPr>
      <w:bookmarkStart w:id="0" w:name="_GoBack"/>
      <w:bookmarkEnd w:id="0"/>
    </w:p>
    <w:p w14:paraId="242AB701" w14:textId="77777777" w:rsidR="008B534F" w:rsidRDefault="008B534F" w:rsidP="00207F7C">
      <w:pPr>
        <w:rPr>
          <w:b/>
          <w:bCs/>
          <w:u w:val="single"/>
        </w:rPr>
      </w:pPr>
    </w:p>
    <w:p w14:paraId="15BB5930" w14:textId="77777777" w:rsidR="008B534F" w:rsidRDefault="008B534F" w:rsidP="00207F7C">
      <w:pPr>
        <w:rPr>
          <w:b/>
          <w:bCs/>
          <w:u w:val="single"/>
        </w:rPr>
      </w:pPr>
    </w:p>
    <w:p w14:paraId="4F594647" w14:textId="77777777" w:rsidR="008B534F" w:rsidRDefault="008B534F" w:rsidP="00207F7C">
      <w:pPr>
        <w:rPr>
          <w:b/>
          <w:bCs/>
          <w:u w:val="single"/>
        </w:rPr>
      </w:pPr>
    </w:p>
    <w:p w14:paraId="0457F7FF" w14:textId="77777777" w:rsidR="00207F7C" w:rsidRPr="003D4E46" w:rsidRDefault="00207F7C" w:rsidP="00207F7C">
      <w:pPr>
        <w:rPr>
          <w:b/>
          <w:bCs/>
        </w:rPr>
      </w:pPr>
      <w:r w:rsidRPr="00794DFD">
        <w:rPr>
          <w:b/>
          <w:bCs/>
          <w:u w:val="single"/>
        </w:rPr>
        <w:t>B. Statistical Methods</w:t>
      </w:r>
    </w:p>
    <w:p w14:paraId="0457F800" w14:textId="77777777" w:rsidR="00207F7C" w:rsidRPr="00830E5B" w:rsidRDefault="00207F7C" w:rsidP="00207F7C">
      <w:pPr>
        <w:rPr>
          <w:b/>
          <w:bCs/>
        </w:rPr>
      </w:pPr>
    </w:p>
    <w:p w14:paraId="0457F801" w14:textId="5ABFF4DA" w:rsidR="00E672AC" w:rsidRDefault="00E672AC" w:rsidP="00E672AC">
      <w:pPr>
        <w:pStyle w:val="L1-FlLSp12"/>
      </w:pPr>
      <w:bookmarkStart w:id="1" w:name="_Toc267035210"/>
      <w:r>
        <w:t xml:space="preserve">NHTSA is seeking approval to conduct a quasi-experimental study </w:t>
      </w:r>
      <w:r w:rsidR="00D54328">
        <w:t xml:space="preserve">using an incomplete factorial experimental design </w:t>
      </w:r>
      <w:r w:rsidR="008644FD">
        <w:t>(2 x 4 x 4</w:t>
      </w:r>
      <w:r w:rsidR="0061428E">
        <w:t xml:space="preserve">) </w:t>
      </w:r>
      <w:r>
        <w:t xml:space="preserve">to gather data regarding the proper installation </w:t>
      </w:r>
      <w:r w:rsidR="00FF5715">
        <w:t>of Child Restraint Systems (CRS</w:t>
      </w:r>
      <w:r>
        <w:t>)</w:t>
      </w:r>
      <w:r w:rsidRPr="00FE782E">
        <w:t>.</w:t>
      </w:r>
      <w:r w:rsidR="003121E2">
        <w:t xml:space="preserve"> </w:t>
      </w:r>
      <w:r>
        <w:t>For this study, 150 participants (75 experienced CRS users and 75 novice users) will be recruited to partic</w:t>
      </w:r>
      <w:r w:rsidR="00D54328">
        <w:t xml:space="preserve">ipate.  </w:t>
      </w:r>
      <w:r w:rsidR="003121E2">
        <w:t>In addition to the one between subject independent variable (CRS experience),t</w:t>
      </w:r>
      <w:r w:rsidR="008644FD">
        <w:t>his study design includes two</w:t>
      </w:r>
      <w:r w:rsidR="00D54328">
        <w:t xml:space="preserve"> within subject </w:t>
      </w:r>
      <w:r w:rsidR="003121E2">
        <w:t xml:space="preserve">independent </w:t>
      </w:r>
      <w:r w:rsidR="00D54328">
        <w:t>variables</w:t>
      </w:r>
      <w:r w:rsidR="003121E2">
        <w:t xml:space="preserve">: </w:t>
      </w:r>
      <w:r w:rsidR="00663F6C">
        <w:t xml:space="preserve">the </w:t>
      </w:r>
      <w:r w:rsidR="00D54328">
        <w:t>child</w:t>
      </w:r>
      <w:r w:rsidR="00663F6C">
        <w:t>-size dummy</w:t>
      </w:r>
      <w:r w:rsidR="00D54328">
        <w:t xml:space="preserve"> </w:t>
      </w:r>
      <w:r w:rsidR="00663F6C">
        <w:t xml:space="preserve">the </w:t>
      </w:r>
      <w:r w:rsidR="00D54328">
        <w:t xml:space="preserve">participant </w:t>
      </w:r>
      <w:r w:rsidR="00F33E9C">
        <w:t xml:space="preserve">secures </w:t>
      </w:r>
      <w:r w:rsidR="003E6318">
        <w:t>in</w:t>
      </w:r>
      <w:r w:rsidR="00F33E9C">
        <w:t xml:space="preserve"> </w:t>
      </w:r>
      <w:r w:rsidR="003E6318">
        <w:t xml:space="preserve">the </w:t>
      </w:r>
      <w:r w:rsidR="00F33E9C">
        <w:t>CRS</w:t>
      </w:r>
      <w:r w:rsidR="00D54328">
        <w:t xml:space="preserve"> (16-month old, 3-year-ol</w:t>
      </w:r>
      <w:r w:rsidR="008644FD">
        <w:t xml:space="preserve">d, 6-year old, and 8 year-old) and </w:t>
      </w:r>
      <w:r w:rsidR="00D54328">
        <w:t>vehicle type</w:t>
      </w:r>
      <w:r w:rsidR="0061428E">
        <w:t xml:space="preserve"> (</w:t>
      </w:r>
      <w:r w:rsidR="00663F6C" w:rsidRPr="008C3A9F">
        <w:t xml:space="preserve">sedan, </w:t>
      </w:r>
      <w:r w:rsidR="00663F6C">
        <w:t>sports utility vehicle (</w:t>
      </w:r>
      <w:r w:rsidR="00663F6C" w:rsidRPr="008C3A9F">
        <w:t>SUV</w:t>
      </w:r>
      <w:r w:rsidR="00663F6C">
        <w:t>)</w:t>
      </w:r>
      <w:r w:rsidR="00663F6C" w:rsidRPr="008C3A9F">
        <w:t>, min</w:t>
      </w:r>
      <w:r w:rsidR="00663F6C">
        <w:t>i</w:t>
      </w:r>
      <w:r w:rsidR="00663F6C" w:rsidRPr="008C3A9F">
        <w:t xml:space="preserve">van, </w:t>
      </w:r>
      <w:r w:rsidR="00663F6C">
        <w:t xml:space="preserve">and pickup </w:t>
      </w:r>
      <w:r w:rsidR="00663F6C" w:rsidRPr="008C3A9F">
        <w:t>truck</w:t>
      </w:r>
      <w:r w:rsidR="00663F6C" w:rsidDel="00663F6C">
        <w:t xml:space="preserve"> </w:t>
      </w:r>
      <w:r w:rsidR="0061428E">
        <w:t>)</w:t>
      </w:r>
      <w:r w:rsidR="008644FD">
        <w:t xml:space="preserve">.  The participant will select the </w:t>
      </w:r>
      <w:r w:rsidR="00D54328">
        <w:t>CRS type</w:t>
      </w:r>
      <w:r w:rsidR="0061428E">
        <w:t xml:space="preserve"> (</w:t>
      </w:r>
      <w:r w:rsidR="00663F6C">
        <w:t>rear facing only (previously known as infant), convertible, combination, and belt-positioning booster seats</w:t>
      </w:r>
      <w:r w:rsidR="0061428E">
        <w:t>)</w:t>
      </w:r>
      <w:r w:rsidR="00D54328">
        <w:t xml:space="preserve">.  Each participant will perform </w:t>
      </w:r>
      <w:r w:rsidR="0061428E">
        <w:t>four installations.  The order of installations (</w:t>
      </w:r>
      <w:r w:rsidR="00F33E9C">
        <w:t xml:space="preserve">i.e., </w:t>
      </w:r>
      <w:r w:rsidR="0061428E">
        <w:t xml:space="preserve">trials) for a given participant will be randomized with respect to the child </w:t>
      </w:r>
      <w:r w:rsidR="008644FD">
        <w:t xml:space="preserve">dummy </w:t>
      </w:r>
      <w:r w:rsidR="00663F6C">
        <w:t xml:space="preserve">and vehicle types </w:t>
      </w:r>
      <w:r w:rsidR="0061428E">
        <w:t xml:space="preserve">in such a way that control is achieved with respect to the number of observations </w:t>
      </w:r>
      <w:proofErr w:type="gramStart"/>
      <w:r w:rsidR="0061428E">
        <w:t>per</w:t>
      </w:r>
      <w:proofErr w:type="gramEnd"/>
      <w:r w:rsidR="0061428E">
        <w:t xml:space="preserve"> experimental factor dimension and level.  The result will be 600 installations or trials, distributed evenly across the levels of each within subject independent variable, as follows:</w:t>
      </w:r>
    </w:p>
    <w:p w14:paraId="0457F802" w14:textId="77777777" w:rsidR="0061428E" w:rsidRDefault="0061428E" w:rsidP="00E672AC">
      <w:pPr>
        <w:pStyle w:val="L1-FlLSp12"/>
      </w:pPr>
    </w:p>
    <w:p w14:paraId="0457F803" w14:textId="77777777" w:rsidR="0061428E" w:rsidRDefault="0061428E" w:rsidP="0061428E">
      <w:pPr>
        <w:pStyle w:val="L1-FlLSp12"/>
        <w:numPr>
          <w:ilvl w:val="0"/>
          <w:numId w:val="3"/>
        </w:numPr>
      </w:pPr>
      <w:r>
        <w:t>Vehicle type:  150 observations per each of four vehicle types</w:t>
      </w:r>
    </w:p>
    <w:p w14:paraId="0457F805" w14:textId="77777777" w:rsidR="0061428E" w:rsidRDefault="0061428E" w:rsidP="0061428E">
      <w:pPr>
        <w:pStyle w:val="L1-FlLSp12"/>
        <w:numPr>
          <w:ilvl w:val="0"/>
          <w:numId w:val="3"/>
        </w:numPr>
      </w:pPr>
      <w:r>
        <w:t>Child doll’s age/weight/height:  150 observations per each of four child size-</w:t>
      </w:r>
      <w:r w:rsidR="00752B74">
        <w:t>dummy types</w:t>
      </w:r>
    </w:p>
    <w:p w14:paraId="0457F806" w14:textId="77777777" w:rsidR="0061428E" w:rsidRDefault="0061428E" w:rsidP="0061428E">
      <w:pPr>
        <w:pStyle w:val="L1-FlLSp12"/>
      </w:pPr>
    </w:p>
    <w:p w14:paraId="0457F807" w14:textId="1FA00729" w:rsidR="00745FF5" w:rsidRDefault="0061428E" w:rsidP="0061428E">
      <w:pPr>
        <w:pStyle w:val="L1-FlLSp12"/>
      </w:pPr>
      <w:r>
        <w:t xml:space="preserve">This is an incomplete factorial design because all participants will not be run through every possible experimental </w:t>
      </w:r>
      <w:r w:rsidR="00745FF5">
        <w:t>condition;</w:t>
      </w:r>
      <w:r>
        <w:t xml:space="preserve"> rather, the conditions will be assigned to particip</w:t>
      </w:r>
      <w:r w:rsidR="00F33E9C">
        <w:t xml:space="preserve">ants and </w:t>
      </w:r>
      <w:r w:rsidR="003E6318">
        <w:t>trials</w:t>
      </w:r>
      <w:r w:rsidR="00F33E9C">
        <w:t xml:space="preserve"> at random</w:t>
      </w:r>
      <w:r w:rsidR="00745FF5">
        <w:t xml:space="preserve"> to achieve a</w:t>
      </w:r>
      <w:r>
        <w:t xml:space="preserve"> balance across the 150 </w:t>
      </w:r>
      <w:r w:rsidR="00745FF5">
        <w:t>participants</w:t>
      </w:r>
      <w:r>
        <w:t xml:space="preserve"> and 600 </w:t>
      </w:r>
      <w:r w:rsidR="003E6318">
        <w:t>trials</w:t>
      </w:r>
      <w:r w:rsidR="00745FF5">
        <w:t xml:space="preserve"> by randomizing the order of the list of experimental settings for the 150 </w:t>
      </w:r>
      <w:r w:rsidR="00C74B3D">
        <w:t>participants in advance.</w:t>
      </w:r>
      <w:r w:rsidR="006E2389">
        <w:t xml:space="preserve">  In addition, t</w:t>
      </w:r>
      <w:r w:rsidR="006E2389" w:rsidRPr="00B912C0">
        <w:t>he order of installations for a given participant will be</w:t>
      </w:r>
      <w:r w:rsidR="008644FD">
        <w:t xml:space="preserve"> randomized with respect to vehicle</w:t>
      </w:r>
      <w:r w:rsidR="006E2389" w:rsidRPr="00B912C0">
        <w:t xml:space="preserve"> and child</w:t>
      </w:r>
      <w:r w:rsidR="003E6318">
        <w:t xml:space="preserve"> dummy type</w:t>
      </w:r>
      <w:r w:rsidR="008644FD">
        <w:t xml:space="preserve"> </w:t>
      </w:r>
      <w:r w:rsidR="006E2389" w:rsidRPr="00B912C0">
        <w:t>to preclude any effects of sequence and control for any learning or fatigue that might take place.</w:t>
      </w:r>
    </w:p>
    <w:p w14:paraId="0457F808" w14:textId="77777777" w:rsidR="006E2389" w:rsidRDefault="006E2389" w:rsidP="0061428E">
      <w:pPr>
        <w:pStyle w:val="L1-FlLSp12"/>
      </w:pPr>
    </w:p>
    <w:p w14:paraId="0457F809" w14:textId="77777777" w:rsidR="006E2389" w:rsidRDefault="006E2389" w:rsidP="0061428E">
      <w:pPr>
        <w:pStyle w:val="L1-FlLSp12"/>
      </w:pPr>
      <w:r>
        <w:t>This is a quasi-experimental study because participants cannot be randomly assigned to the CRS experience condition</w:t>
      </w:r>
      <w:r w:rsidR="003E6318">
        <w:t xml:space="preserve">; </w:t>
      </w:r>
      <w:r>
        <w:t>placement into the experienced or novice grou</w:t>
      </w:r>
      <w:r w:rsidR="00F33E9C">
        <w:t>p</w:t>
      </w:r>
      <w:r>
        <w:t xml:space="preserve"> is based upon a preexisting participant characteristic.</w:t>
      </w:r>
      <w:r w:rsidR="00F33E9C">
        <w:t xml:space="preserve">  However, for the within subject variables, participants will be randomly assigned to the various experimental conditions to control for the influence of extraneous variables on how the </w:t>
      </w:r>
      <w:r w:rsidR="00A3040E">
        <w:t>participants perform under the experimental</w:t>
      </w:r>
      <w:r w:rsidR="00F33E9C">
        <w:t xml:space="preserve"> conditions.</w:t>
      </w:r>
    </w:p>
    <w:p w14:paraId="0457F80A" w14:textId="77777777" w:rsidR="00745FF5" w:rsidRDefault="00745FF5" w:rsidP="0061428E">
      <w:pPr>
        <w:pStyle w:val="L1-FlLSp12"/>
      </w:pPr>
    </w:p>
    <w:p w14:paraId="0457F80B" w14:textId="77777777" w:rsidR="0061428E" w:rsidRDefault="0061428E" w:rsidP="0061428E">
      <w:pPr>
        <w:pStyle w:val="L1-FlLSp12"/>
      </w:pPr>
      <w:r>
        <w:t>To gather information on participant performance and response associated with the various experimental conditions, the following dependent measures will be collected:</w:t>
      </w:r>
    </w:p>
    <w:p w14:paraId="0457F80C" w14:textId="77777777" w:rsidR="0061428E" w:rsidRDefault="0061428E" w:rsidP="0061428E">
      <w:pPr>
        <w:pStyle w:val="L1-FlLSp12"/>
      </w:pPr>
    </w:p>
    <w:p w14:paraId="0457F80D" w14:textId="77777777" w:rsidR="00E672AC" w:rsidRDefault="00E672AC" w:rsidP="00E672AC">
      <w:pPr>
        <w:pStyle w:val="L1-FlLSp12"/>
        <w:numPr>
          <w:ilvl w:val="0"/>
          <w:numId w:val="3"/>
        </w:numPr>
      </w:pPr>
      <w:r>
        <w:t>pre-install self-administered questionnaires, including:</w:t>
      </w:r>
    </w:p>
    <w:p w14:paraId="0457F80E" w14:textId="77777777" w:rsidR="00E672AC" w:rsidRDefault="00E672AC" w:rsidP="00F771DA">
      <w:pPr>
        <w:pStyle w:val="L1-FlLSp12"/>
        <w:numPr>
          <w:ilvl w:val="1"/>
          <w:numId w:val="3"/>
        </w:numPr>
      </w:pPr>
      <w:r>
        <w:t>a risk appraisal assessment tool specific</w:t>
      </w:r>
      <w:r w:rsidRPr="00FE782E">
        <w:t xml:space="preserve"> </w:t>
      </w:r>
      <w:r>
        <w:t>motor vehicle crash and injury risks (including inaccurate CRS installations)</w:t>
      </w:r>
    </w:p>
    <w:p w14:paraId="0457F80F" w14:textId="77777777" w:rsidR="00E672AC" w:rsidRDefault="00E672AC" w:rsidP="00F771DA">
      <w:pPr>
        <w:pStyle w:val="L1-FlLSp12"/>
        <w:numPr>
          <w:ilvl w:val="1"/>
          <w:numId w:val="3"/>
        </w:numPr>
      </w:pPr>
      <w:r>
        <w:t>a measure of invincibility beliefs (invincibility beliefs index)</w:t>
      </w:r>
    </w:p>
    <w:p w14:paraId="0457F810" w14:textId="77777777" w:rsidR="00E672AC" w:rsidRDefault="003E6318" w:rsidP="00F771DA">
      <w:pPr>
        <w:pStyle w:val="L1-FlLSp12"/>
        <w:numPr>
          <w:ilvl w:val="1"/>
          <w:numId w:val="3"/>
        </w:numPr>
      </w:pPr>
      <w:r>
        <w:lastRenderedPageBreak/>
        <w:t xml:space="preserve">a </w:t>
      </w:r>
      <w:r w:rsidR="00E672AC">
        <w:t>demographics questionnaire</w:t>
      </w:r>
      <w:r w:rsidR="00E672AC" w:rsidRPr="00FE782E">
        <w:t xml:space="preserve"> </w:t>
      </w:r>
    </w:p>
    <w:p w14:paraId="0457F811" w14:textId="77777777" w:rsidR="00E672AC" w:rsidRDefault="00A3040E" w:rsidP="00E672AC">
      <w:pPr>
        <w:pStyle w:val="L1-FlLSp12"/>
        <w:numPr>
          <w:ilvl w:val="0"/>
          <w:numId w:val="3"/>
        </w:numPr>
      </w:pPr>
      <w:r>
        <w:t>four CRS installation observations with an observer checklist to record performance</w:t>
      </w:r>
    </w:p>
    <w:p w14:paraId="0457F812" w14:textId="77777777" w:rsidR="00E672AC" w:rsidRDefault="00E672AC" w:rsidP="00E672AC">
      <w:pPr>
        <w:pStyle w:val="L1-FlLSp12"/>
        <w:numPr>
          <w:ilvl w:val="0"/>
          <w:numId w:val="3"/>
        </w:numPr>
      </w:pPr>
      <w:r>
        <w:t>post-install questionnaire via interview</w:t>
      </w:r>
      <w:r w:rsidR="00F771DA">
        <w:t xml:space="preserve"> using a series of ratings and open-ended questions to learn about:</w:t>
      </w:r>
    </w:p>
    <w:p w14:paraId="0457F813" w14:textId="77777777" w:rsidR="00E672AC" w:rsidRDefault="00F771DA" w:rsidP="00F771DA">
      <w:pPr>
        <w:pStyle w:val="L1-FlLSp12"/>
        <w:numPr>
          <w:ilvl w:val="1"/>
          <w:numId w:val="3"/>
        </w:numPr>
      </w:pPr>
      <w:r>
        <w:t>description of how the participant used the CRS</w:t>
      </w:r>
    </w:p>
    <w:p w14:paraId="0457F814" w14:textId="77777777" w:rsidR="00F771DA" w:rsidRDefault="00F771DA" w:rsidP="00F771DA">
      <w:pPr>
        <w:pStyle w:val="L1-FlLSp12"/>
        <w:numPr>
          <w:ilvl w:val="1"/>
          <w:numId w:val="3"/>
        </w:numPr>
      </w:pPr>
      <w:r>
        <w:t>problems that were encountered</w:t>
      </w:r>
    </w:p>
    <w:p w14:paraId="0457F815" w14:textId="77777777" w:rsidR="00F771DA" w:rsidRDefault="00F771DA" w:rsidP="00F771DA">
      <w:pPr>
        <w:pStyle w:val="L1-FlLSp12"/>
        <w:numPr>
          <w:ilvl w:val="1"/>
          <w:numId w:val="3"/>
        </w:numPr>
      </w:pPr>
      <w:r>
        <w:t>errors identified</w:t>
      </w:r>
    </w:p>
    <w:p w14:paraId="0457F816" w14:textId="77777777" w:rsidR="00F771DA" w:rsidRDefault="00F771DA" w:rsidP="00F771DA">
      <w:pPr>
        <w:pStyle w:val="L1-FlLSp12"/>
        <w:numPr>
          <w:ilvl w:val="1"/>
          <w:numId w:val="3"/>
        </w:numPr>
      </w:pPr>
      <w:r>
        <w:t xml:space="preserve">CRS </w:t>
      </w:r>
      <w:r w:rsidR="003E6318">
        <w:t>type</w:t>
      </w:r>
      <w:r>
        <w:t xml:space="preserve"> acceptability</w:t>
      </w:r>
    </w:p>
    <w:p w14:paraId="0457F817" w14:textId="77777777" w:rsidR="00F771DA" w:rsidRDefault="00F771DA" w:rsidP="00F771DA">
      <w:pPr>
        <w:pStyle w:val="L1-FlLSp12"/>
        <w:numPr>
          <w:ilvl w:val="1"/>
          <w:numId w:val="3"/>
        </w:numPr>
      </w:pPr>
      <w:r>
        <w:t>User confidence in installation accuracy</w:t>
      </w:r>
    </w:p>
    <w:p w14:paraId="0457F818" w14:textId="77777777" w:rsidR="00F771DA" w:rsidRPr="00FE782E" w:rsidRDefault="00F771DA" w:rsidP="00F771DA">
      <w:pPr>
        <w:pStyle w:val="L1-FlLSp12"/>
        <w:ind w:left="1140"/>
      </w:pPr>
    </w:p>
    <w:p w14:paraId="0457F819" w14:textId="77777777" w:rsidR="00F771DA" w:rsidRDefault="00F33E9C" w:rsidP="00F771DA">
      <w:pPr>
        <w:pStyle w:val="Heading2"/>
        <w:ind w:left="0" w:firstLine="0"/>
        <w:rPr>
          <w:rFonts w:ascii="Garamond" w:hAnsi="Garamond" w:cs="Times New Roman"/>
          <w:b w:val="0"/>
          <w:bCs w:val="0"/>
          <w:szCs w:val="20"/>
        </w:rPr>
      </w:pPr>
      <w:r>
        <w:rPr>
          <w:rFonts w:ascii="Garamond" w:hAnsi="Garamond" w:cs="Times New Roman"/>
          <w:b w:val="0"/>
          <w:bCs w:val="0"/>
          <w:szCs w:val="20"/>
        </w:rPr>
        <w:t>L</w:t>
      </w:r>
      <w:r w:rsidR="00295027">
        <w:rPr>
          <w:rFonts w:ascii="Garamond" w:hAnsi="Garamond" w:cs="Times New Roman"/>
          <w:b w:val="0"/>
          <w:bCs w:val="0"/>
          <w:szCs w:val="20"/>
        </w:rPr>
        <w:t>icensed d</w:t>
      </w:r>
      <w:r w:rsidR="00F771DA">
        <w:rPr>
          <w:rFonts w:ascii="Garamond" w:hAnsi="Garamond" w:cs="Times New Roman"/>
          <w:b w:val="0"/>
          <w:bCs w:val="0"/>
          <w:szCs w:val="20"/>
        </w:rPr>
        <w:t>rivers</w:t>
      </w:r>
      <w:r w:rsidR="00295027">
        <w:rPr>
          <w:rFonts w:ascii="Garamond" w:hAnsi="Garamond" w:cs="Times New Roman"/>
          <w:b w:val="0"/>
          <w:bCs w:val="0"/>
          <w:szCs w:val="20"/>
        </w:rPr>
        <w:t>, including those with and without CRS experience,</w:t>
      </w:r>
      <w:r w:rsidR="00F771DA">
        <w:rPr>
          <w:rFonts w:ascii="Garamond" w:hAnsi="Garamond" w:cs="Times New Roman"/>
          <w:b w:val="0"/>
          <w:bCs w:val="0"/>
          <w:szCs w:val="20"/>
        </w:rPr>
        <w:t xml:space="preserve"> will be recruited from the greater Washington, DC area for participation in the study using a variety of techniques helpful in recruiting specialty populations</w:t>
      </w:r>
      <w:r w:rsidR="00295027">
        <w:rPr>
          <w:rFonts w:ascii="Garamond" w:hAnsi="Garamond" w:cs="Times New Roman"/>
          <w:b w:val="0"/>
          <w:bCs w:val="0"/>
          <w:szCs w:val="20"/>
        </w:rPr>
        <w:t xml:space="preserve"> (e.g., CRS user</w:t>
      </w:r>
      <w:r w:rsidR="00FF5715">
        <w:rPr>
          <w:rFonts w:ascii="Garamond" w:hAnsi="Garamond" w:cs="Times New Roman"/>
          <w:b w:val="0"/>
          <w:bCs w:val="0"/>
          <w:szCs w:val="20"/>
        </w:rPr>
        <w:t>s</w:t>
      </w:r>
      <w:r w:rsidR="00295027">
        <w:rPr>
          <w:rFonts w:ascii="Garamond" w:hAnsi="Garamond" w:cs="Times New Roman"/>
          <w:b w:val="0"/>
          <w:bCs w:val="0"/>
          <w:szCs w:val="20"/>
        </w:rPr>
        <w:t>)</w:t>
      </w:r>
      <w:r w:rsidR="00F771DA">
        <w:rPr>
          <w:rFonts w:ascii="Garamond" w:hAnsi="Garamond" w:cs="Times New Roman"/>
          <w:b w:val="0"/>
          <w:bCs w:val="0"/>
          <w:szCs w:val="20"/>
        </w:rPr>
        <w:t xml:space="preserve">, including advertisements in local papers, web sites (e.g., Craigslist), and flyers posted in facilities frequented by drivers with children (e.g., local stores that sell various CRSs; community centers; daycare centers; pediatric and/obstetric offices).  In addition, there are on average 21 car seat check events held in Montgomery County, Maryland each month, which provide excellent recruiting opportunities for contacting expectant parents as well as other caregivers who may be interested in participating in the study.   </w:t>
      </w:r>
    </w:p>
    <w:p w14:paraId="0457F81A" w14:textId="77777777" w:rsidR="00F771DA" w:rsidRDefault="00F771DA" w:rsidP="00F771DA"/>
    <w:p w14:paraId="0457F81B" w14:textId="77777777" w:rsidR="00F771DA" w:rsidRPr="00F771DA" w:rsidRDefault="00F771DA" w:rsidP="00F771DA">
      <w:pPr>
        <w:rPr>
          <w:rFonts w:ascii="Garamond" w:hAnsi="Garamond"/>
          <w:szCs w:val="20"/>
          <w:u w:val="single"/>
        </w:rPr>
      </w:pPr>
      <w:r w:rsidRPr="00F771DA">
        <w:rPr>
          <w:rFonts w:ascii="Garamond" w:hAnsi="Garamond"/>
          <w:szCs w:val="20"/>
          <w:u w:val="single"/>
        </w:rPr>
        <w:t>Data Analysis Plan</w:t>
      </w:r>
    </w:p>
    <w:p w14:paraId="0457F81C" w14:textId="77777777" w:rsidR="00F771DA" w:rsidRPr="00F771DA" w:rsidRDefault="00F771DA" w:rsidP="00F771DA">
      <w:pPr>
        <w:rPr>
          <w:rFonts w:ascii="Garamond" w:hAnsi="Garamond"/>
          <w:szCs w:val="20"/>
        </w:rPr>
      </w:pPr>
    </w:p>
    <w:p w14:paraId="0457F81D" w14:textId="53349A95" w:rsidR="00F771DA" w:rsidRPr="00F771DA" w:rsidRDefault="00F771DA" w:rsidP="00F771DA">
      <w:pPr>
        <w:rPr>
          <w:rFonts w:ascii="Garamond" w:hAnsi="Garamond"/>
          <w:szCs w:val="20"/>
        </w:rPr>
      </w:pPr>
      <w:r w:rsidRPr="00F771DA">
        <w:rPr>
          <w:rFonts w:ascii="Garamond" w:hAnsi="Garamond"/>
          <w:szCs w:val="20"/>
        </w:rPr>
        <w:t>Once the study data have been collected and reviewed, the questionnaire and observation data will be used to conduct logistic or multi-level models to identify experimental factors significantly influencing the probability of a successful choice of Child Restraint System (CRS)</w:t>
      </w:r>
      <w:r>
        <w:rPr>
          <w:rFonts w:ascii="Garamond" w:hAnsi="Garamond"/>
          <w:szCs w:val="20"/>
        </w:rPr>
        <w:t xml:space="preserve">, installation in vehicle, and securing of the child to vehicle.  </w:t>
      </w:r>
      <w:r w:rsidR="003E6318">
        <w:rPr>
          <w:rFonts w:ascii="Garamond" w:hAnsi="Garamond"/>
          <w:szCs w:val="20"/>
        </w:rPr>
        <w:t>I</w:t>
      </w:r>
      <w:r>
        <w:rPr>
          <w:rFonts w:ascii="Garamond" w:hAnsi="Garamond"/>
          <w:szCs w:val="20"/>
        </w:rPr>
        <w:t>ndependent</w:t>
      </w:r>
      <w:r w:rsidR="008644FD">
        <w:rPr>
          <w:rFonts w:ascii="Garamond" w:hAnsi="Garamond"/>
          <w:szCs w:val="20"/>
        </w:rPr>
        <w:t xml:space="preserve"> variables will include all three</w:t>
      </w:r>
      <w:r>
        <w:rPr>
          <w:rFonts w:ascii="Garamond" w:hAnsi="Garamond"/>
          <w:szCs w:val="20"/>
        </w:rPr>
        <w:t xml:space="preserve"> experimental factors </w:t>
      </w:r>
      <w:r w:rsidR="008644FD">
        <w:rPr>
          <w:rFonts w:ascii="Garamond" w:hAnsi="Garamond"/>
          <w:szCs w:val="20"/>
        </w:rPr>
        <w:t>(experience of user,</w:t>
      </w:r>
      <w:r w:rsidR="00D53118">
        <w:rPr>
          <w:rFonts w:ascii="Garamond" w:hAnsi="Garamond"/>
          <w:szCs w:val="20"/>
        </w:rPr>
        <w:t xml:space="preserve"> child </w:t>
      </w:r>
      <w:r w:rsidR="003E6318">
        <w:rPr>
          <w:rFonts w:ascii="Garamond" w:hAnsi="Garamond"/>
          <w:szCs w:val="20"/>
        </w:rPr>
        <w:t xml:space="preserve">dummy type </w:t>
      </w:r>
      <w:r w:rsidR="00D53118">
        <w:rPr>
          <w:rFonts w:ascii="Garamond" w:hAnsi="Garamond"/>
          <w:szCs w:val="20"/>
        </w:rPr>
        <w:t xml:space="preserve">being secured </w:t>
      </w:r>
      <w:r w:rsidR="003E6318">
        <w:rPr>
          <w:rFonts w:ascii="Garamond" w:hAnsi="Garamond"/>
          <w:szCs w:val="20"/>
        </w:rPr>
        <w:t>in</w:t>
      </w:r>
      <w:r w:rsidR="00D53118">
        <w:rPr>
          <w:rFonts w:ascii="Garamond" w:hAnsi="Garamond"/>
          <w:szCs w:val="20"/>
        </w:rPr>
        <w:t xml:space="preserve"> </w:t>
      </w:r>
      <w:r w:rsidR="003E6318">
        <w:rPr>
          <w:rFonts w:ascii="Garamond" w:hAnsi="Garamond"/>
          <w:szCs w:val="20"/>
        </w:rPr>
        <w:t xml:space="preserve">the </w:t>
      </w:r>
      <w:r w:rsidR="008644FD">
        <w:rPr>
          <w:rFonts w:ascii="Garamond" w:hAnsi="Garamond"/>
          <w:szCs w:val="20"/>
        </w:rPr>
        <w:t>CRS,</w:t>
      </w:r>
      <w:r w:rsidR="00D53118">
        <w:rPr>
          <w:rFonts w:ascii="Garamond" w:hAnsi="Garamond"/>
          <w:szCs w:val="20"/>
        </w:rPr>
        <w:t xml:space="preserve"> </w:t>
      </w:r>
      <w:r w:rsidR="008644FD">
        <w:rPr>
          <w:rFonts w:ascii="Garamond" w:hAnsi="Garamond"/>
          <w:szCs w:val="20"/>
        </w:rPr>
        <w:t>and vehicle type</w:t>
      </w:r>
      <w:r w:rsidR="00D53118">
        <w:rPr>
          <w:rFonts w:ascii="Garamond" w:hAnsi="Garamond"/>
          <w:szCs w:val="20"/>
        </w:rPr>
        <w:t xml:space="preserve">) and </w:t>
      </w:r>
      <w:r w:rsidR="003E6318">
        <w:rPr>
          <w:rFonts w:ascii="Garamond" w:hAnsi="Garamond"/>
          <w:szCs w:val="20"/>
        </w:rPr>
        <w:t>possible</w:t>
      </w:r>
      <w:r w:rsidR="00D53118">
        <w:rPr>
          <w:rFonts w:ascii="Garamond" w:hAnsi="Garamond"/>
          <w:szCs w:val="20"/>
        </w:rPr>
        <w:t xml:space="preserve"> interactions</w:t>
      </w:r>
      <w:r>
        <w:rPr>
          <w:rFonts w:ascii="Garamond" w:hAnsi="Garamond"/>
          <w:szCs w:val="20"/>
        </w:rPr>
        <w:t>.</w:t>
      </w:r>
      <w:r w:rsidR="00D53118">
        <w:rPr>
          <w:rFonts w:ascii="Garamond" w:hAnsi="Garamond"/>
          <w:szCs w:val="20"/>
        </w:rPr>
        <w:t xml:space="preserve">  The analysis will relate CRS feature design, CRS manual features, vehicle features and manual design, and risk perception to measures of performance, ease of installation, presence of errors, and confidence related to the installation.  Examples of basic measures of analysis for novice and experienced users include 1) measures of exposure to various child passenger safety seat information resources and how that relates to accurate and secure installations, as well as confidence ratings, and 2) measures of how risk appraisal and ease of use ratings relate to the participant’s confidence in their accurately and securely installing the CRS.</w:t>
      </w:r>
    </w:p>
    <w:p w14:paraId="0457F81E" w14:textId="77777777" w:rsidR="00E672AC" w:rsidRDefault="00E672AC" w:rsidP="00207F7C">
      <w:pPr>
        <w:pStyle w:val="Heading2"/>
        <w:rPr>
          <w:rFonts w:cs="Times New Roman"/>
        </w:rPr>
      </w:pPr>
    </w:p>
    <w:p w14:paraId="0457F81F" w14:textId="77777777" w:rsidR="00207F7C" w:rsidRPr="00381394" w:rsidRDefault="00207F7C" w:rsidP="00207F7C">
      <w:pPr>
        <w:pStyle w:val="Heading2"/>
        <w:rPr>
          <w:rFonts w:cs="Times New Roman"/>
        </w:rPr>
      </w:pPr>
      <w:proofErr w:type="spellStart"/>
      <w:r w:rsidRPr="00381394">
        <w:rPr>
          <w:rFonts w:cs="Times New Roman"/>
        </w:rPr>
        <w:t>B.1</w:t>
      </w:r>
      <w:proofErr w:type="spellEnd"/>
      <w:r w:rsidRPr="00381394">
        <w:rPr>
          <w:rFonts w:cs="Times New Roman"/>
        </w:rPr>
        <w:t>.</w:t>
      </w:r>
      <w:r w:rsidRPr="00381394">
        <w:rPr>
          <w:rFonts w:cs="Times New Roman"/>
        </w:rPr>
        <w:tab/>
      </w:r>
      <w:r>
        <w:rPr>
          <w:rFonts w:cs="Times New Roman"/>
        </w:rPr>
        <w:t>Describe p</w:t>
      </w:r>
      <w:r w:rsidRPr="00381394">
        <w:rPr>
          <w:rFonts w:cs="Times New Roman"/>
        </w:rPr>
        <w:t>otential respondent universe and any sampling or other respondent selection methods to be used.</w:t>
      </w:r>
      <w:bookmarkEnd w:id="1"/>
      <w:r w:rsidRPr="00381394">
        <w:rPr>
          <w:rFonts w:cs="Times New Roman"/>
        </w:rPr>
        <w:t xml:space="preserve">  </w:t>
      </w:r>
    </w:p>
    <w:p w14:paraId="0457F820" w14:textId="77777777" w:rsidR="00207F7C" w:rsidRPr="00830E5B" w:rsidRDefault="00207F7C" w:rsidP="00207F7C">
      <w:pPr>
        <w:tabs>
          <w:tab w:val="left" w:pos="1377"/>
        </w:tabs>
      </w:pPr>
      <w:r>
        <w:tab/>
      </w:r>
    </w:p>
    <w:p w14:paraId="0457F821" w14:textId="77777777" w:rsidR="00207F7C" w:rsidRDefault="005B3E27" w:rsidP="00333675">
      <w:pPr>
        <w:rPr>
          <w:rFonts w:ascii="Garamond" w:hAnsi="Garamond"/>
        </w:rPr>
      </w:pPr>
      <w:r>
        <w:rPr>
          <w:rFonts w:ascii="Garamond" w:hAnsi="Garamond"/>
        </w:rPr>
        <w:t>The potential respondent universe is comprised of</w:t>
      </w:r>
      <w:r w:rsidR="00333675">
        <w:rPr>
          <w:rFonts w:ascii="Garamond" w:hAnsi="Garamond"/>
        </w:rPr>
        <w:t xml:space="preserve"> all </w:t>
      </w:r>
      <w:r w:rsidR="0046783C">
        <w:rPr>
          <w:rFonts w:ascii="Garamond" w:hAnsi="Garamond"/>
        </w:rPr>
        <w:t xml:space="preserve">licensed drivers, with and without Child Restraint System (CRS) experience, </w:t>
      </w:r>
      <w:r>
        <w:rPr>
          <w:rFonts w:ascii="Garamond" w:hAnsi="Garamond"/>
        </w:rPr>
        <w:t>in the greater Washington, DC area.  From this universe, the new data collection</w:t>
      </w:r>
      <w:r w:rsidR="00333675">
        <w:rPr>
          <w:rFonts w:ascii="Garamond" w:hAnsi="Garamond"/>
        </w:rPr>
        <w:t xml:space="preserve"> will qualify 150 drivers by administering a recruitment eligibility screener to select 75 participants with </w:t>
      </w:r>
      <w:r w:rsidR="0043141B">
        <w:rPr>
          <w:rFonts w:ascii="Garamond" w:hAnsi="Garamond"/>
        </w:rPr>
        <w:t xml:space="preserve">CRS </w:t>
      </w:r>
      <w:r w:rsidR="00333675">
        <w:rPr>
          <w:rFonts w:ascii="Garamond" w:hAnsi="Garamond"/>
        </w:rPr>
        <w:t xml:space="preserve">experience </w:t>
      </w:r>
      <w:r w:rsidR="0043141B">
        <w:rPr>
          <w:rFonts w:ascii="Garamond" w:hAnsi="Garamond"/>
        </w:rPr>
        <w:t>and an additional 75 “novice” CRS users.  Experienced users</w:t>
      </w:r>
      <w:r w:rsidR="00207F7C" w:rsidRPr="00333675">
        <w:rPr>
          <w:rFonts w:ascii="Garamond" w:hAnsi="Garamond"/>
        </w:rPr>
        <w:t xml:space="preserve"> </w:t>
      </w:r>
      <w:r w:rsidR="0043141B">
        <w:rPr>
          <w:rFonts w:ascii="Garamond" w:hAnsi="Garamond"/>
        </w:rPr>
        <w:t xml:space="preserve">are individuals who </w:t>
      </w:r>
      <w:r w:rsidR="00207F7C" w:rsidRPr="00333675">
        <w:rPr>
          <w:rFonts w:ascii="Garamond" w:hAnsi="Garamond"/>
        </w:rPr>
        <w:t xml:space="preserve">regularly care for a child under the age of 4 years, transport the child in a vehicle at least twice a week, have secured the child in a CRS a minimum of five times in the past 6 months, and have installed any type of CRS at least once in the past 12 months. </w:t>
      </w:r>
      <w:r w:rsidR="0043141B">
        <w:rPr>
          <w:rFonts w:ascii="Garamond" w:hAnsi="Garamond"/>
        </w:rPr>
        <w:t>N</w:t>
      </w:r>
      <w:r w:rsidR="00207F7C" w:rsidRPr="00333675">
        <w:rPr>
          <w:rFonts w:ascii="Garamond" w:hAnsi="Garamond"/>
        </w:rPr>
        <w:t>ovice C</w:t>
      </w:r>
      <w:r w:rsidR="0043141B">
        <w:rPr>
          <w:rFonts w:ascii="Garamond" w:hAnsi="Garamond"/>
        </w:rPr>
        <w:t>RS</w:t>
      </w:r>
      <w:r w:rsidR="00207F7C" w:rsidRPr="00333675">
        <w:rPr>
          <w:rFonts w:ascii="Garamond" w:hAnsi="Garamond"/>
        </w:rPr>
        <w:t xml:space="preserve"> users </w:t>
      </w:r>
      <w:r w:rsidR="0043141B">
        <w:rPr>
          <w:rFonts w:ascii="Garamond" w:hAnsi="Garamond"/>
        </w:rPr>
        <w:t>are</w:t>
      </w:r>
      <w:r w:rsidR="00207F7C" w:rsidRPr="00333675">
        <w:rPr>
          <w:rFonts w:ascii="Garamond" w:hAnsi="Garamond"/>
        </w:rPr>
        <w:t xml:space="preserve"> individuals who do not regularly transport children and have not installed a CRS in the past 6 months.  </w:t>
      </w:r>
    </w:p>
    <w:p w14:paraId="0457F822" w14:textId="77777777" w:rsidR="00F13E70" w:rsidRDefault="00F13E70" w:rsidP="00333675">
      <w:pPr>
        <w:rPr>
          <w:rFonts w:ascii="Garamond" w:hAnsi="Garamond"/>
        </w:rPr>
      </w:pPr>
    </w:p>
    <w:p w14:paraId="71E7DD33" w14:textId="7FFF0F25" w:rsidR="00C74121" w:rsidRPr="00541110" w:rsidRDefault="00F13E70" w:rsidP="00541110">
      <w:pPr>
        <w:rPr>
          <w:rFonts w:ascii="Garamond" w:hAnsi="Garamond"/>
        </w:rPr>
      </w:pPr>
      <w:r>
        <w:rPr>
          <w:rFonts w:ascii="Garamond" w:hAnsi="Garamond"/>
        </w:rPr>
        <w:lastRenderedPageBreak/>
        <w:t>NHTSA expects a 50% response rate, with 150 of 300 screened potential participants to be eligible for participation.</w:t>
      </w:r>
      <w:r w:rsidR="00171709">
        <w:rPr>
          <w:rFonts w:ascii="Garamond" w:hAnsi="Garamond"/>
        </w:rPr>
        <w:t xml:space="preserve">  Th</w:t>
      </w:r>
      <w:r w:rsidR="0043141B">
        <w:rPr>
          <w:rFonts w:ascii="Garamond" w:hAnsi="Garamond"/>
        </w:rPr>
        <w:t>e</w:t>
      </w:r>
      <w:r w:rsidR="00171709">
        <w:rPr>
          <w:rFonts w:ascii="Garamond" w:hAnsi="Garamond"/>
        </w:rPr>
        <w:t xml:space="preserve"> </w:t>
      </w:r>
      <w:r w:rsidR="0043141B">
        <w:rPr>
          <w:rFonts w:ascii="Garamond" w:hAnsi="Garamond"/>
        </w:rPr>
        <w:t xml:space="preserve">estimated response rate </w:t>
      </w:r>
      <w:r w:rsidR="00171709">
        <w:rPr>
          <w:rFonts w:ascii="Garamond" w:hAnsi="Garamond"/>
        </w:rPr>
        <w:t xml:space="preserve">is due to the proposed methods for increasing </w:t>
      </w:r>
      <w:r w:rsidR="0043141B">
        <w:rPr>
          <w:rFonts w:ascii="Garamond" w:hAnsi="Garamond"/>
        </w:rPr>
        <w:t>participation</w:t>
      </w:r>
      <w:r w:rsidR="00171709">
        <w:rPr>
          <w:rFonts w:ascii="Garamond" w:hAnsi="Garamond"/>
        </w:rPr>
        <w:t xml:space="preserve"> and the special recruitment efforts planned to reach potential respondents with C</w:t>
      </w:r>
      <w:r w:rsidR="0043141B">
        <w:rPr>
          <w:rFonts w:ascii="Garamond" w:hAnsi="Garamond"/>
        </w:rPr>
        <w:t>RS</w:t>
      </w:r>
      <w:r w:rsidR="00171709">
        <w:rPr>
          <w:rFonts w:ascii="Garamond" w:hAnsi="Garamond"/>
        </w:rPr>
        <w:t xml:space="preserve"> experience.</w:t>
      </w:r>
      <w:r w:rsidR="008644FD">
        <w:rPr>
          <w:rFonts w:ascii="Garamond" w:hAnsi="Garamond"/>
        </w:rPr>
        <w:br/>
      </w:r>
      <w:r w:rsidR="008644FD">
        <w:rPr>
          <w:rFonts w:ascii="Garamond" w:hAnsi="Garamond"/>
        </w:rPr>
        <w:br/>
      </w:r>
      <w:r w:rsidR="00F5756F" w:rsidRPr="008644FD">
        <w:rPr>
          <w:rFonts w:ascii="Garamond" w:hAnsi="Garamond"/>
        </w:rPr>
        <w:t xml:space="preserve">The sample size of 150 </w:t>
      </w:r>
      <w:r w:rsidR="00C74121">
        <w:rPr>
          <w:rFonts w:ascii="Garamond" w:hAnsi="Garamond"/>
        </w:rPr>
        <w:t xml:space="preserve">was selected for 1) </w:t>
      </w:r>
      <w:r w:rsidR="00F5756F" w:rsidRPr="008644FD">
        <w:rPr>
          <w:rFonts w:ascii="Garamond" w:hAnsi="Garamond"/>
        </w:rPr>
        <w:t>reasonable precision to detect change and 2) availability of resources to complete the experiment.  More specifically, we designed the study to detect a difference of 10% or larger between the novice (i.e., 70%) and experienced (i.e., 80%) child restraint system (CRS) user group installation success rates, and a sample of 300 observations per group does this with a power of 78%.  While we realize that this level of power is slightly below the conventional 80% cutoff, we believe that this level of precision is adequate to achieve the objectives of the project.  Other planned comparisons inclu</w:t>
      </w:r>
      <w:r w:rsidR="00541110">
        <w:rPr>
          <w:rFonts w:ascii="Garamond" w:hAnsi="Garamond"/>
        </w:rPr>
        <w:t xml:space="preserve">de within group comparisons </w:t>
      </w:r>
      <w:r w:rsidR="00205968">
        <w:rPr>
          <w:rFonts w:ascii="Garamond" w:hAnsi="Garamond"/>
        </w:rPr>
        <w:t xml:space="preserve">for vehicle and child dummy types </w:t>
      </w:r>
      <w:r w:rsidR="00541110">
        <w:rPr>
          <w:rFonts w:ascii="Garamond" w:hAnsi="Garamond"/>
        </w:rPr>
        <w:t xml:space="preserve">such as </w:t>
      </w:r>
      <w:r w:rsidR="00C74121" w:rsidRPr="00541110">
        <w:rPr>
          <w:rFonts w:ascii="Garamond" w:hAnsi="Garamond"/>
        </w:rPr>
        <w:t>successful installation rates for 6 year old child dolls (i.e., 80%) compared to 8 year old child dolls (i.e., 60%)</w:t>
      </w:r>
      <w:r w:rsidR="00541110">
        <w:rPr>
          <w:rFonts w:ascii="Garamond" w:hAnsi="Garamond"/>
        </w:rPr>
        <w:t xml:space="preserve"> with </w:t>
      </w:r>
      <w:r w:rsidR="00C74121" w:rsidRPr="00541110">
        <w:rPr>
          <w:rFonts w:ascii="Garamond" w:hAnsi="Garamond"/>
        </w:rPr>
        <w:t xml:space="preserve">150 observations </w:t>
      </w:r>
      <w:r w:rsidR="00541110">
        <w:rPr>
          <w:rFonts w:ascii="Garamond" w:hAnsi="Garamond"/>
        </w:rPr>
        <w:t xml:space="preserve">each, </w:t>
      </w:r>
      <w:r w:rsidR="00C74121" w:rsidRPr="00541110">
        <w:rPr>
          <w:rFonts w:ascii="Garamond" w:hAnsi="Garamond"/>
        </w:rPr>
        <w:t>which yields a power of 96%</w:t>
      </w:r>
      <w:r w:rsidR="00541110">
        <w:rPr>
          <w:rFonts w:ascii="Garamond" w:hAnsi="Garamond"/>
        </w:rPr>
        <w:t xml:space="preserve"> for detecting a difference of 20% or larger</w:t>
      </w:r>
      <w:r w:rsidR="00C74121" w:rsidRPr="00541110">
        <w:rPr>
          <w:rFonts w:ascii="Garamond" w:hAnsi="Garamond"/>
        </w:rPr>
        <w:t>.</w:t>
      </w:r>
    </w:p>
    <w:p w14:paraId="49A548BD" w14:textId="77777777" w:rsidR="00F5756F" w:rsidRPr="00F5756F" w:rsidRDefault="00F5756F" w:rsidP="00F5756F">
      <w:pPr>
        <w:rPr>
          <w:rFonts w:ascii="Garamond" w:hAnsi="Garamond"/>
          <w:b/>
        </w:rPr>
      </w:pPr>
    </w:p>
    <w:p w14:paraId="64E45360" w14:textId="634A0A9F" w:rsidR="00F5756F" w:rsidRPr="00F5756F" w:rsidRDefault="00F5756F" w:rsidP="00F5756F">
      <w:pPr>
        <w:rPr>
          <w:rFonts w:ascii="Garamond" w:hAnsi="Garamond"/>
          <w:b/>
        </w:rPr>
      </w:pPr>
      <w:proofErr w:type="gramStart"/>
      <w:r w:rsidRPr="00F5756F">
        <w:rPr>
          <w:rFonts w:ascii="Garamond" w:hAnsi="Garamond"/>
        </w:rPr>
        <w:t>Table 1.</w:t>
      </w:r>
      <w:proofErr w:type="gramEnd"/>
      <w:r w:rsidRPr="00F5756F">
        <w:rPr>
          <w:rFonts w:ascii="Garamond" w:hAnsi="Garamond"/>
        </w:rPr>
        <w:t xml:space="preserve">   Precision for estimates </w:t>
      </w:r>
      <w:r w:rsidR="00541110">
        <w:rPr>
          <w:rFonts w:ascii="Garamond" w:hAnsi="Garamond"/>
        </w:rPr>
        <w:t>of differences</w:t>
      </w:r>
    </w:p>
    <w:p w14:paraId="265F661D" w14:textId="77777777" w:rsidR="00F5756F" w:rsidRPr="00F5756F" w:rsidRDefault="00F5756F" w:rsidP="00F5756F">
      <w:pPr>
        <w:ind w:left="720"/>
        <w:rPr>
          <w:rFonts w:ascii="Garamond" w:hAnsi="Garamond"/>
          <w:b/>
        </w:rPr>
      </w:pPr>
    </w:p>
    <w:tbl>
      <w:tblPr>
        <w:tblStyle w:val="LightShading"/>
        <w:tblW w:w="10163" w:type="dxa"/>
        <w:jc w:val="center"/>
        <w:tblInd w:w="1112" w:type="dxa"/>
        <w:tblLook w:val="04A0" w:firstRow="1" w:lastRow="0" w:firstColumn="1" w:lastColumn="0" w:noHBand="0" w:noVBand="1"/>
      </w:tblPr>
      <w:tblGrid>
        <w:gridCol w:w="3689"/>
        <w:gridCol w:w="498"/>
        <w:gridCol w:w="498"/>
        <w:gridCol w:w="551"/>
        <w:gridCol w:w="498"/>
        <w:gridCol w:w="498"/>
        <w:gridCol w:w="551"/>
        <w:gridCol w:w="498"/>
        <w:gridCol w:w="1067"/>
        <w:gridCol w:w="1067"/>
        <w:gridCol w:w="748"/>
      </w:tblGrid>
      <w:tr w:rsidR="00F5756F" w:rsidRPr="00F5756F" w14:paraId="521B9D47" w14:textId="77777777" w:rsidTr="00F5756F">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689" w:type="dxa"/>
            <w:shd w:val="clear" w:color="auto" w:fill="95B3D7" w:themeFill="accent1" w:themeFillTint="99"/>
            <w:noWrap/>
            <w:hideMark/>
          </w:tcPr>
          <w:p w14:paraId="34DD3104" w14:textId="77777777" w:rsidR="00F5756F" w:rsidRPr="00F5756F" w:rsidRDefault="00F5756F" w:rsidP="00914DFC">
            <w:pPr>
              <w:pStyle w:val="TH-TableHeading"/>
              <w:rPr>
                <w:rFonts w:ascii="Garamond" w:hAnsi="Garamond"/>
                <w:b/>
                <w:color w:val="auto"/>
              </w:rPr>
            </w:pPr>
            <w:r w:rsidRPr="00F5756F">
              <w:rPr>
                <w:rFonts w:ascii="Garamond" w:hAnsi="Garamond"/>
                <w:b/>
                <w:color w:val="auto"/>
              </w:rPr>
              <w:t>Scenario</w:t>
            </w:r>
          </w:p>
        </w:tc>
        <w:tc>
          <w:tcPr>
            <w:tcW w:w="498" w:type="dxa"/>
            <w:shd w:val="clear" w:color="auto" w:fill="95B3D7" w:themeFill="accent1" w:themeFillTint="99"/>
            <w:noWrap/>
            <w:hideMark/>
          </w:tcPr>
          <w:p w14:paraId="24AE2F10" w14:textId="77777777" w:rsidR="00F5756F" w:rsidRPr="00F5756F" w:rsidRDefault="00F5756F" w:rsidP="00914DFC">
            <w:pPr>
              <w:pStyle w:val="TH-TableHeading"/>
              <w:cnfStyle w:val="100000000000" w:firstRow="1" w:lastRow="0" w:firstColumn="0" w:lastColumn="0" w:oddVBand="0" w:evenVBand="0" w:oddHBand="0" w:evenHBand="0" w:firstRowFirstColumn="0" w:firstRowLastColumn="0" w:lastRowFirstColumn="0" w:lastRowLastColumn="0"/>
              <w:rPr>
                <w:rFonts w:ascii="Garamond" w:hAnsi="Garamond"/>
                <w:b/>
                <w:color w:val="auto"/>
              </w:rPr>
            </w:pPr>
            <w:proofErr w:type="spellStart"/>
            <w:r w:rsidRPr="00F5756F">
              <w:rPr>
                <w:rFonts w:ascii="Garamond" w:hAnsi="Garamond"/>
                <w:b/>
                <w:color w:val="auto"/>
              </w:rPr>
              <w:t>P1</w:t>
            </w:r>
            <w:proofErr w:type="spellEnd"/>
          </w:p>
        </w:tc>
        <w:tc>
          <w:tcPr>
            <w:tcW w:w="498" w:type="dxa"/>
            <w:shd w:val="clear" w:color="auto" w:fill="95B3D7" w:themeFill="accent1" w:themeFillTint="99"/>
            <w:noWrap/>
            <w:hideMark/>
          </w:tcPr>
          <w:p w14:paraId="49502CAA" w14:textId="77777777" w:rsidR="00F5756F" w:rsidRPr="00F5756F" w:rsidRDefault="00F5756F" w:rsidP="00914DFC">
            <w:pPr>
              <w:pStyle w:val="TH-TableHeading"/>
              <w:cnfStyle w:val="100000000000" w:firstRow="1" w:lastRow="0" w:firstColumn="0" w:lastColumn="0" w:oddVBand="0" w:evenVBand="0" w:oddHBand="0" w:evenHBand="0" w:firstRowFirstColumn="0" w:firstRowLastColumn="0" w:lastRowFirstColumn="0" w:lastRowLastColumn="0"/>
              <w:rPr>
                <w:rFonts w:ascii="Garamond" w:hAnsi="Garamond"/>
                <w:b/>
                <w:color w:val="auto"/>
              </w:rPr>
            </w:pPr>
            <w:proofErr w:type="spellStart"/>
            <w:r w:rsidRPr="00F5756F">
              <w:rPr>
                <w:rFonts w:ascii="Garamond" w:hAnsi="Garamond"/>
                <w:b/>
                <w:color w:val="auto"/>
              </w:rPr>
              <w:t>Q1</w:t>
            </w:r>
            <w:proofErr w:type="spellEnd"/>
          </w:p>
        </w:tc>
        <w:tc>
          <w:tcPr>
            <w:tcW w:w="551" w:type="dxa"/>
            <w:shd w:val="clear" w:color="auto" w:fill="95B3D7" w:themeFill="accent1" w:themeFillTint="99"/>
            <w:noWrap/>
            <w:hideMark/>
          </w:tcPr>
          <w:p w14:paraId="23CE43E9" w14:textId="77777777" w:rsidR="00F5756F" w:rsidRPr="00F5756F" w:rsidRDefault="00F5756F" w:rsidP="00914DFC">
            <w:pPr>
              <w:pStyle w:val="TH-TableHeading"/>
              <w:cnfStyle w:val="100000000000" w:firstRow="1" w:lastRow="0" w:firstColumn="0" w:lastColumn="0" w:oddVBand="0" w:evenVBand="0" w:oddHBand="0" w:evenHBand="0" w:firstRowFirstColumn="0" w:firstRowLastColumn="0" w:lastRowFirstColumn="0" w:lastRowLastColumn="0"/>
              <w:rPr>
                <w:rFonts w:ascii="Garamond" w:hAnsi="Garamond"/>
                <w:b/>
                <w:color w:val="auto"/>
              </w:rPr>
            </w:pPr>
            <w:proofErr w:type="spellStart"/>
            <w:r w:rsidRPr="00F5756F">
              <w:rPr>
                <w:rFonts w:ascii="Garamond" w:hAnsi="Garamond"/>
                <w:b/>
                <w:color w:val="auto"/>
              </w:rPr>
              <w:t>n1</w:t>
            </w:r>
            <w:proofErr w:type="spellEnd"/>
          </w:p>
        </w:tc>
        <w:tc>
          <w:tcPr>
            <w:tcW w:w="498" w:type="dxa"/>
            <w:shd w:val="clear" w:color="auto" w:fill="95B3D7" w:themeFill="accent1" w:themeFillTint="99"/>
            <w:noWrap/>
            <w:hideMark/>
          </w:tcPr>
          <w:p w14:paraId="3B10066E" w14:textId="77777777" w:rsidR="00F5756F" w:rsidRPr="00F5756F" w:rsidRDefault="00F5756F" w:rsidP="00914DFC">
            <w:pPr>
              <w:pStyle w:val="TH-TableHeading"/>
              <w:cnfStyle w:val="100000000000" w:firstRow="1" w:lastRow="0" w:firstColumn="0" w:lastColumn="0" w:oddVBand="0" w:evenVBand="0" w:oddHBand="0" w:evenHBand="0" w:firstRowFirstColumn="0" w:firstRowLastColumn="0" w:lastRowFirstColumn="0" w:lastRowLastColumn="0"/>
              <w:rPr>
                <w:rFonts w:ascii="Garamond" w:hAnsi="Garamond"/>
                <w:b/>
                <w:color w:val="auto"/>
              </w:rPr>
            </w:pPr>
            <w:proofErr w:type="spellStart"/>
            <w:r w:rsidRPr="00F5756F">
              <w:rPr>
                <w:rFonts w:ascii="Garamond" w:hAnsi="Garamond"/>
                <w:b/>
                <w:color w:val="auto"/>
              </w:rPr>
              <w:t>P2</w:t>
            </w:r>
            <w:proofErr w:type="spellEnd"/>
          </w:p>
        </w:tc>
        <w:tc>
          <w:tcPr>
            <w:tcW w:w="498" w:type="dxa"/>
            <w:shd w:val="clear" w:color="auto" w:fill="95B3D7" w:themeFill="accent1" w:themeFillTint="99"/>
            <w:noWrap/>
            <w:hideMark/>
          </w:tcPr>
          <w:p w14:paraId="70D37A0E" w14:textId="77777777" w:rsidR="00F5756F" w:rsidRPr="00F5756F" w:rsidRDefault="00F5756F" w:rsidP="00914DFC">
            <w:pPr>
              <w:pStyle w:val="TH-TableHeading"/>
              <w:cnfStyle w:val="100000000000" w:firstRow="1" w:lastRow="0" w:firstColumn="0" w:lastColumn="0" w:oddVBand="0" w:evenVBand="0" w:oddHBand="0" w:evenHBand="0" w:firstRowFirstColumn="0" w:firstRowLastColumn="0" w:lastRowFirstColumn="0" w:lastRowLastColumn="0"/>
              <w:rPr>
                <w:rFonts w:ascii="Garamond" w:hAnsi="Garamond"/>
                <w:b/>
                <w:color w:val="auto"/>
              </w:rPr>
            </w:pPr>
            <w:proofErr w:type="spellStart"/>
            <w:r w:rsidRPr="00F5756F">
              <w:rPr>
                <w:rFonts w:ascii="Garamond" w:hAnsi="Garamond"/>
                <w:b/>
                <w:color w:val="auto"/>
              </w:rPr>
              <w:t>Q2</w:t>
            </w:r>
            <w:proofErr w:type="spellEnd"/>
          </w:p>
        </w:tc>
        <w:tc>
          <w:tcPr>
            <w:tcW w:w="551" w:type="dxa"/>
            <w:shd w:val="clear" w:color="auto" w:fill="95B3D7" w:themeFill="accent1" w:themeFillTint="99"/>
            <w:noWrap/>
            <w:hideMark/>
          </w:tcPr>
          <w:p w14:paraId="7BFE71F4" w14:textId="77777777" w:rsidR="00F5756F" w:rsidRPr="00F5756F" w:rsidRDefault="00F5756F" w:rsidP="00914DFC">
            <w:pPr>
              <w:pStyle w:val="TH-TableHeading"/>
              <w:cnfStyle w:val="100000000000" w:firstRow="1" w:lastRow="0" w:firstColumn="0" w:lastColumn="0" w:oddVBand="0" w:evenVBand="0" w:oddHBand="0" w:evenHBand="0" w:firstRowFirstColumn="0" w:firstRowLastColumn="0" w:lastRowFirstColumn="0" w:lastRowLastColumn="0"/>
              <w:rPr>
                <w:rFonts w:ascii="Garamond" w:hAnsi="Garamond"/>
                <w:b/>
                <w:color w:val="auto"/>
              </w:rPr>
            </w:pPr>
            <w:proofErr w:type="spellStart"/>
            <w:r w:rsidRPr="00F5756F">
              <w:rPr>
                <w:rFonts w:ascii="Garamond" w:hAnsi="Garamond"/>
                <w:b/>
                <w:color w:val="auto"/>
              </w:rPr>
              <w:t>n2</w:t>
            </w:r>
            <w:proofErr w:type="spellEnd"/>
          </w:p>
        </w:tc>
        <w:tc>
          <w:tcPr>
            <w:tcW w:w="498" w:type="dxa"/>
            <w:shd w:val="clear" w:color="auto" w:fill="95B3D7" w:themeFill="accent1" w:themeFillTint="99"/>
            <w:noWrap/>
            <w:hideMark/>
          </w:tcPr>
          <w:p w14:paraId="6B669C0B" w14:textId="77777777" w:rsidR="00F5756F" w:rsidRPr="00F5756F" w:rsidRDefault="00F5756F" w:rsidP="00914DFC">
            <w:pPr>
              <w:pStyle w:val="TH-TableHeading"/>
              <w:cnfStyle w:val="100000000000" w:firstRow="1" w:lastRow="0" w:firstColumn="0" w:lastColumn="0" w:oddVBand="0" w:evenVBand="0" w:oddHBand="0" w:evenHBand="0" w:firstRowFirstColumn="0" w:firstRowLastColumn="0" w:lastRowFirstColumn="0" w:lastRowLastColumn="0"/>
              <w:rPr>
                <w:rFonts w:ascii="Garamond" w:hAnsi="Garamond"/>
                <w:b/>
                <w:color w:val="auto"/>
              </w:rPr>
            </w:pPr>
            <w:r w:rsidRPr="00F5756F">
              <w:rPr>
                <w:rFonts w:ascii="Garamond" w:hAnsi="Garamond"/>
                <w:b/>
                <w:color w:val="auto"/>
              </w:rPr>
              <w:t>D</w:t>
            </w:r>
          </w:p>
        </w:tc>
        <w:tc>
          <w:tcPr>
            <w:tcW w:w="1067" w:type="dxa"/>
            <w:shd w:val="clear" w:color="auto" w:fill="95B3D7" w:themeFill="accent1" w:themeFillTint="99"/>
            <w:noWrap/>
            <w:hideMark/>
          </w:tcPr>
          <w:p w14:paraId="5A7D3C51" w14:textId="77777777" w:rsidR="00F5756F" w:rsidRPr="00F5756F" w:rsidRDefault="00F5756F" w:rsidP="00914DFC">
            <w:pPr>
              <w:pStyle w:val="TH-TableHeading"/>
              <w:cnfStyle w:val="100000000000" w:firstRow="1" w:lastRow="0" w:firstColumn="0" w:lastColumn="0" w:oddVBand="0" w:evenVBand="0" w:oddHBand="0" w:evenHBand="0" w:firstRowFirstColumn="0" w:firstRowLastColumn="0" w:lastRowFirstColumn="0" w:lastRowLastColumn="0"/>
              <w:rPr>
                <w:rFonts w:ascii="Garamond" w:hAnsi="Garamond"/>
                <w:b/>
                <w:color w:val="auto"/>
              </w:rPr>
            </w:pPr>
            <w:proofErr w:type="spellStart"/>
            <w:r w:rsidRPr="00F5756F">
              <w:rPr>
                <w:rFonts w:ascii="Garamond" w:hAnsi="Garamond"/>
                <w:b/>
                <w:color w:val="auto"/>
              </w:rPr>
              <w:t>STE</w:t>
            </w:r>
            <w:proofErr w:type="spellEnd"/>
            <w:r w:rsidRPr="00F5756F">
              <w:rPr>
                <w:rFonts w:ascii="Garamond" w:hAnsi="Garamond"/>
                <w:b/>
                <w:color w:val="auto"/>
              </w:rPr>
              <w:t>(D)</w:t>
            </w:r>
          </w:p>
        </w:tc>
        <w:tc>
          <w:tcPr>
            <w:tcW w:w="1067" w:type="dxa"/>
            <w:shd w:val="clear" w:color="auto" w:fill="95B3D7" w:themeFill="accent1" w:themeFillTint="99"/>
            <w:noWrap/>
            <w:hideMark/>
          </w:tcPr>
          <w:p w14:paraId="117FE60A" w14:textId="77777777" w:rsidR="00F5756F" w:rsidRPr="00F5756F" w:rsidRDefault="00F5756F" w:rsidP="00914DFC">
            <w:pPr>
              <w:pStyle w:val="TH-TableHeading"/>
              <w:cnfStyle w:val="100000000000" w:firstRow="1" w:lastRow="0" w:firstColumn="0" w:lastColumn="0" w:oddVBand="0" w:evenVBand="0" w:oddHBand="0" w:evenHBand="0" w:firstRowFirstColumn="0" w:firstRowLastColumn="0" w:lastRowFirstColumn="0" w:lastRowLastColumn="0"/>
              <w:rPr>
                <w:rFonts w:ascii="Garamond" w:hAnsi="Garamond"/>
                <w:b/>
                <w:color w:val="auto"/>
              </w:rPr>
            </w:pPr>
            <w:r w:rsidRPr="00F5756F">
              <w:rPr>
                <w:rFonts w:ascii="Garamond" w:hAnsi="Garamond"/>
                <w:b/>
                <w:color w:val="auto"/>
              </w:rPr>
              <w:t>CI+-</w:t>
            </w:r>
          </w:p>
        </w:tc>
        <w:tc>
          <w:tcPr>
            <w:tcW w:w="748" w:type="dxa"/>
            <w:shd w:val="clear" w:color="auto" w:fill="95B3D7" w:themeFill="accent1" w:themeFillTint="99"/>
            <w:noWrap/>
            <w:hideMark/>
          </w:tcPr>
          <w:p w14:paraId="72A8D5B6" w14:textId="77777777" w:rsidR="00F5756F" w:rsidRPr="00F5756F" w:rsidRDefault="00F5756F" w:rsidP="00914DFC">
            <w:pPr>
              <w:pStyle w:val="TH-TableHeading"/>
              <w:cnfStyle w:val="100000000000" w:firstRow="1" w:lastRow="0" w:firstColumn="0" w:lastColumn="0" w:oddVBand="0" w:evenVBand="0" w:oddHBand="0" w:evenHBand="0" w:firstRowFirstColumn="0" w:firstRowLastColumn="0" w:lastRowFirstColumn="0" w:lastRowLastColumn="0"/>
              <w:rPr>
                <w:rFonts w:ascii="Garamond" w:hAnsi="Garamond"/>
                <w:b/>
                <w:color w:val="auto"/>
              </w:rPr>
            </w:pPr>
            <w:r w:rsidRPr="00F5756F">
              <w:rPr>
                <w:rFonts w:ascii="Garamond" w:hAnsi="Garamond"/>
                <w:b/>
                <w:color w:val="auto"/>
              </w:rPr>
              <w:t>Power</w:t>
            </w:r>
          </w:p>
        </w:tc>
      </w:tr>
      <w:tr w:rsidR="00F5756F" w:rsidRPr="00F5756F" w14:paraId="32D921E1" w14:textId="77777777" w:rsidTr="00F5756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689" w:type="dxa"/>
            <w:shd w:val="clear" w:color="auto" w:fill="auto"/>
            <w:noWrap/>
            <w:hideMark/>
          </w:tcPr>
          <w:p w14:paraId="086D97DF" w14:textId="77777777" w:rsidR="00F5756F" w:rsidRPr="00F5756F" w:rsidRDefault="00F5756F" w:rsidP="00914DFC">
            <w:pPr>
              <w:pStyle w:val="TH-TableHeading"/>
              <w:rPr>
                <w:rFonts w:ascii="Garamond" w:hAnsi="Garamond"/>
                <w:color w:val="auto"/>
              </w:rPr>
            </w:pPr>
            <w:r w:rsidRPr="00F5756F">
              <w:rPr>
                <w:rFonts w:ascii="Garamond" w:hAnsi="Garamond"/>
                <w:color w:val="auto"/>
              </w:rPr>
              <w:t>Novice (</w:t>
            </w:r>
            <w:proofErr w:type="spellStart"/>
            <w:r w:rsidRPr="00F5756F">
              <w:rPr>
                <w:rFonts w:ascii="Garamond" w:hAnsi="Garamond"/>
                <w:color w:val="auto"/>
              </w:rPr>
              <w:t>P1</w:t>
            </w:r>
            <w:proofErr w:type="spellEnd"/>
            <w:r w:rsidRPr="00F5756F">
              <w:rPr>
                <w:rFonts w:ascii="Garamond" w:hAnsi="Garamond"/>
                <w:color w:val="auto"/>
              </w:rPr>
              <w:t>) v/s experienced (</w:t>
            </w:r>
            <w:proofErr w:type="spellStart"/>
            <w:r w:rsidRPr="00F5756F">
              <w:rPr>
                <w:rFonts w:ascii="Garamond" w:hAnsi="Garamond"/>
                <w:color w:val="auto"/>
              </w:rPr>
              <w:t>P2</w:t>
            </w:r>
            <w:proofErr w:type="spellEnd"/>
            <w:r w:rsidRPr="00F5756F">
              <w:rPr>
                <w:rFonts w:ascii="Garamond" w:hAnsi="Garamond"/>
                <w:color w:val="auto"/>
              </w:rPr>
              <w:t>)</w:t>
            </w:r>
          </w:p>
        </w:tc>
        <w:tc>
          <w:tcPr>
            <w:tcW w:w="498" w:type="dxa"/>
            <w:shd w:val="clear" w:color="auto" w:fill="auto"/>
            <w:noWrap/>
            <w:hideMark/>
          </w:tcPr>
          <w:p w14:paraId="6F67E8C7" w14:textId="77777777" w:rsidR="00F5756F" w:rsidRPr="00F5756F" w:rsidRDefault="00F5756F" w:rsidP="00914DFC">
            <w:pPr>
              <w:pStyle w:val="TH-TableHeading"/>
              <w:cnfStyle w:val="000000100000" w:firstRow="0" w:lastRow="0" w:firstColumn="0" w:lastColumn="0" w:oddVBand="0" w:evenVBand="0" w:oddHBand="1" w:evenHBand="0" w:firstRowFirstColumn="0" w:firstRowLastColumn="0" w:lastRowFirstColumn="0" w:lastRowLastColumn="0"/>
              <w:rPr>
                <w:rFonts w:ascii="Garamond" w:hAnsi="Garamond"/>
                <w:b w:val="0"/>
                <w:color w:val="auto"/>
              </w:rPr>
            </w:pPr>
            <w:r w:rsidRPr="00F5756F">
              <w:rPr>
                <w:rFonts w:ascii="Garamond" w:hAnsi="Garamond"/>
                <w:b w:val="0"/>
                <w:color w:val="auto"/>
              </w:rPr>
              <w:t>0.7</w:t>
            </w:r>
          </w:p>
        </w:tc>
        <w:tc>
          <w:tcPr>
            <w:tcW w:w="498" w:type="dxa"/>
            <w:shd w:val="clear" w:color="auto" w:fill="auto"/>
            <w:noWrap/>
            <w:hideMark/>
          </w:tcPr>
          <w:p w14:paraId="0059FEED" w14:textId="77777777" w:rsidR="00F5756F" w:rsidRPr="00F5756F" w:rsidRDefault="00F5756F" w:rsidP="00914DFC">
            <w:pPr>
              <w:pStyle w:val="TH-TableHeading"/>
              <w:cnfStyle w:val="000000100000" w:firstRow="0" w:lastRow="0" w:firstColumn="0" w:lastColumn="0" w:oddVBand="0" w:evenVBand="0" w:oddHBand="1" w:evenHBand="0" w:firstRowFirstColumn="0" w:firstRowLastColumn="0" w:lastRowFirstColumn="0" w:lastRowLastColumn="0"/>
              <w:rPr>
                <w:rFonts w:ascii="Garamond" w:hAnsi="Garamond"/>
                <w:b w:val="0"/>
                <w:color w:val="auto"/>
              </w:rPr>
            </w:pPr>
            <w:r w:rsidRPr="00F5756F">
              <w:rPr>
                <w:rFonts w:ascii="Garamond" w:hAnsi="Garamond"/>
                <w:b w:val="0"/>
                <w:color w:val="auto"/>
              </w:rPr>
              <w:t>0.3</w:t>
            </w:r>
          </w:p>
        </w:tc>
        <w:tc>
          <w:tcPr>
            <w:tcW w:w="551" w:type="dxa"/>
            <w:shd w:val="clear" w:color="auto" w:fill="auto"/>
            <w:noWrap/>
            <w:hideMark/>
          </w:tcPr>
          <w:p w14:paraId="17957B7A" w14:textId="77777777" w:rsidR="00F5756F" w:rsidRPr="00F5756F" w:rsidRDefault="00F5756F" w:rsidP="00914DFC">
            <w:pPr>
              <w:pStyle w:val="TH-TableHeading"/>
              <w:cnfStyle w:val="000000100000" w:firstRow="0" w:lastRow="0" w:firstColumn="0" w:lastColumn="0" w:oddVBand="0" w:evenVBand="0" w:oddHBand="1" w:evenHBand="0" w:firstRowFirstColumn="0" w:firstRowLastColumn="0" w:lastRowFirstColumn="0" w:lastRowLastColumn="0"/>
              <w:rPr>
                <w:rFonts w:ascii="Garamond" w:hAnsi="Garamond"/>
                <w:b w:val="0"/>
                <w:color w:val="auto"/>
              </w:rPr>
            </w:pPr>
            <w:r w:rsidRPr="00F5756F">
              <w:rPr>
                <w:rFonts w:ascii="Garamond" w:hAnsi="Garamond"/>
                <w:b w:val="0"/>
                <w:color w:val="auto"/>
              </w:rPr>
              <w:t>300</w:t>
            </w:r>
          </w:p>
        </w:tc>
        <w:tc>
          <w:tcPr>
            <w:tcW w:w="498" w:type="dxa"/>
            <w:shd w:val="clear" w:color="auto" w:fill="auto"/>
            <w:noWrap/>
            <w:hideMark/>
          </w:tcPr>
          <w:p w14:paraId="5CAEC5B2" w14:textId="77777777" w:rsidR="00F5756F" w:rsidRPr="00F5756F" w:rsidRDefault="00F5756F" w:rsidP="00914DFC">
            <w:pPr>
              <w:pStyle w:val="TH-TableHeading"/>
              <w:cnfStyle w:val="000000100000" w:firstRow="0" w:lastRow="0" w:firstColumn="0" w:lastColumn="0" w:oddVBand="0" w:evenVBand="0" w:oddHBand="1" w:evenHBand="0" w:firstRowFirstColumn="0" w:firstRowLastColumn="0" w:lastRowFirstColumn="0" w:lastRowLastColumn="0"/>
              <w:rPr>
                <w:rFonts w:ascii="Garamond" w:hAnsi="Garamond"/>
                <w:b w:val="0"/>
                <w:color w:val="auto"/>
              </w:rPr>
            </w:pPr>
            <w:r w:rsidRPr="00F5756F">
              <w:rPr>
                <w:rFonts w:ascii="Garamond" w:hAnsi="Garamond"/>
                <w:b w:val="0"/>
                <w:color w:val="auto"/>
              </w:rPr>
              <w:t>0.8</w:t>
            </w:r>
          </w:p>
        </w:tc>
        <w:tc>
          <w:tcPr>
            <w:tcW w:w="498" w:type="dxa"/>
            <w:shd w:val="clear" w:color="auto" w:fill="auto"/>
            <w:noWrap/>
            <w:hideMark/>
          </w:tcPr>
          <w:p w14:paraId="37E325B9" w14:textId="77777777" w:rsidR="00F5756F" w:rsidRPr="00F5756F" w:rsidRDefault="00F5756F" w:rsidP="00914DFC">
            <w:pPr>
              <w:pStyle w:val="TH-TableHeading"/>
              <w:cnfStyle w:val="000000100000" w:firstRow="0" w:lastRow="0" w:firstColumn="0" w:lastColumn="0" w:oddVBand="0" w:evenVBand="0" w:oddHBand="1" w:evenHBand="0" w:firstRowFirstColumn="0" w:firstRowLastColumn="0" w:lastRowFirstColumn="0" w:lastRowLastColumn="0"/>
              <w:rPr>
                <w:rFonts w:ascii="Garamond" w:hAnsi="Garamond"/>
                <w:b w:val="0"/>
                <w:color w:val="auto"/>
              </w:rPr>
            </w:pPr>
            <w:r w:rsidRPr="00F5756F">
              <w:rPr>
                <w:rFonts w:ascii="Garamond" w:hAnsi="Garamond"/>
                <w:b w:val="0"/>
                <w:color w:val="auto"/>
              </w:rPr>
              <w:t>0.2</w:t>
            </w:r>
          </w:p>
        </w:tc>
        <w:tc>
          <w:tcPr>
            <w:tcW w:w="551" w:type="dxa"/>
            <w:shd w:val="clear" w:color="auto" w:fill="auto"/>
            <w:noWrap/>
            <w:hideMark/>
          </w:tcPr>
          <w:p w14:paraId="202AF104" w14:textId="77777777" w:rsidR="00F5756F" w:rsidRPr="00F5756F" w:rsidRDefault="00F5756F" w:rsidP="00914DFC">
            <w:pPr>
              <w:pStyle w:val="TH-TableHeading"/>
              <w:cnfStyle w:val="000000100000" w:firstRow="0" w:lastRow="0" w:firstColumn="0" w:lastColumn="0" w:oddVBand="0" w:evenVBand="0" w:oddHBand="1" w:evenHBand="0" w:firstRowFirstColumn="0" w:firstRowLastColumn="0" w:lastRowFirstColumn="0" w:lastRowLastColumn="0"/>
              <w:rPr>
                <w:rFonts w:ascii="Garamond" w:hAnsi="Garamond"/>
                <w:b w:val="0"/>
                <w:color w:val="auto"/>
              </w:rPr>
            </w:pPr>
            <w:r w:rsidRPr="00F5756F">
              <w:rPr>
                <w:rFonts w:ascii="Garamond" w:hAnsi="Garamond"/>
                <w:b w:val="0"/>
                <w:color w:val="auto"/>
              </w:rPr>
              <w:t>300</w:t>
            </w:r>
          </w:p>
        </w:tc>
        <w:tc>
          <w:tcPr>
            <w:tcW w:w="498" w:type="dxa"/>
            <w:shd w:val="clear" w:color="auto" w:fill="auto"/>
            <w:noWrap/>
            <w:hideMark/>
          </w:tcPr>
          <w:p w14:paraId="2A6CF2E2" w14:textId="77777777" w:rsidR="00F5756F" w:rsidRPr="00F5756F" w:rsidRDefault="00F5756F" w:rsidP="00914DFC">
            <w:pPr>
              <w:pStyle w:val="TH-TableHeading"/>
              <w:cnfStyle w:val="000000100000" w:firstRow="0" w:lastRow="0" w:firstColumn="0" w:lastColumn="0" w:oddVBand="0" w:evenVBand="0" w:oddHBand="1" w:evenHBand="0" w:firstRowFirstColumn="0" w:firstRowLastColumn="0" w:lastRowFirstColumn="0" w:lastRowLastColumn="0"/>
              <w:rPr>
                <w:rFonts w:ascii="Garamond" w:hAnsi="Garamond"/>
                <w:b w:val="0"/>
                <w:color w:val="auto"/>
              </w:rPr>
            </w:pPr>
            <w:r w:rsidRPr="00F5756F">
              <w:rPr>
                <w:rFonts w:ascii="Garamond" w:hAnsi="Garamond"/>
                <w:b w:val="0"/>
                <w:color w:val="auto"/>
              </w:rPr>
              <w:t>0.1</w:t>
            </w:r>
          </w:p>
        </w:tc>
        <w:tc>
          <w:tcPr>
            <w:tcW w:w="1067" w:type="dxa"/>
            <w:shd w:val="clear" w:color="auto" w:fill="auto"/>
            <w:noWrap/>
            <w:hideMark/>
          </w:tcPr>
          <w:p w14:paraId="30AE8612" w14:textId="77777777" w:rsidR="00F5756F" w:rsidRPr="00F5756F" w:rsidRDefault="00F5756F" w:rsidP="00914DFC">
            <w:pPr>
              <w:pStyle w:val="TH-TableHeading"/>
              <w:cnfStyle w:val="000000100000" w:firstRow="0" w:lastRow="0" w:firstColumn="0" w:lastColumn="0" w:oddVBand="0" w:evenVBand="0" w:oddHBand="1" w:evenHBand="0" w:firstRowFirstColumn="0" w:firstRowLastColumn="0" w:lastRowFirstColumn="0" w:lastRowLastColumn="0"/>
              <w:rPr>
                <w:rFonts w:ascii="Garamond" w:hAnsi="Garamond"/>
                <w:b w:val="0"/>
                <w:color w:val="auto"/>
              </w:rPr>
            </w:pPr>
            <w:r w:rsidRPr="00F5756F">
              <w:rPr>
                <w:rFonts w:ascii="Garamond" w:hAnsi="Garamond"/>
                <w:b w:val="0"/>
                <w:color w:val="auto"/>
              </w:rPr>
              <w:t>0.035119</w:t>
            </w:r>
          </w:p>
        </w:tc>
        <w:tc>
          <w:tcPr>
            <w:tcW w:w="1067" w:type="dxa"/>
            <w:shd w:val="clear" w:color="auto" w:fill="auto"/>
            <w:noWrap/>
            <w:hideMark/>
          </w:tcPr>
          <w:p w14:paraId="325A1C55" w14:textId="77777777" w:rsidR="00F5756F" w:rsidRPr="00F5756F" w:rsidRDefault="00F5756F" w:rsidP="00914DFC">
            <w:pPr>
              <w:pStyle w:val="TH-TableHeading"/>
              <w:cnfStyle w:val="000000100000" w:firstRow="0" w:lastRow="0" w:firstColumn="0" w:lastColumn="0" w:oddVBand="0" w:evenVBand="0" w:oddHBand="1" w:evenHBand="0" w:firstRowFirstColumn="0" w:firstRowLastColumn="0" w:lastRowFirstColumn="0" w:lastRowLastColumn="0"/>
              <w:rPr>
                <w:rFonts w:ascii="Garamond" w:hAnsi="Garamond"/>
                <w:b w:val="0"/>
                <w:color w:val="auto"/>
              </w:rPr>
            </w:pPr>
            <w:r w:rsidRPr="00F5756F">
              <w:rPr>
                <w:rFonts w:ascii="Garamond" w:hAnsi="Garamond"/>
                <w:b w:val="0"/>
                <w:color w:val="auto"/>
              </w:rPr>
              <w:t>0.068833</w:t>
            </w:r>
          </w:p>
        </w:tc>
        <w:tc>
          <w:tcPr>
            <w:tcW w:w="748" w:type="dxa"/>
            <w:shd w:val="clear" w:color="auto" w:fill="auto"/>
            <w:noWrap/>
            <w:hideMark/>
          </w:tcPr>
          <w:p w14:paraId="45FDC0C5" w14:textId="77777777" w:rsidR="00F5756F" w:rsidRPr="00F5756F" w:rsidRDefault="00F5756F" w:rsidP="00914DFC">
            <w:pPr>
              <w:pStyle w:val="TH-TableHeading"/>
              <w:cnfStyle w:val="000000100000" w:firstRow="0" w:lastRow="0" w:firstColumn="0" w:lastColumn="0" w:oddVBand="0" w:evenVBand="0" w:oddHBand="1" w:evenHBand="0" w:firstRowFirstColumn="0" w:firstRowLastColumn="0" w:lastRowFirstColumn="0" w:lastRowLastColumn="0"/>
              <w:rPr>
                <w:rFonts w:ascii="Garamond" w:hAnsi="Garamond"/>
                <w:b w:val="0"/>
                <w:color w:val="auto"/>
              </w:rPr>
            </w:pPr>
            <w:r w:rsidRPr="00F5756F">
              <w:rPr>
                <w:rFonts w:ascii="Garamond" w:hAnsi="Garamond"/>
                <w:b w:val="0"/>
                <w:color w:val="auto"/>
              </w:rPr>
              <w:t>78%</w:t>
            </w:r>
          </w:p>
        </w:tc>
      </w:tr>
      <w:tr w:rsidR="00F5756F" w:rsidRPr="00F5756F" w14:paraId="66AEDD43" w14:textId="77777777" w:rsidTr="00F5756F">
        <w:trPr>
          <w:trHeight w:val="300"/>
          <w:jc w:val="center"/>
        </w:trPr>
        <w:tc>
          <w:tcPr>
            <w:cnfStyle w:val="001000000000" w:firstRow="0" w:lastRow="0" w:firstColumn="1" w:lastColumn="0" w:oddVBand="0" w:evenVBand="0" w:oddHBand="0" w:evenHBand="0" w:firstRowFirstColumn="0" w:firstRowLastColumn="0" w:lastRowFirstColumn="0" w:lastRowLastColumn="0"/>
            <w:tcW w:w="3689" w:type="dxa"/>
            <w:shd w:val="clear" w:color="auto" w:fill="auto"/>
            <w:noWrap/>
            <w:hideMark/>
          </w:tcPr>
          <w:p w14:paraId="0E2C2E6F" w14:textId="77777777" w:rsidR="00F5756F" w:rsidRPr="00F5756F" w:rsidRDefault="00F5756F" w:rsidP="00914DFC">
            <w:pPr>
              <w:pStyle w:val="TH-TableHeading"/>
              <w:rPr>
                <w:rFonts w:ascii="Garamond" w:hAnsi="Garamond"/>
                <w:color w:val="auto"/>
              </w:rPr>
            </w:pPr>
            <w:r w:rsidRPr="00F5756F">
              <w:rPr>
                <w:rFonts w:ascii="Garamond" w:hAnsi="Garamond"/>
                <w:color w:val="auto"/>
              </w:rPr>
              <w:t>Child size - 6 year old (</w:t>
            </w:r>
            <w:proofErr w:type="spellStart"/>
            <w:r w:rsidRPr="00F5756F">
              <w:rPr>
                <w:rFonts w:ascii="Garamond" w:hAnsi="Garamond"/>
                <w:color w:val="auto"/>
              </w:rPr>
              <w:t>P1</w:t>
            </w:r>
            <w:proofErr w:type="spellEnd"/>
            <w:r w:rsidRPr="00F5756F">
              <w:rPr>
                <w:rFonts w:ascii="Garamond" w:hAnsi="Garamond"/>
                <w:color w:val="auto"/>
              </w:rPr>
              <w:t>) vs 8 year old (</w:t>
            </w:r>
            <w:proofErr w:type="spellStart"/>
            <w:r w:rsidRPr="00F5756F">
              <w:rPr>
                <w:rFonts w:ascii="Garamond" w:hAnsi="Garamond"/>
                <w:color w:val="auto"/>
              </w:rPr>
              <w:t>P2</w:t>
            </w:r>
            <w:proofErr w:type="spellEnd"/>
            <w:r w:rsidRPr="00F5756F">
              <w:rPr>
                <w:rFonts w:ascii="Garamond" w:hAnsi="Garamond"/>
                <w:color w:val="auto"/>
              </w:rPr>
              <w:t>)</w:t>
            </w:r>
          </w:p>
        </w:tc>
        <w:tc>
          <w:tcPr>
            <w:tcW w:w="498" w:type="dxa"/>
            <w:shd w:val="clear" w:color="auto" w:fill="auto"/>
            <w:noWrap/>
            <w:hideMark/>
          </w:tcPr>
          <w:p w14:paraId="4FFE1C35" w14:textId="77777777" w:rsidR="00F5756F" w:rsidRPr="00F5756F" w:rsidRDefault="00F5756F" w:rsidP="00914DFC">
            <w:pPr>
              <w:pStyle w:val="TH-TableHeading"/>
              <w:cnfStyle w:val="000000000000" w:firstRow="0" w:lastRow="0" w:firstColumn="0" w:lastColumn="0" w:oddVBand="0" w:evenVBand="0" w:oddHBand="0" w:evenHBand="0" w:firstRowFirstColumn="0" w:firstRowLastColumn="0" w:lastRowFirstColumn="0" w:lastRowLastColumn="0"/>
              <w:rPr>
                <w:rFonts w:ascii="Garamond" w:hAnsi="Garamond"/>
                <w:b w:val="0"/>
                <w:color w:val="auto"/>
              </w:rPr>
            </w:pPr>
            <w:r w:rsidRPr="00F5756F">
              <w:rPr>
                <w:rFonts w:ascii="Garamond" w:hAnsi="Garamond"/>
                <w:b w:val="0"/>
                <w:color w:val="auto"/>
              </w:rPr>
              <w:t>0.8</w:t>
            </w:r>
          </w:p>
        </w:tc>
        <w:tc>
          <w:tcPr>
            <w:tcW w:w="498" w:type="dxa"/>
            <w:shd w:val="clear" w:color="auto" w:fill="auto"/>
            <w:noWrap/>
            <w:hideMark/>
          </w:tcPr>
          <w:p w14:paraId="628D0CD2" w14:textId="77777777" w:rsidR="00F5756F" w:rsidRPr="00F5756F" w:rsidRDefault="00F5756F" w:rsidP="00914DFC">
            <w:pPr>
              <w:pStyle w:val="TH-TableHeading"/>
              <w:cnfStyle w:val="000000000000" w:firstRow="0" w:lastRow="0" w:firstColumn="0" w:lastColumn="0" w:oddVBand="0" w:evenVBand="0" w:oddHBand="0" w:evenHBand="0" w:firstRowFirstColumn="0" w:firstRowLastColumn="0" w:lastRowFirstColumn="0" w:lastRowLastColumn="0"/>
              <w:rPr>
                <w:rFonts w:ascii="Garamond" w:hAnsi="Garamond"/>
                <w:b w:val="0"/>
                <w:color w:val="auto"/>
              </w:rPr>
            </w:pPr>
            <w:r w:rsidRPr="00F5756F">
              <w:rPr>
                <w:rFonts w:ascii="Garamond" w:hAnsi="Garamond"/>
                <w:b w:val="0"/>
                <w:color w:val="auto"/>
              </w:rPr>
              <w:t>0.2</w:t>
            </w:r>
          </w:p>
        </w:tc>
        <w:tc>
          <w:tcPr>
            <w:tcW w:w="551" w:type="dxa"/>
            <w:shd w:val="clear" w:color="auto" w:fill="auto"/>
            <w:noWrap/>
            <w:hideMark/>
          </w:tcPr>
          <w:p w14:paraId="5831BFE3" w14:textId="77777777" w:rsidR="00F5756F" w:rsidRPr="00F5756F" w:rsidRDefault="00F5756F" w:rsidP="00914DFC">
            <w:pPr>
              <w:pStyle w:val="TH-TableHeading"/>
              <w:cnfStyle w:val="000000000000" w:firstRow="0" w:lastRow="0" w:firstColumn="0" w:lastColumn="0" w:oddVBand="0" w:evenVBand="0" w:oddHBand="0" w:evenHBand="0" w:firstRowFirstColumn="0" w:firstRowLastColumn="0" w:lastRowFirstColumn="0" w:lastRowLastColumn="0"/>
              <w:rPr>
                <w:rFonts w:ascii="Garamond" w:hAnsi="Garamond"/>
                <w:b w:val="0"/>
                <w:color w:val="auto"/>
              </w:rPr>
            </w:pPr>
            <w:r w:rsidRPr="00F5756F">
              <w:rPr>
                <w:rFonts w:ascii="Garamond" w:hAnsi="Garamond"/>
                <w:b w:val="0"/>
                <w:color w:val="auto"/>
              </w:rPr>
              <w:t>150</w:t>
            </w:r>
          </w:p>
        </w:tc>
        <w:tc>
          <w:tcPr>
            <w:tcW w:w="498" w:type="dxa"/>
            <w:shd w:val="clear" w:color="auto" w:fill="auto"/>
            <w:noWrap/>
            <w:hideMark/>
          </w:tcPr>
          <w:p w14:paraId="079B3B03" w14:textId="77777777" w:rsidR="00F5756F" w:rsidRPr="00F5756F" w:rsidRDefault="00F5756F" w:rsidP="00914DFC">
            <w:pPr>
              <w:pStyle w:val="TH-TableHeading"/>
              <w:cnfStyle w:val="000000000000" w:firstRow="0" w:lastRow="0" w:firstColumn="0" w:lastColumn="0" w:oddVBand="0" w:evenVBand="0" w:oddHBand="0" w:evenHBand="0" w:firstRowFirstColumn="0" w:firstRowLastColumn="0" w:lastRowFirstColumn="0" w:lastRowLastColumn="0"/>
              <w:rPr>
                <w:rFonts w:ascii="Garamond" w:hAnsi="Garamond"/>
                <w:b w:val="0"/>
                <w:color w:val="auto"/>
              </w:rPr>
            </w:pPr>
            <w:r w:rsidRPr="00F5756F">
              <w:rPr>
                <w:rFonts w:ascii="Garamond" w:hAnsi="Garamond"/>
                <w:b w:val="0"/>
                <w:color w:val="auto"/>
              </w:rPr>
              <w:t>0.6</w:t>
            </w:r>
          </w:p>
        </w:tc>
        <w:tc>
          <w:tcPr>
            <w:tcW w:w="498" w:type="dxa"/>
            <w:shd w:val="clear" w:color="auto" w:fill="auto"/>
            <w:noWrap/>
            <w:hideMark/>
          </w:tcPr>
          <w:p w14:paraId="6933A9DE" w14:textId="77777777" w:rsidR="00F5756F" w:rsidRPr="00F5756F" w:rsidRDefault="00F5756F" w:rsidP="00914DFC">
            <w:pPr>
              <w:pStyle w:val="TH-TableHeading"/>
              <w:cnfStyle w:val="000000000000" w:firstRow="0" w:lastRow="0" w:firstColumn="0" w:lastColumn="0" w:oddVBand="0" w:evenVBand="0" w:oddHBand="0" w:evenHBand="0" w:firstRowFirstColumn="0" w:firstRowLastColumn="0" w:lastRowFirstColumn="0" w:lastRowLastColumn="0"/>
              <w:rPr>
                <w:rFonts w:ascii="Garamond" w:hAnsi="Garamond"/>
                <w:b w:val="0"/>
                <w:color w:val="auto"/>
              </w:rPr>
            </w:pPr>
            <w:r w:rsidRPr="00F5756F">
              <w:rPr>
                <w:rFonts w:ascii="Garamond" w:hAnsi="Garamond"/>
                <w:b w:val="0"/>
                <w:color w:val="auto"/>
              </w:rPr>
              <w:t>0.4</w:t>
            </w:r>
          </w:p>
        </w:tc>
        <w:tc>
          <w:tcPr>
            <w:tcW w:w="551" w:type="dxa"/>
            <w:shd w:val="clear" w:color="auto" w:fill="auto"/>
            <w:noWrap/>
            <w:hideMark/>
          </w:tcPr>
          <w:p w14:paraId="7E08AA4C" w14:textId="77777777" w:rsidR="00F5756F" w:rsidRPr="00F5756F" w:rsidRDefault="00F5756F" w:rsidP="00914DFC">
            <w:pPr>
              <w:pStyle w:val="TH-TableHeading"/>
              <w:cnfStyle w:val="000000000000" w:firstRow="0" w:lastRow="0" w:firstColumn="0" w:lastColumn="0" w:oddVBand="0" w:evenVBand="0" w:oddHBand="0" w:evenHBand="0" w:firstRowFirstColumn="0" w:firstRowLastColumn="0" w:lastRowFirstColumn="0" w:lastRowLastColumn="0"/>
              <w:rPr>
                <w:rFonts w:ascii="Garamond" w:hAnsi="Garamond"/>
                <w:b w:val="0"/>
                <w:color w:val="auto"/>
              </w:rPr>
            </w:pPr>
            <w:r w:rsidRPr="00F5756F">
              <w:rPr>
                <w:rFonts w:ascii="Garamond" w:hAnsi="Garamond"/>
                <w:b w:val="0"/>
                <w:color w:val="auto"/>
              </w:rPr>
              <w:t>150</w:t>
            </w:r>
          </w:p>
        </w:tc>
        <w:tc>
          <w:tcPr>
            <w:tcW w:w="498" w:type="dxa"/>
            <w:shd w:val="clear" w:color="auto" w:fill="auto"/>
            <w:noWrap/>
            <w:hideMark/>
          </w:tcPr>
          <w:p w14:paraId="2D7A2118" w14:textId="77777777" w:rsidR="00F5756F" w:rsidRPr="00F5756F" w:rsidRDefault="00F5756F" w:rsidP="00914DFC">
            <w:pPr>
              <w:pStyle w:val="TH-TableHeading"/>
              <w:cnfStyle w:val="000000000000" w:firstRow="0" w:lastRow="0" w:firstColumn="0" w:lastColumn="0" w:oddVBand="0" w:evenVBand="0" w:oddHBand="0" w:evenHBand="0" w:firstRowFirstColumn="0" w:firstRowLastColumn="0" w:lastRowFirstColumn="0" w:lastRowLastColumn="0"/>
              <w:rPr>
                <w:rFonts w:ascii="Garamond" w:hAnsi="Garamond"/>
                <w:b w:val="0"/>
                <w:color w:val="auto"/>
              </w:rPr>
            </w:pPr>
            <w:r w:rsidRPr="00F5756F">
              <w:rPr>
                <w:rFonts w:ascii="Garamond" w:hAnsi="Garamond"/>
                <w:b w:val="0"/>
                <w:color w:val="auto"/>
              </w:rPr>
              <w:t>-0</w:t>
            </w:r>
          </w:p>
        </w:tc>
        <w:tc>
          <w:tcPr>
            <w:tcW w:w="1067" w:type="dxa"/>
            <w:shd w:val="clear" w:color="auto" w:fill="auto"/>
            <w:noWrap/>
            <w:hideMark/>
          </w:tcPr>
          <w:p w14:paraId="41545662" w14:textId="77777777" w:rsidR="00F5756F" w:rsidRPr="00F5756F" w:rsidRDefault="00F5756F" w:rsidP="00914DFC">
            <w:pPr>
              <w:pStyle w:val="TH-TableHeading"/>
              <w:cnfStyle w:val="000000000000" w:firstRow="0" w:lastRow="0" w:firstColumn="0" w:lastColumn="0" w:oddVBand="0" w:evenVBand="0" w:oddHBand="0" w:evenHBand="0" w:firstRowFirstColumn="0" w:firstRowLastColumn="0" w:lastRowFirstColumn="0" w:lastRowLastColumn="0"/>
              <w:rPr>
                <w:rFonts w:ascii="Garamond" w:hAnsi="Garamond"/>
                <w:b w:val="0"/>
                <w:color w:val="auto"/>
              </w:rPr>
            </w:pPr>
            <w:r w:rsidRPr="00F5756F">
              <w:rPr>
                <w:rFonts w:ascii="Garamond" w:hAnsi="Garamond"/>
                <w:b w:val="0"/>
                <w:color w:val="auto"/>
              </w:rPr>
              <w:t>0.05164</w:t>
            </w:r>
          </w:p>
        </w:tc>
        <w:tc>
          <w:tcPr>
            <w:tcW w:w="1067" w:type="dxa"/>
            <w:shd w:val="clear" w:color="auto" w:fill="auto"/>
            <w:noWrap/>
            <w:hideMark/>
          </w:tcPr>
          <w:p w14:paraId="5B82BE13" w14:textId="77777777" w:rsidR="00F5756F" w:rsidRPr="00F5756F" w:rsidRDefault="00F5756F" w:rsidP="00914DFC">
            <w:pPr>
              <w:pStyle w:val="TH-TableHeading"/>
              <w:cnfStyle w:val="000000000000" w:firstRow="0" w:lastRow="0" w:firstColumn="0" w:lastColumn="0" w:oddVBand="0" w:evenVBand="0" w:oddHBand="0" w:evenHBand="0" w:firstRowFirstColumn="0" w:firstRowLastColumn="0" w:lastRowFirstColumn="0" w:lastRowLastColumn="0"/>
              <w:rPr>
                <w:rFonts w:ascii="Garamond" w:hAnsi="Garamond"/>
                <w:b w:val="0"/>
                <w:color w:val="auto"/>
              </w:rPr>
            </w:pPr>
            <w:r w:rsidRPr="00F5756F">
              <w:rPr>
                <w:rFonts w:ascii="Garamond" w:hAnsi="Garamond"/>
                <w:b w:val="0"/>
                <w:color w:val="auto"/>
              </w:rPr>
              <w:t>0.101214</w:t>
            </w:r>
          </w:p>
        </w:tc>
        <w:tc>
          <w:tcPr>
            <w:tcW w:w="748" w:type="dxa"/>
            <w:shd w:val="clear" w:color="auto" w:fill="auto"/>
            <w:noWrap/>
            <w:hideMark/>
          </w:tcPr>
          <w:p w14:paraId="41C2BBE3" w14:textId="77777777" w:rsidR="00F5756F" w:rsidRPr="00F5756F" w:rsidRDefault="00F5756F" w:rsidP="00914DFC">
            <w:pPr>
              <w:pStyle w:val="TH-TableHeading"/>
              <w:cnfStyle w:val="000000000000" w:firstRow="0" w:lastRow="0" w:firstColumn="0" w:lastColumn="0" w:oddVBand="0" w:evenVBand="0" w:oddHBand="0" w:evenHBand="0" w:firstRowFirstColumn="0" w:firstRowLastColumn="0" w:lastRowFirstColumn="0" w:lastRowLastColumn="0"/>
              <w:rPr>
                <w:rFonts w:ascii="Garamond" w:hAnsi="Garamond"/>
                <w:b w:val="0"/>
                <w:color w:val="auto"/>
              </w:rPr>
            </w:pPr>
            <w:r w:rsidRPr="00F5756F">
              <w:rPr>
                <w:rFonts w:ascii="Garamond" w:hAnsi="Garamond"/>
                <w:b w:val="0"/>
                <w:color w:val="auto"/>
              </w:rPr>
              <w:t>96%</w:t>
            </w:r>
          </w:p>
        </w:tc>
      </w:tr>
    </w:tbl>
    <w:p w14:paraId="5D6B3F76" w14:textId="77777777" w:rsidR="00F5756F" w:rsidRDefault="00F5756F" w:rsidP="00F5756F">
      <w:pPr>
        <w:pStyle w:val="TT-TableTitle"/>
        <w:rPr>
          <w:rFonts w:ascii="Calibri" w:hAnsi="Calibri"/>
          <w:sz w:val="22"/>
          <w:szCs w:val="22"/>
        </w:rPr>
      </w:pPr>
    </w:p>
    <w:p w14:paraId="01848E62" w14:textId="14EDC083" w:rsidR="00541110" w:rsidRPr="00541110" w:rsidRDefault="00541110" w:rsidP="00541110">
      <w:pPr>
        <w:rPr>
          <w:rFonts w:ascii="Garamond" w:hAnsi="Garamond"/>
        </w:rPr>
      </w:pPr>
      <w:r w:rsidRPr="00541110">
        <w:rPr>
          <w:rFonts w:ascii="Garamond" w:hAnsi="Garamond"/>
        </w:rPr>
        <w:t>Tables 2 - 4 present the precision offered by the tota</w:t>
      </w:r>
      <w:r>
        <w:rPr>
          <w:rFonts w:ascii="Garamond" w:hAnsi="Garamond"/>
        </w:rPr>
        <w:t>l observations across the sample (</w:t>
      </w:r>
      <w:r w:rsidRPr="00541110">
        <w:rPr>
          <w:rFonts w:ascii="Garamond" w:hAnsi="Garamond"/>
        </w:rPr>
        <w:t>600)</w:t>
      </w:r>
      <w:r>
        <w:rPr>
          <w:rFonts w:ascii="Garamond" w:hAnsi="Garamond"/>
        </w:rPr>
        <w:t xml:space="preserve">, the observations for comparing within groups of vehicle </w:t>
      </w:r>
      <w:r w:rsidR="00205968">
        <w:rPr>
          <w:rFonts w:ascii="Garamond" w:hAnsi="Garamond"/>
        </w:rPr>
        <w:t xml:space="preserve">and child dummy </w:t>
      </w:r>
      <w:r>
        <w:rPr>
          <w:rFonts w:ascii="Garamond" w:hAnsi="Garamond"/>
        </w:rPr>
        <w:t>type</w:t>
      </w:r>
      <w:r w:rsidR="00205968">
        <w:rPr>
          <w:rFonts w:ascii="Garamond" w:hAnsi="Garamond"/>
        </w:rPr>
        <w:t>s (300), and the</w:t>
      </w:r>
      <w:r>
        <w:rPr>
          <w:rFonts w:ascii="Garamond" w:hAnsi="Garamond"/>
        </w:rPr>
        <w:t xml:space="preserve"> </w:t>
      </w:r>
      <w:r w:rsidR="00205968">
        <w:rPr>
          <w:rFonts w:ascii="Garamond" w:hAnsi="Garamond"/>
        </w:rPr>
        <w:t>total participant sample (150)</w:t>
      </w:r>
      <w:r w:rsidRPr="00541110">
        <w:rPr>
          <w:rFonts w:ascii="Garamond" w:hAnsi="Garamond"/>
        </w:rPr>
        <w:t>.  The precision is lowest at 50%. The relative standard error (</w:t>
      </w:r>
      <w:proofErr w:type="spellStart"/>
      <w:r w:rsidRPr="00541110">
        <w:rPr>
          <w:rFonts w:ascii="Garamond" w:hAnsi="Garamond"/>
        </w:rPr>
        <w:t>RSE</w:t>
      </w:r>
      <w:proofErr w:type="spellEnd"/>
      <w:r w:rsidRPr="00541110">
        <w:rPr>
          <w:rFonts w:ascii="Garamond" w:hAnsi="Garamond"/>
        </w:rPr>
        <w:t xml:space="preserve">) at 50% for the total sample size of 600 observations is 4.08% (Table 2), while the </w:t>
      </w:r>
      <w:proofErr w:type="spellStart"/>
      <w:r w:rsidRPr="00541110">
        <w:rPr>
          <w:rFonts w:ascii="Garamond" w:hAnsi="Garamond"/>
        </w:rPr>
        <w:t>RSE</w:t>
      </w:r>
      <w:proofErr w:type="spellEnd"/>
      <w:r w:rsidRPr="00541110">
        <w:rPr>
          <w:rFonts w:ascii="Garamond" w:hAnsi="Garamond"/>
        </w:rPr>
        <w:t xml:space="preserve"> for the group comparison is 5.77% (Table 3).  The </w:t>
      </w:r>
      <w:proofErr w:type="spellStart"/>
      <w:r w:rsidRPr="00541110">
        <w:rPr>
          <w:rFonts w:ascii="Garamond" w:hAnsi="Garamond"/>
        </w:rPr>
        <w:t>RSEs</w:t>
      </w:r>
      <w:proofErr w:type="spellEnd"/>
      <w:r w:rsidRPr="00541110">
        <w:rPr>
          <w:rFonts w:ascii="Garamond" w:hAnsi="Garamond"/>
        </w:rPr>
        <w:t xml:space="preserve"> are in the vicinity of 5%, and below 10%, which are equal to or lower than </w:t>
      </w:r>
      <w:proofErr w:type="spellStart"/>
      <w:r w:rsidRPr="00541110">
        <w:rPr>
          <w:rFonts w:ascii="Garamond" w:hAnsi="Garamond"/>
        </w:rPr>
        <w:t>RSEs</w:t>
      </w:r>
      <w:proofErr w:type="spellEnd"/>
      <w:r w:rsidRPr="00541110">
        <w:rPr>
          <w:rFonts w:ascii="Garamond" w:hAnsi="Garamond"/>
        </w:rPr>
        <w:t xml:space="preserve"> sometimes used as basic sample design criteria.  </w:t>
      </w:r>
    </w:p>
    <w:p w14:paraId="05563DAA" w14:textId="77777777" w:rsidR="00541110" w:rsidRPr="00F33771" w:rsidRDefault="00541110" w:rsidP="00541110"/>
    <w:p w14:paraId="5888660B" w14:textId="77777777" w:rsidR="00541110" w:rsidRPr="00541110" w:rsidRDefault="00541110" w:rsidP="00541110">
      <w:pPr>
        <w:pStyle w:val="TT-TableTitle"/>
        <w:jc w:val="both"/>
        <w:rPr>
          <w:rFonts w:ascii="Garamond" w:hAnsi="Garamond"/>
          <w:sz w:val="22"/>
          <w:szCs w:val="22"/>
        </w:rPr>
      </w:pPr>
      <w:proofErr w:type="gramStart"/>
      <w:r w:rsidRPr="00541110">
        <w:rPr>
          <w:rFonts w:ascii="Garamond" w:hAnsi="Garamond"/>
          <w:sz w:val="22"/>
          <w:szCs w:val="22"/>
        </w:rPr>
        <w:t>Table 2.</w:t>
      </w:r>
      <w:proofErr w:type="gramEnd"/>
      <w:r w:rsidRPr="00541110">
        <w:rPr>
          <w:rFonts w:ascii="Garamond" w:hAnsi="Garamond"/>
          <w:sz w:val="22"/>
          <w:szCs w:val="22"/>
        </w:rPr>
        <w:t xml:space="preserve">  Precision offered by 600 observations for P ranging between 30-70 percent</w:t>
      </w:r>
    </w:p>
    <w:p w14:paraId="03BF922F" w14:textId="77777777" w:rsidR="00541110" w:rsidRPr="00541110" w:rsidRDefault="00541110" w:rsidP="00541110">
      <w:pPr>
        <w:pStyle w:val="TT-TableTitle"/>
        <w:rPr>
          <w:rFonts w:ascii="Garamond" w:hAnsi="Garamond"/>
          <w:sz w:val="22"/>
          <w:szCs w:val="22"/>
        </w:rPr>
      </w:pPr>
    </w:p>
    <w:tbl>
      <w:tblPr>
        <w:tblW w:w="0" w:type="auto"/>
        <w:jc w:val="center"/>
        <w:tblCellMar>
          <w:left w:w="0" w:type="dxa"/>
          <w:right w:w="0" w:type="dxa"/>
        </w:tblCellMar>
        <w:tblLook w:val="04A0" w:firstRow="1" w:lastRow="0" w:firstColumn="1" w:lastColumn="0" w:noHBand="0" w:noVBand="1"/>
      </w:tblPr>
      <w:tblGrid>
        <w:gridCol w:w="719"/>
        <w:gridCol w:w="719"/>
        <w:gridCol w:w="395"/>
        <w:gridCol w:w="785"/>
        <w:gridCol w:w="785"/>
        <w:gridCol w:w="608"/>
        <w:gridCol w:w="719"/>
        <w:gridCol w:w="719"/>
      </w:tblGrid>
      <w:tr w:rsidR="00541110" w:rsidRPr="00F33771" w14:paraId="7D5BF9D0" w14:textId="77777777" w:rsidTr="00914DFC">
        <w:trPr>
          <w:trHeight w:val="247"/>
          <w:jc w:val="center"/>
        </w:trPr>
        <w:tc>
          <w:tcPr>
            <w:tcW w:w="0" w:type="auto"/>
            <w:tcBorders>
              <w:top w:val="single" w:sz="8" w:space="0" w:color="auto"/>
              <w:left w:val="nil"/>
              <w:bottom w:val="single" w:sz="8" w:space="0" w:color="auto"/>
              <w:right w:val="nil"/>
            </w:tcBorders>
            <w:shd w:val="clear" w:color="auto" w:fill="95B3D7" w:themeFill="accent1" w:themeFillTint="99"/>
            <w:tcMar>
              <w:top w:w="0" w:type="dxa"/>
              <w:left w:w="30" w:type="dxa"/>
              <w:bottom w:w="0" w:type="dxa"/>
              <w:right w:w="30" w:type="dxa"/>
            </w:tcMar>
            <w:hideMark/>
          </w:tcPr>
          <w:p w14:paraId="6757D4E9" w14:textId="77777777" w:rsidR="00541110" w:rsidRPr="00F33771" w:rsidRDefault="00541110" w:rsidP="00914DFC">
            <w:pPr>
              <w:pStyle w:val="TH-TableHeading"/>
              <w:rPr>
                <w:rFonts w:ascii="Calibri" w:hAnsi="Calibri"/>
                <w:sz w:val="22"/>
                <w:szCs w:val="22"/>
              </w:rPr>
            </w:pPr>
            <w:r w:rsidRPr="00F33771">
              <w:rPr>
                <w:rFonts w:ascii="Calibri" w:hAnsi="Calibri"/>
                <w:sz w:val="22"/>
                <w:szCs w:val="22"/>
              </w:rPr>
              <w:t>P</w:t>
            </w:r>
          </w:p>
        </w:tc>
        <w:tc>
          <w:tcPr>
            <w:tcW w:w="0" w:type="auto"/>
            <w:tcBorders>
              <w:top w:val="single" w:sz="8" w:space="0" w:color="auto"/>
              <w:left w:val="nil"/>
              <w:bottom w:val="single" w:sz="8" w:space="0" w:color="auto"/>
              <w:right w:val="nil"/>
            </w:tcBorders>
            <w:shd w:val="clear" w:color="auto" w:fill="95B3D7" w:themeFill="accent1" w:themeFillTint="99"/>
            <w:tcMar>
              <w:top w:w="0" w:type="dxa"/>
              <w:left w:w="30" w:type="dxa"/>
              <w:bottom w:w="0" w:type="dxa"/>
              <w:right w:w="30" w:type="dxa"/>
            </w:tcMar>
            <w:hideMark/>
          </w:tcPr>
          <w:p w14:paraId="2F8FE58F" w14:textId="77777777" w:rsidR="00541110" w:rsidRPr="00F33771" w:rsidRDefault="00541110" w:rsidP="00914DFC">
            <w:pPr>
              <w:pStyle w:val="TH-TableHeading"/>
              <w:rPr>
                <w:rFonts w:ascii="Calibri" w:hAnsi="Calibri"/>
                <w:sz w:val="22"/>
                <w:szCs w:val="22"/>
              </w:rPr>
            </w:pPr>
            <w:r w:rsidRPr="00F33771">
              <w:rPr>
                <w:rFonts w:ascii="Calibri" w:hAnsi="Calibri"/>
                <w:sz w:val="22"/>
                <w:szCs w:val="22"/>
              </w:rPr>
              <w:t>Q</w:t>
            </w:r>
          </w:p>
        </w:tc>
        <w:tc>
          <w:tcPr>
            <w:tcW w:w="0" w:type="auto"/>
            <w:tcBorders>
              <w:top w:val="single" w:sz="8" w:space="0" w:color="auto"/>
              <w:left w:val="nil"/>
              <w:bottom w:val="single" w:sz="8" w:space="0" w:color="auto"/>
              <w:right w:val="nil"/>
            </w:tcBorders>
            <w:shd w:val="clear" w:color="auto" w:fill="95B3D7" w:themeFill="accent1" w:themeFillTint="99"/>
            <w:tcMar>
              <w:top w:w="0" w:type="dxa"/>
              <w:left w:w="30" w:type="dxa"/>
              <w:bottom w:w="0" w:type="dxa"/>
              <w:right w:w="30" w:type="dxa"/>
            </w:tcMar>
            <w:hideMark/>
          </w:tcPr>
          <w:p w14:paraId="3E665C8A" w14:textId="77777777" w:rsidR="00541110" w:rsidRPr="00F33771" w:rsidRDefault="00541110" w:rsidP="00914DFC">
            <w:pPr>
              <w:pStyle w:val="TH-TableHeading"/>
              <w:rPr>
                <w:rFonts w:ascii="Calibri" w:hAnsi="Calibri"/>
                <w:sz w:val="22"/>
                <w:szCs w:val="22"/>
              </w:rPr>
            </w:pPr>
            <w:r w:rsidRPr="00F33771">
              <w:rPr>
                <w:rFonts w:ascii="Calibri" w:hAnsi="Calibri"/>
                <w:sz w:val="22"/>
                <w:szCs w:val="22"/>
              </w:rPr>
              <w:t>N</w:t>
            </w:r>
          </w:p>
        </w:tc>
        <w:tc>
          <w:tcPr>
            <w:tcW w:w="0" w:type="auto"/>
            <w:tcBorders>
              <w:top w:val="single" w:sz="8" w:space="0" w:color="auto"/>
              <w:left w:val="nil"/>
              <w:bottom w:val="single" w:sz="8" w:space="0" w:color="auto"/>
              <w:right w:val="nil"/>
            </w:tcBorders>
            <w:shd w:val="clear" w:color="auto" w:fill="95B3D7" w:themeFill="accent1" w:themeFillTint="99"/>
            <w:tcMar>
              <w:top w:w="0" w:type="dxa"/>
              <w:left w:w="30" w:type="dxa"/>
              <w:bottom w:w="0" w:type="dxa"/>
              <w:right w:w="30" w:type="dxa"/>
            </w:tcMar>
            <w:hideMark/>
          </w:tcPr>
          <w:p w14:paraId="77F8FFCF" w14:textId="77777777" w:rsidR="00541110" w:rsidRPr="00F33771" w:rsidRDefault="00541110" w:rsidP="00914DFC">
            <w:pPr>
              <w:pStyle w:val="TH-TableHeading"/>
              <w:rPr>
                <w:rFonts w:ascii="Calibri" w:hAnsi="Calibri"/>
                <w:sz w:val="22"/>
                <w:szCs w:val="22"/>
              </w:rPr>
            </w:pPr>
            <w:proofErr w:type="spellStart"/>
            <w:r w:rsidRPr="00F33771">
              <w:rPr>
                <w:rFonts w:ascii="Calibri" w:hAnsi="Calibri"/>
                <w:sz w:val="22"/>
                <w:szCs w:val="22"/>
              </w:rPr>
              <w:t>Var</w:t>
            </w:r>
            <w:proofErr w:type="spellEnd"/>
          </w:p>
        </w:tc>
        <w:tc>
          <w:tcPr>
            <w:tcW w:w="0" w:type="auto"/>
            <w:tcBorders>
              <w:top w:val="single" w:sz="8" w:space="0" w:color="auto"/>
              <w:left w:val="nil"/>
              <w:bottom w:val="single" w:sz="8" w:space="0" w:color="auto"/>
              <w:right w:val="nil"/>
            </w:tcBorders>
            <w:shd w:val="clear" w:color="auto" w:fill="95B3D7" w:themeFill="accent1" w:themeFillTint="99"/>
            <w:tcMar>
              <w:top w:w="0" w:type="dxa"/>
              <w:left w:w="30" w:type="dxa"/>
              <w:bottom w:w="0" w:type="dxa"/>
              <w:right w:w="30" w:type="dxa"/>
            </w:tcMar>
            <w:hideMark/>
          </w:tcPr>
          <w:p w14:paraId="267A94B3" w14:textId="77777777" w:rsidR="00541110" w:rsidRPr="00F33771" w:rsidRDefault="00541110" w:rsidP="00914DFC">
            <w:pPr>
              <w:pStyle w:val="TH-TableHeading"/>
              <w:rPr>
                <w:rFonts w:ascii="Calibri" w:hAnsi="Calibri"/>
                <w:sz w:val="22"/>
                <w:szCs w:val="22"/>
              </w:rPr>
            </w:pPr>
            <w:proofErr w:type="spellStart"/>
            <w:r w:rsidRPr="00F33771">
              <w:rPr>
                <w:rFonts w:ascii="Calibri" w:hAnsi="Calibri"/>
                <w:sz w:val="22"/>
                <w:szCs w:val="22"/>
              </w:rPr>
              <w:t>Ste</w:t>
            </w:r>
            <w:proofErr w:type="spellEnd"/>
          </w:p>
        </w:tc>
        <w:tc>
          <w:tcPr>
            <w:tcW w:w="0" w:type="auto"/>
            <w:tcBorders>
              <w:top w:val="single" w:sz="8" w:space="0" w:color="auto"/>
              <w:left w:val="nil"/>
              <w:bottom w:val="single" w:sz="8" w:space="0" w:color="auto"/>
              <w:right w:val="nil"/>
            </w:tcBorders>
            <w:shd w:val="clear" w:color="auto" w:fill="95B3D7" w:themeFill="accent1" w:themeFillTint="99"/>
            <w:tcMar>
              <w:top w:w="0" w:type="dxa"/>
              <w:left w:w="30" w:type="dxa"/>
              <w:bottom w:w="0" w:type="dxa"/>
              <w:right w:w="30" w:type="dxa"/>
            </w:tcMar>
            <w:hideMark/>
          </w:tcPr>
          <w:p w14:paraId="47A74B1A" w14:textId="77777777" w:rsidR="00541110" w:rsidRPr="00F33771" w:rsidRDefault="00541110" w:rsidP="00914DFC">
            <w:pPr>
              <w:pStyle w:val="TH-TableHeading"/>
              <w:rPr>
                <w:rFonts w:ascii="Calibri" w:hAnsi="Calibri"/>
                <w:sz w:val="22"/>
                <w:szCs w:val="22"/>
              </w:rPr>
            </w:pPr>
            <w:proofErr w:type="spellStart"/>
            <w:r w:rsidRPr="00F33771">
              <w:rPr>
                <w:rFonts w:ascii="Calibri" w:hAnsi="Calibri"/>
                <w:sz w:val="22"/>
                <w:szCs w:val="22"/>
              </w:rPr>
              <w:t>RSE</w:t>
            </w:r>
            <w:proofErr w:type="spellEnd"/>
          </w:p>
        </w:tc>
        <w:tc>
          <w:tcPr>
            <w:tcW w:w="0" w:type="auto"/>
            <w:tcBorders>
              <w:top w:val="single" w:sz="8" w:space="0" w:color="auto"/>
              <w:left w:val="nil"/>
              <w:bottom w:val="single" w:sz="8" w:space="0" w:color="auto"/>
              <w:right w:val="nil"/>
            </w:tcBorders>
            <w:shd w:val="clear" w:color="auto" w:fill="95B3D7" w:themeFill="accent1" w:themeFillTint="99"/>
            <w:tcMar>
              <w:top w:w="0" w:type="dxa"/>
              <w:left w:w="30" w:type="dxa"/>
              <w:bottom w:w="0" w:type="dxa"/>
              <w:right w:w="30" w:type="dxa"/>
            </w:tcMar>
            <w:hideMark/>
          </w:tcPr>
          <w:p w14:paraId="77F9077F" w14:textId="77777777" w:rsidR="00541110" w:rsidRPr="00F33771" w:rsidRDefault="00541110" w:rsidP="00914DFC">
            <w:pPr>
              <w:pStyle w:val="TH-TableHeading"/>
              <w:rPr>
                <w:rFonts w:ascii="Calibri" w:hAnsi="Calibri"/>
                <w:sz w:val="22"/>
                <w:szCs w:val="22"/>
              </w:rPr>
            </w:pPr>
            <w:proofErr w:type="spellStart"/>
            <w:r w:rsidRPr="00F33771">
              <w:rPr>
                <w:rFonts w:ascii="Calibri" w:hAnsi="Calibri"/>
                <w:sz w:val="22"/>
                <w:szCs w:val="22"/>
              </w:rPr>
              <w:t>LCI</w:t>
            </w:r>
            <w:proofErr w:type="spellEnd"/>
          </w:p>
        </w:tc>
        <w:tc>
          <w:tcPr>
            <w:tcW w:w="0" w:type="auto"/>
            <w:tcBorders>
              <w:top w:val="single" w:sz="8" w:space="0" w:color="auto"/>
              <w:left w:val="nil"/>
              <w:bottom w:val="single" w:sz="8" w:space="0" w:color="auto"/>
              <w:right w:val="nil"/>
            </w:tcBorders>
            <w:shd w:val="clear" w:color="auto" w:fill="95B3D7" w:themeFill="accent1" w:themeFillTint="99"/>
            <w:tcMar>
              <w:top w:w="0" w:type="dxa"/>
              <w:left w:w="30" w:type="dxa"/>
              <w:bottom w:w="0" w:type="dxa"/>
              <w:right w:w="30" w:type="dxa"/>
            </w:tcMar>
            <w:hideMark/>
          </w:tcPr>
          <w:p w14:paraId="27A19849" w14:textId="77777777" w:rsidR="00541110" w:rsidRPr="00F33771" w:rsidRDefault="00541110" w:rsidP="00914DFC">
            <w:pPr>
              <w:pStyle w:val="TH-TableHeading"/>
              <w:rPr>
                <w:rFonts w:ascii="Calibri" w:hAnsi="Calibri"/>
                <w:sz w:val="22"/>
                <w:szCs w:val="22"/>
              </w:rPr>
            </w:pPr>
            <w:r w:rsidRPr="00F33771">
              <w:rPr>
                <w:rFonts w:ascii="Calibri" w:hAnsi="Calibri"/>
                <w:sz w:val="22"/>
                <w:szCs w:val="22"/>
              </w:rPr>
              <w:t>UCI</w:t>
            </w:r>
          </w:p>
        </w:tc>
      </w:tr>
      <w:tr w:rsidR="00541110" w:rsidRPr="00F33771" w14:paraId="6F25E4C4" w14:textId="77777777" w:rsidTr="00914DFC">
        <w:trPr>
          <w:trHeight w:val="247"/>
          <w:jc w:val="center"/>
        </w:trPr>
        <w:tc>
          <w:tcPr>
            <w:tcW w:w="0" w:type="auto"/>
            <w:tcMar>
              <w:top w:w="0" w:type="dxa"/>
              <w:left w:w="30" w:type="dxa"/>
              <w:bottom w:w="0" w:type="dxa"/>
              <w:right w:w="30" w:type="dxa"/>
            </w:tcMar>
            <w:hideMark/>
          </w:tcPr>
          <w:p w14:paraId="4C8BA3D6"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30.00%</w:t>
            </w:r>
          </w:p>
        </w:tc>
        <w:tc>
          <w:tcPr>
            <w:tcW w:w="0" w:type="auto"/>
            <w:tcMar>
              <w:top w:w="0" w:type="dxa"/>
              <w:left w:w="30" w:type="dxa"/>
              <w:bottom w:w="0" w:type="dxa"/>
              <w:right w:w="30" w:type="dxa"/>
            </w:tcMar>
            <w:hideMark/>
          </w:tcPr>
          <w:p w14:paraId="24192B93"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70.00%</w:t>
            </w:r>
          </w:p>
        </w:tc>
        <w:tc>
          <w:tcPr>
            <w:tcW w:w="0" w:type="auto"/>
            <w:tcMar>
              <w:top w:w="0" w:type="dxa"/>
              <w:left w:w="30" w:type="dxa"/>
              <w:bottom w:w="0" w:type="dxa"/>
              <w:right w:w="30" w:type="dxa"/>
            </w:tcMar>
            <w:hideMark/>
          </w:tcPr>
          <w:p w14:paraId="74A97047"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600</w:t>
            </w:r>
          </w:p>
        </w:tc>
        <w:tc>
          <w:tcPr>
            <w:tcW w:w="0" w:type="auto"/>
            <w:tcMar>
              <w:top w:w="0" w:type="dxa"/>
              <w:left w:w="30" w:type="dxa"/>
              <w:bottom w:w="0" w:type="dxa"/>
              <w:right w:w="30" w:type="dxa"/>
            </w:tcMar>
            <w:hideMark/>
          </w:tcPr>
          <w:p w14:paraId="234557BE"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0.00035</w:t>
            </w:r>
          </w:p>
        </w:tc>
        <w:tc>
          <w:tcPr>
            <w:tcW w:w="0" w:type="auto"/>
            <w:tcMar>
              <w:top w:w="0" w:type="dxa"/>
              <w:left w:w="30" w:type="dxa"/>
              <w:bottom w:w="0" w:type="dxa"/>
              <w:right w:w="30" w:type="dxa"/>
            </w:tcMar>
            <w:hideMark/>
          </w:tcPr>
          <w:p w14:paraId="3643E8EB"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0.01871</w:t>
            </w:r>
          </w:p>
        </w:tc>
        <w:tc>
          <w:tcPr>
            <w:tcW w:w="0" w:type="auto"/>
            <w:tcMar>
              <w:top w:w="0" w:type="dxa"/>
              <w:left w:w="30" w:type="dxa"/>
              <w:bottom w:w="0" w:type="dxa"/>
              <w:right w:w="30" w:type="dxa"/>
            </w:tcMar>
            <w:hideMark/>
          </w:tcPr>
          <w:p w14:paraId="664B517E"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6.24%</w:t>
            </w:r>
          </w:p>
        </w:tc>
        <w:tc>
          <w:tcPr>
            <w:tcW w:w="0" w:type="auto"/>
            <w:tcMar>
              <w:top w:w="0" w:type="dxa"/>
              <w:left w:w="30" w:type="dxa"/>
              <w:bottom w:w="0" w:type="dxa"/>
              <w:right w:w="30" w:type="dxa"/>
            </w:tcMar>
            <w:hideMark/>
          </w:tcPr>
          <w:p w14:paraId="72822B9B"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26.33%</w:t>
            </w:r>
          </w:p>
        </w:tc>
        <w:tc>
          <w:tcPr>
            <w:tcW w:w="0" w:type="auto"/>
            <w:tcMar>
              <w:top w:w="0" w:type="dxa"/>
              <w:left w:w="30" w:type="dxa"/>
              <w:bottom w:w="0" w:type="dxa"/>
              <w:right w:w="30" w:type="dxa"/>
            </w:tcMar>
            <w:hideMark/>
          </w:tcPr>
          <w:p w14:paraId="06CFDB8A"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33.67%</w:t>
            </w:r>
          </w:p>
        </w:tc>
      </w:tr>
      <w:tr w:rsidR="00541110" w:rsidRPr="00F33771" w14:paraId="608D3DBB" w14:textId="77777777" w:rsidTr="00914DFC">
        <w:trPr>
          <w:trHeight w:val="247"/>
          <w:jc w:val="center"/>
        </w:trPr>
        <w:tc>
          <w:tcPr>
            <w:tcW w:w="0" w:type="auto"/>
            <w:tcMar>
              <w:top w:w="0" w:type="dxa"/>
              <w:left w:w="30" w:type="dxa"/>
              <w:bottom w:w="0" w:type="dxa"/>
              <w:right w:w="30" w:type="dxa"/>
            </w:tcMar>
            <w:hideMark/>
          </w:tcPr>
          <w:p w14:paraId="1BC636C8"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40.00%</w:t>
            </w:r>
          </w:p>
        </w:tc>
        <w:tc>
          <w:tcPr>
            <w:tcW w:w="0" w:type="auto"/>
            <w:tcMar>
              <w:top w:w="0" w:type="dxa"/>
              <w:left w:w="30" w:type="dxa"/>
              <w:bottom w:w="0" w:type="dxa"/>
              <w:right w:w="30" w:type="dxa"/>
            </w:tcMar>
            <w:hideMark/>
          </w:tcPr>
          <w:p w14:paraId="1E3048A3"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60.00%</w:t>
            </w:r>
          </w:p>
        </w:tc>
        <w:tc>
          <w:tcPr>
            <w:tcW w:w="0" w:type="auto"/>
            <w:tcMar>
              <w:top w:w="0" w:type="dxa"/>
              <w:left w:w="30" w:type="dxa"/>
              <w:bottom w:w="0" w:type="dxa"/>
              <w:right w:w="30" w:type="dxa"/>
            </w:tcMar>
            <w:hideMark/>
          </w:tcPr>
          <w:p w14:paraId="3D5F4E9C"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600</w:t>
            </w:r>
          </w:p>
        </w:tc>
        <w:tc>
          <w:tcPr>
            <w:tcW w:w="0" w:type="auto"/>
            <w:tcMar>
              <w:top w:w="0" w:type="dxa"/>
              <w:left w:w="30" w:type="dxa"/>
              <w:bottom w:w="0" w:type="dxa"/>
              <w:right w:w="30" w:type="dxa"/>
            </w:tcMar>
            <w:hideMark/>
          </w:tcPr>
          <w:p w14:paraId="0C5795C2"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0.00040</w:t>
            </w:r>
          </w:p>
        </w:tc>
        <w:tc>
          <w:tcPr>
            <w:tcW w:w="0" w:type="auto"/>
            <w:tcMar>
              <w:top w:w="0" w:type="dxa"/>
              <w:left w:w="30" w:type="dxa"/>
              <w:bottom w:w="0" w:type="dxa"/>
              <w:right w:w="30" w:type="dxa"/>
            </w:tcMar>
            <w:hideMark/>
          </w:tcPr>
          <w:p w14:paraId="1718FA36"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0.02000</w:t>
            </w:r>
          </w:p>
        </w:tc>
        <w:tc>
          <w:tcPr>
            <w:tcW w:w="0" w:type="auto"/>
            <w:tcMar>
              <w:top w:w="0" w:type="dxa"/>
              <w:left w:w="30" w:type="dxa"/>
              <w:bottom w:w="0" w:type="dxa"/>
              <w:right w:w="30" w:type="dxa"/>
            </w:tcMar>
            <w:hideMark/>
          </w:tcPr>
          <w:p w14:paraId="3443AF14"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5.00%</w:t>
            </w:r>
          </w:p>
        </w:tc>
        <w:tc>
          <w:tcPr>
            <w:tcW w:w="0" w:type="auto"/>
            <w:tcMar>
              <w:top w:w="0" w:type="dxa"/>
              <w:left w:w="30" w:type="dxa"/>
              <w:bottom w:w="0" w:type="dxa"/>
              <w:right w:w="30" w:type="dxa"/>
            </w:tcMar>
            <w:hideMark/>
          </w:tcPr>
          <w:p w14:paraId="23A0545B"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36.08%</w:t>
            </w:r>
          </w:p>
        </w:tc>
        <w:tc>
          <w:tcPr>
            <w:tcW w:w="0" w:type="auto"/>
            <w:tcMar>
              <w:top w:w="0" w:type="dxa"/>
              <w:left w:w="30" w:type="dxa"/>
              <w:bottom w:w="0" w:type="dxa"/>
              <w:right w:w="30" w:type="dxa"/>
            </w:tcMar>
            <w:hideMark/>
          </w:tcPr>
          <w:p w14:paraId="58D0E27A"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43.92%</w:t>
            </w:r>
          </w:p>
        </w:tc>
      </w:tr>
      <w:tr w:rsidR="00541110" w:rsidRPr="00F33771" w14:paraId="7557D2AD" w14:textId="77777777" w:rsidTr="00914DFC">
        <w:trPr>
          <w:trHeight w:val="247"/>
          <w:jc w:val="center"/>
        </w:trPr>
        <w:tc>
          <w:tcPr>
            <w:tcW w:w="0" w:type="auto"/>
            <w:tcMar>
              <w:top w:w="0" w:type="dxa"/>
              <w:left w:w="30" w:type="dxa"/>
              <w:bottom w:w="0" w:type="dxa"/>
              <w:right w:w="30" w:type="dxa"/>
            </w:tcMar>
            <w:hideMark/>
          </w:tcPr>
          <w:p w14:paraId="25861FDA"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50.00%</w:t>
            </w:r>
          </w:p>
        </w:tc>
        <w:tc>
          <w:tcPr>
            <w:tcW w:w="0" w:type="auto"/>
            <w:tcMar>
              <w:top w:w="0" w:type="dxa"/>
              <w:left w:w="30" w:type="dxa"/>
              <w:bottom w:w="0" w:type="dxa"/>
              <w:right w:w="30" w:type="dxa"/>
            </w:tcMar>
            <w:hideMark/>
          </w:tcPr>
          <w:p w14:paraId="2580BDC5"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50.00%</w:t>
            </w:r>
          </w:p>
        </w:tc>
        <w:tc>
          <w:tcPr>
            <w:tcW w:w="0" w:type="auto"/>
            <w:tcMar>
              <w:top w:w="0" w:type="dxa"/>
              <w:left w:w="30" w:type="dxa"/>
              <w:bottom w:w="0" w:type="dxa"/>
              <w:right w:w="30" w:type="dxa"/>
            </w:tcMar>
            <w:hideMark/>
          </w:tcPr>
          <w:p w14:paraId="56FD04A8"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600</w:t>
            </w:r>
          </w:p>
        </w:tc>
        <w:tc>
          <w:tcPr>
            <w:tcW w:w="0" w:type="auto"/>
            <w:tcMar>
              <w:top w:w="0" w:type="dxa"/>
              <w:left w:w="30" w:type="dxa"/>
              <w:bottom w:w="0" w:type="dxa"/>
              <w:right w:w="30" w:type="dxa"/>
            </w:tcMar>
            <w:hideMark/>
          </w:tcPr>
          <w:p w14:paraId="43A895EB"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0.00042</w:t>
            </w:r>
          </w:p>
        </w:tc>
        <w:tc>
          <w:tcPr>
            <w:tcW w:w="0" w:type="auto"/>
            <w:tcMar>
              <w:top w:w="0" w:type="dxa"/>
              <w:left w:w="30" w:type="dxa"/>
              <w:bottom w:w="0" w:type="dxa"/>
              <w:right w:w="30" w:type="dxa"/>
            </w:tcMar>
            <w:hideMark/>
          </w:tcPr>
          <w:p w14:paraId="358C3FFF"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0.02041</w:t>
            </w:r>
          </w:p>
        </w:tc>
        <w:tc>
          <w:tcPr>
            <w:tcW w:w="0" w:type="auto"/>
            <w:tcMar>
              <w:top w:w="0" w:type="dxa"/>
              <w:left w:w="30" w:type="dxa"/>
              <w:bottom w:w="0" w:type="dxa"/>
              <w:right w:w="30" w:type="dxa"/>
            </w:tcMar>
            <w:hideMark/>
          </w:tcPr>
          <w:p w14:paraId="607FFB7E"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4.08%</w:t>
            </w:r>
          </w:p>
        </w:tc>
        <w:tc>
          <w:tcPr>
            <w:tcW w:w="0" w:type="auto"/>
            <w:tcMar>
              <w:top w:w="0" w:type="dxa"/>
              <w:left w:w="30" w:type="dxa"/>
              <w:bottom w:w="0" w:type="dxa"/>
              <w:right w:w="30" w:type="dxa"/>
            </w:tcMar>
            <w:hideMark/>
          </w:tcPr>
          <w:p w14:paraId="28DFF328"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46.00%</w:t>
            </w:r>
          </w:p>
        </w:tc>
        <w:tc>
          <w:tcPr>
            <w:tcW w:w="0" w:type="auto"/>
            <w:tcMar>
              <w:top w:w="0" w:type="dxa"/>
              <w:left w:w="30" w:type="dxa"/>
              <w:bottom w:w="0" w:type="dxa"/>
              <w:right w:w="30" w:type="dxa"/>
            </w:tcMar>
            <w:hideMark/>
          </w:tcPr>
          <w:p w14:paraId="32800BF7"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54.00%</w:t>
            </w:r>
          </w:p>
        </w:tc>
      </w:tr>
      <w:tr w:rsidR="00541110" w:rsidRPr="00F33771" w14:paraId="116C4937" w14:textId="77777777" w:rsidTr="00914DFC">
        <w:trPr>
          <w:trHeight w:val="247"/>
          <w:jc w:val="center"/>
        </w:trPr>
        <w:tc>
          <w:tcPr>
            <w:tcW w:w="0" w:type="auto"/>
            <w:tcMar>
              <w:top w:w="0" w:type="dxa"/>
              <w:left w:w="30" w:type="dxa"/>
              <w:bottom w:w="0" w:type="dxa"/>
              <w:right w:w="30" w:type="dxa"/>
            </w:tcMar>
            <w:hideMark/>
          </w:tcPr>
          <w:p w14:paraId="453A2FC8"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60.00%</w:t>
            </w:r>
          </w:p>
        </w:tc>
        <w:tc>
          <w:tcPr>
            <w:tcW w:w="0" w:type="auto"/>
            <w:tcMar>
              <w:top w:w="0" w:type="dxa"/>
              <w:left w:w="30" w:type="dxa"/>
              <w:bottom w:w="0" w:type="dxa"/>
              <w:right w:w="30" w:type="dxa"/>
            </w:tcMar>
            <w:hideMark/>
          </w:tcPr>
          <w:p w14:paraId="6447EBF0"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40.00%</w:t>
            </w:r>
          </w:p>
        </w:tc>
        <w:tc>
          <w:tcPr>
            <w:tcW w:w="0" w:type="auto"/>
            <w:tcMar>
              <w:top w:w="0" w:type="dxa"/>
              <w:left w:w="30" w:type="dxa"/>
              <w:bottom w:w="0" w:type="dxa"/>
              <w:right w:w="30" w:type="dxa"/>
            </w:tcMar>
            <w:hideMark/>
          </w:tcPr>
          <w:p w14:paraId="36333FB0"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600</w:t>
            </w:r>
          </w:p>
        </w:tc>
        <w:tc>
          <w:tcPr>
            <w:tcW w:w="0" w:type="auto"/>
            <w:tcMar>
              <w:top w:w="0" w:type="dxa"/>
              <w:left w:w="30" w:type="dxa"/>
              <w:bottom w:w="0" w:type="dxa"/>
              <w:right w:w="30" w:type="dxa"/>
            </w:tcMar>
            <w:hideMark/>
          </w:tcPr>
          <w:p w14:paraId="671F132F"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0.00040</w:t>
            </w:r>
          </w:p>
        </w:tc>
        <w:tc>
          <w:tcPr>
            <w:tcW w:w="0" w:type="auto"/>
            <w:tcMar>
              <w:top w:w="0" w:type="dxa"/>
              <w:left w:w="30" w:type="dxa"/>
              <w:bottom w:w="0" w:type="dxa"/>
              <w:right w:w="30" w:type="dxa"/>
            </w:tcMar>
            <w:hideMark/>
          </w:tcPr>
          <w:p w14:paraId="2E2FE085"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0.02000</w:t>
            </w:r>
          </w:p>
        </w:tc>
        <w:tc>
          <w:tcPr>
            <w:tcW w:w="0" w:type="auto"/>
            <w:tcMar>
              <w:top w:w="0" w:type="dxa"/>
              <w:left w:w="30" w:type="dxa"/>
              <w:bottom w:w="0" w:type="dxa"/>
              <w:right w:w="30" w:type="dxa"/>
            </w:tcMar>
            <w:hideMark/>
          </w:tcPr>
          <w:p w14:paraId="7DC51E1D"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3.33%</w:t>
            </w:r>
          </w:p>
        </w:tc>
        <w:tc>
          <w:tcPr>
            <w:tcW w:w="0" w:type="auto"/>
            <w:tcMar>
              <w:top w:w="0" w:type="dxa"/>
              <w:left w:w="30" w:type="dxa"/>
              <w:bottom w:w="0" w:type="dxa"/>
              <w:right w:w="30" w:type="dxa"/>
            </w:tcMar>
            <w:hideMark/>
          </w:tcPr>
          <w:p w14:paraId="0E212989"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56.08%</w:t>
            </w:r>
          </w:p>
        </w:tc>
        <w:tc>
          <w:tcPr>
            <w:tcW w:w="0" w:type="auto"/>
            <w:tcMar>
              <w:top w:w="0" w:type="dxa"/>
              <w:left w:w="30" w:type="dxa"/>
              <w:bottom w:w="0" w:type="dxa"/>
              <w:right w:w="30" w:type="dxa"/>
            </w:tcMar>
            <w:hideMark/>
          </w:tcPr>
          <w:p w14:paraId="29432EEF"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63.92%</w:t>
            </w:r>
          </w:p>
        </w:tc>
      </w:tr>
      <w:tr w:rsidR="00541110" w:rsidRPr="00F33771" w14:paraId="0BC28A88" w14:textId="77777777" w:rsidTr="00914DFC">
        <w:trPr>
          <w:trHeight w:val="247"/>
          <w:jc w:val="center"/>
        </w:trPr>
        <w:tc>
          <w:tcPr>
            <w:tcW w:w="0" w:type="auto"/>
            <w:tcBorders>
              <w:top w:val="nil"/>
              <w:left w:val="nil"/>
              <w:bottom w:val="single" w:sz="8" w:space="0" w:color="auto"/>
              <w:right w:val="nil"/>
            </w:tcBorders>
            <w:tcMar>
              <w:top w:w="0" w:type="dxa"/>
              <w:left w:w="30" w:type="dxa"/>
              <w:bottom w:w="0" w:type="dxa"/>
              <w:right w:w="30" w:type="dxa"/>
            </w:tcMar>
            <w:hideMark/>
          </w:tcPr>
          <w:p w14:paraId="024173EA"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70.00%</w:t>
            </w:r>
          </w:p>
        </w:tc>
        <w:tc>
          <w:tcPr>
            <w:tcW w:w="0" w:type="auto"/>
            <w:tcBorders>
              <w:top w:val="nil"/>
              <w:left w:val="nil"/>
              <w:bottom w:val="single" w:sz="8" w:space="0" w:color="auto"/>
              <w:right w:val="nil"/>
            </w:tcBorders>
            <w:tcMar>
              <w:top w:w="0" w:type="dxa"/>
              <w:left w:w="30" w:type="dxa"/>
              <w:bottom w:w="0" w:type="dxa"/>
              <w:right w:w="30" w:type="dxa"/>
            </w:tcMar>
            <w:hideMark/>
          </w:tcPr>
          <w:p w14:paraId="24087C93"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30.00%</w:t>
            </w:r>
          </w:p>
        </w:tc>
        <w:tc>
          <w:tcPr>
            <w:tcW w:w="0" w:type="auto"/>
            <w:tcBorders>
              <w:top w:val="nil"/>
              <w:left w:val="nil"/>
              <w:bottom w:val="single" w:sz="8" w:space="0" w:color="auto"/>
              <w:right w:val="nil"/>
            </w:tcBorders>
            <w:tcMar>
              <w:top w:w="0" w:type="dxa"/>
              <w:left w:w="30" w:type="dxa"/>
              <w:bottom w:w="0" w:type="dxa"/>
              <w:right w:w="30" w:type="dxa"/>
            </w:tcMar>
            <w:hideMark/>
          </w:tcPr>
          <w:p w14:paraId="749FDF74"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600</w:t>
            </w:r>
          </w:p>
        </w:tc>
        <w:tc>
          <w:tcPr>
            <w:tcW w:w="0" w:type="auto"/>
            <w:tcBorders>
              <w:top w:val="nil"/>
              <w:left w:val="nil"/>
              <w:bottom w:val="single" w:sz="8" w:space="0" w:color="auto"/>
              <w:right w:val="nil"/>
            </w:tcBorders>
            <w:tcMar>
              <w:top w:w="0" w:type="dxa"/>
              <w:left w:w="30" w:type="dxa"/>
              <w:bottom w:w="0" w:type="dxa"/>
              <w:right w:w="30" w:type="dxa"/>
            </w:tcMar>
            <w:hideMark/>
          </w:tcPr>
          <w:p w14:paraId="344C63FF"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0.00035</w:t>
            </w:r>
          </w:p>
        </w:tc>
        <w:tc>
          <w:tcPr>
            <w:tcW w:w="0" w:type="auto"/>
            <w:tcBorders>
              <w:top w:val="nil"/>
              <w:left w:val="nil"/>
              <w:bottom w:val="single" w:sz="8" w:space="0" w:color="auto"/>
              <w:right w:val="nil"/>
            </w:tcBorders>
            <w:tcMar>
              <w:top w:w="0" w:type="dxa"/>
              <w:left w:w="30" w:type="dxa"/>
              <w:bottom w:w="0" w:type="dxa"/>
              <w:right w:w="30" w:type="dxa"/>
            </w:tcMar>
            <w:hideMark/>
          </w:tcPr>
          <w:p w14:paraId="71A4F50A"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0.01871</w:t>
            </w:r>
          </w:p>
        </w:tc>
        <w:tc>
          <w:tcPr>
            <w:tcW w:w="0" w:type="auto"/>
            <w:tcBorders>
              <w:top w:val="nil"/>
              <w:left w:val="nil"/>
              <w:bottom w:val="single" w:sz="8" w:space="0" w:color="auto"/>
              <w:right w:val="nil"/>
            </w:tcBorders>
            <w:tcMar>
              <w:top w:w="0" w:type="dxa"/>
              <w:left w:w="30" w:type="dxa"/>
              <w:bottom w:w="0" w:type="dxa"/>
              <w:right w:w="30" w:type="dxa"/>
            </w:tcMar>
            <w:hideMark/>
          </w:tcPr>
          <w:p w14:paraId="605984CE"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2.67%</w:t>
            </w:r>
          </w:p>
        </w:tc>
        <w:tc>
          <w:tcPr>
            <w:tcW w:w="0" w:type="auto"/>
            <w:tcBorders>
              <w:top w:val="nil"/>
              <w:left w:val="nil"/>
              <w:bottom w:val="single" w:sz="8" w:space="0" w:color="auto"/>
              <w:right w:val="nil"/>
            </w:tcBorders>
            <w:tcMar>
              <w:top w:w="0" w:type="dxa"/>
              <w:left w:w="30" w:type="dxa"/>
              <w:bottom w:w="0" w:type="dxa"/>
              <w:right w:w="30" w:type="dxa"/>
            </w:tcMar>
            <w:hideMark/>
          </w:tcPr>
          <w:p w14:paraId="6548BC8F"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66.33%</w:t>
            </w:r>
          </w:p>
        </w:tc>
        <w:tc>
          <w:tcPr>
            <w:tcW w:w="0" w:type="auto"/>
            <w:tcBorders>
              <w:top w:val="nil"/>
              <w:left w:val="nil"/>
              <w:bottom w:val="single" w:sz="8" w:space="0" w:color="auto"/>
              <w:right w:val="nil"/>
            </w:tcBorders>
            <w:tcMar>
              <w:top w:w="0" w:type="dxa"/>
              <w:left w:w="30" w:type="dxa"/>
              <w:bottom w:w="0" w:type="dxa"/>
              <w:right w:w="30" w:type="dxa"/>
            </w:tcMar>
            <w:hideMark/>
          </w:tcPr>
          <w:p w14:paraId="32769F1B"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73.67%</w:t>
            </w:r>
          </w:p>
        </w:tc>
      </w:tr>
    </w:tbl>
    <w:p w14:paraId="41492DF7" w14:textId="77777777" w:rsidR="00541110" w:rsidRPr="00F33771" w:rsidRDefault="00541110" w:rsidP="00541110">
      <w:pPr>
        <w:ind w:left="4752"/>
      </w:pPr>
    </w:p>
    <w:p w14:paraId="2F753D2A" w14:textId="77777777" w:rsidR="00541110" w:rsidRPr="00541110" w:rsidRDefault="00541110" w:rsidP="00541110">
      <w:pPr>
        <w:pStyle w:val="TT-TableTitle"/>
        <w:rPr>
          <w:rFonts w:ascii="Garamond" w:hAnsi="Garamond"/>
          <w:sz w:val="22"/>
          <w:szCs w:val="22"/>
        </w:rPr>
      </w:pPr>
      <w:proofErr w:type="gramStart"/>
      <w:r w:rsidRPr="00541110">
        <w:rPr>
          <w:rFonts w:ascii="Garamond" w:hAnsi="Garamond"/>
          <w:sz w:val="22"/>
          <w:szCs w:val="22"/>
        </w:rPr>
        <w:t>Table 3.</w:t>
      </w:r>
      <w:proofErr w:type="gramEnd"/>
      <w:r w:rsidRPr="00541110">
        <w:rPr>
          <w:rFonts w:ascii="Garamond" w:hAnsi="Garamond"/>
          <w:sz w:val="22"/>
          <w:szCs w:val="22"/>
        </w:rPr>
        <w:t xml:space="preserve">  Precision offered by 300 observations for P ranging between 30-70 percent</w:t>
      </w:r>
    </w:p>
    <w:p w14:paraId="3FB84555" w14:textId="77777777" w:rsidR="00541110" w:rsidRPr="00F33771" w:rsidRDefault="00541110" w:rsidP="00541110">
      <w:pPr>
        <w:pStyle w:val="TT-TableTitle"/>
        <w:ind w:left="6192"/>
        <w:rPr>
          <w:rFonts w:ascii="Calibri" w:hAnsi="Calibri"/>
          <w:sz w:val="22"/>
          <w:szCs w:val="22"/>
        </w:rPr>
      </w:pPr>
    </w:p>
    <w:tbl>
      <w:tblPr>
        <w:tblW w:w="0" w:type="auto"/>
        <w:jc w:val="center"/>
        <w:tblCellMar>
          <w:left w:w="0" w:type="dxa"/>
          <w:right w:w="0" w:type="dxa"/>
        </w:tblCellMar>
        <w:tblLook w:val="04A0" w:firstRow="1" w:lastRow="0" w:firstColumn="1" w:lastColumn="0" w:noHBand="0" w:noVBand="1"/>
      </w:tblPr>
      <w:tblGrid>
        <w:gridCol w:w="719"/>
        <w:gridCol w:w="719"/>
        <w:gridCol w:w="395"/>
        <w:gridCol w:w="785"/>
        <w:gridCol w:w="785"/>
        <w:gridCol w:w="608"/>
        <w:gridCol w:w="719"/>
        <w:gridCol w:w="719"/>
      </w:tblGrid>
      <w:tr w:rsidR="00541110" w:rsidRPr="00F33771" w14:paraId="58262B76" w14:textId="77777777" w:rsidTr="00914DFC">
        <w:trPr>
          <w:trHeight w:val="247"/>
          <w:jc w:val="center"/>
        </w:trPr>
        <w:tc>
          <w:tcPr>
            <w:tcW w:w="0" w:type="auto"/>
            <w:tcBorders>
              <w:top w:val="single" w:sz="8" w:space="0" w:color="auto"/>
              <w:left w:val="nil"/>
              <w:bottom w:val="single" w:sz="8" w:space="0" w:color="auto"/>
              <w:right w:val="nil"/>
            </w:tcBorders>
            <w:shd w:val="clear" w:color="auto" w:fill="95B3D7" w:themeFill="accent1" w:themeFillTint="99"/>
            <w:tcMar>
              <w:top w:w="0" w:type="dxa"/>
              <w:left w:w="30" w:type="dxa"/>
              <w:bottom w:w="0" w:type="dxa"/>
              <w:right w:w="30" w:type="dxa"/>
            </w:tcMar>
            <w:hideMark/>
          </w:tcPr>
          <w:p w14:paraId="1B4895E3" w14:textId="77777777" w:rsidR="00541110" w:rsidRPr="00F33771" w:rsidRDefault="00541110" w:rsidP="00914DFC">
            <w:pPr>
              <w:pStyle w:val="TH-TableHeading"/>
              <w:rPr>
                <w:rFonts w:ascii="Calibri" w:hAnsi="Calibri"/>
                <w:sz w:val="22"/>
                <w:szCs w:val="22"/>
              </w:rPr>
            </w:pPr>
            <w:r w:rsidRPr="00F33771">
              <w:rPr>
                <w:rFonts w:ascii="Calibri" w:hAnsi="Calibri"/>
                <w:sz w:val="22"/>
                <w:szCs w:val="22"/>
              </w:rPr>
              <w:t>P</w:t>
            </w:r>
          </w:p>
        </w:tc>
        <w:tc>
          <w:tcPr>
            <w:tcW w:w="0" w:type="auto"/>
            <w:tcBorders>
              <w:top w:val="single" w:sz="8" w:space="0" w:color="auto"/>
              <w:left w:val="nil"/>
              <w:bottom w:val="single" w:sz="8" w:space="0" w:color="auto"/>
              <w:right w:val="nil"/>
            </w:tcBorders>
            <w:shd w:val="clear" w:color="auto" w:fill="95B3D7" w:themeFill="accent1" w:themeFillTint="99"/>
            <w:tcMar>
              <w:top w:w="0" w:type="dxa"/>
              <w:left w:w="30" w:type="dxa"/>
              <w:bottom w:w="0" w:type="dxa"/>
              <w:right w:w="30" w:type="dxa"/>
            </w:tcMar>
            <w:hideMark/>
          </w:tcPr>
          <w:p w14:paraId="4AAAEE4B" w14:textId="77777777" w:rsidR="00541110" w:rsidRPr="00F33771" w:rsidRDefault="00541110" w:rsidP="00914DFC">
            <w:pPr>
              <w:pStyle w:val="TH-TableHeading"/>
              <w:rPr>
                <w:rFonts w:ascii="Calibri" w:hAnsi="Calibri"/>
                <w:sz w:val="22"/>
                <w:szCs w:val="22"/>
              </w:rPr>
            </w:pPr>
            <w:r w:rsidRPr="00F33771">
              <w:rPr>
                <w:rFonts w:ascii="Calibri" w:hAnsi="Calibri"/>
                <w:sz w:val="22"/>
                <w:szCs w:val="22"/>
              </w:rPr>
              <w:t>Q</w:t>
            </w:r>
          </w:p>
        </w:tc>
        <w:tc>
          <w:tcPr>
            <w:tcW w:w="0" w:type="auto"/>
            <w:tcBorders>
              <w:top w:val="single" w:sz="8" w:space="0" w:color="auto"/>
              <w:left w:val="nil"/>
              <w:bottom w:val="single" w:sz="8" w:space="0" w:color="auto"/>
              <w:right w:val="nil"/>
            </w:tcBorders>
            <w:shd w:val="clear" w:color="auto" w:fill="95B3D7" w:themeFill="accent1" w:themeFillTint="99"/>
            <w:tcMar>
              <w:top w:w="0" w:type="dxa"/>
              <w:left w:w="30" w:type="dxa"/>
              <w:bottom w:w="0" w:type="dxa"/>
              <w:right w:w="30" w:type="dxa"/>
            </w:tcMar>
            <w:hideMark/>
          </w:tcPr>
          <w:p w14:paraId="1A84A25E" w14:textId="77777777" w:rsidR="00541110" w:rsidRPr="00F33771" w:rsidRDefault="00541110" w:rsidP="00914DFC">
            <w:pPr>
              <w:pStyle w:val="TH-TableHeading"/>
              <w:rPr>
                <w:rFonts w:ascii="Calibri" w:hAnsi="Calibri"/>
                <w:sz w:val="22"/>
                <w:szCs w:val="22"/>
              </w:rPr>
            </w:pPr>
            <w:r w:rsidRPr="00F33771">
              <w:rPr>
                <w:rFonts w:ascii="Calibri" w:hAnsi="Calibri"/>
                <w:sz w:val="22"/>
                <w:szCs w:val="22"/>
              </w:rPr>
              <w:t>N</w:t>
            </w:r>
          </w:p>
        </w:tc>
        <w:tc>
          <w:tcPr>
            <w:tcW w:w="0" w:type="auto"/>
            <w:tcBorders>
              <w:top w:val="single" w:sz="8" w:space="0" w:color="auto"/>
              <w:left w:val="nil"/>
              <w:bottom w:val="single" w:sz="8" w:space="0" w:color="auto"/>
              <w:right w:val="nil"/>
            </w:tcBorders>
            <w:shd w:val="clear" w:color="auto" w:fill="95B3D7" w:themeFill="accent1" w:themeFillTint="99"/>
            <w:tcMar>
              <w:top w:w="0" w:type="dxa"/>
              <w:left w:w="30" w:type="dxa"/>
              <w:bottom w:w="0" w:type="dxa"/>
              <w:right w:w="30" w:type="dxa"/>
            </w:tcMar>
            <w:hideMark/>
          </w:tcPr>
          <w:p w14:paraId="6D55B1EF" w14:textId="77777777" w:rsidR="00541110" w:rsidRPr="00F33771" w:rsidRDefault="00541110" w:rsidP="00914DFC">
            <w:pPr>
              <w:pStyle w:val="TH-TableHeading"/>
              <w:rPr>
                <w:rFonts w:ascii="Calibri" w:hAnsi="Calibri"/>
                <w:sz w:val="22"/>
                <w:szCs w:val="22"/>
              </w:rPr>
            </w:pPr>
            <w:proofErr w:type="spellStart"/>
            <w:r w:rsidRPr="00F33771">
              <w:rPr>
                <w:rFonts w:ascii="Calibri" w:hAnsi="Calibri"/>
                <w:sz w:val="22"/>
                <w:szCs w:val="22"/>
              </w:rPr>
              <w:t>Var</w:t>
            </w:r>
            <w:proofErr w:type="spellEnd"/>
          </w:p>
        </w:tc>
        <w:tc>
          <w:tcPr>
            <w:tcW w:w="0" w:type="auto"/>
            <w:tcBorders>
              <w:top w:val="single" w:sz="8" w:space="0" w:color="auto"/>
              <w:left w:val="nil"/>
              <w:bottom w:val="single" w:sz="8" w:space="0" w:color="auto"/>
              <w:right w:val="nil"/>
            </w:tcBorders>
            <w:shd w:val="clear" w:color="auto" w:fill="95B3D7" w:themeFill="accent1" w:themeFillTint="99"/>
            <w:tcMar>
              <w:top w:w="0" w:type="dxa"/>
              <w:left w:w="30" w:type="dxa"/>
              <w:bottom w:w="0" w:type="dxa"/>
              <w:right w:w="30" w:type="dxa"/>
            </w:tcMar>
            <w:hideMark/>
          </w:tcPr>
          <w:p w14:paraId="0B980A19" w14:textId="77777777" w:rsidR="00541110" w:rsidRPr="00F33771" w:rsidRDefault="00541110" w:rsidP="00914DFC">
            <w:pPr>
              <w:pStyle w:val="TH-TableHeading"/>
              <w:rPr>
                <w:rFonts w:ascii="Calibri" w:hAnsi="Calibri"/>
                <w:sz w:val="22"/>
                <w:szCs w:val="22"/>
              </w:rPr>
            </w:pPr>
            <w:proofErr w:type="spellStart"/>
            <w:r w:rsidRPr="00F33771">
              <w:rPr>
                <w:rFonts w:ascii="Calibri" w:hAnsi="Calibri"/>
                <w:sz w:val="22"/>
                <w:szCs w:val="22"/>
              </w:rPr>
              <w:t>Ste</w:t>
            </w:r>
            <w:proofErr w:type="spellEnd"/>
          </w:p>
        </w:tc>
        <w:tc>
          <w:tcPr>
            <w:tcW w:w="0" w:type="auto"/>
            <w:tcBorders>
              <w:top w:val="single" w:sz="8" w:space="0" w:color="auto"/>
              <w:left w:val="nil"/>
              <w:bottom w:val="single" w:sz="8" w:space="0" w:color="auto"/>
              <w:right w:val="nil"/>
            </w:tcBorders>
            <w:shd w:val="clear" w:color="auto" w:fill="95B3D7" w:themeFill="accent1" w:themeFillTint="99"/>
            <w:tcMar>
              <w:top w:w="0" w:type="dxa"/>
              <w:left w:w="30" w:type="dxa"/>
              <w:bottom w:w="0" w:type="dxa"/>
              <w:right w:w="30" w:type="dxa"/>
            </w:tcMar>
            <w:hideMark/>
          </w:tcPr>
          <w:p w14:paraId="62C826B0" w14:textId="77777777" w:rsidR="00541110" w:rsidRPr="00F33771" w:rsidRDefault="00541110" w:rsidP="00914DFC">
            <w:pPr>
              <w:pStyle w:val="TH-TableHeading"/>
              <w:rPr>
                <w:rFonts w:ascii="Calibri" w:hAnsi="Calibri"/>
                <w:sz w:val="22"/>
                <w:szCs w:val="22"/>
              </w:rPr>
            </w:pPr>
            <w:proofErr w:type="spellStart"/>
            <w:r w:rsidRPr="00F33771">
              <w:rPr>
                <w:rFonts w:ascii="Calibri" w:hAnsi="Calibri"/>
                <w:sz w:val="22"/>
                <w:szCs w:val="22"/>
              </w:rPr>
              <w:t>RSE</w:t>
            </w:r>
            <w:proofErr w:type="spellEnd"/>
          </w:p>
        </w:tc>
        <w:tc>
          <w:tcPr>
            <w:tcW w:w="0" w:type="auto"/>
            <w:tcBorders>
              <w:top w:val="single" w:sz="8" w:space="0" w:color="auto"/>
              <w:left w:val="nil"/>
              <w:bottom w:val="single" w:sz="8" w:space="0" w:color="auto"/>
              <w:right w:val="nil"/>
            </w:tcBorders>
            <w:shd w:val="clear" w:color="auto" w:fill="95B3D7" w:themeFill="accent1" w:themeFillTint="99"/>
            <w:tcMar>
              <w:top w:w="0" w:type="dxa"/>
              <w:left w:w="30" w:type="dxa"/>
              <w:bottom w:w="0" w:type="dxa"/>
              <w:right w:w="30" w:type="dxa"/>
            </w:tcMar>
            <w:hideMark/>
          </w:tcPr>
          <w:p w14:paraId="33812453" w14:textId="77777777" w:rsidR="00541110" w:rsidRPr="00F33771" w:rsidRDefault="00541110" w:rsidP="00914DFC">
            <w:pPr>
              <w:pStyle w:val="TH-TableHeading"/>
              <w:rPr>
                <w:rFonts w:ascii="Calibri" w:hAnsi="Calibri"/>
                <w:sz w:val="22"/>
                <w:szCs w:val="22"/>
              </w:rPr>
            </w:pPr>
            <w:proofErr w:type="spellStart"/>
            <w:r w:rsidRPr="00F33771">
              <w:rPr>
                <w:rFonts w:ascii="Calibri" w:hAnsi="Calibri"/>
                <w:sz w:val="22"/>
                <w:szCs w:val="22"/>
              </w:rPr>
              <w:t>LCI</w:t>
            </w:r>
            <w:proofErr w:type="spellEnd"/>
          </w:p>
        </w:tc>
        <w:tc>
          <w:tcPr>
            <w:tcW w:w="0" w:type="auto"/>
            <w:tcBorders>
              <w:top w:val="single" w:sz="8" w:space="0" w:color="auto"/>
              <w:left w:val="nil"/>
              <w:bottom w:val="single" w:sz="8" w:space="0" w:color="auto"/>
              <w:right w:val="nil"/>
            </w:tcBorders>
            <w:shd w:val="clear" w:color="auto" w:fill="95B3D7" w:themeFill="accent1" w:themeFillTint="99"/>
            <w:tcMar>
              <w:top w:w="0" w:type="dxa"/>
              <w:left w:w="30" w:type="dxa"/>
              <w:bottom w:w="0" w:type="dxa"/>
              <w:right w:w="30" w:type="dxa"/>
            </w:tcMar>
            <w:hideMark/>
          </w:tcPr>
          <w:p w14:paraId="7C5B5DB0" w14:textId="77777777" w:rsidR="00541110" w:rsidRPr="00F33771" w:rsidRDefault="00541110" w:rsidP="00914DFC">
            <w:pPr>
              <w:pStyle w:val="TH-TableHeading"/>
              <w:rPr>
                <w:rFonts w:ascii="Calibri" w:hAnsi="Calibri"/>
                <w:sz w:val="22"/>
                <w:szCs w:val="22"/>
              </w:rPr>
            </w:pPr>
            <w:r w:rsidRPr="00F33771">
              <w:rPr>
                <w:rFonts w:ascii="Calibri" w:hAnsi="Calibri"/>
                <w:sz w:val="22"/>
                <w:szCs w:val="22"/>
              </w:rPr>
              <w:t>UCI</w:t>
            </w:r>
          </w:p>
        </w:tc>
      </w:tr>
      <w:tr w:rsidR="00541110" w:rsidRPr="00F33771" w14:paraId="24BDD0E6" w14:textId="77777777" w:rsidTr="00914DFC">
        <w:trPr>
          <w:trHeight w:val="247"/>
          <w:jc w:val="center"/>
        </w:trPr>
        <w:tc>
          <w:tcPr>
            <w:tcW w:w="0" w:type="auto"/>
            <w:tcMar>
              <w:top w:w="0" w:type="dxa"/>
              <w:left w:w="30" w:type="dxa"/>
              <w:bottom w:w="0" w:type="dxa"/>
              <w:right w:w="30" w:type="dxa"/>
            </w:tcMar>
            <w:hideMark/>
          </w:tcPr>
          <w:p w14:paraId="4B5E37BE"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30.00%</w:t>
            </w:r>
          </w:p>
        </w:tc>
        <w:tc>
          <w:tcPr>
            <w:tcW w:w="0" w:type="auto"/>
            <w:tcMar>
              <w:top w:w="0" w:type="dxa"/>
              <w:left w:w="30" w:type="dxa"/>
              <w:bottom w:w="0" w:type="dxa"/>
              <w:right w:w="30" w:type="dxa"/>
            </w:tcMar>
            <w:hideMark/>
          </w:tcPr>
          <w:p w14:paraId="788D40BF"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70.00%</w:t>
            </w:r>
          </w:p>
        </w:tc>
        <w:tc>
          <w:tcPr>
            <w:tcW w:w="0" w:type="auto"/>
            <w:tcMar>
              <w:top w:w="0" w:type="dxa"/>
              <w:left w:w="30" w:type="dxa"/>
              <w:bottom w:w="0" w:type="dxa"/>
              <w:right w:w="30" w:type="dxa"/>
            </w:tcMar>
            <w:hideMark/>
          </w:tcPr>
          <w:p w14:paraId="5DF9DF96"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300</w:t>
            </w:r>
          </w:p>
        </w:tc>
        <w:tc>
          <w:tcPr>
            <w:tcW w:w="0" w:type="auto"/>
            <w:tcMar>
              <w:top w:w="0" w:type="dxa"/>
              <w:left w:w="30" w:type="dxa"/>
              <w:bottom w:w="0" w:type="dxa"/>
              <w:right w:w="30" w:type="dxa"/>
            </w:tcMar>
            <w:hideMark/>
          </w:tcPr>
          <w:p w14:paraId="5603759A"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0.00070</w:t>
            </w:r>
          </w:p>
        </w:tc>
        <w:tc>
          <w:tcPr>
            <w:tcW w:w="0" w:type="auto"/>
            <w:tcMar>
              <w:top w:w="0" w:type="dxa"/>
              <w:left w:w="30" w:type="dxa"/>
              <w:bottom w:w="0" w:type="dxa"/>
              <w:right w:w="30" w:type="dxa"/>
            </w:tcMar>
            <w:hideMark/>
          </w:tcPr>
          <w:p w14:paraId="5DC3754D"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0.02646</w:t>
            </w:r>
          </w:p>
        </w:tc>
        <w:tc>
          <w:tcPr>
            <w:tcW w:w="0" w:type="auto"/>
            <w:tcMar>
              <w:top w:w="0" w:type="dxa"/>
              <w:left w:w="30" w:type="dxa"/>
              <w:bottom w:w="0" w:type="dxa"/>
              <w:right w:w="30" w:type="dxa"/>
            </w:tcMar>
            <w:hideMark/>
          </w:tcPr>
          <w:p w14:paraId="2E77FB71"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8.82%</w:t>
            </w:r>
          </w:p>
        </w:tc>
        <w:tc>
          <w:tcPr>
            <w:tcW w:w="0" w:type="auto"/>
            <w:tcMar>
              <w:top w:w="0" w:type="dxa"/>
              <w:left w:w="30" w:type="dxa"/>
              <w:bottom w:w="0" w:type="dxa"/>
              <w:right w:w="30" w:type="dxa"/>
            </w:tcMar>
            <w:hideMark/>
          </w:tcPr>
          <w:p w14:paraId="4BF5EA2D"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24.81%</w:t>
            </w:r>
          </w:p>
        </w:tc>
        <w:tc>
          <w:tcPr>
            <w:tcW w:w="0" w:type="auto"/>
            <w:tcMar>
              <w:top w:w="0" w:type="dxa"/>
              <w:left w:w="30" w:type="dxa"/>
              <w:bottom w:w="0" w:type="dxa"/>
              <w:right w:w="30" w:type="dxa"/>
            </w:tcMar>
            <w:hideMark/>
          </w:tcPr>
          <w:p w14:paraId="3425AF2B"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35.19%</w:t>
            </w:r>
          </w:p>
        </w:tc>
      </w:tr>
      <w:tr w:rsidR="00541110" w:rsidRPr="00F33771" w14:paraId="3160C273" w14:textId="77777777" w:rsidTr="00914DFC">
        <w:trPr>
          <w:trHeight w:val="247"/>
          <w:jc w:val="center"/>
        </w:trPr>
        <w:tc>
          <w:tcPr>
            <w:tcW w:w="0" w:type="auto"/>
            <w:tcMar>
              <w:top w:w="0" w:type="dxa"/>
              <w:left w:w="30" w:type="dxa"/>
              <w:bottom w:w="0" w:type="dxa"/>
              <w:right w:w="30" w:type="dxa"/>
            </w:tcMar>
            <w:hideMark/>
          </w:tcPr>
          <w:p w14:paraId="2103DDF3"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40.00%</w:t>
            </w:r>
          </w:p>
        </w:tc>
        <w:tc>
          <w:tcPr>
            <w:tcW w:w="0" w:type="auto"/>
            <w:tcMar>
              <w:top w:w="0" w:type="dxa"/>
              <w:left w:w="30" w:type="dxa"/>
              <w:bottom w:w="0" w:type="dxa"/>
              <w:right w:w="30" w:type="dxa"/>
            </w:tcMar>
            <w:hideMark/>
          </w:tcPr>
          <w:p w14:paraId="2C667750"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60.00%</w:t>
            </w:r>
          </w:p>
        </w:tc>
        <w:tc>
          <w:tcPr>
            <w:tcW w:w="0" w:type="auto"/>
            <w:tcMar>
              <w:top w:w="0" w:type="dxa"/>
              <w:left w:w="30" w:type="dxa"/>
              <w:bottom w:w="0" w:type="dxa"/>
              <w:right w:w="30" w:type="dxa"/>
            </w:tcMar>
            <w:hideMark/>
          </w:tcPr>
          <w:p w14:paraId="71FC0F34"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300</w:t>
            </w:r>
          </w:p>
        </w:tc>
        <w:tc>
          <w:tcPr>
            <w:tcW w:w="0" w:type="auto"/>
            <w:tcMar>
              <w:top w:w="0" w:type="dxa"/>
              <w:left w:w="30" w:type="dxa"/>
              <w:bottom w:w="0" w:type="dxa"/>
              <w:right w:w="30" w:type="dxa"/>
            </w:tcMar>
            <w:hideMark/>
          </w:tcPr>
          <w:p w14:paraId="6DE0213E"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0.00080</w:t>
            </w:r>
          </w:p>
        </w:tc>
        <w:tc>
          <w:tcPr>
            <w:tcW w:w="0" w:type="auto"/>
            <w:tcMar>
              <w:top w:w="0" w:type="dxa"/>
              <w:left w:w="30" w:type="dxa"/>
              <w:bottom w:w="0" w:type="dxa"/>
              <w:right w:w="30" w:type="dxa"/>
            </w:tcMar>
            <w:hideMark/>
          </w:tcPr>
          <w:p w14:paraId="4A68422E"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0.02828</w:t>
            </w:r>
          </w:p>
        </w:tc>
        <w:tc>
          <w:tcPr>
            <w:tcW w:w="0" w:type="auto"/>
            <w:tcMar>
              <w:top w:w="0" w:type="dxa"/>
              <w:left w:w="30" w:type="dxa"/>
              <w:bottom w:w="0" w:type="dxa"/>
              <w:right w:w="30" w:type="dxa"/>
            </w:tcMar>
            <w:hideMark/>
          </w:tcPr>
          <w:p w14:paraId="1CBFC5E4"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7.07%</w:t>
            </w:r>
          </w:p>
        </w:tc>
        <w:tc>
          <w:tcPr>
            <w:tcW w:w="0" w:type="auto"/>
            <w:tcMar>
              <w:top w:w="0" w:type="dxa"/>
              <w:left w:w="30" w:type="dxa"/>
              <w:bottom w:w="0" w:type="dxa"/>
              <w:right w:w="30" w:type="dxa"/>
            </w:tcMar>
            <w:hideMark/>
          </w:tcPr>
          <w:p w14:paraId="041773E1"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34.46%</w:t>
            </w:r>
          </w:p>
        </w:tc>
        <w:tc>
          <w:tcPr>
            <w:tcW w:w="0" w:type="auto"/>
            <w:tcMar>
              <w:top w:w="0" w:type="dxa"/>
              <w:left w:w="30" w:type="dxa"/>
              <w:bottom w:w="0" w:type="dxa"/>
              <w:right w:w="30" w:type="dxa"/>
            </w:tcMar>
            <w:hideMark/>
          </w:tcPr>
          <w:p w14:paraId="12C52D1F"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45.54%</w:t>
            </w:r>
          </w:p>
        </w:tc>
      </w:tr>
      <w:tr w:rsidR="00541110" w:rsidRPr="00F33771" w14:paraId="67C62E12" w14:textId="77777777" w:rsidTr="00914DFC">
        <w:trPr>
          <w:trHeight w:val="247"/>
          <w:jc w:val="center"/>
        </w:trPr>
        <w:tc>
          <w:tcPr>
            <w:tcW w:w="0" w:type="auto"/>
            <w:tcMar>
              <w:top w:w="0" w:type="dxa"/>
              <w:left w:w="30" w:type="dxa"/>
              <w:bottom w:w="0" w:type="dxa"/>
              <w:right w:w="30" w:type="dxa"/>
            </w:tcMar>
            <w:hideMark/>
          </w:tcPr>
          <w:p w14:paraId="6810747D"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50.00%</w:t>
            </w:r>
          </w:p>
        </w:tc>
        <w:tc>
          <w:tcPr>
            <w:tcW w:w="0" w:type="auto"/>
            <w:tcMar>
              <w:top w:w="0" w:type="dxa"/>
              <w:left w:w="30" w:type="dxa"/>
              <w:bottom w:w="0" w:type="dxa"/>
              <w:right w:w="30" w:type="dxa"/>
            </w:tcMar>
            <w:hideMark/>
          </w:tcPr>
          <w:p w14:paraId="5A51E0E3"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50.00%</w:t>
            </w:r>
          </w:p>
        </w:tc>
        <w:tc>
          <w:tcPr>
            <w:tcW w:w="0" w:type="auto"/>
            <w:tcMar>
              <w:top w:w="0" w:type="dxa"/>
              <w:left w:w="30" w:type="dxa"/>
              <w:bottom w:w="0" w:type="dxa"/>
              <w:right w:w="30" w:type="dxa"/>
            </w:tcMar>
            <w:hideMark/>
          </w:tcPr>
          <w:p w14:paraId="122D3983"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300</w:t>
            </w:r>
          </w:p>
        </w:tc>
        <w:tc>
          <w:tcPr>
            <w:tcW w:w="0" w:type="auto"/>
            <w:tcMar>
              <w:top w:w="0" w:type="dxa"/>
              <w:left w:w="30" w:type="dxa"/>
              <w:bottom w:w="0" w:type="dxa"/>
              <w:right w:w="30" w:type="dxa"/>
            </w:tcMar>
            <w:hideMark/>
          </w:tcPr>
          <w:p w14:paraId="6C041048"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0.00083</w:t>
            </w:r>
          </w:p>
        </w:tc>
        <w:tc>
          <w:tcPr>
            <w:tcW w:w="0" w:type="auto"/>
            <w:tcMar>
              <w:top w:w="0" w:type="dxa"/>
              <w:left w:w="30" w:type="dxa"/>
              <w:bottom w:w="0" w:type="dxa"/>
              <w:right w:w="30" w:type="dxa"/>
            </w:tcMar>
            <w:hideMark/>
          </w:tcPr>
          <w:p w14:paraId="72F1951C"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0.02887</w:t>
            </w:r>
          </w:p>
        </w:tc>
        <w:tc>
          <w:tcPr>
            <w:tcW w:w="0" w:type="auto"/>
            <w:tcMar>
              <w:top w:w="0" w:type="dxa"/>
              <w:left w:w="30" w:type="dxa"/>
              <w:bottom w:w="0" w:type="dxa"/>
              <w:right w:w="30" w:type="dxa"/>
            </w:tcMar>
            <w:hideMark/>
          </w:tcPr>
          <w:p w14:paraId="38F25639"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5.77%</w:t>
            </w:r>
          </w:p>
        </w:tc>
        <w:tc>
          <w:tcPr>
            <w:tcW w:w="0" w:type="auto"/>
            <w:tcMar>
              <w:top w:w="0" w:type="dxa"/>
              <w:left w:w="30" w:type="dxa"/>
              <w:bottom w:w="0" w:type="dxa"/>
              <w:right w:w="30" w:type="dxa"/>
            </w:tcMar>
            <w:hideMark/>
          </w:tcPr>
          <w:p w14:paraId="43E296B5"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44.34%</w:t>
            </w:r>
          </w:p>
        </w:tc>
        <w:tc>
          <w:tcPr>
            <w:tcW w:w="0" w:type="auto"/>
            <w:tcMar>
              <w:top w:w="0" w:type="dxa"/>
              <w:left w:w="30" w:type="dxa"/>
              <w:bottom w:w="0" w:type="dxa"/>
              <w:right w:w="30" w:type="dxa"/>
            </w:tcMar>
            <w:hideMark/>
          </w:tcPr>
          <w:p w14:paraId="66BC7AF6"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55.66%</w:t>
            </w:r>
          </w:p>
        </w:tc>
      </w:tr>
      <w:tr w:rsidR="00541110" w:rsidRPr="00F33771" w14:paraId="7DA96D06" w14:textId="77777777" w:rsidTr="00914DFC">
        <w:trPr>
          <w:trHeight w:val="247"/>
          <w:jc w:val="center"/>
        </w:trPr>
        <w:tc>
          <w:tcPr>
            <w:tcW w:w="0" w:type="auto"/>
            <w:tcMar>
              <w:top w:w="0" w:type="dxa"/>
              <w:left w:w="30" w:type="dxa"/>
              <w:bottom w:w="0" w:type="dxa"/>
              <w:right w:w="30" w:type="dxa"/>
            </w:tcMar>
            <w:hideMark/>
          </w:tcPr>
          <w:p w14:paraId="38E2484C"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60.00%</w:t>
            </w:r>
          </w:p>
        </w:tc>
        <w:tc>
          <w:tcPr>
            <w:tcW w:w="0" w:type="auto"/>
            <w:tcMar>
              <w:top w:w="0" w:type="dxa"/>
              <w:left w:w="30" w:type="dxa"/>
              <w:bottom w:w="0" w:type="dxa"/>
              <w:right w:w="30" w:type="dxa"/>
            </w:tcMar>
            <w:hideMark/>
          </w:tcPr>
          <w:p w14:paraId="5BFC6AB1"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40.00%</w:t>
            </w:r>
          </w:p>
        </w:tc>
        <w:tc>
          <w:tcPr>
            <w:tcW w:w="0" w:type="auto"/>
            <w:tcMar>
              <w:top w:w="0" w:type="dxa"/>
              <w:left w:w="30" w:type="dxa"/>
              <w:bottom w:w="0" w:type="dxa"/>
              <w:right w:w="30" w:type="dxa"/>
            </w:tcMar>
            <w:hideMark/>
          </w:tcPr>
          <w:p w14:paraId="7D95F565"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300</w:t>
            </w:r>
          </w:p>
        </w:tc>
        <w:tc>
          <w:tcPr>
            <w:tcW w:w="0" w:type="auto"/>
            <w:tcMar>
              <w:top w:w="0" w:type="dxa"/>
              <w:left w:w="30" w:type="dxa"/>
              <w:bottom w:w="0" w:type="dxa"/>
              <w:right w:w="30" w:type="dxa"/>
            </w:tcMar>
            <w:hideMark/>
          </w:tcPr>
          <w:p w14:paraId="7CF40F83"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0.00080</w:t>
            </w:r>
          </w:p>
        </w:tc>
        <w:tc>
          <w:tcPr>
            <w:tcW w:w="0" w:type="auto"/>
            <w:tcMar>
              <w:top w:w="0" w:type="dxa"/>
              <w:left w:w="30" w:type="dxa"/>
              <w:bottom w:w="0" w:type="dxa"/>
              <w:right w:w="30" w:type="dxa"/>
            </w:tcMar>
            <w:hideMark/>
          </w:tcPr>
          <w:p w14:paraId="3A03FD1E"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0.02828</w:t>
            </w:r>
          </w:p>
        </w:tc>
        <w:tc>
          <w:tcPr>
            <w:tcW w:w="0" w:type="auto"/>
            <w:tcMar>
              <w:top w:w="0" w:type="dxa"/>
              <w:left w:w="30" w:type="dxa"/>
              <w:bottom w:w="0" w:type="dxa"/>
              <w:right w:w="30" w:type="dxa"/>
            </w:tcMar>
            <w:hideMark/>
          </w:tcPr>
          <w:p w14:paraId="46122A5C"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4.71%</w:t>
            </w:r>
          </w:p>
        </w:tc>
        <w:tc>
          <w:tcPr>
            <w:tcW w:w="0" w:type="auto"/>
            <w:tcMar>
              <w:top w:w="0" w:type="dxa"/>
              <w:left w:w="30" w:type="dxa"/>
              <w:bottom w:w="0" w:type="dxa"/>
              <w:right w:w="30" w:type="dxa"/>
            </w:tcMar>
            <w:hideMark/>
          </w:tcPr>
          <w:p w14:paraId="41EFE9AF"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54.46%</w:t>
            </w:r>
          </w:p>
        </w:tc>
        <w:tc>
          <w:tcPr>
            <w:tcW w:w="0" w:type="auto"/>
            <w:tcMar>
              <w:top w:w="0" w:type="dxa"/>
              <w:left w:w="30" w:type="dxa"/>
              <w:bottom w:w="0" w:type="dxa"/>
              <w:right w:w="30" w:type="dxa"/>
            </w:tcMar>
            <w:hideMark/>
          </w:tcPr>
          <w:p w14:paraId="2BE4A562"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65.54%</w:t>
            </w:r>
          </w:p>
        </w:tc>
      </w:tr>
      <w:tr w:rsidR="00541110" w:rsidRPr="00F33771" w14:paraId="11D35392" w14:textId="77777777" w:rsidTr="00914DFC">
        <w:trPr>
          <w:trHeight w:val="247"/>
          <w:jc w:val="center"/>
        </w:trPr>
        <w:tc>
          <w:tcPr>
            <w:tcW w:w="0" w:type="auto"/>
            <w:tcBorders>
              <w:top w:val="nil"/>
              <w:left w:val="nil"/>
              <w:bottom w:val="single" w:sz="8" w:space="0" w:color="auto"/>
              <w:right w:val="nil"/>
            </w:tcBorders>
            <w:tcMar>
              <w:top w:w="0" w:type="dxa"/>
              <w:left w:w="30" w:type="dxa"/>
              <w:bottom w:w="0" w:type="dxa"/>
              <w:right w:w="30" w:type="dxa"/>
            </w:tcMar>
            <w:hideMark/>
          </w:tcPr>
          <w:p w14:paraId="67C889DF"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70.00%</w:t>
            </w:r>
          </w:p>
        </w:tc>
        <w:tc>
          <w:tcPr>
            <w:tcW w:w="0" w:type="auto"/>
            <w:tcBorders>
              <w:top w:val="nil"/>
              <w:left w:val="nil"/>
              <w:bottom w:val="single" w:sz="8" w:space="0" w:color="auto"/>
              <w:right w:val="nil"/>
            </w:tcBorders>
            <w:tcMar>
              <w:top w:w="0" w:type="dxa"/>
              <w:left w:w="30" w:type="dxa"/>
              <w:bottom w:w="0" w:type="dxa"/>
              <w:right w:w="30" w:type="dxa"/>
            </w:tcMar>
            <w:hideMark/>
          </w:tcPr>
          <w:p w14:paraId="135E123F"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30.00%</w:t>
            </w:r>
          </w:p>
        </w:tc>
        <w:tc>
          <w:tcPr>
            <w:tcW w:w="0" w:type="auto"/>
            <w:tcBorders>
              <w:top w:val="nil"/>
              <w:left w:val="nil"/>
              <w:bottom w:val="single" w:sz="8" w:space="0" w:color="auto"/>
              <w:right w:val="nil"/>
            </w:tcBorders>
            <w:tcMar>
              <w:top w:w="0" w:type="dxa"/>
              <w:left w:w="30" w:type="dxa"/>
              <w:bottom w:w="0" w:type="dxa"/>
              <w:right w:w="30" w:type="dxa"/>
            </w:tcMar>
            <w:hideMark/>
          </w:tcPr>
          <w:p w14:paraId="1AEEB363"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300</w:t>
            </w:r>
          </w:p>
        </w:tc>
        <w:tc>
          <w:tcPr>
            <w:tcW w:w="0" w:type="auto"/>
            <w:tcBorders>
              <w:top w:val="nil"/>
              <w:left w:val="nil"/>
              <w:bottom w:val="single" w:sz="8" w:space="0" w:color="auto"/>
              <w:right w:val="nil"/>
            </w:tcBorders>
            <w:tcMar>
              <w:top w:w="0" w:type="dxa"/>
              <w:left w:w="30" w:type="dxa"/>
              <w:bottom w:w="0" w:type="dxa"/>
              <w:right w:w="30" w:type="dxa"/>
            </w:tcMar>
            <w:hideMark/>
          </w:tcPr>
          <w:p w14:paraId="52648ECB"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0.00070</w:t>
            </w:r>
          </w:p>
        </w:tc>
        <w:tc>
          <w:tcPr>
            <w:tcW w:w="0" w:type="auto"/>
            <w:tcBorders>
              <w:top w:val="nil"/>
              <w:left w:val="nil"/>
              <w:bottom w:val="single" w:sz="8" w:space="0" w:color="auto"/>
              <w:right w:val="nil"/>
            </w:tcBorders>
            <w:tcMar>
              <w:top w:w="0" w:type="dxa"/>
              <w:left w:w="30" w:type="dxa"/>
              <w:bottom w:w="0" w:type="dxa"/>
              <w:right w:w="30" w:type="dxa"/>
            </w:tcMar>
            <w:hideMark/>
          </w:tcPr>
          <w:p w14:paraId="76C6D391"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0.02646</w:t>
            </w:r>
          </w:p>
        </w:tc>
        <w:tc>
          <w:tcPr>
            <w:tcW w:w="0" w:type="auto"/>
            <w:tcBorders>
              <w:top w:val="nil"/>
              <w:left w:val="nil"/>
              <w:bottom w:val="single" w:sz="8" w:space="0" w:color="auto"/>
              <w:right w:val="nil"/>
            </w:tcBorders>
            <w:tcMar>
              <w:top w:w="0" w:type="dxa"/>
              <w:left w:w="30" w:type="dxa"/>
              <w:bottom w:w="0" w:type="dxa"/>
              <w:right w:w="30" w:type="dxa"/>
            </w:tcMar>
            <w:hideMark/>
          </w:tcPr>
          <w:p w14:paraId="44AF4900"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3.78%</w:t>
            </w:r>
          </w:p>
        </w:tc>
        <w:tc>
          <w:tcPr>
            <w:tcW w:w="0" w:type="auto"/>
            <w:tcBorders>
              <w:top w:val="nil"/>
              <w:left w:val="nil"/>
              <w:bottom w:val="single" w:sz="8" w:space="0" w:color="auto"/>
              <w:right w:val="nil"/>
            </w:tcBorders>
            <w:tcMar>
              <w:top w:w="0" w:type="dxa"/>
              <w:left w:w="30" w:type="dxa"/>
              <w:bottom w:w="0" w:type="dxa"/>
              <w:right w:w="30" w:type="dxa"/>
            </w:tcMar>
            <w:hideMark/>
          </w:tcPr>
          <w:p w14:paraId="1390716D"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64.81%</w:t>
            </w:r>
          </w:p>
        </w:tc>
        <w:tc>
          <w:tcPr>
            <w:tcW w:w="0" w:type="auto"/>
            <w:tcBorders>
              <w:top w:val="nil"/>
              <w:left w:val="nil"/>
              <w:bottom w:val="single" w:sz="8" w:space="0" w:color="auto"/>
              <w:right w:val="nil"/>
            </w:tcBorders>
            <w:tcMar>
              <w:top w:w="0" w:type="dxa"/>
              <w:left w:w="30" w:type="dxa"/>
              <w:bottom w:w="0" w:type="dxa"/>
              <w:right w:w="30" w:type="dxa"/>
            </w:tcMar>
            <w:hideMark/>
          </w:tcPr>
          <w:p w14:paraId="275C0FB5"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75.19%</w:t>
            </w:r>
          </w:p>
        </w:tc>
      </w:tr>
    </w:tbl>
    <w:p w14:paraId="7339C015" w14:textId="77777777" w:rsidR="00541110" w:rsidRPr="00F33771" w:rsidRDefault="00541110" w:rsidP="00541110">
      <w:pPr>
        <w:pStyle w:val="L1-FlLSp12"/>
        <w:ind w:left="4752"/>
        <w:rPr>
          <w:rFonts w:ascii="Calibri" w:hAnsi="Calibri"/>
        </w:rPr>
      </w:pPr>
    </w:p>
    <w:p w14:paraId="098AE0BD" w14:textId="77777777" w:rsidR="00541110" w:rsidRPr="00541110" w:rsidRDefault="00541110" w:rsidP="00541110">
      <w:pPr>
        <w:pStyle w:val="TT-TableTitle"/>
        <w:jc w:val="both"/>
        <w:rPr>
          <w:rFonts w:ascii="Garamond" w:hAnsi="Garamond"/>
          <w:sz w:val="22"/>
          <w:szCs w:val="22"/>
        </w:rPr>
      </w:pPr>
      <w:proofErr w:type="gramStart"/>
      <w:r w:rsidRPr="00541110">
        <w:rPr>
          <w:rFonts w:ascii="Garamond" w:hAnsi="Garamond"/>
          <w:sz w:val="22"/>
          <w:szCs w:val="22"/>
        </w:rPr>
        <w:lastRenderedPageBreak/>
        <w:t>Table 4.</w:t>
      </w:r>
      <w:proofErr w:type="gramEnd"/>
      <w:r w:rsidRPr="00541110">
        <w:rPr>
          <w:rFonts w:ascii="Garamond" w:hAnsi="Garamond"/>
          <w:sz w:val="22"/>
          <w:szCs w:val="22"/>
        </w:rPr>
        <w:t xml:space="preserve">  Precision offered by 150 observations for P ranging between 30-70 percent</w:t>
      </w:r>
    </w:p>
    <w:p w14:paraId="2FDC76EC" w14:textId="77777777" w:rsidR="00541110" w:rsidRPr="009A33D4" w:rsidRDefault="00541110" w:rsidP="00541110">
      <w:pPr>
        <w:ind w:left="360"/>
      </w:pPr>
      <w:r>
        <w:tab/>
      </w:r>
      <w:r>
        <w:tab/>
      </w:r>
    </w:p>
    <w:tbl>
      <w:tblPr>
        <w:tblW w:w="0" w:type="auto"/>
        <w:jc w:val="center"/>
        <w:tblCellMar>
          <w:left w:w="0" w:type="dxa"/>
          <w:right w:w="0" w:type="dxa"/>
        </w:tblCellMar>
        <w:tblLook w:val="04A0" w:firstRow="1" w:lastRow="0" w:firstColumn="1" w:lastColumn="0" w:noHBand="0" w:noVBand="1"/>
      </w:tblPr>
      <w:tblGrid>
        <w:gridCol w:w="719"/>
        <w:gridCol w:w="719"/>
        <w:gridCol w:w="395"/>
        <w:gridCol w:w="785"/>
        <w:gridCol w:w="785"/>
        <w:gridCol w:w="719"/>
        <w:gridCol w:w="719"/>
        <w:gridCol w:w="719"/>
      </w:tblGrid>
      <w:tr w:rsidR="00541110" w:rsidRPr="00F33771" w14:paraId="05572C8B" w14:textId="77777777" w:rsidTr="00914DFC">
        <w:trPr>
          <w:trHeight w:val="247"/>
          <w:jc w:val="center"/>
        </w:trPr>
        <w:tc>
          <w:tcPr>
            <w:tcW w:w="0" w:type="auto"/>
            <w:tcBorders>
              <w:top w:val="single" w:sz="8" w:space="0" w:color="auto"/>
              <w:left w:val="nil"/>
              <w:bottom w:val="single" w:sz="8" w:space="0" w:color="auto"/>
              <w:right w:val="nil"/>
            </w:tcBorders>
            <w:shd w:val="clear" w:color="auto" w:fill="95B3D7" w:themeFill="accent1" w:themeFillTint="99"/>
            <w:tcMar>
              <w:top w:w="0" w:type="dxa"/>
              <w:left w:w="30" w:type="dxa"/>
              <w:bottom w:w="0" w:type="dxa"/>
              <w:right w:w="30" w:type="dxa"/>
            </w:tcMar>
            <w:hideMark/>
          </w:tcPr>
          <w:p w14:paraId="37CB016B" w14:textId="77777777" w:rsidR="00541110" w:rsidRPr="00F33771" w:rsidRDefault="00541110" w:rsidP="00914DFC">
            <w:pPr>
              <w:pStyle w:val="TH-TableHeading"/>
              <w:rPr>
                <w:rFonts w:ascii="Calibri" w:hAnsi="Calibri"/>
                <w:sz w:val="22"/>
                <w:szCs w:val="22"/>
              </w:rPr>
            </w:pPr>
            <w:r w:rsidRPr="00F33771">
              <w:rPr>
                <w:rFonts w:ascii="Calibri" w:hAnsi="Calibri"/>
                <w:sz w:val="22"/>
                <w:szCs w:val="22"/>
              </w:rPr>
              <w:t>P</w:t>
            </w:r>
          </w:p>
        </w:tc>
        <w:tc>
          <w:tcPr>
            <w:tcW w:w="0" w:type="auto"/>
            <w:tcBorders>
              <w:top w:val="single" w:sz="8" w:space="0" w:color="auto"/>
              <w:left w:val="nil"/>
              <w:bottom w:val="single" w:sz="8" w:space="0" w:color="auto"/>
              <w:right w:val="nil"/>
            </w:tcBorders>
            <w:shd w:val="clear" w:color="auto" w:fill="95B3D7" w:themeFill="accent1" w:themeFillTint="99"/>
            <w:tcMar>
              <w:top w:w="0" w:type="dxa"/>
              <w:left w:w="30" w:type="dxa"/>
              <w:bottom w:w="0" w:type="dxa"/>
              <w:right w:w="30" w:type="dxa"/>
            </w:tcMar>
            <w:hideMark/>
          </w:tcPr>
          <w:p w14:paraId="02023CDE" w14:textId="77777777" w:rsidR="00541110" w:rsidRPr="00F33771" w:rsidRDefault="00541110" w:rsidP="00914DFC">
            <w:pPr>
              <w:pStyle w:val="TH-TableHeading"/>
              <w:rPr>
                <w:rFonts w:ascii="Calibri" w:hAnsi="Calibri"/>
                <w:sz w:val="22"/>
                <w:szCs w:val="22"/>
              </w:rPr>
            </w:pPr>
            <w:r w:rsidRPr="00F33771">
              <w:rPr>
                <w:rFonts w:ascii="Calibri" w:hAnsi="Calibri"/>
                <w:sz w:val="22"/>
                <w:szCs w:val="22"/>
              </w:rPr>
              <w:t>Q</w:t>
            </w:r>
          </w:p>
        </w:tc>
        <w:tc>
          <w:tcPr>
            <w:tcW w:w="0" w:type="auto"/>
            <w:tcBorders>
              <w:top w:val="single" w:sz="8" w:space="0" w:color="auto"/>
              <w:left w:val="nil"/>
              <w:bottom w:val="single" w:sz="8" w:space="0" w:color="auto"/>
              <w:right w:val="nil"/>
            </w:tcBorders>
            <w:shd w:val="clear" w:color="auto" w:fill="95B3D7" w:themeFill="accent1" w:themeFillTint="99"/>
            <w:tcMar>
              <w:top w:w="0" w:type="dxa"/>
              <w:left w:w="30" w:type="dxa"/>
              <w:bottom w:w="0" w:type="dxa"/>
              <w:right w:w="30" w:type="dxa"/>
            </w:tcMar>
            <w:hideMark/>
          </w:tcPr>
          <w:p w14:paraId="2AE5BFB4" w14:textId="77777777" w:rsidR="00541110" w:rsidRPr="00F33771" w:rsidRDefault="00541110" w:rsidP="00914DFC">
            <w:pPr>
              <w:pStyle w:val="TH-TableHeading"/>
              <w:rPr>
                <w:rFonts w:ascii="Calibri" w:hAnsi="Calibri"/>
                <w:sz w:val="22"/>
                <w:szCs w:val="22"/>
              </w:rPr>
            </w:pPr>
            <w:r w:rsidRPr="00F33771">
              <w:rPr>
                <w:rFonts w:ascii="Calibri" w:hAnsi="Calibri"/>
                <w:sz w:val="22"/>
                <w:szCs w:val="22"/>
              </w:rPr>
              <w:t>N</w:t>
            </w:r>
          </w:p>
        </w:tc>
        <w:tc>
          <w:tcPr>
            <w:tcW w:w="0" w:type="auto"/>
            <w:tcBorders>
              <w:top w:val="single" w:sz="8" w:space="0" w:color="auto"/>
              <w:left w:val="nil"/>
              <w:bottom w:val="single" w:sz="8" w:space="0" w:color="auto"/>
              <w:right w:val="nil"/>
            </w:tcBorders>
            <w:shd w:val="clear" w:color="auto" w:fill="95B3D7" w:themeFill="accent1" w:themeFillTint="99"/>
            <w:tcMar>
              <w:top w:w="0" w:type="dxa"/>
              <w:left w:w="30" w:type="dxa"/>
              <w:bottom w:w="0" w:type="dxa"/>
              <w:right w:w="30" w:type="dxa"/>
            </w:tcMar>
            <w:hideMark/>
          </w:tcPr>
          <w:p w14:paraId="4AF838EE" w14:textId="77777777" w:rsidR="00541110" w:rsidRPr="00F33771" w:rsidRDefault="00541110" w:rsidP="00914DFC">
            <w:pPr>
              <w:pStyle w:val="TH-TableHeading"/>
              <w:rPr>
                <w:rFonts w:ascii="Calibri" w:hAnsi="Calibri"/>
                <w:sz w:val="22"/>
                <w:szCs w:val="22"/>
              </w:rPr>
            </w:pPr>
            <w:proofErr w:type="spellStart"/>
            <w:r w:rsidRPr="00F33771">
              <w:rPr>
                <w:rFonts w:ascii="Calibri" w:hAnsi="Calibri"/>
                <w:sz w:val="22"/>
                <w:szCs w:val="22"/>
              </w:rPr>
              <w:t>Var</w:t>
            </w:r>
            <w:proofErr w:type="spellEnd"/>
          </w:p>
        </w:tc>
        <w:tc>
          <w:tcPr>
            <w:tcW w:w="0" w:type="auto"/>
            <w:tcBorders>
              <w:top w:val="single" w:sz="8" w:space="0" w:color="auto"/>
              <w:left w:val="nil"/>
              <w:bottom w:val="single" w:sz="8" w:space="0" w:color="auto"/>
              <w:right w:val="nil"/>
            </w:tcBorders>
            <w:shd w:val="clear" w:color="auto" w:fill="95B3D7" w:themeFill="accent1" w:themeFillTint="99"/>
            <w:tcMar>
              <w:top w:w="0" w:type="dxa"/>
              <w:left w:w="30" w:type="dxa"/>
              <w:bottom w:w="0" w:type="dxa"/>
              <w:right w:w="30" w:type="dxa"/>
            </w:tcMar>
            <w:hideMark/>
          </w:tcPr>
          <w:p w14:paraId="2FACD974" w14:textId="77777777" w:rsidR="00541110" w:rsidRPr="00F33771" w:rsidRDefault="00541110" w:rsidP="00914DFC">
            <w:pPr>
              <w:pStyle w:val="TH-TableHeading"/>
              <w:rPr>
                <w:rFonts w:ascii="Calibri" w:hAnsi="Calibri"/>
                <w:sz w:val="22"/>
                <w:szCs w:val="22"/>
              </w:rPr>
            </w:pPr>
            <w:proofErr w:type="spellStart"/>
            <w:r w:rsidRPr="00F33771">
              <w:rPr>
                <w:rFonts w:ascii="Calibri" w:hAnsi="Calibri"/>
                <w:sz w:val="22"/>
                <w:szCs w:val="22"/>
              </w:rPr>
              <w:t>Ste</w:t>
            </w:r>
            <w:proofErr w:type="spellEnd"/>
          </w:p>
        </w:tc>
        <w:tc>
          <w:tcPr>
            <w:tcW w:w="0" w:type="auto"/>
            <w:tcBorders>
              <w:top w:val="single" w:sz="8" w:space="0" w:color="auto"/>
              <w:left w:val="nil"/>
              <w:bottom w:val="single" w:sz="8" w:space="0" w:color="auto"/>
              <w:right w:val="nil"/>
            </w:tcBorders>
            <w:shd w:val="clear" w:color="auto" w:fill="95B3D7" w:themeFill="accent1" w:themeFillTint="99"/>
            <w:tcMar>
              <w:top w:w="0" w:type="dxa"/>
              <w:left w:w="30" w:type="dxa"/>
              <w:bottom w:w="0" w:type="dxa"/>
              <w:right w:w="30" w:type="dxa"/>
            </w:tcMar>
            <w:hideMark/>
          </w:tcPr>
          <w:p w14:paraId="151F0C90" w14:textId="77777777" w:rsidR="00541110" w:rsidRPr="00F33771" w:rsidRDefault="00541110" w:rsidP="00914DFC">
            <w:pPr>
              <w:pStyle w:val="TH-TableHeading"/>
              <w:rPr>
                <w:rFonts w:ascii="Calibri" w:hAnsi="Calibri"/>
                <w:sz w:val="22"/>
                <w:szCs w:val="22"/>
              </w:rPr>
            </w:pPr>
            <w:proofErr w:type="spellStart"/>
            <w:r w:rsidRPr="00F33771">
              <w:rPr>
                <w:rFonts w:ascii="Calibri" w:hAnsi="Calibri"/>
                <w:sz w:val="22"/>
                <w:szCs w:val="22"/>
              </w:rPr>
              <w:t>RSE</w:t>
            </w:r>
            <w:proofErr w:type="spellEnd"/>
          </w:p>
        </w:tc>
        <w:tc>
          <w:tcPr>
            <w:tcW w:w="0" w:type="auto"/>
            <w:tcBorders>
              <w:top w:val="single" w:sz="8" w:space="0" w:color="auto"/>
              <w:left w:val="nil"/>
              <w:bottom w:val="single" w:sz="8" w:space="0" w:color="auto"/>
              <w:right w:val="nil"/>
            </w:tcBorders>
            <w:shd w:val="clear" w:color="auto" w:fill="95B3D7" w:themeFill="accent1" w:themeFillTint="99"/>
            <w:tcMar>
              <w:top w:w="0" w:type="dxa"/>
              <w:left w:w="30" w:type="dxa"/>
              <w:bottom w:w="0" w:type="dxa"/>
              <w:right w:w="30" w:type="dxa"/>
            </w:tcMar>
            <w:hideMark/>
          </w:tcPr>
          <w:p w14:paraId="6331A67C" w14:textId="77777777" w:rsidR="00541110" w:rsidRPr="00F33771" w:rsidRDefault="00541110" w:rsidP="00914DFC">
            <w:pPr>
              <w:pStyle w:val="TH-TableHeading"/>
              <w:rPr>
                <w:rFonts w:ascii="Calibri" w:hAnsi="Calibri"/>
                <w:sz w:val="22"/>
                <w:szCs w:val="22"/>
              </w:rPr>
            </w:pPr>
            <w:proofErr w:type="spellStart"/>
            <w:r w:rsidRPr="00F33771">
              <w:rPr>
                <w:rFonts w:ascii="Calibri" w:hAnsi="Calibri"/>
                <w:sz w:val="22"/>
                <w:szCs w:val="22"/>
              </w:rPr>
              <w:t>LCI</w:t>
            </w:r>
            <w:proofErr w:type="spellEnd"/>
          </w:p>
        </w:tc>
        <w:tc>
          <w:tcPr>
            <w:tcW w:w="0" w:type="auto"/>
            <w:tcBorders>
              <w:top w:val="single" w:sz="8" w:space="0" w:color="auto"/>
              <w:left w:val="nil"/>
              <w:bottom w:val="single" w:sz="8" w:space="0" w:color="auto"/>
              <w:right w:val="nil"/>
            </w:tcBorders>
            <w:shd w:val="clear" w:color="auto" w:fill="95B3D7" w:themeFill="accent1" w:themeFillTint="99"/>
            <w:tcMar>
              <w:top w:w="0" w:type="dxa"/>
              <w:left w:w="30" w:type="dxa"/>
              <w:bottom w:w="0" w:type="dxa"/>
              <w:right w:w="30" w:type="dxa"/>
            </w:tcMar>
            <w:hideMark/>
          </w:tcPr>
          <w:p w14:paraId="02CCC967" w14:textId="77777777" w:rsidR="00541110" w:rsidRPr="00F33771" w:rsidRDefault="00541110" w:rsidP="00914DFC">
            <w:pPr>
              <w:pStyle w:val="TH-TableHeading"/>
              <w:rPr>
                <w:rFonts w:ascii="Calibri" w:hAnsi="Calibri"/>
                <w:sz w:val="22"/>
                <w:szCs w:val="22"/>
              </w:rPr>
            </w:pPr>
            <w:r w:rsidRPr="00F33771">
              <w:rPr>
                <w:rFonts w:ascii="Calibri" w:hAnsi="Calibri"/>
                <w:sz w:val="22"/>
                <w:szCs w:val="22"/>
              </w:rPr>
              <w:t>UCI</w:t>
            </w:r>
          </w:p>
        </w:tc>
      </w:tr>
      <w:tr w:rsidR="00541110" w:rsidRPr="00F33771" w14:paraId="2836CD87" w14:textId="77777777" w:rsidTr="00914DFC">
        <w:trPr>
          <w:trHeight w:val="247"/>
          <w:jc w:val="center"/>
        </w:trPr>
        <w:tc>
          <w:tcPr>
            <w:tcW w:w="0" w:type="auto"/>
            <w:tcMar>
              <w:top w:w="0" w:type="dxa"/>
              <w:left w:w="30" w:type="dxa"/>
              <w:bottom w:w="0" w:type="dxa"/>
              <w:right w:w="30" w:type="dxa"/>
            </w:tcMar>
            <w:hideMark/>
          </w:tcPr>
          <w:p w14:paraId="7C5485D8"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30.00%</w:t>
            </w:r>
          </w:p>
        </w:tc>
        <w:tc>
          <w:tcPr>
            <w:tcW w:w="0" w:type="auto"/>
            <w:tcMar>
              <w:top w:w="0" w:type="dxa"/>
              <w:left w:w="30" w:type="dxa"/>
              <w:bottom w:w="0" w:type="dxa"/>
              <w:right w:w="30" w:type="dxa"/>
            </w:tcMar>
            <w:hideMark/>
          </w:tcPr>
          <w:p w14:paraId="519FACE5"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70.00%</w:t>
            </w:r>
          </w:p>
        </w:tc>
        <w:tc>
          <w:tcPr>
            <w:tcW w:w="0" w:type="auto"/>
            <w:tcMar>
              <w:top w:w="0" w:type="dxa"/>
              <w:left w:w="30" w:type="dxa"/>
              <w:bottom w:w="0" w:type="dxa"/>
              <w:right w:w="30" w:type="dxa"/>
            </w:tcMar>
            <w:hideMark/>
          </w:tcPr>
          <w:p w14:paraId="75B8A1EF" w14:textId="77777777" w:rsidR="00541110" w:rsidRPr="00F33771" w:rsidRDefault="00541110" w:rsidP="00914DFC">
            <w:pPr>
              <w:pStyle w:val="TX-TableText"/>
              <w:rPr>
                <w:rFonts w:ascii="Calibri" w:hAnsi="Calibri"/>
                <w:sz w:val="22"/>
                <w:szCs w:val="22"/>
              </w:rPr>
            </w:pPr>
            <w:r>
              <w:rPr>
                <w:rFonts w:ascii="Calibri" w:hAnsi="Calibri"/>
                <w:sz w:val="22"/>
                <w:szCs w:val="22"/>
              </w:rPr>
              <w:t>150</w:t>
            </w:r>
          </w:p>
        </w:tc>
        <w:tc>
          <w:tcPr>
            <w:tcW w:w="0" w:type="auto"/>
            <w:tcMar>
              <w:top w:w="0" w:type="dxa"/>
              <w:left w:w="30" w:type="dxa"/>
              <w:bottom w:w="0" w:type="dxa"/>
              <w:right w:w="30" w:type="dxa"/>
            </w:tcMar>
            <w:hideMark/>
          </w:tcPr>
          <w:p w14:paraId="4729385F" w14:textId="77777777" w:rsidR="00541110" w:rsidRPr="00F33771" w:rsidRDefault="00541110" w:rsidP="00914DFC">
            <w:pPr>
              <w:pStyle w:val="TX-TableText"/>
              <w:rPr>
                <w:rFonts w:ascii="Calibri" w:hAnsi="Calibri"/>
                <w:sz w:val="22"/>
                <w:szCs w:val="22"/>
              </w:rPr>
            </w:pPr>
            <w:r w:rsidRPr="00B83C46">
              <w:rPr>
                <w:rFonts w:ascii="Calibri" w:hAnsi="Calibri"/>
                <w:sz w:val="22"/>
                <w:szCs w:val="22"/>
              </w:rPr>
              <w:t>0.00140</w:t>
            </w:r>
          </w:p>
        </w:tc>
        <w:tc>
          <w:tcPr>
            <w:tcW w:w="0" w:type="auto"/>
            <w:tcMar>
              <w:top w:w="0" w:type="dxa"/>
              <w:left w:w="30" w:type="dxa"/>
              <w:bottom w:w="0" w:type="dxa"/>
              <w:right w:w="30" w:type="dxa"/>
            </w:tcMar>
            <w:vAlign w:val="bottom"/>
          </w:tcPr>
          <w:p w14:paraId="13647998" w14:textId="77777777" w:rsidR="00541110" w:rsidRPr="00B83C46" w:rsidRDefault="00541110" w:rsidP="00914DFC">
            <w:pPr>
              <w:pStyle w:val="TH-TableHeading"/>
              <w:rPr>
                <w:rFonts w:ascii="Calibri" w:hAnsi="Calibri"/>
                <w:b w:val="0"/>
                <w:bCs w:val="0"/>
                <w:sz w:val="22"/>
                <w:szCs w:val="22"/>
              </w:rPr>
            </w:pPr>
            <w:r w:rsidRPr="00B83C46">
              <w:rPr>
                <w:rFonts w:ascii="Calibri" w:hAnsi="Calibri"/>
                <w:b w:val="0"/>
                <w:bCs w:val="0"/>
                <w:sz w:val="22"/>
                <w:szCs w:val="22"/>
              </w:rPr>
              <w:t>0.03742</w:t>
            </w:r>
          </w:p>
        </w:tc>
        <w:tc>
          <w:tcPr>
            <w:tcW w:w="0" w:type="auto"/>
            <w:tcMar>
              <w:top w:w="0" w:type="dxa"/>
              <w:left w:w="30" w:type="dxa"/>
              <w:bottom w:w="0" w:type="dxa"/>
              <w:right w:w="30" w:type="dxa"/>
            </w:tcMar>
            <w:vAlign w:val="bottom"/>
          </w:tcPr>
          <w:p w14:paraId="109970F9" w14:textId="77777777" w:rsidR="00541110" w:rsidRPr="00B83C46" w:rsidRDefault="00541110" w:rsidP="00914DFC">
            <w:pPr>
              <w:pStyle w:val="TH-TableHeading"/>
              <w:rPr>
                <w:rFonts w:ascii="Calibri" w:hAnsi="Calibri"/>
                <w:b w:val="0"/>
                <w:bCs w:val="0"/>
                <w:sz w:val="22"/>
                <w:szCs w:val="22"/>
              </w:rPr>
            </w:pPr>
            <w:r w:rsidRPr="00B83C46">
              <w:rPr>
                <w:rFonts w:ascii="Calibri" w:hAnsi="Calibri"/>
                <w:b w:val="0"/>
                <w:bCs w:val="0"/>
                <w:sz w:val="22"/>
                <w:szCs w:val="22"/>
              </w:rPr>
              <w:t>12.47%</w:t>
            </w:r>
          </w:p>
        </w:tc>
        <w:tc>
          <w:tcPr>
            <w:tcW w:w="0" w:type="auto"/>
            <w:tcMar>
              <w:top w:w="0" w:type="dxa"/>
              <w:left w:w="30" w:type="dxa"/>
              <w:bottom w:w="0" w:type="dxa"/>
              <w:right w:w="30" w:type="dxa"/>
            </w:tcMar>
            <w:vAlign w:val="bottom"/>
          </w:tcPr>
          <w:p w14:paraId="698FAF23" w14:textId="77777777" w:rsidR="00541110" w:rsidRPr="00B83C46" w:rsidRDefault="00541110" w:rsidP="00914DFC">
            <w:pPr>
              <w:pStyle w:val="TH-TableHeading"/>
              <w:rPr>
                <w:rFonts w:ascii="Calibri" w:hAnsi="Calibri"/>
                <w:b w:val="0"/>
                <w:bCs w:val="0"/>
                <w:sz w:val="22"/>
                <w:szCs w:val="22"/>
              </w:rPr>
            </w:pPr>
            <w:r w:rsidRPr="00B83C46">
              <w:rPr>
                <w:rFonts w:ascii="Calibri" w:hAnsi="Calibri"/>
                <w:b w:val="0"/>
                <w:bCs w:val="0"/>
                <w:sz w:val="22"/>
                <w:szCs w:val="22"/>
              </w:rPr>
              <w:t>22.67%</w:t>
            </w:r>
          </w:p>
        </w:tc>
        <w:tc>
          <w:tcPr>
            <w:tcW w:w="0" w:type="auto"/>
            <w:tcMar>
              <w:top w:w="0" w:type="dxa"/>
              <w:left w:w="30" w:type="dxa"/>
              <w:bottom w:w="0" w:type="dxa"/>
              <w:right w:w="30" w:type="dxa"/>
            </w:tcMar>
            <w:vAlign w:val="bottom"/>
          </w:tcPr>
          <w:p w14:paraId="483EB1C6" w14:textId="77777777" w:rsidR="00541110" w:rsidRPr="00B83C46" w:rsidRDefault="00541110" w:rsidP="00914DFC">
            <w:pPr>
              <w:pStyle w:val="TH-TableHeading"/>
              <w:rPr>
                <w:rFonts w:ascii="Calibri" w:hAnsi="Calibri"/>
                <w:b w:val="0"/>
                <w:bCs w:val="0"/>
                <w:sz w:val="22"/>
                <w:szCs w:val="22"/>
              </w:rPr>
            </w:pPr>
            <w:r w:rsidRPr="00B83C46">
              <w:rPr>
                <w:rFonts w:ascii="Calibri" w:hAnsi="Calibri"/>
                <w:b w:val="0"/>
                <w:bCs w:val="0"/>
                <w:sz w:val="22"/>
                <w:szCs w:val="22"/>
              </w:rPr>
              <w:t>37.33%</w:t>
            </w:r>
          </w:p>
        </w:tc>
      </w:tr>
      <w:tr w:rsidR="00541110" w:rsidRPr="00F33771" w14:paraId="07C41C90" w14:textId="77777777" w:rsidTr="00914DFC">
        <w:trPr>
          <w:trHeight w:val="247"/>
          <w:jc w:val="center"/>
        </w:trPr>
        <w:tc>
          <w:tcPr>
            <w:tcW w:w="0" w:type="auto"/>
            <w:tcMar>
              <w:top w:w="0" w:type="dxa"/>
              <w:left w:w="30" w:type="dxa"/>
              <w:bottom w:w="0" w:type="dxa"/>
              <w:right w:w="30" w:type="dxa"/>
            </w:tcMar>
            <w:hideMark/>
          </w:tcPr>
          <w:p w14:paraId="59776A4A"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40.00%</w:t>
            </w:r>
          </w:p>
        </w:tc>
        <w:tc>
          <w:tcPr>
            <w:tcW w:w="0" w:type="auto"/>
            <w:tcMar>
              <w:top w:w="0" w:type="dxa"/>
              <w:left w:w="30" w:type="dxa"/>
              <w:bottom w:w="0" w:type="dxa"/>
              <w:right w:w="30" w:type="dxa"/>
            </w:tcMar>
            <w:hideMark/>
          </w:tcPr>
          <w:p w14:paraId="55358634"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60.00%</w:t>
            </w:r>
          </w:p>
        </w:tc>
        <w:tc>
          <w:tcPr>
            <w:tcW w:w="0" w:type="auto"/>
            <w:tcMar>
              <w:top w:w="0" w:type="dxa"/>
              <w:left w:w="30" w:type="dxa"/>
              <w:bottom w:w="0" w:type="dxa"/>
              <w:right w:w="30" w:type="dxa"/>
            </w:tcMar>
            <w:hideMark/>
          </w:tcPr>
          <w:p w14:paraId="016A5342" w14:textId="77777777" w:rsidR="00541110" w:rsidRPr="00F33771" w:rsidRDefault="00541110" w:rsidP="00914DFC">
            <w:pPr>
              <w:pStyle w:val="TX-TableText"/>
              <w:rPr>
                <w:rFonts w:ascii="Calibri" w:hAnsi="Calibri"/>
                <w:sz w:val="22"/>
                <w:szCs w:val="22"/>
              </w:rPr>
            </w:pPr>
            <w:r>
              <w:rPr>
                <w:rFonts w:ascii="Calibri" w:hAnsi="Calibri"/>
                <w:sz w:val="22"/>
                <w:szCs w:val="22"/>
              </w:rPr>
              <w:t>150</w:t>
            </w:r>
          </w:p>
        </w:tc>
        <w:tc>
          <w:tcPr>
            <w:tcW w:w="0" w:type="auto"/>
            <w:tcMar>
              <w:top w:w="0" w:type="dxa"/>
              <w:left w:w="30" w:type="dxa"/>
              <w:bottom w:w="0" w:type="dxa"/>
              <w:right w:w="30" w:type="dxa"/>
            </w:tcMar>
            <w:vAlign w:val="bottom"/>
          </w:tcPr>
          <w:p w14:paraId="6708C0B3" w14:textId="77777777" w:rsidR="00541110" w:rsidRPr="00B83C46" w:rsidRDefault="00541110" w:rsidP="00914DFC">
            <w:pPr>
              <w:pStyle w:val="TX-TableText"/>
              <w:rPr>
                <w:rFonts w:ascii="Calibri" w:hAnsi="Calibri"/>
                <w:sz w:val="22"/>
                <w:szCs w:val="22"/>
              </w:rPr>
            </w:pPr>
            <w:r w:rsidRPr="00B83C46">
              <w:rPr>
                <w:rFonts w:ascii="Calibri" w:hAnsi="Calibri"/>
                <w:sz w:val="22"/>
                <w:szCs w:val="22"/>
              </w:rPr>
              <w:t>0.00160</w:t>
            </w:r>
          </w:p>
        </w:tc>
        <w:tc>
          <w:tcPr>
            <w:tcW w:w="0" w:type="auto"/>
            <w:tcMar>
              <w:top w:w="0" w:type="dxa"/>
              <w:left w:w="30" w:type="dxa"/>
              <w:bottom w:w="0" w:type="dxa"/>
              <w:right w:w="30" w:type="dxa"/>
            </w:tcMar>
            <w:vAlign w:val="bottom"/>
          </w:tcPr>
          <w:p w14:paraId="55D575EF" w14:textId="77777777" w:rsidR="00541110" w:rsidRPr="00B83C46" w:rsidRDefault="00541110" w:rsidP="00914DFC">
            <w:pPr>
              <w:pStyle w:val="TX-TableText"/>
              <w:rPr>
                <w:rFonts w:ascii="Calibri" w:hAnsi="Calibri"/>
                <w:sz w:val="22"/>
                <w:szCs w:val="22"/>
              </w:rPr>
            </w:pPr>
            <w:r w:rsidRPr="00B83C46">
              <w:rPr>
                <w:rFonts w:ascii="Calibri" w:hAnsi="Calibri"/>
                <w:sz w:val="22"/>
                <w:szCs w:val="22"/>
              </w:rPr>
              <w:t>0.04000</w:t>
            </w:r>
          </w:p>
        </w:tc>
        <w:tc>
          <w:tcPr>
            <w:tcW w:w="0" w:type="auto"/>
            <w:tcMar>
              <w:top w:w="0" w:type="dxa"/>
              <w:left w:w="30" w:type="dxa"/>
              <w:bottom w:w="0" w:type="dxa"/>
              <w:right w:w="30" w:type="dxa"/>
            </w:tcMar>
            <w:vAlign w:val="bottom"/>
          </w:tcPr>
          <w:p w14:paraId="791A2E22" w14:textId="77777777" w:rsidR="00541110" w:rsidRPr="00B83C46" w:rsidRDefault="00541110" w:rsidP="00914DFC">
            <w:pPr>
              <w:pStyle w:val="TX-TableText"/>
              <w:rPr>
                <w:rFonts w:ascii="Calibri" w:hAnsi="Calibri"/>
                <w:sz w:val="22"/>
                <w:szCs w:val="22"/>
              </w:rPr>
            </w:pPr>
            <w:r w:rsidRPr="00B83C46">
              <w:rPr>
                <w:rFonts w:ascii="Calibri" w:hAnsi="Calibri"/>
                <w:sz w:val="22"/>
                <w:szCs w:val="22"/>
              </w:rPr>
              <w:t>10.00%</w:t>
            </w:r>
          </w:p>
        </w:tc>
        <w:tc>
          <w:tcPr>
            <w:tcW w:w="0" w:type="auto"/>
            <w:tcMar>
              <w:top w:w="0" w:type="dxa"/>
              <w:left w:w="30" w:type="dxa"/>
              <w:bottom w:w="0" w:type="dxa"/>
              <w:right w:w="30" w:type="dxa"/>
            </w:tcMar>
            <w:vAlign w:val="bottom"/>
          </w:tcPr>
          <w:p w14:paraId="7C68C629" w14:textId="77777777" w:rsidR="00541110" w:rsidRPr="00B83C46" w:rsidRDefault="00541110" w:rsidP="00914DFC">
            <w:pPr>
              <w:pStyle w:val="TX-TableText"/>
              <w:rPr>
                <w:rFonts w:ascii="Calibri" w:hAnsi="Calibri"/>
                <w:sz w:val="22"/>
                <w:szCs w:val="22"/>
              </w:rPr>
            </w:pPr>
            <w:r w:rsidRPr="00B83C46">
              <w:rPr>
                <w:rFonts w:ascii="Calibri" w:hAnsi="Calibri"/>
                <w:sz w:val="22"/>
                <w:szCs w:val="22"/>
              </w:rPr>
              <w:t>32.16%</w:t>
            </w:r>
          </w:p>
        </w:tc>
        <w:tc>
          <w:tcPr>
            <w:tcW w:w="0" w:type="auto"/>
            <w:tcMar>
              <w:top w:w="0" w:type="dxa"/>
              <w:left w:w="30" w:type="dxa"/>
              <w:bottom w:w="0" w:type="dxa"/>
              <w:right w:w="30" w:type="dxa"/>
            </w:tcMar>
            <w:vAlign w:val="bottom"/>
          </w:tcPr>
          <w:p w14:paraId="5A86FDD1" w14:textId="77777777" w:rsidR="00541110" w:rsidRPr="00B83C46" w:rsidRDefault="00541110" w:rsidP="00914DFC">
            <w:pPr>
              <w:pStyle w:val="TX-TableText"/>
              <w:rPr>
                <w:rFonts w:ascii="Calibri" w:hAnsi="Calibri"/>
                <w:sz w:val="22"/>
                <w:szCs w:val="22"/>
              </w:rPr>
            </w:pPr>
            <w:r w:rsidRPr="00B83C46">
              <w:rPr>
                <w:rFonts w:ascii="Calibri" w:hAnsi="Calibri"/>
                <w:sz w:val="22"/>
                <w:szCs w:val="22"/>
              </w:rPr>
              <w:t>47.84%</w:t>
            </w:r>
          </w:p>
        </w:tc>
      </w:tr>
      <w:tr w:rsidR="00541110" w:rsidRPr="00F33771" w14:paraId="11E7E9D3" w14:textId="77777777" w:rsidTr="00914DFC">
        <w:trPr>
          <w:trHeight w:val="247"/>
          <w:jc w:val="center"/>
        </w:trPr>
        <w:tc>
          <w:tcPr>
            <w:tcW w:w="0" w:type="auto"/>
            <w:tcMar>
              <w:top w:w="0" w:type="dxa"/>
              <w:left w:w="30" w:type="dxa"/>
              <w:bottom w:w="0" w:type="dxa"/>
              <w:right w:w="30" w:type="dxa"/>
            </w:tcMar>
            <w:hideMark/>
          </w:tcPr>
          <w:p w14:paraId="0988676E"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50.00%</w:t>
            </w:r>
          </w:p>
        </w:tc>
        <w:tc>
          <w:tcPr>
            <w:tcW w:w="0" w:type="auto"/>
            <w:tcMar>
              <w:top w:w="0" w:type="dxa"/>
              <w:left w:w="30" w:type="dxa"/>
              <w:bottom w:w="0" w:type="dxa"/>
              <w:right w:w="30" w:type="dxa"/>
            </w:tcMar>
            <w:hideMark/>
          </w:tcPr>
          <w:p w14:paraId="50F49365"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50.00%</w:t>
            </w:r>
          </w:p>
        </w:tc>
        <w:tc>
          <w:tcPr>
            <w:tcW w:w="0" w:type="auto"/>
            <w:tcMar>
              <w:top w:w="0" w:type="dxa"/>
              <w:left w:w="30" w:type="dxa"/>
              <w:bottom w:w="0" w:type="dxa"/>
              <w:right w:w="30" w:type="dxa"/>
            </w:tcMar>
            <w:hideMark/>
          </w:tcPr>
          <w:p w14:paraId="51C75884" w14:textId="77777777" w:rsidR="00541110" w:rsidRPr="00F33771" w:rsidRDefault="00541110" w:rsidP="00914DFC">
            <w:pPr>
              <w:pStyle w:val="TX-TableText"/>
              <w:rPr>
                <w:rFonts w:ascii="Calibri" w:hAnsi="Calibri"/>
                <w:sz w:val="22"/>
                <w:szCs w:val="22"/>
              </w:rPr>
            </w:pPr>
            <w:r>
              <w:rPr>
                <w:rFonts w:ascii="Calibri" w:hAnsi="Calibri"/>
                <w:sz w:val="22"/>
                <w:szCs w:val="22"/>
              </w:rPr>
              <w:t>150</w:t>
            </w:r>
          </w:p>
        </w:tc>
        <w:tc>
          <w:tcPr>
            <w:tcW w:w="0" w:type="auto"/>
            <w:tcMar>
              <w:top w:w="0" w:type="dxa"/>
              <w:left w:w="30" w:type="dxa"/>
              <w:bottom w:w="0" w:type="dxa"/>
              <w:right w:w="30" w:type="dxa"/>
            </w:tcMar>
            <w:vAlign w:val="bottom"/>
          </w:tcPr>
          <w:p w14:paraId="679B9D16" w14:textId="77777777" w:rsidR="00541110" w:rsidRPr="00B83C46" w:rsidRDefault="00541110" w:rsidP="00914DFC">
            <w:pPr>
              <w:pStyle w:val="TX-TableText"/>
              <w:rPr>
                <w:rFonts w:ascii="Calibri" w:hAnsi="Calibri"/>
                <w:sz w:val="22"/>
                <w:szCs w:val="22"/>
              </w:rPr>
            </w:pPr>
            <w:r w:rsidRPr="00B83C46">
              <w:rPr>
                <w:rFonts w:ascii="Calibri" w:hAnsi="Calibri"/>
                <w:sz w:val="22"/>
                <w:szCs w:val="22"/>
              </w:rPr>
              <w:t>0.00167</w:t>
            </w:r>
          </w:p>
        </w:tc>
        <w:tc>
          <w:tcPr>
            <w:tcW w:w="0" w:type="auto"/>
            <w:tcMar>
              <w:top w:w="0" w:type="dxa"/>
              <w:left w:w="30" w:type="dxa"/>
              <w:bottom w:w="0" w:type="dxa"/>
              <w:right w:w="30" w:type="dxa"/>
            </w:tcMar>
            <w:vAlign w:val="bottom"/>
          </w:tcPr>
          <w:p w14:paraId="57E64CBA" w14:textId="77777777" w:rsidR="00541110" w:rsidRPr="00B83C46" w:rsidRDefault="00541110" w:rsidP="00914DFC">
            <w:pPr>
              <w:pStyle w:val="TX-TableText"/>
              <w:rPr>
                <w:rFonts w:ascii="Calibri" w:hAnsi="Calibri"/>
                <w:sz w:val="22"/>
                <w:szCs w:val="22"/>
              </w:rPr>
            </w:pPr>
            <w:r w:rsidRPr="00B83C46">
              <w:rPr>
                <w:rFonts w:ascii="Calibri" w:hAnsi="Calibri"/>
                <w:sz w:val="22"/>
                <w:szCs w:val="22"/>
              </w:rPr>
              <w:t>0.04082</w:t>
            </w:r>
          </w:p>
        </w:tc>
        <w:tc>
          <w:tcPr>
            <w:tcW w:w="0" w:type="auto"/>
            <w:tcMar>
              <w:top w:w="0" w:type="dxa"/>
              <w:left w:w="30" w:type="dxa"/>
              <w:bottom w:w="0" w:type="dxa"/>
              <w:right w:w="30" w:type="dxa"/>
            </w:tcMar>
            <w:vAlign w:val="bottom"/>
          </w:tcPr>
          <w:p w14:paraId="391A5F73" w14:textId="77777777" w:rsidR="00541110" w:rsidRPr="00B83C46" w:rsidRDefault="00541110" w:rsidP="00914DFC">
            <w:pPr>
              <w:pStyle w:val="TX-TableText"/>
              <w:rPr>
                <w:rFonts w:ascii="Calibri" w:hAnsi="Calibri"/>
                <w:sz w:val="22"/>
                <w:szCs w:val="22"/>
              </w:rPr>
            </w:pPr>
            <w:r w:rsidRPr="00B83C46">
              <w:rPr>
                <w:rFonts w:ascii="Calibri" w:hAnsi="Calibri"/>
                <w:sz w:val="22"/>
                <w:szCs w:val="22"/>
              </w:rPr>
              <w:t>8.16%</w:t>
            </w:r>
          </w:p>
        </w:tc>
        <w:tc>
          <w:tcPr>
            <w:tcW w:w="0" w:type="auto"/>
            <w:tcMar>
              <w:top w:w="0" w:type="dxa"/>
              <w:left w:w="30" w:type="dxa"/>
              <w:bottom w:w="0" w:type="dxa"/>
              <w:right w:w="30" w:type="dxa"/>
            </w:tcMar>
            <w:vAlign w:val="bottom"/>
          </w:tcPr>
          <w:p w14:paraId="43CC9D7D" w14:textId="77777777" w:rsidR="00541110" w:rsidRPr="00B83C46" w:rsidRDefault="00541110" w:rsidP="00914DFC">
            <w:pPr>
              <w:pStyle w:val="TX-TableText"/>
              <w:rPr>
                <w:rFonts w:ascii="Calibri" w:hAnsi="Calibri"/>
                <w:sz w:val="22"/>
                <w:szCs w:val="22"/>
              </w:rPr>
            </w:pPr>
            <w:r w:rsidRPr="00B83C46">
              <w:rPr>
                <w:rFonts w:ascii="Calibri" w:hAnsi="Calibri"/>
                <w:sz w:val="22"/>
                <w:szCs w:val="22"/>
              </w:rPr>
              <w:t>42.00%</w:t>
            </w:r>
          </w:p>
        </w:tc>
        <w:tc>
          <w:tcPr>
            <w:tcW w:w="0" w:type="auto"/>
            <w:tcMar>
              <w:top w:w="0" w:type="dxa"/>
              <w:left w:w="30" w:type="dxa"/>
              <w:bottom w:w="0" w:type="dxa"/>
              <w:right w:w="30" w:type="dxa"/>
            </w:tcMar>
            <w:vAlign w:val="bottom"/>
          </w:tcPr>
          <w:p w14:paraId="1BC28EAB" w14:textId="77777777" w:rsidR="00541110" w:rsidRPr="00B83C46" w:rsidRDefault="00541110" w:rsidP="00914DFC">
            <w:pPr>
              <w:pStyle w:val="TX-TableText"/>
              <w:rPr>
                <w:rFonts w:ascii="Calibri" w:hAnsi="Calibri"/>
                <w:sz w:val="22"/>
                <w:szCs w:val="22"/>
              </w:rPr>
            </w:pPr>
            <w:r w:rsidRPr="00B83C46">
              <w:rPr>
                <w:rFonts w:ascii="Calibri" w:hAnsi="Calibri"/>
                <w:sz w:val="22"/>
                <w:szCs w:val="22"/>
              </w:rPr>
              <w:t>58.00%</w:t>
            </w:r>
          </w:p>
        </w:tc>
      </w:tr>
      <w:tr w:rsidR="00541110" w:rsidRPr="00F33771" w14:paraId="5B40F203" w14:textId="77777777" w:rsidTr="00914DFC">
        <w:trPr>
          <w:trHeight w:val="247"/>
          <w:jc w:val="center"/>
        </w:trPr>
        <w:tc>
          <w:tcPr>
            <w:tcW w:w="0" w:type="auto"/>
            <w:tcMar>
              <w:top w:w="0" w:type="dxa"/>
              <w:left w:w="30" w:type="dxa"/>
              <w:bottom w:w="0" w:type="dxa"/>
              <w:right w:w="30" w:type="dxa"/>
            </w:tcMar>
            <w:hideMark/>
          </w:tcPr>
          <w:p w14:paraId="090203DF"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60.00%</w:t>
            </w:r>
          </w:p>
        </w:tc>
        <w:tc>
          <w:tcPr>
            <w:tcW w:w="0" w:type="auto"/>
            <w:tcMar>
              <w:top w:w="0" w:type="dxa"/>
              <w:left w:w="30" w:type="dxa"/>
              <w:bottom w:w="0" w:type="dxa"/>
              <w:right w:w="30" w:type="dxa"/>
            </w:tcMar>
            <w:hideMark/>
          </w:tcPr>
          <w:p w14:paraId="2D5B28AD"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40.00%</w:t>
            </w:r>
          </w:p>
        </w:tc>
        <w:tc>
          <w:tcPr>
            <w:tcW w:w="0" w:type="auto"/>
            <w:tcMar>
              <w:top w:w="0" w:type="dxa"/>
              <w:left w:w="30" w:type="dxa"/>
              <w:bottom w:w="0" w:type="dxa"/>
              <w:right w:w="30" w:type="dxa"/>
            </w:tcMar>
            <w:hideMark/>
          </w:tcPr>
          <w:p w14:paraId="1D344433" w14:textId="77777777" w:rsidR="00541110" w:rsidRPr="00F33771" w:rsidRDefault="00541110" w:rsidP="00914DFC">
            <w:pPr>
              <w:pStyle w:val="TX-TableText"/>
              <w:rPr>
                <w:rFonts w:ascii="Calibri" w:hAnsi="Calibri"/>
                <w:sz w:val="22"/>
                <w:szCs w:val="22"/>
              </w:rPr>
            </w:pPr>
            <w:r>
              <w:rPr>
                <w:rFonts w:ascii="Calibri" w:hAnsi="Calibri"/>
                <w:sz w:val="22"/>
                <w:szCs w:val="22"/>
              </w:rPr>
              <w:t>150</w:t>
            </w:r>
          </w:p>
        </w:tc>
        <w:tc>
          <w:tcPr>
            <w:tcW w:w="0" w:type="auto"/>
            <w:tcMar>
              <w:top w:w="0" w:type="dxa"/>
              <w:left w:w="30" w:type="dxa"/>
              <w:bottom w:w="0" w:type="dxa"/>
              <w:right w:w="30" w:type="dxa"/>
            </w:tcMar>
            <w:vAlign w:val="bottom"/>
          </w:tcPr>
          <w:p w14:paraId="792919B6" w14:textId="77777777" w:rsidR="00541110" w:rsidRPr="00B83C46" w:rsidRDefault="00541110" w:rsidP="00914DFC">
            <w:pPr>
              <w:pStyle w:val="TX-TableText"/>
              <w:rPr>
                <w:rFonts w:ascii="Calibri" w:hAnsi="Calibri"/>
                <w:sz w:val="22"/>
                <w:szCs w:val="22"/>
              </w:rPr>
            </w:pPr>
            <w:r w:rsidRPr="00B83C46">
              <w:rPr>
                <w:rFonts w:ascii="Calibri" w:hAnsi="Calibri"/>
                <w:sz w:val="22"/>
                <w:szCs w:val="22"/>
              </w:rPr>
              <w:t>0.00160</w:t>
            </w:r>
          </w:p>
        </w:tc>
        <w:tc>
          <w:tcPr>
            <w:tcW w:w="0" w:type="auto"/>
            <w:tcMar>
              <w:top w:w="0" w:type="dxa"/>
              <w:left w:w="30" w:type="dxa"/>
              <w:bottom w:w="0" w:type="dxa"/>
              <w:right w:w="30" w:type="dxa"/>
            </w:tcMar>
            <w:vAlign w:val="bottom"/>
          </w:tcPr>
          <w:p w14:paraId="38CC5C5F" w14:textId="77777777" w:rsidR="00541110" w:rsidRPr="00B83C46" w:rsidRDefault="00541110" w:rsidP="00914DFC">
            <w:pPr>
              <w:pStyle w:val="TX-TableText"/>
              <w:rPr>
                <w:rFonts w:ascii="Calibri" w:hAnsi="Calibri"/>
                <w:sz w:val="22"/>
                <w:szCs w:val="22"/>
              </w:rPr>
            </w:pPr>
            <w:r w:rsidRPr="00B83C46">
              <w:rPr>
                <w:rFonts w:ascii="Calibri" w:hAnsi="Calibri"/>
                <w:sz w:val="22"/>
                <w:szCs w:val="22"/>
              </w:rPr>
              <w:t>0.04000</w:t>
            </w:r>
          </w:p>
        </w:tc>
        <w:tc>
          <w:tcPr>
            <w:tcW w:w="0" w:type="auto"/>
            <w:tcMar>
              <w:top w:w="0" w:type="dxa"/>
              <w:left w:w="30" w:type="dxa"/>
              <w:bottom w:w="0" w:type="dxa"/>
              <w:right w:w="30" w:type="dxa"/>
            </w:tcMar>
            <w:vAlign w:val="bottom"/>
          </w:tcPr>
          <w:p w14:paraId="130068BA" w14:textId="77777777" w:rsidR="00541110" w:rsidRPr="00B83C46" w:rsidRDefault="00541110" w:rsidP="00914DFC">
            <w:pPr>
              <w:pStyle w:val="TX-TableText"/>
              <w:rPr>
                <w:rFonts w:ascii="Calibri" w:hAnsi="Calibri"/>
                <w:sz w:val="22"/>
                <w:szCs w:val="22"/>
              </w:rPr>
            </w:pPr>
            <w:r w:rsidRPr="00B83C46">
              <w:rPr>
                <w:rFonts w:ascii="Calibri" w:hAnsi="Calibri"/>
                <w:sz w:val="22"/>
                <w:szCs w:val="22"/>
              </w:rPr>
              <w:t>6.67%</w:t>
            </w:r>
          </w:p>
        </w:tc>
        <w:tc>
          <w:tcPr>
            <w:tcW w:w="0" w:type="auto"/>
            <w:tcMar>
              <w:top w:w="0" w:type="dxa"/>
              <w:left w:w="30" w:type="dxa"/>
              <w:bottom w:w="0" w:type="dxa"/>
              <w:right w:w="30" w:type="dxa"/>
            </w:tcMar>
            <w:vAlign w:val="bottom"/>
          </w:tcPr>
          <w:p w14:paraId="11BE749A" w14:textId="77777777" w:rsidR="00541110" w:rsidRPr="00B83C46" w:rsidRDefault="00541110" w:rsidP="00914DFC">
            <w:pPr>
              <w:pStyle w:val="TX-TableText"/>
              <w:rPr>
                <w:rFonts w:ascii="Calibri" w:hAnsi="Calibri"/>
                <w:sz w:val="22"/>
                <w:szCs w:val="22"/>
              </w:rPr>
            </w:pPr>
            <w:r w:rsidRPr="00B83C46">
              <w:rPr>
                <w:rFonts w:ascii="Calibri" w:hAnsi="Calibri"/>
                <w:sz w:val="22"/>
                <w:szCs w:val="22"/>
              </w:rPr>
              <w:t>52.16%</w:t>
            </w:r>
          </w:p>
        </w:tc>
        <w:tc>
          <w:tcPr>
            <w:tcW w:w="0" w:type="auto"/>
            <w:tcMar>
              <w:top w:w="0" w:type="dxa"/>
              <w:left w:w="30" w:type="dxa"/>
              <w:bottom w:w="0" w:type="dxa"/>
              <w:right w:w="30" w:type="dxa"/>
            </w:tcMar>
            <w:vAlign w:val="bottom"/>
          </w:tcPr>
          <w:p w14:paraId="528BE0EE" w14:textId="77777777" w:rsidR="00541110" w:rsidRPr="00B83C46" w:rsidRDefault="00541110" w:rsidP="00914DFC">
            <w:pPr>
              <w:pStyle w:val="TX-TableText"/>
              <w:rPr>
                <w:rFonts w:ascii="Calibri" w:hAnsi="Calibri"/>
                <w:sz w:val="22"/>
                <w:szCs w:val="22"/>
              </w:rPr>
            </w:pPr>
            <w:r w:rsidRPr="00B83C46">
              <w:rPr>
                <w:rFonts w:ascii="Calibri" w:hAnsi="Calibri"/>
                <w:sz w:val="22"/>
                <w:szCs w:val="22"/>
              </w:rPr>
              <w:t>67.84%</w:t>
            </w:r>
          </w:p>
        </w:tc>
      </w:tr>
      <w:tr w:rsidR="00541110" w:rsidRPr="00F33771" w14:paraId="1489B147" w14:textId="77777777" w:rsidTr="00914DFC">
        <w:trPr>
          <w:trHeight w:val="247"/>
          <w:jc w:val="center"/>
        </w:trPr>
        <w:tc>
          <w:tcPr>
            <w:tcW w:w="0" w:type="auto"/>
            <w:tcBorders>
              <w:top w:val="nil"/>
              <w:left w:val="nil"/>
              <w:bottom w:val="single" w:sz="8" w:space="0" w:color="auto"/>
              <w:right w:val="nil"/>
            </w:tcBorders>
            <w:tcMar>
              <w:top w:w="0" w:type="dxa"/>
              <w:left w:w="30" w:type="dxa"/>
              <w:bottom w:w="0" w:type="dxa"/>
              <w:right w:w="30" w:type="dxa"/>
            </w:tcMar>
            <w:hideMark/>
          </w:tcPr>
          <w:p w14:paraId="659137FA"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70.00%</w:t>
            </w:r>
          </w:p>
        </w:tc>
        <w:tc>
          <w:tcPr>
            <w:tcW w:w="0" w:type="auto"/>
            <w:tcBorders>
              <w:top w:val="nil"/>
              <w:left w:val="nil"/>
              <w:bottom w:val="single" w:sz="8" w:space="0" w:color="auto"/>
              <w:right w:val="nil"/>
            </w:tcBorders>
            <w:tcMar>
              <w:top w:w="0" w:type="dxa"/>
              <w:left w:w="30" w:type="dxa"/>
              <w:bottom w:w="0" w:type="dxa"/>
              <w:right w:w="30" w:type="dxa"/>
            </w:tcMar>
            <w:hideMark/>
          </w:tcPr>
          <w:p w14:paraId="0F1D5853" w14:textId="77777777" w:rsidR="00541110" w:rsidRPr="00F33771" w:rsidRDefault="00541110" w:rsidP="00914DFC">
            <w:pPr>
              <w:pStyle w:val="TX-TableText"/>
              <w:rPr>
                <w:rFonts w:ascii="Calibri" w:hAnsi="Calibri"/>
                <w:sz w:val="22"/>
                <w:szCs w:val="22"/>
              </w:rPr>
            </w:pPr>
            <w:r w:rsidRPr="00F33771">
              <w:rPr>
                <w:rFonts w:ascii="Calibri" w:hAnsi="Calibri"/>
                <w:sz w:val="22"/>
                <w:szCs w:val="22"/>
              </w:rPr>
              <w:t>30.00%</w:t>
            </w:r>
          </w:p>
        </w:tc>
        <w:tc>
          <w:tcPr>
            <w:tcW w:w="0" w:type="auto"/>
            <w:tcBorders>
              <w:top w:val="nil"/>
              <w:left w:val="nil"/>
              <w:bottom w:val="single" w:sz="8" w:space="0" w:color="auto"/>
              <w:right w:val="nil"/>
            </w:tcBorders>
            <w:tcMar>
              <w:top w:w="0" w:type="dxa"/>
              <w:left w:w="30" w:type="dxa"/>
              <w:bottom w:w="0" w:type="dxa"/>
              <w:right w:w="30" w:type="dxa"/>
            </w:tcMar>
            <w:hideMark/>
          </w:tcPr>
          <w:p w14:paraId="73D22E35" w14:textId="77777777" w:rsidR="00541110" w:rsidRPr="00F33771" w:rsidRDefault="00541110" w:rsidP="00914DFC">
            <w:pPr>
              <w:pStyle w:val="TX-TableText"/>
              <w:rPr>
                <w:rFonts w:ascii="Calibri" w:hAnsi="Calibri"/>
                <w:sz w:val="22"/>
                <w:szCs w:val="22"/>
              </w:rPr>
            </w:pPr>
            <w:r>
              <w:rPr>
                <w:rFonts w:ascii="Calibri" w:hAnsi="Calibri"/>
                <w:sz w:val="22"/>
                <w:szCs w:val="22"/>
              </w:rPr>
              <w:t>150</w:t>
            </w:r>
          </w:p>
        </w:tc>
        <w:tc>
          <w:tcPr>
            <w:tcW w:w="0" w:type="auto"/>
            <w:tcBorders>
              <w:top w:val="nil"/>
              <w:left w:val="nil"/>
              <w:bottom w:val="single" w:sz="8" w:space="0" w:color="auto"/>
              <w:right w:val="nil"/>
            </w:tcBorders>
            <w:tcMar>
              <w:top w:w="0" w:type="dxa"/>
              <w:left w:w="30" w:type="dxa"/>
              <w:bottom w:w="0" w:type="dxa"/>
              <w:right w:w="30" w:type="dxa"/>
            </w:tcMar>
            <w:vAlign w:val="bottom"/>
          </w:tcPr>
          <w:p w14:paraId="6143A116" w14:textId="77777777" w:rsidR="00541110" w:rsidRPr="00B83C46" w:rsidRDefault="00541110" w:rsidP="00914DFC">
            <w:pPr>
              <w:pStyle w:val="TX-TableText"/>
              <w:rPr>
                <w:rFonts w:ascii="Calibri" w:hAnsi="Calibri"/>
                <w:sz w:val="22"/>
                <w:szCs w:val="22"/>
              </w:rPr>
            </w:pPr>
            <w:r w:rsidRPr="00B83C46">
              <w:rPr>
                <w:rFonts w:ascii="Calibri" w:hAnsi="Calibri"/>
                <w:sz w:val="22"/>
                <w:szCs w:val="22"/>
              </w:rPr>
              <w:t>0.00140</w:t>
            </w:r>
          </w:p>
        </w:tc>
        <w:tc>
          <w:tcPr>
            <w:tcW w:w="0" w:type="auto"/>
            <w:tcBorders>
              <w:top w:val="nil"/>
              <w:left w:val="nil"/>
              <w:bottom w:val="single" w:sz="8" w:space="0" w:color="auto"/>
              <w:right w:val="nil"/>
            </w:tcBorders>
            <w:tcMar>
              <w:top w:w="0" w:type="dxa"/>
              <w:left w:w="30" w:type="dxa"/>
              <w:bottom w:w="0" w:type="dxa"/>
              <w:right w:w="30" w:type="dxa"/>
            </w:tcMar>
            <w:vAlign w:val="bottom"/>
          </w:tcPr>
          <w:p w14:paraId="7A87B02A" w14:textId="77777777" w:rsidR="00541110" w:rsidRPr="00B83C46" w:rsidRDefault="00541110" w:rsidP="00914DFC">
            <w:pPr>
              <w:pStyle w:val="TX-TableText"/>
              <w:rPr>
                <w:rFonts w:ascii="Calibri" w:hAnsi="Calibri"/>
                <w:sz w:val="22"/>
                <w:szCs w:val="22"/>
              </w:rPr>
            </w:pPr>
            <w:r w:rsidRPr="00B83C46">
              <w:rPr>
                <w:rFonts w:ascii="Calibri" w:hAnsi="Calibri"/>
                <w:sz w:val="22"/>
                <w:szCs w:val="22"/>
              </w:rPr>
              <w:t>0.03742</w:t>
            </w:r>
          </w:p>
        </w:tc>
        <w:tc>
          <w:tcPr>
            <w:tcW w:w="0" w:type="auto"/>
            <w:tcBorders>
              <w:top w:val="nil"/>
              <w:left w:val="nil"/>
              <w:bottom w:val="single" w:sz="8" w:space="0" w:color="auto"/>
              <w:right w:val="nil"/>
            </w:tcBorders>
            <w:tcMar>
              <w:top w:w="0" w:type="dxa"/>
              <w:left w:w="30" w:type="dxa"/>
              <w:bottom w:w="0" w:type="dxa"/>
              <w:right w:w="30" w:type="dxa"/>
            </w:tcMar>
            <w:vAlign w:val="bottom"/>
          </w:tcPr>
          <w:p w14:paraId="427E4008" w14:textId="77777777" w:rsidR="00541110" w:rsidRPr="00B83C46" w:rsidRDefault="00541110" w:rsidP="00914DFC">
            <w:pPr>
              <w:pStyle w:val="TX-TableText"/>
              <w:rPr>
                <w:rFonts w:ascii="Calibri" w:hAnsi="Calibri"/>
                <w:sz w:val="22"/>
                <w:szCs w:val="22"/>
              </w:rPr>
            </w:pPr>
            <w:r w:rsidRPr="00B83C46">
              <w:rPr>
                <w:rFonts w:ascii="Calibri" w:hAnsi="Calibri"/>
                <w:sz w:val="22"/>
                <w:szCs w:val="22"/>
              </w:rPr>
              <w:t>5.35%</w:t>
            </w:r>
          </w:p>
        </w:tc>
        <w:tc>
          <w:tcPr>
            <w:tcW w:w="0" w:type="auto"/>
            <w:tcBorders>
              <w:top w:val="nil"/>
              <w:left w:val="nil"/>
              <w:bottom w:val="single" w:sz="8" w:space="0" w:color="auto"/>
              <w:right w:val="nil"/>
            </w:tcBorders>
            <w:tcMar>
              <w:top w:w="0" w:type="dxa"/>
              <w:left w:w="30" w:type="dxa"/>
              <w:bottom w:w="0" w:type="dxa"/>
              <w:right w:w="30" w:type="dxa"/>
            </w:tcMar>
            <w:vAlign w:val="bottom"/>
          </w:tcPr>
          <w:p w14:paraId="006B47A8" w14:textId="77777777" w:rsidR="00541110" w:rsidRPr="00B83C46" w:rsidRDefault="00541110" w:rsidP="00914DFC">
            <w:pPr>
              <w:pStyle w:val="TX-TableText"/>
              <w:rPr>
                <w:rFonts w:ascii="Calibri" w:hAnsi="Calibri"/>
                <w:sz w:val="22"/>
                <w:szCs w:val="22"/>
              </w:rPr>
            </w:pPr>
            <w:r w:rsidRPr="00B83C46">
              <w:rPr>
                <w:rFonts w:ascii="Calibri" w:hAnsi="Calibri"/>
                <w:sz w:val="22"/>
                <w:szCs w:val="22"/>
              </w:rPr>
              <w:t>62.67%</w:t>
            </w:r>
          </w:p>
        </w:tc>
        <w:tc>
          <w:tcPr>
            <w:tcW w:w="0" w:type="auto"/>
            <w:tcBorders>
              <w:top w:val="nil"/>
              <w:left w:val="nil"/>
              <w:bottom w:val="single" w:sz="8" w:space="0" w:color="auto"/>
              <w:right w:val="nil"/>
            </w:tcBorders>
            <w:tcMar>
              <w:top w:w="0" w:type="dxa"/>
              <w:left w:w="30" w:type="dxa"/>
              <w:bottom w:w="0" w:type="dxa"/>
              <w:right w:w="30" w:type="dxa"/>
            </w:tcMar>
            <w:vAlign w:val="bottom"/>
          </w:tcPr>
          <w:p w14:paraId="2EA895DB" w14:textId="77777777" w:rsidR="00541110" w:rsidRPr="00B83C46" w:rsidRDefault="00541110" w:rsidP="00914DFC">
            <w:pPr>
              <w:pStyle w:val="TX-TableText"/>
              <w:rPr>
                <w:rFonts w:ascii="Calibri" w:hAnsi="Calibri"/>
                <w:sz w:val="22"/>
                <w:szCs w:val="22"/>
              </w:rPr>
            </w:pPr>
            <w:r w:rsidRPr="00B83C46">
              <w:rPr>
                <w:rFonts w:ascii="Calibri" w:hAnsi="Calibri"/>
                <w:sz w:val="22"/>
                <w:szCs w:val="22"/>
              </w:rPr>
              <w:t>77.33%</w:t>
            </w:r>
          </w:p>
        </w:tc>
      </w:tr>
    </w:tbl>
    <w:p w14:paraId="0457F828" w14:textId="77777777" w:rsidR="00207F7C" w:rsidRPr="00382BA6" w:rsidRDefault="00207F7C" w:rsidP="00207F7C">
      <w:pPr>
        <w:pStyle w:val="Heading2"/>
        <w:rPr>
          <w:rFonts w:cs="Times New Roman"/>
        </w:rPr>
      </w:pPr>
      <w:bookmarkStart w:id="2" w:name="_Toc267035211"/>
      <w:proofErr w:type="spellStart"/>
      <w:r w:rsidRPr="00120D3B">
        <w:rPr>
          <w:rFonts w:cs="Times New Roman"/>
        </w:rPr>
        <w:t>B.2</w:t>
      </w:r>
      <w:proofErr w:type="spellEnd"/>
      <w:r w:rsidRPr="00120D3B">
        <w:rPr>
          <w:rFonts w:cs="Times New Roman"/>
        </w:rPr>
        <w:t>.</w:t>
      </w:r>
      <w:r w:rsidRPr="00120D3B">
        <w:rPr>
          <w:rFonts w:cs="Times New Roman"/>
        </w:rPr>
        <w:tab/>
        <w:t>Describe p</w:t>
      </w:r>
      <w:r w:rsidRPr="00382BA6">
        <w:rPr>
          <w:rFonts w:cs="Times New Roman"/>
        </w:rPr>
        <w:t>rocedures for the collection of information</w:t>
      </w:r>
      <w:bookmarkEnd w:id="2"/>
      <w:r w:rsidRPr="00382BA6">
        <w:rPr>
          <w:rFonts w:cs="Times New Roman"/>
        </w:rPr>
        <w:t xml:space="preserve"> </w:t>
      </w:r>
    </w:p>
    <w:p w14:paraId="0457F829" w14:textId="77777777" w:rsidR="00207F7C" w:rsidRPr="00382BA6" w:rsidRDefault="00207F7C" w:rsidP="00207F7C">
      <w:pPr>
        <w:rPr>
          <w:b/>
          <w:bCs/>
        </w:rPr>
      </w:pPr>
    </w:p>
    <w:p w14:paraId="0457F82A" w14:textId="77777777" w:rsidR="00295027" w:rsidRPr="008C3A9F" w:rsidRDefault="00295027" w:rsidP="00295027">
      <w:pPr>
        <w:pStyle w:val="L1-FlLSp12"/>
      </w:pPr>
      <w:r>
        <w:t>Once potential respondents are identified, they will be administered a recruitment screening questionnaire to determine eligibility for participation in the study</w:t>
      </w:r>
      <w:r w:rsidR="00142659">
        <w:t xml:space="preserve"> (</w:t>
      </w:r>
      <w:r w:rsidR="00BC6B8F">
        <w:rPr>
          <w:b/>
        </w:rPr>
        <w:t>Appendix</w:t>
      </w:r>
      <w:r w:rsidR="00142659" w:rsidRPr="00043E47">
        <w:rPr>
          <w:b/>
        </w:rPr>
        <w:t xml:space="preserve"> </w:t>
      </w:r>
      <w:r w:rsidR="00F8102E">
        <w:rPr>
          <w:b/>
        </w:rPr>
        <w:t>E</w:t>
      </w:r>
      <w:r>
        <w:t xml:space="preserve">).  The screening questionnaire </w:t>
      </w:r>
      <w:r w:rsidRPr="008C3A9F">
        <w:t>collects information on age, sex, race, experience with child restraint seats, and seat belt use. Potential participants will be specifically asked if they have any experience installing a CRS, as well as how often they install them, asked to provide an indication of the last time they installed a CRS, which CRS types (make and model) they use, and if they ever participated in a seat</w:t>
      </w:r>
      <w:r>
        <w:t xml:space="preserve"> check.  The screener questionnaire</w:t>
      </w:r>
      <w:r w:rsidRPr="008C3A9F">
        <w:t xml:space="preserve"> will also ask potential participants if they are able to lift and carry 25 </w:t>
      </w:r>
      <w:proofErr w:type="spellStart"/>
      <w:r w:rsidRPr="008C3A9F">
        <w:t>lbs</w:t>
      </w:r>
      <w:proofErr w:type="spellEnd"/>
      <w:r w:rsidRPr="008C3A9F">
        <w:t xml:space="preserve"> and move in and out of a vehicle</w:t>
      </w:r>
      <w:r>
        <w:t>,</w:t>
      </w:r>
      <w:r w:rsidRPr="008C3A9F">
        <w:t xml:space="preserve"> so we can verify all scheduled participants can perform the task at hand.  We also </w:t>
      </w:r>
      <w:r w:rsidR="0043141B">
        <w:t xml:space="preserve">will </w:t>
      </w:r>
      <w:r w:rsidRPr="008C3A9F">
        <w:t>ask if they have any medical conditions affecting dexterity or motor skills, as these may contribute to installation errors, but participants will not be excluded for this reason</w:t>
      </w:r>
      <w:r>
        <w:t>.</w:t>
      </w:r>
      <w:r w:rsidRPr="008C3A9F">
        <w:t xml:space="preserve">  </w:t>
      </w:r>
    </w:p>
    <w:p w14:paraId="0457F82B" w14:textId="77777777" w:rsidR="00295027" w:rsidRPr="008C3A9F" w:rsidRDefault="00295027" w:rsidP="00295027"/>
    <w:p w14:paraId="0457F82C" w14:textId="77777777" w:rsidR="00207F7C" w:rsidRPr="008C3A9F" w:rsidRDefault="00207F7C" w:rsidP="00207F7C">
      <w:pPr>
        <w:pStyle w:val="L1-FlLSp12"/>
      </w:pPr>
      <w:r w:rsidRPr="008C3A9F">
        <w:t xml:space="preserve">Each session will begin with the experimenter providing a brief introduction </w:t>
      </w:r>
      <w:r>
        <w:t>to</w:t>
      </w:r>
      <w:r w:rsidRPr="008C3A9F">
        <w:t xml:space="preserve"> the study, after which each participant will be required to sign a consent form. Prior to installing the CRSs, participants will complete a questionnaire assessing their risk appraisal specific to motor vehicle crash and injury risks (including inaccurate CRS installations). The questionnaire will be completed prior to installing the CRSs to minimize the influence of installing a child safety seat in several vehicles on some of their responses regarding risk appraisal of crash and injury</w:t>
      </w:r>
      <w:r>
        <w:t xml:space="preserve"> (See </w:t>
      </w:r>
      <w:r w:rsidRPr="00D83865">
        <w:rPr>
          <w:b/>
        </w:rPr>
        <w:t xml:space="preserve">Appendix </w:t>
      </w:r>
      <w:r w:rsidR="00F8102E">
        <w:rPr>
          <w:b/>
        </w:rPr>
        <w:t>F</w:t>
      </w:r>
      <w:r>
        <w:t>)</w:t>
      </w:r>
      <w:r w:rsidRPr="008C3A9F">
        <w:t>.</w:t>
      </w:r>
    </w:p>
    <w:p w14:paraId="0457F82D" w14:textId="77777777" w:rsidR="00207F7C" w:rsidRPr="008C3A9F" w:rsidRDefault="00207F7C" w:rsidP="00207F7C">
      <w:pPr>
        <w:pStyle w:val="L1-FlLSp12"/>
      </w:pPr>
    </w:p>
    <w:p w14:paraId="0457F82E" w14:textId="77777777" w:rsidR="00207F7C" w:rsidRPr="008C3A9F" w:rsidRDefault="00207F7C" w:rsidP="00207F7C">
      <w:pPr>
        <w:pStyle w:val="L1-FlLSp12"/>
      </w:pPr>
      <w:r w:rsidRPr="008C3A9F">
        <w:t>Once the survey has been completed, each participant will be asked to install a CRS for each of the four child-size dummies (16-month-old, 3-year-old, 6-year-old, and 8-year-old) into one of the four vehicle types(sedan, SUV, min</w:t>
      </w:r>
      <w:r w:rsidR="00663F6C">
        <w:t>i</w:t>
      </w:r>
      <w:r w:rsidRPr="008C3A9F">
        <w:t>van, truck).  Vehicle</w:t>
      </w:r>
      <w:r w:rsidR="0043141B">
        <w:t xml:space="preserve"> </w:t>
      </w:r>
      <w:r w:rsidRPr="008C3A9F">
        <w:t xml:space="preserve">and CRS make and model will be assigned to each participant and trial in such a way that the assignment to participants and trials is random, yet </w:t>
      </w:r>
      <w:r w:rsidR="0043141B">
        <w:t xml:space="preserve">achieves </w:t>
      </w:r>
      <w:r w:rsidRPr="008C3A9F">
        <w:t xml:space="preserve">a balance across the 150 participants and 600 trials with respect to these dimensions and factors. </w:t>
      </w:r>
    </w:p>
    <w:p w14:paraId="0457F82F" w14:textId="77777777" w:rsidR="00207F7C" w:rsidRPr="008C3A9F" w:rsidRDefault="00207F7C" w:rsidP="00207F7C">
      <w:pPr>
        <w:pStyle w:val="L1-FlLSp12"/>
      </w:pPr>
    </w:p>
    <w:p w14:paraId="0457F830" w14:textId="77777777" w:rsidR="00207F7C" w:rsidRPr="008C3A9F" w:rsidRDefault="00207F7C" w:rsidP="00207F7C">
      <w:pPr>
        <w:pStyle w:val="L1-FlLSp12"/>
      </w:pPr>
      <w:r w:rsidRPr="008C3A9F">
        <w:t xml:space="preserve">Participants will be provided with the age, height, and weight of the child, likely on a card hanging around the child size doll’s neck and also by verbal instructions from the researcher. Participants will be asked to select the appropriate CRS to install for the child’s age, height and weight. Participants will be provided with the owner’s manual of the vehicle as well as the instruction manual for the CRS and informed that they are available for their use. No verbal instructions on how to use the CRS features or vehicle features will be provided, unless the participant is simply unable to install the CRS within some criterion time (to be determined during pilot testing). Participants will then be asked to complete each installation by securing the CRS to the vehicle and securing the doll in the CRS. </w:t>
      </w:r>
    </w:p>
    <w:p w14:paraId="0457F831" w14:textId="77777777" w:rsidR="00207F7C" w:rsidRPr="008C3A9F" w:rsidRDefault="00207F7C" w:rsidP="00207F7C">
      <w:pPr>
        <w:pStyle w:val="L1-FlLSp12"/>
      </w:pPr>
    </w:p>
    <w:p w14:paraId="0457F832" w14:textId="3DEFC4F2" w:rsidR="00207F7C" w:rsidRPr="008C3A9F" w:rsidRDefault="00207F7C" w:rsidP="00207F7C">
      <w:pPr>
        <w:pStyle w:val="L1-FlLSp12"/>
        <w:tabs>
          <w:tab w:val="clear" w:pos="1152"/>
          <w:tab w:val="left" w:pos="0"/>
        </w:tabs>
      </w:pPr>
      <w:r w:rsidRPr="008C3A9F">
        <w:t>The order of installations for a given participant will be randomized with respect to</w:t>
      </w:r>
      <w:r w:rsidR="00541110">
        <w:t xml:space="preserve"> vehicle type</w:t>
      </w:r>
      <w:r w:rsidRPr="008C3A9F">
        <w:t xml:space="preserve"> and child</w:t>
      </w:r>
      <w:r w:rsidR="0043141B">
        <w:t xml:space="preserve"> dummy type </w:t>
      </w:r>
      <w:r w:rsidRPr="008C3A9F">
        <w:t xml:space="preserve">to preclude any effects of sequence and control for any learning or fatigue that </w:t>
      </w:r>
      <w:r w:rsidRPr="008C3A9F">
        <w:lastRenderedPageBreak/>
        <w:t>might take place. After each installation, various types of objective and subjective measures will be collected via an interviewer-administered questionnaire</w:t>
      </w:r>
      <w:r>
        <w:t xml:space="preserve"> </w:t>
      </w:r>
      <w:r w:rsidRPr="00737B77">
        <w:t>(See</w:t>
      </w:r>
      <w:r w:rsidRPr="00D83865">
        <w:rPr>
          <w:b/>
        </w:rPr>
        <w:t xml:space="preserve"> Appendix </w:t>
      </w:r>
      <w:r w:rsidR="00BC6B8F">
        <w:rPr>
          <w:b/>
        </w:rPr>
        <w:t>G</w:t>
      </w:r>
      <w:r w:rsidRPr="00737B77">
        <w:t>)</w:t>
      </w:r>
      <w:r w:rsidRPr="008C3A9F">
        <w:t xml:space="preserve">. Together, these measures will describe how the participant used the CRS, what problems were encountered, errors identified, how acceptable the system was to the user, and the degree of confidence each participant exhibited with correctly installing the CRS to the vehicle and securing the child in the CRS. Participants will convey this information by responding to a series of ratings and open-ended questions regarding the ease of installation and challenges related to usability of the CRS, it’s manual, and the vehicle features and manual. </w:t>
      </w:r>
    </w:p>
    <w:p w14:paraId="0457F833" w14:textId="77777777" w:rsidR="00207F7C" w:rsidRPr="008C3A9F" w:rsidRDefault="00207F7C" w:rsidP="00207F7C">
      <w:pPr>
        <w:pStyle w:val="L1-FlLSp12"/>
      </w:pPr>
    </w:p>
    <w:p w14:paraId="0457F834" w14:textId="77777777" w:rsidR="00207F7C" w:rsidRPr="008C3A9F" w:rsidRDefault="00207F7C" w:rsidP="00207F7C">
      <w:pPr>
        <w:pStyle w:val="L1-FlLSp12"/>
      </w:pPr>
      <w:r w:rsidRPr="008C3A9F">
        <w:t>Following the installation</w:t>
      </w:r>
      <w:r w:rsidR="0043141B">
        <w:t xml:space="preserve"> and</w:t>
      </w:r>
      <w:r w:rsidRPr="008C3A9F">
        <w:t xml:space="preserve"> while the participant </w:t>
      </w:r>
      <w:r>
        <w:t>is being administered</w:t>
      </w:r>
      <w:r w:rsidRPr="008C3A9F">
        <w:t xml:space="preserve"> the </w:t>
      </w:r>
      <w:r>
        <w:t xml:space="preserve">post-install </w:t>
      </w:r>
      <w:r w:rsidRPr="008C3A9F">
        <w:t xml:space="preserve">questionnaire, </w:t>
      </w:r>
      <w:r>
        <w:t>another</w:t>
      </w:r>
      <w:r w:rsidRPr="008C3A9F">
        <w:t xml:space="preserve"> researcher will examine the CRS in the vehicle for proper installation and record any installation errors observed</w:t>
      </w:r>
      <w:r w:rsidR="00A212A4">
        <w:t>.</w:t>
      </w:r>
      <w:r>
        <w:t xml:space="preserve"> </w:t>
      </w:r>
      <w:r w:rsidRPr="008C3A9F">
        <w:t>The researcher will look for specific types of installation errors with respect to each type of CRS, vehicle type, and child size. The data gathered will serve two purposes. First, NHTSA</w:t>
      </w:r>
      <w:r>
        <w:t xml:space="preserve"> </w:t>
      </w:r>
      <w:r w:rsidRPr="008C3A9F">
        <w:t>will be able to determine how successfully each participant was able to use the instruction manuals and various design features to correctly install the CRS. In addition, NHTSA will use the data to objectively evaluate different installation errors that relate to the physical design features on the CRS, CRS manual/vehicle manual, and vehicle features.</w:t>
      </w:r>
    </w:p>
    <w:p w14:paraId="0457F835" w14:textId="77777777" w:rsidR="00207F7C" w:rsidRPr="008C3A9F" w:rsidRDefault="00207F7C" w:rsidP="00207F7C">
      <w:pPr>
        <w:pStyle w:val="L1-FlLSp12"/>
      </w:pPr>
    </w:p>
    <w:p w14:paraId="0457F836" w14:textId="77777777" w:rsidR="00207F7C" w:rsidRPr="008C3A9F" w:rsidRDefault="00207F7C" w:rsidP="00207F7C">
      <w:pPr>
        <w:pStyle w:val="L1-FlLSp12"/>
      </w:pPr>
      <w:r w:rsidRPr="008C3A9F">
        <w:t>All data will be treated with sensitivity and security considerations commensurate with its level of confidential content. Security measures will include, but not be limited to:</w:t>
      </w:r>
    </w:p>
    <w:p w14:paraId="0457F837" w14:textId="77777777" w:rsidR="00207F7C" w:rsidRPr="008C3A9F" w:rsidRDefault="00207F7C" w:rsidP="00207F7C">
      <w:pPr>
        <w:pStyle w:val="L1-FlLSp12"/>
      </w:pPr>
    </w:p>
    <w:p w14:paraId="0457F838" w14:textId="77777777" w:rsidR="00207F7C" w:rsidRPr="008C3A9F" w:rsidRDefault="00207F7C" w:rsidP="00207F7C">
      <w:pPr>
        <w:pStyle w:val="N1-1stBullet"/>
        <w:numPr>
          <w:ilvl w:val="0"/>
          <w:numId w:val="2"/>
        </w:numPr>
      </w:pPr>
      <w:r w:rsidRPr="008C3A9F">
        <w:t>Carefully controlled access to the Contractor’s password protected server location associated with the participant data via project director and system administrator authorization.</w:t>
      </w:r>
    </w:p>
    <w:p w14:paraId="0457F839" w14:textId="77777777" w:rsidR="00207F7C" w:rsidRPr="008C3A9F" w:rsidRDefault="00207F7C" w:rsidP="00207F7C">
      <w:pPr>
        <w:pStyle w:val="N1-1stBullet"/>
        <w:numPr>
          <w:ilvl w:val="0"/>
          <w:numId w:val="2"/>
        </w:numPr>
      </w:pPr>
      <w:r w:rsidRPr="008C3A9F">
        <w:t>Identification of participants by a unique subject numbering convention that will be kept separate from the data files and used only for study administration personnel requirements.</w:t>
      </w:r>
    </w:p>
    <w:p w14:paraId="0457F83A" w14:textId="77777777" w:rsidR="00207F7C" w:rsidRPr="008C3A9F" w:rsidRDefault="00207F7C" w:rsidP="00207F7C">
      <w:pPr>
        <w:pStyle w:val="N1-1stBullet"/>
        <w:numPr>
          <w:ilvl w:val="0"/>
          <w:numId w:val="2"/>
        </w:numPr>
      </w:pPr>
      <w:r w:rsidRPr="008C3A9F">
        <w:t>Provision of password access only to key staff as needed.</w:t>
      </w:r>
    </w:p>
    <w:p w14:paraId="0457F83B" w14:textId="77777777" w:rsidR="00207F7C" w:rsidRPr="008C3A9F" w:rsidRDefault="00207F7C" w:rsidP="00207F7C">
      <w:pPr>
        <w:tabs>
          <w:tab w:val="left" w:pos="0"/>
        </w:tabs>
        <w:rPr>
          <w:rFonts w:ascii="Garamond" w:hAnsi="Garamond"/>
        </w:rPr>
      </w:pPr>
      <w:r w:rsidRPr="008C3A9F">
        <w:rPr>
          <w:rFonts w:ascii="Garamond" w:hAnsi="Garamond"/>
        </w:rPr>
        <w:t xml:space="preserve">Payment of the honorarium shall take place after the participant completes all four installations. </w:t>
      </w:r>
    </w:p>
    <w:p w14:paraId="0457F83C" w14:textId="77777777" w:rsidR="00207F7C" w:rsidRPr="00120D3B" w:rsidRDefault="00207F7C" w:rsidP="00207F7C">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457F83D" w14:textId="77777777" w:rsidR="00207F7C" w:rsidRPr="00120D3B" w:rsidRDefault="00207F7C" w:rsidP="00207F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0457F83E" w14:textId="77777777" w:rsidR="00207F7C" w:rsidRPr="00AE6B23" w:rsidRDefault="00207F7C" w:rsidP="00207F7C">
      <w:pPr>
        <w:pStyle w:val="Heading2"/>
        <w:keepNext/>
        <w:rPr>
          <w:rFonts w:cs="Times New Roman"/>
        </w:rPr>
      </w:pPr>
      <w:bookmarkStart w:id="3" w:name="_Toc267035212"/>
      <w:proofErr w:type="spellStart"/>
      <w:r w:rsidRPr="00120D3B">
        <w:rPr>
          <w:rFonts w:cs="Times New Roman"/>
        </w:rPr>
        <w:t>B.3</w:t>
      </w:r>
      <w:proofErr w:type="spellEnd"/>
      <w:r w:rsidRPr="00120D3B">
        <w:rPr>
          <w:rFonts w:cs="Times New Roman"/>
        </w:rPr>
        <w:t>.</w:t>
      </w:r>
      <w:r w:rsidRPr="00120D3B">
        <w:rPr>
          <w:rFonts w:cs="Times New Roman"/>
        </w:rPr>
        <w:tab/>
      </w:r>
      <w:r w:rsidRPr="00382BA6">
        <w:rPr>
          <w:rFonts w:cs="Times New Roman"/>
        </w:rPr>
        <w:t>Describe methods to maximize response rates and to deal with issues of non-r</w:t>
      </w:r>
      <w:r w:rsidRPr="00AE6B23">
        <w:rPr>
          <w:rFonts w:cs="Times New Roman"/>
        </w:rPr>
        <w:t>esponse</w:t>
      </w:r>
      <w:bookmarkEnd w:id="3"/>
      <w:r w:rsidRPr="00AE6B23">
        <w:rPr>
          <w:rFonts w:cs="Times New Roman"/>
        </w:rPr>
        <w:t xml:space="preserve">  </w:t>
      </w:r>
    </w:p>
    <w:p w14:paraId="0457F83F" w14:textId="77777777" w:rsidR="00207F7C" w:rsidRPr="00AE6B23" w:rsidRDefault="00207F7C" w:rsidP="00207F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457F840" w14:textId="77777777" w:rsidR="00207F7C" w:rsidRPr="008C3A9F" w:rsidRDefault="00A212A4" w:rsidP="00207F7C">
      <w:pPr>
        <w:rPr>
          <w:rFonts w:ascii="Garamond" w:hAnsi="Garamond"/>
        </w:rPr>
      </w:pPr>
      <w:r>
        <w:rPr>
          <w:rFonts w:ascii="Garamond" w:hAnsi="Garamond"/>
        </w:rPr>
        <w:t>Participation in this study is voluntary.  Several methods will be utilized to maximize response rates, including:</w:t>
      </w:r>
    </w:p>
    <w:p w14:paraId="0457F841" w14:textId="77777777" w:rsidR="00207F7C" w:rsidRPr="008C3A9F" w:rsidRDefault="00207F7C" w:rsidP="00207F7C"/>
    <w:p w14:paraId="0457F842" w14:textId="77777777" w:rsidR="00A212A4" w:rsidRDefault="00A212A4" w:rsidP="00A212A4">
      <w:pPr>
        <w:pStyle w:val="ListParagraph"/>
        <w:numPr>
          <w:ilvl w:val="0"/>
          <w:numId w:val="4"/>
        </w:numPr>
        <w:rPr>
          <w:rFonts w:ascii="Garamond" w:hAnsi="Garamond"/>
        </w:rPr>
      </w:pPr>
      <w:r>
        <w:rPr>
          <w:rFonts w:ascii="Garamond" w:hAnsi="Garamond"/>
        </w:rPr>
        <w:t xml:space="preserve">Completing </w:t>
      </w:r>
      <w:r w:rsidR="00207F7C" w:rsidRPr="00A212A4">
        <w:rPr>
          <w:rFonts w:ascii="Garamond" w:hAnsi="Garamond"/>
        </w:rPr>
        <w:t>recruiting</w:t>
      </w:r>
      <w:r w:rsidR="0038082F">
        <w:rPr>
          <w:rFonts w:ascii="Garamond" w:hAnsi="Garamond"/>
        </w:rPr>
        <w:t xml:space="preserve"> and </w:t>
      </w:r>
      <w:r w:rsidR="00207F7C" w:rsidRPr="00A212A4">
        <w:rPr>
          <w:rFonts w:ascii="Garamond" w:hAnsi="Garamond"/>
        </w:rPr>
        <w:t>screening</w:t>
      </w:r>
      <w:r>
        <w:rPr>
          <w:rFonts w:ascii="Garamond" w:hAnsi="Garamond"/>
        </w:rPr>
        <w:t xml:space="preserve"> by telephone for potential participant convenience</w:t>
      </w:r>
    </w:p>
    <w:p w14:paraId="0457F843" w14:textId="77777777" w:rsidR="000B05C7" w:rsidRDefault="00A212A4" w:rsidP="00A212A4">
      <w:pPr>
        <w:pStyle w:val="ListParagraph"/>
        <w:numPr>
          <w:ilvl w:val="0"/>
          <w:numId w:val="4"/>
        </w:numPr>
        <w:rPr>
          <w:rFonts w:ascii="Garamond" w:hAnsi="Garamond"/>
        </w:rPr>
      </w:pPr>
      <w:r>
        <w:rPr>
          <w:rFonts w:ascii="Garamond" w:hAnsi="Garamond"/>
        </w:rPr>
        <w:t xml:space="preserve">Mailing </w:t>
      </w:r>
      <w:r w:rsidR="00207F7C" w:rsidRPr="00A212A4">
        <w:rPr>
          <w:rFonts w:ascii="Garamond" w:hAnsi="Garamond"/>
        </w:rPr>
        <w:t>a confirmation letter within 48 hours of the initial call</w:t>
      </w:r>
      <w:r w:rsidR="000B05C7">
        <w:rPr>
          <w:rFonts w:ascii="Garamond" w:hAnsi="Garamond"/>
        </w:rPr>
        <w:t xml:space="preserve">, including </w:t>
      </w:r>
      <w:r w:rsidR="00207F7C" w:rsidRPr="00A212A4">
        <w:rPr>
          <w:rFonts w:ascii="Garamond" w:hAnsi="Garamond"/>
        </w:rPr>
        <w:t xml:space="preserve"> an agenda, schedule, location of the data collection session</w:t>
      </w:r>
      <w:r w:rsidR="000B05C7">
        <w:rPr>
          <w:rFonts w:ascii="Garamond" w:hAnsi="Garamond"/>
        </w:rPr>
        <w:t>,</w:t>
      </w:r>
      <w:r w:rsidR="00207F7C" w:rsidRPr="00A212A4">
        <w:rPr>
          <w:rFonts w:ascii="Garamond" w:hAnsi="Garamond"/>
        </w:rPr>
        <w:t xml:space="preserve"> directions to the site, and a contact telephone number in case of cancellation or questions  </w:t>
      </w:r>
    </w:p>
    <w:p w14:paraId="0457F844" w14:textId="77777777" w:rsidR="0038082F" w:rsidRDefault="000B05C7" w:rsidP="000B05C7">
      <w:pPr>
        <w:pStyle w:val="ListParagraph"/>
        <w:numPr>
          <w:ilvl w:val="0"/>
          <w:numId w:val="4"/>
        </w:numPr>
        <w:rPr>
          <w:rFonts w:ascii="Garamond" w:hAnsi="Garamond"/>
        </w:rPr>
      </w:pPr>
      <w:r>
        <w:rPr>
          <w:rFonts w:ascii="Garamond" w:hAnsi="Garamond"/>
        </w:rPr>
        <w:t>Conducting r</w:t>
      </w:r>
      <w:r w:rsidR="00207F7C" w:rsidRPr="000B05C7">
        <w:rPr>
          <w:rFonts w:ascii="Garamond" w:hAnsi="Garamond"/>
        </w:rPr>
        <w:t xml:space="preserve">eminder calls within 24 hours of the scheduled session to boost </w:t>
      </w:r>
      <w:r w:rsidRPr="000B05C7">
        <w:rPr>
          <w:rFonts w:ascii="Garamond" w:hAnsi="Garamond"/>
        </w:rPr>
        <w:t>show rate and help alleviate schedule misunderstandings or forgetfulness</w:t>
      </w:r>
      <w:r w:rsidR="0038082F">
        <w:rPr>
          <w:rFonts w:ascii="Garamond" w:hAnsi="Garamond"/>
        </w:rPr>
        <w:t>.</w:t>
      </w:r>
      <w:r w:rsidRPr="000B05C7">
        <w:rPr>
          <w:rFonts w:ascii="Garamond" w:hAnsi="Garamond"/>
        </w:rPr>
        <w:t xml:space="preserve"> </w:t>
      </w:r>
    </w:p>
    <w:p w14:paraId="0457F845" w14:textId="77777777" w:rsidR="00207F7C" w:rsidRPr="008C3A9F" w:rsidRDefault="000B05C7" w:rsidP="000B05C7">
      <w:pPr>
        <w:pStyle w:val="ListParagraph"/>
        <w:numPr>
          <w:ilvl w:val="0"/>
          <w:numId w:val="4"/>
        </w:numPr>
      </w:pPr>
      <w:r>
        <w:rPr>
          <w:rFonts w:ascii="Garamond" w:hAnsi="Garamond"/>
        </w:rPr>
        <w:t>Providing participants with a $75 incentive after completion of the study session to both encourage participation and session completion</w:t>
      </w:r>
      <w:r w:rsidR="0038082F">
        <w:rPr>
          <w:rFonts w:ascii="Garamond" w:hAnsi="Garamond"/>
        </w:rPr>
        <w:t>.</w:t>
      </w:r>
    </w:p>
    <w:p w14:paraId="0457F846" w14:textId="77777777" w:rsidR="00207F7C" w:rsidRPr="008C3A9F" w:rsidRDefault="00207F7C" w:rsidP="00207F7C">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457F847" w14:textId="77777777" w:rsidR="00207F7C" w:rsidRPr="00120D3B" w:rsidRDefault="00207F7C" w:rsidP="00207F7C">
      <w:pPr>
        <w:pStyle w:val="Heading2"/>
        <w:rPr>
          <w:rFonts w:cs="Times New Roman"/>
        </w:rPr>
      </w:pPr>
      <w:bookmarkStart w:id="4" w:name="_Toc267035213"/>
      <w:proofErr w:type="spellStart"/>
      <w:r w:rsidRPr="00120D3B">
        <w:rPr>
          <w:rFonts w:cs="Times New Roman"/>
        </w:rPr>
        <w:t>B.4</w:t>
      </w:r>
      <w:proofErr w:type="spellEnd"/>
      <w:r w:rsidRPr="00120D3B">
        <w:rPr>
          <w:rFonts w:cs="Times New Roman"/>
        </w:rPr>
        <w:t>.</w:t>
      </w:r>
      <w:r w:rsidRPr="00120D3B">
        <w:rPr>
          <w:rFonts w:cs="Times New Roman"/>
        </w:rPr>
        <w:tab/>
        <w:t>Describe tests for procedures or methods to be undertaken</w:t>
      </w:r>
      <w:bookmarkEnd w:id="4"/>
      <w:r w:rsidRPr="00120D3B">
        <w:rPr>
          <w:rFonts w:cs="Times New Roman"/>
        </w:rPr>
        <w:t xml:space="preserve">  </w:t>
      </w:r>
    </w:p>
    <w:p w14:paraId="0457F848" w14:textId="77777777" w:rsidR="00207F7C" w:rsidRPr="00120D3B" w:rsidRDefault="00207F7C" w:rsidP="00207F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0457F849" w14:textId="77777777" w:rsidR="00CA7663" w:rsidRDefault="00D14387" w:rsidP="00D14387">
      <w:pPr>
        <w:rPr>
          <w:rFonts w:ascii="Garamond" w:hAnsi="Garamond"/>
        </w:rPr>
      </w:pPr>
      <w:r>
        <w:rPr>
          <w:rFonts w:ascii="Garamond" w:hAnsi="Garamond"/>
        </w:rPr>
        <w:t>As part of the study design, the C</w:t>
      </w:r>
      <w:r w:rsidRPr="00D14387">
        <w:rPr>
          <w:rFonts w:ascii="Garamond" w:hAnsi="Garamond"/>
        </w:rPr>
        <w:t xml:space="preserve">ontractor will refine the study procedures by pilot testing the protocol and instructions </w:t>
      </w:r>
      <w:r>
        <w:rPr>
          <w:rFonts w:ascii="Garamond" w:hAnsi="Garamond"/>
        </w:rPr>
        <w:t xml:space="preserve">for all aspects of the study </w:t>
      </w:r>
      <w:r w:rsidRPr="00D14387">
        <w:rPr>
          <w:rFonts w:ascii="Garamond" w:hAnsi="Garamond"/>
        </w:rPr>
        <w:t xml:space="preserve">with 9 participants. </w:t>
      </w:r>
      <w:r>
        <w:rPr>
          <w:rFonts w:ascii="Garamond" w:hAnsi="Garamond"/>
        </w:rPr>
        <w:t xml:space="preserve"> The pilot study will allow the C</w:t>
      </w:r>
      <w:r w:rsidRPr="00D14387">
        <w:rPr>
          <w:rFonts w:ascii="Garamond" w:hAnsi="Garamond"/>
        </w:rPr>
        <w:t xml:space="preserve">ontractor to have a more accurate assessment of the overall time it will take to complete the session </w:t>
      </w:r>
      <w:r>
        <w:rPr>
          <w:rFonts w:ascii="Garamond" w:hAnsi="Garamond"/>
        </w:rPr>
        <w:t xml:space="preserve">as well as each task within the session.  While the current estimate for completing the study session is 2 hours, it is possible that the pilot study results may indicate that up to </w:t>
      </w:r>
      <w:r w:rsidRPr="00D14387">
        <w:rPr>
          <w:rFonts w:ascii="Garamond" w:hAnsi="Garamond"/>
        </w:rPr>
        <w:t>2 ½ hour</w:t>
      </w:r>
      <w:r>
        <w:rPr>
          <w:rFonts w:ascii="Garamond" w:hAnsi="Garamond"/>
        </w:rPr>
        <w:t>s are needed to complete the session.  Therefore, NHTSA has used the longest session time possible (i.e., 2 ½ hours) to calculate the overall burden for the pr</w:t>
      </w:r>
      <w:r w:rsidR="00CA7663">
        <w:rPr>
          <w:rFonts w:ascii="Garamond" w:hAnsi="Garamond"/>
        </w:rPr>
        <w:t xml:space="preserve">oposed information collection. </w:t>
      </w:r>
    </w:p>
    <w:p w14:paraId="0457F84A" w14:textId="77777777" w:rsidR="00CA7663" w:rsidRDefault="00CA7663" w:rsidP="00D14387">
      <w:pPr>
        <w:rPr>
          <w:rFonts w:ascii="Garamond" w:hAnsi="Garamond"/>
        </w:rPr>
      </w:pPr>
    </w:p>
    <w:p w14:paraId="0457F84B" w14:textId="77777777" w:rsidR="00D14387" w:rsidRDefault="00CA7663" w:rsidP="00D14387">
      <w:pPr>
        <w:rPr>
          <w:rFonts w:ascii="Garamond" w:hAnsi="Garamond"/>
        </w:rPr>
      </w:pPr>
      <w:r>
        <w:rPr>
          <w:rFonts w:ascii="Garamond" w:hAnsi="Garamond"/>
        </w:rPr>
        <w:t>The pilot study will also allow the C</w:t>
      </w:r>
      <w:r w:rsidR="00D14387" w:rsidRPr="00D14387">
        <w:rPr>
          <w:rFonts w:ascii="Garamond" w:hAnsi="Garamond"/>
        </w:rPr>
        <w:t>ontractor to assess the overall comprehension of the instructions and individual questionnaire items. Testing the instructions and questionnaires prior to implement</w:t>
      </w:r>
      <w:r>
        <w:rPr>
          <w:rFonts w:ascii="Garamond" w:hAnsi="Garamond"/>
        </w:rPr>
        <w:t>ing the study will provide the C</w:t>
      </w:r>
      <w:r w:rsidR="00D14387" w:rsidRPr="00D14387">
        <w:rPr>
          <w:rFonts w:ascii="Garamond" w:hAnsi="Garamond"/>
        </w:rPr>
        <w:t>ontractors with the opportunity to make slight wording changes when needed that will improve overall comprehension without changing the intent of the direction or questions.</w:t>
      </w:r>
    </w:p>
    <w:p w14:paraId="0457F84C" w14:textId="77777777" w:rsidR="00CA7663" w:rsidRDefault="00CA7663" w:rsidP="00D14387">
      <w:pPr>
        <w:rPr>
          <w:rFonts w:ascii="Garamond" w:hAnsi="Garamond"/>
        </w:rPr>
      </w:pPr>
    </w:p>
    <w:p w14:paraId="0457F84D" w14:textId="77777777" w:rsidR="00D14387" w:rsidRDefault="00CA7663" w:rsidP="00D14387">
      <w:pPr>
        <w:rPr>
          <w:rFonts w:ascii="Garamond" w:hAnsi="Garamond"/>
        </w:rPr>
      </w:pPr>
      <w:r>
        <w:rPr>
          <w:rFonts w:ascii="Garamond" w:hAnsi="Garamond"/>
        </w:rPr>
        <w:t xml:space="preserve">While NHTSA must account for this possibility, NHTSA </w:t>
      </w:r>
      <w:r w:rsidR="00AA11F0">
        <w:rPr>
          <w:rFonts w:ascii="Garamond" w:hAnsi="Garamond"/>
        </w:rPr>
        <w:t>foresees</w:t>
      </w:r>
      <w:r>
        <w:rPr>
          <w:rFonts w:ascii="Garamond" w:hAnsi="Garamond"/>
        </w:rPr>
        <w:t xml:space="preserve"> minimal changes to result from the pilot testing because it has </w:t>
      </w:r>
      <w:r w:rsidR="00D14387" w:rsidRPr="00D14387">
        <w:rPr>
          <w:rFonts w:ascii="Garamond" w:hAnsi="Garamond"/>
        </w:rPr>
        <w:t>consulted in-house with experts in t</w:t>
      </w:r>
      <w:r w:rsidR="00D14387">
        <w:rPr>
          <w:rFonts w:ascii="Garamond" w:hAnsi="Garamond"/>
        </w:rPr>
        <w:t>he area of CRS</w:t>
      </w:r>
      <w:r w:rsidR="00576691">
        <w:rPr>
          <w:rFonts w:ascii="Garamond" w:hAnsi="Garamond"/>
        </w:rPr>
        <w:t>, with the Contractor for the information collection, and</w:t>
      </w:r>
      <w:r w:rsidR="00D14387">
        <w:rPr>
          <w:rFonts w:ascii="Garamond" w:hAnsi="Garamond"/>
        </w:rPr>
        <w:t xml:space="preserve"> with </w:t>
      </w:r>
      <w:r w:rsidR="00D14387" w:rsidRPr="00D14387">
        <w:rPr>
          <w:rFonts w:ascii="Garamond" w:hAnsi="Garamond"/>
        </w:rPr>
        <w:t>Ms. Emilie Crown, an expert in the area of CRS</w:t>
      </w:r>
      <w:r w:rsidR="00D14387">
        <w:rPr>
          <w:rFonts w:ascii="Garamond" w:hAnsi="Garamond"/>
        </w:rPr>
        <w:t>, on the proposed information</w:t>
      </w:r>
      <w:r w:rsidR="00D14387" w:rsidRPr="00D14387">
        <w:rPr>
          <w:rFonts w:ascii="Garamond" w:hAnsi="Garamond"/>
        </w:rPr>
        <w:t xml:space="preserve"> collection effort. As a result, this study has been designed to complement current knowledge of proper CRS installation and child fit and to fill in key gaps in this knowledge base. </w:t>
      </w:r>
    </w:p>
    <w:p w14:paraId="0457F84E" w14:textId="77777777" w:rsidR="00D14387" w:rsidRDefault="00D14387" w:rsidP="00D14387">
      <w:pPr>
        <w:rPr>
          <w:rFonts w:ascii="Garamond" w:hAnsi="Garamond"/>
        </w:rPr>
      </w:pPr>
    </w:p>
    <w:p w14:paraId="0457F84F" w14:textId="77777777" w:rsidR="00207F7C" w:rsidRPr="00381394" w:rsidRDefault="00207F7C" w:rsidP="00207F7C">
      <w:pPr>
        <w:pStyle w:val="Heading2"/>
        <w:rPr>
          <w:rFonts w:cs="Times New Roman"/>
        </w:rPr>
      </w:pPr>
      <w:bookmarkStart w:id="5" w:name="_Toc267035214"/>
      <w:proofErr w:type="spellStart"/>
      <w:r>
        <w:rPr>
          <w:rFonts w:cs="Times New Roman"/>
        </w:rPr>
        <w:t>B.</w:t>
      </w:r>
      <w:r w:rsidRPr="00381394">
        <w:rPr>
          <w:rFonts w:cs="Times New Roman"/>
        </w:rPr>
        <w:t>5</w:t>
      </w:r>
      <w:proofErr w:type="spellEnd"/>
      <w:r w:rsidRPr="00381394">
        <w:rPr>
          <w:rFonts w:cs="Times New Roman"/>
        </w:rPr>
        <w:t>.</w:t>
      </w:r>
      <w:r w:rsidRPr="00381394">
        <w:rPr>
          <w:rFonts w:cs="Times New Roman"/>
        </w:rPr>
        <w:tab/>
      </w:r>
      <w:r>
        <w:rPr>
          <w:rFonts w:cs="Times New Roman"/>
        </w:rPr>
        <w:t>Provide name and telephone number for point of c</w:t>
      </w:r>
      <w:r w:rsidRPr="00381394">
        <w:rPr>
          <w:rFonts w:cs="Times New Roman"/>
        </w:rPr>
        <w:t>ontact</w:t>
      </w:r>
      <w:bookmarkEnd w:id="5"/>
    </w:p>
    <w:p w14:paraId="0457F850" w14:textId="77777777" w:rsidR="00207F7C" w:rsidRPr="00830E5B" w:rsidRDefault="00207F7C" w:rsidP="00207F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457F851" w14:textId="77777777" w:rsidR="00207F7C" w:rsidRPr="00120D3B" w:rsidRDefault="00081E15" w:rsidP="00207F7C">
      <w:pPr>
        <w:rPr>
          <w:szCs w:val="22"/>
        </w:rPr>
      </w:pPr>
      <w:r>
        <w:rPr>
          <w:szCs w:val="22"/>
        </w:rPr>
        <w:t>Mary T. Byrd, MA</w:t>
      </w:r>
    </w:p>
    <w:p w14:paraId="0457F852" w14:textId="77777777" w:rsidR="00207F7C" w:rsidRPr="00120D3B" w:rsidRDefault="00081E15" w:rsidP="00207F7C">
      <w:pPr>
        <w:rPr>
          <w:szCs w:val="22"/>
        </w:rPr>
      </w:pPr>
      <w:r>
        <w:rPr>
          <w:szCs w:val="22"/>
        </w:rPr>
        <w:t>Social Science Researcher</w:t>
      </w:r>
    </w:p>
    <w:p w14:paraId="0457F853" w14:textId="77777777" w:rsidR="00207F7C" w:rsidRPr="00120D3B" w:rsidRDefault="00207F7C" w:rsidP="00207F7C">
      <w:pPr>
        <w:rPr>
          <w:szCs w:val="22"/>
        </w:rPr>
      </w:pPr>
      <w:r w:rsidRPr="00120D3B">
        <w:rPr>
          <w:szCs w:val="22"/>
        </w:rPr>
        <w:t>National Highway Traffic Safety Administration, NTI-132</w:t>
      </w:r>
    </w:p>
    <w:p w14:paraId="0457F854" w14:textId="77777777" w:rsidR="00207F7C" w:rsidRPr="00120D3B" w:rsidRDefault="00207F7C" w:rsidP="00207F7C">
      <w:pPr>
        <w:rPr>
          <w:szCs w:val="22"/>
        </w:rPr>
      </w:pPr>
      <w:r w:rsidRPr="00120D3B">
        <w:rPr>
          <w:szCs w:val="22"/>
        </w:rPr>
        <w:t>1200 New Jersey Ave., S.E., West Bldg. 46-4</w:t>
      </w:r>
      <w:r w:rsidR="00081E15">
        <w:rPr>
          <w:szCs w:val="22"/>
        </w:rPr>
        <w:t>66</w:t>
      </w:r>
    </w:p>
    <w:p w14:paraId="0457F855" w14:textId="77777777" w:rsidR="00207F7C" w:rsidRPr="00120D3B" w:rsidRDefault="00207F7C" w:rsidP="00207F7C">
      <w:pPr>
        <w:rPr>
          <w:szCs w:val="22"/>
        </w:rPr>
      </w:pPr>
      <w:r w:rsidRPr="00120D3B">
        <w:rPr>
          <w:szCs w:val="22"/>
        </w:rPr>
        <w:t>Washington, D.C. 20590</w:t>
      </w:r>
    </w:p>
    <w:p w14:paraId="0457F856" w14:textId="77777777" w:rsidR="00207F7C" w:rsidRPr="00120D3B" w:rsidRDefault="00207F7C" w:rsidP="00207F7C">
      <w:pPr>
        <w:rPr>
          <w:noProof/>
        </w:rPr>
      </w:pPr>
      <w:r w:rsidRPr="00120D3B">
        <w:rPr>
          <w:noProof/>
        </w:rPr>
        <w:t>Phone: 202-366-</w:t>
      </w:r>
      <w:r w:rsidRPr="00FE782E">
        <w:rPr>
          <w:color w:val="17365D"/>
        </w:rPr>
        <w:t xml:space="preserve"> </w:t>
      </w:r>
      <w:r w:rsidR="00081E15">
        <w:rPr>
          <w:color w:val="17365D"/>
        </w:rPr>
        <w:t>5595</w:t>
      </w:r>
    </w:p>
    <w:p w14:paraId="0457F857" w14:textId="77777777" w:rsidR="00207F7C" w:rsidRPr="00120D3B" w:rsidRDefault="00207F7C" w:rsidP="00207F7C">
      <w:pPr>
        <w:rPr>
          <w:noProof/>
        </w:rPr>
      </w:pPr>
      <w:r w:rsidRPr="00120D3B">
        <w:rPr>
          <w:noProof/>
        </w:rPr>
        <w:t xml:space="preserve">Email: </w:t>
      </w:r>
      <w:hyperlink r:id="rId10" w:history="1">
        <w:r w:rsidR="00081E15">
          <w:rPr>
            <w:rStyle w:val="Hyperlink"/>
            <w:noProof/>
          </w:rPr>
          <w:t>Mary.Byrd</w:t>
        </w:r>
        <w:r w:rsidR="00081E15" w:rsidRPr="00120D3B">
          <w:rPr>
            <w:rStyle w:val="Hyperlink"/>
            <w:noProof/>
          </w:rPr>
          <w:t>@dot.gov</w:t>
        </w:r>
      </w:hyperlink>
    </w:p>
    <w:p w14:paraId="0457F858" w14:textId="77777777" w:rsidR="00207F7C" w:rsidRPr="00120D3B" w:rsidRDefault="00207F7C" w:rsidP="00207F7C"/>
    <w:p w14:paraId="0457F859" w14:textId="77777777" w:rsidR="00207F7C" w:rsidRPr="00120D3B" w:rsidRDefault="00207F7C" w:rsidP="00207F7C">
      <w:r w:rsidRPr="00120D3B">
        <w:t xml:space="preserve">Doreen De </w:t>
      </w:r>
      <w:proofErr w:type="spellStart"/>
      <w:r w:rsidRPr="00120D3B">
        <w:t>Leonardis</w:t>
      </w:r>
      <w:proofErr w:type="spellEnd"/>
      <w:r w:rsidRPr="00120D3B">
        <w:t>, Ph.D.</w:t>
      </w:r>
    </w:p>
    <w:p w14:paraId="0457F85A" w14:textId="77777777" w:rsidR="00207F7C" w:rsidRPr="00120D3B" w:rsidRDefault="00207F7C" w:rsidP="00207F7C">
      <w:r w:rsidRPr="00120D3B">
        <w:t>Senior Research Scientist</w:t>
      </w:r>
    </w:p>
    <w:p w14:paraId="0457F85B" w14:textId="77777777" w:rsidR="00207F7C" w:rsidRPr="00120D3B" w:rsidRDefault="00207F7C" w:rsidP="00207F7C">
      <w:proofErr w:type="spellStart"/>
      <w:r w:rsidRPr="00120D3B">
        <w:t>Westat</w:t>
      </w:r>
      <w:proofErr w:type="spellEnd"/>
    </w:p>
    <w:p w14:paraId="0457F85C" w14:textId="77777777" w:rsidR="00207F7C" w:rsidRPr="00120D3B" w:rsidRDefault="00207F7C" w:rsidP="00207F7C">
      <w:r w:rsidRPr="00120D3B">
        <w:t>1600 Research Boulevard</w:t>
      </w:r>
    </w:p>
    <w:p w14:paraId="0457F85D" w14:textId="77777777" w:rsidR="00207F7C" w:rsidRPr="00120D3B" w:rsidRDefault="00207F7C" w:rsidP="00207F7C">
      <w:r w:rsidRPr="00120D3B">
        <w:t>Rockville, MD. 20850</w:t>
      </w:r>
    </w:p>
    <w:p w14:paraId="0457F85E" w14:textId="77777777" w:rsidR="00207F7C" w:rsidRPr="00120D3B" w:rsidRDefault="00207F7C" w:rsidP="00207F7C">
      <w:r w:rsidRPr="00120D3B">
        <w:t>Phone: 301-315-5963</w:t>
      </w:r>
    </w:p>
    <w:p w14:paraId="0457F85F" w14:textId="77777777" w:rsidR="00207F7C" w:rsidRPr="00120D3B" w:rsidRDefault="00207F7C" w:rsidP="00207F7C">
      <w:r w:rsidRPr="00120D3B">
        <w:t xml:space="preserve">Email: </w:t>
      </w:r>
      <w:hyperlink r:id="rId11" w:history="1">
        <w:proofErr w:type="spellStart"/>
        <w:r w:rsidRPr="00120D3B">
          <w:rPr>
            <w:rStyle w:val="Hyperlink"/>
          </w:rPr>
          <w:t>deleond@westat.com</w:t>
        </w:r>
        <w:proofErr w:type="spellEnd"/>
      </w:hyperlink>
    </w:p>
    <w:p w14:paraId="0457F860" w14:textId="77777777" w:rsidR="00086BCC" w:rsidRDefault="008B534F" w:rsidP="00F051BC">
      <w:pPr>
        <w:autoSpaceDE/>
        <w:autoSpaceDN/>
        <w:adjustRightInd/>
      </w:pPr>
    </w:p>
    <w:sectPr w:rsidR="00086B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A1604D32"/>
    <w:lvl w:ilvl="0" w:tplc="DC0A262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3985F32"/>
    <w:multiLevelType w:val="hybridMultilevel"/>
    <w:tmpl w:val="AB10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B32A37"/>
    <w:multiLevelType w:val="hybridMultilevel"/>
    <w:tmpl w:val="8F541D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8B07BE9"/>
    <w:multiLevelType w:val="hybridMultilevel"/>
    <w:tmpl w:val="F0FC91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EA2096B"/>
    <w:multiLevelType w:val="hybridMultilevel"/>
    <w:tmpl w:val="F23A6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7F4E32EE"/>
    <w:multiLevelType w:val="hybridMultilevel"/>
    <w:tmpl w:val="3A6EEF6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F7C"/>
    <w:rsid w:val="000433F8"/>
    <w:rsid w:val="00043E47"/>
    <w:rsid w:val="00081E15"/>
    <w:rsid w:val="000B05C7"/>
    <w:rsid w:val="0013486A"/>
    <w:rsid w:val="00142659"/>
    <w:rsid w:val="00151FAD"/>
    <w:rsid w:val="00171709"/>
    <w:rsid w:val="00205968"/>
    <w:rsid w:val="00207F7C"/>
    <w:rsid w:val="00295027"/>
    <w:rsid w:val="003121E2"/>
    <w:rsid w:val="00333675"/>
    <w:rsid w:val="0038082F"/>
    <w:rsid w:val="003E6318"/>
    <w:rsid w:val="0043141B"/>
    <w:rsid w:val="0046783C"/>
    <w:rsid w:val="00541110"/>
    <w:rsid w:val="00576691"/>
    <w:rsid w:val="005B3E27"/>
    <w:rsid w:val="0061428E"/>
    <w:rsid w:val="00663F6C"/>
    <w:rsid w:val="006E2389"/>
    <w:rsid w:val="00745FF5"/>
    <w:rsid w:val="00752B74"/>
    <w:rsid w:val="00804F53"/>
    <w:rsid w:val="0085618C"/>
    <w:rsid w:val="008644FD"/>
    <w:rsid w:val="008B534F"/>
    <w:rsid w:val="00A212A4"/>
    <w:rsid w:val="00A3040E"/>
    <w:rsid w:val="00AA11F0"/>
    <w:rsid w:val="00B21260"/>
    <w:rsid w:val="00BC6B8F"/>
    <w:rsid w:val="00C46635"/>
    <w:rsid w:val="00C74121"/>
    <w:rsid w:val="00C74B3D"/>
    <w:rsid w:val="00CA7663"/>
    <w:rsid w:val="00D14387"/>
    <w:rsid w:val="00D53118"/>
    <w:rsid w:val="00D54328"/>
    <w:rsid w:val="00E672AC"/>
    <w:rsid w:val="00F051BC"/>
    <w:rsid w:val="00F13E70"/>
    <w:rsid w:val="00F33E9C"/>
    <w:rsid w:val="00F5756F"/>
    <w:rsid w:val="00F771DA"/>
    <w:rsid w:val="00F8102E"/>
    <w:rsid w:val="00FF5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7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F7C"/>
    <w:pPr>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207F7C"/>
    <w:pPr>
      <w:widowControl w:val="0"/>
      <w:tabs>
        <w:tab w:val="left" w:pos="720"/>
      </w:tabs>
      <w:ind w:left="720" w:hanging="720"/>
      <w:outlineLvl w:val="1"/>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07F7C"/>
    <w:rPr>
      <w:rFonts w:ascii="Times New Roman" w:eastAsia="Times New Roman" w:hAnsi="Times New Roman" w:cs="Arial"/>
      <w:b/>
      <w:bCs/>
      <w:sz w:val="24"/>
      <w:szCs w:val="24"/>
    </w:rPr>
  </w:style>
  <w:style w:type="character" w:styleId="Hyperlink">
    <w:name w:val="Hyperlink"/>
    <w:basedOn w:val="DefaultParagraphFont"/>
    <w:uiPriority w:val="99"/>
    <w:rsid w:val="00207F7C"/>
    <w:rPr>
      <w:rFonts w:cs="Times New Roman"/>
      <w:color w:val="0000FF"/>
      <w:u w:val="single"/>
    </w:rPr>
  </w:style>
  <w:style w:type="paragraph" w:customStyle="1" w:styleId="L1-FlLSp12">
    <w:name w:val="L1-FlL Sp&amp;1/2"/>
    <w:basedOn w:val="Normal"/>
    <w:link w:val="L1-FlLSp12Char"/>
    <w:rsid w:val="00207F7C"/>
    <w:pPr>
      <w:tabs>
        <w:tab w:val="left" w:pos="1152"/>
      </w:tabs>
      <w:autoSpaceDE/>
      <w:autoSpaceDN/>
      <w:adjustRightInd/>
      <w:spacing w:line="240" w:lineRule="atLeast"/>
    </w:pPr>
    <w:rPr>
      <w:rFonts w:ascii="Garamond" w:hAnsi="Garamond"/>
      <w:szCs w:val="20"/>
    </w:rPr>
  </w:style>
  <w:style w:type="character" w:customStyle="1" w:styleId="L1-FlLSp12Char">
    <w:name w:val="L1-FlL Sp&amp;1/2 Char"/>
    <w:link w:val="L1-FlLSp12"/>
    <w:locked/>
    <w:rsid w:val="00207F7C"/>
    <w:rPr>
      <w:rFonts w:ascii="Garamond" w:eastAsia="Times New Roman" w:hAnsi="Garamond" w:cs="Times New Roman"/>
      <w:sz w:val="24"/>
      <w:szCs w:val="20"/>
    </w:rPr>
  </w:style>
  <w:style w:type="paragraph" w:customStyle="1" w:styleId="N1-1stBullet">
    <w:name w:val="N1-1st Bullet"/>
    <w:basedOn w:val="Normal"/>
    <w:rsid w:val="00207F7C"/>
    <w:pPr>
      <w:numPr>
        <w:numId w:val="1"/>
      </w:numPr>
      <w:tabs>
        <w:tab w:val="clear" w:pos="1152"/>
        <w:tab w:val="num" w:pos="576"/>
      </w:tabs>
      <w:autoSpaceDE/>
      <w:autoSpaceDN/>
      <w:adjustRightInd/>
      <w:spacing w:after="120" w:line="240" w:lineRule="atLeast"/>
    </w:pPr>
    <w:rPr>
      <w:rFonts w:ascii="Garamond" w:hAnsi="Garamond"/>
      <w:szCs w:val="20"/>
    </w:rPr>
  </w:style>
  <w:style w:type="paragraph" w:styleId="BalloonText">
    <w:name w:val="Balloon Text"/>
    <w:basedOn w:val="Normal"/>
    <w:link w:val="BalloonTextChar"/>
    <w:uiPriority w:val="99"/>
    <w:semiHidden/>
    <w:unhideWhenUsed/>
    <w:rsid w:val="00E672AC"/>
    <w:rPr>
      <w:rFonts w:ascii="Tahoma" w:hAnsi="Tahoma" w:cs="Tahoma"/>
      <w:sz w:val="16"/>
      <w:szCs w:val="16"/>
    </w:rPr>
  </w:style>
  <w:style w:type="character" w:customStyle="1" w:styleId="BalloonTextChar">
    <w:name w:val="Balloon Text Char"/>
    <w:basedOn w:val="DefaultParagraphFont"/>
    <w:link w:val="BalloonText"/>
    <w:uiPriority w:val="99"/>
    <w:semiHidden/>
    <w:rsid w:val="00E672AC"/>
    <w:rPr>
      <w:rFonts w:ascii="Tahoma" w:eastAsia="Times New Roman" w:hAnsi="Tahoma" w:cs="Tahoma"/>
      <w:sz w:val="16"/>
      <w:szCs w:val="16"/>
    </w:rPr>
  </w:style>
  <w:style w:type="table" w:styleId="TableGrid">
    <w:name w:val="Table Grid"/>
    <w:basedOn w:val="TableNormal"/>
    <w:uiPriority w:val="59"/>
    <w:rsid w:val="00295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12A4"/>
    <w:pPr>
      <w:ind w:left="720"/>
      <w:contextualSpacing/>
    </w:pPr>
  </w:style>
  <w:style w:type="paragraph" w:customStyle="1" w:styleId="TT-TableTitle">
    <w:name w:val="TT-Table Title"/>
    <w:basedOn w:val="Normal"/>
    <w:rsid w:val="00F5756F"/>
    <w:pPr>
      <w:keepNext/>
      <w:autoSpaceDE/>
      <w:autoSpaceDN/>
      <w:adjustRightInd/>
      <w:spacing w:line="240" w:lineRule="atLeast"/>
      <w:ind w:left="1440" w:hanging="1440"/>
    </w:pPr>
    <w:rPr>
      <w:rFonts w:ascii="Franklin Gothic Medium" w:eastAsiaTheme="minorHAnsi" w:hAnsi="Franklin Gothic Medium"/>
    </w:rPr>
  </w:style>
  <w:style w:type="paragraph" w:customStyle="1" w:styleId="TH-TableHeading">
    <w:name w:val="TH-Table Heading"/>
    <w:basedOn w:val="Normal"/>
    <w:rsid w:val="00F5756F"/>
    <w:pPr>
      <w:keepNext/>
      <w:autoSpaceDE/>
      <w:autoSpaceDN/>
      <w:adjustRightInd/>
      <w:spacing w:line="240" w:lineRule="atLeast"/>
      <w:jc w:val="center"/>
    </w:pPr>
    <w:rPr>
      <w:rFonts w:ascii="Franklin Gothic Medium" w:eastAsiaTheme="minorHAnsi" w:hAnsi="Franklin Gothic Medium"/>
      <w:b/>
      <w:bCs/>
      <w:sz w:val="20"/>
      <w:szCs w:val="20"/>
    </w:rPr>
  </w:style>
  <w:style w:type="table" w:styleId="LightShading">
    <w:name w:val="Light Shading"/>
    <w:basedOn w:val="TableNormal"/>
    <w:uiPriority w:val="60"/>
    <w:rsid w:val="00F5756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X-TableText">
    <w:name w:val="TX-Table Text"/>
    <w:basedOn w:val="Normal"/>
    <w:rsid w:val="00541110"/>
    <w:pPr>
      <w:autoSpaceDE/>
      <w:autoSpaceDN/>
      <w:adjustRightInd/>
      <w:spacing w:line="240" w:lineRule="atLeast"/>
    </w:pPr>
    <w:rPr>
      <w:rFonts w:ascii="Franklin Gothic Medium" w:eastAsiaTheme="minorHAnsi" w:hAnsi="Franklin Gothic Medium"/>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F7C"/>
    <w:pPr>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207F7C"/>
    <w:pPr>
      <w:widowControl w:val="0"/>
      <w:tabs>
        <w:tab w:val="left" w:pos="720"/>
      </w:tabs>
      <w:ind w:left="720" w:hanging="720"/>
      <w:outlineLvl w:val="1"/>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07F7C"/>
    <w:rPr>
      <w:rFonts w:ascii="Times New Roman" w:eastAsia="Times New Roman" w:hAnsi="Times New Roman" w:cs="Arial"/>
      <w:b/>
      <w:bCs/>
      <w:sz w:val="24"/>
      <w:szCs w:val="24"/>
    </w:rPr>
  </w:style>
  <w:style w:type="character" w:styleId="Hyperlink">
    <w:name w:val="Hyperlink"/>
    <w:basedOn w:val="DefaultParagraphFont"/>
    <w:uiPriority w:val="99"/>
    <w:rsid w:val="00207F7C"/>
    <w:rPr>
      <w:rFonts w:cs="Times New Roman"/>
      <w:color w:val="0000FF"/>
      <w:u w:val="single"/>
    </w:rPr>
  </w:style>
  <w:style w:type="paragraph" w:customStyle="1" w:styleId="L1-FlLSp12">
    <w:name w:val="L1-FlL Sp&amp;1/2"/>
    <w:basedOn w:val="Normal"/>
    <w:link w:val="L1-FlLSp12Char"/>
    <w:rsid w:val="00207F7C"/>
    <w:pPr>
      <w:tabs>
        <w:tab w:val="left" w:pos="1152"/>
      </w:tabs>
      <w:autoSpaceDE/>
      <w:autoSpaceDN/>
      <w:adjustRightInd/>
      <w:spacing w:line="240" w:lineRule="atLeast"/>
    </w:pPr>
    <w:rPr>
      <w:rFonts w:ascii="Garamond" w:hAnsi="Garamond"/>
      <w:szCs w:val="20"/>
    </w:rPr>
  </w:style>
  <w:style w:type="character" w:customStyle="1" w:styleId="L1-FlLSp12Char">
    <w:name w:val="L1-FlL Sp&amp;1/2 Char"/>
    <w:link w:val="L1-FlLSp12"/>
    <w:locked/>
    <w:rsid w:val="00207F7C"/>
    <w:rPr>
      <w:rFonts w:ascii="Garamond" w:eastAsia="Times New Roman" w:hAnsi="Garamond" w:cs="Times New Roman"/>
      <w:sz w:val="24"/>
      <w:szCs w:val="20"/>
    </w:rPr>
  </w:style>
  <w:style w:type="paragraph" w:customStyle="1" w:styleId="N1-1stBullet">
    <w:name w:val="N1-1st Bullet"/>
    <w:basedOn w:val="Normal"/>
    <w:rsid w:val="00207F7C"/>
    <w:pPr>
      <w:numPr>
        <w:numId w:val="1"/>
      </w:numPr>
      <w:tabs>
        <w:tab w:val="clear" w:pos="1152"/>
        <w:tab w:val="num" w:pos="576"/>
      </w:tabs>
      <w:autoSpaceDE/>
      <w:autoSpaceDN/>
      <w:adjustRightInd/>
      <w:spacing w:after="120" w:line="240" w:lineRule="atLeast"/>
    </w:pPr>
    <w:rPr>
      <w:rFonts w:ascii="Garamond" w:hAnsi="Garamond"/>
      <w:szCs w:val="20"/>
    </w:rPr>
  </w:style>
  <w:style w:type="paragraph" w:styleId="BalloonText">
    <w:name w:val="Balloon Text"/>
    <w:basedOn w:val="Normal"/>
    <w:link w:val="BalloonTextChar"/>
    <w:uiPriority w:val="99"/>
    <w:semiHidden/>
    <w:unhideWhenUsed/>
    <w:rsid w:val="00E672AC"/>
    <w:rPr>
      <w:rFonts w:ascii="Tahoma" w:hAnsi="Tahoma" w:cs="Tahoma"/>
      <w:sz w:val="16"/>
      <w:szCs w:val="16"/>
    </w:rPr>
  </w:style>
  <w:style w:type="character" w:customStyle="1" w:styleId="BalloonTextChar">
    <w:name w:val="Balloon Text Char"/>
    <w:basedOn w:val="DefaultParagraphFont"/>
    <w:link w:val="BalloonText"/>
    <w:uiPriority w:val="99"/>
    <w:semiHidden/>
    <w:rsid w:val="00E672AC"/>
    <w:rPr>
      <w:rFonts w:ascii="Tahoma" w:eastAsia="Times New Roman" w:hAnsi="Tahoma" w:cs="Tahoma"/>
      <w:sz w:val="16"/>
      <w:szCs w:val="16"/>
    </w:rPr>
  </w:style>
  <w:style w:type="table" w:styleId="TableGrid">
    <w:name w:val="Table Grid"/>
    <w:basedOn w:val="TableNormal"/>
    <w:uiPriority w:val="59"/>
    <w:rsid w:val="00295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12A4"/>
    <w:pPr>
      <w:ind w:left="720"/>
      <w:contextualSpacing/>
    </w:pPr>
  </w:style>
  <w:style w:type="paragraph" w:customStyle="1" w:styleId="TT-TableTitle">
    <w:name w:val="TT-Table Title"/>
    <w:basedOn w:val="Normal"/>
    <w:rsid w:val="00F5756F"/>
    <w:pPr>
      <w:keepNext/>
      <w:autoSpaceDE/>
      <w:autoSpaceDN/>
      <w:adjustRightInd/>
      <w:spacing w:line="240" w:lineRule="atLeast"/>
      <w:ind w:left="1440" w:hanging="1440"/>
    </w:pPr>
    <w:rPr>
      <w:rFonts w:ascii="Franklin Gothic Medium" w:eastAsiaTheme="minorHAnsi" w:hAnsi="Franklin Gothic Medium"/>
    </w:rPr>
  </w:style>
  <w:style w:type="paragraph" w:customStyle="1" w:styleId="TH-TableHeading">
    <w:name w:val="TH-Table Heading"/>
    <w:basedOn w:val="Normal"/>
    <w:rsid w:val="00F5756F"/>
    <w:pPr>
      <w:keepNext/>
      <w:autoSpaceDE/>
      <w:autoSpaceDN/>
      <w:adjustRightInd/>
      <w:spacing w:line="240" w:lineRule="atLeast"/>
      <w:jc w:val="center"/>
    </w:pPr>
    <w:rPr>
      <w:rFonts w:ascii="Franklin Gothic Medium" w:eastAsiaTheme="minorHAnsi" w:hAnsi="Franklin Gothic Medium"/>
      <w:b/>
      <w:bCs/>
      <w:sz w:val="20"/>
      <w:szCs w:val="20"/>
    </w:rPr>
  </w:style>
  <w:style w:type="table" w:styleId="LightShading">
    <w:name w:val="Light Shading"/>
    <w:basedOn w:val="TableNormal"/>
    <w:uiPriority w:val="60"/>
    <w:rsid w:val="00F5756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X-TableText">
    <w:name w:val="TX-Table Text"/>
    <w:basedOn w:val="Normal"/>
    <w:rsid w:val="00541110"/>
    <w:pPr>
      <w:autoSpaceDE/>
      <w:autoSpaceDN/>
      <w:adjustRightInd/>
      <w:spacing w:line="240" w:lineRule="atLeast"/>
    </w:pPr>
    <w:rPr>
      <w:rFonts w:ascii="Franklin Gothic Medium" w:eastAsiaTheme="minorHAnsi" w:hAnsi="Franklin Gothic Medium"/>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leond@westat.com" TargetMode="External"/><Relationship Id="rId5" Type="http://schemas.openxmlformats.org/officeDocument/2006/relationships/numbering" Target="numbering.xml"/><Relationship Id="rId10" Type="http://schemas.openxmlformats.org/officeDocument/2006/relationships/hyperlink" Target="mailto:Amanda.kelley@dot.gov"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7677732D33D034DA241F6F1135DE72E" ma:contentTypeVersion="5" ma:contentTypeDescription="Create a new document." ma:contentTypeScope="" ma:versionID="6aa3387e61bfa3eab3a577433cf89b83">
  <xsd:schema xmlns:xsd="http://www.w3.org/2001/XMLSchema" xmlns:xs="http://www.w3.org/2001/XMLSchema" xmlns:p="http://schemas.microsoft.com/office/2006/metadata/properties" xmlns:ns2="b24e651f-ee90-4dc2-acd2-5752b1c60f6e" targetNamespace="http://schemas.microsoft.com/office/2006/metadata/properties" ma:root="true" ma:fieldsID="edff2c7aac35db4c481c8637041d14d2" ns2:_="">
    <xsd:import namespace="b24e651f-ee90-4dc2-acd2-5752b1c60f6e"/>
    <xsd:element name="properties">
      <xsd:complexType>
        <xsd:sequence>
          <xsd:element name="documentManagement">
            <xsd:complexType>
              <xsd:all>
                <xsd:element ref="ns2:Assign_x0020_to" minOccurs="0"/>
                <xsd:element ref="ns2:test" minOccurs="0"/>
                <xsd:element ref="ns2:Maps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e651f-ee90-4dc2-acd2-5752b1c60f6e" elementFormDefault="qualified">
    <xsd:import namespace="http://schemas.microsoft.com/office/2006/documentManagement/types"/>
    <xsd:import namespace="http://schemas.microsoft.com/office/infopath/2007/PartnerControls"/>
    <xsd:element name="Assign_x0020_to" ma:index="9" nillable="true" ma:displayName="Assign to" ma:format="Dropdown" ma:internalName="Assign_x0020_to">
      <xsd:simpleType>
        <xsd:restriction base="dms:Choice">
          <xsd:enumeration value="Group One"/>
          <xsd:enumeration value="Group Two"/>
        </xsd:restriction>
      </xsd:simpleType>
    </xsd:element>
    <xsd:element name="test" ma:index="10" nillable="true" ma:displayName="test" ma:format="Dropdown" ma:internalName="test">
      <xsd:simpleType>
        <xsd:restriction base="dms:Choice">
          <xsd:enumeration value="1"/>
          <xsd:enumeration value="2"/>
          <xsd:enumeration value="3"/>
        </xsd:restriction>
      </xsd:simpleType>
    </xsd:element>
    <xsd:element name="Maps_x0020_Number" ma:index="11" nillable="true" ma:displayName="Maps Number" ma:internalName="Maps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aps_x0020_Number xmlns="b24e651f-ee90-4dc2-acd2-5752b1c60f6e" xsi:nil="true"/>
    <Assign_x0020_to xmlns="b24e651f-ee90-4dc2-acd2-5752b1c60f6e" xsi:nil="true"/>
    <test xmlns="b24e651f-ee90-4dc2-acd2-5752b1c60f6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E9F634-5218-4749-ABC0-CD4476EF7B25}">
  <ds:schemaRefs>
    <ds:schemaRef ds:uri="http://schemas.microsoft.com/sharepoint/events"/>
  </ds:schemaRefs>
</ds:datastoreItem>
</file>

<file path=customXml/itemProps2.xml><?xml version="1.0" encoding="utf-8"?>
<ds:datastoreItem xmlns:ds="http://schemas.openxmlformats.org/officeDocument/2006/customXml" ds:itemID="{4CA262FC-901F-4580-B682-3C3FDF038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e651f-ee90-4dc2-acd2-5752b1c60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21DC62-1B93-46BD-809A-E6C59F2A3A69}">
  <ds:schemaRefs>
    <ds:schemaRef ds:uri="http://purl.org/dc/elements/1.1/"/>
    <ds:schemaRef ds:uri="http://purl.org/dc/terms/"/>
    <ds:schemaRef ds:uri="http://schemas.microsoft.com/office/infopath/2007/PartnerControls"/>
    <ds:schemaRef ds:uri="b24e651f-ee90-4dc2-acd2-5752b1c60f6e"/>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D4402EA-F0F0-4623-A9E6-C976702876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2673</Words>
  <Characters>15242</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17880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amanda.kelley</dc:creator>
  <cp:lastModifiedBy>Culbreath, Walter (NHTSA)</cp:lastModifiedBy>
  <cp:revision>2</cp:revision>
  <dcterms:created xsi:type="dcterms:W3CDTF">2015-12-18T13:02:00Z</dcterms:created>
  <dcterms:modified xsi:type="dcterms:W3CDTF">2015-12-18T13:02:00Z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0x010100E7677732D33D034DA241F6F1135DE72E</vt:lpwstr>
  </property>
  <property fmtid="{D5CDD505-2E9C-101B-9397-08002B2CF9AE}" pid="3" name="_dlc_DocIdItemGuid">
    <vt:lpwstr>670ac743-4665-4492-8428-00c297f8eb40</vt:lpwstr>
  </property>
  <property fmtid="{D5CDD505-2E9C-101B-9397-08002B2CF9AE}" pid="4" name="_dlc_DocId">
    <vt:lpwstr>JUTQ4KDNFYTT-291-28481</vt:lpwstr>
  </property>
  <property fmtid="{D5CDD505-2E9C-101B-9397-08002B2CF9AE}" pid="5" name="_dlc_DocIdUrl">
    <vt:lpwstr>http://one10.dot.gov/office/nhtsa/_layouts/DocIdRedir.aspx?ID=JUTQ4KDNFYTT-291-28481, JUTQ4KDNFYTT-291-28481</vt:lpwstr>
  </property>
</Properties>
</file>