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7A26E" w14:textId="77777777" w:rsidR="00B861A9"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 xml:space="preserve">FINAL SUPPORTING STATEMENT </w:t>
      </w:r>
    </w:p>
    <w:p w14:paraId="484F3199" w14:textId="77777777" w:rsidR="00B861A9"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 xml:space="preserve">FOR </w:t>
      </w:r>
    </w:p>
    <w:p w14:paraId="212E9A0B" w14:textId="77777777" w:rsidR="00242C4B" w:rsidRDefault="00242C4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10 CFR P</w:t>
      </w:r>
      <w:r w:rsidR="00EF3EF0">
        <w:rPr>
          <w:rFonts w:ascii="Arial" w:hAnsi="Arial"/>
          <w:sz w:val="22"/>
        </w:rPr>
        <w:t>ART</w:t>
      </w:r>
      <w:r>
        <w:rPr>
          <w:rFonts w:ascii="Arial" w:hAnsi="Arial"/>
          <w:sz w:val="22"/>
        </w:rPr>
        <w:t xml:space="preserve"> 110</w:t>
      </w:r>
    </w:p>
    <w:p w14:paraId="13D85B36"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EXPORT AND IMPORT OF NUCLEAR EQUIPMENT AND MATERIAL</w:t>
      </w:r>
    </w:p>
    <w:p w14:paraId="6E2FD778" w14:textId="77777777" w:rsidR="0023045D" w:rsidRDefault="00242C4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 xml:space="preserve"> </w:t>
      </w:r>
      <w:r w:rsidR="0023045D">
        <w:rPr>
          <w:rFonts w:ascii="Arial" w:hAnsi="Arial"/>
          <w:sz w:val="22"/>
        </w:rPr>
        <w:t>(3150-0036)</w:t>
      </w:r>
    </w:p>
    <w:p w14:paraId="3C6A00E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49B2079E" w14:textId="77777777" w:rsidR="0023045D" w:rsidRPr="00570FFE" w:rsidRDefault="00B861A9"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EXTENSION</w:t>
      </w:r>
    </w:p>
    <w:p w14:paraId="4DDB26D8"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6B6DFC44" w14:textId="73457FF2" w:rsidR="0023045D" w:rsidRPr="00B861A9"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u w:val="single"/>
        </w:rPr>
      </w:pPr>
      <w:r w:rsidRPr="00B861A9">
        <w:rPr>
          <w:rFonts w:ascii="Arial" w:hAnsi="Arial"/>
          <w:sz w:val="22"/>
          <w:u w:val="single"/>
        </w:rPr>
        <w:t>DESCRIPTION OF THE INFORMATION COLLECTION</w:t>
      </w:r>
    </w:p>
    <w:p w14:paraId="7573A7B3"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70F5668D" w14:textId="77777777" w:rsidR="00AA0D91" w:rsidRDefault="00AA0D91"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All persons who wish to export or import nuclear equipment and material as specified in 10 CFR §§ 110.8, 110.9, and 110.9a must provide certain information collection elements to enable the U.S. Nuclear Regulatory Commission (NRC) and the Executive Branch to make required export and import licensing determinations to ensure compliance with NRC regulations and to satisfy statutory requirements of the AEA.</w:t>
      </w:r>
    </w:p>
    <w:p w14:paraId="116C180D" w14:textId="77777777" w:rsidR="00AA0D91" w:rsidRDefault="00AA0D91"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7AE362B1" w14:textId="77777777" w:rsidR="00AA0D91" w:rsidRPr="00BD038C" w:rsidRDefault="00AA0D91" w:rsidP="00AA0D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D038C">
        <w:rPr>
          <w:rFonts w:ascii="Arial" w:hAnsi="Arial" w:cs="Arial"/>
          <w:sz w:val="22"/>
          <w:szCs w:val="22"/>
        </w:rPr>
        <w:t>The information collected is pre-shipment notification data including:</w:t>
      </w:r>
    </w:p>
    <w:p w14:paraId="004E1472" w14:textId="77777777" w:rsidR="00AA0D91" w:rsidRPr="00E37E86" w:rsidRDefault="00AA0D91" w:rsidP="00AA0D91">
      <w:pPr>
        <w:pStyle w:val="ListBullet"/>
        <w:rPr>
          <w:rFonts w:ascii="Arial" w:hAnsi="Arial" w:cs="Arial"/>
          <w:sz w:val="22"/>
          <w:szCs w:val="22"/>
        </w:rPr>
      </w:pPr>
      <w:r w:rsidRPr="00E37E86">
        <w:rPr>
          <w:rFonts w:ascii="Arial" w:hAnsi="Arial" w:cs="Arial"/>
          <w:sz w:val="22"/>
          <w:szCs w:val="22"/>
        </w:rPr>
        <w:t>license number (as appropriate) being used,</w:t>
      </w:r>
    </w:p>
    <w:p w14:paraId="4E72FB82" w14:textId="77777777" w:rsidR="00AA0D91" w:rsidRPr="00E37E86" w:rsidRDefault="00AA0D91" w:rsidP="00AA0D91">
      <w:pPr>
        <w:pStyle w:val="ListBullet"/>
        <w:rPr>
          <w:rFonts w:ascii="Arial" w:hAnsi="Arial" w:cs="Arial"/>
          <w:sz w:val="22"/>
          <w:szCs w:val="22"/>
        </w:rPr>
      </w:pPr>
      <w:r w:rsidRPr="00E37E86">
        <w:rPr>
          <w:rFonts w:ascii="Arial" w:hAnsi="Arial" w:cs="Arial"/>
          <w:sz w:val="22"/>
          <w:szCs w:val="22"/>
        </w:rPr>
        <w:t>shipper name and contact information,</w:t>
      </w:r>
    </w:p>
    <w:p w14:paraId="2C277682" w14:textId="77777777" w:rsidR="00AA0D91" w:rsidRPr="00E37E86" w:rsidRDefault="00052037" w:rsidP="00AA0D91">
      <w:pPr>
        <w:pStyle w:val="ListBullet"/>
        <w:rPr>
          <w:rFonts w:ascii="Arial" w:hAnsi="Arial" w:cs="Arial"/>
          <w:sz w:val="22"/>
          <w:szCs w:val="22"/>
        </w:rPr>
      </w:pPr>
      <w:r>
        <w:rPr>
          <w:rFonts w:ascii="Arial" w:hAnsi="Arial" w:cs="Arial"/>
          <w:sz w:val="22"/>
          <w:szCs w:val="22"/>
        </w:rPr>
        <w:t xml:space="preserve">the </w:t>
      </w:r>
      <w:r w:rsidR="00AA0D91" w:rsidRPr="00E37E86">
        <w:rPr>
          <w:rFonts w:ascii="Arial" w:hAnsi="Arial" w:cs="Arial"/>
          <w:sz w:val="22"/>
          <w:szCs w:val="22"/>
        </w:rPr>
        <w:t>radionuclide(s) being shipped,</w:t>
      </w:r>
    </w:p>
    <w:p w14:paraId="00FA17A5" w14:textId="77777777" w:rsidR="00AA0D91" w:rsidRPr="00E37E86" w:rsidRDefault="00AA0D91" w:rsidP="00AA0D91">
      <w:pPr>
        <w:pStyle w:val="ListBullet"/>
        <w:rPr>
          <w:rFonts w:ascii="Arial" w:hAnsi="Arial" w:cs="Arial"/>
          <w:sz w:val="22"/>
          <w:szCs w:val="22"/>
        </w:rPr>
      </w:pPr>
      <w:r w:rsidRPr="00E37E86">
        <w:rPr>
          <w:rFonts w:ascii="Arial" w:hAnsi="Arial" w:cs="Arial"/>
          <w:sz w:val="22"/>
          <w:szCs w:val="22"/>
        </w:rPr>
        <w:t xml:space="preserve">the destination address, </w:t>
      </w:r>
    </w:p>
    <w:p w14:paraId="1569D42F" w14:textId="77777777" w:rsidR="00AA0D91" w:rsidRPr="00E37E86" w:rsidRDefault="00AA0D91" w:rsidP="00AA0D91">
      <w:pPr>
        <w:pStyle w:val="ListBullet"/>
        <w:rPr>
          <w:rFonts w:ascii="Arial" w:hAnsi="Arial" w:cs="Arial"/>
          <w:sz w:val="22"/>
          <w:szCs w:val="22"/>
        </w:rPr>
      </w:pPr>
      <w:r w:rsidRPr="00E37E86">
        <w:rPr>
          <w:rFonts w:ascii="Arial" w:hAnsi="Arial" w:cs="Arial"/>
          <w:sz w:val="22"/>
          <w:szCs w:val="22"/>
        </w:rPr>
        <w:t xml:space="preserve">the end use, </w:t>
      </w:r>
    </w:p>
    <w:p w14:paraId="17FDCE3E" w14:textId="77777777" w:rsidR="00AA0D91" w:rsidRPr="00E37E86" w:rsidRDefault="00AA0D91" w:rsidP="00AA0D91">
      <w:pPr>
        <w:pStyle w:val="ListBullet"/>
        <w:rPr>
          <w:rFonts w:ascii="Arial" w:hAnsi="Arial" w:cs="Arial"/>
          <w:sz w:val="22"/>
          <w:szCs w:val="22"/>
        </w:rPr>
      </w:pPr>
      <w:r w:rsidRPr="00E37E86">
        <w:rPr>
          <w:rFonts w:ascii="Arial" w:hAnsi="Arial" w:cs="Arial"/>
          <w:sz w:val="22"/>
          <w:szCs w:val="22"/>
        </w:rPr>
        <w:t xml:space="preserve">the proposed date of shipment, and </w:t>
      </w:r>
    </w:p>
    <w:p w14:paraId="7EDDE438" w14:textId="77777777" w:rsidR="00AA0D91" w:rsidRPr="00AA0D91" w:rsidRDefault="00AA0D91" w:rsidP="00AA0D91">
      <w:pPr>
        <w:pStyle w:val="ListBulle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sidRPr="00AA0D91">
        <w:rPr>
          <w:rFonts w:ascii="Arial" w:hAnsi="Arial" w:cs="Arial"/>
          <w:sz w:val="22"/>
          <w:szCs w:val="22"/>
        </w:rPr>
        <w:t>the documentation that demonstrates authority to receive/possess the material being shipped.</w:t>
      </w:r>
    </w:p>
    <w:p w14:paraId="218929AD" w14:textId="77777777" w:rsidR="00AA0D91" w:rsidRDefault="00AA0D91"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6108E51" w14:textId="77777777" w:rsidR="0023045D" w:rsidRDefault="00366CC2"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xml:space="preserve">To assist the respondent in </w:t>
      </w:r>
      <w:r w:rsidR="004C1757">
        <w:rPr>
          <w:rFonts w:ascii="Arial" w:hAnsi="Arial"/>
          <w:sz w:val="22"/>
        </w:rPr>
        <w:t>generat</w:t>
      </w:r>
      <w:r>
        <w:rPr>
          <w:rFonts w:ascii="Arial" w:hAnsi="Arial"/>
          <w:sz w:val="22"/>
        </w:rPr>
        <w:t xml:space="preserve">ing and submitting the </w:t>
      </w:r>
      <w:r w:rsidR="004C1757">
        <w:rPr>
          <w:rFonts w:ascii="Arial" w:hAnsi="Arial"/>
          <w:sz w:val="22"/>
        </w:rPr>
        <w:t>advanced notification</w:t>
      </w:r>
      <w:r>
        <w:rPr>
          <w:rFonts w:ascii="Arial" w:hAnsi="Arial"/>
          <w:sz w:val="22"/>
        </w:rPr>
        <w:t xml:space="preserve">, NRC developed </w:t>
      </w:r>
      <w:r w:rsidR="00BB4C36">
        <w:rPr>
          <w:rFonts w:ascii="Arial" w:hAnsi="Arial"/>
          <w:sz w:val="22"/>
        </w:rPr>
        <w:t xml:space="preserve">optional NRC Forms 830 and </w:t>
      </w:r>
      <w:r w:rsidR="004C1757">
        <w:rPr>
          <w:rFonts w:ascii="Arial" w:hAnsi="Arial"/>
          <w:sz w:val="22"/>
        </w:rPr>
        <w:t>830A,</w:t>
      </w:r>
      <w:r w:rsidR="00BB4C36">
        <w:rPr>
          <w:rFonts w:ascii="Arial" w:hAnsi="Arial"/>
          <w:sz w:val="22"/>
        </w:rPr>
        <w:t xml:space="preserve"> “Report of Import and Continuation Sheet,” and NRC Forms 831 and</w:t>
      </w:r>
      <w:r w:rsidR="004C1757">
        <w:rPr>
          <w:rFonts w:ascii="Arial" w:hAnsi="Arial"/>
          <w:sz w:val="22"/>
        </w:rPr>
        <w:t xml:space="preserve"> 831A</w:t>
      </w:r>
      <w:r w:rsidR="00BB4C36">
        <w:rPr>
          <w:rFonts w:ascii="Arial" w:hAnsi="Arial"/>
          <w:sz w:val="22"/>
        </w:rPr>
        <w:t>, “Report of Export and Continuation Sheet.”</w:t>
      </w:r>
      <w:r>
        <w:rPr>
          <w:rFonts w:ascii="Arial" w:hAnsi="Arial"/>
          <w:sz w:val="22"/>
        </w:rPr>
        <w:t xml:space="preserve">  Use of the </w:t>
      </w:r>
      <w:r w:rsidR="00695AEC">
        <w:rPr>
          <w:rFonts w:ascii="Arial" w:hAnsi="Arial"/>
          <w:sz w:val="22"/>
        </w:rPr>
        <w:t xml:space="preserve">NRC </w:t>
      </w:r>
      <w:r>
        <w:rPr>
          <w:rFonts w:ascii="Arial" w:hAnsi="Arial"/>
          <w:sz w:val="22"/>
        </w:rPr>
        <w:t>forms is optional, as many respondents have developed their own forms</w:t>
      </w:r>
      <w:r w:rsidR="00695AEC">
        <w:rPr>
          <w:rFonts w:ascii="Arial" w:hAnsi="Arial"/>
          <w:sz w:val="22"/>
        </w:rPr>
        <w:t>. H</w:t>
      </w:r>
      <w:r w:rsidR="004C1757">
        <w:rPr>
          <w:rFonts w:ascii="Arial" w:hAnsi="Arial"/>
          <w:sz w:val="22"/>
        </w:rPr>
        <w:t>owever</w:t>
      </w:r>
      <w:r>
        <w:rPr>
          <w:rFonts w:ascii="Arial" w:hAnsi="Arial"/>
          <w:sz w:val="22"/>
        </w:rPr>
        <w:t xml:space="preserve"> </w:t>
      </w:r>
      <w:r w:rsidR="004C1757">
        <w:rPr>
          <w:rFonts w:ascii="Arial" w:hAnsi="Arial"/>
          <w:sz w:val="22"/>
        </w:rPr>
        <w:t>submit</w:t>
      </w:r>
      <w:r w:rsidR="00695AEC">
        <w:rPr>
          <w:rFonts w:ascii="Arial" w:hAnsi="Arial"/>
          <w:sz w:val="22"/>
        </w:rPr>
        <w:t>ting</w:t>
      </w:r>
      <w:r w:rsidR="004C1757">
        <w:rPr>
          <w:rFonts w:ascii="Arial" w:hAnsi="Arial"/>
          <w:sz w:val="22"/>
        </w:rPr>
        <w:t xml:space="preserve"> timely and accurate notifications is not optional</w:t>
      </w:r>
      <w:r>
        <w:rPr>
          <w:rFonts w:ascii="Arial" w:hAnsi="Arial"/>
          <w:sz w:val="22"/>
        </w:rPr>
        <w:t xml:space="preserve">. </w:t>
      </w:r>
    </w:p>
    <w:p w14:paraId="6430834E" w14:textId="77777777" w:rsidR="00366CC2" w:rsidRDefault="00366CC2"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342A24EC" w14:textId="77777777" w:rsidR="00366CC2" w:rsidRDefault="00366CC2"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xml:space="preserve">In instances where data is missing or incorrect, </w:t>
      </w:r>
      <w:r w:rsidR="004C1757">
        <w:rPr>
          <w:rFonts w:ascii="Arial" w:hAnsi="Arial"/>
          <w:sz w:val="22"/>
        </w:rPr>
        <w:t xml:space="preserve">staff will attempt to </w:t>
      </w:r>
      <w:r w:rsidR="00695AEC">
        <w:rPr>
          <w:rFonts w:ascii="Arial" w:hAnsi="Arial"/>
          <w:sz w:val="22"/>
        </w:rPr>
        <w:t xml:space="preserve">contact respondents to </w:t>
      </w:r>
      <w:r w:rsidR="004C1757">
        <w:rPr>
          <w:rFonts w:ascii="Arial" w:hAnsi="Arial"/>
          <w:sz w:val="22"/>
        </w:rPr>
        <w:t xml:space="preserve">obtain the data.  In some instances, enforcement action is taken to bring the respondent into compliance with the notification requirement. </w:t>
      </w:r>
    </w:p>
    <w:p w14:paraId="4FD7468D" w14:textId="77777777" w:rsidR="0023045D" w:rsidRPr="00663428"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10BA80BE" w14:textId="77777777" w:rsidR="0023045D" w:rsidRPr="00663428"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663428">
        <w:rPr>
          <w:rFonts w:ascii="Arial" w:hAnsi="Arial"/>
          <w:sz w:val="22"/>
        </w:rPr>
        <w:tab/>
        <w:t xml:space="preserve">A. </w:t>
      </w:r>
      <w:r w:rsidRPr="00663428">
        <w:rPr>
          <w:rFonts w:ascii="Arial" w:hAnsi="Arial"/>
          <w:sz w:val="22"/>
        </w:rPr>
        <w:tab/>
        <w:t xml:space="preserve">JUSTIFICATION </w:t>
      </w:r>
    </w:p>
    <w:p w14:paraId="5DE9B39E" w14:textId="77777777" w:rsidR="0023045D" w:rsidRPr="002C7D97"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2"/>
          <w:szCs w:val="22"/>
        </w:rPr>
      </w:pPr>
    </w:p>
    <w:p w14:paraId="699C8FE2" w14:textId="6891D949" w:rsidR="00AA0D91" w:rsidRDefault="0023045D" w:rsidP="00AA0D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u w:val="single"/>
        </w:rPr>
      </w:pPr>
      <w:r>
        <w:rPr>
          <w:rFonts w:ascii="Arial" w:hAnsi="Arial"/>
          <w:sz w:val="22"/>
        </w:rPr>
        <w:tab/>
        <w:t xml:space="preserve">1. </w:t>
      </w:r>
      <w:r>
        <w:rPr>
          <w:rFonts w:ascii="Arial" w:hAnsi="Arial"/>
          <w:sz w:val="22"/>
        </w:rPr>
        <w:tab/>
      </w:r>
      <w:r>
        <w:rPr>
          <w:rFonts w:ascii="Arial" w:hAnsi="Arial"/>
          <w:sz w:val="22"/>
          <w:u w:val="single"/>
        </w:rPr>
        <w:t>Need for and Practical Utility of the Collection of Information</w:t>
      </w:r>
      <w:r w:rsidR="00AA0D91">
        <w:rPr>
          <w:rFonts w:ascii="Arial" w:hAnsi="Arial"/>
          <w:sz w:val="22"/>
          <w:u w:val="single"/>
        </w:rPr>
        <w:t xml:space="preserve">  </w:t>
      </w:r>
    </w:p>
    <w:p w14:paraId="3648C8FD" w14:textId="77777777" w:rsidR="00AA0D91" w:rsidRDefault="00AA0D91" w:rsidP="00AA0D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u w:val="single"/>
        </w:rPr>
      </w:pPr>
    </w:p>
    <w:p w14:paraId="21535D5D" w14:textId="3E49AE7C" w:rsidR="00AA0D91" w:rsidRDefault="00AA0D91" w:rsidP="003201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NRC, under the Atomic Energy Act of 1954, as amended (AEA), and Title II of the Energy Reorganization Act of 1974, as amended, has authority for exercising export and import controls over nuclear equipment and material as specified in Title 10 of the </w:t>
      </w:r>
      <w:r>
        <w:rPr>
          <w:rFonts w:ascii="Arial" w:hAnsi="Arial"/>
          <w:i/>
          <w:sz w:val="22"/>
        </w:rPr>
        <w:t xml:space="preserve">Code of Federal </w:t>
      </w:r>
      <w:r w:rsidRPr="00B969C4">
        <w:rPr>
          <w:rFonts w:ascii="Arial" w:hAnsi="Arial"/>
          <w:i/>
          <w:sz w:val="22"/>
        </w:rPr>
        <w:t>Regulations</w:t>
      </w:r>
      <w:r>
        <w:rPr>
          <w:rFonts w:ascii="Arial" w:hAnsi="Arial"/>
          <w:i/>
          <w:sz w:val="22"/>
        </w:rPr>
        <w:t xml:space="preserve"> </w:t>
      </w:r>
      <w:r>
        <w:rPr>
          <w:rFonts w:ascii="Arial" w:hAnsi="Arial"/>
          <w:sz w:val="22"/>
        </w:rPr>
        <w:t>(</w:t>
      </w:r>
      <w:r w:rsidRPr="00B969C4">
        <w:rPr>
          <w:rFonts w:ascii="Arial" w:hAnsi="Arial"/>
          <w:sz w:val="22"/>
        </w:rPr>
        <w:t>10</w:t>
      </w:r>
      <w:r>
        <w:rPr>
          <w:rFonts w:ascii="Arial" w:hAnsi="Arial"/>
          <w:sz w:val="22"/>
        </w:rPr>
        <w:t xml:space="preserve"> CFR), </w:t>
      </w:r>
      <w:r>
        <w:rPr>
          <w:rFonts w:ascii="Arial" w:hAnsi="Arial" w:cs="Arial"/>
          <w:sz w:val="22"/>
        </w:rPr>
        <w:t xml:space="preserve">§§ </w:t>
      </w:r>
      <w:r>
        <w:rPr>
          <w:rFonts w:ascii="Arial" w:hAnsi="Arial"/>
          <w:sz w:val="22"/>
        </w:rPr>
        <w:t xml:space="preserve">110.8, 110.9, and 110.9a.  Any person who wishes to export or import nuclear equipment and material under the provisions in 10 CFR </w:t>
      </w:r>
      <w:r>
        <w:rPr>
          <w:rFonts w:ascii="Arial" w:hAnsi="Arial" w:cs="Arial"/>
          <w:sz w:val="22"/>
        </w:rPr>
        <w:t>Part</w:t>
      </w:r>
      <w:r>
        <w:rPr>
          <w:rFonts w:ascii="Arial" w:hAnsi="Arial"/>
          <w:sz w:val="22"/>
        </w:rPr>
        <w:t xml:space="preserve"> 110 must provide certain information collection elements to enable the NRC and the Executive Branch to make required export and import licensing determinations.  </w:t>
      </w:r>
    </w:p>
    <w:p w14:paraId="16318F41" w14:textId="77777777" w:rsidR="00AA0D91" w:rsidRDefault="00AA0D91"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06517B9F" w14:textId="77777777" w:rsidR="00AA0D91" w:rsidRDefault="00AA0D91"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4527FF9A" w14:textId="5CC1907C" w:rsidR="0023045D" w:rsidRPr="00320102"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lastRenderedPageBreak/>
        <w:t>Information collections in 10 CFR Part 110 are as follows:</w:t>
      </w:r>
    </w:p>
    <w:p w14:paraId="2A8587C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u w:val="single"/>
        </w:rPr>
      </w:pPr>
    </w:p>
    <w:p w14:paraId="5FB75035"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sidRPr="00A14A10">
        <w:rPr>
          <w:rFonts w:ascii="Arial" w:hAnsi="Arial"/>
          <w:sz w:val="22"/>
          <w:u w:val="single"/>
        </w:rPr>
        <w:t>Section 110.7a</w:t>
      </w:r>
      <w:r w:rsidRPr="00B861A9">
        <w:rPr>
          <w:rFonts w:ascii="Arial" w:hAnsi="Arial"/>
          <w:sz w:val="22"/>
          <w:u w:val="single"/>
        </w:rPr>
        <w:t>(a)</w:t>
      </w:r>
      <w:r>
        <w:rPr>
          <w:rFonts w:ascii="Arial" w:hAnsi="Arial"/>
          <w:sz w:val="22"/>
        </w:rPr>
        <w:t xml:space="preserve"> states information provided to the Commission by an applicant for a license or by a licensee or information required by statute or by the Commission’s regulations, orders, or license conditions to be maintained by the applicant or the licensee shall be complete and accurate in all material respects.</w:t>
      </w:r>
    </w:p>
    <w:p w14:paraId="168CFCD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39CB7F32"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sidRPr="00A14A10">
        <w:rPr>
          <w:rFonts w:ascii="Arial" w:hAnsi="Arial"/>
          <w:sz w:val="22"/>
          <w:u w:val="single"/>
        </w:rPr>
        <w:t>Section 110.7a</w:t>
      </w:r>
      <w:r w:rsidRPr="00B861A9">
        <w:rPr>
          <w:rFonts w:ascii="Arial" w:hAnsi="Arial"/>
          <w:sz w:val="22"/>
          <w:u w:val="single"/>
        </w:rPr>
        <w:t>(b)</w:t>
      </w:r>
      <w:r>
        <w:rPr>
          <w:rFonts w:ascii="Arial" w:hAnsi="Arial"/>
          <w:sz w:val="22"/>
        </w:rPr>
        <w:t xml:space="preserve"> requires that each applicant or licensee notify the Administrator of the appropriate NRC Regional Office within two working days of identifying any information that has a significant implication for public health and safety or common defense and security on a regulated activity.</w:t>
      </w:r>
    </w:p>
    <w:p w14:paraId="4EDB6D84" w14:textId="77777777" w:rsidR="0023045D" w:rsidRDefault="0023045D" w:rsidP="0023045D">
      <w:pPr>
        <w:pStyle w:val="NormalWeb"/>
        <w:ind w:left="1440"/>
        <w:rPr>
          <w:rFonts w:ascii="Arial" w:hAnsi="Arial"/>
          <w:sz w:val="22"/>
        </w:rPr>
      </w:pPr>
      <w:r w:rsidRPr="00A14A10">
        <w:rPr>
          <w:rFonts w:ascii="Arial" w:hAnsi="Arial"/>
          <w:sz w:val="22"/>
          <w:u w:val="single"/>
        </w:rPr>
        <w:t>Section 110.23(a)(5</w:t>
      </w:r>
      <w:r w:rsidRPr="00B861A9">
        <w:rPr>
          <w:rFonts w:ascii="Arial" w:hAnsi="Arial"/>
          <w:sz w:val="22"/>
          <w:u w:val="single"/>
        </w:rPr>
        <w:t>)(iii)</w:t>
      </w:r>
      <w:r>
        <w:rPr>
          <w:rFonts w:ascii="Arial" w:hAnsi="Arial"/>
          <w:sz w:val="22"/>
        </w:rPr>
        <w:t xml:space="preserve"> states that all exports of americium are subject to the reporting requirements listed in 110.54(b).</w:t>
      </w:r>
    </w:p>
    <w:p w14:paraId="53053E50" w14:textId="77777777" w:rsidR="0023045D" w:rsidRDefault="0023045D" w:rsidP="0023045D">
      <w:pPr>
        <w:pStyle w:val="NormalWeb"/>
        <w:ind w:left="1440"/>
        <w:rPr>
          <w:rFonts w:ascii="Arial" w:hAnsi="Arial"/>
          <w:sz w:val="22"/>
        </w:rPr>
      </w:pPr>
      <w:r w:rsidRPr="00A14A10">
        <w:rPr>
          <w:rFonts w:ascii="Arial" w:hAnsi="Arial"/>
          <w:sz w:val="22"/>
          <w:u w:val="single"/>
        </w:rPr>
        <w:t>Section 110.23(a)(</w:t>
      </w:r>
      <w:r w:rsidRPr="00B861A9">
        <w:rPr>
          <w:rFonts w:ascii="Arial" w:hAnsi="Arial"/>
          <w:sz w:val="22"/>
          <w:u w:val="single"/>
        </w:rPr>
        <w:t>6)</w:t>
      </w:r>
      <w:r>
        <w:rPr>
          <w:rFonts w:ascii="Arial" w:hAnsi="Arial"/>
          <w:sz w:val="22"/>
        </w:rPr>
        <w:t xml:space="preserve"> states that all exports of neptunium are subject to the reporting requirements listed in 110.54(b).</w:t>
      </w:r>
    </w:p>
    <w:p w14:paraId="0B346958" w14:textId="77777777" w:rsidR="0023045D" w:rsidRDefault="0023045D" w:rsidP="0023045D">
      <w:pPr>
        <w:pStyle w:val="NormalWeb"/>
        <w:ind w:left="1440"/>
        <w:rPr>
          <w:rFonts w:ascii="Arial" w:hAnsi="Arial"/>
          <w:sz w:val="22"/>
        </w:rPr>
      </w:pPr>
      <w:r w:rsidRPr="00A14A10">
        <w:rPr>
          <w:rFonts w:ascii="Arial" w:hAnsi="Arial"/>
          <w:sz w:val="22"/>
          <w:u w:val="single"/>
        </w:rPr>
        <w:t>Section 110.26</w:t>
      </w:r>
      <w:r w:rsidR="00DC5C5D">
        <w:rPr>
          <w:rFonts w:ascii="Arial" w:hAnsi="Arial"/>
          <w:sz w:val="22"/>
          <w:u w:val="single"/>
        </w:rPr>
        <w:t>(a)-</w:t>
      </w:r>
      <w:r w:rsidRPr="00A14A10">
        <w:rPr>
          <w:rFonts w:ascii="Arial" w:hAnsi="Arial"/>
          <w:sz w:val="22"/>
          <w:u w:val="single"/>
        </w:rPr>
        <w:t>(e)</w:t>
      </w:r>
      <w:r>
        <w:rPr>
          <w:rFonts w:ascii="Arial" w:hAnsi="Arial"/>
          <w:sz w:val="22"/>
        </w:rPr>
        <w:t xml:space="preserve"> states that a</w:t>
      </w:r>
      <w:r w:rsidR="00DC5C5D">
        <w:rPr>
          <w:rFonts w:ascii="Arial" w:hAnsi="Arial"/>
          <w:sz w:val="22"/>
        </w:rPr>
        <w:t xml:space="preserve"> general license is issued to any person to export</w:t>
      </w:r>
      <w:r>
        <w:rPr>
          <w:rFonts w:ascii="Arial" w:hAnsi="Arial"/>
          <w:sz w:val="22"/>
        </w:rPr>
        <w:t xml:space="preserve"> </w:t>
      </w:r>
      <w:r w:rsidR="00DC5C5D">
        <w:rPr>
          <w:rFonts w:ascii="Arial" w:hAnsi="Arial"/>
          <w:sz w:val="22"/>
        </w:rPr>
        <w:t>certain</w:t>
      </w:r>
      <w:r>
        <w:rPr>
          <w:rFonts w:ascii="Arial" w:hAnsi="Arial"/>
          <w:sz w:val="22"/>
        </w:rPr>
        <w:t xml:space="preserve"> nuclear reactor components </w:t>
      </w:r>
      <w:r w:rsidR="00DC5C5D">
        <w:rPr>
          <w:rFonts w:ascii="Arial" w:hAnsi="Arial"/>
          <w:sz w:val="22"/>
        </w:rPr>
        <w:t xml:space="preserve">of U.S. origin to countries listed in this part.  This authorization is subject to the </w:t>
      </w:r>
      <w:r>
        <w:rPr>
          <w:rFonts w:ascii="Arial" w:hAnsi="Arial"/>
          <w:sz w:val="22"/>
        </w:rPr>
        <w:t xml:space="preserve">reporting requirements </w:t>
      </w:r>
      <w:r w:rsidR="00DC5C5D">
        <w:rPr>
          <w:rFonts w:ascii="Arial" w:hAnsi="Arial"/>
          <w:sz w:val="22"/>
        </w:rPr>
        <w:t xml:space="preserve">listed </w:t>
      </w:r>
      <w:r>
        <w:rPr>
          <w:rFonts w:ascii="Arial" w:hAnsi="Arial"/>
          <w:sz w:val="22"/>
        </w:rPr>
        <w:t xml:space="preserve">in 110.54(c).  </w:t>
      </w:r>
    </w:p>
    <w:p w14:paraId="74BA061E" w14:textId="77777777" w:rsidR="0023045D" w:rsidRDefault="0023045D" w:rsidP="0023045D">
      <w:pPr>
        <w:pStyle w:val="NormalWeb"/>
        <w:ind w:left="1440"/>
        <w:rPr>
          <w:rFonts w:ascii="Arial" w:hAnsi="Arial"/>
          <w:sz w:val="22"/>
        </w:rPr>
      </w:pPr>
      <w:r w:rsidRPr="00A14A10">
        <w:rPr>
          <w:rFonts w:ascii="Arial" w:hAnsi="Arial"/>
          <w:sz w:val="22"/>
          <w:u w:val="single"/>
        </w:rPr>
        <w:t>Section 110.27(d)</w:t>
      </w:r>
      <w:r>
        <w:rPr>
          <w:rFonts w:ascii="Arial" w:hAnsi="Arial"/>
          <w:sz w:val="22"/>
        </w:rPr>
        <w:t xml:space="preserve"> states that persons using the general license for imports of formula quantities of strategic special nuclear material (as defined in 73.2 of this chapter) under this general license shall provide the notifications required in § 73.27 and § 73.72 of this chapter. </w:t>
      </w:r>
    </w:p>
    <w:p w14:paraId="1F89B319" w14:textId="77777777" w:rsidR="0023045D" w:rsidRDefault="0023045D" w:rsidP="0023045D">
      <w:pPr>
        <w:pStyle w:val="NormalWeb"/>
        <w:ind w:left="1440"/>
        <w:rPr>
          <w:rFonts w:ascii="Arial" w:hAnsi="Arial" w:cs="Arial"/>
          <w:sz w:val="22"/>
          <w:szCs w:val="22"/>
        </w:rPr>
      </w:pPr>
      <w:r w:rsidRPr="00A14A10">
        <w:rPr>
          <w:rFonts w:ascii="Arial" w:hAnsi="Arial" w:cs="Arial"/>
          <w:sz w:val="22"/>
          <w:szCs w:val="22"/>
          <w:u w:val="single"/>
        </w:rPr>
        <w:t>Section 110.50(</w:t>
      </w:r>
      <w:r w:rsidRPr="00B861A9">
        <w:rPr>
          <w:rFonts w:ascii="Arial" w:hAnsi="Arial" w:cs="Arial"/>
          <w:sz w:val="22"/>
          <w:szCs w:val="22"/>
          <w:u w:val="single"/>
        </w:rPr>
        <w:t>a)(8)</w:t>
      </w:r>
      <w:r w:rsidRPr="003C5CD5">
        <w:rPr>
          <w:rFonts w:ascii="Arial" w:hAnsi="Arial" w:cs="Arial"/>
          <w:sz w:val="22"/>
          <w:szCs w:val="22"/>
        </w:rPr>
        <w:t xml:space="preserve"> </w:t>
      </w:r>
      <w:r>
        <w:rPr>
          <w:rFonts w:ascii="Arial" w:hAnsi="Arial" w:cs="Arial"/>
          <w:sz w:val="22"/>
          <w:szCs w:val="22"/>
        </w:rPr>
        <w:t>states that a</w:t>
      </w:r>
      <w:r w:rsidRPr="003C5CD5">
        <w:rPr>
          <w:rFonts w:ascii="Arial" w:hAnsi="Arial" w:cs="Arial"/>
          <w:sz w:val="22"/>
          <w:szCs w:val="22"/>
        </w:rPr>
        <w:t xml:space="preserve"> licensee shall not proceed to export or import and shall notify the Commission promptly if he knows or has reason to believe that the packaging requirements of </w:t>
      </w:r>
      <w:r>
        <w:rPr>
          <w:rFonts w:ascii="Arial" w:hAnsi="Arial" w:cs="Arial"/>
          <w:sz w:val="22"/>
          <w:szCs w:val="22"/>
        </w:rPr>
        <w:t>10 CFR P</w:t>
      </w:r>
      <w:r w:rsidRPr="003C5CD5">
        <w:rPr>
          <w:rFonts w:ascii="Arial" w:hAnsi="Arial" w:cs="Arial"/>
          <w:sz w:val="22"/>
          <w:szCs w:val="22"/>
        </w:rPr>
        <w:t>art 71 have not been met.</w:t>
      </w:r>
    </w:p>
    <w:p w14:paraId="00A885DA" w14:textId="77777777" w:rsidR="0023045D" w:rsidRPr="007A5520" w:rsidRDefault="0023045D" w:rsidP="0023045D">
      <w:pPr>
        <w:pStyle w:val="NormalWeb"/>
        <w:ind w:left="1440"/>
        <w:rPr>
          <w:rFonts w:ascii="Arial" w:hAnsi="Arial" w:cs="Arial"/>
          <w:sz w:val="22"/>
          <w:szCs w:val="22"/>
        </w:rPr>
      </w:pPr>
      <w:r w:rsidRPr="00A14A10">
        <w:rPr>
          <w:rFonts w:ascii="Arial" w:hAnsi="Arial" w:cs="Arial"/>
          <w:sz w:val="22"/>
          <w:szCs w:val="22"/>
          <w:u w:val="single"/>
        </w:rPr>
        <w:t>Section 110.50(b</w:t>
      </w:r>
      <w:r w:rsidRPr="00B861A9">
        <w:rPr>
          <w:rFonts w:ascii="Arial" w:hAnsi="Arial" w:cs="Arial"/>
          <w:sz w:val="22"/>
          <w:szCs w:val="22"/>
          <w:u w:val="single"/>
        </w:rPr>
        <w:t>)(3)</w:t>
      </w:r>
      <w:r w:rsidRPr="007A5520">
        <w:rPr>
          <w:rFonts w:ascii="Arial" w:hAnsi="Arial" w:cs="Arial"/>
          <w:sz w:val="22"/>
          <w:szCs w:val="22"/>
        </w:rPr>
        <w:t xml:space="preserve"> states that unless a license specifically authorizes the export of certain foreign-obligated nuclear material or equipment, a licensee may not ship such material or equipment until</w:t>
      </w:r>
      <w:r>
        <w:rPr>
          <w:rFonts w:ascii="Arial" w:hAnsi="Arial" w:cs="Arial"/>
          <w:sz w:val="22"/>
          <w:szCs w:val="22"/>
        </w:rPr>
        <w:t xml:space="preserve"> t</w:t>
      </w:r>
      <w:r w:rsidRPr="007A5520">
        <w:rPr>
          <w:rFonts w:ascii="Arial" w:hAnsi="Arial" w:cs="Arial"/>
          <w:sz w:val="22"/>
          <w:szCs w:val="22"/>
        </w:rPr>
        <w:t>he licensee has requested and the Commission has issued an amendment to the license authorizing such shipment; or</w:t>
      </w:r>
      <w:r>
        <w:rPr>
          <w:rFonts w:ascii="Arial" w:hAnsi="Arial" w:cs="Arial"/>
          <w:sz w:val="22"/>
          <w:szCs w:val="22"/>
        </w:rPr>
        <w:t xml:space="preserve"> </w:t>
      </w:r>
      <w:r>
        <w:rPr>
          <w:rFonts w:ascii="Arial" w:hAnsi="Arial"/>
          <w:sz w:val="22"/>
        </w:rPr>
        <w:t>t</w:t>
      </w:r>
      <w:r w:rsidRPr="007A5520">
        <w:rPr>
          <w:rFonts w:ascii="Arial" w:hAnsi="Arial" w:cs="Arial"/>
          <w:sz w:val="22"/>
          <w:szCs w:val="22"/>
        </w:rPr>
        <w:t xml:space="preserve">he licensee has given at least 40 days advance notice of the intended </w:t>
      </w:r>
      <w:r>
        <w:rPr>
          <w:rFonts w:ascii="Arial" w:hAnsi="Arial" w:cs="Arial"/>
          <w:sz w:val="22"/>
          <w:szCs w:val="22"/>
        </w:rPr>
        <w:t>s</w:t>
      </w:r>
      <w:r w:rsidRPr="007A5520">
        <w:rPr>
          <w:rFonts w:ascii="Arial" w:hAnsi="Arial" w:cs="Arial"/>
          <w:sz w:val="22"/>
          <w:szCs w:val="22"/>
        </w:rPr>
        <w:t>hipment in writing to the Deputy Director, Office of International Programs (OIP); and</w:t>
      </w:r>
      <w:r>
        <w:rPr>
          <w:rFonts w:ascii="Arial" w:hAnsi="Arial" w:cs="Arial"/>
          <w:sz w:val="22"/>
          <w:szCs w:val="22"/>
        </w:rPr>
        <w:t xml:space="preserve"> t</w:t>
      </w:r>
      <w:r w:rsidRPr="007A5520">
        <w:rPr>
          <w:rFonts w:ascii="Arial" w:hAnsi="Arial" w:cs="Arial"/>
          <w:sz w:val="22"/>
          <w:szCs w:val="22"/>
        </w:rPr>
        <w:t>he Deputy Director, OIP has</w:t>
      </w:r>
      <w:r>
        <w:rPr>
          <w:rFonts w:ascii="Arial" w:hAnsi="Arial" w:cs="Arial"/>
          <w:sz w:val="22"/>
          <w:szCs w:val="22"/>
        </w:rPr>
        <w:t xml:space="preserve"> o</w:t>
      </w:r>
      <w:r w:rsidRPr="007A5520">
        <w:rPr>
          <w:rFonts w:ascii="Arial" w:hAnsi="Arial" w:cs="Arial"/>
          <w:sz w:val="22"/>
          <w:szCs w:val="22"/>
        </w:rPr>
        <w:t>btained confirmation, through either the Department of Energy or State, that the foreign government in question has given its consent to the intended shipment pursuant to its agreement for cooperation with the United States; and</w:t>
      </w:r>
      <w:r>
        <w:rPr>
          <w:rFonts w:ascii="Arial" w:hAnsi="Arial" w:cs="Arial"/>
          <w:sz w:val="22"/>
          <w:szCs w:val="22"/>
        </w:rPr>
        <w:t xml:space="preserve"> c</w:t>
      </w:r>
      <w:r w:rsidRPr="007A5520">
        <w:rPr>
          <w:rFonts w:ascii="Arial" w:hAnsi="Arial" w:cs="Arial"/>
          <w:sz w:val="22"/>
          <w:szCs w:val="22"/>
        </w:rPr>
        <w:t>ommunicated this in writing to the licensee.</w:t>
      </w:r>
    </w:p>
    <w:p w14:paraId="5C239F69" w14:textId="77777777" w:rsidR="0023045D" w:rsidRDefault="0023045D" w:rsidP="0023045D">
      <w:pPr>
        <w:pStyle w:val="NormalWeb"/>
        <w:ind w:left="1440"/>
        <w:rPr>
          <w:rFonts w:ascii="Arial" w:hAnsi="Arial" w:cs="Arial"/>
          <w:sz w:val="22"/>
          <w:szCs w:val="22"/>
        </w:rPr>
      </w:pPr>
      <w:r w:rsidRPr="00A14A10">
        <w:rPr>
          <w:rFonts w:ascii="Arial" w:hAnsi="Arial" w:cs="Arial"/>
          <w:sz w:val="22"/>
          <w:szCs w:val="22"/>
          <w:u w:val="single"/>
        </w:rPr>
        <w:t>Section 110.</w:t>
      </w:r>
      <w:r w:rsidRPr="00D85633">
        <w:rPr>
          <w:rFonts w:ascii="Arial" w:hAnsi="Arial" w:cs="Arial"/>
          <w:sz w:val="22"/>
          <w:szCs w:val="22"/>
          <w:u w:val="single"/>
        </w:rPr>
        <w:t>50(c)</w:t>
      </w:r>
      <w:r w:rsidRPr="007A5520">
        <w:rPr>
          <w:rFonts w:ascii="Arial" w:hAnsi="Arial" w:cs="Arial"/>
          <w:sz w:val="22"/>
          <w:szCs w:val="22"/>
        </w:rPr>
        <w:t xml:space="preserve"> states that a licensee authorized to export or import the radioactive material listed in Appendix P to </w:t>
      </w:r>
      <w:r>
        <w:rPr>
          <w:rFonts w:ascii="Arial" w:hAnsi="Arial" w:cs="Arial"/>
          <w:sz w:val="22"/>
          <w:szCs w:val="22"/>
        </w:rPr>
        <w:t>10 CFR Part 110</w:t>
      </w:r>
      <w:r w:rsidRPr="007A5520">
        <w:rPr>
          <w:rFonts w:ascii="Arial" w:hAnsi="Arial" w:cs="Arial"/>
          <w:sz w:val="22"/>
          <w:szCs w:val="22"/>
        </w:rPr>
        <w:t xml:space="preserve"> is responsible for notifying NRC and, in cases of exports, the government of the importing country in advance of each shipment. </w:t>
      </w:r>
      <w:r>
        <w:rPr>
          <w:rFonts w:ascii="Arial" w:hAnsi="Arial" w:cs="Arial"/>
          <w:sz w:val="22"/>
          <w:szCs w:val="22"/>
        </w:rPr>
        <w:t xml:space="preserve"> </w:t>
      </w:r>
      <w:r w:rsidRPr="007A5520">
        <w:rPr>
          <w:rFonts w:ascii="Arial" w:hAnsi="Arial" w:cs="Arial"/>
          <w:sz w:val="22"/>
          <w:szCs w:val="22"/>
        </w:rPr>
        <w:t xml:space="preserve">A list of points of contact in importing countries is available at NRC’s </w:t>
      </w:r>
      <w:r>
        <w:rPr>
          <w:rFonts w:ascii="Arial" w:hAnsi="Arial" w:cs="Arial"/>
          <w:sz w:val="22"/>
          <w:szCs w:val="22"/>
        </w:rPr>
        <w:t>OIP</w:t>
      </w:r>
      <w:r w:rsidRPr="007A5520">
        <w:rPr>
          <w:rFonts w:ascii="Arial" w:hAnsi="Arial" w:cs="Arial"/>
          <w:sz w:val="22"/>
          <w:szCs w:val="22"/>
        </w:rPr>
        <w:t xml:space="preserve"> Web site, accessible on the NRC Public Web site at </w:t>
      </w:r>
      <w:hyperlink r:id="rId8" w:history="1">
        <w:r w:rsidRPr="002829A1">
          <w:rPr>
            <w:rStyle w:val="Hyperlink"/>
            <w:rFonts w:ascii="Arial" w:hAnsi="Arial" w:cs="Arial"/>
            <w:sz w:val="22"/>
            <w:szCs w:val="22"/>
          </w:rPr>
          <w:t>http://www.nrc.gov</w:t>
        </w:r>
      </w:hyperlink>
      <w:r w:rsidRPr="007A5520">
        <w:rPr>
          <w:rFonts w:ascii="Arial" w:hAnsi="Arial" w:cs="Arial"/>
          <w:sz w:val="22"/>
          <w:szCs w:val="22"/>
        </w:rPr>
        <w:t>.</w:t>
      </w:r>
    </w:p>
    <w:p w14:paraId="5DA76738" w14:textId="77777777" w:rsidR="0023045D" w:rsidRDefault="0023045D" w:rsidP="0023045D">
      <w:pPr>
        <w:pStyle w:val="NormalWeb"/>
        <w:ind w:left="1440"/>
        <w:rPr>
          <w:rFonts w:ascii="Arial" w:hAnsi="Arial" w:cs="Arial"/>
          <w:sz w:val="22"/>
          <w:szCs w:val="22"/>
        </w:rPr>
      </w:pPr>
      <w:r>
        <w:rPr>
          <w:rFonts w:ascii="Arial" w:hAnsi="Arial" w:cs="Arial"/>
          <w:sz w:val="22"/>
          <w:szCs w:val="22"/>
        </w:rPr>
        <w:lastRenderedPageBreak/>
        <w:t xml:space="preserve">NRC Form 830 “Report of Import” (and continuation sheet 830A) is a voluntary form that licensees may use to comply with the requirements of </w:t>
      </w:r>
      <w:r>
        <w:rPr>
          <w:rFonts w:ascii="Arial" w:hAnsi="Arial" w:cs="Arial"/>
          <w:sz w:val="22"/>
        </w:rPr>
        <w:t>§</w:t>
      </w:r>
      <w:r>
        <w:rPr>
          <w:rFonts w:ascii="Arial" w:hAnsi="Arial" w:cs="Arial"/>
          <w:sz w:val="22"/>
          <w:szCs w:val="22"/>
        </w:rPr>
        <w:t xml:space="preserve"> 110.50(c) and report the import of radioactive material.  NRC Form 831 “Report of Export” (and continuation sheet 831A) is a voluntary form that licensees may use to report the export of radioactive material.  These forms are designed to assist licensees in complying with the reporting requirement.</w:t>
      </w:r>
      <w:r w:rsidR="00C44013">
        <w:rPr>
          <w:rFonts w:ascii="Arial" w:hAnsi="Arial" w:cs="Arial"/>
          <w:sz w:val="22"/>
          <w:szCs w:val="22"/>
        </w:rPr>
        <w:t xml:space="preserve">  </w:t>
      </w:r>
    </w:p>
    <w:p w14:paraId="7A2FC01C" w14:textId="77777777" w:rsidR="0023045D" w:rsidRDefault="0023045D" w:rsidP="0023045D">
      <w:pPr>
        <w:pStyle w:val="NormalWeb"/>
        <w:ind w:left="1440"/>
        <w:rPr>
          <w:rFonts w:ascii="Arial" w:hAnsi="Arial"/>
          <w:sz w:val="22"/>
        </w:rPr>
      </w:pPr>
      <w:r w:rsidRPr="00A14A10">
        <w:rPr>
          <w:rFonts w:ascii="Arial" w:hAnsi="Arial"/>
          <w:sz w:val="22"/>
          <w:u w:val="single"/>
        </w:rPr>
        <w:t>Section 110.52(b</w:t>
      </w:r>
      <w:r>
        <w:rPr>
          <w:rFonts w:ascii="Arial" w:hAnsi="Arial"/>
          <w:sz w:val="22"/>
        </w:rPr>
        <w:t>) states that the Commission may require further information from a licensee to determine whether a license should be revoked, suspended, or modified.</w:t>
      </w:r>
    </w:p>
    <w:p w14:paraId="14E9DA2D" w14:textId="77777777" w:rsidR="0023045D" w:rsidRDefault="0023045D" w:rsidP="0023045D">
      <w:pPr>
        <w:pStyle w:val="NormalWeb"/>
        <w:ind w:left="1440"/>
        <w:rPr>
          <w:rFonts w:ascii="Arial" w:hAnsi="Arial"/>
          <w:sz w:val="22"/>
        </w:rPr>
      </w:pPr>
      <w:r w:rsidRPr="00A14A10">
        <w:rPr>
          <w:rFonts w:ascii="Arial" w:hAnsi="Arial"/>
          <w:sz w:val="22"/>
          <w:u w:val="single"/>
        </w:rPr>
        <w:t>Section 110.53(b)(1</w:t>
      </w:r>
      <w:r>
        <w:rPr>
          <w:rFonts w:ascii="Arial" w:hAnsi="Arial"/>
          <w:sz w:val="22"/>
        </w:rPr>
        <w:t>) states that each license applicant or licensee (general or specific) shall maintain records concerning its exports or imports.  The licensee shall retain these records for five years after each export or import except that byproduct material records must be retained for three years after the date of each export or import shipment.</w:t>
      </w:r>
    </w:p>
    <w:p w14:paraId="6A63A851" w14:textId="77777777" w:rsidR="0023045D" w:rsidRDefault="0023045D" w:rsidP="0023045D">
      <w:pPr>
        <w:pStyle w:val="NormalWeb"/>
        <w:ind w:left="1440"/>
        <w:rPr>
          <w:rFonts w:ascii="Arial" w:hAnsi="Arial"/>
          <w:sz w:val="22"/>
        </w:rPr>
      </w:pPr>
      <w:r w:rsidRPr="00A14A10">
        <w:rPr>
          <w:rFonts w:ascii="Arial" w:hAnsi="Arial"/>
          <w:sz w:val="22"/>
          <w:u w:val="single"/>
        </w:rPr>
        <w:t>Section 110.53(b)(2</w:t>
      </w:r>
      <w:r>
        <w:rPr>
          <w:rFonts w:ascii="Arial" w:hAnsi="Arial"/>
          <w:sz w:val="22"/>
        </w:rPr>
        <w:t>) states that records which must be maintained pursuant to this part may be the original or a reproduced copy or microform if such reproduced copy or microform is duly authenticated by authorized personnel and the microform is capable of producing a clear and legible copy after storage for the period specified by Commission regulations.  The record may also be stored in electronic media with the capability for producing legible, accurate, and complete records during the required retention period.  Records such as letters, drawings, and specifications, must include all pertinent information such as stamps, initials, and signatures.  The licensee shall maintain adequate safeguards against tampering with and loss of records.</w:t>
      </w:r>
    </w:p>
    <w:p w14:paraId="0C3D1F91" w14:textId="77777777" w:rsidR="0023045D" w:rsidRPr="00E34B29" w:rsidRDefault="0023045D" w:rsidP="0023045D">
      <w:pPr>
        <w:pStyle w:val="NormalWeb"/>
        <w:ind w:left="1440"/>
        <w:rPr>
          <w:rFonts w:ascii="Arial" w:hAnsi="Arial" w:cs="Arial"/>
          <w:sz w:val="22"/>
          <w:szCs w:val="22"/>
        </w:rPr>
      </w:pPr>
      <w:r w:rsidRPr="00A14A10">
        <w:rPr>
          <w:rFonts w:ascii="Arial" w:hAnsi="Arial" w:cs="Arial"/>
          <w:sz w:val="22"/>
          <w:szCs w:val="22"/>
          <w:u w:val="single"/>
        </w:rPr>
        <w:t>Section 110.54(a</w:t>
      </w:r>
      <w:r>
        <w:rPr>
          <w:rFonts w:ascii="Arial" w:hAnsi="Arial" w:cs="Arial"/>
          <w:sz w:val="22"/>
          <w:szCs w:val="22"/>
        </w:rPr>
        <w:t xml:space="preserve">) </w:t>
      </w:r>
      <w:r w:rsidRPr="00E34B29">
        <w:rPr>
          <w:rFonts w:ascii="Arial" w:hAnsi="Arial" w:cs="Arial"/>
          <w:sz w:val="22"/>
          <w:szCs w:val="22"/>
        </w:rPr>
        <w:t xml:space="preserve">states that reports of exports of nuclear facilities and equipment, nuclear grade graphite for nuclear end use, and deuterium shipped during the previous quarter must be submitted by licensees making exports under the general license or specific license of this part by January 15, April 15, July 15, and October 15 of each year on </w:t>
      </w:r>
      <w:r>
        <w:rPr>
          <w:rFonts w:ascii="Arial" w:hAnsi="Arial" w:cs="Arial"/>
          <w:sz w:val="22"/>
          <w:szCs w:val="22"/>
        </w:rPr>
        <w:t>Forms</w:t>
      </w:r>
      <w:r w:rsidRPr="00E34B29">
        <w:rPr>
          <w:rFonts w:ascii="Arial" w:hAnsi="Arial" w:cs="Arial"/>
          <w:sz w:val="22"/>
          <w:szCs w:val="22"/>
        </w:rPr>
        <w:t xml:space="preserve"> AP–M</w:t>
      </w:r>
      <w:r>
        <w:rPr>
          <w:rFonts w:ascii="Arial" w:hAnsi="Arial" w:cs="Arial"/>
          <w:sz w:val="22"/>
          <w:szCs w:val="22"/>
        </w:rPr>
        <w:t>, “</w:t>
      </w:r>
      <w:r w:rsidRPr="00A14A10">
        <w:rPr>
          <w:rFonts w:ascii="Arial" w:hAnsi="Arial" w:cs="Arial"/>
          <w:sz w:val="22"/>
          <w:szCs w:val="22"/>
        </w:rPr>
        <w:t>Exports of specified equipment and non-nuclear material</w:t>
      </w:r>
      <w:r>
        <w:rPr>
          <w:rFonts w:ascii="Arial" w:hAnsi="Arial" w:cs="Arial"/>
          <w:sz w:val="22"/>
          <w:szCs w:val="22"/>
        </w:rPr>
        <w:t>”</w:t>
      </w:r>
      <w:r w:rsidRPr="00E34B29">
        <w:rPr>
          <w:rFonts w:ascii="Arial" w:hAnsi="Arial" w:cs="Arial"/>
          <w:sz w:val="22"/>
          <w:szCs w:val="22"/>
        </w:rPr>
        <w:t xml:space="preserve"> or AP–13</w:t>
      </w:r>
      <w:r>
        <w:rPr>
          <w:rFonts w:ascii="Arial" w:hAnsi="Arial" w:cs="Arial"/>
          <w:sz w:val="22"/>
          <w:szCs w:val="22"/>
        </w:rPr>
        <w:t>, “</w:t>
      </w:r>
      <w:r w:rsidRPr="007E6FA0">
        <w:rPr>
          <w:rFonts w:ascii="Arial" w:hAnsi="Arial" w:cs="Arial"/>
          <w:sz w:val="22"/>
          <w:szCs w:val="22"/>
        </w:rPr>
        <w:t>Exports of specified equipment and non-nuclear material</w:t>
      </w:r>
      <w:r>
        <w:rPr>
          <w:rFonts w:ascii="Arial" w:hAnsi="Arial" w:cs="Arial"/>
          <w:sz w:val="22"/>
          <w:szCs w:val="22"/>
        </w:rPr>
        <w:t>”</w:t>
      </w:r>
      <w:r w:rsidRPr="00E34B29">
        <w:rPr>
          <w:rFonts w:ascii="Arial" w:hAnsi="Arial" w:cs="Arial"/>
          <w:sz w:val="22"/>
          <w:szCs w:val="22"/>
        </w:rPr>
        <w:t>, and associated forms</w:t>
      </w:r>
      <w:r>
        <w:rPr>
          <w:rFonts w:ascii="Arial" w:hAnsi="Arial" w:cs="Arial"/>
          <w:sz w:val="22"/>
          <w:szCs w:val="22"/>
        </w:rPr>
        <w:t xml:space="preserve">, submitted to OMB by </w:t>
      </w:r>
      <w:r w:rsidRPr="00A14A10">
        <w:rPr>
          <w:rFonts w:ascii="Arial" w:hAnsi="Arial" w:cs="Arial"/>
          <w:sz w:val="22"/>
          <w:szCs w:val="22"/>
        </w:rPr>
        <w:t>U.S. Department of Commerce</w:t>
      </w:r>
      <w:r>
        <w:rPr>
          <w:rFonts w:ascii="Arial" w:hAnsi="Arial" w:cs="Arial"/>
          <w:sz w:val="22"/>
          <w:szCs w:val="22"/>
        </w:rPr>
        <w:t xml:space="preserve">, </w:t>
      </w:r>
      <w:r w:rsidRPr="00A14A10">
        <w:rPr>
          <w:rFonts w:ascii="Arial" w:hAnsi="Arial" w:cs="Arial"/>
          <w:sz w:val="22"/>
          <w:szCs w:val="22"/>
        </w:rPr>
        <w:t>Bureau of Industry and Security</w:t>
      </w:r>
      <w:r>
        <w:rPr>
          <w:rFonts w:ascii="Arial" w:hAnsi="Arial" w:cs="Arial"/>
          <w:sz w:val="22"/>
          <w:szCs w:val="22"/>
        </w:rPr>
        <w:t>, and cleared under #0694-0135</w:t>
      </w:r>
      <w:r w:rsidRPr="00E34B29">
        <w:rPr>
          <w:rFonts w:ascii="Arial" w:hAnsi="Arial" w:cs="Arial"/>
          <w:sz w:val="22"/>
          <w:szCs w:val="22"/>
        </w:rPr>
        <w:t xml:space="preserve">. </w:t>
      </w:r>
      <w:r>
        <w:rPr>
          <w:rFonts w:ascii="Arial" w:hAnsi="Arial" w:cs="Arial"/>
          <w:sz w:val="22"/>
          <w:szCs w:val="22"/>
        </w:rPr>
        <w:t xml:space="preserve"> </w:t>
      </w:r>
      <w:r w:rsidRPr="00E34B29">
        <w:rPr>
          <w:rFonts w:ascii="Arial" w:hAnsi="Arial" w:cs="Arial"/>
          <w:sz w:val="22"/>
          <w:szCs w:val="22"/>
        </w:rPr>
        <w:t>The reports must contain information on all nuclear facilities, equipment, and non-nuclear materials (nuclear grade graphite for nuclear end use and deuterium) listed in Annex II of the Additional Protocol.</w:t>
      </w:r>
    </w:p>
    <w:p w14:paraId="1FF0C5FC" w14:textId="77777777" w:rsidR="0023045D" w:rsidRPr="00E34B29" w:rsidRDefault="0023045D" w:rsidP="0023045D">
      <w:pPr>
        <w:pStyle w:val="NormalWeb"/>
        <w:ind w:left="1440"/>
        <w:rPr>
          <w:rFonts w:ascii="Arial" w:hAnsi="Arial" w:cs="Arial"/>
          <w:sz w:val="22"/>
          <w:szCs w:val="22"/>
        </w:rPr>
      </w:pPr>
      <w:r w:rsidRPr="00A14A10">
        <w:rPr>
          <w:rFonts w:ascii="Arial" w:hAnsi="Arial" w:cs="Arial"/>
          <w:sz w:val="22"/>
          <w:szCs w:val="22"/>
          <w:u w:val="single"/>
        </w:rPr>
        <w:t>Section 110.54(b</w:t>
      </w:r>
      <w:r>
        <w:rPr>
          <w:rFonts w:ascii="Arial" w:hAnsi="Arial" w:cs="Arial"/>
          <w:sz w:val="22"/>
          <w:szCs w:val="22"/>
        </w:rPr>
        <w:t>) states that p</w:t>
      </w:r>
      <w:r w:rsidRPr="00E34B29">
        <w:rPr>
          <w:rFonts w:ascii="Arial" w:hAnsi="Arial" w:cs="Arial"/>
          <w:sz w:val="22"/>
          <w:szCs w:val="22"/>
        </w:rPr>
        <w:t>ersons making exports under the general license established by § 110.23(a) or under a specific license shall submit by February 1 of each year one copy of a report of all americium and neptunium shipments during the previous calendar year.</w:t>
      </w:r>
      <w:r>
        <w:rPr>
          <w:rFonts w:ascii="Arial" w:hAnsi="Arial" w:cs="Arial"/>
          <w:sz w:val="22"/>
          <w:szCs w:val="22"/>
        </w:rPr>
        <w:t xml:space="preserve"> </w:t>
      </w:r>
      <w:r w:rsidRPr="00E34B29">
        <w:rPr>
          <w:rFonts w:ascii="Arial" w:hAnsi="Arial" w:cs="Arial"/>
          <w:sz w:val="22"/>
          <w:szCs w:val="22"/>
        </w:rPr>
        <w:t xml:space="preserve"> This report shall be submitted to the Deputy Director, Office of International Programs</w:t>
      </w:r>
      <w:r>
        <w:rPr>
          <w:rFonts w:ascii="Arial" w:hAnsi="Arial" w:cs="Arial"/>
          <w:sz w:val="22"/>
          <w:szCs w:val="22"/>
        </w:rPr>
        <w:t>,</w:t>
      </w:r>
      <w:r w:rsidRPr="00E34B29">
        <w:rPr>
          <w:rFonts w:ascii="Arial" w:hAnsi="Arial" w:cs="Arial"/>
          <w:sz w:val="22"/>
          <w:szCs w:val="22"/>
        </w:rPr>
        <w:t xml:space="preserve"> at the address provided in § 110.4. </w:t>
      </w:r>
      <w:r>
        <w:rPr>
          <w:rFonts w:ascii="Arial" w:hAnsi="Arial" w:cs="Arial"/>
          <w:sz w:val="22"/>
          <w:szCs w:val="22"/>
        </w:rPr>
        <w:t xml:space="preserve"> </w:t>
      </w:r>
      <w:r w:rsidRPr="00E34B29">
        <w:rPr>
          <w:rFonts w:ascii="Arial" w:hAnsi="Arial" w:cs="Arial"/>
          <w:sz w:val="22"/>
          <w:szCs w:val="22"/>
        </w:rPr>
        <w:t>The report must include</w:t>
      </w:r>
      <w:r>
        <w:rPr>
          <w:rFonts w:ascii="Arial" w:hAnsi="Arial" w:cs="Arial"/>
          <w:sz w:val="22"/>
          <w:szCs w:val="22"/>
        </w:rPr>
        <w:t xml:space="preserve"> a </w:t>
      </w:r>
      <w:r w:rsidRPr="00E34B29">
        <w:rPr>
          <w:rFonts w:ascii="Arial" w:hAnsi="Arial" w:cs="Arial"/>
          <w:sz w:val="22"/>
          <w:szCs w:val="22"/>
        </w:rPr>
        <w:t xml:space="preserve">description of the material, including quantity in </w:t>
      </w:r>
      <w:r>
        <w:rPr>
          <w:rFonts w:ascii="Arial" w:hAnsi="Arial" w:cs="Arial"/>
          <w:sz w:val="22"/>
          <w:szCs w:val="22"/>
        </w:rPr>
        <w:t>terabecquerels</w:t>
      </w:r>
      <w:r w:rsidRPr="00E34B29">
        <w:rPr>
          <w:rFonts w:ascii="Arial" w:hAnsi="Arial" w:cs="Arial"/>
          <w:sz w:val="22"/>
          <w:szCs w:val="22"/>
        </w:rPr>
        <w:t xml:space="preserve"> and gram</w:t>
      </w:r>
      <w:r>
        <w:rPr>
          <w:rFonts w:ascii="Arial" w:hAnsi="Arial" w:cs="Arial"/>
          <w:sz w:val="22"/>
          <w:szCs w:val="22"/>
        </w:rPr>
        <w:t>s, a</w:t>
      </w:r>
      <w:r w:rsidRPr="00E34B29">
        <w:rPr>
          <w:rFonts w:ascii="Arial" w:hAnsi="Arial" w:cs="Arial"/>
          <w:sz w:val="22"/>
          <w:szCs w:val="22"/>
        </w:rPr>
        <w:t>pproximate shipment dates and</w:t>
      </w:r>
      <w:r>
        <w:rPr>
          <w:rFonts w:ascii="Arial" w:hAnsi="Arial" w:cs="Arial"/>
          <w:sz w:val="22"/>
          <w:szCs w:val="22"/>
        </w:rPr>
        <w:t xml:space="preserve"> a</w:t>
      </w:r>
      <w:r w:rsidRPr="00E34B29">
        <w:rPr>
          <w:rFonts w:ascii="Arial" w:hAnsi="Arial" w:cs="Arial"/>
          <w:sz w:val="22"/>
          <w:szCs w:val="22"/>
        </w:rPr>
        <w:t xml:space="preserve"> list of recipient countries, end users, and intended use keyed to the items shipped.</w:t>
      </w:r>
    </w:p>
    <w:p w14:paraId="72E812E2" w14:textId="77777777" w:rsidR="0023045D" w:rsidRDefault="0023045D" w:rsidP="0023045D">
      <w:pPr>
        <w:pStyle w:val="NormalWeb"/>
        <w:ind w:left="1440"/>
        <w:rPr>
          <w:rFonts w:ascii="Arial" w:hAnsi="Arial" w:cs="Arial"/>
          <w:sz w:val="22"/>
          <w:szCs w:val="22"/>
        </w:rPr>
      </w:pPr>
      <w:r w:rsidRPr="00A14A10">
        <w:rPr>
          <w:rFonts w:ascii="Arial" w:hAnsi="Arial" w:cs="Arial"/>
          <w:sz w:val="22"/>
          <w:szCs w:val="22"/>
          <w:u w:val="single"/>
        </w:rPr>
        <w:t>Section 110.54(c</w:t>
      </w:r>
      <w:r>
        <w:rPr>
          <w:rFonts w:ascii="Arial" w:hAnsi="Arial" w:cs="Arial"/>
          <w:sz w:val="22"/>
          <w:szCs w:val="22"/>
        </w:rPr>
        <w:t>) states that p</w:t>
      </w:r>
      <w:r w:rsidRPr="00E34B29">
        <w:rPr>
          <w:rFonts w:ascii="Arial" w:hAnsi="Arial" w:cs="Arial"/>
          <w:sz w:val="22"/>
          <w:szCs w:val="22"/>
        </w:rPr>
        <w:t xml:space="preserve">ersons making exports under the general license established by § 110.26(a) shall submit by February 1 of each year one copy of a report of all components shipped during the previous calendar year. </w:t>
      </w:r>
      <w:r>
        <w:rPr>
          <w:rFonts w:ascii="Arial" w:hAnsi="Arial" w:cs="Arial"/>
          <w:sz w:val="22"/>
          <w:szCs w:val="22"/>
        </w:rPr>
        <w:t xml:space="preserve"> </w:t>
      </w:r>
      <w:r w:rsidRPr="00E34B29">
        <w:rPr>
          <w:rFonts w:ascii="Arial" w:hAnsi="Arial" w:cs="Arial"/>
          <w:sz w:val="22"/>
          <w:szCs w:val="22"/>
        </w:rPr>
        <w:t xml:space="preserve">This report shall be </w:t>
      </w:r>
      <w:r w:rsidRPr="00E34B29">
        <w:rPr>
          <w:rFonts w:ascii="Arial" w:hAnsi="Arial" w:cs="Arial"/>
          <w:sz w:val="22"/>
          <w:szCs w:val="22"/>
        </w:rPr>
        <w:lastRenderedPageBreak/>
        <w:t>submitted to the Deputy Director, Office of International Programs</w:t>
      </w:r>
      <w:r>
        <w:rPr>
          <w:rFonts w:ascii="Arial" w:hAnsi="Arial" w:cs="Arial"/>
          <w:sz w:val="22"/>
          <w:szCs w:val="22"/>
        </w:rPr>
        <w:t>,</w:t>
      </w:r>
      <w:r w:rsidRPr="00E34B29">
        <w:rPr>
          <w:rFonts w:ascii="Arial" w:hAnsi="Arial" w:cs="Arial"/>
          <w:sz w:val="22"/>
          <w:szCs w:val="22"/>
        </w:rPr>
        <w:t xml:space="preserve"> at the address provided in § 110.4. </w:t>
      </w:r>
      <w:r>
        <w:rPr>
          <w:rFonts w:ascii="Arial" w:hAnsi="Arial" w:cs="Arial"/>
          <w:sz w:val="22"/>
          <w:szCs w:val="22"/>
        </w:rPr>
        <w:t xml:space="preserve"> </w:t>
      </w:r>
      <w:r w:rsidRPr="00E34B29">
        <w:rPr>
          <w:rFonts w:ascii="Arial" w:hAnsi="Arial" w:cs="Arial"/>
          <w:sz w:val="22"/>
          <w:szCs w:val="22"/>
        </w:rPr>
        <w:t>This report must include</w:t>
      </w:r>
      <w:r>
        <w:rPr>
          <w:rFonts w:ascii="Arial" w:hAnsi="Arial" w:cs="Arial"/>
          <w:sz w:val="22"/>
          <w:szCs w:val="22"/>
        </w:rPr>
        <w:t xml:space="preserve"> a</w:t>
      </w:r>
      <w:r w:rsidRPr="00E34B29">
        <w:rPr>
          <w:rFonts w:ascii="Arial" w:hAnsi="Arial" w:cs="Arial"/>
          <w:sz w:val="22"/>
          <w:szCs w:val="22"/>
        </w:rPr>
        <w:t xml:space="preserve"> description of the components keyed to the categories listed in </w:t>
      </w:r>
      <w:r>
        <w:rPr>
          <w:rFonts w:ascii="Arial" w:hAnsi="Arial" w:cs="Arial"/>
          <w:sz w:val="22"/>
          <w:szCs w:val="22"/>
        </w:rPr>
        <w:t>A</w:t>
      </w:r>
      <w:r w:rsidRPr="00E34B29">
        <w:rPr>
          <w:rFonts w:ascii="Arial" w:hAnsi="Arial" w:cs="Arial"/>
          <w:sz w:val="22"/>
          <w:szCs w:val="22"/>
        </w:rPr>
        <w:t xml:space="preserve">ppendix A to </w:t>
      </w:r>
      <w:r>
        <w:rPr>
          <w:rFonts w:ascii="Arial" w:hAnsi="Arial" w:cs="Arial"/>
          <w:sz w:val="22"/>
          <w:szCs w:val="22"/>
        </w:rPr>
        <w:t>10 CFR Part 110, a</w:t>
      </w:r>
      <w:r w:rsidRPr="00E34B29">
        <w:rPr>
          <w:rFonts w:ascii="Arial" w:hAnsi="Arial" w:cs="Arial"/>
          <w:sz w:val="22"/>
          <w:szCs w:val="22"/>
        </w:rPr>
        <w:t>pproximate shipment dates</w:t>
      </w:r>
      <w:r>
        <w:rPr>
          <w:rFonts w:ascii="Arial" w:hAnsi="Arial" w:cs="Arial"/>
          <w:sz w:val="22"/>
          <w:szCs w:val="22"/>
        </w:rPr>
        <w:t>, and a</w:t>
      </w:r>
      <w:r w:rsidRPr="00E34B29">
        <w:rPr>
          <w:rFonts w:ascii="Arial" w:hAnsi="Arial" w:cs="Arial"/>
          <w:sz w:val="22"/>
          <w:szCs w:val="22"/>
        </w:rPr>
        <w:t xml:space="preserve"> list of recipient countries and end users keyed to the items shipped.</w:t>
      </w:r>
    </w:p>
    <w:p w14:paraId="4C296D19" w14:textId="77777777" w:rsidR="0023045D" w:rsidRDefault="0023045D" w:rsidP="0023045D">
      <w:pPr>
        <w:pStyle w:val="NormalWeb"/>
        <w:ind w:left="720"/>
        <w:rPr>
          <w:rFonts w:ascii="Arial" w:hAnsi="Arial"/>
          <w:sz w:val="22"/>
        </w:rPr>
      </w:pPr>
      <w:r w:rsidRPr="00876451">
        <w:rPr>
          <w:rFonts w:ascii="Arial" w:hAnsi="Arial"/>
          <w:sz w:val="22"/>
        </w:rPr>
        <w:t>2.</w:t>
      </w:r>
      <w:r>
        <w:rPr>
          <w:rFonts w:ascii="Arial" w:hAnsi="Arial"/>
          <w:sz w:val="22"/>
        </w:rPr>
        <w:tab/>
      </w:r>
      <w:r>
        <w:rPr>
          <w:rFonts w:ascii="Arial" w:hAnsi="Arial"/>
          <w:sz w:val="22"/>
          <w:u w:val="single"/>
        </w:rPr>
        <w:t>Agency Use of Information</w:t>
      </w:r>
    </w:p>
    <w:p w14:paraId="6C4B41CE" w14:textId="77777777" w:rsidR="0023045D" w:rsidRDefault="0023045D" w:rsidP="00AA1C6D">
      <w:pPr>
        <w:ind w:left="1440"/>
        <w:rPr>
          <w:rFonts w:ascii="Arial" w:hAnsi="Arial" w:cs="Arial"/>
          <w:sz w:val="22"/>
        </w:rPr>
      </w:pPr>
      <w:r w:rsidRPr="00F9732B">
        <w:rPr>
          <w:rFonts w:ascii="Arial" w:hAnsi="Arial" w:cs="Arial"/>
          <w:sz w:val="22"/>
        </w:rPr>
        <w:t xml:space="preserve">The information </w:t>
      </w:r>
      <w:r>
        <w:rPr>
          <w:rFonts w:ascii="Arial" w:hAnsi="Arial" w:cs="Arial"/>
          <w:sz w:val="22"/>
        </w:rPr>
        <w:t xml:space="preserve">submitted pursuant to 10 CFR Part 110 </w:t>
      </w:r>
      <w:r w:rsidRPr="00F9732B">
        <w:rPr>
          <w:rFonts w:ascii="Arial" w:hAnsi="Arial" w:cs="Arial"/>
          <w:sz w:val="22"/>
        </w:rPr>
        <w:t xml:space="preserve">is necessary to ensure that </w:t>
      </w:r>
      <w:r>
        <w:rPr>
          <w:rFonts w:ascii="Arial" w:hAnsi="Arial" w:cs="Arial"/>
          <w:sz w:val="22"/>
        </w:rPr>
        <w:t>nuclear equipment and m</w:t>
      </w:r>
      <w:r w:rsidRPr="00F9732B">
        <w:rPr>
          <w:rFonts w:ascii="Arial" w:hAnsi="Arial" w:cs="Arial"/>
          <w:sz w:val="22"/>
        </w:rPr>
        <w:t>ater</w:t>
      </w:r>
      <w:r>
        <w:rPr>
          <w:rFonts w:ascii="Arial" w:hAnsi="Arial" w:cs="Arial"/>
          <w:sz w:val="22"/>
        </w:rPr>
        <w:t>ial</w:t>
      </w:r>
      <w:r w:rsidRPr="00F9732B">
        <w:rPr>
          <w:rFonts w:ascii="Arial" w:hAnsi="Arial" w:cs="Arial"/>
          <w:sz w:val="22"/>
        </w:rPr>
        <w:t xml:space="preserve"> are being exported/imported to licensed entities, and only to the entities listed on the license.</w:t>
      </w:r>
      <w:r>
        <w:rPr>
          <w:rFonts w:ascii="Arial" w:hAnsi="Arial" w:cs="Arial"/>
          <w:sz w:val="22"/>
        </w:rPr>
        <w:t xml:space="preserve"> </w:t>
      </w:r>
      <w:r w:rsidRPr="00F9732B">
        <w:rPr>
          <w:rFonts w:ascii="Arial" w:hAnsi="Arial" w:cs="Arial"/>
          <w:sz w:val="22"/>
        </w:rPr>
        <w:t xml:space="preserve"> The NRC ensures the information is complete, accurate and timely.  If not, </w:t>
      </w:r>
      <w:r>
        <w:rPr>
          <w:rFonts w:ascii="Arial" w:hAnsi="Arial" w:cs="Arial"/>
          <w:sz w:val="22"/>
        </w:rPr>
        <w:t>staff</w:t>
      </w:r>
      <w:r w:rsidRPr="00F9732B">
        <w:rPr>
          <w:rFonts w:ascii="Arial" w:hAnsi="Arial" w:cs="Arial"/>
          <w:sz w:val="22"/>
        </w:rPr>
        <w:t xml:space="preserve"> often contact the licensee and ask</w:t>
      </w:r>
      <w:r>
        <w:rPr>
          <w:rFonts w:ascii="Arial" w:hAnsi="Arial" w:cs="Arial"/>
          <w:sz w:val="22"/>
        </w:rPr>
        <w:t>s</w:t>
      </w:r>
      <w:r w:rsidRPr="00F9732B">
        <w:rPr>
          <w:rFonts w:ascii="Arial" w:hAnsi="Arial" w:cs="Arial"/>
          <w:sz w:val="22"/>
        </w:rPr>
        <w:t xml:space="preserve"> that they correct the information.</w:t>
      </w:r>
      <w:r>
        <w:rPr>
          <w:rFonts w:ascii="Arial" w:hAnsi="Arial" w:cs="Arial"/>
          <w:sz w:val="22"/>
        </w:rPr>
        <w:t xml:space="preserve"> </w:t>
      </w:r>
      <w:r w:rsidRPr="00F9732B">
        <w:rPr>
          <w:rFonts w:ascii="Arial" w:hAnsi="Arial" w:cs="Arial"/>
          <w:sz w:val="22"/>
        </w:rPr>
        <w:t xml:space="preserve"> A failure of any of these criteria can lead to Enforcement action.  Each record is reviewed for accuracy and </w:t>
      </w:r>
      <w:r>
        <w:rPr>
          <w:rFonts w:ascii="Arial" w:hAnsi="Arial" w:cs="Arial"/>
          <w:sz w:val="22"/>
        </w:rPr>
        <w:t>file</w:t>
      </w:r>
      <w:r w:rsidRPr="00F9732B">
        <w:rPr>
          <w:rFonts w:ascii="Arial" w:hAnsi="Arial" w:cs="Arial"/>
          <w:sz w:val="22"/>
        </w:rPr>
        <w:t xml:space="preserve">d by </w:t>
      </w:r>
      <w:r>
        <w:rPr>
          <w:rFonts w:ascii="Arial" w:hAnsi="Arial" w:cs="Arial"/>
          <w:sz w:val="22"/>
        </w:rPr>
        <w:t xml:space="preserve">the </w:t>
      </w:r>
      <w:r w:rsidRPr="00F9732B">
        <w:rPr>
          <w:rFonts w:ascii="Arial" w:hAnsi="Arial" w:cs="Arial"/>
          <w:sz w:val="22"/>
        </w:rPr>
        <w:t xml:space="preserve">licensee.  In addition, all import records subject to this requirement are </w:t>
      </w:r>
      <w:r>
        <w:rPr>
          <w:rFonts w:ascii="Arial" w:hAnsi="Arial" w:cs="Arial"/>
          <w:sz w:val="22"/>
        </w:rPr>
        <w:t xml:space="preserve">reviewed </w:t>
      </w:r>
      <w:r w:rsidRPr="00F9732B">
        <w:rPr>
          <w:rFonts w:ascii="Arial" w:hAnsi="Arial" w:cs="Arial"/>
          <w:sz w:val="22"/>
        </w:rPr>
        <w:t>and logged into an electronic spreadsheet.</w:t>
      </w:r>
    </w:p>
    <w:p w14:paraId="1E2860FE" w14:textId="77777777" w:rsidR="00AA1C6D" w:rsidRDefault="00AA1C6D" w:rsidP="00320102">
      <w:pPr>
        <w:ind w:left="1440"/>
        <w:rPr>
          <w:rFonts w:ascii="Arial" w:hAnsi="Arial"/>
          <w:sz w:val="22"/>
        </w:rPr>
      </w:pPr>
    </w:p>
    <w:p w14:paraId="0E1DAC25"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of § 110.7a (a), that information provided to the Commission by an applicant for a license or by a licensee or information required by statute or by the Commission’s regulations, orders, or license conditions to be maintained by the applicant or the licensee shall be complete and accurate in all material respects is essential to ensure that licensees not withhold or misrepresent material facts which could impact a license determination.</w:t>
      </w:r>
    </w:p>
    <w:p w14:paraId="2361BFF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780D326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notification requirement in § 110.7a (b) enhances the capability of the Commission to respond rapidly and effectively if such a threat were to materialize on a regulated activity.</w:t>
      </w:r>
    </w:p>
    <w:p w14:paraId="2D528510" w14:textId="77777777" w:rsidR="003D268B" w:rsidRDefault="003D268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51C777C6"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440"/>
        <w:rPr>
          <w:rFonts w:ascii="Arial" w:hAnsi="Arial" w:cs="Arial"/>
          <w:sz w:val="22"/>
          <w:szCs w:val="22"/>
          <w:lang w:val="en"/>
        </w:rPr>
      </w:pPr>
      <w:r w:rsidRPr="00D1465E">
        <w:rPr>
          <w:rFonts w:ascii="Arial" w:hAnsi="Arial" w:cs="Arial"/>
          <w:sz w:val="22"/>
          <w:szCs w:val="22"/>
        </w:rPr>
        <w:t>The requirement</w:t>
      </w:r>
      <w:r w:rsidR="001908B7">
        <w:rPr>
          <w:rFonts w:ascii="Arial" w:hAnsi="Arial" w:cs="Arial"/>
          <w:sz w:val="22"/>
          <w:szCs w:val="22"/>
        </w:rPr>
        <w:t xml:space="preserve"> in § 110.50(b)(3) states that </w:t>
      </w:r>
      <w:r w:rsidR="001908B7" w:rsidRPr="00320102">
        <w:rPr>
          <w:rFonts w:ascii="Arial" w:hAnsi="Arial"/>
          <w:sz w:val="22"/>
          <w:lang w:val="en"/>
        </w:rPr>
        <w:t>u</w:t>
      </w:r>
      <w:r w:rsidR="001908B7" w:rsidRPr="00D1465E">
        <w:rPr>
          <w:rFonts w:ascii="Arial" w:hAnsi="Arial" w:cs="Arial"/>
          <w:sz w:val="22"/>
          <w:szCs w:val="22"/>
          <w:lang w:val="en"/>
        </w:rPr>
        <w:t>nless</w:t>
      </w:r>
      <w:r w:rsidRPr="00D1465E">
        <w:rPr>
          <w:rFonts w:ascii="Arial" w:hAnsi="Arial" w:cs="Arial"/>
          <w:sz w:val="22"/>
          <w:szCs w:val="22"/>
          <w:lang w:val="en"/>
        </w:rPr>
        <w:t xml:space="preserve"> a license specifically authorizes the export of certain foreign-obligated nuclear material or equipment, a licensee may not ship such material or equipment until the licensee has requested and the Commission has issued an amendment to the license authorizing such shipment; or the licensee has given at least 40 days advance notice of the intended shipment in writing to the Deputy Director, Office of International Programs (OIP); and the Deputy Director, OIP has obtained confirmation, through either the Department of Energy or State, that the foreign government in question has given its consent to the intended shipment pursuant to its agreement for cooperation with the United States; and communicated this in writing to the licensee</w:t>
      </w:r>
      <w:r>
        <w:rPr>
          <w:rFonts w:ascii="Arial" w:hAnsi="Arial" w:cs="Arial"/>
          <w:sz w:val="22"/>
          <w:szCs w:val="22"/>
          <w:lang w:val="en"/>
        </w:rPr>
        <w:t>.</w:t>
      </w:r>
    </w:p>
    <w:p w14:paraId="6C4AD346" w14:textId="77777777" w:rsidR="00A931D2" w:rsidRPr="00D1465E" w:rsidRDefault="00A931D2"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440"/>
        <w:rPr>
          <w:rFonts w:ascii="Arial" w:hAnsi="Arial" w:cs="Arial"/>
          <w:sz w:val="22"/>
          <w:szCs w:val="22"/>
          <w:lang w:val="en"/>
        </w:rPr>
      </w:pPr>
    </w:p>
    <w:p w14:paraId="0D98174C"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Prior notification of shipments of radioactive materials listed in Appendix P required by   § 110.50(c) is used to track this material within the U.S. and to detect any diversions of the material. </w:t>
      </w:r>
    </w:p>
    <w:p w14:paraId="1EC2839F"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27402967"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additional information that the Commission may require from licensees as specified in § 110.52(b) is used by the NRC to make necessary statutory, regulatory, and policy determinations in connection with prospective actions to revoke, suspend or modify an export or import license.</w:t>
      </w:r>
    </w:p>
    <w:p w14:paraId="1F2DDCEE" w14:textId="77777777" w:rsidR="0013464C" w:rsidRDefault="0013464C"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6381289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6CFDF57A"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Shipment records required by § 110.53(b) are used for NRC inspection to ensure compliance with regulations and are necessary in connection with prospective enforcement actions against possible violators of 10 CFR Part 110.</w:t>
      </w:r>
    </w:p>
    <w:p w14:paraId="65BF2900" w14:textId="77777777" w:rsidR="0023045D" w:rsidRDefault="003672D0" w:rsidP="00320102">
      <w:pPr>
        <w:widowControl w:val="0"/>
        <w:tabs>
          <w:tab w:val="left" w:pos="0"/>
          <w:tab w:val="left" w:pos="720"/>
          <w:tab w:val="left" w:pos="1440"/>
        </w:tabs>
        <w:ind w:left="144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194E38D"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in § 110.54(b)</w:t>
      </w:r>
      <w:r w:rsidRPr="009278A8">
        <w:rPr>
          <w:rFonts w:ascii="Arial" w:hAnsi="Arial"/>
          <w:sz w:val="22"/>
        </w:rPr>
        <w:t xml:space="preserve"> </w:t>
      </w:r>
      <w:r>
        <w:rPr>
          <w:rFonts w:ascii="Arial" w:hAnsi="Arial"/>
          <w:sz w:val="22"/>
        </w:rPr>
        <w:t xml:space="preserve">to submit annual reports of americium and </w:t>
      </w:r>
    </w:p>
    <w:p w14:paraId="77EA9068"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neptunium exported under general license provide the NRC with data which the U.S. Government must report to the IAEA.</w:t>
      </w:r>
    </w:p>
    <w:p w14:paraId="7CB2CD1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7273713A"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in Section 110.54(c) to submit annual reports of components exported under general license provide NRC with additional assurance against the improper accumulation of sensitive components in the country of import.</w:t>
      </w:r>
    </w:p>
    <w:p w14:paraId="51CBB7FA"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xml:space="preserve"> </w:t>
      </w:r>
    </w:p>
    <w:p w14:paraId="0F5DE00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u w:val="single"/>
        </w:rPr>
      </w:pPr>
      <w:r w:rsidRPr="00A14B90">
        <w:rPr>
          <w:rFonts w:ascii="Arial" w:hAnsi="Arial"/>
          <w:sz w:val="22"/>
        </w:rPr>
        <w:tab/>
        <w:t>3.</w:t>
      </w:r>
      <w:r w:rsidRPr="00A14B90">
        <w:rPr>
          <w:rFonts w:ascii="Arial" w:hAnsi="Arial"/>
          <w:sz w:val="22"/>
        </w:rPr>
        <w:tab/>
      </w:r>
      <w:r>
        <w:rPr>
          <w:rFonts w:ascii="Arial" w:hAnsi="Arial"/>
          <w:sz w:val="22"/>
          <w:u w:val="single"/>
        </w:rPr>
        <w:t>Reduction of Burden t</w:t>
      </w:r>
      <w:r w:rsidRPr="00A14B90">
        <w:rPr>
          <w:rFonts w:ascii="Arial" w:hAnsi="Arial"/>
          <w:sz w:val="22"/>
          <w:u w:val="single"/>
        </w:rPr>
        <w:t>hrough Information Technology</w:t>
      </w:r>
    </w:p>
    <w:p w14:paraId="1F68C0E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p>
    <w:p w14:paraId="10BCBBD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r>
      <w:r>
        <w:rPr>
          <w:rFonts w:ascii="Arial" w:hAnsi="Arial"/>
          <w:sz w:val="22"/>
        </w:rPr>
        <w:tab/>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licensees, vendors, applicants, and members of the public the option to make submissions electronically via CD-ROM, e-mail, special Web-based interface, or other means.  </w:t>
      </w:r>
      <w:r w:rsidRPr="0081281F">
        <w:rPr>
          <w:rFonts w:ascii="Arial" w:hAnsi="Arial"/>
          <w:sz w:val="22"/>
        </w:rPr>
        <w:t>The mandatory prior notifications under § 110.50(c) can be submitted electronically, and optional reporting forms for import and export notifications are now available from the NRC web site.  All of these notifications are now being transmitted to the NRC either by telefax or e</w:t>
      </w:r>
      <w:r>
        <w:rPr>
          <w:rFonts w:ascii="Arial" w:hAnsi="Arial"/>
          <w:sz w:val="22"/>
        </w:rPr>
        <w:t>-</w:t>
      </w:r>
      <w:r w:rsidRPr="0081281F">
        <w:rPr>
          <w:rFonts w:ascii="Arial" w:hAnsi="Arial"/>
          <w:sz w:val="22"/>
        </w:rPr>
        <w:t>mail.</w:t>
      </w:r>
      <w:r>
        <w:rPr>
          <w:rFonts w:ascii="Arial" w:hAnsi="Arial"/>
          <w:sz w:val="22"/>
        </w:rPr>
        <w:t xml:space="preserve">  It is estimated that more than 90 percent</w:t>
      </w:r>
      <w:r w:rsidRPr="0081281F">
        <w:rPr>
          <w:rFonts w:ascii="Arial" w:hAnsi="Arial"/>
          <w:sz w:val="22"/>
        </w:rPr>
        <w:t xml:space="preserve"> </w:t>
      </w:r>
      <w:r>
        <w:rPr>
          <w:rFonts w:ascii="Arial" w:hAnsi="Arial"/>
          <w:sz w:val="22"/>
        </w:rPr>
        <w:t>of the potential responses are filed electronically.</w:t>
      </w:r>
    </w:p>
    <w:p w14:paraId="337E750E"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155D670A" w14:textId="77777777" w:rsidR="0023045D" w:rsidRPr="00A14B90"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A14B90">
        <w:rPr>
          <w:rFonts w:ascii="Arial" w:hAnsi="Arial"/>
          <w:sz w:val="22"/>
        </w:rPr>
        <w:tab/>
        <w:t>4.</w:t>
      </w:r>
      <w:r w:rsidRPr="00A14B90">
        <w:rPr>
          <w:rFonts w:ascii="Arial" w:hAnsi="Arial"/>
          <w:sz w:val="22"/>
        </w:rPr>
        <w:tab/>
      </w:r>
      <w:r w:rsidRPr="00A14B90">
        <w:rPr>
          <w:rFonts w:ascii="Arial" w:hAnsi="Arial"/>
          <w:sz w:val="22"/>
          <w:u w:val="single"/>
        </w:rPr>
        <w:t>Effort to Ide</w:t>
      </w:r>
      <w:r>
        <w:rPr>
          <w:rFonts w:ascii="Arial" w:hAnsi="Arial"/>
          <w:sz w:val="22"/>
          <w:u w:val="single"/>
        </w:rPr>
        <w:t>ntify Duplication and U</w:t>
      </w:r>
      <w:r w:rsidRPr="00A14B90">
        <w:rPr>
          <w:rFonts w:ascii="Arial" w:hAnsi="Arial"/>
          <w:sz w:val="22"/>
          <w:u w:val="single"/>
        </w:rPr>
        <w:t>se Similar Information</w:t>
      </w:r>
    </w:p>
    <w:p w14:paraId="3B46B304" w14:textId="77777777" w:rsidR="0023045D" w:rsidRPr="00A14B90"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2"/>
        </w:rPr>
      </w:pPr>
    </w:p>
    <w:p w14:paraId="224E65C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14:paraId="34A2C45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63539AB8" w14:textId="77777777" w:rsidR="0023045D" w:rsidRDefault="0023045D" w:rsidP="00240117">
      <w:pPr>
        <w:ind w:left="1440"/>
        <w:rPr>
          <w:rFonts w:ascii="Arial" w:hAnsi="Arial"/>
          <w:sz w:val="22"/>
        </w:rPr>
      </w:pPr>
      <w:r w:rsidRPr="00A04055">
        <w:rPr>
          <w:rFonts w:ascii="Arial" w:hAnsi="Arial"/>
          <w:sz w:val="22"/>
        </w:rPr>
        <w:t xml:space="preserve">The Department of Energy’s (DOE) </w:t>
      </w:r>
      <w:r w:rsidRPr="00A04055">
        <w:rPr>
          <w:rFonts w:ascii="Arial" w:hAnsi="Arial" w:cs="Arial"/>
          <w:sz w:val="22"/>
          <w:szCs w:val="22"/>
        </w:rPr>
        <w:t>reporting requirements under 10 CFR</w:t>
      </w:r>
      <w:r>
        <w:rPr>
          <w:rFonts w:ascii="Arial" w:hAnsi="Arial" w:cs="Arial"/>
          <w:sz w:val="22"/>
          <w:szCs w:val="22"/>
        </w:rPr>
        <w:t xml:space="preserve"> Part</w:t>
      </w:r>
      <w:r w:rsidRPr="00A04055">
        <w:rPr>
          <w:rFonts w:ascii="Arial" w:hAnsi="Arial" w:cs="Arial"/>
          <w:sz w:val="22"/>
          <w:szCs w:val="22"/>
        </w:rPr>
        <w:t xml:space="preserve"> 810 and the NRC’s reporting requirements under 10 CFR </w:t>
      </w:r>
      <w:r>
        <w:rPr>
          <w:rFonts w:ascii="Arial" w:hAnsi="Arial" w:cs="Arial"/>
          <w:sz w:val="22"/>
          <w:szCs w:val="22"/>
        </w:rPr>
        <w:t xml:space="preserve">Part </w:t>
      </w:r>
      <w:r w:rsidRPr="00A04055">
        <w:rPr>
          <w:rFonts w:ascii="Arial" w:hAnsi="Arial" w:cs="Arial"/>
          <w:sz w:val="22"/>
          <w:szCs w:val="22"/>
        </w:rPr>
        <w:t>110 are for entirely separate purposes and there is no overlap in the information that must be reported to DOE or NRC.</w:t>
      </w:r>
      <w:r>
        <w:rPr>
          <w:rFonts w:ascii="Arial" w:hAnsi="Arial" w:cs="Arial"/>
          <w:sz w:val="22"/>
          <w:szCs w:val="22"/>
        </w:rPr>
        <w:t xml:space="preserve"> </w:t>
      </w:r>
      <w:r w:rsidRPr="00A04055">
        <w:rPr>
          <w:rFonts w:ascii="Arial" w:hAnsi="Arial" w:cs="Arial"/>
          <w:sz w:val="22"/>
          <w:szCs w:val="22"/>
        </w:rPr>
        <w:t xml:space="preserve"> </w:t>
      </w:r>
      <w:r>
        <w:rPr>
          <w:rFonts w:ascii="Arial" w:hAnsi="Arial" w:cs="Arial"/>
          <w:sz w:val="22"/>
          <w:szCs w:val="22"/>
        </w:rPr>
        <w:t>The DOE</w:t>
      </w:r>
      <w:r w:rsidRPr="00A04055">
        <w:rPr>
          <w:rFonts w:ascii="Arial" w:hAnsi="Arial" w:cs="Arial"/>
          <w:sz w:val="22"/>
          <w:szCs w:val="22"/>
        </w:rPr>
        <w:t xml:space="preserve"> regulations at 10 CFR Part 810, “Assistance to Foreign Atomic Energy Activities” pertain to the export of unclassified nuclear technology and assistance (provision of information or technical services) to foreign destinations.  The NRC’s 10 CFR Part 110 regulates the export of actual nuclear materials, radioactive sources and/or nuclear facilities/equipment (physical commodities) to foreign destinations.  </w:t>
      </w:r>
      <w:r w:rsidRPr="00A04055">
        <w:rPr>
          <w:rFonts w:ascii="Arial" w:hAnsi="Arial"/>
          <w:sz w:val="22"/>
        </w:rPr>
        <w:t xml:space="preserve">NRC reporting records come from private companies that use radioactive </w:t>
      </w:r>
      <w:r w:rsidRPr="00F9732B">
        <w:rPr>
          <w:rFonts w:ascii="Arial" w:hAnsi="Arial"/>
          <w:sz w:val="22"/>
        </w:rPr>
        <w:t>materials. DOE’s records are derived from government-funded and licensed entities.</w:t>
      </w:r>
      <w:r>
        <w:rPr>
          <w:rFonts w:ascii="Arial" w:hAnsi="Arial"/>
          <w:sz w:val="22"/>
        </w:rPr>
        <w:t xml:space="preserve">  </w:t>
      </w:r>
    </w:p>
    <w:p w14:paraId="19635F82" w14:textId="77777777" w:rsidR="00240117" w:rsidRDefault="00240117" w:rsidP="00320102">
      <w:pPr>
        <w:ind w:left="1440"/>
        <w:rPr>
          <w:rFonts w:ascii="Arial" w:hAnsi="Arial"/>
          <w:sz w:val="22"/>
        </w:rPr>
      </w:pPr>
    </w:p>
    <w:p w14:paraId="1453CFD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5.</w:t>
      </w:r>
      <w:r>
        <w:rPr>
          <w:rFonts w:ascii="Arial" w:hAnsi="Arial"/>
          <w:sz w:val="22"/>
        </w:rPr>
        <w:tab/>
      </w:r>
      <w:r>
        <w:rPr>
          <w:rFonts w:ascii="Arial" w:hAnsi="Arial"/>
          <w:sz w:val="22"/>
          <w:u w:val="single"/>
        </w:rPr>
        <w:t>Effort to Reduce Small Business Burden</w:t>
      </w:r>
    </w:p>
    <w:p w14:paraId="6E58A412"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599B3F3F"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requirements specified in 10 CFR Part 110 are the same for large and small businesses, because the proliferation and policy concerns are the same; thus, all businesses must provide the same data.  The NRC staff estimates that less than 10% of all businesses subject to the information collections in this Part are small businesses.</w:t>
      </w:r>
    </w:p>
    <w:p w14:paraId="6BE2AFA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sz w:val="22"/>
          <w:u w:val="single"/>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w:t>
      </w:r>
    </w:p>
    <w:p w14:paraId="72788442"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u w:val="single"/>
        </w:rPr>
      </w:pPr>
      <w:r>
        <w:rPr>
          <w:rFonts w:ascii="Arial" w:hAnsi="Arial"/>
          <w:sz w:val="22"/>
        </w:rPr>
        <w:tab/>
      </w:r>
      <w:r>
        <w:rPr>
          <w:rFonts w:ascii="Arial" w:hAnsi="Arial"/>
          <w:sz w:val="22"/>
        </w:rPr>
        <w:tab/>
      </w:r>
      <w:r>
        <w:rPr>
          <w:rFonts w:ascii="Arial" w:hAnsi="Arial"/>
          <w:sz w:val="22"/>
          <w:u w:val="single"/>
        </w:rPr>
        <w:t>Conducted or is Conducted Less Frequently</w:t>
      </w:r>
    </w:p>
    <w:p w14:paraId="1476D0FD"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D3C3AE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Failure to provide complete and accurate information on all applications as specified in </w:t>
      </w:r>
    </w:p>
    <w:p w14:paraId="7AAB695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110.7a could result in an unreliable applicant obtaining an import or export authorization.</w:t>
      </w:r>
    </w:p>
    <w:p w14:paraId="1CF5BAED"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1A10DB1C"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Failure to fully comply with § 110.7a(b) could result in a licensee not providing information that has significant implications for public health and safety or common defense and security.</w:t>
      </w:r>
    </w:p>
    <w:p w14:paraId="13B27FD1"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41DE22B5"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Failure to fully comply with §§ 110.8, 110.9, and 110.9(a) could result in unauthorized and unregulated import or export of material and equipment subject to NRC licensing jurisdiction.  </w:t>
      </w:r>
    </w:p>
    <w:p w14:paraId="01E652EC"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7C07E10D"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If the collection in § 110.50(a)(8) is less frequent, the licensee could possibly ship improperly packaged nuclear materials which may endanger the health and safety of the public.</w:t>
      </w:r>
    </w:p>
    <w:p w14:paraId="5551AE3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3994E2D3"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If the collection in § 110.50(b)(3) is less frequent, the U.S. Government might violate the provisions of U.S. bilateral agreements with other Governments.  The report is not frequently required because the origin of the material is normally identified before the export license is issued, and, accordingly, is authorized for export on the face of the license.</w:t>
      </w:r>
    </w:p>
    <w:p w14:paraId="1FCE7BA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4F6A04E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records maintained in § 110.53 are largely common business records and do not contain any special requirements; therefore, the regulatory impact is minimal.  If the information is provided less frequently, the NRC would be unable to verify compliance with requirements in a timely manner.</w:t>
      </w:r>
    </w:p>
    <w:p w14:paraId="314A6F27"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0F96FA38" w14:textId="77777777" w:rsidR="00240117"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reporting requirements in § 110.54 provide trade statistics for strategic exports and support international obligations to report certain exports under general license </w:t>
      </w:r>
    </w:p>
    <w:p w14:paraId="2E0A0206" w14:textId="77777777" w:rsidR="00240117"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authorizations.  The information requested in § 110.54(b) must be collected on a yearly </w:t>
      </w:r>
    </w:p>
    <w:p w14:paraId="50FC653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basis to comply with a U.S. Government reporting commitment to the IAEA. The reporting requirement in § 110.54(c) is reasonable and less burdensome on exporters than submitting specific license applications.</w:t>
      </w:r>
    </w:p>
    <w:p w14:paraId="7DC2C77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346A0E32"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7.</w:t>
      </w:r>
      <w:r>
        <w:rPr>
          <w:rFonts w:ascii="Arial" w:hAnsi="Arial"/>
          <w:sz w:val="22"/>
        </w:rPr>
        <w:tab/>
      </w:r>
      <w:r>
        <w:rPr>
          <w:rFonts w:ascii="Arial" w:hAnsi="Arial"/>
          <w:sz w:val="22"/>
          <w:u w:val="single"/>
        </w:rPr>
        <w:t>Circumstances Which Justify Variation from OMB Guidelines</w:t>
      </w:r>
    </w:p>
    <w:p w14:paraId="63AF6D67"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5C04EF11"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reason for retaining records for five years for each export or import except for byproduct material, where records shall be retained for three years, is that these exports or imports are relatively more important with respect to nuclear nonproliferation.</w:t>
      </w:r>
    </w:p>
    <w:p w14:paraId="44545989"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72FBA7FF"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Requiring the applicant or licensee to notify the Commission within two days of identifying information having a significant implication for public health and safety or common defense and security on a regulated activity enables the Commission to respond rapidly and effectively to a threat to the public health and safety or the common defense and security.  This collection requirement is contained in other parts of NRC's regulations.  No notifications are expected.</w:t>
      </w:r>
    </w:p>
    <w:p w14:paraId="3E0970C1"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2"/>
          <w:szCs w:val="22"/>
        </w:rPr>
      </w:pPr>
      <w:r w:rsidRPr="00A14B90">
        <w:rPr>
          <w:rFonts w:ascii="Arial" w:hAnsi="Arial"/>
          <w:sz w:val="22"/>
        </w:rPr>
        <w:tab/>
        <w:t>8.</w:t>
      </w:r>
      <w:r w:rsidRPr="00A14B90">
        <w:rPr>
          <w:rFonts w:ascii="Arial" w:hAnsi="Arial"/>
          <w:sz w:val="22"/>
        </w:rPr>
        <w:tab/>
      </w:r>
      <w:r w:rsidRPr="00926F55">
        <w:rPr>
          <w:rFonts w:ascii="Arial" w:hAnsi="Arial"/>
          <w:sz w:val="22"/>
          <w:u w:val="single"/>
        </w:rPr>
        <w:t>Consultations Outside the NRC</w:t>
      </w:r>
      <w:r w:rsidRPr="00C52855">
        <w:rPr>
          <w:rFonts w:ascii="Arial" w:hAnsi="Arial" w:cs="Arial"/>
          <w:color w:val="000000"/>
          <w:sz w:val="22"/>
          <w:szCs w:val="22"/>
        </w:rPr>
        <w:t xml:space="preserve"> </w:t>
      </w:r>
    </w:p>
    <w:p w14:paraId="0B3774F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14:paraId="698F84FE"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FF643F">
        <w:rPr>
          <w:rFonts w:ascii="Arial" w:hAnsi="Arial" w:cs="Arial"/>
          <w:sz w:val="22"/>
          <w:szCs w:val="22"/>
        </w:rPr>
        <w:t xml:space="preserve">Opportunity for public comment on the information collection requirements for this clearance package was published in the </w:t>
      </w:r>
      <w:r w:rsidRPr="00FF643F">
        <w:rPr>
          <w:rFonts w:ascii="Arial" w:hAnsi="Arial" w:cs="Arial"/>
          <w:i/>
          <w:iCs/>
          <w:sz w:val="22"/>
          <w:szCs w:val="22"/>
        </w:rPr>
        <w:t>Federal Register</w:t>
      </w:r>
      <w:r w:rsidRPr="00FF643F">
        <w:rPr>
          <w:rFonts w:ascii="Arial" w:hAnsi="Arial" w:cs="Arial"/>
          <w:sz w:val="22"/>
          <w:szCs w:val="22"/>
        </w:rPr>
        <w:t xml:space="preserve"> on July 1, 2015 (80 FR 37669)</w:t>
      </w:r>
      <w:r>
        <w:rPr>
          <w:rFonts w:ascii="Arial" w:hAnsi="Arial" w:cs="Arial"/>
          <w:sz w:val="22"/>
          <w:szCs w:val="22"/>
        </w:rPr>
        <w:t xml:space="preserve">. </w:t>
      </w:r>
      <w:r w:rsidRPr="00FF643F">
        <w:rPr>
          <w:rFonts w:ascii="Arial" w:hAnsi="Arial" w:cs="Arial"/>
          <w:color w:val="FF0000"/>
          <w:sz w:val="22"/>
          <w:szCs w:val="22"/>
        </w:rPr>
        <w:t xml:space="preserve"> </w:t>
      </w:r>
      <w:r w:rsidRPr="00FF643F">
        <w:rPr>
          <w:rFonts w:ascii="Arial" w:hAnsi="Arial" w:cs="Arial"/>
          <w:sz w:val="22"/>
          <w:szCs w:val="22"/>
        </w:rPr>
        <w:t xml:space="preserve">In addition, five </w:t>
      </w:r>
      <w:r>
        <w:rPr>
          <w:rFonts w:ascii="Arial" w:hAnsi="Arial" w:cs="Arial"/>
          <w:sz w:val="22"/>
          <w:szCs w:val="22"/>
        </w:rPr>
        <w:t xml:space="preserve">active NRC </w:t>
      </w:r>
      <w:r w:rsidRPr="00FF643F">
        <w:rPr>
          <w:rFonts w:ascii="Arial" w:hAnsi="Arial" w:cs="Arial"/>
          <w:sz w:val="22"/>
          <w:szCs w:val="22"/>
        </w:rPr>
        <w:t xml:space="preserve">licensees </w:t>
      </w:r>
      <w:r w:rsidR="0099021E">
        <w:rPr>
          <w:rFonts w:ascii="Arial" w:hAnsi="Arial" w:cs="Arial"/>
          <w:sz w:val="22"/>
          <w:szCs w:val="22"/>
        </w:rPr>
        <w:t xml:space="preserve">(ATI Wah Chang d/b/a </w:t>
      </w:r>
      <w:r w:rsidR="0001459C">
        <w:rPr>
          <w:rFonts w:ascii="Arial" w:hAnsi="Arial" w:cs="Arial"/>
          <w:sz w:val="22"/>
          <w:szCs w:val="22"/>
        </w:rPr>
        <w:t>Speciality</w:t>
      </w:r>
      <w:r w:rsidR="0099021E">
        <w:rPr>
          <w:rFonts w:ascii="Arial" w:hAnsi="Arial" w:cs="Arial"/>
          <w:sz w:val="22"/>
          <w:szCs w:val="22"/>
        </w:rPr>
        <w:t xml:space="preserve"> Alloys, Halliburton Energy Services, QSA Global, Inc., International Isotopes, Inc., and Industrial Nuclear Company) </w:t>
      </w:r>
      <w:r w:rsidR="003C1C5B">
        <w:rPr>
          <w:rFonts w:ascii="Arial" w:hAnsi="Arial" w:cs="Arial"/>
          <w:sz w:val="22"/>
          <w:szCs w:val="22"/>
        </w:rPr>
        <w:t xml:space="preserve">also </w:t>
      </w:r>
      <w:r w:rsidRPr="00FF643F">
        <w:rPr>
          <w:rFonts w:ascii="Arial" w:hAnsi="Arial" w:cs="Arial"/>
          <w:sz w:val="22"/>
          <w:szCs w:val="22"/>
        </w:rPr>
        <w:t xml:space="preserve">received copies of this Supporting Statement </w:t>
      </w:r>
      <w:r w:rsidR="0090368E">
        <w:rPr>
          <w:rFonts w:ascii="Arial" w:hAnsi="Arial" w:cs="Arial"/>
          <w:sz w:val="22"/>
          <w:szCs w:val="22"/>
        </w:rPr>
        <w:t>as part of</w:t>
      </w:r>
      <w:r w:rsidR="0099021E">
        <w:rPr>
          <w:rFonts w:ascii="Arial" w:hAnsi="Arial" w:cs="Arial"/>
          <w:sz w:val="22"/>
          <w:szCs w:val="22"/>
        </w:rPr>
        <w:t xml:space="preserve"> the public consultation process</w:t>
      </w:r>
      <w:r w:rsidR="00103719">
        <w:rPr>
          <w:rFonts w:ascii="Arial" w:hAnsi="Arial" w:cs="Arial"/>
          <w:sz w:val="22"/>
          <w:szCs w:val="22"/>
        </w:rPr>
        <w:t xml:space="preserve"> via email</w:t>
      </w:r>
      <w:r w:rsidR="0090368E">
        <w:rPr>
          <w:rFonts w:ascii="Arial" w:hAnsi="Arial" w:cs="Arial"/>
          <w:sz w:val="22"/>
          <w:szCs w:val="22"/>
        </w:rPr>
        <w:t xml:space="preserve">.  </w:t>
      </w:r>
      <w:r w:rsidRPr="00492082">
        <w:rPr>
          <w:rFonts w:ascii="Arial" w:hAnsi="Arial" w:cs="Arial"/>
          <w:sz w:val="22"/>
          <w:szCs w:val="22"/>
        </w:rPr>
        <w:t xml:space="preserve">No comments were received. </w:t>
      </w:r>
    </w:p>
    <w:p w14:paraId="41EDECE0" w14:textId="77777777" w:rsidR="001C625D" w:rsidRDefault="001C625D" w:rsidP="003201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5FA516BA"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9.</w:t>
      </w:r>
      <w:r>
        <w:rPr>
          <w:rFonts w:ascii="Arial" w:hAnsi="Arial"/>
          <w:sz w:val="22"/>
        </w:rPr>
        <w:tab/>
      </w:r>
      <w:r>
        <w:rPr>
          <w:rFonts w:ascii="Arial" w:hAnsi="Arial"/>
          <w:sz w:val="22"/>
          <w:u w:val="single"/>
        </w:rPr>
        <w:t>Payment or Gift to Respondents</w:t>
      </w:r>
    </w:p>
    <w:p w14:paraId="5B65D71A"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6CF9F21C" w14:textId="77777777" w:rsidR="0023045D" w:rsidRDefault="0023045D" w:rsidP="00AA1C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Not applicable.</w:t>
      </w:r>
    </w:p>
    <w:p w14:paraId="4BCA0B11" w14:textId="77777777" w:rsidR="00AA1C6D" w:rsidRPr="00926F55" w:rsidRDefault="00AA1C6D" w:rsidP="003201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21175E6C" w14:textId="77777777" w:rsidR="0023045D" w:rsidRPr="00926F55"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sidRPr="00926F55">
        <w:rPr>
          <w:rFonts w:ascii="Arial" w:hAnsi="Arial"/>
          <w:sz w:val="22"/>
        </w:rPr>
        <w:tab/>
        <w:t>10.</w:t>
      </w:r>
      <w:r w:rsidRPr="00926F55">
        <w:rPr>
          <w:rFonts w:ascii="Arial" w:hAnsi="Arial"/>
          <w:sz w:val="22"/>
        </w:rPr>
        <w:tab/>
      </w:r>
      <w:r w:rsidRPr="00926F55">
        <w:rPr>
          <w:rFonts w:ascii="Arial" w:hAnsi="Arial"/>
          <w:sz w:val="22"/>
          <w:u w:val="single"/>
        </w:rPr>
        <w:t>Confidentiality of the Information</w:t>
      </w:r>
    </w:p>
    <w:p w14:paraId="188E2782" w14:textId="77777777" w:rsidR="0023045D" w:rsidRPr="00926F55"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08E6AA3" w14:textId="77777777" w:rsidR="0023045D" w:rsidRPr="00926F55" w:rsidRDefault="0023045D" w:rsidP="0023045D">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926F55">
        <w:rPr>
          <w:rFonts w:ascii="Arial" w:hAnsi="Arial" w:cs="Arial"/>
          <w:sz w:val="22"/>
          <w:szCs w:val="22"/>
        </w:rPr>
        <w:t>Confidential and proprietary information is protected in accordance with NRC regulations at 1</w:t>
      </w:r>
      <w:r>
        <w:rPr>
          <w:rFonts w:ascii="Arial" w:hAnsi="Arial" w:cs="Arial"/>
          <w:sz w:val="22"/>
          <w:szCs w:val="22"/>
        </w:rPr>
        <w:t>0 CFR 9.17(a) and 10 CFR 2.390</w:t>
      </w:r>
      <w:r w:rsidRPr="00926F55">
        <w:rPr>
          <w:rFonts w:ascii="Arial" w:hAnsi="Arial" w:cs="Arial"/>
          <w:sz w:val="22"/>
          <w:szCs w:val="22"/>
        </w:rPr>
        <w:t>(b)</w:t>
      </w:r>
      <w:r>
        <w:rPr>
          <w:rFonts w:ascii="Arial" w:hAnsi="Arial" w:cs="Arial"/>
          <w:sz w:val="22"/>
          <w:szCs w:val="22"/>
        </w:rPr>
        <w:t>.</w:t>
      </w:r>
    </w:p>
    <w:p w14:paraId="129DC2D7" w14:textId="77777777" w:rsidR="0023045D" w:rsidRPr="00926F55" w:rsidRDefault="0023045D" w:rsidP="0023045D">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sz w:val="22"/>
          <w:szCs w:val="22"/>
        </w:rPr>
      </w:pPr>
    </w:p>
    <w:p w14:paraId="49485A7E"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926F55">
        <w:rPr>
          <w:rFonts w:ascii="Arial" w:hAnsi="Arial"/>
          <w:sz w:val="22"/>
        </w:rPr>
        <w:tab/>
        <w:t>11.</w:t>
      </w:r>
      <w:r>
        <w:rPr>
          <w:rFonts w:ascii="Arial" w:hAnsi="Arial"/>
          <w:sz w:val="22"/>
        </w:rPr>
        <w:tab/>
      </w:r>
      <w:r>
        <w:rPr>
          <w:rFonts w:ascii="Arial" w:hAnsi="Arial"/>
          <w:sz w:val="22"/>
          <w:u w:val="single"/>
        </w:rPr>
        <w:t>Justification for Sensitive Questions</w:t>
      </w:r>
    </w:p>
    <w:p w14:paraId="77C469F0"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4521180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Pr>
          <w:rFonts w:ascii="Arial" w:hAnsi="Arial"/>
          <w:sz w:val="22"/>
        </w:rPr>
        <w:tab/>
        <w:t>Not applicable.</w:t>
      </w:r>
    </w:p>
    <w:p w14:paraId="21A44194" w14:textId="77777777" w:rsidR="003D268B" w:rsidRDefault="003D268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35748D9A" w14:textId="77777777" w:rsidR="0023045D" w:rsidRPr="00A14B90"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A14B90">
        <w:rPr>
          <w:rFonts w:ascii="Arial" w:hAnsi="Arial"/>
          <w:sz w:val="22"/>
        </w:rPr>
        <w:tab/>
        <w:t>12.</w:t>
      </w:r>
      <w:r w:rsidRPr="00A14B90">
        <w:rPr>
          <w:rFonts w:ascii="Arial" w:hAnsi="Arial"/>
          <w:sz w:val="22"/>
        </w:rPr>
        <w:tab/>
      </w:r>
      <w:r w:rsidRPr="00A14B90">
        <w:rPr>
          <w:rFonts w:ascii="Arial" w:hAnsi="Arial"/>
          <w:sz w:val="22"/>
          <w:u w:val="single"/>
        </w:rPr>
        <w:t>Estimated Burden and Burden Hour Cost</w:t>
      </w:r>
    </w:p>
    <w:p w14:paraId="536927AF"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04243D25" w14:textId="0AD711D2" w:rsidR="003A2641"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There are approximately </w:t>
      </w:r>
      <w:r w:rsidR="003A2641">
        <w:rPr>
          <w:rFonts w:ascii="Arial" w:hAnsi="Arial"/>
          <w:sz w:val="22"/>
        </w:rPr>
        <w:t>136</w:t>
      </w:r>
      <w:r>
        <w:rPr>
          <w:rFonts w:ascii="Arial" w:hAnsi="Arial"/>
          <w:sz w:val="22"/>
        </w:rPr>
        <w:t xml:space="preserve"> record keepers for exporters/importers of nuclear material and equipment.  </w:t>
      </w:r>
      <w:r w:rsidR="003A2641">
        <w:rPr>
          <w:rFonts w:ascii="Arial" w:hAnsi="Arial"/>
          <w:sz w:val="22"/>
        </w:rPr>
        <w:t>The following table illustrates how many burden hours are used for reporting and recordkeeping:</w:t>
      </w:r>
    </w:p>
    <w:p w14:paraId="7D4A5C60" w14:textId="77777777" w:rsidR="003A2641" w:rsidRDefault="003A2641"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tbl>
      <w:tblPr>
        <w:tblStyle w:val="TableGrid"/>
        <w:tblW w:w="8630" w:type="dxa"/>
        <w:tblInd w:w="1440" w:type="dxa"/>
        <w:tblLook w:val="04A0" w:firstRow="1" w:lastRow="0" w:firstColumn="1" w:lastColumn="0" w:noHBand="0" w:noVBand="1"/>
      </w:tblPr>
      <w:tblGrid>
        <w:gridCol w:w="2401"/>
        <w:gridCol w:w="1427"/>
        <w:gridCol w:w="1605"/>
        <w:gridCol w:w="1335"/>
        <w:gridCol w:w="1148"/>
        <w:gridCol w:w="714"/>
      </w:tblGrid>
      <w:tr w:rsidR="00E14625" w14:paraId="0EC6D2EF" w14:textId="77777777" w:rsidTr="00E14625">
        <w:tc>
          <w:tcPr>
            <w:tcW w:w="2401" w:type="dxa"/>
          </w:tcPr>
          <w:p w14:paraId="28C6C7F6" w14:textId="77777777" w:rsidR="00E14625" w:rsidRDefault="00E14625" w:rsidP="008A4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Activity</w:t>
            </w:r>
          </w:p>
        </w:tc>
        <w:tc>
          <w:tcPr>
            <w:tcW w:w="1427" w:type="dxa"/>
          </w:tcPr>
          <w:p w14:paraId="6CF1F039" w14:textId="77777777" w:rsidR="00E14625" w:rsidRDefault="00E14625" w:rsidP="008A4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Reg Section</w:t>
            </w:r>
          </w:p>
        </w:tc>
        <w:tc>
          <w:tcPr>
            <w:tcW w:w="1605" w:type="dxa"/>
          </w:tcPr>
          <w:p w14:paraId="18999BF7" w14:textId="77777777" w:rsidR="00E14625" w:rsidRDefault="00E14625" w:rsidP="008A4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No. of Respondents</w:t>
            </w:r>
          </w:p>
        </w:tc>
        <w:tc>
          <w:tcPr>
            <w:tcW w:w="1335" w:type="dxa"/>
          </w:tcPr>
          <w:p w14:paraId="580123E0" w14:textId="77777777" w:rsidR="00E14625" w:rsidRDefault="00E14625" w:rsidP="008A4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Responses</w:t>
            </w:r>
          </w:p>
        </w:tc>
        <w:tc>
          <w:tcPr>
            <w:tcW w:w="1148" w:type="dxa"/>
          </w:tcPr>
          <w:p w14:paraId="3ECA3DB7" w14:textId="77777777" w:rsidR="00E14625" w:rsidRDefault="00E14625" w:rsidP="008A4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Hrs per response</w:t>
            </w:r>
          </w:p>
        </w:tc>
        <w:tc>
          <w:tcPr>
            <w:tcW w:w="714" w:type="dxa"/>
          </w:tcPr>
          <w:p w14:paraId="6FAE5A30" w14:textId="77777777" w:rsidR="00E14625" w:rsidRDefault="00E14625" w:rsidP="008A4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Total Hrs</w:t>
            </w:r>
          </w:p>
        </w:tc>
      </w:tr>
      <w:tr w:rsidR="00E14625" w14:paraId="0DA75688" w14:textId="77777777" w:rsidTr="00E14625">
        <w:tc>
          <w:tcPr>
            <w:tcW w:w="2401" w:type="dxa"/>
          </w:tcPr>
          <w:p w14:paraId="7C96D916"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Notification that Package requirements have not been met</w:t>
            </w:r>
          </w:p>
        </w:tc>
        <w:tc>
          <w:tcPr>
            <w:tcW w:w="1427" w:type="dxa"/>
          </w:tcPr>
          <w:p w14:paraId="42131F06"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110.50(a)(8)</w:t>
            </w:r>
          </w:p>
        </w:tc>
        <w:tc>
          <w:tcPr>
            <w:tcW w:w="1605" w:type="dxa"/>
          </w:tcPr>
          <w:p w14:paraId="7299F0BC"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w:t>
            </w:r>
          </w:p>
        </w:tc>
        <w:tc>
          <w:tcPr>
            <w:tcW w:w="1335" w:type="dxa"/>
          </w:tcPr>
          <w:p w14:paraId="16B5480C"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w:t>
            </w:r>
          </w:p>
        </w:tc>
        <w:tc>
          <w:tcPr>
            <w:tcW w:w="1148" w:type="dxa"/>
          </w:tcPr>
          <w:p w14:paraId="4399AFA1"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0.5</w:t>
            </w:r>
          </w:p>
        </w:tc>
        <w:tc>
          <w:tcPr>
            <w:tcW w:w="714" w:type="dxa"/>
          </w:tcPr>
          <w:p w14:paraId="79F380F6"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0.5</w:t>
            </w:r>
          </w:p>
        </w:tc>
      </w:tr>
      <w:tr w:rsidR="00E14625" w14:paraId="34DE29C4" w14:textId="77777777" w:rsidTr="00E14625">
        <w:tc>
          <w:tcPr>
            <w:tcW w:w="2401" w:type="dxa"/>
          </w:tcPr>
          <w:p w14:paraId="67AF47F1"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Submitting an amendment authorizing a shipment; submitting an advanced notice and filing the written confirmation</w:t>
            </w:r>
          </w:p>
        </w:tc>
        <w:tc>
          <w:tcPr>
            <w:tcW w:w="1427" w:type="dxa"/>
          </w:tcPr>
          <w:p w14:paraId="4A67CCA8"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110.50(b)(3)</w:t>
            </w:r>
          </w:p>
        </w:tc>
        <w:tc>
          <w:tcPr>
            <w:tcW w:w="1605" w:type="dxa"/>
          </w:tcPr>
          <w:p w14:paraId="0B231649"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w:t>
            </w:r>
          </w:p>
        </w:tc>
        <w:tc>
          <w:tcPr>
            <w:tcW w:w="1335" w:type="dxa"/>
          </w:tcPr>
          <w:p w14:paraId="5C1AAC69"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15</w:t>
            </w:r>
          </w:p>
        </w:tc>
        <w:tc>
          <w:tcPr>
            <w:tcW w:w="1148" w:type="dxa"/>
          </w:tcPr>
          <w:p w14:paraId="06551356"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w:t>
            </w:r>
          </w:p>
        </w:tc>
        <w:tc>
          <w:tcPr>
            <w:tcW w:w="714" w:type="dxa"/>
          </w:tcPr>
          <w:p w14:paraId="08D37FE5"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15</w:t>
            </w:r>
          </w:p>
        </w:tc>
      </w:tr>
      <w:tr w:rsidR="00E14625" w14:paraId="1AE4872C" w14:textId="77777777" w:rsidTr="00E14625">
        <w:tc>
          <w:tcPr>
            <w:tcW w:w="2401" w:type="dxa"/>
          </w:tcPr>
          <w:p w14:paraId="49F5192C"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Submitting an Advanced Shipment notification using no form</w:t>
            </w:r>
          </w:p>
        </w:tc>
        <w:tc>
          <w:tcPr>
            <w:tcW w:w="1427" w:type="dxa"/>
          </w:tcPr>
          <w:p w14:paraId="5AD38613"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110.50(c)</w:t>
            </w:r>
          </w:p>
        </w:tc>
        <w:tc>
          <w:tcPr>
            <w:tcW w:w="1605" w:type="dxa"/>
          </w:tcPr>
          <w:p w14:paraId="7FCB5F9D"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39</w:t>
            </w:r>
          </w:p>
        </w:tc>
        <w:tc>
          <w:tcPr>
            <w:tcW w:w="1335" w:type="dxa"/>
          </w:tcPr>
          <w:p w14:paraId="38200CA3"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195</w:t>
            </w:r>
          </w:p>
        </w:tc>
        <w:tc>
          <w:tcPr>
            <w:tcW w:w="1148" w:type="dxa"/>
          </w:tcPr>
          <w:p w14:paraId="409193C5"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.3</w:t>
            </w:r>
          </w:p>
        </w:tc>
        <w:tc>
          <w:tcPr>
            <w:tcW w:w="714" w:type="dxa"/>
          </w:tcPr>
          <w:p w14:paraId="2BDEBC24"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59</w:t>
            </w:r>
          </w:p>
        </w:tc>
      </w:tr>
      <w:tr w:rsidR="00E14625" w14:paraId="04FE5188" w14:textId="77777777" w:rsidTr="00E14625">
        <w:tc>
          <w:tcPr>
            <w:tcW w:w="2401" w:type="dxa"/>
          </w:tcPr>
          <w:p w14:paraId="4C227182"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Submitting an Advanced Shipment notification using Custom form</w:t>
            </w:r>
          </w:p>
        </w:tc>
        <w:tc>
          <w:tcPr>
            <w:tcW w:w="1427" w:type="dxa"/>
          </w:tcPr>
          <w:p w14:paraId="60696FDA"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110.50(c)</w:t>
            </w:r>
          </w:p>
        </w:tc>
        <w:tc>
          <w:tcPr>
            <w:tcW w:w="1605" w:type="dxa"/>
          </w:tcPr>
          <w:p w14:paraId="47F4E00D"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15</w:t>
            </w:r>
          </w:p>
        </w:tc>
        <w:tc>
          <w:tcPr>
            <w:tcW w:w="1335" w:type="dxa"/>
          </w:tcPr>
          <w:p w14:paraId="1844351B"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88</w:t>
            </w:r>
          </w:p>
        </w:tc>
        <w:tc>
          <w:tcPr>
            <w:tcW w:w="1148" w:type="dxa"/>
          </w:tcPr>
          <w:p w14:paraId="0BB6133F"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w:t>
            </w:r>
          </w:p>
        </w:tc>
        <w:tc>
          <w:tcPr>
            <w:tcW w:w="714" w:type="dxa"/>
          </w:tcPr>
          <w:p w14:paraId="630D0178"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264</w:t>
            </w:r>
          </w:p>
        </w:tc>
      </w:tr>
      <w:tr w:rsidR="00E14625" w14:paraId="649034E0" w14:textId="77777777" w:rsidTr="00E14625">
        <w:tc>
          <w:tcPr>
            <w:tcW w:w="2401" w:type="dxa"/>
          </w:tcPr>
          <w:p w14:paraId="2B8A8854" w14:textId="77777777" w:rsidR="00E14625" w:rsidRDefault="00E14625" w:rsidP="000566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Submitting an Advanced Shipment notification using NRC Form 830,</w:t>
            </w:r>
            <w:r w:rsidR="000566DF">
              <w:rPr>
                <w:rFonts w:ascii="Arial" w:hAnsi="Arial"/>
                <w:sz w:val="22"/>
              </w:rPr>
              <w:t xml:space="preserve"> </w:t>
            </w:r>
            <w:r>
              <w:rPr>
                <w:rFonts w:ascii="Arial" w:hAnsi="Arial"/>
                <w:sz w:val="22"/>
              </w:rPr>
              <w:t>830i,</w:t>
            </w:r>
            <w:r w:rsidR="000566DF">
              <w:rPr>
                <w:rFonts w:ascii="Arial" w:hAnsi="Arial"/>
                <w:sz w:val="22"/>
              </w:rPr>
              <w:t xml:space="preserve"> </w:t>
            </w:r>
            <w:r>
              <w:rPr>
                <w:rFonts w:ascii="Arial" w:hAnsi="Arial"/>
                <w:sz w:val="22"/>
              </w:rPr>
              <w:t>831</w:t>
            </w:r>
            <w:r w:rsidR="000566DF">
              <w:rPr>
                <w:rFonts w:ascii="Arial" w:hAnsi="Arial"/>
                <w:sz w:val="22"/>
              </w:rPr>
              <w:t>, or</w:t>
            </w:r>
            <w:r>
              <w:rPr>
                <w:rFonts w:ascii="Arial" w:hAnsi="Arial"/>
                <w:sz w:val="22"/>
              </w:rPr>
              <w:t xml:space="preserve"> 831i</w:t>
            </w:r>
          </w:p>
        </w:tc>
        <w:tc>
          <w:tcPr>
            <w:tcW w:w="1427" w:type="dxa"/>
          </w:tcPr>
          <w:p w14:paraId="7C9CC1A6"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110.50(c)</w:t>
            </w:r>
          </w:p>
        </w:tc>
        <w:tc>
          <w:tcPr>
            <w:tcW w:w="1605" w:type="dxa"/>
          </w:tcPr>
          <w:p w14:paraId="24BDF3EB"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12</w:t>
            </w:r>
          </w:p>
        </w:tc>
        <w:tc>
          <w:tcPr>
            <w:tcW w:w="1335" w:type="dxa"/>
          </w:tcPr>
          <w:p w14:paraId="26434687"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1200</w:t>
            </w:r>
          </w:p>
        </w:tc>
        <w:tc>
          <w:tcPr>
            <w:tcW w:w="1148" w:type="dxa"/>
          </w:tcPr>
          <w:p w14:paraId="7DF57FCE"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0.2</w:t>
            </w:r>
          </w:p>
        </w:tc>
        <w:tc>
          <w:tcPr>
            <w:tcW w:w="714" w:type="dxa"/>
          </w:tcPr>
          <w:p w14:paraId="4E350F13"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240</w:t>
            </w:r>
          </w:p>
        </w:tc>
      </w:tr>
      <w:tr w:rsidR="00E14625" w14:paraId="1CC75A76" w14:textId="77777777" w:rsidTr="00E14625">
        <w:tc>
          <w:tcPr>
            <w:tcW w:w="2401" w:type="dxa"/>
          </w:tcPr>
          <w:p w14:paraId="0B496193" w14:textId="77777777" w:rsidR="00E14625" w:rsidRDefault="00E14625" w:rsidP="00C53F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Time spent conferring with licens</w:t>
            </w:r>
            <w:r w:rsidR="00C53FF5">
              <w:rPr>
                <w:rFonts w:ascii="Arial" w:hAnsi="Arial"/>
                <w:sz w:val="22"/>
              </w:rPr>
              <w:t>ing staff</w:t>
            </w:r>
            <w:r>
              <w:rPr>
                <w:rFonts w:ascii="Arial" w:hAnsi="Arial"/>
                <w:sz w:val="22"/>
              </w:rPr>
              <w:t xml:space="preserve"> and possibly responding to an Enforcement action</w:t>
            </w:r>
          </w:p>
        </w:tc>
        <w:tc>
          <w:tcPr>
            <w:tcW w:w="1427" w:type="dxa"/>
          </w:tcPr>
          <w:p w14:paraId="193102F8"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110.50(c)</w:t>
            </w:r>
          </w:p>
        </w:tc>
        <w:tc>
          <w:tcPr>
            <w:tcW w:w="1605" w:type="dxa"/>
          </w:tcPr>
          <w:p w14:paraId="084BB146"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10</w:t>
            </w:r>
          </w:p>
        </w:tc>
        <w:tc>
          <w:tcPr>
            <w:tcW w:w="1335" w:type="dxa"/>
          </w:tcPr>
          <w:p w14:paraId="5ADC815A"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20</w:t>
            </w:r>
          </w:p>
        </w:tc>
        <w:tc>
          <w:tcPr>
            <w:tcW w:w="1148" w:type="dxa"/>
          </w:tcPr>
          <w:p w14:paraId="585B3901"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5</w:t>
            </w:r>
          </w:p>
        </w:tc>
        <w:tc>
          <w:tcPr>
            <w:tcW w:w="714" w:type="dxa"/>
          </w:tcPr>
          <w:p w14:paraId="3EA6B700"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100</w:t>
            </w:r>
          </w:p>
        </w:tc>
      </w:tr>
      <w:tr w:rsidR="00E14625" w14:paraId="11930526" w14:textId="77777777" w:rsidTr="00E14625">
        <w:tc>
          <w:tcPr>
            <w:tcW w:w="2401" w:type="dxa"/>
          </w:tcPr>
          <w:p w14:paraId="26E62414"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Additional information from licensee to determine if license should be suspended or revoked</w:t>
            </w:r>
          </w:p>
        </w:tc>
        <w:tc>
          <w:tcPr>
            <w:tcW w:w="1427" w:type="dxa"/>
          </w:tcPr>
          <w:p w14:paraId="6602EA7B"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110.52(b)</w:t>
            </w:r>
          </w:p>
        </w:tc>
        <w:tc>
          <w:tcPr>
            <w:tcW w:w="1605" w:type="dxa"/>
          </w:tcPr>
          <w:p w14:paraId="18EA5B02"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w:t>
            </w:r>
          </w:p>
        </w:tc>
        <w:tc>
          <w:tcPr>
            <w:tcW w:w="1335" w:type="dxa"/>
          </w:tcPr>
          <w:p w14:paraId="71B22BE6"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w:t>
            </w:r>
          </w:p>
        </w:tc>
        <w:tc>
          <w:tcPr>
            <w:tcW w:w="1148" w:type="dxa"/>
          </w:tcPr>
          <w:p w14:paraId="5B4AFE08"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0.5</w:t>
            </w:r>
          </w:p>
        </w:tc>
        <w:tc>
          <w:tcPr>
            <w:tcW w:w="714" w:type="dxa"/>
          </w:tcPr>
          <w:p w14:paraId="67004CE6"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0.5</w:t>
            </w:r>
          </w:p>
        </w:tc>
      </w:tr>
      <w:tr w:rsidR="00E14625" w14:paraId="7428F250" w14:textId="77777777" w:rsidTr="00E14625">
        <w:tc>
          <w:tcPr>
            <w:tcW w:w="2401" w:type="dxa"/>
          </w:tcPr>
          <w:p w14:paraId="5039445E"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Annual report of Americium and Neptunium shipments</w:t>
            </w:r>
          </w:p>
        </w:tc>
        <w:tc>
          <w:tcPr>
            <w:tcW w:w="1427" w:type="dxa"/>
          </w:tcPr>
          <w:p w14:paraId="4000A184"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110.54(b)</w:t>
            </w:r>
          </w:p>
        </w:tc>
        <w:tc>
          <w:tcPr>
            <w:tcW w:w="1605" w:type="dxa"/>
          </w:tcPr>
          <w:p w14:paraId="734116D9"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28</w:t>
            </w:r>
          </w:p>
        </w:tc>
        <w:tc>
          <w:tcPr>
            <w:tcW w:w="1335" w:type="dxa"/>
          </w:tcPr>
          <w:p w14:paraId="23167121"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28</w:t>
            </w:r>
          </w:p>
        </w:tc>
        <w:tc>
          <w:tcPr>
            <w:tcW w:w="1148" w:type="dxa"/>
          </w:tcPr>
          <w:p w14:paraId="2EFEC0DA"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w:t>
            </w:r>
          </w:p>
        </w:tc>
        <w:tc>
          <w:tcPr>
            <w:tcW w:w="714" w:type="dxa"/>
          </w:tcPr>
          <w:p w14:paraId="7E393811"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56</w:t>
            </w:r>
          </w:p>
        </w:tc>
      </w:tr>
      <w:tr w:rsidR="00E14625" w14:paraId="06238ABD" w14:textId="77777777" w:rsidTr="00E14625">
        <w:tc>
          <w:tcPr>
            <w:tcW w:w="2401" w:type="dxa"/>
          </w:tcPr>
          <w:p w14:paraId="61E4D6EE"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Annual report of nuclear component shipments</w:t>
            </w:r>
          </w:p>
        </w:tc>
        <w:tc>
          <w:tcPr>
            <w:tcW w:w="1427" w:type="dxa"/>
          </w:tcPr>
          <w:p w14:paraId="231649A5"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110.54(c)</w:t>
            </w:r>
          </w:p>
        </w:tc>
        <w:tc>
          <w:tcPr>
            <w:tcW w:w="1605" w:type="dxa"/>
          </w:tcPr>
          <w:p w14:paraId="291408F9"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29</w:t>
            </w:r>
          </w:p>
        </w:tc>
        <w:tc>
          <w:tcPr>
            <w:tcW w:w="1335" w:type="dxa"/>
          </w:tcPr>
          <w:p w14:paraId="00A8FD9F" w14:textId="77777777" w:rsidR="00E14625" w:rsidRDefault="00E14625"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29</w:t>
            </w:r>
          </w:p>
        </w:tc>
        <w:tc>
          <w:tcPr>
            <w:tcW w:w="1148" w:type="dxa"/>
          </w:tcPr>
          <w:p w14:paraId="6E1662F9"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2</w:t>
            </w:r>
          </w:p>
        </w:tc>
        <w:tc>
          <w:tcPr>
            <w:tcW w:w="714" w:type="dxa"/>
          </w:tcPr>
          <w:p w14:paraId="6BDFDCB9" w14:textId="77777777" w:rsidR="00E14625"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58</w:t>
            </w:r>
          </w:p>
        </w:tc>
      </w:tr>
      <w:tr w:rsidR="000566DF" w14:paraId="79B07BEF" w14:textId="77777777" w:rsidTr="00E14625">
        <w:tc>
          <w:tcPr>
            <w:tcW w:w="2401" w:type="dxa"/>
          </w:tcPr>
          <w:p w14:paraId="1C8E2CEF" w14:textId="77777777" w:rsidR="000566DF"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TOTAL</w:t>
            </w:r>
          </w:p>
        </w:tc>
        <w:tc>
          <w:tcPr>
            <w:tcW w:w="1427" w:type="dxa"/>
          </w:tcPr>
          <w:p w14:paraId="155E901D" w14:textId="77777777" w:rsidR="000566DF"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tc>
        <w:tc>
          <w:tcPr>
            <w:tcW w:w="1605" w:type="dxa"/>
          </w:tcPr>
          <w:p w14:paraId="67CB605B" w14:textId="77777777" w:rsidR="000566DF"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136</w:t>
            </w:r>
          </w:p>
        </w:tc>
        <w:tc>
          <w:tcPr>
            <w:tcW w:w="1335" w:type="dxa"/>
          </w:tcPr>
          <w:p w14:paraId="003C6944" w14:textId="77777777" w:rsidR="000566DF"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tc>
        <w:tc>
          <w:tcPr>
            <w:tcW w:w="1148" w:type="dxa"/>
          </w:tcPr>
          <w:p w14:paraId="289EFFE4" w14:textId="77777777" w:rsidR="000566DF" w:rsidRDefault="000566DF" w:rsidP="00E146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tc>
        <w:tc>
          <w:tcPr>
            <w:tcW w:w="714" w:type="dxa"/>
          </w:tcPr>
          <w:p w14:paraId="76CB8B6B" w14:textId="77777777" w:rsidR="000566DF" w:rsidRDefault="000566DF" w:rsidP="000566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793</w:t>
            </w:r>
          </w:p>
        </w:tc>
      </w:tr>
    </w:tbl>
    <w:p w14:paraId="028F679B" w14:textId="77777777" w:rsidR="00A931D2" w:rsidRDefault="00A931D2"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52864873" w14:textId="208432D6"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estimated annual burden for this collection is 9</w:t>
      </w:r>
      <w:r w:rsidR="00603DF0">
        <w:rPr>
          <w:rFonts w:ascii="Arial" w:hAnsi="Arial"/>
          <w:sz w:val="22"/>
        </w:rPr>
        <w:t>29</w:t>
      </w:r>
      <w:r>
        <w:rPr>
          <w:rFonts w:ascii="Arial" w:hAnsi="Arial"/>
          <w:sz w:val="22"/>
        </w:rPr>
        <w:t xml:space="preserve"> hours (793 hours reporting and 1</w:t>
      </w:r>
      <w:r w:rsidR="00113A93">
        <w:rPr>
          <w:rFonts w:ascii="Arial" w:hAnsi="Arial"/>
          <w:sz w:val="22"/>
        </w:rPr>
        <w:t>36</w:t>
      </w:r>
      <w:r>
        <w:rPr>
          <w:rFonts w:ascii="Arial" w:hAnsi="Arial"/>
          <w:sz w:val="22"/>
        </w:rPr>
        <w:t xml:space="preserve"> hours recordkeeping).  The total cost for the collection is $</w:t>
      </w:r>
      <w:r w:rsidR="00B56ACD">
        <w:rPr>
          <w:rFonts w:ascii="Arial" w:hAnsi="Arial"/>
          <w:sz w:val="22"/>
        </w:rPr>
        <w:t>259,191</w:t>
      </w:r>
      <w:r>
        <w:rPr>
          <w:rFonts w:ascii="Arial" w:hAnsi="Arial"/>
          <w:sz w:val="22"/>
        </w:rPr>
        <w:t xml:space="preserve"> (9</w:t>
      </w:r>
      <w:r w:rsidR="00B56ACD">
        <w:rPr>
          <w:rFonts w:ascii="Arial" w:hAnsi="Arial"/>
          <w:sz w:val="22"/>
        </w:rPr>
        <w:t>29</w:t>
      </w:r>
      <w:r>
        <w:rPr>
          <w:rFonts w:ascii="Arial" w:hAnsi="Arial"/>
          <w:sz w:val="22"/>
        </w:rPr>
        <w:t xml:space="preserve"> hours x $279.00/hr).  See tables 1 – 3 for a detailed breakdown of licensee burden for each requirement under Part 110.</w:t>
      </w:r>
    </w:p>
    <w:p w14:paraId="049644E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13DD9288"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sz w:val="22"/>
          <w:u w:val="single"/>
        </w:rPr>
      </w:pPr>
      <w:r w:rsidRPr="00A14B90">
        <w:rPr>
          <w:rFonts w:ascii="Arial" w:hAnsi="Arial"/>
          <w:sz w:val="22"/>
        </w:rPr>
        <w:t>13.</w:t>
      </w:r>
      <w:r w:rsidRPr="00A14B90">
        <w:rPr>
          <w:rFonts w:ascii="Arial" w:hAnsi="Arial"/>
          <w:sz w:val="22"/>
        </w:rPr>
        <w:tab/>
      </w:r>
      <w:r w:rsidRPr="00A14B90">
        <w:rPr>
          <w:rFonts w:ascii="Arial" w:hAnsi="Arial"/>
          <w:sz w:val="22"/>
          <w:u w:val="single"/>
        </w:rPr>
        <w:t>Estimate of Other Additional Costs</w:t>
      </w:r>
      <w:r>
        <w:rPr>
          <w:rFonts w:ascii="Arial" w:hAnsi="Arial"/>
          <w:sz w:val="22"/>
          <w:u w:val="single"/>
        </w:rPr>
        <w:t xml:space="preserve">  </w:t>
      </w:r>
    </w:p>
    <w:p w14:paraId="364B2B9F"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sz w:val="22"/>
          <w:u w:val="single"/>
        </w:rPr>
      </w:pPr>
    </w:p>
    <w:p w14:paraId="7CD53FC9"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For licensees subject to 10 CFR Part 110, it is most likely that any purchases of equipment and services were made before October 1, 1995, in order to achieve regulatory compliance with requirements not associated with this information collection, for reasons other than to provide information or keep records for the government, or as part of customary and usual business or private practices.</w:t>
      </w:r>
    </w:p>
    <w:p w14:paraId="1BFCF7BC"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52B8A88F"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NRC estimates that the storage and equipment costs for licensees subject to this information collection are approximately $22.50 per license, based on a rate of $45.00</w:t>
      </w:r>
      <w:r w:rsidRPr="00F3707E">
        <w:rPr>
          <w:rFonts w:ascii="Arial" w:hAnsi="Arial"/>
          <w:sz w:val="22"/>
        </w:rPr>
        <w:t xml:space="preserve"> </w:t>
      </w:r>
      <w:r>
        <w:rPr>
          <w:rFonts w:ascii="Arial" w:hAnsi="Arial"/>
          <w:sz w:val="22"/>
        </w:rPr>
        <w:t>per square foot of filing space.  The recordkeeping burden is roughly proportional to the</w:t>
      </w:r>
      <w:r w:rsidRPr="00C62FCA">
        <w:t xml:space="preserve"> </w:t>
      </w:r>
      <w:r w:rsidRPr="00C62FCA">
        <w:rPr>
          <w:rFonts w:ascii="Arial" w:hAnsi="Arial"/>
          <w:sz w:val="22"/>
        </w:rPr>
        <w:t>quantity of records to be maintained</w:t>
      </w:r>
      <w:r>
        <w:rPr>
          <w:rFonts w:ascii="Arial" w:hAnsi="Arial"/>
          <w:sz w:val="22"/>
        </w:rPr>
        <w:t>.  Based on the number of active licenses issued annually, the total annual records storage cost is estimated to be equal to the per</w:t>
      </w:r>
      <w:r w:rsidR="00113A93">
        <w:rPr>
          <w:rFonts w:ascii="Arial" w:hAnsi="Arial"/>
          <w:sz w:val="22"/>
        </w:rPr>
        <w:t xml:space="preserve"> license rate of ($22.50) x (136</w:t>
      </w:r>
      <w:r>
        <w:rPr>
          <w:rFonts w:ascii="Arial" w:hAnsi="Arial"/>
          <w:sz w:val="22"/>
        </w:rPr>
        <w:t xml:space="preserve"> record keepers) x (an average of 1.16 licenses issued per year per record keeper) x (5 years of required record retention) or $</w:t>
      </w:r>
      <w:r w:rsidR="00113A93">
        <w:rPr>
          <w:rFonts w:ascii="Arial" w:hAnsi="Arial"/>
          <w:sz w:val="22"/>
        </w:rPr>
        <w:t>17,748</w:t>
      </w:r>
      <w:r>
        <w:rPr>
          <w:rFonts w:ascii="Arial" w:hAnsi="Arial"/>
          <w:sz w:val="22"/>
        </w:rPr>
        <w:t>.00.</w:t>
      </w:r>
    </w:p>
    <w:p w14:paraId="4B5A7014" w14:textId="77777777" w:rsidR="00BC5E9C" w:rsidRDefault="00BC5E9C"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2CCE19E1" w14:textId="77777777" w:rsidR="00BC5E9C" w:rsidRPr="007A7F6D" w:rsidRDefault="00BC5E9C"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2D605C38" w14:textId="77777777" w:rsidR="0023045D" w:rsidRPr="00715A3A" w:rsidRDefault="0023045D" w:rsidP="0023045D">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630"/>
        <w:rPr>
          <w:rFonts w:ascii="Arial" w:hAnsi="Arial"/>
          <w:sz w:val="22"/>
          <w:u w:val="single"/>
        </w:rPr>
      </w:pPr>
      <w:r w:rsidRPr="007A7F6D">
        <w:rPr>
          <w:rFonts w:ascii="Arial" w:hAnsi="Arial"/>
          <w:sz w:val="22"/>
          <w:u w:val="single"/>
        </w:rPr>
        <w:t>Estimated Annualized Cost to the Federal Government</w:t>
      </w:r>
      <w:r>
        <w:rPr>
          <w:rFonts w:ascii="Arial" w:hAnsi="Arial"/>
          <w:sz w:val="22"/>
          <w:u w:val="single"/>
        </w:rPr>
        <w:t xml:space="preserve">  </w:t>
      </w:r>
    </w:p>
    <w:p w14:paraId="64BE96C6"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u w:val="single"/>
        </w:rPr>
      </w:pPr>
    </w:p>
    <w:p w14:paraId="7EAB203D"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collection of information under 10 CFR Part 110 requires approximately 101.5 NRC professional staff hours per year to investigate, review and take action on the reported information associated with the collections referred to above.  The annual labor cost to the Federal Government at an average of $279.00 per staff hour for reactor and materials licensees is $28,319.00 (101.5 hours x $279.00).  The costs for OMB 3150-0036 are recovered fully through fee assessments to NRC licensees pursuant to 10 CFR Parts 170 and 171.  Table 4 summarizes costs to the NRC for processing information under this collection.</w:t>
      </w:r>
    </w:p>
    <w:p w14:paraId="0600BD19"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p>
    <w:p w14:paraId="65632226" w14:textId="77D35D08" w:rsidR="0023045D" w:rsidRPr="007A4C17"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sz w:val="22"/>
        </w:rPr>
      </w:pPr>
      <w:r w:rsidRPr="007A4C17">
        <w:rPr>
          <w:rFonts w:ascii="Arial" w:hAnsi="Arial"/>
          <w:sz w:val="22"/>
        </w:rPr>
        <w:t>15.</w:t>
      </w:r>
      <w:r w:rsidRPr="007A4C17">
        <w:rPr>
          <w:rFonts w:ascii="Arial" w:hAnsi="Arial"/>
          <w:sz w:val="22"/>
        </w:rPr>
        <w:tab/>
      </w:r>
      <w:r w:rsidRPr="007A4C17">
        <w:rPr>
          <w:rFonts w:ascii="Arial" w:hAnsi="Arial"/>
          <w:sz w:val="22"/>
          <w:u w:val="single"/>
        </w:rPr>
        <w:t>Reasons for Changes in Burden or Cost</w:t>
      </w:r>
      <w:r>
        <w:rPr>
          <w:rFonts w:ascii="Arial" w:hAnsi="Arial"/>
          <w:sz w:val="22"/>
          <w:u w:val="single"/>
        </w:rPr>
        <w:t xml:space="preserve"> </w:t>
      </w:r>
    </w:p>
    <w:p w14:paraId="2722033E"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5EE32987" w14:textId="77777777" w:rsidR="0023045D" w:rsidRDefault="0023045D" w:rsidP="0023045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estimated annual public burden increased by </w:t>
      </w:r>
      <w:r w:rsidR="007439C6">
        <w:rPr>
          <w:rFonts w:ascii="Arial" w:hAnsi="Arial"/>
          <w:sz w:val="22"/>
        </w:rPr>
        <w:t>1</w:t>
      </w:r>
      <w:r w:rsidR="001E0F7B">
        <w:rPr>
          <w:rFonts w:ascii="Arial" w:hAnsi="Arial"/>
          <w:sz w:val="22"/>
        </w:rPr>
        <w:t>49</w:t>
      </w:r>
      <w:r w:rsidR="007439C6">
        <w:rPr>
          <w:rFonts w:ascii="Arial" w:hAnsi="Arial"/>
          <w:sz w:val="22"/>
        </w:rPr>
        <w:t xml:space="preserve"> hours from 780</w:t>
      </w:r>
      <w:r>
        <w:rPr>
          <w:rFonts w:ascii="Arial" w:hAnsi="Arial"/>
          <w:sz w:val="22"/>
        </w:rPr>
        <w:t xml:space="preserve"> hours up to </w:t>
      </w:r>
      <w:r w:rsidR="007439C6">
        <w:rPr>
          <w:rFonts w:ascii="Arial" w:hAnsi="Arial"/>
          <w:sz w:val="22"/>
        </w:rPr>
        <w:t>9</w:t>
      </w:r>
      <w:r w:rsidR="001E0F7B">
        <w:rPr>
          <w:rFonts w:ascii="Arial" w:hAnsi="Arial"/>
          <w:sz w:val="22"/>
        </w:rPr>
        <w:t>29</w:t>
      </w:r>
      <w:r>
        <w:rPr>
          <w:rFonts w:ascii="Arial" w:hAnsi="Arial"/>
          <w:sz w:val="22"/>
        </w:rPr>
        <w:t xml:space="preserve"> hours, while annual responses increased by </w:t>
      </w:r>
      <w:r w:rsidR="001E0F7B">
        <w:rPr>
          <w:rFonts w:ascii="Arial" w:hAnsi="Arial"/>
          <w:sz w:val="22"/>
        </w:rPr>
        <w:t>347</w:t>
      </w:r>
      <w:r>
        <w:rPr>
          <w:rFonts w:ascii="Arial" w:hAnsi="Arial"/>
          <w:sz w:val="22"/>
        </w:rPr>
        <w:t xml:space="preserve"> responses, from 2,598 responses to 2,</w:t>
      </w:r>
      <w:r w:rsidR="001B3ED8">
        <w:rPr>
          <w:rFonts w:ascii="Arial" w:hAnsi="Arial"/>
          <w:sz w:val="22"/>
        </w:rPr>
        <w:t>9</w:t>
      </w:r>
      <w:r w:rsidR="001E0F7B">
        <w:rPr>
          <w:rFonts w:ascii="Arial" w:hAnsi="Arial"/>
          <w:sz w:val="22"/>
        </w:rPr>
        <w:t>4</w:t>
      </w:r>
      <w:r w:rsidR="001B3ED8">
        <w:rPr>
          <w:rFonts w:ascii="Arial" w:hAnsi="Arial"/>
          <w:sz w:val="22"/>
        </w:rPr>
        <w:t>5</w:t>
      </w:r>
      <w:r>
        <w:rPr>
          <w:rFonts w:ascii="Arial" w:hAnsi="Arial"/>
          <w:sz w:val="22"/>
        </w:rPr>
        <w:t xml:space="preserve"> responses.  There have been no changes to the requirements under 10 CFR Part 110 that would affect public burden.  Furthermore, no change was made to the estimated hours per response, whether or not an NRC form or a custom form was used for submitting notices.  NRC increased the estimated number of annual responses in the table to reflect an increase in annual activity subject to the notification requirement.  The table of data was also expanded to identify the burden associated with the use of custom reporting forms for notices, the typical practice used by most Ir-192 licensees.  These respondents account for the greatest number of annual responses, and essentially expend the same per-response public burden as the respondents who submit notices on the NRC forms.  Notices on non-standard forms are typically submitted by licensees with fewer transactions.  These notices are not custom-designed, and usually contain other unrelated data.  Most respondents use non-standard forms, but they report much less frequently than those that use either custom forms or NRC forms.  The number of individual respondents increased from 108 to 1</w:t>
      </w:r>
      <w:r w:rsidR="00113A93">
        <w:rPr>
          <w:rFonts w:ascii="Arial" w:hAnsi="Arial"/>
          <w:sz w:val="22"/>
        </w:rPr>
        <w:t>36</w:t>
      </w:r>
      <w:r>
        <w:rPr>
          <w:rFonts w:ascii="Arial" w:hAnsi="Arial"/>
          <w:sz w:val="22"/>
        </w:rPr>
        <w:t xml:space="preserve"> from the last clearance cycle.</w:t>
      </w:r>
    </w:p>
    <w:p w14:paraId="4BBD0F3C" w14:textId="77777777" w:rsidR="0023045D" w:rsidRDefault="0023045D" w:rsidP="0023045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1440"/>
        <w:rPr>
          <w:rFonts w:ascii="Arial" w:hAnsi="Arial"/>
          <w:sz w:val="22"/>
        </w:rPr>
      </w:pPr>
      <w:r>
        <w:rPr>
          <w:rFonts w:ascii="Arial" w:hAnsi="Arial"/>
          <w:sz w:val="22"/>
        </w:rPr>
        <w:t>The primary reason for the increase in responses is due to an adjustment in the number of export and import transactions subject to the notification requirement.  Use of the NRC notification forms is also increasing.  As a result, the number of respondents using neither the NRC form nor a custom form is decreasing.  Most of these respondents export and import radioisotopes with longer half-lives such as Am-241 (432.7 years) and Cs-137 (30 years) and therefore, require fewer notifications.  As a result, there is less incentive for these respondents to develop a custom form for their notification requirements.  On the other hand, respondents that export and import radioisotopes with shorter half-lives such as Ir-192 (74 days) and Se-75 (120 days) make many more shipments and benefit from development of custom forms and automated notification capabilities.  The NRC notification forms only became available years after the notification requirement was implemented.  As a result, respondents are reluctant to adopt use of the form as it would be of no benefit.  However, new respondents prefer to use NRC forms, as they serve as a template for the required data elements and therefore, reduce errors.</w:t>
      </w:r>
    </w:p>
    <w:p w14:paraId="2EFE5FEB" w14:textId="77777777" w:rsidR="0023045D" w:rsidRDefault="0023045D" w:rsidP="0023045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14:paraId="6FB27C28" w14:textId="121A8FFF" w:rsidR="00375491" w:rsidRPr="00320102" w:rsidRDefault="00375491" w:rsidP="00320102">
      <w:pPr>
        <w:pStyle w:val="Level1"/>
        <w:ind w:left="1440"/>
        <w:rPr>
          <w:rFonts w:ascii="Arial" w:hAnsi="Arial"/>
        </w:rPr>
      </w:pPr>
      <w:r w:rsidRPr="00320102">
        <w:rPr>
          <w:rFonts w:ascii="Arial" w:hAnsi="Arial"/>
        </w:rPr>
        <w:t xml:space="preserve">Lastly, the NRC has increased the follow-up time from 15 minutes to 5 hours for each of 20 annual responses to account for time spent </w:t>
      </w:r>
      <w:r>
        <w:rPr>
          <w:rFonts w:ascii="Arial" w:hAnsi="Arial" w:cs="Arial"/>
        </w:rPr>
        <w:t>resolving or clarifying omitted information submitted on the advanced notification of shipments.  The NRC may require licensees to obtain</w:t>
      </w:r>
      <w:r w:rsidRPr="00320102">
        <w:rPr>
          <w:rFonts w:ascii="Arial" w:hAnsi="Arial"/>
        </w:rPr>
        <w:t xml:space="preserve"> additional </w:t>
      </w:r>
      <w:r>
        <w:rPr>
          <w:rFonts w:ascii="Arial" w:hAnsi="Arial" w:cs="Arial"/>
        </w:rPr>
        <w:t>or</w:t>
      </w:r>
      <w:r w:rsidRPr="00320102">
        <w:rPr>
          <w:rFonts w:ascii="Arial" w:hAnsi="Arial"/>
        </w:rPr>
        <w:t xml:space="preserve"> corrected </w:t>
      </w:r>
      <w:r>
        <w:rPr>
          <w:rFonts w:ascii="Arial" w:hAnsi="Arial" w:cs="Arial"/>
        </w:rPr>
        <w:t xml:space="preserve">information and re-submit the corrected information to the Headquarters Operations Office or the Office of International Programs.  The corrections might require licensees to search for or request documentation from foreign regulators to prove authorization to export radioactive materials.  In some cases, NRC takes </w:t>
      </w:r>
      <w:r w:rsidRPr="00320102">
        <w:rPr>
          <w:rFonts w:ascii="Arial" w:hAnsi="Arial"/>
        </w:rPr>
        <w:t xml:space="preserve">enforcement action </w:t>
      </w:r>
      <w:r>
        <w:rPr>
          <w:rFonts w:ascii="Arial" w:hAnsi="Arial" w:cs="Arial"/>
        </w:rPr>
        <w:t xml:space="preserve">with a licensee, requiring the licensee to respond to a Notice of violation. This may require the licensee to develop and document corrective actions </w:t>
      </w:r>
      <w:r w:rsidRPr="00320102">
        <w:rPr>
          <w:rFonts w:ascii="Arial" w:hAnsi="Arial"/>
        </w:rPr>
        <w:t xml:space="preserve">taken </w:t>
      </w:r>
      <w:r>
        <w:rPr>
          <w:rFonts w:ascii="Arial" w:hAnsi="Arial" w:cs="Arial"/>
        </w:rPr>
        <w:t>or to be taken to prevent recurrence in the future, re-train personnel, or submit a written response to the Office of Enforcement. In some cases, licensees may hire consultants and attorneys to assist them in properly addressing our concerns.</w:t>
      </w:r>
    </w:p>
    <w:p w14:paraId="2D51F6CE" w14:textId="77777777" w:rsidR="00375491" w:rsidRPr="00320102" w:rsidRDefault="00375491" w:rsidP="00320102">
      <w:pPr>
        <w:rPr>
          <w:rFonts w:ascii="Arial" w:hAnsi="Arial"/>
        </w:rPr>
      </w:pPr>
    </w:p>
    <w:p w14:paraId="3C760272" w14:textId="77777777" w:rsidR="0023045D" w:rsidRDefault="0023045D" w:rsidP="0023045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r>
        <w:rPr>
          <w:rFonts w:ascii="Arial" w:hAnsi="Arial" w:cs="Arial"/>
          <w:sz w:val="22"/>
          <w:szCs w:val="22"/>
        </w:rPr>
        <w:t xml:space="preserve">The cost increase also </w:t>
      </w:r>
      <w:r w:rsidRPr="00975B99">
        <w:rPr>
          <w:rFonts w:ascii="Arial" w:hAnsi="Arial" w:cs="Arial"/>
          <w:sz w:val="22"/>
          <w:szCs w:val="22"/>
        </w:rPr>
        <w:t>reflects an increase in the annual labor cost for reactor and materials licensees from $2</w:t>
      </w:r>
      <w:r>
        <w:rPr>
          <w:rFonts w:ascii="Arial" w:hAnsi="Arial" w:cs="Arial"/>
          <w:sz w:val="22"/>
          <w:szCs w:val="22"/>
        </w:rPr>
        <w:t>74.00</w:t>
      </w:r>
      <w:r w:rsidRPr="00975B99">
        <w:rPr>
          <w:rFonts w:ascii="Arial" w:hAnsi="Arial" w:cs="Arial"/>
          <w:sz w:val="22"/>
          <w:szCs w:val="22"/>
        </w:rPr>
        <w:t xml:space="preserve"> to</w:t>
      </w:r>
      <w:r>
        <w:rPr>
          <w:rFonts w:ascii="Arial" w:hAnsi="Arial" w:cs="Arial"/>
          <w:sz w:val="22"/>
          <w:szCs w:val="22"/>
        </w:rPr>
        <w:t xml:space="preserve"> $279.00</w:t>
      </w:r>
      <w:r w:rsidRPr="00975B99">
        <w:rPr>
          <w:rFonts w:ascii="Arial" w:hAnsi="Arial" w:cs="Arial"/>
          <w:sz w:val="22"/>
          <w:szCs w:val="22"/>
        </w:rPr>
        <w:t xml:space="preserve"> </w:t>
      </w:r>
      <w:r w:rsidRPr="00975B99">
        <w:rPr>
          <w:rFonts w:ascii="Arial" w:hAnsi="Arial"/>
          <w:sz w:val="22"/>
          <w:szCs w:val="22"/>
        </w:rPr>
        <w:t>per hour.</w:t>
      </w:r>
    </w:p>
    <w:p w14:paraId="16489F71" w14:textId="77777777" w:rsidR="00613A4A" w:rsidRDefault="00613A4A" w:rsidP="0023045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p>
    <w:p w14:paraId="7B196539" w14:textId="77777777" w:rsidR="00613A4A" w:rsidRDefault="00613A4A" w:rsidP="0023045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r>
        <w:rPr>
          <w:rFonts w:ascii="Arial" w:hAnsi="Arial"/>
          <w:sz w:val="22"/>
          <w:szCs w:val="22"/>
        </w:rPr>
        <w:t xml:space="preserve">There has been no regulatory changes made that would result in a change in the information being collected. Furthermore, there are no plans to make any changes to the NRC forms used to obtain the information. </w:t>
      </w:r>
    </w:p>
    <w:p w14:paraId="184D3E3C"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Pr>
          <w:rFonts w:ascii="Arial" w:hAnsi="Arial"/>
          <w:sz w:val="22"/>
        </w:rPr>
        <w:tab/>
      </w:r>
    </w:p>
    <w:p w14:paraId="66594775"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p>
    <w:p w14:paraId="0A172E2C"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3652F938"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sidRPr="00F9732B">
        <w:rPr>
          <w:rFonts w:ascii="Arial" w:hAnsi="Arial"/>
          <w:sz w:val="22"/>
        </w:rPr>
        <w:t xml:space="preserve">NRC </w:t>
      </w:r>
      <w:r>
        <w:rPr>
          <w:rFonts w:ascii="Arial" w:hAnsi="Arial"/>
          <w:sz w:val="22"/>
        </w:rPr>
        <w:t>does not perform</w:t>
      </w:r>
      <w:r w:rsidRPr="00F9732B">
        <w:rPr>
          <w:rFonts w:ascii="Arial" w:hAnsi="Arial"/>
          <w:sz w:val="22"/>
        </w:rPr>
        <w:t xml:space="preserve"> statistical analysis of the </w:t>
      </w:r>
      <w:r>
        <w:rPr>
          <w:rFonts w:ascii="Arial" w:hAnsi="Arial"/>
          <w:sz w:val="22"/>
        </w:rPr>
        <w:t xml:space="preserve">submissions. </w:t>
      </w:r>
      <w:r w:rsidRPr="00F9732B">
        <w:rPr>
          <w:rFonts w:ascii="Arial" w:hAnsi="Arial"/>
          <w:sz w:val="22"/>
        </w:rPr>
        <w:t xml:space="preserve"> The </w:t>
      </w:r>
      <w:r w:rsidR="003F422D">
        <w:rPr>
          <w:rFonts w:ascii="Arial" w:hAnsi="Arial"/>
          <w:sz w:val="22"/>
        </w:rPr>
        <w:t xml:space="preserve">records are reviewed for accuracy </w:t>
      </w:r>
      <w:r w:rsidRPr="00F9732B">
        <w:rPr>
          <w:rFonts w:ascii="Arial" w:hAnsi="Arial"/>
          <w:sz w:val="22"/>
        </w:rPr>
        <w:t>and</w:t>
      </w:r>
      <w:r>
        <w:rPr>
          <w:rFonts w:ascii="Arial" w:hAnsi="Arial"/>
          <w:sz w:val="22"/>
        </w:rPr>
        <w:t xml:space="preserve"> compliance with the regulation.  The</w:t>
      </w:r>
      <w:r w:rsidR="003F422D">
        <w:rPr>
          <w:rFonts w:ascii="Arial" w:hAnsi="Arial"/>
          <w:sz w:val="22"/>
        </w:rPr>
        <w:t xml:space="preserve"> records</w:t>
      </w:r>
      <w:r>
        <w:rPr>
          <w:rFonts w:ascii="Arial" w:hAnsi="Arial"/>
          <w:sz w:val="22"/>
        </w:rPr>
        <w:t xml:space="preserve"> are not published </w:t>
      </w:r>
      <w:r w:rsidR="003F422D">
        <w:rPr>
          <w:rFonts w:ascii="Arial" w:hAnsi="Arial"/>
          <w:sz w:val="22"/>
        </w:rPr>
        <w:t>or made public</w:t>
      </w:r>
      <w:r>
        <w:rPr>
          <w:rFonts w:ascii="Arial" w:hAnsi="Arial"/>
          <w:sz w:val="22"/>
        </w:rPr>
        <w:t>.</w:t>
      </w:r>
    </w:p>
    <w:p w14:paraId="282FABC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47DD508D"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p>
    <w:p w14:paraId="1067FC9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00526F73"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NRC displays the expiration date of the collection of information on the forms used for submitting notifications of exports and imports subject to this requirement.  The annual reporting requirement has no forms, and is contained in a regulation.  Amending the </w:t>
      </w:r>
      <w:r w:rsidRPr="007B60B9">
        <w:rPr>
          <w:rFonts w:ascii="Arial" w:hAnsi="Arial"/>
          <w:i/>
          <w:sz w:val="22"/>
        </w:rPr>
        <w:t>Code of Federal Regulations</w:t>
      </w:r>
      <w:r>
        <w:rPr>
          <w:rFonts w:ascii="Arial" w:hAnsi="Arial"/>
          <w:sz w:val="22"/>
        </w:rPr>
        <w:t xml:space="preserve"> to display information that, in an annual publication, could become obsolete would be unduly burdensome and too difficult to keep current.</w:t>
      </w:r>
    </w:p>
    <w:p w14:paraId="758A3789"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52817BC8"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18.</w:t>
      </w:r>
      <w:r>
        <w:rPr>
          <w:rFonts w:ascii="Arial" w:hAnsi="Arial"/>
          <w:sz w:val="22"/>
        </w:rPr>
        <w:tab/>
      </w:r>
      <w:r>
        <w:rPr>
          <w:rFonts w:ascii="Arial" w:hAnsi="Arial"/>
          <w:sz w:val="22"/>
          <w:u w:val="single"/>
        </w:rPr>
        <w:t>Exceptions to the Certification Statement</w:t>
      </w:r>
    </w:p>
    <w:p w14:paraId="4C767701"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77C048E9" w14:textId="77777777" w:rsidR="002A048D" w:rsidRDefault="0023045D" w:rsidP="002A04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Pr>
          <w:rFonts w:ascii="Arial" w:hAnsi="Arial"/>
          <w:sz w:val="22"/>
        </w:rPr>
        <w:tab/>
        <w:t>There are no exceptions.</w:t>
      </w:r>
    </w:p>
    <w:p w14:paraId="26BA13E6" w14:textId="77777777" w:rsidR="008857FE" w:rsidRDefault="008857FE" w:rsidP="002A04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4B9A1EC5" w14:textId="77777777" w:rsidR="008857FE" w:rsidRDefault="008857FE" w:rsidP="002A04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729B3897" w14:textId="77777777" w:rsidR="0023045D" w:rsidRDefault="0023045D" w:rsidP="003201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B.</w:t>
      </w:r>
      <w:r>
        <w:rPr>
          <w:rFonts w:ascii="Arial" w:hAnsi="Arial"/>
          <w:sz w:val="22"/>
        </w:rPr>
        <w:tab/>
        <w:t>COLLECTIONS OF INFORMATION EMPLOYING STATISTICAL METHODS</w:t>
      </w:r>
    </w:p>
    <w:p w14:paraId="47D6EE91"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1B8B184E"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Statistical methods are not used in this collection of information.</w:t>
      </w:r>
    </w:p>
    <w:p w14:paraId="423023D4" w14:textId="77777777" w:rsidR="0023045D" w:rsidRPr="00926F55"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sz w:val="22"/>
        </w:rPr>
        <w:br w:type="page"/>
      </w:r>
      <w:r w:rsidRPr="00926F55">
        <w:rPr>
          <w:rFonts w:ascii="Arial" w:hAnsi="Arial"/>
          <w:b/>
          <w:sz w:val="22"/>
        </w:rPr>
        <w:t>TABLE 1.</w:t>
      </w:r>
    </w:p>
    <w:p w14:paraId="4BDB5E65" w14:textId="77777777" w:rsidR="0023045D" w:rsidRPr="00926F55"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sidRPr="00926F55">
        <w:rPr>
          <w:rFonts w:ascii="Arial" w:hAnsi="Arial"/>
          <w:b/>
          <w:sz w:val="22"/>
        </w:rPr>
        <w:t>ANNUAL REPORTING BURDEN</w:t>
      </w:r>
    </w:p>
    <w:p w14:paraId="39C1357D"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tbl>
      <w:tblPr>
        <w:tblW w:w="10218" w:type="dxa"/>
        <w:tblInd w:w="93" w:type="dxa"/>
        <w:tblLayout w:type="fixed"/>
        <w:tblLook w:val="04A0" w:firstRow="1" w:lastRow="0" w:firstColumn="1" w:lastColumn="0" w:noHBand="0" w:noVBand="1"/>
      </w:tblPr>
      <w:tblGrid>
        <w:gridCol w:w="1612"/>
        <w:gridCol w:w="1530"/>
        <w:gridCol w:w="1260"/>
        <w:gridCol w:w="1260"/>
        <w:gridCol w:w="1170"/>
        <w:gridCol w:w="1260"/>
        <w:gridCol w:w="900"/>
        <w:gridCol w:w="1226"/>
      </w:tblGrid>
      <w:tr w:rsidR="00CD61DA" w:rsidRPr="00926F55" w14:paraId="27FE055D" w14:textId="77777777" w:rsidTr="002A048D">
        <w:trPr>
          <w:trHeight w:val="76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DCC5C" w14:textId="77777777" w:rsidR="00695AEC" w:rsidRPr="00320102" w:rsidRDefault="00695AEC" w:rsidP="00C62985">
            <w:pPr>
              <w:jc w:val="center"/>
              <w:rPr>
                <w:rFonts w:ascii="Arial" w:hAnsi="Arial"/>
                <w:b/>
                <w:color w:val="000000"/>
                <w:sz w:val="16"/>
              </w:rPr>
            </w:pPr>
            <w:r w:rsidRPr="00320102">
              <w:rPr>
                <w:rFonts w:ascii="Arial" w:hAnsi="Arial"/>
                <w:b/>
                <w:color w:val="000000"/>
                <w:sz w:val="16"/>
              </w:rPr>
              <w:t>Section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C05B7FF" w14:textId="77777777" w:rsidR="00695AEC" w:rsidRPr="00695AEC" w:rsidRDefault="00C62985" w:rsidP="00C62985">
            <w:pPr>
              <w:jc w:val="center"/>
              <w:rPr>
                <w:rFonts w:ascii="Arial" w:hAnsi="Arial" w:cs="Arial"/>
                <w:b/>
                <w:bCs/>
                <w:color w:val="000000"/>
                <w:sz w:val="16"/>
                <w:szCs w:val="16"/>
              </w:rPr>
            </w:pPr>
            <w:r>
              <w:rPr>
                <w:rFonts w:ascii="Arial" w:hAnsi="Arial" w:cs="Arial"/>
                <w:b/>
                <w:bCs/>
                <w:color w:val="000000"/>
                <w:sz w:val="16"/>
                <w:szCs w:val="16"/>
              </w:rPr>
              <w:t>Description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2706B8E" w14:textId="77777777" w:rsidR="00695AEC" w:rsidRPr="00320102" w:rsidRDefault="00695AEC" w:rsidP="00C62985">
            <w:pPr>
              <w:jc w:val="center"/>
              <w:rPr>
                <w:rFonts w:ascii="Arial" w:hAnsi="Arial"/>
                <w:b/>
                <w:color w:val="000000"/>
                <w:sz w:val="16"/>
              </w:rPr>
            </w:pPr>
            <w:r w:rsidRPr="00320102">
              <w:rPr>
                <w:rFonts w:ascii="Arial" w:hAnsi="Arial"/>
                <w:b/>
                <w:color w:val="000000"/>
                <w:sz w:val="16"/>
              </w:rPr>
              <w:t>Number of 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DDB1015" w14:textId="77777777" w:rsidR="00695AEC" w:rsidRPr="00320102" w:rsidRDefault="00695AEC" w:rsidP="00C62985">
            <w:pPr>
              <w:jc w:val="center"/>
              <w:rPr>
                <w:rFonts w:ascii="Arial" w:hAnsi="Arial"/>
                <w:b/>
                <w:color w:val="000000"/>
                <w:sz w:val="16"/>
              </w:rPr>
            </w:pPr>
            <w:r w:rsidRPr="00320102">
              <w:rPr>
                <w:rFonts w:ascii="Arial" w:hAnsi="Arial"/>
                <w:b/>
                <w:color w:val="000000"/>
                <w:sz w:val="16"/>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804EC3E" w14:textId="77777777" w:rsidR="00695AEC" w:rsidRPr="00320102" w:rsidRDefault="00695AEC" w:rsidP="00C62985">
            <w:pPr>
              <w:jc w:val="center"/>
              <w:rPr>
                <w:rFonts w:ascii="Arial" w:hAnsi="Arial"/>
                <w:b/>
                <w:color w:val="000000"/>
                <w:sz w:val="16"/>
              </w:rPr>
            </w:pPr>
            <w:r w:rsidRPr="00320102">
              <w:rPr>
                <w:rFonts w:ascii="Arial" w:hAnsi="Arial"/>
                <w:b/>
                <w:color w:val="000000"/>
                <w:sz w:val="16"/>
              </w:rPr>
              <w:t>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FE7CE9B" w14:textId="77777777" w:rsidR="00695AEC" w:rsidRPr="00320102" w:rsidRDefault="00695AEC" w:rsidP="00C62985">
            <w:pPr>
              <w:jc w:val="center"/>
              <w:rPr>
                <w:rFonts w:ascii="Arial" w:hAnsi="Arial"/>
                <w:b/>
                <w:color w:val="000000"/>
                <w:sz w:val="16"/>
              </w:rPr>
            </w:pPr>
            <w:r w:rsidRPr="00320102">
              <w:rPr>
                <w:rFonts w:ascii="Arial" w:hAnsi="Arial"/>
                <w:b/>
                <w:color w:val="000000"/>
                <w:sz w:val="16"/>
              </w:rPr>
              <w:t>Burden Per Response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AEDE01B" w14:textId="77777777" w:rsidR="00695AEC" w:rsidRPr="00320102" w:rsidRDefault="00695AEC" w:rsidP="00C62985">
            <w:pPr>
              <w:jc w:val="center"/>
              <w:rPr>
                <w:rFonts w:ascii="Arial" w:hAnsi="Arial"/>
                <w:b/>
                <w:color w:val="000000"/>
                <w:sz w:val="16"/>
              </w:rPr>
            </w:pPr>
            <w:r w:rsidRPr="00320102">
              <w:rPr>
                <w:rFonts w:ascii="Arial" w:hAnsi="Arial"/>
                <w:b/>
                <w:color w:val="000000"/>
                <w:sz w:val="16"/>
              </w:rPr>
              <w:t>Burden Hours</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2BB56CE" w14:textId="77777777" w:rsidR="00695AEC" w:rsidRPr="00320102" w:rsidRDefault="00695AEC" w:rsidP="00C62985">
            <w:pPr>
              <w:jc w:val="center"/>
              <w:rPr>
                <w:rFonts w:ascii="Arial" w:hAnsi="Arial"/>
                <w:b/>
                <w:color w:val="000000"/>
                <w:sz w:val="16"/>
              </w:rPr>
            </w:pPr>
            <w:r w:rsidRPr="00320102">
              <w:rPr>
                <w:rFonts w:ascii="Arial" w:hAnsi="Arial"/>
                <w:b/>
                <w:color w:val="000000"/>
                <w:sz w:val="16"/>
              </w:rPr>
              <w:t>Cost at $279/hr</w:t>
            </w:r>
          </w:p>
        </w:tc>
      </w:tr>
      <w:tr w:rsidR="00CD61DA" w:rsidRPr="00926F55" w14:paraId="1DFB33FA" w14:textId="77777777" w:rsidTr="002A048D">
        <w:trPr>
          <w:trHeight w:val="28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5720832C" w14:textId="77777777" w:rsidR="00695AEC" w:rsidRPr="00926F55" w:rsidRDefault="00695AEC" w:rsidP="00C62985">
            <w:pPr>
              <w:rPr>
                <w:rFonts w:ascii="Arial" w:hAnsi="Arial" w:cs="Arial"/>
                <w:color w:val="000000"/>
                <w:sz w:val="20"/>
              </w:rPr>
            </w:pPr>
            <w:r w:rsidRPr="00926F55">
              <w:rPr>
                <w:rFonts w:ascii="Arial" w:hAnsi="Arial" w:cs="Arial"/>
                <w:color w:val="000000"/>
                <w:sz w:val="20"/>
              </w:rPr>
              <w:t>110.7a(a)&amp;(b)</w:t>
            </w:r>
          </w:p>
        </w:tc>
        <w:tc>
          <w:tcPr>
            <w:tcW w:w="1530" w:type="dxa"/>
            <w:tcBorders>
              <w:top w:val="nil"/>
              <w:left w:val="single" w:sz="4" w:space="0" w:color="auto"/>
              <w:bottom w:val="single" w:sz="4" w:space="0" w:color="auto"/>
              <w:right w:val="single" w:sz="4" w:space="0" w:color="auto"/>
            </w:tcBorders>
            <w:shd w:val="clear" w:color="auto" w:fill="auto"/>
            <w:vAlign w:val="bottom"/>
          </w:tcPr>
          <w:p w14:paraId="15550647" w14:textId="77777777" w:rsidR="00695AEC" w:rsidRPr="005C5FCB" w:rsidRDefault="00C62985" w:rsidP="005C5FCB">
            <w:pPr>
              <w:rPr>
                <w:rFonts w:ascii="Arial" w:hAnsi="Arial" w:cs="Arial"/>
                <w:color w:val="000000"/>
                <w:sz w:val="16"/>
                <w:szCs w:val="16"/>
              </w:rPr>
            </w:pPr>
            <w:r w:rsidRPr="005C5FCB">
              <w:rPr>
                <w:rFonts w:ascii="Arial" w:hAnsi="Arial" w:cs="Arial"/>
                <w:color w:val="000000"/>
                <w:sz w:val="16"/>
                <w:szCs w:val="16"/>
              </w:rPr>
              <w:t>Accuracy of data and requirement to notify NRC of sub</w:t>
            </w:r>
            <w:r w:rsidR="005C5FCB" w:rsidRPr="005C5FCB">
              <w:rPr>
                <w:rFonts w:ascii="Arial" w:hAnsi="Arial" w:cs="Arial"/>
                <w:color w:val="000000"/>
                <w:sz w:val="16"/>
                <w:szCs w:val="16"/>
              </w:rPr>
              <w:t>s</w:t>
            </w:r>
            <w:r w:rsidRPr="005C5FCB">
              <w:rPr>
                <w:rFonts w:ascii="Arial" w:hAnsi="Arial" w:cs="Arial"/>
                <w:color w:val="000000"/>
                <w:sz w:val="16"/>
                <w:szCs w:val="16"/>
              </w:rPr>
              <w:t>tantive changes affecting public health and safety</w:t>
            </w:r>
          </w:p>
        </w:tc>
        <w:tc>
          <w:tcPr>
            <w:tcW w:w="1260" w:type="dxa"/>
            <w:tcBorders>
              <w:top w:val="nil"/>
              <w:left w:val="nil"/>
              <w:bottom w:val="single" w:sz="4" w:space="0" w:color="auto"/>
              <w:right w:val="single" w:sz="4" w:space="0" w:color="auto"/>
            </w:tcBorders>
            <w:shd w:val="clear" w:color="auto" w:fill="auto"/>
            <w:noWrap/>
            <w:vAlign w:val="bottom"/>
            <w:hideMark/>
          </w:tcPr>
          <w:p w14:paraId="79DE9CB8"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6C2F3142"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698198E6"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2BD3AD5C"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0.25</w:t>
            </w:r>
          </w:p>
        </w:tc>
        <w:tc>
          <w:tcPr>
            <w:tcW w:w="900" w:type="dxa"/>
            <w:tcBorders>
              <w:top w:val="nil"/>
              <w:left w:val="nil"/>
              <w:bottom w:val="single" w:sz="4" w:space="0" w:color="auto"/>
              <w:right w:val="single" w:sz="4" w:space="0" w:color="auto"/>
            </w:tcBorders>
            <w:shd w:val="clear" w:color="auto" w:fill="auto"/>
            <w:noWrap/>
            <w:vAlign w:val="bottom"/>
            <w:hideMark/>
          </w:tcPr>
          <w:p w14:paraId="72AE7B49"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w:t>
            </w:r>
          </w:p>
        </w:tc>
        <w:tc>
          <w:tcPr>
            <w:tcW w:w="1226" w:type="dxa"/>
            <w:tcBorders>
              <w:top w:val="nil"/>
              <w:left w:val="nil"/>
              <w:bottom w:val="single" w:sz="4" w:space="0" w:color="auto"/>
              <w:right w:val="single" w:sz="4" w:space="0" w:color="auto"/>
            </w:tcBorders>
            <w:shd w:val="clear" w:color="auto" w:fill="auto"/>
            <w:noWrap/>
            <w:vAlign w:val="bottom"/>
            <w:hideMark/>
          </w:tcPr>
          <w:p w14:paraId="2ABC89B2" w14:textId="77777777" w:rsidR="00695AEC" w:rsidRPr="00926F55" w:rsidRDefault="00695AEC" w:rsidP="00C62985">
            <w:pPr>
              <w:rPr>
                <w:rFonts w:ascii="Arial" w:hAnsi="Arial" w:cs="Arial"/>
                <w:color w:val="000000"/>
                <w:sz w:val="20"/>
              </w:rPr>
            </w:pPr>
            <w:r>
              <w:rPr>
                <w:rFonts w:ascii="Arial" w:hAnsi="Arial" w:cs="Arial"/>
                <w:color w:val="000000"/>
                <w:sz w:val="20"/>
              </w:rPr>
              <w:t xml:space="preserve"> $0                 </w:t>
            </w:r>
            <w:r w:rsidRPr="00926F55">
              <w:rPr>
                <w:rFonts w:ascii="Arial" w:hAnsi="Arial" w:cs="Arial"/>
                <w:color w:val="000000"/>
                <w:sz w:val="20"/>
              </w:rPr>
              <w:t xml:space="preserve">  </w:t>
            </w:r>
          </w:p>
        </w:tc>
      </w:tr>
      <w:tr w:rsidR="00695AEC" w:rsidRPr="00926F55" w14:paraId="5D35B04C" w14:textId="77777777" w:rsidTr="00320102">
        <w:trPr>
          <w:trHeight w:val="28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4905CE25" w14:textId="77777777" w:rsidR="00695AEC" w:rsidRPr="00926F55" w:rsidRDefault="00695AEC" w:rsidP="00C62985">
            <w:pPr>
              <w:rPr>
                <w:rFonts w:ascii="Arial" w:hAnsi="Arial" w:cs="Arial"/>
                <w:color w:val="000000"/>
                <w:sz w:val="20"/>
              </w:rPr>
            </w:pPr>
            <w:r w:rsidRPr="00926F55">
              <w:rPr>
                <w:rFonts w:ascii="Arial" w:hAnsi="Arial" w:cs="Arial"/>
                <w:color w:val="000000"/>
                <w:sz w:val="20"/>
              </w:rPr>
              <w:t>110.23(a)(5)(iii)</w:t>
            </w:r>
          </w:p>
        </w:tc>
        <w:tc>
          <w:tcPr>
            <w:tcW w:w="1530" w:type="dxa"/>
            <w:tcBorders>
              <w:top w:val="nil"/>
              <w:left w:val="single" w:sz="4" w:space="0" w:color="auto"/>
              <w:bottom w:val="single" w:sz="4" w:space="0" w:color="auto"/>
              <w:right w:val="single" w:sz="4" w:space="0" w:color="auto"/>
            </w:tcBorders>
            <w:shd w:val="clear" w:color="auto" w:fill="auto"/>
            <w:vAlign w:val="bottom"/>
          </w:tcPr>
          <w:p w14:paraId="7EC2307D" w14:textId="77777777" w:rsidR="00695AEC" w:rsidRPr="005C5FCB" w:rsidRDefault="00C62985" w:rsidP="00C62985">
            <w:pPr>
              <w:rPr>
                <w:rFonts w:ascii="Arial" w:hAnsi="Arial" w:cs="Arial"/>
                <w:color w:val="000000"/>
                <w:sz w:val="16"/>
                <w:szCs w:val="16"/>
              </w:rPr>
            </w:pPr>
            <w:r w:rsidRPr="005C5FCB">
              <w:rPr>
                <w:rFonts w:ascii="Arial" w:hAnsi="Arial" w:cs="Arial"/>
                <w:color w:val="000000"/>
                <w:sz w:val="16"/>
                <w:szCs w:val="16"/>
              </w:rPr>
              <w:t>Respondents exporting americium must also  comply with annual reporting requirements in 10 CFR 110.54(b)</w:t>
            </w:r>
          </w:p>
        </w:tc>
        <w:tc>
          <w:tcPr>
            <w:tcW w:w="7076"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CB1D73" w14:textId="77777777" w:rsidR="00695AEC" w:rsidRPr="00926F55" w:rsidRDefault="00695AEC" w:rsidP="00C62985">
            <w:pPr>
              <w:rPr>
                <w:rFonts w:ascii="Arial" w:hAnsi="Arial" w:cs="Arial"/>
                <w:color w:val="000000"/>
                <w:sz w:val="20"/>
              </w:rPr>
            </w:pPr>
            <w:r>
              <w:rPr>
                <w:rFonts w:ascii="Arial" w:hAnsi="Arial" w:cs="Arial"/>
                <w:color w:val="000000"/>
                <w:sz w:val="20"/>
              </w:rPr>
              <w:t>I</w:t>
            </w:r>
            <w:r w:rsidRPr="00926F55">
              <w:rPr>
                <w:rFonts w:ascii="Arial" w:hAnsi="Arial" w:cs="Arial"/>
                <w:color w:val="000000"/>
                <w:sz w:val="20"/>
              </w:rPr>
              <w:t>ncluded in 110.54(b)</w:t>
            </w:r>
          </w:p>
        </w:tc>
      </w:tr>
      <w:tr w:rsidR="00695AEC" w:rsidRPr="00926F55" w14:paraId="5E44FAB7" w14:textId="77777777" w:rsidTr="00320102">
        <w:trPr>
          <w:trHeight w:val="300"/>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6FB9469F" w14:textId="77777777" w:rsidR="00695AEC" w:rsidRPr="00926F55" w:rsidRDefault="00695AEC" w:rsidP="00C62985">
            <w:pPr>
              <w:rPr>
                <w:rFonts w:ascii="Arial" w:hAnsi="Arial" w:cs="Arial"/>
                <w:color w:val="000000"/>
                <w:sz w:val="20"/>
              </w:rPr>
            </w:pPr>
            <w:r w:rsidRPr="00926F55">
              <w:rPr>
                <w:rFonts w:ascii="Arial" w:hAnsi="Arial" w:cs="Arial"/>
                <w:color w:val="000000"/>
                <w:sz w:val="20"/>
              </w:rPr>
              <w:t>110.23(a)(6)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1D73AFF" w14:textId="77777777" w:rsidR="00695AEC" w:rsidRPr="005C5FCB" w:rsidRDefault="005C5FCB" w:rsidP="005C5FCB">
            <w:pPr>
              <w:rPr>
                <w:rFonts w:ascii="Arial" w:hAnsi="Arial" w:cs="Arial"/>
                <w:color w:val="000000"/>
                <w:sz w:val="16"/>
                <w:szCs w:val="16"/>
              </w:rPr>
            </w:pPr>
            <w:r w:rsidRPr="005C5FCB">
              <w:rPr>
                <w:rFonts w:ascii="Arial" w:hAnsi="Arial" w:cs="Arial"/>
                <w:color w:val="000000"/>
                <w:sz w:val="16"/>
                <w:szCs w:val="16"/>
              </w:rPr>
              <w:t xml:space="preserve">1- </w:t>
            </w:r>
            <w:r w:rsidR="00C62985" w:rsidRPr="005C5FCB">
              <w:rPr>
                <w:rFonts w:ascii="Arial" w:hAnsi="Arial" w:cs="Arial"/>
                <w:color w:val="000000"/>
                <w:sz w:val="16"/>
                <w:szCs w:val="16"/>
              </w:rPr>
              <w:t xml:space="preserve">Establishes per </w:t>
            </w:r>
            <w:r w:rsidRPr="005C5FCB">
              <w:rPr>
                <w:rFonts w:ascii="Arial" w:hAnsi="Arial" w:cs="Arial"/>
                <w:color w:val="000000"/>
                <w:sz w:val="16"/>
                <w:szCs w:val="16"/>
              </w:rPr>
              <w:t xml:space="preserve">shipment, per country and per year </w:t>
            </w:r>
            <w:r w:rsidR="00C62985" w:rsidRPr="005C5FCB">
              <w:rPr>
                <w:rFonts w:ascii="Arial" w:hAnsi="Arial" w:cs="Arial"/>
                <w:color w:val="000000"/>
                <w:sz w:val="16"/>
                <w:szCs w:val="16"/>
              </w:rPr>
              <w:t>limitations on shipments of neptunium, and</w:t>
            </w:r>
            <w:r w:rsidRPr="005C5FCB">
              <w:rPr>
                <w:rFonts w:ascii="Arial" w:hAnsi="Arial" w:cs="Arial"/>
                <w:color w:val="000000"/>
                <w:sz w:val="16"/>
                <w:szCs w:val="16"/>
              </w:rPr>
              <w:t>; 2-</w:t>
            </w:r>
            <w:r w:rsidR="00C62985" w:rsidRPr="005C5FCB">
              <w:rPr>
                <w:rFonts w:ascii="Arial" w:hAnsi="Arial" w:cs="Arial"/>
                <w:color w:val="000000"/>
                <w:sz w:val="16"/>
                <w:szCs w:val="16"/>
              </w:rPr>
              <w:t xml:space="preserve"> respondents exporting neptunium must also comply with annual reporting requirements in 10 CFR</w:t>
            </w:r>
            <w:r>
              <w:rPr>
                <w:rFonts w:ascii="Arial" w:hAnsi="Arial" w:cs="Arial"/>
                <w:color w:val="000000"/>
                <w:sz w:val="16"/>
                <w:szCs w:val="16"/>
              </w:rPr>
              <w:t xml:space="preserve"> </w:t>
            </w:r>
            <w:r w:rsidR="00C62985" w:rsidRPr="005C5FCB">
              <w:rPr>
                <w:rFonts w:ascii="Arial" w:hAnsi="Arial" w:cs="Arial"/>
                <w:color w:val="000000"/>
                <w:sz w:val="16"/>
                <w:szCs w:val="16"/>
              </w:rPr>
              <w:t>110.54(b)</w:t>
            </w:r>
          </w:p>
        </w:tc>
        <w:tc>
          <w:tcPr>
            <w:tcW w:w="7076"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FF1E95" w14:textId="77777777" w:rsidR="00695AEC" w:rsidRPr="00926F55" w:rsidRDefault="00695AEC" w:rsidP="00C62985">
            <w:pPr>
              <w:rPr>
                <w:rFonts w:ascii="Arial" w:hAnsi="Arial" w:cs="Arial"/>
                <w:color w:val="000000"/>
                <w:sz w:val="20"/>
              </w:rPr>
            </w:pPr>
            <w:r>
              <w:rPr>
                <w:rFonts w:ascii="Arial" w:hAnsi="Arial" w:cs="Arial"/>
                <w:color w:val="000000"/>
                <w:sz w:val="20"/>
              </w:rPr>
              <w:t>I</w:t>
            </w:r>
            <w:r w:rsidRPr="00926F55">
              <w:rPr>
                <w:rFonts w:ascii="Arial" w:hAnsi="Arial" w:cs="Arial"/>
                <w:color w:val="000000"/>
                <w:sz w:val="20"/>
              </w:rPr>
              <w:t>ncluded in 110.54(b)</w:t>
            </w:r>
          </w:p>
        </w:tc>
      </w:tr>
      <w:tr w:rsidR="00695AEC" w:rsidRPr="00926F55" w14:paraId="6306E0E3" w14:textId="77777777" w:rsidTr="00320102">
        <w:trPr>
          <w:trHeight w:val="28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17532E5A" w14:textId="77777777" w:rsidR="00695AEC" w:rsidRPr="00926F55" w:rsidRDefault="00695AEC" w:rsidP="00496218">
            <w:pPr>
              <w:rPr>
                <w:rFonts w:ascii="Arial" w:hAnsi="Arial" w:cs="Arial"/>
                <w:color w:val="000000"/>
                <w:sz w:val="20"/>
              </w:rPr>
            </w:pPr>
            <w:r w:rsidRPr="00926F55">
              <w:rPr>
                <w:rFonts w:ascii="Arial" w:hAnsi="Arial" w:cs="Arial"/>
                <w:color w:val="000000"/>
                <w:sz w:val="20"/>
              </w:rPr>
              <w:t>110.26</w:t>
            </w:r>
            <w:r>
              <w:rPr>
                <w:rFonts w:ascii="Arial" w:hAnsi="Arial" w:cs="Arial"/>
                <w:color w:val="000000"/>
                <w:sz w:val="20"/>
              </w:rPr>
              <w:t>(a)-(</w:t>
            </w:r>
            <w:r w:rsidRPr="00926F55">
              <w:rPr>
                <w:rFonts w:ascii="Arial" w:hAnsi="Arial" w:cs="Arial"/>
                <w:color w:val="000000"/>
                <w:sz w:val="20"/>
              </w:rPr>
              <w:t>e)</w:t>
            </w:r>
          </w:p>
        </w:tc>
        <w:tc>
          <w:tcPr>
            <w:tcW w:w="1530" w:type="dxa"/>
            <w:tcBorders>
              <w:top w:val="nil"/>
              <w:left w:val="single" w:sz="4" w:space="0" w:color="auto"/>
              <w:bottom w:val="single" w:sz="4" w:space="0" w:color="auto"/>
              <w:right w:val="single" w:sz="4" w:space="0" w:color="auto"/>
            </w:tcBorders>
            <w:shd w:val="clear" w:color="auto" w:fill="auto"/>
            <w:vAlign w:val="bottom"/>
          </w:tcPr>
          <w:p w14:paraId="6D25ED70" w14:textId="77777777" w:rsidR="00695AEC" w:rsidRPr="005C5FCB" w:rsidRDefault="005C5FCB" w:rsidP="005C5FCB">
            <w:pPr>
              <w:rPr>
                <w:rFonts w:ascii="Arial" w:hAnsi="Arial" w:cs="Arial"/>
                <w:color w:val="000000"/>
                <w:sz w:val="16"/>
                <w:szCs w:val="16"/>
              </w:rPr>
            </w:pPr>
            <w:r w:rsidRPr="005C5FCB">
              <w:rPr>
                <w:rFonts w:ascii="Arial" w:hAnsi="Arial" w:cs="Arial"/>
                <w:color w:val="000000"/>
                <w:sz w:val="16"/>
                <w:szCs w:val="16"/>
              </w:rPr>
              <w:t xml:space="preserve">Describes scope of the general license for exports of nuclear reactor components and the annual reporting requirement </w:t>
            </w:r>
          </w:p>
        </w:tc>
        <w:tc>
          <w:tcPr>
            <w:tcW w:w="7076" w:type="dxa"/>
            <w:gridSpan w:val="6"/>
            <w:tcBorders>
              <w:top w:val="single" w:sz="4" w:space="0" w:color="auto"/>
              <w:left w:val="nil"/>
              <w:bottom w:val="single" w:sz="4" w:space="0" w:color="auto"/>
              <w:right w:val="single" w:sz="4" w:space="0" w:color="auto"/>
            </w:tcBorders>
            <w:shd w:val="clear" w:color="auto" w:fill="auto"/>
            <w:noWrap/>
            <w:vAlign w:val="bottom"/>
            <w:hideMark/>
          </w:tcPr>
          <w:p w14:paraId="6312CB1C" w14:textId="77777777" w:rsidR="00695AEC" w:rsidRPr="00926F55" w:rsidRDefault="00695AEC" w:rsidP="00C62985">
            <w:pPr>
              <w:rPr>
                <w:rFonts w:ascii="Arial" w:hAnsi="Arial" w:cs="Arial"/>
                <w:color w:val="000000"/>
                <w:sz w:val="20"/>
              </w:rPr>
            </w:pPr>
            <w:r>
              <w:rPr>
                <w:rFonts w:ascii="Arial" w:hAnsi="Arial" w:cs="Arial"/>
                <w:color w:val="000000"/>
                <w:sz w:val="20"/>
              </w:rPr>
              <w:t>I</w:t>
            </w:r>
            <w:r w:rsidRPr="00926F55">
              <w:rPr>
                <w:rFonts w:ascii="Arial" w:hAnsi="Arial" w:cs="Arial"/>
                <w:color w:val="000000"/>
                <w:sz w:val="20"/>
              </w:rPr>
              <w:t>ncluded in 110.54(c)</w:t>
            </w:r>
          </w:p>
        </w:tc>
      </w:tr>
      <w:tr w:rsidR="00CD61DA" w:rsidRPr="00926F55" w14:paraId="24A8185E" w14:textId="77777777" w:rsidTr="002A048D">
        <w:trPr>
          <w:trHeight w:val="28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19EE5E00" w14:textId="77777777" w:rsidR="00695AEC" w:rsidRPr="00926F55" w:rsidRDefault="00695AEC" w:rsidP="00C62985">
            <w:pPr>
              <w:rPr>
                <w:rFonts w:ascii="Arial" w:hAnsi="Arial" w:cs="Arial"/>
                <w:color w:val="000000"/>
                <w:sz w:val="20"/>
              </w:rPr>
            </w:pPr>
            <w:r w:rsidRPr="00926F55">
              <w:rPr>
                <w:rFonts w:ascii="Arial" w:hAnsi="Arial" w:cs="Arial"/>
                <w:color w:val="000000"/>
                <w:sz w:val="20"/>
              </w:rPr>
              <w:t>110.50(a)(8)</w:t>
            </w:r>
          </w:p>
        </w:tc>
        <w:tc>
          <w:tcPr>
            <w:tcW w:w="1530" w:type="dxa"/>
            <w:tcBorders>
              <w:top w:val="nil"/>
              <w:left w:val="single" w:sz="4" w:space="0" w:color="auto"/>
              <w:bottom w:val="single" w:sz="4" w:space="0" w:color="auto"/>
              <w:right w:val="single" w:sz="4" w:space="0" w:color="auto"/>
            </w:tcBorders>
            <w:shd w:val="clear" w:color="auto" w:fill="auto"/>
            <w:vAlign w:val="bottom"/>
          </w:tcPr>
          <w:p w14:paraId="6898F14D" w14:textId="77777777" w:rsidR="00695AEC" w:rsidRPr="00FC175B" w:rsidRDefault="00FC175B" w:rsidP="00C62985">
            <w:pPr>
              <w:rPr>
                <w:rFonts w:ascii="Arial" w:hAnsi="Arial" w:cs="Arial"/>
                <w:color w:val="000000"/>
                <w:sz w:val="16"/>
                <w:szCs w:val="16"/>
              </w:rPr>
            </w:pPr>
            <w:r>
              <w:rPr>
                <w:rFonts w:ascii="Arial" w:hAnsi="Arial" w:cs="Arial"/>
                <w:color w:val="000000"/>
                <w:sz w:val="16"/>
                <w:szCs w:val="16"/>
              </w:rPr>
              <w:t>Requirement to notify the Commission if they believe packaging requirements of part 71 have not been met</w:t>
            </w:r>
          </w:p>
        </w:tc>
        <w:tc>
          <w:tcPr>
            <w:tcW w:w="1260" w:type="dxa"/>
            <w:tcBorders>
              <w:top w:val="nil"/>
              <w:left w:val="nil"/>
              <w:bottom w:val="single" w:sz="4" w:space="0" w:color="auto"/>
              <w:right w:val="single" w:sz="4" w:space="0" w:color="auto"/>
            </w:tcBorders>
            <w:shd w:val="clear" w:color="auto" w:fill="auto"/>
            <w:noWrap/>
            <w:vAlign w:val="bottom"/>
            <w:hideMark/>
          </w:tcPr>
          <w:p w14:paraId="4E6E05DE"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6DE3E8E4"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5B6A6B76"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1CA978CB"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0.5</w:t>
            </w:r>
          </w:p>
        </w:tc>
        <w:tc>
          <w:tcPr>
            <w:tcW w:w="900" w:type="dxa"/>
            <w:tcBorders>
              <w:top w:val="nil"/>
              <w:left w:val="nil"/>
              <w:bottom w:val="single" w:sz="4" w:space="0" w:color="auto"/>
              <w:right w:val="single" w:sz="4" w:space="0" w:color="auto"/>
            </w:tcBorders>
            <w:shd w:val="clear" w:color="auto" w:fill="auto"/>
            <w:noWrap/>
            <w:vAlign w:val="bottom"/>
            <w:hideMark/>
          </w:tcPr>
          <w:p w14:paraId="2C8BBEF1"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0.5</w:t>
            </w:r>
          </w:p>
        </w:tc>
        <w:tc>
          <w:tcPr>
            <w:tcW w:w="1226" w:type="dxa"/>
            <w:tcBorders>
              <w:top w:val="nil"/>
              <w:left w:val="nil"/>
              <w:bottom w:val="single" w:sz="4" w:space="0" w:color="auto"/>
              <w:right w:val="single" w:sz="4" w:space="0" w:color="auto"/>
            </w:tcBorders>
            <w:shd w:val="clear" w:color="auto" w:fill="auto"/>
            <w:noWrap/>
            <w:vAlign w:val="bottom"/>
            <w:hideMark/>
          </w:tcPr>
          <w:p w14:paraId="0828EA10" w14:textId="0FA5289B" w:rsidR="00695AEC" w:rsidRPr="00926F55" w:rsidRDefault="00695AEC" w:rsidP="00695AEC">
            <w:pPr>
              <w:rPr>
                <w:rFonts w:ascii="Arial" w:hAnsi="Arial" w:cs="Arial"/>
                <w:color w:val="000000"/>
                <w:sz w:val="20"/>
              </w:rPr>
            </w:pPr>
            <w:r w:rsidRPr="00926F55">
              <w:rPr>
                <w:rFonts w:ascii="Arial" w:hAnsi="Arial" w:cs="Arial"/>
                <w:color w:val="000000"/>
                <w:sz w:val="20"/>
              </w:rPr>
              <w:t xml:space="preserve">$  </w:t>
            </w:r>
            <w:r>
              <w:rPr>
                <w:rFonts w:ascii="Arial" w:hAnsi="Arial" w:cs="Arial"/>
                <w:color w:val="000000"/>
                <w:sz w:val="20"/>
              </w:rPr>
              <w:t xml:space="preserve">  140</w:t>
            </w:r>
            <w:r w:rsidRPr="00926F55">
              <w:rPr>
                <w:rFonts w:ascii="Arial" w:hAnsi="Arial" w:cs="Arial"/>
                <w:color w:val="000000"/>
                <w:sz w:val="20"/>
              </w:rPr>
              <w:t xml:space="preserve">            </w:t>
            </w:r>
          </w:p>
        </w:tc>
      </w:tr>
      <w:tr w:rsidR="00CD61DA" w:rsidRPr="00926F55" w14:paraId="0B997145" w14:textId="77777777" w:rsidTr="002A048D">
        <w:trPr>
          <w:trHeight w:val="285"/>
        </w:trPr>
        <w:tc>
          <w:tcPr>
            <w:tcW w:w="1612" w:type="dxa"/>
            <w:tcBorders>
              <w:top w:val="nil"/>
              <w:left w:val="single" w:sz="4" w:space="0" w:color="auto"/>
              <w:bottom w:val="single" w:sz="4" w:space="0" w:color="auto"/>
              <w:right w:val="single" w:sz="4" w:space="0" w:color="auto"/>
            </w:tcBorders>
            <w:shd w:val="clear" w:color="auto" w:fill="auto"/>
            <w:vAlign w:val="bottom"/>
          </w:tcPr>
          <w:p w14:paraId="5FBB9C99" w14:textId="77777777" w:rsidR="00695AEC" w:rsidRPr="00926F55" w:rsidRDefault="00695AEC" w:rsidP="00C62985">
            <w:pPr>
              <w:rPr>
                <w:rFonts w:ascii="Arial" w:hAnsi="Arial" w:cs="Arial"/>
                <w:color w:val="000000"/>
                <w:sz w:val="20"/>
              </w:rPr>
            </w:pPr>
            <w:r w:rsidRPr="00926F55">
              <w:rPr>
                <w:rFonts w:ascii="Arial" w:hAnsi="Arial" w:cs="Arial"/>
                <w:color w:val="000000"/>
                <w:sz w:val="20"/>
              </w:rPr>
              <w:t>110.50(b)(3</w:t>
            </w:r>
            <w:r>
              <w:rPr>
                <w:rFonts w:ascii="Arial" w:hAnsi="Arial" w:cs="Arial"/>
                <w:color w:val="000000"/>
                <w:sz w:val="20"/>
              </w:rPr>
              <w:t>)</w:t>
            </w:r>
          </w:p>
        </w:tc>
        <w:tc>
          <w:tcPr>
            <w:tcW w:w="1530" w:type="dxa"/>
            <w:tcBorders>
              <w:top w:val="nil"/>
              <w:left w:val="single" w:sz="4" w:space="0" w:color="auto"/>
              <w:bottom w:val="single" w:sz="4" w:space="0" w:color="auto"/>
              <w:right w:val="single" w:sz="4" w:space="0" w:color="auto"/>
            </w:tcBorders>
            <w:shd w:val="clear" w:color="auto" w:fill="auto"/>
            <w:vAlign w:val="bottom"/>
          </w:tcPr>
          <w:p w14:paraId="3B737A3D" w14:textId="77777777" w:rsidR="00695AEC" w:rsidRPr="00FC175B" w:rsidRDefault="00FC175B" w:rsidP="00FC175B">
            <w:pPr>
              <w:rPr>
                <w:rFonts w:ascii="Arial" w:hAnsi="Arial" w:cs="Arial"/>
                <w:color w:val="000000"/>
                <w:sz w:val="16"/>
                <w:szCs w:val="16"/>
              </w:rPr>
            </w:pPr>
            <w:r>
              <w:rPr>
                <w:rFonts w:ascii="Arial" w:hAnsi="Arial" w:cs="Arial"/>
                <w:color w:val="000000"/>
                <w:sz w:val="16"/>
                <w:szCs w:val="16"/>
              </w:rPr>
              <w:t>Procedures for exports with foreign obligations attached to the material</w:t>
            </w:r>
          </w:p>
        </w:tc>
        <w:tc>
          <w:tcPr>
            <w:tcW w:w="1260" w:type="dxa"/>
            <w:tcBorders>
              <w:top w:val="nil"/>
              <w:left w:val="nil"/>
              <w:bottom w:val="single" w:sz="4" w:space="0" w:color="auto"/>
              <w:right w:val="single" w:sz="4" w:space="0" w:color="auto"/>
            </w:tcBorders>
            <w:shd w:val="clear" w:color="auto" w:fill="auto"/>
            <w:noWrap/>
            <w:vAlign w:val="bottom"/>
          </w:tcPr>
          <w:p w14:paraId="58255C23" w14:textId="77777777" w:rsidR="00695AEC" w:rsidRPr="00926F55" w:rsidRDefault="00695AEC" w:rsidP="00C62985">
            <w:pPr>
              <w:jc w:val="right"/>
              <w:rPr>
                <w:rFonts w:ascii="Arial" w:hAnsi="Arial" w:cs="Arial"/>
                <w:color w:val="000000"/>
                <w:sz w:val="20"/>
              </w:rPr>
            </w:pPr>
            <w:r>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tcPr>
          <w:p w14:paraId="2C4C8CB9" w14:textId="77777777" w:rsidR="00695AEC" w:rsidRPr="00926F55" w:rsidRDefault="00695AEC" w:rsidP="00C62985">
            <w:pPr>
              <w:jc w:val="right"/>
              <w:rPr>
                <w:rFonts w:ascii="Arial" w:hAnsi="Arial" w:cs="Arial"/>
                <w:color w:val="000000"/>
                <w:sz w:val="20"/>
              </w:rPr>
            </w:pPr>
            <w:r>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tcPr>
          <w:p w14:paraId="0FBF5F2A" w14:textId="77777777" w:rsidR="00695AEC" w:rsidRPr="00926F55" w:rsidRDefault="00695AEC" w:rsidP="00C62985">
            <w:pPr>
              <w:jc w:val="right"/>
              <w:rPr>
                <w:rFonts w:ascii="Arial" w:hAnsi="Arial" w:cs="Arial"/>
                <w:color w:val="000000"/>
                <w:sz w:val="20"/>
              </w:rPr>
            </w:pPr>
            <w:r>
              <w:rPr>
                <w:rFonts w:ascii="Arial" w:hAnsi="Arial" w:cs="Arial"/>
                <w:color w:val="000000"/>
                <w:sz w:val="20"/>
              </w:rPr>
              <w:t>15</w:t>
            </w:r>
          </w:p>
        </w:tc>
        <w:tc>
          <w:tcPr>
            <w:tcW w:w="1260" w:type="dxa"/>
            <w:tcBorders>
              <w:top w:val="nil"/>
              <w:left w:val="nil"/>
              <w:bottom w:val="single" w:sz="4" w:space="0" w:color="auto"/>
              <w:right w:val="single" w:sz="4" w:space="0" w:color="auto"/>
            </w:tcBorders>
            <w:shd w:val="clear" w:color="auto" w:fill="auto"/>
            <w:noWrap/>
            <w:vAlign w:val="bottom"/>
          </w:tcPr>
          <w:p w14:paraId="3BB28C73" w14:textId="77777777" w:rsidR="00695AEC" w:rsidRPr="00926F55" w:rsidRDefault="00695AEC" w:rsidP="00C62985">
            <w:pPr>
              <w:jc w:val="right"/>
              <w:rPr>
                <w:rFonts w:ascii="Arial" w:hAnsi="Arial" w:cs="Arial"/>
                <w:color w:val="000000"/>
                <w:sz w:val="20"/>
              </w:rPr>
            </w:pPr>
            <w:r>
              <w:rPr>
                <w:rFonts w:ascii="Arial" w:hAnsi="Arial" w:cs="Arial"/>
                <w:color w:val="000000"/>
                <w:sz w:val="20"/>
              </w:rPr>
              <w:t>1</w:t>
            </w:r>
          </w:p>
        </w:tc>
        <w:tc>
          <w:tcPr>
            <w:tcW w:w="900" w:type="dxa"/>
            <w:tcBorders>
              <w:top w:val="nil"/>
              <w:left w:val="nil"/>
              <w:bottom w:val="single" w:sz="4" w:space="0" w:color="auto"/>
              <w:right w:val="single" w:sz="4" w:space="0" w:color="auto"/>
            </w:tcBorders>
            <w:shd w:val="clear" w:color="auto" w:fill="auto"/>
            <w:noWrap/>
            <w:vAlign w:val="bottom"/>
          </w:tcPr>
          <w:p w14:paraId="4BC2E87A" w14:textId="77777777" w:rsidR="00695AEC" w:rsidRPr="00926F55" w:rsidRDefault="00695AEC" w:rsidP="00C62985">
            <w:pPr>
              <w:jc w:val="right"/>
              <w:rPr>
                <w:rFonts w:ascii="Arial" w:hAnsi="Arial" w:cs="Arial"/>
                <w:color w:val="000000"/>
                <w:sz w:val="20"/>
              </w:rPr>
            </w:pPr>
            <w:r>
              <w:rPr>
                <w:rFonts w:ascii="Arial" w:hAnsi="Arial" w:cs="Arial"/>
                <w:color w:val="000000"/>
                <w:sz w:val="20"/>
              </w:rPr>
              <w:t>15</w:t>
            </w:r>
          </w:p>
        </w:tc>
        <w:tc>
          <w:tcPr>
            <w:tcW w:w="1226" w:type="dxa"/>
            <w:tcBorders>
              <w:top w:val="nil"/>
              <w:left w:val="nil"/>
              <w:bottom w:val="single" w:sz="4" w:space="0" w:color="auto"/>
              <w:right w:val="single" w:sz="4" w:space="0" w:color="auto"/>
            </w:tcBorders>
            <w:shd w:val="clear" w:color="auto" w:fill="auto"/>
            <w:noWrap/>
            <w:vAlign w:val="bottom"/>
          </w:tcPr>
          <w:p w14:paraId="0F5D5BDA" w14:textId="4E137CAD" w:rsidR="00695AEC" w:rsidRPr="00926F55" w:rsidRDefault="00695AEC" w:rsidP="00695AEC">
            <w:pPr>
              <w:rPr>
                <w:rFonts w:ascii="Arial" w:hAnsi="Arial" w:cs="Arial"/>
                <w:color w:val="000000"/>
                <w:sz w:val="20"/>
              </w:rPr>
            </w:pPr>
            <w:r>
              <w:rPr>
                <w:rFonts w:ascii="Arial" w:hAnsi="Arial" w:cs="Arial"/>
                <w:color w:val="000000"/>
                <w:sz w:val="20"/>
              </w:rPr>
              <w:t>$ 4,185</w:t>
            </w:r>
          </w:p>
        </w:tc>
      </w:tr>
      <w:tr w:rsidR="00CD61DA" w:rsidRPr="00926F55" w14:paraId="665D4780" w14:textId="77777777" w:rsidTr="002A048D">
        <w:trPr>
          <w:trHeight w:val="30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189B2AF4" w14:textId="77777777" w:rsidR="00FC175B" w:rsidRPr="00926F55" w:rsidRDefault="00FC175B" w:rsidP="00C62985">
            <w:pPr>
              <w:rPr>
                <w:rFonts w:ascii="Arial" w:hAnsi="Arial" w:cs="Arial"/>
                <w:color w:val="000000"/>
                <w:sz w:val="20"/>
              </w:rPr>
            </w:pPr>
            <w:r w:rsidRPr="00926F55">
              <w:rPr>
                <w:rFonts w:ascii="Arial" w:hAnsi="Arial" w:cs="Arial"/>
                <w:color w:val="000000"/>
                <w:sz w:val="20"/>
              </w:rPr>
              <w:t>110.50(c) - no form</w:t>
            </w:r>
          </w:p>
        </w:tc>
        <w:tc>
          <w:tcPr>
            <w:tcW w:w="1530" w:type="dxa"/>
            <w:vMerge w:val="restart"/>
            <w:tcBorders>
              <w:top w:val="nil"/>
              <w:left w:val="single" w:sz="4" w:space="0" w:color="auto"/>
              <w:right w:val="single" w:sz="4" w:space="0" w:color="auto"/>
            </w:tcBorders>
            <w:shd w:val="clear" w:color="auto" w:fill="auto"/>
            <w:vAlign w:val="bottom"/>
          </w:tcPr>
          <w:p w14:paraId="13CB7FAD" w14:textId="77777777" w:rsidR="00FC175B" w:rsidRPr="00FC175B" w:rsidRDefault="00FC175B" w:rsidP="00FC175B">
            <w:pPr>
              <w:rPr>
                <w:rFonts w:ascii="Arial" w:hAnsi="Arial" w:cs="Arial"/>
                <w:color w:val="000000"/>
                <w:sz w:val="16"/>
                <w:szCs w:val="16"/>
              </w:rPr>
            </w:pPr>
            <w:r>
              <w:rPr>
                <w:rFonts w:ascii="Arial" w:hAnsi="Arial" w:cs="Arial"/>
                <w:color w:val="000000"/>
                <w:sz w:val="16"/>
                <w:szCs w:val="16"/>
              </w:rPr>
              <w:t>Identifies the data elements and timing of submitting advanced notifications of shipments</w:t>
            </w:r>
          </w:p>
        </w:tc>
        <w:tc>
          <w:tcPr>
            <w:tcW w:w="1260" w:type="dxa"/>
            <w:tcBorders>
              <w:top w:val="nil"/>
              <w:left w:val="nil"/>
              <w:bottom w:val="single" w:sz="4" w:space="0" w:color="auto"/>
              <w:right w:val="single" w:sz="4" w:space="0" w:color="auto"/>
            </w:tcBorders>
            <w:shd w:val="clear" w:color="auto" w:fill="auto"/>
            <w:noWrap/>
            <w:vAlign w:val="bottom"/>
            <w:hideMark/>
          </w:tcPr>
          <w:p w14:paraId="00EDC9B2" w14:textId="77777777" w:rsidR="00FC175B" w:rsidRPr="00926F55" w:rsidRDefault="00FC175B" w:rsidP="00C62985">
            <w:pPr>
              <w:jc w:val="right"/>
              <w:rPr>
                <w:rFonts w:ascii="Arial" w:hAnsi="Arial" w:cs="Arial"/>
                <w:color w:val="000000"/>
                <w:sz w:val="20"/>
              </w:rPr>
            </w:pPr>
            <w:r>
              <w:rPr>
                <w:rFonts w:ascii="Arial" w:hAnsi="Arial" w:cs="Arial"/>
                <w:color w:val="000000"/>
                <w:sz w:val="20"/>
              </w:rPr>
              <w:t>39</w:t>
            </w:r>
          </w:p>
        </w:tc>
        <w:tc>
          <w:tcPr>
            <w:tcW w:w="1260" w:type="dxa"/>
            <w:tcBorders>
              <w:top w:val="nil"/>
              <w:left w:val="nil"/>
              <w:bottom w:val="single" w:sz="4" w:space="0" w:color="auto"/>
              <w:right w:val="single" w:sz="4" w:space="0" w:color="auto"/>
            </w:tcBorders>
            <w:shd w:val="clear" w:color="auto" w:fill="auto"/>
            <w:noWrap/>
            <w:vAlign w:val="bottom"/>
            <w:hideMark/>
          </w:tcPr>
          <w:p w14:paraId="3D5F6DD5" w14:textId="77777777" w:rsidR="00FC175B" w:rsidRPr="00926F55" w:rsidRDefault="00FC175B" w:rsidP="00C62985">
            <w:pPr>
              <w:jc w:val="right"/>
              <w:rPr>
                <w:rFonts w:ascii="Arial" w:hAnsi="Arial" w:cs="Arial"/>
                <w:color w:val="000000"/>
                <w:sz w:val="20"/>
              </w:rPr>
            </w:pPr>
            <w:r>
              <w:rPr>
                <w:rFonts w:ascii="Arial" w:hAnsi="Arial" w:cs="Arial"/>
                <w:color w:val="000000"/>
                <w:sz w:val="20"/>
              </w:rPr>
              <w:t>5</w:t>
            </w:r>
          </w:p>
        </w:tc>
        <w:tc>
          <w:tcPr>
            <w:tcW w:w="1170" w:type="dxa"/>
            <w:tcBorders>
              <w:top w:val="nil"/>
              <w:left w:val="nil"/>
              <w:bottom w:val="single" w:sz="4" w:space="0" w:color="auto"/>
              <w:right w:val="single" w:sz="4" w:space="0" w:color="auto"/>
            </w:tcBorders>
            <w:shd w:val="clear" w:color="auto" w:fill="auto"/>
            <w:noWrap/>
            <w:vAlign w:val="bottom"/>
            <w:hideMark/>
          </w:tcPr>
          <w:p w14:paraId="110558C1" w14:textId="77777777" w:rsidR="00FC175B" w:rsidRPr="00926F55" w:rsidRDefault="00FC175B" w:rsidP="00C62985">
            <w:pPr>
              <w:jc w:val="right"/>
              <w:rPr>
                <w:rFonts w:ascii="Arial" w:hAnsi="Arial" w:cs="Arial"/>
                <w:color w:val="000000"/>
                <w:sz w:val="20"/>
              </w:rPr>
            </w:pPr>
            <w:r>
              <w:rPr>
                <w:rFonts w:ascii="Arial" w:hAnsi="Arial" w:cs="Arial"/>
                <w:color w:val="000000"/>
                <w:sz w:val="20"/>
              </w:rPr>
              <w:t>195</w:t>
            </w:r>
          </w:p>
        </w:tc>
        <w:tc>
          <w:tcPr>
            <w:tcW w:w="1260" w:type="dxa"/>
            <w:tcBorders>
              <w:top w:val="nil"/>
              <w:left w:val="nil"/>
              <w:bottom w:val="single" w:sz="4" w:space="0" w:color="auto"/>
              <w:right w:val="single" w:sz="4" w:space="0" w:color="auto"/>
            </w:tcBorders>
            <w:shd w:val="clear" w:color="auto" w:fill="auto"/>
            <w:noWrap/>
            <w:vAlign w:val="bottom"/>
            <w:hideMark/>
          </w:tcPr>
          <w:p w14:paraId="152A90EC" w14:textId="77777777" w:rsidR="00FC175B" w:rsidRPr="00926F55" w:rsidRDefault="00FC175B" w:rsidP="00C62985">
            <w:pPr>
              <w:jc w:val="right"/>
              <w:rPr>
                <w:rFonts w:ascii="Arial" w:hAnsi="Arial" w:cs="Arial"/>
                <w:color w:val="000000"/>
                <w:sz w:val="20"/>
              </w:rPr>
            </w:pPr>
            <w:r w:rsidRPr="00926F55">
              <w:rPr>
                <w:rFonts w:ascii="Arial" w:hAnsi="Arial" w:cs="Arial"/>
                <w:color w:val="000000"/>
                <w:sz w:val="20"/>
              </w:rPr>
              <w:t>0.</w:t>
            </w:r>
            <w:r>
              <w:rPr>
                <w:rFonts w:ascii="Arial" w:hAnsi="Arial" w:cs="Arial"/>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1D06790A" w14:textId="77777777" w:rsidR="00FC175B" w:rsidRPr="00926F55" w:rsidRDefault="00FC175B" w:rsidP="00C62985">
            <w:pPr>
              <w:jc w:val="right"/>
              <w:rPr>
                <w:rFonts w:ascii="Arial" w:hAnsi="Arial" w:cs="Arial"/>
                <w:color w:val="000000"/>
                <w:sz w:val="20"/>
              </w:rPr>
            </w:pPr>
            <w:r>
              <w:rPr>
                <w:rFonts w:ascii="Arial" w:hAnsi="Arial" w:cs="Arial"/>
                <w:color w:val="000000"/>
                <w:sz w:val="20"/>
              </w:rPr>
              <w:t>59</w:t>
            </w:r>
          </w:p>
        </w:tc>
        <w:tc>
          <w:tcPr>
            <w:tcW w:w="1226" w:type="dxa"/>
            <w:tcBorders>
              <w:top w:val="nil"/>
              <w:left w:val="nil"/>
              <w:bottom w:val="single" w:sz="4" w:space="0" w:color="auto"/>
              <w:right w:val="single" w:sz="4" w:space="0" w:color="auto"/>
            </w:tcBorders>
            <w:shd w:val="clear" w:color="auto" w:fill="auto"/>
            <w:noWrap/>
            <w:vAlign w:val="bottom"/>
            <w:hideMark/>
          </w:tcPr>
          <w:p w14:paraId="1C5E3D2A" w14:textId="5CA2E5CB" w:rsidR="00FC175B" w:rsidRPr="00926F55" w:rsidRDefault="00FC175B" w:rsidP="00695AEC">
            <w:pPr>
              <w:rPr>
                <w:rFonts w:ascii="Arial" w:hAnsi="Arial" w:cs="Arial"/>
                <w:color w:val="000000"/>
                <w:sz w:val="20"/>
              </w:rPr>
            </w:pPr>
            <w:r>
              <w:rPr>
                <w:rFonts w:ascii="Arial" w:hAnsi="Arial" w:cs="Arial"/>
                <w:color w:val="000000"/>
                <w:sz w:val="20"/>
              </w:rPr>
              <w:t xml:space="preserve">$16,461        </w:t>
            </w:r>
          </w:p>
        </w:tc>
      </w:tr>
      <w:tr w:rsidR="00CD61DA" w:rsidRPr="00926F55" w14:paraId="3B51050C" w14:textId="77777777" w:rsidTr="002A048D">
        <w:trPr>
          <w:trHeight w:val="510"/>
        </w:trPr>
        <w:tc>
          <w:tcPr>
            <w:tcW w:w="1612" w:type="dxa"/>
            <w:tcBorders>
              <w:top w:val="nil"/>
              <w:left w:val="single" w:sz="4" w:space="0" w:color="auto"/>
              <w:bottom w:val="single" w:sz="4" w:space="0" w:color="auto"/>
              <w:right w:val="single" w:sz="4" w:space="0" w:color="auto"/>
            </w:tcBorders>
            <w:shd w:val="clear" w:color="auto" w:fill="auto"/>
            <w:vAlign w:val="bottom"/>
          </w:tcPr>
          <w:p w14:paraId="238CF223" w14:textId="77777777" w:rsidR="00FC175B" w:rsidRPr="00926F55" w:rsidRDefault="00FC175B" w:rsidP="00C62985">
            <w:pPr>
              <w:rPr>
                <w:rFonts w:ascii="Arial" w:hAnsi="Arial" w:cs="Arial"/>
                <w:color w:val="000000"/>
                <w:sz w:val="20"/>
              </w:rPr>
            </w:pPr>
            <w:r w:rsidRPr="00926F55">
              <w:rPr>
                <w:rFonts w:ascii="Arial" w:hAnsi="Arial" w:cs="Arial"/>
                <w:color w:val="000000"/>
                <w:sz w:val="20"/>
              </w:rPr>
              <w:t xml:space="preserve">110.50(c) - </w:t>
            </w:r>
            <w:r>
              <w:rPr>
                <w:rFonts w:ascii="Arial" w:hAnsi="Arial" w:cs="Arial"/>
                <w:color w:val="000000"/>
                <w:sz w:val="20"/>
              </w:rPr>
              <w:t>Custom</w:t>
            </w:r>
            <w:r w:rsidRPr="00926F55">
              <w:rPr>
                <w:rFonts w:ascii="Arial" w:hAnsi="Arial" w:cs="Arial"/>
                <w:color w:val="000000"/>
                <w:sz w:val="20"/>
              </w:rPr>
              <w:t xml:space="preserve"> form</w:t>
            </w:r>
          </w:p>
        </w:tc>
        <w:tc>
          <w:tcPr>
            <w:tcW w:w="1530" w:type="dxa"/>
            <w:vMerge/>
            <w:tcBorders>
              <w:left w:val="single" w:sz="4" w:space="0" w:color="auto"/>
              <w:right w:val="single" w:sz="4" w:space="0" w:color="auto"/>
            </w:tcBorders>
            <w:shd w:val="clear" w:color="auto" w:fill="auto"/>
            <w:vAlign w:val="bottom"/>
          </w:tcPr>
          <w:p w14:paraId="7131ED1F" w14:textId="77777777" w:rsidR="00FC175B" w:rsidRPr="00FC175B" w:rsidRDefault="00FC175B" w:rsidP="00C62985">
            <w:pPr>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14:paraId="2362B83F" w14:textId="77777777" w:rsidR="00FC175B" w:rsidRPr="00926F55" w:rsidDel="008A2837" w:rsidRDefault="00FC175B" w:rsidP="00C62985">
            <w:pPr>
              <w:jc w:val="right"/>
              <w:rPr>
                <w:rFonts w:ascii="Arial" w:hAnsi="Arial" w:cs="Arial"/>
                <w:color w:val="000000"/>
                <w:sz w:val="20"/>
              </w:rPr>
            </w:pPr>
            <w:r>
              <w:rPr>
                <w:rFonts w:ascii="Arial" w:hAnsi="Arial" w:cs="Arial"/>
                <w:color w:val="000000"/>
                <w:sz w:val="20"/>
              </w:rPr>
              <w:t>15</w:t>
            </w:r>
          </w:p>
        </w:tc>
        <w:tc>
          <w:tcPr>
            <w:tcW w:w="1260" w:type="dxa"/>
            <w:tcBorders>
              <w:top w:val="nil"/>
              <w:left w:val="nil"/>
              <w:bottom w:val="single" w:sz="4" w:space="0" w:color="auto"/>
              <w:right w:val="single" w:sz="4" w:space="0" w:color="auto"/>
            </w:tcBorders>
            <w:shd w:val="clear" w:color="auto" w:fill="auto"/>
            <w:noWrap/>
            <w:vAlign w:val="bottom"/>
          </w:tcPr>
          <w:p w14:paraId="1D4317A4" w14:textId="77777777" w:rsidR="00FC175B" w:rsidRPr="00926F55" w:rsidRDefault="00FC175B" w:rsidP="00C62985">
            <w:pPr>
              <w:jc w:val="right"/>
              <w:rPr>
                <w:rFonts w:ascii="Arial" w:hAnsi="Arial" w:cs="Arial"/>
                <w:color w:val="000000"/>
                <w:sz w:val="20"/>
              </w:rPr>
            </w:pPr>
            <w:r>
              <w:rPr>
                <w:rFonts w:ascii="Arial" w:hAnsi="Arial" w:cs="Arial"/>
                <w:color w:val="000000"/>
                <w:sz w:val="20"/>
              </w:rPr>
              <w:t>88</w:t>
            </w:r>
          </w:p>
        </w:tc>
        <w:tc>
          <w:tcPr>
            <w:tcW w:w="1170" w:type="dxa"/>
            <w:tcBorders>
              <w:top w:val="nil"/>
              <w:left w:val="nil"/>
              <w:bottom w:val="single" w:sz="4" w:space="0" w:color="auto"/>
              <w:right w:val="single" w:sz="4" w:space="0" w:color="auto"/>
            </w:tcBorders>
            <w:shd w:val="clear" w:color="auto" w:fill="auto"/>
            <w:noWrap/>
            <w:vAlign w:val="bottom"/>
          </w:tcPr>
          <w:p w14:paraId="31EE9E62" w14:textId="77777777" w:rsidR="00FC175B" w:rsidRDefault="00FC175B" w:rsidP="00C62985">
            <w:pPr>
              <w:jc w:val="right"/>
              <w:rPr>
                <w:rFonts w:ascii="Arial" w:hAnsi="Arial" w:cs="Arial"/>
                <w:color w:val="000000"/>
                <w:sz w:val="20"/>
              </w:rPr>
            </w:pPr>
            <w:r>
              <w:rPr>
                <w:rFonts w:ascii="Arial" w:hAnsi="Arial" w:cs="Arial"/>
                <w:color w:val="000000"/>
                <w:sz w:val="20"/>
              </w:rPr>
              <w:t>1320</w:t>
            </w:r>
          </w:p>
        </w:tc>
        <w:tc>
          <w:tcPr>
            <w:tcW w:w="1260" w:type="dxa"/>
            <w:tcBorders>
              <w:top w:val="nil"/>
              <w:left w:val="nil"/>
              <w:bottom w:val="single" w:sz="4" w:space="0" w:color="auto"/>
              <w:right w:val="single" w:sz="4" w:space="0" w:color="auto"/>
            </w:tcBorders>
            <w:shd w:val="clear" w:color="auto" w:fill="auto"/>
            <w:noWrap/>
            <w:vAlign w:val="bottom"/>
          </w:tcPr>
          <w:p w14:paraId="2A3EEB19" w14:textId="77777777" w:rsidR="00FC175B" w:rsidRPr="00926F55" w:rsidRDefault="00FC175B" w:rsidP="00C62985">
            <w:pPr>
              <w:jc w:val="right"/>
              <w:rPr>
                <w:rFonts w:ascii="Arial" w:hAnsi="Arial" w:cs="Arial"/>
                <w:color w:val="000000"/>
                <w:sz w:val="20"/>
              </w:rPr>
            </w:pPr>
            <w:r>
              <w:rPr>
                <w:rFonts w:ascii="Arial" w:hAnsi="Arial" w:cs="Arial"/>
                <w:color w:val="000000"/>
                <w:sz w:val="20"/>
              </w:rPr>
              <w:t>0.2</w:t>
            </w:r>
          </w:p>
        </w:tc>
        <w:tc>
          <w:tcPr>
            <w:tcW w:w="900" w:type="dxa"/>
            <w:tcBorders>
              <w:top w:val="nil"/>
              <w:left w:val="nil"/>
              <w:bottom w:val="single" w:sz="4" w:space="0" w:color="auto"/>
              <w:right w:val="single" w:sz="4" w:space="0" w:color="auto"/>
            </w:tcBorders>
            <w:shd w:val="clear" w:color="auto" w:fill="auto"/>
            <w:noWrap/>
            <w:vAlign w:val="bottom"/>
          </w:tcPr>
          <w:p w14:paraId="4ACDDB39" w14:textId="77777777" w:rsidR="00FC175B" w:rsidRDefault="00FC175B" w:rsidP="00C62985">
            <w:pPr>
              <w:jc w:val="right"/>
              <w:rPr>
                <w:rFonts w:ascii="Arial" w:hAnsi="Arial" w:cs="Arial"/>
                <w:color w:val="000000"/>
                <w:sz w:val="20"/>
              </w:rPr>
            </w:pPr>
            <w:r>
              <w:rPr>
                <w:rFonts w:ascii="Arial" w:hAnsi="Arial" w:cs="Arial"/>
                <w:color w:val="000000"/>
                <w:sz w:val="20"/>
              </w:rPr>
              <w:t>264</w:t>
            </w:r>
          </w:p>
        </w:tc>
        <w:tc>
          <w:tcPr>
            <w:tcW w:w="1226" w:type="dxa"/>
            <w:tcBorders>
              <w:top w:val="nil"/>
              <w:left w:val="nil"/>
              <w:bottom w:val="single" w:sz="4" w:space="0" w:color="auto"/>
              <w:right w:val="single" w:sz="4" w:space="0" w:color="auto"/>
            </w:tcBorders>
            <w:shd w:val="clear" w:color="auto" w:fill="auto"/>
            <w:noWrap/>
            <w:vAlign w:val="bottom"/>
          </w:tcPr>
          <w:p w14:paraId="565FFBF0" w14:textId="70567AA1" w:rsidR="00FC175B" w:rsidRDefault="00FC175B" w:rsidP="00695AEC">
            <w:pPr>
              <w:rPr>
                <w:rFonts w:ascii="Arial" w:hAnsi="Arial" w:cs="Arial"/>
                <w:color w:val="000000"/>
                <w:sz w:val="20"/>
              </w:rPr>
            </w:pPr>
            <w:r>
              <w:rPr>
                <w:rFonts w:ascii="Arial" w:hAnsi="Arial" w:cs="Arial"/>
                <w:color w:val="000000"/>
                <w:sz w:val="20"/>
              </w:rPr>
              <w:t>$73,656</w:t>
            </w:r>
          </w:p>
        </w:tc>
      </w:tr>
      <w:tr w:rsidR="00CD61DA" w:rsidRPr="00926F55" w14:paraId="44772AFB" w14:textId="77777777" w:rsidTr="002A048D">
        <w:trPr>
          <w:trHeight w:val="510"/>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2E3B758D" w14:textId="77777777" w:rsidR="00FC175B" w:rsidRPr="00926F55" w:rsidRDefault="00FC175B" w:rsidP="00C62985">
            <w:pPr>
              <w:rPr>
                <w:rFonts w:ascii="Arial" w:hAnsi="Arial" w:cs="Arial"/>
                <w:color w:val="000000"/>
                <w:sz w:val="20"/>
              </w:rPr>
            </w:pPr>
            <w:r w:rsidRPr="00926F55">
              <w:rPr>
                <w:rFonts w:ascii="Arial" w:hAnsi="Arial" w:cs="Arial"/>
                <w:color w:val="000000"/>
                <w:sz w:val="20"/>
              </w:rPr>
              <w:t xml:space="preserve">110.50(c) - with </w:t>
            </w:r>
            <w:r>
              <w:rPr>
                <w:rFonts w:ascii="Arial" w:hAnsi="Arial" w:cs="Arial"/>
                <w:color w:val="000000"/>
                <w:sz w:val="20"/>
              </w:rPr>
              <w:t xml:space="preserve">NRC </w:t>
            </w:r>
            <w:r w:rsidRPr="00926F55">
              <w:rPr>
                <w:rFonts w:ascii="Arial" w:hAnsi="Arial" w:cs="Arial"/>
                <w:color w:val="000000"/>
                <w:sz w:val="20"/>
              </w:rPr>
              <w:t>form</w:t>
            </w:r>
            <w:r>
              <w:rPr>
                <w:rFonts w:ascii="Arial" w:hAnsi="Arial" w:cs="Arial"/>
                <w:color w:val="000000"/>
                <w:sz w:val="20"/>
              </w:rPr>
              <w:t>s</w:t>
            </w:r>
            <w:r>
              <w:rPr>
                <w:rStyle w:val="FootnoteReference"/>
                <w:rFonts w:ascii="Arial" w:hAnsi="Arial" w:cs="Arial"/>
                <w:color w:val="000000"/>
                <w:sz w:val="20"/>
              </w:rPr>
              <w:footnoteReference w:id="2"/>
            </w:r>
          </w:p>
        </w:tc>
        <w:tc>
          <w:tcPr>
            <w:tcW w:w="1530" w:type="dxa"/>
            <w:vMerge/>
            <w:tcBorders>
              <w:left w:val="single" w:sz="4" w:space="0" w:color="auto"/>
              <w:bottom w:val="single" w:sz="4" w:space="0" w:color="auto"/>
              <w:right w:val="single" w:sz="4" w:space="0" w:color="auto"/>
            </w:tcBorders>
            <w:shd w:val="clear" w:color="auto" w:fill="auto"/>
            <w:vAlign w:val="bottom"/>
          </w:tcPr>
          <w:p w14:paraId="3A19740C" w14:textId="77777777" w:rsidR="00FC175B" w:rsidRPr="00FC175B" w:rsidRDefault="00FC175B" w:rsidP="00C62985">
            <w:pPr>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bottom"/>
            <w:hideMark/>
          </w:tcPr>
          <w:p w14:paraId="7D85B152" w14:textId="77777777" w:rsidR="00FC175B" w:rsidRPr="00926F55" w:rsidRDefault="00FC175B" w:rsidP="00C62985">
            <w:pPr>
              <w:jc w:val="right"/>
              <w:rPr>
                <w:rFonts w:ascii="Arial" w:hAnsi="Arial" w:cs="Arial"/>
                <w:color w:val="000000"/>
                <w:sz w:val="20"/>
              </w:rPr>
            </w:pPr>
            <w:r>
              <w:rPr>
                <w:rFonts w:ascii="Arial" w:hAnsi="Arial" w:cs="Arial"/>
                <w:color w:val="000000"/>
                <w:sz w:val="20"/>
              </w:rPr>
              <w:t>12</w:t>
            </w:r>
          </w:p>
        </w:tc>
        <w:tc>
          <w:tcPr>
            <w:tcW w:w="1260" w:type="dxa"/>
            <w:tcBorders>
              <w:top w:val="nil"/>
              <w:left w:val="nil"/>
              <w:bottom w:val="single" w:sz="4" w:space="0" w:color="auto"/>
              <w:right w:val="single" w:sz="4" w:space="0" w:color="auto"/>
            </w:tcBorders>
            <w:shd w:val="clear" w:color="auto" w:fill="auto"/>
            <w:noWrap/>
            <w:vAlign w:val="bottom"/>
            <w:hideMark/>
          </w:tcPr>
          <w:p w14:paraId="0CF08324" w14:textId="77777777" w:rsidR="00FC175B" w:rsidRPr="00926F55" w:rsidRDefault="00FC175B" w:rsidP="00C62985">
            <w:pPr>
              <w:jc w:val="right"/>
              <w:rPr>
                <w:rFonts w:ascii="Arial" w:hAnsi="Arial" w:cs="Arial"/>
                <w:color w:val="000000"/>
                <w:sz w:val="20"/>
              </w:rPr>
            </w:pPr>
            <w:r w:rsidRPr="00926F55">
              <w:rPr>
                <w:rFonts w:ascii="Arial" w:hAnsi="Arial" w:cs="Arial"/>
                <w:color w:val="000000"/>
                <w:sz w:val="20"/>
              </w:rPr>
              <w:t>100</w:t>
            </w:r>
          </w:p>
        </w:tc>
        <w:tc>
          <w:tcPr>
            <w:tcW w:w="1170" w:type="dxa"/>
            <w:tcBorders>
              <w:top w:val="nil"/>
              <w:left w:val="nil"/>
              <w:bottom w:val="single" w:sz="4" w:space="0" w:color="auto"/>
              <w:right w:val="single" w:sz="4" w:space="0" w:color="auto"/>
            </w:tcBorders>
            <w:shd w:val="clear" w:color="auto" w:fill="auto"/>
            <w:noWrap/>
            <w:vAlign w:val="bottom"/>
            <w:hideMark/>
          </w:tcPr>
          <w:p w14:paraId="01E3A25F" w14:textId="77777777" w:rsidR="00FC175B" w:rsidRPr="00926F55" w:rsidRDefault="00FC175B" w:rsidP="00C62985">
            <w:pPr>
              <w:jc w:val="right"/>
              <w:rPr>
                <w:rFonts w:ascii="Arial" w:hAnsi="Arial" w:cs="Arial"/>
                <w:color w:val="000000"/>
                <w:sz w:val="20"/>
              </w:rPr>
            </w:pPr>
            <w:r>
              <w:rPr>
                <w:rFonts w:ascii="Arial" w:hAnsi="Arial" w:cs="Arial"/>
                <w:color w:val="000000"/>
                <w:sz w:val="20"/>
              </w:rPr>
              <w:t>1200</w:t>
            </w:r>
          </w:p>
        </w:tc>
        <w:tc>
          <w:tcPr>
            <w:tcW w:w="1260" w:type="dxa"/>
            <w:tcBorders>
              <w:top w:val="nil"/>
              <w:left w:val="nil"/>
              <w:bottom w:val="single" w:sz="4" w:space="0" w:color="auto"/>
              <w:right w:val="single" w:sz="4" w:space="0" w:color="auto"/>
            </w:tcBorders>
            <w:shd w:val="clear" w:color="auto" w:fill="auto"/>
            <w:noWrap/>
            <w:vAlign w:val="bottom"/>
            <w:hideMark/>
          </w:tcPr>
          <w:p w14:paraId="14D8C306" w14:textId="77777777" w:rsidR="00FC175B" w:rsidRPr="00926F55" w:rsidRDefault="00FC175B" w:rsidP="00C62985">
            <w:pPr>
              <w:jc w:val="right"/>
              <w:rPr>
                <w:rFonts w:ascii="Arial" w:hAnsi="Arial" w:cs="Arial"/>
                <w:color w:val="000000"/>
                <w:sz w:val="20"/>
              </w:rPr>
            </w:pPr>
            <w:r w:rsidRPr="00926F55">
              <w:rPr>
                <w:rFonts w:ascii="Arial" w:hAnsi="Arial" w:cs="Arial"/>
                <w:color w:val="000000"/>
                <w:sz w:val="20"/>
              </w:rPr>
              <w:t>0.</w:t>
            </w:r>
            <w:r>
              <w:rPr>
                <w:rFonts w:ascii="Arial" w:hAnsi="Arial" w:cs="Arial"/>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5ABE6C9C" w14:textId="77777777" w:rsidR="00FC175B" w:rsidRPr="00926F55" w:rsidRDefault="00FC175B" w:rsidP="00C62985">
            <w:pPr>
              <w:jc w:val="right"/>
              <w:rPr>
                <w:rFonts w:ascii="Arial" w:hAnsi="Arial" w:cs="Arial"/>
                <w:color w:val="000000"/>
                <w:sz w:val="20"/>
              </w:rPr>
            </w:pPr>
            <w:r>
              <w:rPr>
                <w:rFonts w:ascii="Arial" w:hAnsi="Arial" w:cs="Arial"/>
                <w:color w:val="000000"/>
                <w:sz w:val="20"/>
              </w:rPr>
              <w:t>240</w:t>
            </w:r>
          </w:p>
        </w:tc>
        <w:tc>
          <w:tcPr>
            <w:tcW w:w="1226" w:type="dxa"/>
            <w:tcBorders>
              <w:top w:val="nil"/>
              <w:left w:val="nil"/>
              <w:bottom w:val="single" w:sz="4" w:space="0" w:color="auto"/>
              <w:right w:val="single" w:sz="4" w:space="0" w:color="auto"/>
            </w:tcBorders>
            <w:shd w:val="clear" w:color="auto" w:fill="auto"/>
            <w:noWrap/>
            <w:vAlign w:val="bottom"/>
            <w:hideMark/>
          </w:tcPr>
          <w:p w14:paraId="56598CB0" w14:textId="312CE693" w:rsidR="00FC175B" w:rsidRPr="00926F55" w:rsidRDefault="00FC175B" w:rsidP="00695AEC">
            <w:pPr>
              <w:rPr>
                <w:rFonts w:ascii="Arial" w:hAnsi="Arial" w:cs="Arial"/>
                <w:color w:val="000000"/>
                <w:sz w:val="20"/>
              </w:rPr>
            </w:pPr>
            <w:r w:rsidRPr="00926F55">
              <w:rPr>
                <w:rFonts w:ascii="Arial" w:hAnsi="Arial" w:cs="Arial"/>
                <w:color w:val="000000"/>
                <w:sz w:val="20"/>
              </w:rPr>
              <w:t>$</w:t>
            </w:r>
            <w:r>
              <w:rPr>
                <w:rFonts w:ascii="Arial" w:hAnsi="Arial" w:cs="Arial"/>
                <w:color w:val="000000"/>
                <w:sz w:val="20"/>
              </w:rPr>
              <w:t>66,960</w:t>
            </w:r>
            <w:r w:rsidRPr="00926F55">
              <w:rPr>
                <w:rFonts w:ascii="Arial" w:hAnsi="Arial" w:cs="Arial"/>
                <w:color w:val="000000"/>
                <w:sz w:val="20"/>
              </w:rPr>
              <w:t xml:space="preserve">      </w:t>
            </w:r>
            <w:r>
              <w:rPr>
                <w:rFonts w:ascii="Arial" w:hAnsi="Arial" w:cs="Arial"/>
                <w:color w:val="000000"/>
                <w:sz w:val="20"/>
              </w:rPr>
              <w:t xml:space="preserve">  </w:t>
            </w:r>
            <w:r w:rsidRPr="00926F55">
              <w:rPr>
                <w:rFonts w:ascii="Arial" w:hAnsi="Arial" w:cs="Arial"/>
                <w:color w:val="000000"/>
                <w:sz w:val="20"/>
              </w:rPr>
              <w:t xml:space="preserve"> </w:t>
            </w:r>
          </w:p>
        </w:tc>
      </w:tr>
      <w:tr w:rsidR="00CD61DA" w:rsidRPr="00926F55" w14:paraId="08FA298A" w14:textId="77777777" w:rsidTr="002A048D">
        <w:trPr>
          <w:trHeight w:val="510"/>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2AB8C05E" w14:textId="77777777" w:rsidR="00695AEC" w:rsidRPr="00926F55" w:rsidRDefault="00695AEC" w:rsidP="00C62985">
            <w:pPr>
              <w:rPr>
                <w:rFonts w:ascii="Arial" w:hAnsi="Arial" w:cs="Arial"/>
                <w:color w:val="000000"/>
                <w:sz w:val="20"/>
              </w:rPr>
            </w:pPr>
            <w:r w:rsidRPr="00926F55">
              <w:rPr>
                <w:rFonts w:ascii="Arial" w:hAnsi="Arial" w:cs="Arial"/>
                <w:color w:val="000000"/>
                <w:sz w:val="20"/>
              </w:rPr>
              <w:t>110.50(c) - add'l follow-up</w:t>
            </w:r>
          </w:p>
        </w:tc>
        <w:tc>
          <w:tcPr>
            <w:tcW w:w="1530" w:type="dxa"/>
            <w:tcBorders>
              <w:top w:val="nil"/>
              <w:left w:val="single" w:sz="4" w:space="0" w:color="auto"/>
              <w:bottom w:val="single" w:sz="4" w:space="0" w:color="auto"/>
              <w:right w:val="single" w:sz="4" w:space="0" w:color="auto"/>
            </w:tcBorders>
            <w:shd w:val="clear" w:color="auto" w:fill="auto"/>
            <w:vAlign w:val="bottom"/>
          </w:tcPr>
          <w:p w14:paraId="0CB8A02E" w14:textId="77777777" w:rsidR="00695AEC" w:rsidRPr="00FC175B" w:rsidRDefault="00FC175B" w:rsidP="00C62985">
            <w:pPr>
              <w:rPr>
                <w:rFonts w:ascii="Arial" w:hAnsi="Arial" w:cs="Arial"/>
                <w:color w:val="000000"/>
                <w:sz w:val="16"/>
                <w:szCs w:val="16"/>
              </w:rPr>
            </w:pPr>
            <w:r>
              <w:rPr>
                <w:rFonts w:ascii="Arial" w:hAnsi="Arial" w:cs="Arial"/>
                <w:color w:val="000000"/>
                <w:sz w:val="16"/>
                <w:szCs w:val="16"/>
              </w:rPr>
              <w:t xml:space="preserve">Identifies addition time </w:t>
            </w:r>
            <w:r w:rsidR="00C3494F">
              <w:rPr>
                <w:rFonts w:ascii="Arial" w:hAnsi="Arial" w:cs="Arial"/>
                <w:color w:val="000000"/>
                <w:sz w:val="16"/>
                <w:szCs w:val="16"/>
              </w:rPr>
              <w:t xml:space="preserve">needed </w:t>
            </w:r>
            <w:r>
              <w:rPr>
                <w:rFonts w:ascii="Arial" w:hAnsi="Arial" w:cs="Arial"/>
                <w:color w:val="000000"/>
                <w:sz w:val="16"/>
                <w:szCs w:val="16"/>
              </w:rPr>
              <w:t>to correct incomplete notifications or to take enforcement action</w:t>
            </w:r>
          </w:p>
        </w:tc>
        <w:tc>
          <w:tcPr>
            <w:tcW w:w="1260" w:type="dxa"/>
            <w:tcBorders>
              <w:top w:val="nil"/>
              <w:left w:val="nil"/>
              <w:bottom w:val="single" w:sz="4" w:space="0" w:color="auto"/>
              <w:right w:val="single" w:sz="4" w:space="0" w:color="auto"/>
            </w:tcBorders>
            <w:shd w:val="clear" w:color="auto" w:fill="auto"/>
            <w:noWrap/>
            <w:vAlign w:val="bottom"/>
            <w:hideMark/>
          </w:tcPr>
          <w:p w14:paraId="21E5C9DF" w14:textId="77777777" w:rsidR="00695AEC" w:rsidRPr="00926F55" w:rsidRDefault="00695AEC" w:rsidP="00C62985">
            <w:pPr>
              <w:jc w:val="right"/>
              <w:rPr>
                <w:rFonts w:ascii="Arial" w:hAnsi="Arial" w:cs="Arial"/>
                <w:color w:val="000000"/>
                <w:sz w:val="20"/>
              </w:rPr>
            </w:pPr>
            <w:r>
              <w:rPr>
                <w:rFonts w:ascii="Arial" w:hAnsi="Arial" w:cs="Arial"/>
                <w:color w:val="000000"/>
                <w:sz w:val="20"/>
              </w:rPr>
              <w:t>10</w:t>
            </w:r>
          </w:p>
        </w:tc>
        <w:tc>
          <w:tcPr>
            <w:tcW w:w="1260" w:type="dxa"/>
            <w:tcBorders>
              <w:top w:val="nil"/>
              <w:left w:val="nil"/>
              <w:bottom w:val="single" w:sz="4" w:space="0" w:color="auto"/>
              <w:right w:val="single" w:sz="4" w:space="0" w:color="auto"/>
            </w:tcBorders>
            <w:shd w:val="clear" w:color="auto" w:fill="auto"/>
            <w:noWrap/>
            <w:vAlign w:val="bottom"/>
            <w:hideMark/>
          </w:tcPr>
          <w:p w14:paraId="077E3C98" w14:textId="77777777" w:rsidR="00695AEC" w:rsidRPr="00926F55" w:rsidRDefault="00695AEC" w:rsidP="00C62985">
            <w:pPr>
              <w:jc w:val="right"/>
              <w:rPr>
                <w:rFonts w:ascii="Arial" w:hAnsi="Arial" w:cs="Arial"/>
                <w:color w:val="000000"/>
                <w:sz w:val="20"/>
              </w:rPr>
            </w:pPr>
            <w:r>
              <w:rPr>
                <w:rFonts w:ascii="Arial" w:hAnsi="Arial" w:cs="Arial"/>
                <w:color w:val="000000"/>
                <w:sz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10E738C3" w14:textId="77777777" w:rsidR="00695AEC" w:rsidRPr="00926F55" w:rsidRDefault="00695AEC" w:rsidP="00C62985">
            <w:pPr>
              <w:jc w:val="right"/>
              <w:rPr>
                <w:rFonts w:ascii="Arial" w:hAnsi="Arial" w:cs="Arial"/>
                <w:color w:val="000000"/>
                <w:sz w:val="20"/>
              </w:rPr>
            </w:pPr>
            <w:r>
              <w:rPr>
                <w:rFonts w:ascii="Arial" w:hAnsi="Arial" w:cs="Arial"/>
                <w:color w:val="000000"/>
                <w:sz w:val="20"/>
              </w:rPr>
              <w:t>20</w:t>
            </w:r>
          </w:p>
        </w:tc>
        <w:tc>
          <w:tcPr>
            <w:tcW w:w="1260" w:type="dxa"/>
            <w:tcBorders>
              <w:top w:val="nil"/>
              <w:left w:val="nil"/>
              <w:bottom w:val="single" w:sz="4" w:space="0" w:color="auto"/>
              <w:right w:val="single" w:sz="4" w:space="0" w:color="auto"/>
            </w:tcBorders>
            <w:shd w:val="clear" w:color="auto" w:fill="auto"/>
            <w:noWrap/>
            <w:vAlign w:val="bottom"/>
            <w:hideMark/>
          </w:tcPr>
          <w:p w14:paraId="11794465" w14:textId="77777777" w:rsidR="00695AEC" w:rsidRPr="00926F55" w:rsidRDefault="00695AEC" w:rsidP="00C62985">
            <w:pPr>
              <w:jc w:val="right"/>
              <w:rPr>
                <w:rFonts w:ascii="Arial" w:hAnsi="Arial" w:cs="Arial"/>
                <w:color w:val="000000"/>
                <w:sz w:val="20"/>
              </w:rPr>
            </w:pPr>
            <w:r>
              <w:rPr>
                <w:rFonts w:ascii="Arial" w:hAnsi="Arial" w:cs="Arial"/>
                <w:color w:val="000000"/>
                <w:sz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744188F7" w14:textId="77777777" w:rsidR="00695AEC" w:rsidRPr="00926F55" w:rsidRDefault="00695AEC" w:rsidP="00C62985">
            <w:pPr>
              <w:jc w:val="right"/>
              <w:rPr>
                <w:rFonts w:ascii="Arial" w:hAnsi="Arial" w:cs="Arial"/>
                <w:color w:val="000000"/>
                <w:sz w:val="20"/>
              </w:rPr>
            </w:pPr>
            <w:r>
              <w:rPr>
                <w:rFonts w:ascii="Arial" w:hAnsi="Arial" w:cs="Arial"/>
                <w:color w:val="000000"/>
                <w:sz w:val="20"/>
              </w:rPr>
              <w:t>100</w:t>
            </w:r>
          </w:p>
        </w:tc>
        <w:tc>
          <w:tcPr>
            <w:tcW w:w="1226" w:type="dxa"/>
            <w:tcBorders>
              <w:top w:val="nil"/>
              <w:left w:val="nil"/>
              <w:bottom w:val="single" w:sz="4" w:space="0" w:color="auto"/>
              <w:right w:val="single" w:sz="4" w:space="0" w:color="auto"/>
            </w:tcBorders>
            <w:shd w:val="clear" w:color="auto" w:fill="auto"/>
            <w:noWrap/>
            <w:vAlign w:val="bottom"/>
            <w:hideMark/>
          </w:tcPr>
          <w:p w14:paraId="1130675E" w14:textId="7FDD5333" w:rsidR="00695AEC" w:rsidRPr="00926F55" w:rsidRDefault="00695AEC" w:rsidP="00695AEC">
            <w:pPr>
              <w:rPr>
                <w:rFonts w:ascii="Arial" w:hAnsi="Arial" w:cs="Arial"/>
                <w:color w:val="000000"/>
                <w:sz w:val="20"/>
              </w:rPr>
            </w:pPr>
            <w:r w:rsidRPr="00926F55">
              <w:rPr>
                <w:rFonts w:ascii="Arial" w:hAnsi="Arial" w:cs="Arial"/>
                <w:color w:val="000000"/>
                <w:sz w:val="20"/>
              </w:rPr>
              <w:t>$</w:t>
            </w:r>
            <w:r>
              <w:rPr>
                <w:rFonts w:ascii="Arial" w:hAnsi="Arial" w:cs="Arial"/>
                <w:color w:val="000000"/>
                <w:sz w:val="20"/>
              </w:rPr>
              <w:t>27,900</w:t>
            </w:r>
            <w:r w:rsidRPr="00926F55">
              <w:rPr>
                <w:rFonts w:ascii="Arial" w:hAnsi="Arial" w:cs="Arial"/>
                <w:color w:val="000000"/>
                <w:sz w:val="20"/>
              </w:rPr>
              <w:t xml:space="preserve">          </w:t>
            </w:r>
          </w:p>
        </w:tc>
      </w:tr>
      <w:tr w:rsidR="00CD61DA" w:rsidRPr="00926F55" w14:paraId="3EAE18A7" w14:textId="77777777" w:rsidTr="002A048D">
        <w:trPr>
          <w:trHeight w:val="28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001842F1" w14:textId="77777777" w:rsidR="00695AEC" w:rsidRPr="00926F55" w:rsidRDefault="00695AEC" w:rsidP="00C62985">
            <w:pPr>
              <w:rPr>
                <w:rFonts w:ascii="Arial" w:hAnsi="Arial" w:cs="Arial"/>
                <w:color w:val="000000"/>
                <w:sz w:val="20"/>
              </w:rPr>
            </w:pPr>
            <w:r w:rsidRPr="00926F55">
              <w:rPr>
                <w:rFonts w:ascii="Arial" w:hAnsi="Arial" w:cs="Arial"/>
                <w:color w:val="000000"/>
                <w:sz w:val="20"/>
              </w:rPr>
              <w:t>110.52(b)</w:t>
            </w:r>
          </w:p>
        </w:tc>
        <w:tc>
          <w:tcPr>
            <w:tcW w:w="1530" w:type="dxa"/>
            <w:tcBorders>
              <w:top w:val="nil"/>
              <w:left w:val="single" w:sz="4" w:space="0" w:color="auto"/>
              <w:bottom w:val="single" w:sz="4" w:space="0" w:color="auto"/>
              <w:right w:val="single" w:sz="4" w:space="0" w:color="auto"/>
            </w:tcBorders>
            <w:shd w:val="clear" w:color="auto" w:fill="auto"/>
            <w:vAlign w:val="bottom"/>
          </w:tcPr>
          <w:p w14:paraId="3DCCC6AE" w14:textId="77777777" w:rsidR="00695AEC" w:rsidRPr="00FC175B" w:rsidRDefault="00C3494F" w:rsidP="00C62985">
            <w:pPr>
              <w:rPr>
                <w:rFonts w:ascii="Arial" w:hAnsi="Arial" w:cs="Arial"/>
                <w:color w:val="000000"/>
                <w:sz w:val="16"/>
                <w:szCs w:val="16"/>
              </w:rPr>
            </w:pPr>
            <w:r>
              <w:rPr>
                <w:rFonts w:ascii="Arial" w:hAnsi="Arial" w:cs="Arial"/>
                <w:color w:val="000000"/>
                <w:sz w:val="16"/>
                <w:szCs w:val="16"/>
              </w:rPr>
              <w:t>For instances when respondents must provide additional information in order to determine if a license should be suspended or revoked.</w:t>
            </w:r>
          </w:p>
        </w:tc>
        <w:tc>
          <w:tcPr>
            <w:tcW w:w="1260" w:type="dxa"/>
            <w:tcBorders>
              <w:top w:val="nil"/>
              <w:left w:val="nil"/>
              <w:bottom w:val="single" w:sz="4" w:space="0" w:color="auto"/>
              <w:right w:val="single" w:sz="4" w:space="0" w:color="auto"/>
            </w:tcBorders>
            <w:shd w:val="clear" w:color="auto" w:fill="auto"/>
            <w:noWrap/>
            <w:vAlign w:val="bottom"/>
            <w:hideMark/>
          </w:tcPr>
          <w:p w14:paraId="73EEE4B7"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2EC9305A"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7750A783"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6C373CFB"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0.5</w:t>
            </w:r>
          </w:p>
        </w:tc>
        <w:tc>
          <w:tcPr>
            <w:tcW w:w="900" w:type="dxa"/>
            <w:tcBorders>
              <w:top w:val="nil"/>
              <w:left w:val="nil"/>
              <w:bottom w:val="single" w:sz="4" w:space="0" w:color="auto"/>
              <w:right w:val="single" w:sz="4" w:space="0" w:color="auto"/>
            </w:tcBorders>
            <w:shd w:val="clear" w:color="auto" w:fill="auto"/>
            <w:noWrap/>
            <w:vAlign w:val="bottom"/>
            <w:hideMark/>
          </w:tcPr>
          <w:p w14:paraId="1E2B54B5"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0.5</w:t>
            </w:r>
          </w:p>
        </w:tc>
        <w:tc>
          <w:tcPr>
            <w:tcW w:w="1226" w:type="dxa"/>
            <w:tcBorders>
              <w:top w:val="nil"/>
              <w:left w:val="nil"/>
              <w:bottom w:val="single" w:sz="4" w:space="0" w:color="auto"/>
              <w:right w:val="single" w:sz="4" w:space="0" w:color="auto"/>
            </w:tcBorders>
            <w:shd w:val="clear" w:color="auto" w:fill="auto"/>
            <w:noWrap/>
            <w:vAlign w:val="bottom"/>
            <w:hideMark/>
          </w:tcPr>
          <w:p w14:paraId="7F5D7067" w14:textId="3BE221AD" w:rsidR="00695AEC" w:rsidRPr="00926F55" w:rsidRDefault="00695AEC" w:rsidP="00695AEC">
            <w:pPr>
              <w:rPr>
                <w:rFonts w:ascii="Arial" w:hAnsi="Arial" w:cs="Arial"/>
                <w:color w:val="000000"/>
                <w:sz w:val="20"/>
              </w:rPr>
            </w:pPr>
            <w:r w:rsidRPr="00926F55">
              <w:rPr>
                <w:rFonts w:ascii="Arial" w:hAnsi="Arial" w:cs="Arial"/>
                <w:color w:val="000000"/>
                <w:sz w:val="20"/>
              </w:rPr>
              <w:t>$</w:t>
            </w:r>
            <w:r>
              <w:rPr>
                <w:rFonts w:ascii="Arial" w:hAnsi="Arial" w:cs="Arial"/>
                <w:color w:val="000000"/>
                <w:sz w:val="20"/>
              </w:rPr>
              <w:t xml:space="preserve">     140</w:t>
            </w:r>
            <w:r w:rsidRPr="00926F55">
              <w:rPr>
                <w:rFonts w:ascii="Arial" w:hAnsi="Arial" w:cs="Arial"/>
                <w:color w:val="000000"/>
                <w:sz w:val="20"/>
              </w:rPr>
              <w:t xml:space="preserve">        </w:t>
            </w:r>
          </w:p>
        </w:tc>
      </w:tr>
      <w:tr w:rsidR="00CD61DA" w:rsidRPr="00926F55" w14:paraId="4FDFB0B2" w14:textId="77777777" w:rsidTr="002A048D">
        <w:trPr>
          <w:trHeight w:val="28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37F4949D" w14:textId="6D32BD9D" w:rsidR="00695AEC" w:rsidRPr="00926F55" w:rsidRDefault="00695AEC" w:rsidP="00C62985">
            <w:pPr>
              <w:rPr>
                <w:rFonts w:ascii="Arial" w:hAnsi="Arial" w:cs="Arial"/>
                <w:color w:val="000000"/>
                <w:sz w:val="20"/>
              </w:rPr>
            </w:pPr>
            <w:r w:rsidRPr="00926F55">
              <w:rPr>
                <w:rFonts w:ascii="Arial" w:hAnsi="Arial" w:cs="Arial"/>
                <w:color w:val="000000"/>
                <w:sz w:val="20"/>
              </w:rPr>
              <w:t>110.54(b)</w:t>
            </w:r>
          </w:p>
        </w:tc>
        <w:tc>
          <w:tcPr>
            <w:tcW w:w="1530" w:type="dxa"/>
            <w:tcBorders>
              <w:top w:val="nil"/>
              <w:left w:val="single" w:sz="4" w:space="0" w:color="auto"/>
              <w:bottom w:val="single" w:sz="4" w:space="0" w:color="auto"/>
              <w:right w:val="single" w:sz="4" w:space="0" w:color="auto"/>
            </w:tcBorders>
            <w:shd w:val="clear" w:color="auto" w:fill="auto"/>
            <w:vAlign w:val="bottom"/>
          </w:tcPr>
          <w:p w14:paraId="3CF60BA0" w14:textId="523CFDA4" w:rsidR="00695AEC" w:rsidRPr="00320102" w:rsidRDefault="00C3494F" w:rsidP="00320102">
            <w:pPr>
              <w:rPr>
                <w:rFonts w:ascii="Arial" w:hAnsi="Arial"/>
                <w:color w:val="000000"/>
                <w:sz w:val="16"/>
              </w:rPr>
            </w:pPr>
            <w:r>
              <w:rPr>
                <w:rFonts w:ascii="Arial" w:hAnsi="Arial" w:cs="Arial"/>
                <w:color w:val="000000"/>
                <w:sz w:val="16"/>
                <w:szCs w:val="16"/>
              </w:rPr>
              <w:t>Describes data elements required and due date of the annual reporting requirement for shipments of americium and neptunium</w:t>
            </w:r>
          </w:p>
        </w:tc>
        <w:tc>
          <w:tcPr>
            <w:tcW w:w="1260" w:type="dxa"/>
            <w:tcBorders>
              <w:top w:val="nil"/>
              <w:left w:val="nil"/>
              <w:bottom w:val="single" w:sz="4" w:space="0" w:color="auto"/>
              <w:right w:val="single" w:sz="4" w:space="0" w:color="auto"/>
            </w:tcBorders>
            <w:shd w:val="clear" w:color="auto" w:fill="auto"/>
            <w:noWrap/>
            <w:vAlign w:val="bottom"/>
            <w:hideMark/>
          </w:tcPr>
          <w:p w14:paraId="4628C2A1" w14:textId="77777777" w:rsidR="00695AEC" w:rsidRPr="00926F55" w:rsidRDefault="00695AEC" w:rsidP="00C62985">
            <w:pPr>
              <w:jc w:val="right"/>
              <w:rPr>
                <w:rFonts w:ascii="Arial" w:hAnsi="Arial" w:cs="Arial"/>
                <w:color w:val="000000"/>
                <w:sz w:val="20"/>
              </w:rPr>
            </w:pPr>
            <w:r>
              <w:rPr>
                <w:rFonts w:ascii="Arial" w:hAnsi="Arial" w:cs="Arial"/>
                <w:color w:val="000000"/>
                <w:sz w:val="20"/>
              </w:rPr>
              <w:t>28</w:t>
            </w:r>
          </w:p>
        </w:tc>
        <w:tc>
          <w:tcPr>
            <w:tcW w:w="1260" w:type="dxa"/>
            <w:tcBorders>
              <w:top w:val="nil"/>
              <w:left w:val="nil"/>
              <w:bottom w:val="single" w:sz="4" w:space="0" w:color="auto"/>
              <w:right w:val="single" w:sz="4" w:space="0" w:color="auto"/>
            </w:tcBorders>
            <w:shd w:val="clear" w:color="auto" w:fill="auto"/>
            <w:noWrap/>
            <w:vAlign w:val="bottom"/>
            <w:hideMark/>
          </w:tcPr>
          <w:p w14:paraId="24BF7B99" w14:textId="77777777" w:rsidR="00695AEC" w:rsidRPr="00926F55" w:rsidRDefault="00695AEC" w:rsidP="00C62985">
            <w:pPr>
              <w:jc w:val="right"/>
              <w:rPr>
                <w:rFonts w:ascii="Arial" w:hAnsi="Arial" w:cs="Arial"/>
                <w:color w:val="000000"/>
                <w:sz w:val="20"/>
              </w:rPr>
            </w:pPr>
            <w:r w:rsidRPr="00926F55">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60F55FA4" w14:textId="77777777" w:rsidR="00695AEC" w:rsidRPr="00926F55" w:rsidRDefault="00695AEC" w:rsidP="00C62985">
            <w:pPr>
              <w:jc w:val="right"/>
              <w:rPr>
                <w:rFonts w:ascii="Arial" w:hAnsi="Arial" w:cs="Arial"/>
                <w:color w:val="000000"/>
                <w:sz w:val="20"/>
              </w:rPr>
            </w:pPr>
            <w:r>
              <w:rPr>
                <w:rFonts w:ascii="Arial" w:hAnsi="Arial" w:cs="Arial"/>
                <w:color w:val="000000"/>
                <w:sz w:val="20"/>
              </w:rPr>
              <w:t>28</w:t>
            </w:r>
          </w:p>
        </w:tc>
        <w:tc>
          <w:tcPr>
            <w:tcW w:w="1260" w:type="dxa"/>
            <w:tcBorders>
              <w:top w:val="nil"/>
              <w:left w:val="nil"/>
              <w:bottom w:val="single" w:sz="4" w:space="0" w:color="auto"/>
              <w:right w:val="single" w:sz="4" w:space="0" w:color="auto"/>
            </w:tcBorders>
            <w:shd w:val="clear" w:color="auto" w:fill="auto"/>
            <w:noWrap/>
            <w:vAlign w:val="bottom"/>
            <w:hideMark/>
          </w:tcPr>
          <w:p w14:paraId="40630639" w14:textId="77777777" w:rsidR="00695AEC" w:rsidRPr="00926F55" w:rsidRDefault="00695AEC" w:rsidP="00C62985">
            <w:pPr>
              <w:jc w:val="center"/>
              <w:rPr>
                <w:rFonts w:ascii="Arial" w:hAnsi="Arial" w:cs="Arial"/>
                <w:color w:val="000000"/>
                <w:sz w:val="20"/>
              </w:rPr>
            </w:pPr>
            <w:r>
              <w:rPr>
                <w:rFonts w:ascii="Arial" w:hAnsi="Arial" w:cs="Arial"/>
                <w:color w:val="000000"/>
                <w:sz w:val="20"/>
              </w:rPr>
              <w:t xml:space="preserve">              </w:t>
            </w:r>
            <w:r w:rsidRPr="00926F55">
              <w:rPr>
                <w:rFonts w:ascii="Arial" w:hAnsi="Arial" w:cs="Arial"/>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31F284E9" w14:textId="77777777" w:rsidR="00695AEC" w:rsidRPr="00926F55" w:rsidRDefault="00695AEC" w:rsidP="00C62985">
            <w:pPr>
              <w:jc w:val="right"/>
              <w:rPr>
                <w:rFonts w:ascii="Arial" w:hAnsi="Arial" w:cs="Arial"/>
                <w:color w:val="000000"/>
                <w:sz w:val="20"/>
              </w:rPr>
            </w:pPr>
            <w:r>
              <w:rPr>
                <w:rFonts w:ascii="Arial" w:hAnsi="Arial" w:cs="Arial"/>
                <w:color w:val="000000"/>
                <w:sz w:val="20"/>
              </w:rPr>
              <w:t>56</w:t>
            </w:r>
          </w:p>
        </w:tc>
        <w:tc>
          <w:tcPr>
            <w:tcW w:w="1226" w:type="dxa"/>
            <w:tcBorders>
              <w:top w:val="nil"/>
              <w:left w:val="nil"/>
              <w:bottom w:val="single" w:sz="4" w:space="0" w:color="auto"/>
              <w:right w:val="single" w:sz="4" w:space="0" w:color="auto"/>
            </w:tcBorders>
            <w:shd w:val="clear" w:color="auto" w:fill="auto"/>
            <w:noWrap/>
            <w:vAlign w:val="bottom"/>
            <w:hideMark/>
          </w:tcPr>
          <w:p w14:paraId="3FE1AE12" w14:textId="77777777" w:rsidR="00695AEC" w:rsidRPr="00926F55" w:rsidRDefault="00695AEC" w:rsidP="00695AEC">
            <w:pPr>
              <w:rPr>
                <w:rFonts w:ascii="Arial" w:hAnsi="Arial" w:cs="Arial"/>
                <w:color w:val="000000"/>
                <w:sz w:val="20"/>
              </w:rPr>
            </w:pPr>
            <w:r w:rsidRPr="00926F55">
              <w:rPr>
                <w:rFonts w:ascii="Arial" w:hAnsi="Arial" w:cs="Arial"/>
                <w:color w:val="000000"/>
                <w:sz w:val="20"/>
              </w:rPr>
              <w:t>$</w:t>
            </w:r>
            <w:r>
              <w:rPr>
                <w:rFonts w:ascii="Arial" w:hAnsi="Arial" w:cs="Arial"/>
                <w:color w:val="000000"/>
                <w:sz w:val="20"/>
              </w:rPr>
              <w:t>15,624</w:t>
            </w:r>
            <w:r w:rsidRPr="00926F55">
              <w:rPr>
                <w:rFonts w:ascii="Arial" w:hAnsi="Arial" w:cs="Arial"/>
                <w:color w:val="000000"/>
                <w:sz w:val="20"/>
              </w:rPr>
              <w:t xml:space="preserve">        </w:t>
            </w:r>
          </w:p>
        </w:tc>
      </w:tr>
      <w:tr w:rsidR="00CD61DA" w:rsidRPr="00926F55" w14:paraId="3A76BC0A" w14:textId="77777777" w:rsidTr="002A048D">
        <w:trPr>
          <w:trHeight w:val="28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538A736E" w14:textId="77777777" w:rsidR="00C3494F" w:rsidRPr="00926F55" w:rsidRDefault="00C3494F" w:rsidP="00C3494F">
            <w:pPr>
              <w:rPr>
                <w:rFonts w:ascii="Arial" w:hAnsi="Arial" w:cs="Arial"/>
                <w:color w:val="000000"/>
                <w:sz w:val="20"/>
              </w:rPr>
            </w:pPr>
            <w:r w:rsidRPr="00926F55">
              <w:rPr>
                <w:rFonts w:ascii="Arial" w:hAnsi="Arial" w:cs="Arial"/>
                <w:color w:val="000000"/>
                <w:sz w:val="20"/>
              </w:rPr>
              <w:t xml:space="preserve">110.54(c) </w:t>
            </w:r>
          </w:p>
        </w:tc>
        <w:tc>
          <w:tcPr>
            <w:tcW w:w="1530" w:type="dxa"/>
            <w:tcBorders>
              <w:top w:val="nil"/>
              <w:left w:val="single" w:sz="4" w:space="0" w:color="auto"/>
              <w:bottom w:val="single" w:sz="4" w:space="0" w:color="auto"/>
              <w:right w:val="single" w:sz="4" w:space="0" w:color="auto"/>
            </w:tcBorders>
            <w:shd w:val="clear" w:color="auto" w:fill="auto"/>
            <w:vAlign w:val="bottom"/>
          </w:tcPr>
          <w:p w14:paraId="017B29D7" w14:textId="77777777" w:rsidR="00C3494F" w:rsidRPr="00FC175B" w:rsidRDefault="00C3494F" w:rsidP="00C3494F">
            <w:pPr>
              <w:rPr>
                <w:rFonts w:ascii="Arial" w:hAnsi="Arial" w:cs="Arial"/>
                <w:color w:val="000000"/>
                <w:sz w:val="16"/>
                <w:szCs w:val="16"/>
              </w:rPr>
            </w:pPr>
            <w:r>
              <w:rPr>
                <w:rFonts w:ascii="Arial" w:hAnsi="Arial" w:cs="Arial"/>
                <w:color w:val="000000"/>
                <w:sz w:val="16"/>
                <w:szCs w:val="16"/>
              </w:rPr>
              <w:t>Describes data elements required and due date of the annual reporting requirement for shipments of nuclear components and equipment</w:t>
            </w:r>
          </w:p>
        </w:tc>
        <w:tc>
          <w:tcPr>
            <w:tcW w:w="1260" w:type="dxa"/>
            <w:tcBorders>
              <w:top w:val="nil"/>
              <w:left w:val="nil"/>
              <w:bottom w:val="single" w:sz="4" w:space="0" w:color="auto"/>
              <w:right w:val="single" w:sz="4" w:space="0" w:color="auto"/>
            </w:tcBorders>
            <w:shd w:val="clear" w:color="auto" w:fill="auto"/>
            <w:noWrap/>
            <w:vAlign w:val="bottom"/>
            <w:hideMark/>
          </w:tcPr>
          <w:p w14:paraId="6D00DFA4" w14:textId="77777777" w:rsidR="00C3494F" w:rsidRPr="00926F55" w:rsidRDefault="00C3494F" w:rsidP="00C3494F">
            <w:pPr>
              <w:jc w:val="right"/>
              <w:rPr>
                <w:rFonts w:ascii="Arial" w:hAnsi="Arial" w:cs="Arial"/>
                <w:color w:val="000000"/>
                <w:sz w:val="20"/>
              </w:rPr>
            </w:pPr>
            <w:r w:rsidRPr="00926F55">
              <w:rPr>
                <w:rFonts w:ascii="Arial" w:hAnsi="Arial" w:cs="Arial"/>
                <w:color w:val="000000"/>
                <w:sz w:val="20"/>
              </w:rPr>
              <w:t>2</w:t>
            </w:r>
            <w:r>
              <w:rPr>
                <w:rFonts w:ascii="Arial" w:hAnsi="Arial" w:cs="Arial"/>
                <w:color w:val="000000"/>
                <w:sz w:val="20"/>
              </w:rPr>
              <w:t>9</w:t>
            </w:r>
          </w:p>
        </w:tc>
        <w:tc>
          <w:tcPr>
            <w:tcW w:w="1260" w:type="dxa"/>
            <w:tcBorders>
              <w:top w:val="nil"/>
              <w:left w:val="nil"/>
              <w:bottom w:val="single" w:sz="4" w:space="0" w:color="auto"/>
              <w:right w:val="single" w:sz="4" w:space="0" w:color="auto"/>
            </w:tcBorders>
            <w:shd w:val="clear" w:color="auto" w:fill="auto"/>
            <w:noWrap/>
            <w:vAlign w:val="bottom"/>
            <w:hideMark/>
          </w:tcPr>
          <w:p w14:paraId="55907BCE" w14:textId="77777777" w:rsidR="00C3494F" w:rsidRPr="00926F55" w:rsidRDefault="00C3494F" w:rsidP="00C3494F">
            <w:pPr>
              <w:jc w:val="right"/>
              <w:rPr>
                <w:rFonts w:ascii="Arial" w:hAnsi="Arial" w:cs="Arial"/>
                <w:color w:val="000000"/>
                <w:sz w:val="20"/>
              </w:rPr>
            </w:pPr>
            <w:r w:rsidRPr="00926F55">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22EA8280" w14:textId="77777777" w:rsidR="00C3494F" w:rsidRPr="00926F55" w:rsidRDefault="00C3494F" w:rsidP="00C3494F">
            <w:pPr>
              <w:jc w:val="right"/>
              <w:rPr>
                <w:rFonts w:ascii="Arial" w:hAnsi="Arial" w:cs="Arial"/>
                <w:color w:val="000000"/>
                <w:sz w:val="20"/>
              </w:rPr>
            </w:pPr>
            <w:r>
              <w:rPr>
                <w:rFonts w:ascii="Arial" w:hAnsi="Arial" w:cs="Arial"/>
                <w:color w:val="000000"/>
                <w:sz w:val="20"/>
              </w:rPr>
              <w:t>29</w:t>
            </w:r>
          </w:p>
        </w:tc>
        <w:tc>
          <w:tcPr>
            <w:tcW w:w="1260" w:type="dxa"/>
            <w:tcBorders>
              <w:top w:val="nil"/>
              <w:left w:val="nil"/>
              <w:bottom w:val="single" w:sz="4" w:space="0" w:color="auto"/>
              <w:right w:val="single" w:sz="4" w:space="0" w:color="auto"/>
            </w:tcBorders>
            <w:shd w:val="clear" w:color="auto" w:fill="auto"/>
            <w:noWrap/>
            <w:vAlign w:val="bottom"/>
            <w:hideMark/>
          </w:tcPr>
          <w:p w14:paraId="199D3B39" w14:textId="77777777" w:rsidR="00C3494F" w:rsidRPr="00926F55" w:rsidRDefault="00C3494F" w:rsidP="00C3494F">
            <w:pPr>
              <w:jc w:val="center"/>
              <w:rPr>
                <w:rFonts w:ascii="Arial" w:hAnsi="Arial" w:cs="Arial"/>
                <w:color w:val="000000"/>
                <w:sz w:val="20"/>
              </w:rPr>
            </w:pPr>
            <w:r>
              <w:rPr>
                <w:rFonts w:ascii="Arial" w:hAnsi="Arial" w:cs="Arial"/>
                <w:color w:val="000000"/>
                <w:sz w:val="20"/>
              </w:rPr>
              <w:t xml:space="preserve">              </w:t>
            </w:r>
            <w:r w:rsidRPr="00926F55">
              <w:rPr>
                <w:rFonts w:ascii="Arial" w:hAnsi="Arial" w:cs="Arial"/>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3FF5C190" w14:textId="77777777" w:rsidR="00C3494F" w:rsidRPr="00926F55" w:rsidRDefault="00C3494F" w:rsidP="00C3494F">
            <w:pPr>
              <w:jc w:val="right"/>
              <w:rPr>
                <w:rFonts w:ascii="Arial" w:hAnsi="Arial" w:cs="Arial"/>
                <w:color w:val="000000"/>
                <w:sz w:val="20"/>
              </w:rPr>
            </w:pPr>
            <w:r>
              <w:rPr>
                <w:rFonts w:ascii="Arial" w:hAnsi="Arial" w:cs="Arial"/>
                <w:color w:val="000000"/>
                <w:sz w:val="20"/>
              </w:rPr>
              <w:t>58</w:t>
            </w:r>
          </w:p>
        </w:tc>
        <w:tc>
          <w:tcPr>
            <w:tcW w:w="1226" w:type="dxa"/>
            <w:tcBorders>
              <w:top w:val="nil"/>
              <w:left w:val="nil"/>
              <w:bottom w:val="single" w:sz="4" w:space="0" w:color="auto"/>
              <w:right w:val="single" w:sz="4" w:space="0" w:color="auto"/>
            </w:tcBorders>
            <w:shd w:val="clear" w:color="auto" w:fill="auto"/>
            <w:noWrap/>
            <w:vAlign w:val="bottom"/>
            <w:hideMark/>
          </w:tcPr>
          <w:p w14:paraId="520F9292" w14:textId="08DB4E1B" w:rsidR="00C3494F" w:rsidRPr="00926F55" w:rsidRDefault="00C3494F" w:rsidP="00C3494F">
            <w:pPr>
              <w:rPr>
                <w:rFonts w:ascii="Arial" w:hAnsi="Arial" w:cs="Arial"/>
                <w:color w:val="000000"/>
                <w:sz w:val="20"/>
              </w:rPr>
            </w:pPr>
            <w:r>
              <w:rPr>
                <w:rFonts w:ascii="Arial" w:hAnsi="Arial" w:cs="Arial"/>
                <w:color w:val="000000"/>
                <w:sz w:val="20"/>
              </w:rPr>
              <w:t xml:space="preserve">$16,182       </w:t>
            </w:r>
          </w:p>
        </w:tc>
      </w:tr>
      <w:tr w:rsidR="00CD61DA" w:rsidRPr="00926F55" w14:paraId="6A318E98" w14:textId="77777777" w:rsidTr="002A048D">
        <w:trPr>
          <w:trHeight w:val="285"/>
        </w:trPr>
        <w:tc>
          <w:tcPr>
            <w:tcW w:w="1612" w:type="dxa"/>
            <w:tcBorders>
              <w:top w:val="nil"/>
              <w:left w:val="single" w:sz="4" w:space="0" w:color="auto"/>
              <w:bottom w:val="single" w:sz="4" w:space="0" w:color="auto"/>
              <w:right w:val="single" w:sz="4" w:space="0" w:color="auto"/>
            </w:tcBorders>
            <w:shd w:val="clear" w:color="auto" w:fill="auto"/>
            <w:vAlign w:val="bottom"/>
            <w:hideMark/>
          </w:tcPr>
          <w:p w14:paraId="78188CAB" w14:textId="77777777" w:rsidR="00C3494F" w:rsidRPr="00926F55" w:rsidRDefault="00C3494F" w:rsidP="00C3494F">
            <w:pPr>
              <w:rPr>
                <w:rFonts w:ascii="Arial" w:hAnsi="Arial" w:cs="Arial"/>
                <w:color w:val="000000"/>
                <w:sz w:val="20"/>
              </w:rPr>
            </w:pPr>
            <w:r w:rsidRPr="00926F55">
              <w:rPr>
                <w:rFonts w:ascii="Arial" w:hAnsi="Arial" w:cs="Arial"/>
                <w:color w:val="000000"/>
                <w:sz w:val="20"/>
              </w:rPr>
              <w:t>TOTAL</w:t>
            </w:r>
          </w:p>
        </w:tc>
        <w:tc>
          <w:tcPr>
            <w:tcW w:w="1530" w:type="dxa"/>
            <w:tcBorders>
              <w:top w:val="nil"/>
              <w:left w:val="single" w:sz="4" w:space="0" w:color="auto"/>
              <w:bottom w:val="single" w:sz="4" w:space="0" w:color="auto"/>
              <w:right w:val="single" w:sz="4" w:space="0" w:color="auto"/>
            </w:tcBorders>
            <w:shd w:val="clear" w:color="auto" w:fill="auto"/>
            <w:vAlign w:val="bottom"/>
          </w:tcPr>
          <w:p w14:paraId="60D96F6F" w14:textId="77777777" w:rsidR="00C3494F" w:rsidRPr="00FC175B" w:rsidRDefault="00C3494F" w:rsidP="00C3494F">
            <w:pPr>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bottom"/>
            <w:hideMark/>
          </w:tcPr>
          <w:p w14:paraId="1094E425" w14:textId="77777777" w:rsidR="00C3494F" w:rsidRPr="00926F55" w:rsidRDefault="00C3494F" w:rsidP="00C3494F">
            <w:pPr>
              <w:jc w:val="right"/>
              <w:rPr>
                <w:rFonts w:ascii="Arial" w:hAnsi="Arial" w:cs="Arial"/>
                <w:color w:val="000000"/>
                <w:sz w:val="20"/>
              </w:rPr>
            </w:pPr>
            <w:r>
              <w:rPr>
                <w:rFonts w:ascii="Arial" w:hAnsi="Arial" w:cs="Arial"/>
                <w:color w:val="000000"/>
                <w:sz w:val="20"/>
              </w:rPr>
              <w:t>136</w:t>
            </w:r>
          </w:p>
        </w:tc>
        <w:tc>
          <w:tcPr>
            <w:tcW w:w="1260" w:type="dxa"/>
            <w:tcBorders>
              <w:top w:val="nil"/>
              <w:left w:val="nil"/>
              <w:bottom w:val="single" w:sz="4" w:space="0" w:color="auto"/>
              <w:right w:val="single" w:sz="4" w:space="0" w:color="auto"/>
            </w:tcBorders>
            <w:shd w:val="clear" w:color="auto" w:fill="auto"/>
            <w:noWrap/>
            <w:vAlign w:val="bottom"/>
            <w:hideMark/>
          </w:tcPr>
          <w:p w14:paraId="3B012BB8" w14:textId="77777777" w:rsidR="00C3494F" w:rsidRPr="00926F55" w:rsidRDefault="00C3494F" w:rsidP="00C3494F">
            <w:pPr>
              <w:rPr>
                <w:rFonts w:ascii="Arial" w:hAnsi="Arial" w:cs="Arial"/>
                <w:color w:val="000000"/>
                <w:sz w:val="20"/>
              </w:rPr>
            </w:pPr>
            <w:r w:rsidRPr="00926F55">
              <w:rPr>
                <w:rFonts w:ascii="Arial" w:hAnsi="Arial" w:cs="Arial"/>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6F7083D" w14:textId="77777777" w:rsidR="00C3494F" w:rsidRPr="00926F55" w:rsidRDefault="00C3494F" w:rsidP="00C3494F">
            <w:pPr>
              <w:jc w:val="right"/>
              <w:rPr>
                <w:rFonts w:ascii="Arial" w:hAnsi="Arial" w:cs="Arial"/>
                <w:color w:val="000000"/>
                <w:sz w:val="20"/>
              </w:rPr>
            </w:pPr>
            <w:r>
              <w:rPr>
                <w:rFonts w:ascii="Arial" w:hAnsi="Arial" w:cs="Arial"/>
                <w:color w:val="000000"/>
                <w:sz w:val="20"/>
              </w:rPr>
              <w:t>2,809</w:t>
            </w:r>
          </w:p>
        </w:tc>
        <w:tc>
          <w:tcPr>
            <w:tcW w:w="1260" w:type="dxa"/>
            <w:tcBorders>
              <w:top w:val="nil"/>
              <w:left w:val="nil"/>
              <w:bottom w:val="single" w:sz="4" w:space="0" w:color="auto"/>
              <w:right w:val="single" w:sz="4" w:space="0" w:color="auto"/>
            </w:tcBorders>
            <w:shd w:val="clear" w:color="auto" w:fill="auto"/>
            <w:noWrap/>
            <w:vAlign w:val="bottom"/>
            <w:hideMark/>
          </w:tcPr>
          <w:p w14:paraId="3E03D032" w14:textId="77777777" w:rsidR="00C3494F" w:rsidRPr="00926F55" w:rsidRDefault="00C3494F" w:rsidP="00C3494F">
            <w:pPr>
              <w:rPr>
                <w:rFonts w:ascii="Arial" w:hAnsi="Arial" w:cs="Arial"/>
                <w:color w:val="000000"/>
                <w:sz w:val="20"/>
              </w:rPr>
            </w:pPr>
            <w:r w:rsidRPr="00926F55">
              <w:rPr>
                <w:rFonts w:ascii="Arial" w:hAnsi="Arial" w:cs="Arial"/>
                <w:color w:val="000000"/>
                <w:sz w:val="20"/>
              </w:rPr>
              <w:t> </w:t>
            </w:r>
            <w:r>
              <w:rPr>
                <w:rFonts w:ascii="Arial" w:hAnsi="Arial" w:cs="Arial"/>
                <w:color w:val="000000"/>
                <w:sz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3356E54F" w14:textId="77777777" w:rsidR="00C3494F" w:rsidRPr="00926F55" w:rsidRDefault="00C3494F" w:rsidP="00C3494F">
            <w:pPr>
              <w:jc w:val="right"/>
              <w:rPr>
                <w:rFonts w:ascii="Arial" w:hAnsi="Arial" w:cs="Arial"/>
                <w:color w:val="000000"/>
                <w:sz w:val="20"/>
              </w:rPr>
            </w:pPr>
            <w:r>
              <w:rPr>
                <w:rFonts w:ascii="Arial" w:hAnsi="Arial" w:cs="Arial"/>
                <w:color w:val="000000"/>
                <w:sz w:val="20"/>
              </w:rPr>
              <w:t>793</w:t>
            </w:r>
          </w:p>
        </w:tc>
        <w:tc>
          <w:tcPr>
            <w:tcW w:w="1226" w:type="dxa"/>
            <w:tcBorders>
              <w:top w:val="nil"/>
              <w:left w:val="nil"/>
              <w:bottom w:val="single" w:sz="4" w:space="0" w:color="auto"/>
              <w:right w:val="single" w:sz="4" w:space="0" w:color="auto"/>
            </w:tcBorders>
            <w:shd w:val="clear" w:color="auto" w:fill="auto"/>
            <w:noWrap/>
            <w:vAlign w:val="bottom"/>
            <w:hideMark/>
          </w:tcPr>
          <w:p w14:paraId="27A7C4B1" w14:textId="605006E5" w:rsidR="00C3494F" w:rsidRPr="00926F55" w:rsidRDefault="00C3494F" w:rsidP="00C3494F">
            <w:pPr>
              <w:rPr>
                <w:rFonts w:ascii="Arial" w:hAnsi="Arial" w:cs="Arial"/>
                <w:color w:val="000000"/>
                <w:sz w:val="20"/>
              </w:rPr>
            </w:pPr>
            <w:r>
              <w:rPr>
                <w:rFonts w:ascii="Arial" w:hAnsi="Arial" w:cs="Arial"/>
                <w:color w:val="000000"/>
                <w:sz w:val="20"/>
              </w:rPr>
              <w:t xml:space="preserve">$221,247    </w:t>
            </w:r>
          </w:p>
        </w:tc>
      </w:tr>
    </w:tbl>
    <w:p w14:paraId="0A384453"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2BA1D53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675F16A9"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45F55040"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6F146E94"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7DE320F8"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0D74B804"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51C436E9"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6F7B7118"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6DAE877F"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5B9114FC"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67DEFF81"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70FCF0A5"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32A8E2A7"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140BEC20"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286E37BB"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275CCBF0"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14:paraId="2E088936" w14:textId="77777777" w:rsidR="00904BBB" w:rsidRDefault="00904BBB"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bookmarkStart w:id="0" w:name="_GoBack"/>
      <w:bookmarkEnd w:id="0"/>
    </w:p>
    <w:p w14:paraId="7A7E114C" w14:textId="79257C05" w:rsidR="0023045D" w:rsidRPr="00926F55"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sidRPr="00926F55">
        <w:rPr>
          <w:rFonts w:ascii="Arial" w:hAnsi="Arial"/>
          <w:b/>
          <w:sz w:val="22"/>
        </w:rPr>
        <w:t>TABLE 2</w:t>
      </w:r>
      <w:r>
        <w:rPr>
          <w:rFonts w:ascii="Arial" w:hAnsi="Arial"/>
          <w:b/>
          <w:sz w:val="22"/>
        </w:rPr>
        <w:t>.</w:t>
      </w:r>
    </w:p>
    <w:p w14:paraId="516A7AC8" w14:textId="77777777" w:rsidR="0023045D" w:rsidRPr="00926F55"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sidRPr="00926F55">
        <w:rPr>
          <w:rFonts w:ascii="Arial" w:hAnsi="Arial"/>
          <w:b/>
          <w:sz w:val="22"/>
        </w:rPr>
        <w:t>ANNUAL RECORDKEEPING BURDEN</w:t>
      </w:r>
    </w:p>
    <w:p w14:paraId="7CF53354"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tbl>
      <w:tblPr>
        <w:tblW w:w="9360" w:type="dxa"/>
        <w:tblInd w:w="93" w:type="dxa"/>
        <w:tblLook w:val="04A0" w:firstRow="1" w:lastRow="0" w:firstColumn="1" w:lastColumn="0" w:noHBand="0" w:noVBand="1"/>
      </w:tblPr>
      <w:tblGrid>
        <w:gridCol w:w="1695"/>
        <w:gridCol w:w="1328"/>
        <w:gridCol w:w="1780"/>
        <w:gridCol w:w="1720"/>
        <w:gridCol w:w="1600"/>
        <w:gridCol w:w="1700"/>
      </w:tblGrid>
      <w:tr w:rsidR="002D35C5" w:rsidRPr="00926F55" w14:paraId="6B87BC00" w14:textId="77777777" w:rsidTr="00320102">
        <w:trPr>
          <w:trHeight w:val="510"/>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F1433" w14:textId="77777777" w:rsidR="002D35C5" w:rsidRPr="00926F55" w:rsidRDefault="002D35C5" w:rsidP="00C62985">
            <w:pPr>
              <w:jc w:val="center"/>
              <w:rPr>
                <w:rFonts w:ascii="Arial" w:hAnsi="Arial" w:cs="Arial"/>
                <w:b/>
                <w:bCs/>
                <w:color w:val="000000"/>
                <w:sz w:val="20"/>
              </w:rPr>
            </w:pPr>
            <w:r w:rsidRPr="00926F55">
              <w:rPr>
                <w:rFonts w:ascii="Arial" w:hAnsi="Arial" w:cs="Arial"/>
                <w:b/>
                <w:bCs/>
                <w:color w:val="000000"/>
                <w:sz w:val="20"/>
              </w:rPr>
              <w:t>Section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E76DDF0" w14:textId="77777777" w:rsidR="002D35C5" w:rsidRPr="00926F55" w:rsidRDefault="002D35C5" w:rsidP="00C62985">
            <w:pPr>
              <w:jc w:val="center"/>
              <w:rPr>
                <w:rFonts w:ascii="Arial" w:hAnsi="Arial" w:cs="Arial"/>
                <w:b/>
                <w:bCs/>
                <w:color w:val="000000"/>
                <w:sz w:val="20"/>
              </w:rPr>
            </w:pPr>
            <w:r>
              <w:rPr>
                <w:rFonts w:ascii="Arial" w:hAnsi="Arial" w:cs="Arial"/>
                <w:b/>
                <w:bCs/>
                <w:color w:val="000000"/>
                <w:sz w:val="20"/>
              </w:rPr>
              <w:t>Description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12D323A" w14:textId="77777777" w:rsidR="002D35C5" w:rsidRPr="00926F55" w:rsidRDefault="002D35C5" w:rsidP="00C62985">
            <w:pPr>
              <w:jc w:val="center"/>
              <w:rPr>
                <w:rFonts w:ascii="Arial" w:hAnsi="Arial" w:cs="Arial"/>
                <w:b/>
                <w:bCs/>
                <w:color w:val="000000"/>
                <w:sz w:val="20"/>
              </w:rPr>
            </w:pPr>
            <w:r w:rsidRPr="00926F55">
              <w:rPr>
                <w:rFonts w:ascii="Arial" w:hAnsi="Arial" w:cs="Arial"/>
                <w:b/>
                <w:bCs/>
                <w:color w:val="000000"/>
                <w:sz w:val="20"/>
              </w:rPr>
              <w:t>Number of Record</w:t>
            </w:r>
            <w:r>
              <w:rPr>
                <w:rFonts w:ascii="Arial" w:hAnsi="Arial" w:cs="Arial"/>
                <w:b/>
                <w:bCs/>
                <w:color w:val="000000"/>
                <w:sz w:val="20"/>
              </w:rPr>
              <w:t xml:space="preserve"> </w:t>
            </w:r>
            <w:r w:rsidRPr="00926F55">
              <w:rPr>
                <w:rFonts w:ascii="Arial" w:hAnsi="Arial" w:cs="Arial"/>
                <w:b/>
                <w:bCs/>
                <w:color w:val="000000"/>
                <w:sz w:val="20"/>
              </w:rPr>
              <w:t>keepers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DECC698" w14:textId="77777777" w:rsidR="002D35C5" w:rsidRPr="00926F55" w:rsidRDefault="002D35C5" w:rsidP="00C62985">
            <w:pPr>
              <w:jc w:val="center"/>
              <w:rPr>
                <w:rFonts w:ascii="Arial" w:hAnsi="Arial" w:cs="Arial"/>
                <w:b/>
                <w:bCs/>
                <w:color w:val="000000"/>
                <w:sz w:val="20"/>
              </w:rPr>
            </w:pPr>
            <w:r w:rsidRPr="00926F55">
              <w:rPr>
                <w:rFonts w:ascii="Arial" w:hAnsi="Arial" w:cs="Arial"/>
                <w:b/>
                <w:bCs/>
                <w:color w:val="000000"/>
                <w:sz w:val="20"/>
              </w:rPr>
              <w:t>Hours per Record</w:t>
            </w:r>
            <w:r>
              <w:rPr>
                <w:rFonts w:ascii="Arial" w:hAnsi="Arial" w:cs="Arial"/>
                <w:b/>
                <w:bCs/>
                <w:color w:val="000000"/>
                <w:sz w:val="20"/>
              </w:rPr>
              <w:t xml:space="preserve"> </w:t>
            </w:r>
            <w:r w:rsidRPr="00926F55">
              <w:rPr>
                <w:rFonts w:ascii="Arial" w:hAnsi="Arial" w:cs="Arial"/>
                <w:b/>
                <w:bCs/>
                <w:color w:val="000000"/>
                <w:sz w:val="20"/>
              </w:rPr>
              <w:t>keeper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F8B81CC" w14:textId="77777777" w:rsidR="002D35C5" w:rsidRPr="00926F55" w:rsidRDefault="002D35C5" w:rsidP="00C62985">
            <w:pPr>
              <w:jc w:val="center"/>
              <w:rPr>
                <w:rFonts w:ascii="Arial" w:hAnsi="Arial" w:cs="Arial"/>
                <w:b/>
                <w:bCs/>
                <w:color w:val="000000"/>
                <w:sz w:val="20"/>
              </w:rPr>
            </w:pPr>
            <w:r w:rsidRPr="00926F55">
              <w:rPr>
                <w:rFonts w:ascii="Arial" w:hAnsi="Arial" w:cs="Arial"/>
                <w:b/>
                <w:bCs/>
                <w:color w:val="000000"/>
                <w:sz w:val="20"/>
              </w:rPr>
              <w:t>Burden Hours</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5FF3B03" w14:textId="77777777" w:rsidR="002D35C5" w:rsidRPr="00926F55" w:rsidRDefault="002D35C5" w:rsidP="00C62985">
            <w:pPr>
              <w:rPr>
                <w:rFonts w:ascii="Arial" w:hAnsi="Arial" w:cs="Arial"/>
                <w:b/>
                <w:bCs/>
                <w:color w:val="000000"/>
                <w:sz w:val="20"/>
              </w:rPr>
            </w:pPr>
            <w:r w:rsidRPr="00926F55">
              <w:rPr>
                <w:rFonts w:ascii="Arial" w:hAnsi="Arial" w:cs="Arial"/>
                <w:b/>
                <w:bCs/>
                <w:color w:val="000000"/>
                <w:sz w:val="20"/>
              </w:rPr>
              <w:t>Cost at $27</w:t>
            </w:r>
            <w:r>
              <w:rPr>
                <w:rFonts w:ascii="Arial" w:hAnsi="Arial" w:cs="Arial"/>
                <w:b/>
                <w:bCs/>
                <w:color w:val="000000"/>
                <w:sz w:val="20"/>
              </w:rPr>
              <w:t>9</w:t>
            </w:r>
            <w:r w:rsidRPr="00926F55">
              <w:rPr>
                <w:rFonts w:ascii="Arial" w:hAnsi="Arial" w:cs="Arial"/>
                <w:b/>
                <w:bCs/>
                <w:color w:val="000000"/>
                <w:sz w:val="20"/>
              </w:rPr>
              <w:t>/hr</w:t>
            </w:r>
          </w:p>
        </w:tc>
      </w:tr>
      <w:tr w:rsidR="002D35C5" w:rsidRPr="00926F55" w14:paraId="3786F9C2" w14:textId="77777777" w:rsidTr="00320102">
        <w:trPr>
          <w:trHeight w:val="28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1444B01" w14:textId="77777777" w:rsidR="002D35C5" w:rsidRPr="00926F55" w:rsidRDefault="002D35C5" w:rsidP="00C62985">
            <w:pPr>
              <w:rPr>
                <w:rFonts w:ascii="Arial" w:hAnsi="Arial" w:cs="Arial"/>
                <w:color w:val="000000"/>
                <w:sz w:val="20"/>
              </w:rPr>
            </w:pPr>
            <w:r w:rsidRPr="00926F55">
              <w:rPr>
                <w:rFonts w:ascii="Arial" w:hAnsi="Arial" w:cs="Arial"/>
                <w:color w:val="000000"/>
                <w:sz w:val="20"/>
              </w:rPr>
              <w:t>110.53(b)(1)&amp;(2)</w:t>
            </w:r>
          </w:p>
        </w:tc>
        <w:tc>
          <w:tcPr>
            <w:tcW w:w="1280" w:type="dxa"/>
            <w:tcBorders>
              <w:top w:val="nil"/>
              <w:left w:val="single" w:sz="4" w:space="0" w:color="auto"/>
              <w:bottom w:val="single" w:sz="4" w:space="0" w:color="auto"/>
              <w:right w:val="single" w:sz="4" w:space="0" w:color="auto"/>
            </w:tcBorders>
            <w:shd w:val="clear" w:color="auto" w:fill="auto"/>
            <w:vAlign w:val="bottom"/>
          </w:tcPr>
          <w:p w14:paraId="43FE3AB5" w14:textId="77777777" w:rsidR="002D35C5" w:rsidRPr="00926F55" w:rsidRDefault="002D35C5" w:rsidP="00C62985">
            <w:pPr>
              <w:rPr>
                <w:rFonts w:ascii="Arial" w:hAnsi="Arial" w:cs="Arial"/>
                <w:color w:val="000000"/>
                <w:sz w:val="20"/>
              </w:rPr>
            </w:pPr>
            <w:r>
              <w:rPr>
                <w:rFonts w:ascii="Arial" w:hAnsi="Arial" w:cs="Arial"/>
                <w:color w:val="000000"/>
                <w:sz w:val="20"/>
              </w:rPr>
              <w:t xml:space="preserve">(1)- Describes record retention periods, and (2)-describes record storage methods and reproduction capabilities  </w:t>
            </w:r>
          </w:p>
        </w:tc>
        <w:tc>
          <w:tcPr>
            <w:tcW w:w="1780" w:type="dxa"/>
            <w:tcBorders>
              <w:top w:val="nil"/>
              <w:left w:val="nil"/>
              <w:bottom w:val="single" w:sz="4" w:space="0" w:color="auto"/>
              <w:right w:val="single" w:sz="4" w:space="0" w:color="auto"/>
            </w:tcBorders>
            <w:shd w:val="clear" w:color="auto" w:fill="auto"/>
            <w:noWrap/>
            <w:vAlign w:val="bottom"/>
            <w:hideMark/>
          </w:tcPr>
          <w:p w14:paraId="0B1F0753" w14:textId="77777777" w:rsidR="002D35C5" w:rsidRDefault="002D35C5" w:rsidP="00603DF0">
            <w:pPr>
              <w:jc w:val="right"/>
              <w:rPr>
                <w:rFonts w:ascii="Arial" w:hAnsi="Arial" w:cs="Arial"/>
                <w:color w:val="000000"/>
                <w:sz w:val="20"/>
              </w:rPr>
            </w:pPr>
            <w:r>
              <w:rPr>
                <w:rFonts w:ascii="Arial" w:hAnsi="Arial" w:cs="Arial"/>
                <w:color w:val="000000"/>
                <w:sz w:val="20"/>
              </w:rPr>
              <w:t>136</w:t>
            </w:r>
          </w:p>
        </w:tc>
        <w:tc>
          <w:tcPr>
            <w:tcW w:w="1720" w:type="dxa"/>
            <w:tcBorders>
              <w:top w:val="nil"/>
              <w:left w:val="nil"/>
              <w:bottom w:val="single" w:sz="4" w:space="0" w:color="auto"/>
              <w:right w:val="single" w:sz="4" w:space="0" w:color="auto"/>
            </w:tcBorders>
            <w:shd w:val="clear" w:color="auto" w:fill="auto"/>
            <w:noWrap/>
            <w:vAlign w:val="bottom"/>
            <w:hideMark/>
          </w:tcPr>
          <w:p w14:paraId="4068BF43" w14:textId="77777777" w:rsidR="002D35C5" w:rsidRDefault="002D35C5" w:rsidP="00C62985">
            <w:pPr>
              <w:jc w:val="right"/>
              <w:rPr>
                <w:rFonts w:ascii="Arial" w:hAnsi="Arial" w:cs="Arial"/>
                <w:color w:val="000000"/>
                <w:sz w:val="20"/>
              </w:rPr>
            </w:pPr>
            <w:r>
              <w:rPr>
                <w:rFonts w:ascii="Arial" w:hAnsi="Arial" w:cs="Arial"/>
                <w:color w:val="000000"/>
                <w:sz w:val="20"/>
              </w:rPr>
              <w:t>1</w:t>
            </w:r>
          </w:p>
        </w:tc>
        <w:tc>
          <w:tcPr>
            <w:tcW w:w="1600" w:type="dxa"/>
            <w:tcBorders>
              <w:top w:val="nil"/>
              <w:left w:val="nil"/>
              <w:bottom w:val="single" w:sz="4" w:space="0" w:color="auto"/>
              <w:right w:val="single" w:sz="4" w:space="0" w:color="auto"/>
            </w:tcBorders>
            <w:shd w:val="clear" w:color="auto" w:fill="auto"/>
            <w:noWrap/>
            <w:vAlign w:val="bottom"/>
            <w:hideMark/>
          </w:tcPr>
          <w:p w14:paraId="0D7E4B74" w14:textId="77777777" w:rsidR="002D35C5" w:rsidRDefault="002D35C5" w:rsidP="00C62985">
            <w:pPr>
              <w:jc w:val="right"/>
              <w:rPr>
                <w:rFonts w:ascii="Arial" w:hAnsi="Arial" w:cs="Arial"/>
                <w:color w:val="000000"/>
                <w:sz w:val="20"/>
              </w:rPr>
            </w:pPr>
            <w:r>
              <w:rPr>
                <w:rFonts w:ascii="Arial" w:hAnsi="Arial" w:cs="Arial"/>
                <w:color w:val="000000"/>
                <w:sz w:val="20"/>
              </w:rPr>
              <w:t>136</w:t>
            </w:r>
          </w:p>
        </w:tc>
        <w:tc>
          <w:tcPr>
            <w:tcW w:w="1700" w:type="dxa"/>
            <w:tcBorders>
              <w:top w:val="nil"/>
              <w:left w:val="nil"/>
              <w:bottom w:val="single" w:sz="4" w:space="0" w:color="auto"/>
              <w:right w:val="single" w:sz="4" w:space="0" w:color="auto"/>
            </w:tcBorders>
            <w:shd w:val="clear" w:color="auto" w:fill="auto"/>
            <w:noWrap/>
            <w:vAlign w:val="bottom"/>
            <w:hideMark/>
          </w:tcPr>
          <w:p w14:paraId="41215A03" w14:textId="77777777" w:rsidR="002D35C5" w:rsidRDefault="002D35C5" w:rsidP="00603DF0">
            <w:pPr>
              <w:rPr>
                <w:rFonts w:ascii="Arial" w:hAnsi="Arial" w:cs="Arial"/>
                <w:color w:val="000000"/>
                <w:sz w:val="20"/>
              </w:rPr>
            </w:pPr>
            <w:r>
              <w:rPr>
                <w:rFonts w:ascii="Arial" w:hAnsi="Arial" w:cs="Arial"/>
                <w:color w:val="000000"/>
                <w:sz w:val="20"/>
              </w:rPr>
              <w:t xml:space="preserve"> $           37,944 </w:t>
            </w:r>
          </w:p>
        </w:tc>
      </w:tr>
    </w:tbl>
    <w:p w14:paraId="50286B0E"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399FE149"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45928842" w14:textId="77777777" w:rsidR="0023045D" w:rsidRPr="00926F55"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b/>
          <w:sz w:val="22"/>
        </w:rPr>
        <w:t>TABLE 3</w:t>
      </w:r>
    </w:p>
    <w:p w14:paraId="2182248B" w14:textId="77777777" w:rsidR="0023045D" w:rsidRPr="00926F55"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b/>
          <w:sz w:val="22"/>
        </w:rPr>
        <w:t xml:space="preserve">ANNUAL LICENSEE </w:t>
      </w:r>
      <w:r w:rsidRPr="00926F55">
        <w:rPr>
          <w:rFonts w:ascii="Arial" w:hAnsi="Arial"/>
          <w:b/>
          <w:sz w:val="22"/>
        </w:rPr>
        <w:t>BURDEN TOTALS</w:t>
      </w:r>
    </w:p>
    <w:p w14:paraId="18C0B6CD"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tbl>
      <w:tblPr>
        <w:tblW w:w="5938" w:type="dxa"/>
        <w:jc w:val="center"/>
        <w:tblLook w:val="04A0" w:firstRow="1" w:lastRow="0" w:firstColumn="1" w:lastColumn="0" w:noHBand="0" w:noVBand="1"/>
      </w:tblPr>
      <w:tblGrid>
        <w:gridCol w:w="2320"/>
        <w:gridCol w:w="1284"/>
        <w:gridCol w:w="794"/>
        <w:gridCol w:w="1540"/>
      </w:tblGrid>
      <w:tr w:rsidR="0023045D" w14:paraId="3576C708" w14:textId="77777777" w:rsidTr="00C62985">
        <w:trPr>
          <w:trHeight w:val="288"/>
          <w:jc w:val="center"/>
        </w:trPr>
        <w:tc>
          <w:tcPr>
            <w:tcW w:w="2320" w:type="dxa"/>
            <w:tcBorders>
              <w:top w:val="nil"/>
              <w:left w:val="nil"/>
              <w:bottom w:val="nil"/>
              <w:right w:val="nil"/>
            </w:tcBorders>
            <w:shd w:val="clear" w:color="auto" w:fill="auto"/>
            <w:noWrap/>
            <w:vAlign w:val="bottom"/>
            <w:hideMark/>
          </w:tcPr>
          <w:p w14:paraId="343182D5" w14:textId="77777777" w:rsidR="0023045D" w:rsidRDefault="0023045D" w:rsidP="00C62985">
            <w:pPr>
              <w:rPr>
                <w:rFonts w:ascii="Arial" w:hAnsi="Arial" w:cs="Arial"/>
                <w:color w:val="000000"/>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4ED3C" w14:textId="77777777" w:rsidR="0023045D" w:rsidRDefault="0023045D" w:rsidP="00C62985">
            <w:pPr>
              <w:jc w:val="center"/>
              <w:rPr>
                <w:rFonts w:ascii="Arial" w:hAnsi="Arial" w:cs="Arial"/>
                <w:b/>
                <w:bCs/>
                <w:color w:val="000000"/>
                <w:sz w:val="20"/>
              </w:rPr>
            </w:pPr>
            <w:r>
              <w:rPr>
                <w:rFonts w:ascii="Arial" w:hAnsi="Arial" w:cs="Arial"/>
                <w:b/>
                <w:bCs/>
                <w:color w:val="000000"/>
                <w:sz w:val="20"/>
              </w:rPr>
              <w:t>Responses</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14:paraId="22BDF80E" w14:textId="77777777" w:rsidR="0023045D" w:rsidRDefault="0023045D" w:rsidP="00C62985">
            <w:pPr>
              <w:jc w:val="center"/>
              <w:rPr>
                <w:rFonts w:ascii="Arial" w:hAnsi="Arial" w:cs="Arial"/>
                <w:b/>
                <w:bCs/>
                <w:color w:val="000000"/>
                <w:sz w:val="20"/>
              </w:rPr>
            </w:pPr>
            <w:r>
              <w:rPr>
                <w:rFonts w:ascii="Arial" w:hAnsi="Arial" w:cs="Arial"/>
                <w:b/>
                <w:bCs/>
                <w:color w:val="000000"/>
                <w:sz w:val="20"/>
              </w:rPr>
              <w:t>Hours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CE20215" w14:textId="77777777" w:rsidR="0023045D" w:rsidRDefault="0023045D" w:rsidP="00C62985">
            <w:pPr>
              <w:jc w:val="center"/>
              <w:rPr>
                <w:rFonts w:ascii="Arial" w:hAnsi="Arial" w:cs="Arial"/>
                <w:b/>
                <w:bCs/>
                <w:color w:val="000000"/>
                <w:sz w:val="20"/>
              </w:rPr>
            </w:pPr>
            <w:r>
              <w:rPr>
                <w:rFonts w:ascii="Arial" w:hAnsi="Arial" w:cs="Arial"/>
                <w:b/>
                <w:bCs/>
                <w:color w:val="000000"/>
                <w:sz w:val="20"/>
              </w:rPr>
              <w:t>Cost at $279/hr</w:t>
            </w:r>
          </w:p>
        </w:tc>
      </w:tr>
      <w:tr w:rsidR="0023045D" w14:paraId="4457172A" w14:textId="77777777" w:rsidTr="00C62985">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E4ADC" w14:textId="77777777" w:rsidR="0023045D" w:rsidRDefault="0023045D" w:rsidP="00C62985">
            <w:pPr>
              <w:rPr>
                <w:rFonts w:ascii="Arial" w:hAnsi="Arial" w:cs="Arial"/>
                <w:color w:val="000000"/>
                <w:sz w:val="20"/>
              </w:rPr>
            </w:pPr>
            <w:r>
              <w:rPr>
                <w:rFonts w:ascii="Arial" w:hAnsi="Arial" w:cs="Arial"/>
                <w:color w:val="000000"/>
                <w:sz w:val="20"/>
              </w:rPr>
              <w:t>Reporting</w:t>
            </w:r>
          </w:p>
        </w:tc>
        <w:tc>
          <w:tcPr>
            <w:tcW w:w="1284" w:type="dxa"/>
            <w:tcBorders>
              <w:top w:val="nil"/>
              <w:left w:val="nil"/>
              <w:bottom w:val="single" w:sz="4" w:space="0" w:color="auto"/>
              <w:right w:val="single" w:sz="4" w:space="0" w:color="auto"/>
            </w:tcBorders>
            <w:shd w:val="clear" w:color="auto" w:fill="auto"/>
            <w:noWrap/>
            <w:vAlign w:val="bottom"/>
            <w:hideMark/>
          </w:tcPr>
          <w:p w14:paraId="274AA24E" w14:textId="77777777" w:rsidR="0023045D" w:rsidRDefault="0023045D" w:rsidP="00C62985">
            <w:pPr>
              <w:rPr>
                <w:rFonts w:ascii="Arial" w:hAnsi="Arial" w:cs="Arial"/>
                <w:color w:val="000000"/>
                <w:sz w:val="20"/>
              </w:rPr>
            </w:pPr>
            <w:r>
              <w:rPr>
                <w:rFonts w:ascii="Arial" w:hAnsi="Arial" w:cs="Arial"/>
                <w:color w:val="000000"/>
                <w:sz w:val="20"/>
              </w:rPr>
              <w:t xml:space="preserve">        2,809 </w:t>
            </w:r>
          </w:p>
        </w:tc>
        <w:tc>
          <w:tcPr>
            <w:tcW w:w="794" w:type="dxa"/>
            <w:tcBorders>
              <w:top w:val="nil"/>
              <w:left w:val="nil"/>
              <w:bottom w:val="single" w:sz="4" w:space="0" w:color="auto"/>
              <w:right w:val="single" w:sz="4" w:space="0" w:color="auto"/>
            </w:tcBorders>
            <w:shd w:val="clear" w:color="auto" w:fill="auto"/>
            <w:noWrap/>
            <w:vAlign w:val="bottom"/>
            <w:hideMark/>
          </w:tcPr>
          <w:p w14:paraId="75414FA4" w14:textId="77777777" w:rsidR="0023045D" w:rsidRDefault="0023045D" w:rsidP="00C62985">
            <w:pPr>
              <w:rPr>
                <w:rFonts w:ascii="Arial" w:hAnsi="Arial" w:cs="Arial"/>
                <w:color w:val="000000"/>
                <w:sz w:val="20"/>
              </w:rPr>
            </w:pPr>
            <w:r>
              <w:rPr>
                <w:rFonts w:ascii="Arial" w:hAnsi="Arial" w:cs="Arial"/>
                <w:color w:val="000000"/>
                <w:sz w:val="20"/>
              </w:rPr>
              <w:t xml:space="preserve">    793</w:t>
            </w:r>
          </w:p>
        </w:tc>
        <w:tc>
          <w:tcPr>
            <w:tcW w:w="1540" w:type="dxa"/>
            <w:tcBorders>
              <w:top w:val="nil"/>
              <w:left w:val="nil"/>
              <w:bottom w:val="single" w:sz="4" w:space="0" w:color="auto"/>
              <w:right w:val="single" w:sz="4" w:space="0" w:color="auto"/>
            </w:tcBorders>
            <w:shd w:val="clear" w:color="auto" w:fill="auto"/>
            <w:noWrap/>
            <w:vAlign w:val="bottom"/>
            <w:hideMark/>
          </w:tcPr>
          <w:p w14:paraId="65994774" w14:textId="77777777" w:rsidR="0023045D" w:rsidRDefault="0023045D" w:rsidP="00C62985">
            <w:pPr>
              <w:rPr>
                <w:rFonts w:ascii="Arial" w:hAnsi="Arial" w:cs="Arial"/>
                <w:color w:val="000000"/>
                <w:sz w:val="20"/>
              </w:rPr>
            </w:pPr>
            <w:r>
              <w:rPr>
                <w:rFonts w:ascii="Arial" w:hAnsi="Arial" w:cs="Arial"/>
                <w:color w:val="000000"/>
                <w:sz w:val="20"/>
              </w:rPr>
              <w:t xml:space="preserve"> $      221,247 </w:t>
            </w:r>
          </w:p>
        </w:tc>
      </w:tr>
      <w:tr w:rsidR="0023045D" w14:paraId="1AF0333F" w14:textId="77777777" w:rsidTr="00C62985">
        <w:trPr>
          <w:trHeight w:val="288"/>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C2080EB" w14:textId="77777777" w:rsidR="0023045D" w:rsidRDefault="0023045D" w:rsidP="00C62985">
            <w:pPr>
              <w:rPr>
                <w:rFonts w:ascii="Arial" w:hAnsi="Arial" w:cs="Arial"/>
                <w:color w:val="000000"/>
                <w:sz w:val="20"/>
              </w:rPr>
            </w:pPr>
            <w:r>
              <w:rPr>
                <w:rFonts w:ascii="Arial" w:hAnsi="Arial" w:cs="Arial"/>
                <w:color w:val="000000"/>
                <w:sz w:val="20"/>
              </w:rPr>
              <w:t>Recordkeeping</w:t>
            </w:r>
          </w:p>
        </w:tc>
        <w:tc>
          <w:tcPr>
            <w:tcW w:w="1284" w:type="dxa"/>
            <w:tcBorders>
              <w:top w:val="nil"/>
              <w:left w:val="nil"/>
              <w:bottom w:val="single" w:sz="4" w:space="0" w:color="auto"/>
              <w:right w:val="single" w:sz="4" w:space="0" w:color="auto"/>
            </w:tcBorders>
            <w:shd w:val="clear" w:color="auto" w:fill="auto"/>
            <w:noWrap/>
            <w:vAlign w:val="bottom"/>
            <w:hideMark/>
          </w:tcPr>
          <w:p w14:paraId="65FEAF54" w14:textId="77777777" w:rsidR="0023045D" w:rsidRDefault="0023045D" w:rsidP="00603DF0">
            <w:pPr>
              <w:rPr>
                <w:rFonts w:ascii="Arial" w:hAnsi="Arial" w:cs="Arial"/>
                <w:color w:val="000000"/>
                <w:sz w:val="20"/>
              </w:rPr>
            </w:pPr>
            <w:r>
              <w:rPr>
                <w:rFonts w:ascii="Arial" w:hAnsi="Arial" w:cs="Arial"/>
                <w:color w:val="000000"/>
                <w:sz w:val="20"/>
              </w:rPr>
              <w:t xml:space="preserve">           </w:t>
            </w:r>
            <w:r w:rsidR="00603DF0">
              <w:rPr>
                <w:rFonts w:ascii="Arial" w:hAnsi="Arial" w:cs="Arial"/>
                <w:color w:val="000000"/>
                <w:sz w:val="20"/>
              </w:rPr>
              <w:t>136</w:t>
            </w:r>
            <w:r>
              <w:rPr>
                <w:rFonts w:ascii="Arial" w:hAnsi="Arial" w:cs="Arial"/>
                <w:color w:val="000000"/>
                <w:sz w:val="20"/>
              </w:rPr>
              <w:t xml:space="preserve"> </w:t>
            </w:r>
          </w:p>
        </w:tc>
        <w:tc>
          <w:tcPr>
            <w:tcW w:w="794" w:type="dxa"/>
            <w:tcBorders>
              <w:top w:val="nil"/>
              <w:left w:val="nil"/>
              <w:bottom w:val="single" w:sz="4" w:space="0" w:color="auto"/>
              <w:right w:val="single" w:sz="4" w:space="0" w:color="auto"/>
            </w:tcBorders>
            <w:shd w:val="clear" w:color="auto" w:fill="auto"/>
            <w:noWrap/>
            <w:vAlign w:val="bottom"/>
            <w:hideMark/>
          </w:tcPr>
          <w:p w14:paraId="7699224C" w14:textId="77777777" w:rsidR="0023045D" w:rsidRDefault="0023045D" w:rsidP="00603DF0">
            <w:pPr>
              <w:rPr>
                <w:rFonts w:ascii="Arial" w:hAnsi="Arial" w:cs="Arial"/>
                <w:color w:val="000000"/>
                <w:sz w:val="20"/>
              </w:rPr>
            </w:pPr>
            <w:r>
              <w:rPr>
                <w:rFonts w:ascii="Arial" w:hAnsi="Arial" w:cs="Arial"/>
                <w:color w:val="000000"/>
                <w:sz w:val="20"/>
              </w:rPr>
              <w:t xml:space="preserve">    </w:t>
            </w:r>
            <w:r w:rsidR="00603DF0">
              <w:rPr>
                <w:rFonts w:ascii="Arial" w:hAnsi="Arial" w:cs="Arial"/>
                <w:color w:val="000000"/>
                <w:sz w:val="20"/>
              </w:rPr>
              <w:t>136</w:t>
            </w:r>
            <w:r>
              <w:rPr>
                <w:rFonts w:ascii="Arial" w:hAnsi="Arial" w:cs="Arial"/>
                <w:color w:val="000000"/>
                <w:sz w:val="20"/>
              </w:rPr>
              <w:t xml:space="preserve"> </w:t>
            </w:r>
          </w:p>
        </w:tc>
        <w:tc>
          <w:tcPr>
            <w:tcW w:w="1540" w:type="dxa"/>
            <w:tcBorders>
              <w:top w:val="nil"/>
              <w:left w:val="nil"/>
              <w:bottom w:val="single" w:sz="4" w:space="0" w:color="auto"/>
              <w:right w:val="single" w:sz="4" w:space="0" w:color="auto"/>
            </w:tcBorders>
            <w:shd w:val="clear" w:color="auto" w:fill="auto"/>
            <w:noWrap/>
            <w:vAlign w:val="bottom"/>
            <w:hideMark/>
          </w:tcPr>
          <w:p w14:paraId="6BC5B651" w14:textId="77777777" w:rsidR="0023045D" w:rsidRDefault="0023045D" w:rsidP="00603DF0">
            <w:pPr>
              <w:rPr>
                <w:rFonts w:ascii="Arial" w:hAnsi="Arial" w:cs="Arial"/>
                <w:color w:val="000000"/>
                <w:sz w:val="20"/>
              </w:rPr>
            </w:pPr>
            <w:r>
              <w:rPr>
                <w:rFonts w:ascii="Arial" w:hAnsi="Arial" w:cs="Arial"/>
                <w:color w:val="000000"/>
                <w:sz w:val="20"/>
              </w:rPr>
              <w:t xml:space="preserve"> $        </w:t>
            </w:r>
            <w:r w:rsidR="00603DF0">
              <w:rPr>
                <w:rFonts w:ascii="Arial" w:hAnsi="Arial" w:cs="Arial"/>
                <w:color w:val="000000"/>
                <w:sz w:val="20"/>
              </w:rPr>
              <w:t>37,944</w:t>
            </w:r>
          </w:p>
        </w:tc>
      </w:tr>
      <w:tr w:rsidR="0023045D" w14:paraId="74579C63" w14:textId="77777777" w:rsidTr="00C62985">
        <w:trPr>
          <w:trHeight w:val="288"/>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BEAA812" w14:textId="77777777" w:rsidR="0023045D" w:rsidRDefault="0023045D" w:rsidP="00C62985">
            <w:pPr>
              <w:rPr>
                <w:rFonts w:ascii="Arial" w:hAnsi="Arial" w:cs="Arial"/>
                <w:color w:val="000000"/>
                <w:sz w:val="20"/>
              </w:rPr>
            </w:pPr>
            <w:r>
              <w:rPr>
                <w:rFonts w:ascii="Arial" w:hAnsi="Arial" w:cs="Arial"/>
                <w:color w:val="000000"/>
                <w:sz w:val="20"/>
              </w:rPr>
              <w:t>TOTAL</w:t>
            </w:r>
          </w:p>
        </w:tc>
        <w:tc>
          <w:tcPr>
            <w:tcW w:w="1284" w:type="dxa"/>
            <w:tcBorders>
              <w:top w:val="nil"/>
              <w:left w:val="nil"/>
              <w:bottom w:val="single" w:sz="4" w:space="0" w:color="auto"/>
              <w:right w:val="single" w:sz="4" w:space="0" w:color="auto"/>
            </w:tcBorders>
            <w:shd w:val="clear" w:color="auto" w:fill="auto"/>
            <w:noWrap/>
            <w:vAlign w:val="bottom"/>
            <w:hideMark/>
          </w:tcPr>
          <w:p w14:paraId="443E6626" w14:textId="77777777" w:rsidR="0023045D" w:rsidRDefault="0023045D" w:rsidP="00603DF0">
            <w:pPr>
              <w:rPr>
                <w:rFonts w:ascii="Arial" w:hAnsi="Arial" w:cs="Arial"/>
                <w:color w:val="000000"/>
                <w:sz w:val="20"/>
              </w:rPr>
            </w:pPr>
            <w:r>
              <w:rPr>
                <w:rFonts w:ascii="Arial" w:hAnsi="Arial" w:cs="Arial"/>
                <w:color w:val="000000"/>
                <w:sz w:val="20"/>
              </w:rPr>
              <w:t xml:space="preserve">        2,9</w:t>
            </w:r>
            <w:r w:rsidR="00603DF0">
              <w:rPr>
                <w:rFonts w:ascii="Arial" w:hAnsi="Arial" w:cs="Arial"/>
                <w:color w:val="000000"/>
                <w:sz w:val="20"/>
              </w:rPr>
              <w:t>45</w:t>
            </w:r>
            <w:r>
              <w:rPr>
                <w:rFonts w:ascii="Arial" w:hAnsi="Arial" w:cs="Arial"/>
                <w:color w:val="000000"/>
                <w:sz w:val="20"/>
              </w:rPr>
              <w:t xml:space="preserve"> </w:t>
            </w:r>
          </w:p>
        </w:tc>
        <w:tc>
          <w:tcPr>
            <w:tcW w:w="794" w:type="dxa"/>
            <w:tcBorders>
              <w:top w:val="nil"/>
              <w:left w:val="nil"/>
              <w:bottom w:val="single" w:sz="4" w:space="0" w:color="auto"/>
              <w:right w:val="single" w:sz="4" w:space="0" w:color="auto"/>
            </w:tcBorders>
            <w:shd w:val="clear" w:color="auto" w:fill="auto"/>
            <w:noWrap/>
            <w:vAlign w:val="bottom"/>
            <w:hideMark/>
          </w:tcPr>
          <w:p w14:paraId="28E18EB5" w14:textId="77777777" w:rsidR="0023045D" w:rsidRDefault="0023045D" w:rsidP="00603DF0">
            <w:pPr>
              <w:rPr>
                <w:rFonts w:ascii="Arial" w:hAnsi="Arial" w:cs="Arial"/>
                <w:color w:val="000000"/>
                <w:sz w:val="20"/>
              </w:rPr>
            </w:pPr>
            <w:r>
              <w:rPr>
                <w:rFonts w:ascii="Arial" w:hAnsi="Arial" w:cs="Arial"/>
                <w:color w:val="000000"/>
                <w:sz w:val="20"/>
              </w:rPr>
              <w:t xml:space="preserve">    9</w:t>
            </w:r>
            <w:r w:rsidR="00603DF0">
              <w:rPr>
                <w:rFonts w:ascii="Arial" w:hAnsi="Arial" w:cs="Arial"/>
                <w:color w:val="000000"/>
                <w:sz w:val="20"/>
              </w:rPr>
              <w:t>29</w:t>
            </w:r>
            <w:r>
              <w:rPr>
                <w:rFonts w:ascii="Arial" w:hAnsi="Arial" w:cs="Arial"/>
                <w:color w:val="000000"/>
                <w:sz w:val="20"/>
              </w:rPr>
              <w:t xml:space="preserve"> </w:t>
            </w:r>
          </w:p>
        </w:tc>
        <w:tc>
          <w:tcPr>
            <w:tcW w:w="1540" w:type="dxa"/>
            <w:tcBorders>
              <w:top w:val="nil"/>
              <w:left w:val="nil"/>
              <w:bottom w:val="single" w:sz="4" w:space="0" w:color="auto"/>
              <w:right w:val="single" w:sz="4" w:space="0" w:color="auto"/>
            </w:tcBorders>
            <w:shd w:val="clear" w:color="auto" w:fill="auto"/>
            <w:noWrap/>
            <w:vAlign w:val="bottom"/>
            <w:hideMark/>
          </w:tcPr>
          <w:p w14:paraId="702C737E" w14:textId="77777777" w:rsidR="0023045D" w:rsidRDefault="00603DF0" w:rsidP="00603DF0">
            <w:pPr>
              <w:rPr>
                <w:rFonts w:ascii="Arial" w:hAnsi="Arial" w:cs="Arial"/>
                <w:color w:val="000000"/>
                <w:sz w:val="20"/>
              </w:rPr>
            </w:pPr>
            <w:r>
              <w:rPr>
                <w:rFonts w:ascii="Arial" w:hAnsi="Arial" w:cs="Arial"/>
                <w:color w:val="000000"/>
                <w:sz w:val="20"/>
              </w:rPr>
              <w:t xml:space="preserve"> $      259,191</w:t>
            </w:r>
            <w:r w:rsidR="0023045D">
              <w:rPr>
                <w:rFonts w:ascii="Arial" w:hAnsi="Arial" w:cs="Arial"/>
                <w:color w:val="000000"/>
                <w:sz w:val="20"/>
              </w:rPr>
              <w:t xml:space="preserve"> </w:t>
            </w:r>
          </w:p>
        </w:tc>
      </w:tr>
    </w:tbl>
    <w:p w14:paraId="6017664B"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7CBC2D79" w14:textId="77777777" w:rsidR="0023045D" w:rsidRPr="00F547A1"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sz w:val="22"/>
        </w:rPr>
        <w:br w:type="page"/>
      </w:r>
      <w:r>
        <w:rPr>
          <w:rFonts w:ascii="Arial" w:hAnsi="Arial"/>
          <w:b/>
          <w:sz w:val="22"/>
        </w:rPr>
        <w:t>TABLE 4.</w:t>
      </w:r>
    </w:p>
    <w:p w14:paraId="5A29802E" w14:textId="77777777" w:rsidR="0023045D" w:rsidRPr="00F547A1"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sidRPr="00F547A1">
        <w:rPr>
          <w:rFonts w:ascii="Arial" w:hAnsi="Arial"/>
          <w:b/>
          <w:sz w:val="22"/>
        </w:rPr>
        <w:t>COSTS TO THE FEDERAL GOVERNMENT</w:t>
      </w:r>
    </w:p>
    <w:p w14:paraId="05273D0E" w14:textId="77777777" w:rsidR="0023045D" w:rsidRDefault="0023045D" w:rsidP="00230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tbl>
      <w:tblPr>
        <w:tblW w:w="9625" w:type="dxa"/>
        <w:jc w:val="center"/>
        <w:tblLayout w:type="fixed"/>
        <w:tblLook w:val="04A0" w:firstRow="1" w:lastRow="0" w:firstColumn="1" w:lastColumn="0" w:noHBand="0" w:noVBand="1"/>
      </w:tblPr>
      <w:tblGrid>
        <w:gridCol w:w="1795"/>
        <w:gridCol w:w="1530"/>
        <w:gridCol w:w="1260"/>
        <w:gridCol w:w="1170"/>
        <w:gridCol w:w="1170"/>
        <w:gridCol w:w="990"/>
        <w:gridCol w:w="630"/>
        <w:gridCol w:w="1080"/>
      </w:tblGrid>
      <w:tr w:rsidR="00CD61DA" w:rsidRPr="00F547A1" w14:paraId="2CF6DD3E" w14:textId="77777777" w:rsidTr="00BA1CD3">
        <w:trPr>
          <w:trHeight w:val="1020"/>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DFB7B" w14:textId="77777777" w:rsidR="00BA1CD3" w:rsidRPr="00320102" w:rsidRDefault="00BA1CD3" w:rsidP="00C62985">
            <w:pPr>
              <w:jc w:val="center"/>
              <w:rPr>
                <w:rFonts w:ascii="Arial" w:hAnsi="Arial"/>
                <w:b/>
                <w:color w:val="000000"/>
                <w:sz w:val="16"/>
              </w:rPr>
            </w:pPr>
            <w:r w:rsidRPr="00320102">
              <w:rPr>
                <w:rFonts w:ascii="Arial" w:hAnsi="Arial"/>
                <w:b/>
                <w:color w:val="000000"/>
                <w:sz w:val="16"/>
              </w:rPr>
              <w:t>Section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857CC5" w14:textId="77777777" w:rsidR="00BA1CD3" w:rsidRPr="00BA1CD3" w:rsidRDefault="00BA1CD3" w:rsidP="00C62985">
            <w:pPr>
              <w:jc w:val="center"/>
              <w:rPr>
                <w:rFonts w:ascii="Arial" w:hAnsi="Arial" w:cs="Arial"/>
                <w:b/>
                <w:bCs/>
                <w:color w:val="000000"/>
                <w:sz w:val="16"/>
                <w:szCs w:val="16"/>
              </w:rPr>
            </w:pPr>
            <w:r w:rsidRPr="00BA1CD3">
              <w:rPr>
                <w:rFonts w:ascii="Arial" w:hAnsi="Arial" w:cs="Arial"/>
                <w:b/>
                <w:bCs/>
                <w:color w:val="000000"/>
                <w:sz w:val="16"/>
                <w:szCs w:val="16"/>
              </w:rPr>
              <w:t>Description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110584E" w14:textId="77777777" w:rsidR="00BA1CD3" w:rsidRPr="00320102" w:rsidRDefault="00BA1CD3" w:rsidP="00C62985">
            <w:pPr>
              <w:jc w:val="center"/>
              <w:rPr>
                <w:rFonts w:ascii="Arial" w:hAnsi="Arial"/>
                <w:b/>
                <w:color w:val="000000"/>
                <w:sz w:val="16"/>
              </w:rPr>
            </w:pPr>
            <w:r w:rsidRPr="00320102">
              <w:rPr>
                <w:rFonts w:ascii="Arial" w:hAnsi="Arial"/>
                <w:b/>
                <w:color w:val="000000"/>
                <w:sz w:val="16"/>
              </w:rPr>
              <w:t>Number of Respondents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18476E" w14:textId="77777777" w:rsidR="00BA1CD3" w:rsidRPr="00320102" w:rsidRDefault="00BA1CD3" w:rsidP="00C62985">
            <w:pPr>
              <w:jc w:val="center"/>
              <w:rPr>
                <w:rFonts w:ascii="Arial" w:hAnsi="Arial"/>
                <w:b/>
                <w:color w:val="000000"/>
                <w:sz w:val="16"/>
              </w:rPr>
            </w:pPr>
            <w:r w:rsidRPr="00320102">
              <w:rPr>
                <w:rFonts w:ascii="Arial" w:hAnsi="Arial"/>
                <w:b/>
                <w:color w:val="000000"/>
                <w:sz w:val="16"/>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D792F6A" w14:textId="77777777" w:rsidR="00BA1CD3" w:rsidRPr="00320102" w:rsidRDefault="00BA1CD3" w:rsidP="00C62985">
            <w:pPr>
              <w:jc w:val="center"/>
              <w:rPr>
                <w:rFonts w:ascii="Arial" w:hAnsi="Arial"/>
                <w:b/>
                <w:color w:val="000000"/>
                <w:sz w:val="16"/>
              </w:rPr>
            </w:pPr>
            <w:r w:rsidRPr="00320102">
              <w:rPr>
                <w:rFonts w:ascii="Arial" w:hAnsi="Arial"/>
                <w:b/>
                <w:color w:val="000000"/>
                <w:sz w:val="16"/>
              </w:rPr>
              <w:t>Responses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D1CBC77" w14:textId="77777777" w:rsidR="00BA1CD3" w:rsidRPr="00320102" w:rsidRDefault="00BA1CD3" w:rsidP="00C62985">
            <w:pPr>
              <w:jc w:val="center"/>
              <w:rPr>
                <w:rFonts w:ascii="Arial" w:hAnsi="Arial"/>
                <w:b/>
                <w:color w:val="000000"/>
                <w:sz w:val="16"/>
              </w:rPr>
            </w:pPr>
            <w:r w:rsidRPr="00320102">
              <w:rPr>
                <w:rFonts w:ascii="Arial" w:hAnsi="Arial"/>
                <w:b/>
                <w:color w:val="000000"/>
                <w:sz w:val="16"/>
              </w:rPr>
              <w:t>Time Per Response</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276FB98" w14:textId="77777777" w:rsidR="00BA1CD3" w:rsidRPr="00320102" w:rsidRDefault="00BA1CD3" w:rsidP="00C62985">
            <w:pPr>
              <w:jc w:val="center"/>
              <w:rPr>
                <w:rFonts w:ascii="Arial" w:hAnsi="Arial"/>
                <w:b/>
                <w:color w:val="000000"/>
                <w:sz w:val="16"/>
              </w:rPr>
            </w:pPr>
            <w:r w:rsidRPr="00320102">
              <w:rPr>
                <w:rFonts w:ascii="Arial" w:hAnsi="Arial"/>
                <w:b/>
                <w:color w:val="000000"/>
                <w:sz w:val="16"/>
              </w:rPr>
              <w:t>Hours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99ED24F" w14:textId="77777777" w:rsidR="00BA1CD3" w:rsidRPr="00320102" w:rsidRDefault="00BA1CD3" w:rsidP="00C62985">
            <w:pPr>
              <w:jc w:val="center"/>
              <w:rPr>
                <w:rFonts w:ascii="Arial" w:hAnsi="Arial"/>
                <w:b/>
                <w:color w:val="000000"/>
                <w:sz w:val="16"/>
              </w:rPr>
            </w:pPr>
            <w:r w:rsidRPr="00320102">
              <w:rPr>
                <w:rFonts w:ascii="Arial" w:hAnsi="Arial"/>
                <w:b/>
                <w:color w:val="000000"/>
                <w:sz w:val="16"/>
              </w:rPr>
              <w:t>Cost at $279/hr</w:t>
            </w:r>
          </w:p>
        </w:tc>
      </w:tr>
      <w:tr w:rsidR="00CD61DA" w:rsidRPr="00F547A1" w14:paraId="68314C2C" w14:textId="77777777" w:rsidTr="00BA1CD3">
        <w:trPr>
          <w:trHeight w:val="300"/>
          <w:jc w:val="center"/>
        </w:trPr>
        <w:tc>
          <w:tcPr>
            <w:tcW w:w="1795" w:type="dxa"/>
            <w:tcBorders>
              <w:top w:val="nil"/>
              <w:left w:val="single" w:sz="4" w:space="0" w:color="auto"/>
              <w:bottom w:val="single" w:sz="4" w:space="0" w:color="auto"/>
              <w:right w:val="single" w:sz="4" w:space="0" w:color="auto"/>
            </w:tcBorders>
            <w:shd w:val="clear" w:color="auto" w:fill="auto"/>
            <w:vAlign w:val="bottom"/>
            <w:hideMark/>
          </w:tcPr>
          <w:p w14:paraId="15926460"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110.7a(a)&amp;(b)</w:t>
            </w:r>
          </w:p>
        </w:tc>
        <w:tc>
          <w:tcPr>
            <w:tcW w:w="1530" w:type="dxa"/>
            <w:tcBorders>
              <w:top w:val="nil"/>
              <w:left w:val="single" w:sz="4" w:space="0" w:color="auto"/>
              <w:bottom w:val="single" w:sz="4" w:space="0" w:color="auto"/>
              <w:right w:val="single" w:sz="4" w:space="0" w:color="auto"/>
            </w:tcBorders>
            <w:shd w:val="clear" w:color="auto" w:fill="auto"/>
            <w:vAlign w:val="bottom"/>
          </w:tcPr>
          <w:p w14:paraId="2C2169FA" w14:textId="77777777" w:rsidR="00BA1CD3" w:rsidRPr="00BA1CD3" w:rsidRDefault="00BA1CD3" w:rsidP="00C62985">
            <w:pPr>
              <w:rPr>
                <w:rFonts w:ascii="Arial" w:hAnsi="Arial" w:cs="Arial"/>
                <w:color w:val="000000"/>
                <w:sz w:val="16"/>
                <w:szCs w:val="16"/>
              </w:rPr>
            </w:pPr>
            <w:r w:rsidRPr="00BA1CD3">
              <w:rPr>
                <w:rFonts w:ascii="Arial" w:hAnsi="Arial" w:cs="Arial"/>
                <w:color w:val="000000"/>
                <w:sz w:val="16"/>
                <w:szCs w:val="16"/>
              </w:rPr>
              <w:t>(a)- Time required to evaluate completeness of an application; (b)- Time required to evaluate information provided by a respondent as having a significant implication for public health and safety or common defense and security.</w:t>
            </w:r>
          </w:p>
        </w:tc>
        <w:tc>
          <w:tcPr>
            <w:tcW w:w="1260" w:type="dxa"/>
            <w:tcBorders>
              <w:top w:val="nil"/>
              <w:left w:val="nil"/>
              <w:bottom w:val="single" w:sz="4" w:space="0" w:color="auto"/>
              <w:right w:val="single" w:sz="4" w:space="0" w:color="auto"/>
            </w:tcBorders>
            <w:shd w:val="clear" w:color="auto" w:fill="auto"/>
            <w:noWrap/>
            <w:vAlign w:val="bottom"/>
            <w:hideMark/>
          </w:tcPr>
          <w:p w14:paraId="18EB7104"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1B5B6E16"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1D9B0E59"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60822354"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0.25</w:t>
            </w:r>
          </w:p>
        </w:tc>
        <w:tc>
          <w:tcPr>
            <w:tcW w:w="630" w:type="dxa"/>
            <w:tcBorders>
              <w:top w:val="nil"/>
              <w:left w:val="nil"/>
              <w:bottom w:val="single" w:sz="4" w:space="0" w:color="auto"/>
              <w:right w:val="single" w:sz="4" w:space="0" w:color="auto"/>
            </w:tcBorders>
            <w:shd w:val="clear" w:color="auto" w:fill="auto"/>
            <w:noWrap/>
            <w:vAlign w:val="bottom"/>
            <w:hideMark/>
          </w:tcPr>
          <w:p w14:paraId="7B9233CA"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w:t>
            </w:r>
          </w:p>
        </w:tc>
        <w:tc>
          <w:tcPr>
            <w:tcW w:w="1080" w:type="dxa"/>
            <w:tcBorders>
              <w:top w:val="nil"/>
              <w:left w:val="nil"/>
              <w:bottom w:val="single" w:sz="4" w:space="0" w:color="auto"/>
              <w:right w:val="single" w:sz="4" w:space="0" w:color="auto"/>
            </w:tcBorders>
            <w:shd w:val="clear" w:color="auto" w:fill="auto"/>
            <w:noWrap/>
            <w:vAlign w:val="bottom"/>
            <w:hideMark/>
          </w:tcPr>
          <w:p w14:paraId="32D9CA43"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 $        -   </w:t>
            </w:r>
          </w:p>
        </w:tc>
      </w:tr>
      <w:tr w:rsidR="00CD61DA" w:rsidRPr="00F547A1" w14:paraId="6902CF2B" w14:textId="77777777" w:rsidTr="00BA1CD3">
        <w:trPr>
          <w:trHeight w:val="300"/>
          <w:jc w:val="center"/>
        </w:trPr>
        <w:tc>
          <w:tcPr>
            <w:tcW w:w="1795" w:type="dxa"/>
            <w:tcBorders>
              <w:top w:val="nil"/>
              <w:left w:val="single" w:sz="4" w:space="0" w:color="auto"/>
              <w:bottom w:val="single" w:sz="4" w:space="0" w:color="auto"/>
              <w:right w:val="single" w:sz="4" w:space="0" w:color="auto"/>
            </w:tcBorders>
            <w:shd w:val="clear" w:color="auto" w:fill="auto"/>
            <w:vAlign w:val="bottom"/>
            <w:hideMark/>
          </w:tcPr>
          <w:p w14:paraId="46441A09"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110.50(a)(8)</w:t>
            </w:r>
          </w:p>
        </w:tc>
        <w:tc>
          <w:tcPr>
            <w:tcW w:w="1530" w:type="dxa"/>
            <w:tcBorders>
              <w:top w:val="nil"/>
              <w:left w:val="single" w:sz="4" w:space="0" w:color="auto"/>
              <w:bottom w:val="single" w:sz="4" w:space="0" w:color="auto"/>
              <w:right w:val="single" w:sz="4" w:space="0" w:color="auto"/>
            </w:tcBorders>
            <w:shd w:val="clear" w:color="auto" w:fill="auto"/>
            <w:vAlign w:val="bottom"/>
          </w:tcPr>
          <w:p w14:paraId="3DA7B43F" w14:textId="77777777" w:rsidR="00BA1CD3" w:rsidRPr="00BA1CD3" w:rsidRDefault="00EB2FA4" w:rsidP="00EB2FA4">
            <w:pPr>
              <w:rPr>
                <w:rFonts w:ascii="Arial" w:hAnsi="Arial" w:cs="Arial"/>
                <w:color w:val="000000"/>
                <w:sz w:val="16"/>
                <w:szCs w:val="16"/>
              </w:rPr>
            </w:pPr>
            <w:r>
              <w:rPr>
                <w:rFonts w:ascii="Arial" w:hAnsi="Arial" w:cs="Arial"/>
                <w:color w:val="000000"/>
                <w:sz w:val="16"/>
                <w:szCs w:val="16"/>
              </w:rPr>
              <w:t>Time required to investigate licensee’s claim that packaging requirements of  Part 71 have not been met.</w:t>
            </w:r>
          </w:p>
        </w:tc>
        <w:tc>
          <w:tcPr>
            <w:tcW w:w="1260" w:type="dxa"/>
            <w:tcBorders>
              <w:top w:val="nil"/>
              <w:left w:val="nil"/>
              <w:bottom w:val="single" w:sz="4" w:space="0" w:color="auto"/>
              <w:right w:val="single" w:sz="4" w:space="0" w:color="auto"/>
            </w:tcBorders>
            <w:shd w:val="clear" w:color="auto" w:fill="auto"/>
            <w:noWrap/>
            <w:vAlign w:val="bottom"/>
            <w:hideMark/>
          </w:tcPr>
          <w:p w14:paraId="65BA9AB8"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42CE69C6"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03BC9E1C"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990" w:type="dxa"/>
            <w:tcBorders>
              <w:top w:val="nil"/>
              <w:left w:val="nil"/>
              <w:bottom w:val="single" w:sz="4" w:space="0" w:color="auto"/>
              <w:right w:val="single" w:sz="4" w:space="0" w:color="auto"/>
            </w:tcBorders>
            <w:shd w:val="clear" w:color="auto" w:fill="auto"/>
            <w:noWrap/>
            <w:vAlign w:val="bottom"/>
            <w:hideMark/>
          </w:tcPr>
          <w:p w14:paraId="760A4F17"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0.5</w:t>
            </w:r>
          </w:p>
        </w:tc>
        <w:tc>
          <w:tcPr>
            <w:tcW w:w="630" w:type="dxa"/>
            <w:tcBorders>
              <w:top w:val="nil"/>
              <w:left w:val="nil"/>
              <w:bottom w:val="single" w:sz="4" w:space="0" w:color="auto"/>
              <w:right w:val="single" w:sz="4" w:space="0" w:color="auto"/>
            </w:tcBorders>
            <w:shd w:val="clear" w:color="auto" w:fill="auto"/>
            <w:noWrap/>
            <w:vAlign w:val="bottom"/>
            <w:hideMark/>
          </w:tcPr>
          <w:p w14:paraId="04892B08"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0.5</w:t>
            </w:r>
          </w:p>
        </w:tc>
        <w:tc>
          <w:tcPr>
            <w:tcW w:w="1080" w:type="dxa"/>
            <w:tcBorders>
              <w:top w:val="nil"/>
              <w:left w:val="nil"/>
              <w:bottom w:val="single" w:sz="4" w:space="0" w:color="auto"/>
              <w:right w:val="single" w:sz="4" w:space="0" w:color="auto"/>
            </w:tcBorders>
            <w:shd w:val="clear" w:color="auto" w:fill="auto"/>
            <w:noWrap/>
            <w:vAlign w:val="bottom"/>
            <w:hideMark/>
          </w:tcPr>
          <w:p w14:paraId="1D44872F"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 $     1</w:t>
            </w:r>
            <w:r>
              <w:rPr>
                <w:rFonts w:ascii="Arial" w:hAnsi="Arial" w:cs="Arial"/>
                <w:color w:val="000000"/>
                <w:sz w:val="20"/>
              </w:rPr>
              <w:t>40</w:t>
            </w:r>
            <w:r w:rsidRPr="00F547A1">
              <w:rPr>
                <w:rFonts w:ascii="Arial" w:hAnsi="Arial" w:cs="Arial"/>
                <w:color w:val="000000"/>
                <w:sz w:val="20"/>
              </w:rPr>
              <w:t xml:space="preserve"> </w:t>
            </w:r>
          </w:p>
        </w:tc>
      </w:tr>
      <w:tr w:rsidR="00CD61DA" w:rsidRPr="00F547A1" w14:paraId="555A5E2E" w14:textId="77777777" w:rsidTr="00BA1CD3">
        <w:trPr>
          <w:trHeight w:val="300"/>
          <w:jc w:val="center"/>
        </w:trPr>
        <w:tc>
          <w:tcPr>
            <w:tcW w:w="1795" w:type="dxa"/>
            <w:tcBorders>
              <w:top w:val="nil"/>
              <w:left w:val="single" w:sz="4" w:space="0" w:color="auto"/>
              <w:bottom w:val="single" w:sz="4" w:space="0" w:color="auto"/>
              <w:right w:val="single" w:sz="4" w:space="0" w:color="auto"/>
            </w:tcBorders>
            <w:shd w:val="clear" w:color="auto" w:fill="auto"/>
            <w:vAlign w:val="bottom"/>
          </w:tcPr>
          <w:p w14:paraId="2BD28E32"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110.50(b)(3)</w:t>
            </w:r>
            <w:r>
              <w:rPr>
                <w:rFonts w:ascii="Arial" w:hAnsi="Arial" w:cs="Arial"/>
                <w:color w:val="000000"/>
                <w:sz w:val="20"/>
              </w:rPr>
              <w:t>(i)</w:t>
            </w:r>
          </w:p>
        </w:tc>
        <w:tc>
          <w:tcPr>
            <w:tcW w:w="1530" w:type="dxa"/>
            <w:tcBorders>
              <w:top w:val="nil"/>
              <w:left w:val="single" w:sz="4" w:space="0" w:color="auto"/>
              <w:bottom w:val="single" w:sz="4" w:space="0" w:color="auto"/>
              <w:right w:val="single" w:sz="4" w:space="0" w:color="auto"/>
            </w:tcBorders>
            <w:shd w:val="clear" w:color="auto" w:fill="auto"/>
            <w:vAlign w:val="bottom"/>
          </w:tcPr>
          <w:p w14:paraId="47A5EB61" w14:textId="77777777" w:rsidR="00BA1CD3" w:rsidRPr="00BA1CD3" w:rsidRDefault="00EB2FA4" w:rsidP="00EB2FA4">
            <w:pPr>
              <w:rPr>
                <w:rFonts w:ascii="Arial" w:hAnsi="Arial" w:cs="Arial"/>
                <w:color w:val="000000"/>
                <w:sz w:val="16"/>
                <w:szCs w:val="16"/>
              </w:rPr>
            </w:pPr>
            <w:r>
              <w:rPr>
                <w:rFonts w:ascii="Arial" w:hAnsi="Arial" w:cs="Arial"/>
                <w:color w:val="000000"/>
                <w:sz w:val="16"/>
                <w:szCs w:val="16"/>
              </w:rPr>
              <w:t>Time required to obtain interagency confirmation that the foreign government of import has given its consent to the intended shipment pursuant to its agreement for cooperation with the U.S. and communicate this in writing to thhe licensee</w:t>
            </w:r>
          </w:p>
        </w:tc>
        <w:tc>
          <w:tcPr>
            <w:tcW w:w="1260" w:type="dxa"/>
            <w:tcBorders>
              <w:top w:val="nil"/>
              <w:left w:val="nil"/>
              <w:bottom w:val="single" w:sz="4" w:space="0" w:color="auto"/>
              <w:right w:val="single" w:sz="4" w:space="0" w:color="auto"/>
            </w:tcBorders>
            <w:shd w:val="clear" w:color="auto" w:fill="auto"/>
            <w:noWrap/>
            <w:vAlign w:val="bottom"/>
          </w:tcPr>
          <w:p w14:paraId="4343D290" w14:textId="77777777" w:rsidR="00BA1CD3" w:rsidRDefault="00BA1CD3" w:rsidP="00C62985">
            <w:pPr>
              <w:jc w:val="right"/>
              <w:rPr>
                <w:rFonts w:ascii="Arial" w:hAnsi="Arial" w:cs="Arial"/>
                <w:color w:val="000000"/>
                <w:sz w:val="20"/>
              </w:rPr>
            </w:pPr>
            <w:r>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tcPr>
          <w:p w14:paraId="1BF1AE7D" w14:textId="77777777" w:rsidR="00BA1CD3" w:rsidRDefault="00BA1CD3" w:rsidP="00C62985">
            <w:pPr>
              <w:jc w:val="right"/>
              <w:rPr>
                <w:rFonts w:ascii="Arial" w:hAnsi="Arial" w:cs="Arial"/>
                <w:color w:val="000000"/>
                <w:sz w:val="20"/>
              </w:rPr>
            </w:pPr>
            <w:r>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tcPr>
          <w:p w14:paraId="21BFB286" w14:textId="77777777" w:rsidR="00BA1CD3" w:rsidRDefault="00BA1CD3" w:rsidP="00C62985">
            <w:pPr>
              <w:jc w:val="right"/>
              <w:rPr>
                <w:rFonts w:ascii="Arial" w:hAnsi="Arial" w:cs="Arial"/>
                <w:color w:val="000000"/>
                <w:sz w:val="20"/>
              </w:rPr>
            </w:pPr>
            <w:r>
              <w:rPr>
                <w:rFonts w:ascii="Arial" w:hAnsi="Arial" w:cs="Arial"/>
                <w:color w:val="000000"/>
                <w:sz w:val="20"/>
              </w:rPr>
              <w:t>1</w:t>
            </w:r>
          </w:p>
        </w:tc>
        <w:tc>
          <w:tcPr>
            <w:tcW w:w="990" w:type="dxa"/>
            <w:tcBorders>
              <w:top w:val="nil"/>
              <w:left w:val="nil"/>
              <w:bottom w:val="single" w:sz="4" w:space="0" w:color="auto"/>
              <w:right w:val="single" w:sz="4" w:space="0" w:color="auto"/>
            </w:tcBorders>
            <w:shd w:val="clear" w:color="auto" w:fill="auto"/>
            <w:noWrap/>
            <w:vAlign w:val="bottom"/>
          </w:tcPr>
          <w:p w14:paraId="52309299" w14:textId="77777777" w:rsidR="00BA1CD3" w:rsidRDefault="00BA1CD3" w:rsidP="00C62985">
            <w:pPr>
              <w:jc w:val="right"/>
              <w:rPr>
                <w:rFonts w:ascii="Arial" w:hAnsi="Arial" w:cs="Arial"/>
                <w:color w:val="000000"/>
                <w:sz w:val="20"/>
              </w:rPr>
            </w:pPr>
            <w:r>
              <w:rPr>
                <w:rFonts w:ascii="Arial" w:hAnsi="Arial" w:cs="Arial"/>
                <w:color w:val="000000"/>
                <w:sz w:val="20"/>
              </w:rPr>
              <w:t>1</w:t>
            </w:r>
          </w:p>
        </w:tc>
        <w:tc>
          <w:tcPr>
            <w:tcW w:w="630" w:type="dxa"/>
            <w:tcBorders>
              <w:top w:val="nil"/>
              <w:left w:val="nil"/>
              <w:bottom w:val="single" w:sz="4" w:space="0" w:color="auto"/>
              <w:right w:val="single" w:sz="4" w:space="0" w:color="auto"/>
            </w:tcBorders>
            <w:shd w:val="clear" w:color="auto" w:fill="auto"/>
            <w:noWrap/>
            <w:vAlign w:val="bottom"/>
          </w:tcPr>
          <w:p w14:paraId="2C74E235" w14:textId="77777777" w:rsidR="00BA1CD3" w:rsidRDefault="00BA1CD3" w:rsidP="00C62985">
            <w:pPr>
              <w:jc w:val="right"/>
              <w:rPr>
                <w:rFonts w:ascii="Arial" w:hAnsi="Arial" w:cs="Arial"/>
                <w:color w:val="000000"/>
                <w:sz w:val="20"/>
              </w:rPr>
            </w:pPr>
            <w:r>
              <w:rPr>
                <w:rFonts w:ascii="Arial" w:hAnsi="Arial" w:cs="Arial"/>
                <w:color w:val="000000"/>
                <w:sz w:val="20"/>
              </w:rPr>
              <w:t>1</w:t>
            </w:r>
          </w:p>
        </w:tc>
        <w:tc>
          <w:tcPr>
            <w:tcW w:w="1080" w:type="dxa"/>
            <w:tcBorders>
              <w:top w:val="nil"/>
              <w:left w:val="nil"/>
              <w:bottom w:val="single" w:sz="4" w:space="0" w:color="auto"/>
              <w:right w:val="single" w:sz="4" w:space="0" w:color="auto"/>
            </w:tcBorders>
            <w:shd w:val="clear" w:color="auto" w:fill="auto"/>
            <w:noWrap/>
            <w:vAlign w:val="bottom"/>
          </w:tcPr>
          <w:p w14:paraId="1B16D0F1" w14:textId="77777777" w:rsidR="00BA1CD3" w:rsidRDefault="00BA1CD3" w:rsidP="00C62985">
            <w:pPr>
              <w:rPr>
                <w:rFonts w:ascii="Arial" w:hAnsi="Arial" w:cs="Arial"/>
                <w:color w:val="000000"/>
                <w:sz w:val="20"/>
              </w:rPr>
            </w:pPr>
            <w:r>
              <w:rPr>
                <w:rFonts w:ascii="Arial" w:hAnsi="Arial" w:cs="Arial"/>
                <w:color w:val="000000"/>
                <w:sz w:val="20"/>
              </w:rPr>
              <w:t xml:space="preserve">  $    279</w:t>
            </w:r>
          </w:p>
        </w:tc>
      </w:tr>
      <w:tr w:rsidR="00CD61DA" w:rsidRPr="00F547A1" w14:paraId="3BB5AA9A" w14:textId="77777777" w:rsidTr="00BA1CD3">
        <w:trPr>
          <w:trHeight w:val="525"/>
          <w:jc w:val="center"/>
        </w:trPr>
        <w:tc>
          <w:tcPr>
            <w:tcW w:w="1795" w:type="dxa"/>
            <w:tcBorders>
              <w:top w:val="nil"/>
              <w:left w:val="single" w:sz="4" w:space="0" w:color="auto"/>
              <w:bottom w:val="single" w:sz="4" w:space="0" w:color="auto"/>
              <w:right w:val="single" w:sz="4" w:space="0" w:color="auto"/>
            </w:tcBorders>
            <w:shd w:val="clear" w:color="auto" w:fill="auto"/>
            <w:vAlign w:val="bottom"/>
            <w:hideMark/>
          </w:tcPr>
          <w:p w14:paraId="06DBE022"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110.50(c)- no form</w:t>
            </w:r>
          </w:p>
        </w:tc>
        <w:tc>
          <w:tcPr>
            <w:tcW w:w="1530" w:type="dxa"/>
            <w:tcBorders>
              <w:top w:val="nil"/>
              <w:left w:val="single" w:sz="4" w:space="0" w:color="auto"/>
              <w:bottom w:val="single" w:sz="4" w:space="0" w:color="auto"/>
              <w:right w:val="single" w:sz="4" w:space="0" w:color="auto"/>
            </w:tcBorders>
            <w:shd w:val="clear" w:color="auto" w:fill="auto"/>
            <w:vAlign w:val="bottom"/>
          </w:tcPr>
          <w:p w14:paraId="3C322E86" w14:textId="77777777" w:rsidR="00BA1CD3" w:rsidRPr="00BA1CD3" w:rsidRDefault="00EB2FA4" w:rsidP="00EB2FA4">
            <w:pPr>
              <w:rPr>
                <w:rFonts w:ascii="Arial" w:hAnsi="Arial" w:cs="Arial"/>
                <w:color w:val="000000"/>
                <w:sz w:val="16"/>
                <w:szCs w:val="16"/>
              </w:rPr>
            </w:pPr>
            <w:r>
              <w:rPr>
                <w:rFonts w:ascii="Arial" w:hAnsi="Arial" w:cs="Arial"/>
                <w:color w:val="000000"/>
                <w:sz w:val="16"/>
                <w:szCs w:val="16"/>
              </w:rPr>
              <w:t>Time required to evaluate advanced notification of shipment submitted by a licensee who provides the information without using a form or in an otherwise easy to read format</w:t>
            </w:r>
          </w:p>
        </w:tc>
        <w:tc>
          <w:tcPr>
            <w:tcW w:w="1260" w:type="dxa"/>
            <w:tcBorders>
              <w:top w:val="nil"/>
              <w:left w:val="nil"/>
              <w:bottom w:val="single" w:sz="4" w:space="0" w:color="auto"/>
              <w:right w:val="single" w:sz="4" w:space="0" w:color="auto"/>
            </w:tcBorders>
            <w:shd w:val="clear" w:color="auto" w:fill="auto"/>
            <w:noWrap/>
            <w:vAlign w:val="bottom"/>
            <w:hideMark/>
          </w:tcPr>
          <w:p w14:paraId="6C2FB108"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3</w:t>
            </w:r>
            <w:r>
              <w:rPr>
                <w:rFonts w:ascii="Arial" w:hAnsi="Arial" w:cs="Arial"/>
                <w:color w:val="000000"/>
                <w:sz w:val="20"/>
              </w:rPr>
              <w:t>9</w:t>
            </w:r>
          </w:p>
        </w:tc>
        <w:tc>
          <w:tcPr>
            <w:tcW w:w="1170" w:type="dxa"/>
            <w:tcBorders>
              <w:top w:val="nil"/>
              <w:left w:val="nil"/>
              <w:bottom w:val="single" w:sz="4" w:space="0" w:color="auto"/>
              <w:right w:val="single" w:sz="4" w:space="0" w:color="auto"/>
            </w:tcBorders>
            <w:shd w:val="clear" w:color="auto" w:fill="auto"/>
            <w:noWrap/>
            <w:vAlign w:val="bottom"/>
            <w:hideMark/>
          </w:tcPr>
          <w:p w14:paraId="7CA75E63" w14:textId="77777777" w:rsidR="00BA1CD3" w:rsidRPr="00F547A1" w:rsidRDefault="00BA1CD3" w:rsidP="00C62985">
            <w:pPr>
              <w:jc w:val="right"/>
              <w:rPr>
                <w:rFonts w:ascii="Arial" w:hAnsi="Arial" w:cs="Arial"/>
                <w:color w:val="000000"/>
                <w:sz w:val="20"/>
              </w:rPr>
            </w:pPr>
            <w:r>
              <w:rPr>
                <w:rFonts w:ascii="Arial" w:hAnsi="Arial" w:cs="Arial"/>
                <w:color w:val="000000"/>
                <w:sz w:val="20"/>
              </w:rPr>
              <w:t>5</w:t>
            </w:r>
          </w:p>
        </w:tc>
        <w:tc>
          <w:tcPr>
            <w:tcW w:w="1170" w:type="dxa"/>
            <w:tcBorders>
              <w:top w:val="nil"/>
              <w:left w:val="nil"/>
              <w:bottom w:val="single" w:sz="4" w:space="0" w:color="auto"/>
              <w:right w:val="single" w:sz="4" w:space="0" w:color="auto"/>
            </w:tcBorders>
            <w:shd w:val="clear" w:color="auto" w:fill="auto"/>
            <w:noWrap/>
            <w:vAlign w:val="bottom"/>
            <w:hideMark/>
          </w:tcPr>
          <w:p w14:paraId="3BDCFE1E"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r>
              <w:rPr>
                <w:rFonts w:ascii="Arial" w:hAnsi="Arial" w:cs="Arial"/>
                <w:color w:val="000000"/>
                <w:sz w:val="20"/>
              </w:rPr>
              <w:t>95</w:t>
            </w:r>
          </w:p>
        </w:tc>
        <w:tc>
          <w:tcPr>
            <w:tcW w:w="990" w:type="dxa"/>
            <w:tcBorders>
              <w:top w:val="nil"/>
              <w:left w:val="nil"/>
              <w:bottom w:val="single" w:sz="4" w:space="0" w:color="auto"/>
              <w:right w:val="single" w:sz="4" w:space="0" w:color="auto"/>
            </w:tcBorders>
            <w:shd w:val="clear" w:color="auto" w:fill="auto"/>
            <w:noWrap/>
            <w:vAlign w:val="bottom"/>
            <w:hideMark/>
          </w:tcPr>
          <w:p w14:paraId="280D8C02"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0.025</w:t>
            </w:r>
          </w:p>
        </w:tc>
        <w:tc>
          <w:tcPr>
            <w:tcW w:w="630" w:type="dxa"/>
            <w:tcBorders>
              <w:top w:val="nil"/>
              <w:left w:val="nil"/>
              <w:bottom w:val="single" w:sz="4" w:space="0" w:color="auto"/>
              <w:right w:val="single" w:sz="4" w:space="0" w:color="auto"/>
            </w:tcBorders>
            <w:shd w:val="clear" w:color="auto" w:fill="auto"/>
            <w:noWrap/>
            <w:vAlign w:val="bottom"/>
            <w:hideMark/>
          </w:tcPr>
          <w:p w14:paraId="2AC0EAAA" w14:textId="77777777" w:rsidR="00BA1CD3" w:rsidRPr="00F547A1" w:rsidRDefault="00BA1CD3" w:rsidP="00C62985">
            <w:pPr>
              <w:jc w:val="right"/>
              <w:rPr>
                <w:rFonts w:ascii="Arial" w:hAnsi="Arial" w:cs="Arial"/>
                <w:color w:val="000000"/>
                <w:sz w:val="20"/>
              </w:rPr>
            </w:pPr>
            <w:r>
              <w:rPr>
                <w:rFonts w:ascii="Arial" w:hAnsi="Arial" w:cs="Arial"/>
                <w:color w:val="000000"/>
                <w:sz w:val="20"/>
              </w:rPr>
              <w:t>5</w:t>
            </w:r>
          </w:p>
        </w:tc>
        <w:tc>
          <w:tcPr>
            <w:tcW w:w="1080" w:type="dxa"/>
            <w:tcBorders>
              <w:top w:val="nil"/>
              <w:left w:val="nil"/>
              <w:bottom w:val="single" w:sz="4" w:space="0" w:color="auto"/>
              <w:right w:val="single" w:sz="4" w:space="0" w:color="auto"/>
            </w:tcBorders>
            <w:shd w:val="clear" w:color="auto" w:fill="auto"/>
            <w:noWrap/>
            <w:vAlign w:val="bottom"/>
            <w:hideMark/>
          </w:tcPr>
          <w:p w14:paraId="45F74F9A"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 $</w:t>
            </w:r>
            <w:r>
              <w:rPr>
                <w:rFonts w:ascii="Arial" w:hAnsi="Arial" w:cs="Arial"/>
                <w:color w:val="000000"/>
                <w:sz w:val="20"/>
              </w:rPr>
              <w:t xml:space="preserve">  1,395</w:t>
            </w:r>
            <w:r w:rsidRPr="00F547A1">
              <w:rPr>
                <w:rFonts w:ascii="Arial" w:hAnsi="Arial" w:cs="Arial"/>
                <w:color w:val="000000"/>
                <w:sz w:val="20"/>
              </w:rPr>
              <w:t xml:space="preserve"> </w:t>
            </w:r>
          </w:p>
        </w:tc>
      </w:tr>
      <w:tr w:rsidR="00CD61DA" w:rsidRPr="00F547A1" w14:paraId="4721D119" w14:textId="77777777" w:rsidTr="00BA1CD3">
        <w:trPr>
          <w:trHeight w:val="525"/>
          <w:jc w:val="center"/>
        </w:trPr>
        <w:tc>
          <w:tcPr>
            <w:tcW w:w="1795" w:type="dxa"/>
            <w:tcBorders>
              <w:top w:val="nil"/>
              <w:left w:val="single" w:sz="4" w:space="0" w:color="auto"/>
              <w:bottom w:val="single" w:sz="4" w:space="0" w:color="auto"/>
              <w:right w:val="single" w:sz="4" w:space="0" w:color="auto"/>
            </w:tcBorders>
            <w:shd w:val="clear" w:color="auto" w:fill="auto"/>
            <w:vAlign w:val="bottom"/>
          </w:tcPr>
          <w:p w14:paraId="435E9FC0"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110.50(c)- </w:t>
            </w:r>
            <w:r>
              <w:rPr>
                <w:rFonts w:ascii="Arial" w:hAnsi="Arial" w:cs="Arial"/>
                <w:color w:val="000000"/>
                <w:sz w:val="20"/>
              </w:rPr>
              <w:t>Custom</w:t>
            </w:r>
            <w:r w:rsidRPr="00F547A1">
              <w:rPr>
                <w:rFonts w:ascii="Arial" w:hAnsi="Arial" w:cs="Arial"/>
                <w:color w:val="000000"/>
                <w:sz w:val="20"/>
              </w:rPr>
              <w:t xml:space="preserve"> form</w:t>
            </w:r>
          </w:p>
        </w:tc>
        <w:tc>
          <w:tcPr>
            <w:tcW w:w="1530" w:type="dxa"/>
            <w:tcBorders>
              <w:top w:val="nil"/>
              <w:left w:val="single" w:sz="4" w:space="0" w:color="auto"/>
              <w:bottom w:val="single" w:sz="4" w:space="0" w:color="auto"/>
              <w:right w:val="single" w:sz="4" w:space="0" w:color="auto"/>
            </w:tcBorders>
            <w:shd w:val="clear" w:color="auto" w:fill="auto"/>
            <w:vAlign w:val="bottom"/>
          </w:tcPr>
          <w:p w14:paraId="20235F5F" w14:textId="77777777" w:rsidR="00BA1CD3" w:rsidRPr="00BA1CD3" w:rsidRDefault="00EB2FA4" w:rsidP="00EB2FA4">
            <w:pPr>
              <w:rPr>
                <w:rFonts w:ascii="Arial" w:hAnsi="Arial" w:cs="Arial"/>
                <w:color w:val="000000"/>
                <w:sz w:val="16"/>
                <w:szCs w:val="16"/>
              </w:rPr>
            </w:pPr>
            <w:r>
              <w:rPr>
                <w:rFonts w:ascii="Arial" w:hAnsi="Arial" w:cs="Arial"/>
                <w:color w:val="000000"/>
                <w:sz w:val="16"/>
                <w:szCs w:val="16"/>
              </w:rPr>
              <w:t>Time required to evaluate advanced notification of shipment submitted by a licensee who provides the information on a form of their own design</w:t>
            </w:r>
          </w:p>
        </w:tc>
        <w:tc>
          <w:tcPr>
            <w:tcW w:w="1260" w:type="dxa"/>
            <w:tcBorders>
              <w:top w:val="nil"/>
              <w:left w:val="nil"/>
              <w:bottom w:val="single" w:sz="4" w:space="0" w:color="auto"/>
              <w:right w:val="single" w:sz="4" w:space="0" w:color="auto"/>
            </w:tcBorders>
            <w:shd w:val="clear" w:color="auto" w:fill="auto"/>
            <w:noWrap/>
            <w:vAlign w:val="bottom"/>
          </w:tcPr>
          <w:p w14:paraId="080E7218" w14:textId="77777777" w:rsidR="00BA1CD3" w:rsidRPr="00F547A1" w:rsidRDefault="00BA1CD3" w:rsidP="00C62985">
            <w:pPr>
              <w:jc w:val="right"/>
              <w:rPr>
                <w:rFonts w:ascii="Arial" w:hAnsi="Arial" w:cs="Arial"/>
                <w:color w:val="000000"/>
                <w:sz w:val="20"/>
              </w:rPr>
            </w:pPr>
            <w:r>
              <w:rPr>
                <w:rFonts w:ascii="Arial" w:hAnsi="Arial" w:cs="Arial"/>
                <w:color w:val="000000"/>
                <w:sz w:val="20"/>
              </w:rPr>
              <w:t>15</w:t>
            </w:r>
          </w:p>
        </w:tc>
        <w:tc>
          <w:tcPr>
            <w:tcW w:w="1170" w:type="dxa"/>
            <w:tcBorders>
              <w:top w:val="nil"/>
              <w:left w:val="nil"/>
              <w:bottom w:val="single" w:sz="4" w:space="0" w:color="auto"/>
              <w:right w:val="single" w:sz="4" w:space="0" w:color="auto"/>
            </w:tcBorders>
            <w:shd w:val="clear" w:color="auto" w:fill="auto"/>
            <w:noWrap/>
            <w:vAlign w:val="bottom"/>
          </w:tcPr>
          <w:p w14:paraId="2D3BA723" w14:textId="77777777" w:rsidR="00BA1CD3" w:rsidRPr="00F547A1" w:rsidRDefault="00BA1CD3" w:rsidP="00C62985">
            <w:pPr>
              <w:jc w:val="right"/>
              <w:rPr>
                <w:rFonts w:ascii="Arial" w:hAnsi="Arial" w:cs="Arial"/>
                <w:color w:val="000000"/>
                <w:sz w:val="20"/>
              </w:rPr>
            </w:pPr>
            <w:r>
              <w:rPr>
                <w:rFonts w:ascii="Arial" w:hAnsi="Arial" w:cs="Arial"/>
                <w:color w:val="000000"/>
                <w:sz w:val="20"/>
              </w:rPr>
              <w:t>88</w:t>
            </w:r>
          </w:p>
        </w:tc>
        <w:tc>
          <w:tcPr>
            <w:tcW w:w="1170" w:type="dxa"/>
            <w:tcBorders>
              <w:top w:val="nil"/>
              <w:left w:val="nil"/>
              <w:bottom w:val="single" w:sz="4" w:space="0" w:color="auto"/>
              <w:right w:val="single" w:sz="4" w:space="0" w:color="auto"/>
            </w:tcBorders>
            <w:shd w:val="clear" w:color="auto" w:fill="auto"/>
            <w:noWrap/>
            <w:vAlign w:val="bottom"/>
          </w:tcPr>
          <w:p w14:paraId="6487A7D4" w14:textId="77777777" w:rsidR="00BA1CD3" w:rsidRPr="00F547A1" w:rsidRDefault="00BA1CD3" w:rsidP="00C62985">
            <w:pPr>
              <w:jc w:val="right"/>
              <w:rPr>
                <w:rFonts w:ascii="Arial" w:hAnsi="Arial" w:cs="Arial"/>
                <w:color w:val="000000"/>
                <w:sz w:val="20"/>
              </w:rPr>
            </w:pPr>
            <w:r>
              <w:rPr>
                <w:rFonts w:ascii="Arial" w:hAnsi="Arial" w:cs="Arial"/>
                <w:color w:val="000000"/>
                <w:sz w:val="20"/>
              </w:rPr>
              <w:t>1,320</w:t>
            </w:r>
          </w:p>
        </w:tc>
        <w:tc>
          <w:tcPr>
            <w:tcW w:w="990" w:type="dxa"/>
            <w:tcBorders>
              <w:top w:val="nil"/>
              <w:left w:val="nil"/>
              <w:bottom w:val="single" w:sz="4" w:space="0" w:color="auto"/>
              <w:right w:val="single" w:sz="4" w:space="0" w:color="auto"/>
            </w:tcBorders>
            <w:shd w:val="clear" w:color="auto" w:fill="auto"/>
            <w:noWrap/>
            <w:vAlign w:val="bottom"/>
          </w:tcPr>
          <w:p w14:paraId="433E601C" w14:textId="77777777" w:rsidR="00BA1CD3" w:rsidRPr="00F547A1" w:rsidRDefault="00BA1CD3" w:rsidP="00C62985">
            <w:pPr>
              <w:jc w:val="right"/>
              <w:rPr>
                <w:rFonts w:ascii="Arial" w:hAnsi="Arial" w:cs="Arial"/>
                <w:color w:val="000000"/>
                <w:sz w:val="20"/>
              </w:rPr>
            </w:pPr>
            <w:r>
              <w:rPr>
                <w:rFonts w:ascii="Arial" w:hAnsi="Arial" w:cs="Arial"/>
                <w:color w:val="000000"/>
                <w:sz w:val="20"/>
              </w:rPr>
              <w:t>0.02</w:t>
            </w:r>
          </w:p>
        </w:tc>
        <w:tc>
          <w:tcPr>
            <w:tcW w:w="630" w:type="dxa"/>
            <w:tcBorders>
              <w:top w:val="nil"/>
              <w:left w:val="nil"/>
              <w:bottom w:val="single" w:sz="4" w:space="0" w:color="auto"/>
              <w:right w:val="single" w:sz="4" w:space="0" w:color="auto"/>
            </w:tcBorders>
            <w:shd w:val="clear" w:color="auto" w:fill="auto"/>
            <w:noWrap/>
            <w:vAlign w:val="bottom"/>
          </w:tcPr>
          <w:p w14:paraId="4AF9E1D2" w14:textId="77777777" w:rsidR="00BA1CD3" w:rsidRPr="00F547A1" w:rsidRDefault="00BA1CD3" w:rsidP="00C62985">
            <w:pPr>
              <w:jc w:val="right"/>
              <w:rPr>
                <w:rFonts w:ascii="Arial" w:hAnsi="Arial" w:cs="Arial"/>
                <w:color w:val="000000"/>
                <w:sz w:val="20"/>
              </w:rPr>
            </w:pPr>
            <w:r>
              <w:rPr>
                <w:rFonts w:ascii="Arial" w:hAnsi="Arial" w:cs="Arial"/>
                <w:color w:val="000000"/>
                <w:sz w:val="20"/>
              </w:rPr>
              <w:t>27</w:t>
            </w:r>
          </w:p>
        </w:tc>
        <w:tc>
          <w:tcPr>
            <w:tcW w:w="1080" w:type="dxa"/>
            <w:tcBorders>
              <w:top w:val="nil"/>
              <w:left w:val="nil"/>
              <w:bottom w:val="single" w:sz="4" w:space="0" w:color="auto"/>
              <w:right w:val="single" w:sz="4" w:space="0" w:color="auto"/>
            </w:tcBorders>
            <w:shd w:val="clear" w:color="auto" w:fill="auto"/>
            <w:noWrap/>
            <w:vAlign w:val="bottom"/>
          </w:tcPr>
          <w:p w14:paraId="6F591259" w14:textId="77777777" w:rsidR="00BA1CD3" w:rsidRPr="00F547A1" w:rsidRDefault="00BA1CD3" w:rsidP="00C62985">
            <w:pPr>
              <w:rPr>
                <w:rFonts w:ascii="Arial" w:hAnsi="Arial" w:cs="Arial"/>
                <w:color w:val="000000"/>
                <w:sz w:val="20"/>
              </w:rPr>
            </w:pPr>
            <w:r>
              <w:rPr>
                <w:rFonts w:ascii="Arial" w:hAnsi="Arial" w:cs="Arial"/>
                <w:color w:val="000000"/>
                <w:sz w:val="20"/>
              </w:rPr>
              <w:t xml:space="preserve">  $ 7,533</w:t>
            </w:r>
          </w:p>
        </w:tc>
      </w:tr>
      <w:tr w:rsidR="00CD61DA" w:rsidRPr="00F547A1" w14:paraId="5F5D5A2C" w14:textId="77777777" w:rsidTr="00BA1CD3">
        <w:trPr>
          <w:trHeight w:val="525"/>
          <w:jc w:val="center"/>
        </w:trPr>
        <w:tc>
          <w:tcPr>
            <w:tcW w:w="1795" w:type="dxa"/>
            <w:tcBorders>
              <w:top w:val="nil"/>
              <w:left w:val="single" w:sz="4" w:space="0" w:color="auto"/>
              <w:bottom w:val="single" w:sz="4" w:space="0" w:color="auto"/>
              <w:right w:val="single" w:sz="4" w:space="0" w:color="auto"/>
            </w:tcBorders>
            <w:shd w:val="clear" w:color="auto" w:fill="auto"/>
            <w:vAlign w:val="bottom"/>
            <w:hideMark/>
          </w:tcPr>
          <w:p w14:paraId="775F9428"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110.50(c)- with </w:t>
            </w:r>
            <w:r>
              <w:rPr>
                <w:rFonts w:ascii="Arial" w:hAnsi="Arial" w:cs="Arial"/>
                <w:color w:val="000000"/>
                <w:sz w:val="20"/>
              </w:rPr>
              <w:t>NRC f</w:t>
            </w:r>
            <w:r w:rsidRPr="00F547A1">
              <w:rPr>
                <w:rFonts w:ascii="Arial" w:hAnsi="Arial" w:cs="Arial"/>
                <w:color w:val="000000"/>
                <w:sz w:val="20"/>
              </w:rPr>
              <w:t>orm</w:t>
            </w:r>
            <w:r>
              <w:rPr>
                <w:rFonts w:ascii="Arial" w:hAnsi="Arial" w:cs="Arial"/>
                <w:color w:val="000000"/>
                <w:sz w:val="20"/>
              </w:rPr>
              <w:t>s</w:t>
            </w:r>
          </w:p>
        </w:tc>
        <w:tc>
          <w:tcPr>
            <w:tcW w:w="1530" w:type="dxa"/>
            <w:tcBorders>
              <w:top w:val="nil"/>
              <w:left w:val="single" w:sz="4" w:space="0" w:color="auto"/>
              <w:bottom w:val="single" w:sz="4" w:space="0" w:color="auto"/>
              <w:right w:val="single" w:sz="4" w:space="0" w:color="auto"/>
            </w:tcBorders>
            <w:shd w:val="clear" w:color="auto" w:fill="auto"/>
            <w:vAlign w:val="bottom"/>
          </w:tcPr>
          <w:p w14:paraId="28C3A7D6" w14:textId="77777777" w:rsidR="00BA1CD3" w:rsidRPr="00BA1CD3" w:rsidRDefault="00EB2FA4" w:rsidP="00EB2FA4">
            <w:pPr>
              <w:rPr>
                <w:rFonts w:ascii="Arial" w:hAnsi="Arial" w:cs="Arial"/>
                <w:color w:val="000000"/>
                <w:sz w:val="16"/>
                <w:szCs w:val="16"/>
              </w:rPr>
            </w:pPr>
            <w:r>
              <w:rPr>
                <w:rFonts w:ascii="Arial" w:hAnsi="Arial" w:cs="Arial"/>
                <w:color w:val="000000"/>
                <w:sz w:val="16"/>
                <w:szCs w:val="16"/>
              </w:rPr>
              <w:t>Time required to evaluate advanced notification of shipment submitted by a licensee who provides the information using an NRC notification Form 830 or 831</w:t>
            </w:r>
          </w:p>
        </w:tc>
        <w:tc>
          <w:tcPr>
            <w:tcW w:w="1260" w:type="dxa"/>
            <w:tcBorders>
              <w:top w:val="nil"/>
              <w:left w:val="nil"/>
              <w:bottom w:val="single" w:sz="4" w:space="0" w:color="auto"/>
              <w:right w:val="single" w:sz="4" w:space="0" w:color="auto"/>
            </w:tcBorders>
            <w:shd w:val="clear" w:color="auto" w:fill="auto"/>
            <w:noWrap/>
            <w:vAlign w:val="bottom"/>
            <w:hideMark/>
          </w:tcPr>
          <w:p w14:paraId="750A8665" w14:textId="77777777" w:rsidR="00BA1CD3" w:rsidRPr="00F547A1" w:rsidRDefault="00BA1CD3" w:rsidP="00C62985">
            <w:pPr>
              <w:jc w:val="right"/>
              <w:rPr>
                <w:rFonts w:ascii="Arial" w:hAnsi="Arial" w:cs="Arial"/>
                <w:color w:val="000000"/>
                <w:sz w:val="20"/>
              </w:rPr>
            </w:pPr>
            <w:r>
              <w:rPr>
                <w:rFonts w:ascii="Arial" w:hAnsi="Arial" w:cs="Arial"/>
                <w:color w:val="000000"/>
                <w:sz w:val="20"/>
              </w:rPr>
              <w:t>12</w:t>
            </w:r>
          </w:p>
        </w:tc>
        <w:tc>
          <w:tcPr>
            <w:tcW w:w="1170" w:type="dxa"/>
            <w:tcBorders>
              <w:top w:val="nil"/>
              <w:left w:val="nil"/>
              <w:bottom w:val="single" w:sz="4" w:space="0" w:color="auto"/>
              <w:right w:val="single" w:sz="4" w:space="0" w:color="auto"/>
            </w:tcBorders>
            <w:shd w:val="clear" w:color="auto" w:fill="auto"/>
            <w:noWrap/>
            <w:vAlign w:val="bottom"/>
            <w:hideMark/>
          </w:tcPr>
          <w:p w14:paraId="2FD2BFBD"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100</w:t>
            </w:r>
          </w:p>
        </w:tc>
        <w:tc>
          <w:tcPr>
            <w:tcW w:w="1170" w:type="dxa"/>
            <w:tcBorders>
              <w:top w:val="nil"/>
              <w:left w:val="nil"/>
              <w:bottom w:val="single" w:sz="4" w:space="0" w:color="auto"/>
              <w:right w:val="single" w:sz="4" w:space="0" w:color="auto"/>
            </w:tcBorders>
            <w:shd w:val="clear" w:color="auto" w:fill="auto"/>
            <w:noWrap/>
            <w:vAlign w:val="bottom"/>
            <w:hideMark/>
          </w:tcPr>
          <w:p w14:paraId="431270A1" w14:textId="77777777" w:rsidR="00BA1CD3" w:rsidRPr="00F547A1" w:rsidRDefault="00BA1CD3" w:rsidP="00C62985">
            <w:pPr>
              <w:jc w:val="right"/>
              <w:rPr>
                <w:rFonts w:ascii="Arial" w:hAnsi="Arial" w:cs="Arial"/>
                <w:color w:val="000000"/>
                <w:sz w:val="20"/>
              </w:rPr>
            </w:pPr>
            <w:r>
              <w:rPr>
                <w:rFonts w:ascii="Arial" w:hAnsi="Arial" w:cs="Arial"/>
                <w:color w:val="000000"/>
                <w:sz w:val="20"/>
              </w:rPr>
              <w:t>1,2</w:t>
            </w:r>
            <w:r w:rsidRPr="00F547A1">
              <w:rPr>
                <w:rFonts w:ascii="Arial" w:hAnsi="Arial" w:cs="Arial"/>
                <w:color w:val="000000"/>
                <w:sz w:val="20"/>
              </w:rPr>
              <w:t>00</w:t>
            </w:r>
          </w:p>
        </w:tc>
        <w:tc>
          <w:tcPr>
            <w:tcW w:w="990" w:type="dxa"/>
            <w:tcBorders>
              <w:top w:val="nil"/>
              <w:left w:val="nil"/>
              <w:bottom w:val="single" w:sz="4" w:space="0" w:color="auto"/>
              <w:right w:val="single" w:sz="4" w:space="0" w:color="auto"/>
            </w:tcBorders>
            <w:shd w:val="clear" w:color="auto" w:fill="auto"/>
            <w:noWrap/>
            <w:vAlign w:val="bottom"/>
            <w:hideMark/>
          </w:tcPr>
          <w:p w14:paraId="3577A874"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0.0</w:t>
            </w:r>
            <w:r>
              <w:rPr>
                <w:rFonts w:ascii="Arial" w:hAnsi="Arial" w:cs="Arial"/>
                <w:color w:val="000000"/>
                <w:sz w:val="20"/>
              </w:rPr>
              <w:t>2</w:t>
            </w:r>
          </w:p>
        </w:tc>
        <w:tc>
          <w:tcPr>
            <w:tcW w:w="630" w:type="dxa"/>
            <w:tcBorders>
              <w:top w:val="nil"/>
              <w:left w:val="nil"/>
              <w:bottom w:val="single" w:sz="4" w:space="0" w:color="auto"/>
              <w:right w:val="single" w:sz="4" w:space="0" w:color="auto"/>
            </w:tcBorders>
            <w:shd w:val="clear" w:color="auto" w:fill="auto"/>
            <w:noWrap/>
            <w:vAlign w:val="bottom"/>
            <w:hideMark/>
          </w:tcPr>
          <w:p w14:paraId="4A864D6C" w14:textId="77777777" w:rsidR="00BA1CD3" w:rsidRPr="00F547A1" w:rsidRDefault="00BA1CD3" w:rsidP="00C62985">
            <w:pPr>
              <w:jc w:val="right"/>
              <w:rPr>
                <w:rFonts w:ascii="Arial" w:hAnsi="Arial" w:cs="Arial"/>
                <w:color w:val="000000"/>
                <w:sz w:val="20"/>
              </w:rPr>
            </w:pPr>
            <w:r>
              <w:rPr>
                <w:rFonts w:ascii="Arial" w:hAnsi="Arial" w:cs="Arial"/>
                <w:color w:val="000000"/>
                <w:sz w:val="20"/>
              </w:rPr>
              <w:t>24</w:t>
            </w:r>
          </w:p>
        </w:tc>
        <w:tc>
          <w:tcPr>
            <w:tcW w:w="1080" w:type="dxa"/>
            <w:tcBorders>
              <w:top w:val="nil"/>
              <w:left w:val="nil"/>
              <w:bottom w:val="single" w:sz="4" w:space="0" w:color="auto"/>
              <w:right w:val="single" w:sz="4" w:space="0" w:color="auto"/>
            </w:tcBorders>
            <w:shd w:val="clear" w:color="auto" w:fill="auto"/>
            <w:noWrap/>
            <w:vAlign w:val="bottom"/>
            <w:hideMark/>
          </w:tcPr>
          <w:p w14:paraId="1D54F590"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 $  </w:t>
            </w:r>
            <w:r>
              <w:rPr>
                <w:rFonts w:ascii="Arial" w:hAnsi="Arial" w:cs="Arial"/>
                <w:color w:val="000000"/>
                <w:sz w:val="20"/>
              </w:rPr>
              <w:t>6</w:t>
            </w:r>
            <w:r w:rsidRPr="00F547A1">
              <w:rPr>
                <w:rFonts w:ascii="Arial" w:hAnsi="Arial" w:cs="Arial"/>
                <w:color w:val="000000"/>
                <w:sz w:val="20"/>
              </w:rPr>
              <w:t>,</w:t>
            </w:r>
            <w:r>
              <w:rPr>
                <w:rFonts w:ascii="Arial" w:hAnsi="Arial" w:cs="Arial"/>
                <w:color w:val="000000"/>
                <w:sz w:val="20"/>
              </w:rPr>
              <w:t>696</w:t>
            </w:r>
            <w:r w:rsidRPr="00F547A1">
              <w:rPr>
                <w:rFonts w:ascii="Arial" w:hAnsi="Arial" w:cs="Arial"/>
                <w:color w:val="000000"/>
                <w:sz w:val="20"/>
              </w:rPr>
              <w:t xml:space="preserve"> </w:t>
            </w:r>
          </w:p>
        </w:tc>
      </w:tr>
      <w:tr w:rsidR="00CD61DA" w:rsidRPr="00F547A1" w14:paraId="59DABE02" w14:textId="77777777" w:rsidTr="00BA1CD3">
        <w:trPr>
          <w:trHeight w:val="525"/>
          <w:jc w:val="center"/>
        </w:trPr>
        <w:tc>
          <w:tcPr>
            <w:tcW w:w="1795" w:type="dxa"/>
            <w:tcBorders>
              <w:top w:val="nil"/>
              <w:left w:val="single" w:sz="4" w:space="0" w:color="auto"/>
              <w:bottom w:val="single" w:sz="4" w:space="0" w:color="auto"/>
              <w:right w:val="single" w:sz="4" w:space="0" w:color="auto"/>
            </w:tcBorders>
            <w:shd w:val="clear" w:color="auto" w:fill="auto"/>
            <w:vAlign w:val="bottom"/>
            <w:hideMark/>
          </w:tcPr>
          <w:p w14:paraId="1B59210E"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110.50(c)- add'l follow-up</w:t>
            </w:r>
          </w:p>
        </w:tc>
        <w:tc>
          <w:tcPr>
            <w:tcW w:w="1530" w:type="dxa"/>
            <w:tcBorders>
              <w:top w:val="nil"/>
              <w:left w:val="single" w:sz="4" w:space="0" w:color="auto"/>
              <w:bottom w:val="single" w:sz="4" w:space="0" w:color="auto"/>
              <w:right w:val="single" w:sz="4" w:space="0" w:color="auto"/>
            </w:tcBorders>
            <w:shd w:val="clear" w:color="auto" w:fill="auto"/>
            <w:vAlign w:val="bottom"/>
          </w:tcPr>
          <w:p w14:paraId="4555CC1C" w14:textId="77777777" w:rsidR="00BA1CD3" w:rsidRPr="00BA1CD3" w:rsidRDefault="00EB2FA4" w:rsidP="00EB2FA4">
            <w:pPr>
              <w:rPr>
                <w:rFonts w:ascii="Arial" w:hAnsi="Arial" w:cs="Arial"/>
                <w:color w:val="000000"/>
                <w:sz w:val="16"/>
                <w:szCs w:val="16"/>
              </w:rPr>
            </w:pPr>
            <w:r>
              <w:rPr>
                <w:rFonts w:ascii="Arial" w:hAnsi="Arial" w:cs="Arial"/>
                <w:color w:val="000000"/>
                <w:sz w:val="16"/>
                <w:szCs w:val="16"/>
              </w:rPr>
              <w:t>Time required to evaluate advanced notification of shipment submitted by a licensee who provides incomplete or conflicting information. Some of these result in enforcement action.</w:t>
            </w:r>
          </w:p>
        </w:tc>
        <w:tc>
          <w:tcPr>
            <w:tcW w:w="1260" w:type="dxa"/>
            <w:tcBorders>
              <w:top w:val="nil"/>
              <w:left w:val="nil"/>
              <w:bottom w:val="single" w:sz="4" w:space="0" w:color="auto"/>
              <w:right w:val="single" w:sz="4" w:space="0" w:color="auto"/>
            </w:tcBorders>
            <w:shd w:val="clear" w:color="auto" w:fill="auto"/>
            <w:noWrap/>
            <w:vAlign w:val="bottom"/>
            <w:hideMark/>
          </w:tcPr>
          <w:p w14:paraId="07842697" w14:textId="77777777" w:rsidR="00BA1CD3" w:rsidRPr="00F547A1" w:rsidRDefault="00BA1CD3" w:rsidP="00C62985">
            <w:pPr>
              <w:jc w:val="right"/>
              <w:rPr>
                <w:rFonts w:ascii="Arial" w:hAnsi="Arial" w:cs="Arial"/>
                <w:color w:val="000000"/>
                <w:sz w:val="20"/>
              </w:rPr>
            </w:pPr>
            <w:r>
              <w:rPr>
                <w:rFonts w:ascii="Arial" w:hAnsi="Arial" w:cs="Arial"/>
                <w:color w:val="000000"/>
                <w:sz w:val="20"/>
              </w:rPr>
              <w:t>10</w:t>
            </w:r>
          </w:p>
        </w:tc>
        <w:tc>
          <w:tcPr>
            <w:tcW w:w="1170" w:type="dxa"/>
            <w:tcBorders>
              <w:top w:val="nil"/>
              <w:left w:val="nil"/>
              <w:bottom w:val="single" w:sz="4" w:space="0" w:color="auto"/>
              <w:right w:val="single" w:sz="4" w:space="0" w:color="auto"/>
            </w:tcBorders>
            <w:shd w:val="clear" w:color="auto" w:fill="auto"/>
            <w:noWrap/>
            <w:vAlign w:val="bottom"/>
            <w:hideMark/>
          </w:tcPr>
          <w:p w14:paraId="73C92F37" w14:textId="77777777" w:rsidR="00BA1CD3" w:rsidRPr="00F547A1" w:rsidRDefault="00BA1CD3" w:rsidP="00C62985">
            <w:pPr>
              <w:jc w:val="right"/>
              <w:rPr>
                <w:rFonts w:ascii="Arial" w:hAnsi="Arial" w:cs="Arial"/>
                <w:color w:val="000000"/>
                <w:sz w:val="20"/>
              </w:rPr>
            </w:pPr>
            <w:r>
              <w:rPr>
                <w:rFonts w:ascii="Arial" w:hAnsi="Arial" w:cs="Arial"/>
                <w:color w:val="000000"/>
                <w:sz w:val="20"/>
              </w:rPr>
              <w:t>10</w:t>
            </w:r>
          </w:p>
        </w:tc>
        <w:tc>
          <w:tcPr>
            <w:tcW w:w="1170" w:type="dxa"/>
            <w:tcBorders>
              <w:top w:val="nil"/>
              <w:left w:val="nil"/>
              <w:bottom w:val="single" w:sz="4" w:space="0" w:color="auto"/>
              <w:right w:val="single" w:sz="4" w:space="0" w:color="auto"/>
            </w:tcBorders>
            <w:shd w:val="clear" w:color="auto" w:fill="auto"/>
            <w:noWrap/>
            <w:vAlign w:val="bottom"/>
            <w:hideMark/>
          </w:tcPr>
          <w:p w14:paraId="0825524F" w14:textId="77777777" w:rsidR="00BA1CD3" w:rsidRPr="00F547A1" w:rsidRDefault="00BA1CD3" w:rsidP="00C62985">
            <w:pPr>
              <w:jc w:val="right"/>
              <w:rPr>
                <w:rFonts w:ascii="Arial" w:hAnsi="Arial" w:cs="Arial"/>
                <w:color w:val="000000"/>
                <w:sz w:val="20"/>
              </w:rPr>
            </w:pPr>
            <w:r>
              <w:rPr>
                <w:rFonts w:ascii="Arial" w:hAnsi="Arial" w:cs="Arial"/>
                <w:color w:val="000000"/>
                <w:sz w:val="20"/>
              </w:rPr>
              <w:t>10</w:t>
            </w:r>
            <w:r w:rsidRPr="00F547A1">
              <w:rPr>
                <w:rFonts w:ascii="Arial" w:hAnsi="Arial" w:cs="Arial"/>
                <w:color w:val="000000"/>
                <w:sz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1AD367F5"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0.2</w:t>
            </w:r>
          </w:p>
        </w:tc>
        <w:tc>
          <w:tcPr>
            <w:tcW w:w="630" w:type="dxa"/>
            <w:tcBorders>
              <w:top w:val="nil"/>
              <w:left w:val="nil"/>
              <w:bottom w:val="single" w:sz="4" w:space="0" w:color="auto"/>
              <w:right w:val="single" w:sz="4" w:space="0" w:color="auto"/>
            </w:tcBorders>
            <w:shd w:val="clear" w:color="auto" w:fill="auto"/>
            <w:noWrap/>
            <w:vAlign w:val="bottom"/>
            <w:hideMark/>
          </w:tcPr>
          <w:p w14:paraId="3B47F1E1" w14:textId="77777777" w:rsidR="00BA1CD3" w:rsidRPr="00F547A1" w:rsidRDefault="00BA1CD3" w:rsidP="00C62985">
            <w:pPr>
              <w:jc w:val="right"/>
              <w:rPr>
                <w:rFonts w:ascii="Arial" w:hAnsi="Arial" w:cs="Arial"/>
                <w:color w:val="000000"/>
                <w:sz w:val="20"/>
              </w:rPr>
            </w:pPr>
            <w:r>
              <w:rPr>
                <w:rFonts w:ascii="Arial" w:hAnsi="Arial" w:cs="Arial"/>
                <w:color w:val="000000"/>
                <w:sz w:val="20"/>
              </w:rPr>
              <w:t>20</w:t>
            </w:r>
          </w:p>
        </w:tc>
        <w:tc>
          <w:tcPr>
            <w:tcW w:w="1080" w:type="dxa"/>
            <w:tcBorders>
              <w:top w:val="nil"/>
              <w:left w:val="nil"/>
              <w:bottom w:val="single" w:sz="4" w:space="0" w:color="auto"/>
              <w:right w:val="single" w:sz="4" w:space="0" w:color="auto"/>
            </w:tcBorders>
            <w:shd w:val="clear" w:color="auto" w:fill="auto"/>
            <w:noWrap/>
            <w:vAlign w:val="bottom"/>
            <w:hideMark/>
          </w:tcPr>
          <w:p w14:paraId="52171057"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 $  </w:t>
            </w:r>
            <w:r>
              <w:rPr>
                <w:rFonts w:ascii="Arial" w:hAnsi="Arial" w:cs="Arial"/>
                <w:color w:val="000000"/>
                <w:sz w:val="20"/>
              </w:rPr>
              <w:t>5,580</w:t>
            </w:r>
            <w:r w:rsidRPr="00F547A1">
              <w:rPr>
                <w:rFonts w:ascii="Arial" w:hAnsi="Arial" w:cs="Arial"/>
                <w:color w:val="000000"/>
                <w:sz w:val="20"/>
              </w:rPr>
              <w:t xml:space="preserve"> </w:t>
            </w:r>
          </w:p>
        </w:tc>
      </w:tr>
      <w:tr w:rsidR="00CD61DA" w:rsidRPr="00F547A1" w14:paraId="477C07F8" w14:textId="77777777" w:rsidTr="00BA1CD3">
        <w:trPr>
          <w:trHeight w:val="300"/>
          <w:jc w:val="center"/>
        </w:trPr>
        <w:tc>
          <w:tcPr>
            <w:tcW w:w="1795" w:type="dxa"/>
            <w:tcBorders>
              <w:top w:val="nil"/>
              <w:left w:val="single" w:sz="4" w:space="0" w:color="auto"/>
              <w:bottom w:val="single" w:sz="4" w:space="0" w:color="auto"/>
              <w:right w:val="single" w:sz="4" w:space="0" w:color="auto"/>
            </w:tcBorders>
            <w:shd w:val="clear" w:color="auto" w:fill="auto"/>
            <w:vAlign w:val="bottom"/>
            <w:hideMark/>
          </w:tcPr>
          <w:p w14:paraId="37B83BDA"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110.52(b)</w:t>
            </w:r>
          </w:p>
        </w:tc>
        <w:tc>
          <w:tcPr>
            <w:tcW w:w="1530" w:type="dxa"/>
            <w:tcBorders>
              <w:top w:val="nil"/>
              <w:left w:val="single" w:sz="4" w:space="0" w:color="auto"/>
              <w:bottom w:val="single" w:sz="4" w:space="0" w:color="auto"/>
              <w:right w:val="single" w:sz="4" w:space="0" w:color="auto"/>
            </w:tcBorders>
            <w:shd w:val="clear" w:color="auto" w:fill="auto"/>
            <w:vAlign w:val="bottom"/>
          </w:tcPr>
          <w:p w14:paraId="31DCEDF7" w14:textId="77777777" w:rsidR="00BA1CD3" w:rsidRPr="00BA1CD3" w:rsidRDefault="00A31F77" w:rsidP="00A30099">
            <w:pPr>
              <w:rPr>
                <w:rFonts w:ascii="Arial" w:hAnsi="Arial" w:cs="Arial"/>
                <w:color w:val="000000"/>
                <w:sz w:val="16"/>
                <w:szCs w:val="16"/>
              </w:rPr>
            </w:pPr>
            <w:r>
              <w:rPr>
                <w:rFonts w:ascii="Arial" w:hAnsi="Arial" w:cs="Arial"/>
                <w:color w:val="000000"/>
                <w:sz w:val="16"/>
                <w:szCs w:val="16"/>
              </w:rPr>
              <w:t xml:space="preserve">Time required to request and evaluate additional information </w:t>
            </w:r>
            <w:r w:rsidR="00A30099">
              <w:rPr>
                <w:rFonts w:ascii="Arial" w:hAnsi="Arial" w:cs="Arial"/>
                <w:color w:val="000000"/>
                <w:sz w:val="16"/>
                <w:szCs w:val="16"/>
              </w:rPr>
              <w:t>to determine whether a license should be revoked, suspended or modified</w:t>
            </w:r>
          </w:p>
        </w:tc>
        <w:tc>
          <w:tcPr>
            <w:tcW w:w="1260" w:type="dxa"/>
            <w:tcBorders>
              <w:top w:val="nil"/>
              <w:left w:val="nil"/>
              <w:bottom w:val="single" w:sz="4" w:space="0" w:color="auto"/>
              <w:right w:val="single" w:sz="4" w:space="0" w:color="auto"/>
            </w:tcBorders>
            <w:shd w:val="clear" w:color="auto" w:fill="auto"/>
            <w:noWrap/>
            <w:vAlign w:val="bottom"/>
            <w:hideMark/>
          </w:tcPr>
          <w:p w14:paraId="03A1F96C"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77EA4BCB"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726AA759"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990" w:type="dxa"/>
            <w:tcBorders>
              <w:top w:val="nil"/>
              <w:left w:val="nil"/>
              <w:bottom w:val="single" w:sz="4" w:space="0" w:color="auto"/>
              <w:right w:val="single" w:sz="4" w:space="0" w:color="auto"/>
            </w:tcBorders>
            <w:shd w:val="clear" w:color="auto" w:fill="auto"/>
            <w:noWrap/>
            <w:vAlign w:val="bottom"/>
            <w:hideMark/>
          </w:tcPr>
          <w:p w14:paraId="00A3043C"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630" w:type="dxa"/>
            <w:tcBorders>
              <w:top w:val="nil"/>
              <w:left w:val="nil"/>
              <w:bottom w:val="single" w:sz="4" w:space="0" w:color="auto"/>
              <w:right w:val="single" w:sz="4" w:space="0" w:color="auto"/>
            </w:tcBorders>
            <w:shd w:val="clear" w:color="auto" w:fill="auto"/>
            <w:noWrap/>
            <w:vAlign w:val="bottom"/>
            <w:hideMark/>
          </w:tcPr>
          <w:p w14:paraId="08E631DD"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0213AA61"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 $    </w:t>
            </w:r>
            <w:r>
              <w:rPr>
                <w:rFonts w:ascii="Arial" w:hAnsi="Arial" w:cs="Arial"/>
                <w:color w:val="000000"/>
                <w:sz w:val="20"/>
              </w:rPr>
              <w:t xml:space="preserve"> </w:t>
            </w:r>
            <w:r w:rsidRPr="00F547A1">
              <w:rPr>
                <w:rFonts w:ascii="Arial" w:hAnsi="Arial" w:cs="Arial"/>
                <w:color w:val="000000"/>
                <w:sz w:val="20"/>
              </w:rPr>
              <w:t>27</w:t>
            </w:r>
            <w:r>
              <w:rPr>
                <w:rFonts w:ascii="Arial" w:hAnsi="Arial" w:cs="Arial"/>
                <w:color w:val="000000"/>
                <w:sz w:val="20"/>
              </w:rPr>
              <w:t>9</w:t>
            </w:r>
            <w:r w:rsidRPr="00F547A1">
              <w:rPr>
                <w:rFonts w:ascii="Arial" w:hAnsi="Arial" w:cs="Arial"/>
                <w:color w:val="000000"/>
                <w:sz w:val="20"/>
              </w:rPr>
              <w:t xml:space="preserve"> </w:t>
            </w:r>
          </w:p>
        </w:tc>
      </w:tr>
      <w:tr w:rsidR="00CD61DA" w:rsidRPr="00F547A1" w14:paraId="2573C8C6" w14:textId="77777777" w:rsidTr="00BA1CD3">
        <w:trPr>
          <w:trHeight w:val="300"/>
          <w:jc w:val="center"/>
        </w:trPr>
        <w:tc>
          <w:tcPr>
            <w:tcW w:w="1795" w:type="dxa"/>
            <w:tcBorders>
              <w:top w:val="nil"/>
              <w:left w:val="single" w:sz="4" w:space="0" w:color="auto"/>
              <w:bottom w:val="single" w:sz="4" w:space="0" w:color="auto"/>
              <w:right w:val="single" w:sz="4" w:space="0" w:color="auto"/>
            </w:tcBorders>
            <w:shd w:val="clear" w:color="auto" w:fill="auto"/>
            <w:vAlign w:val="bottom"/>
            <w:hideMark/>
          </w:tcPr>
          <w:p w14:paraId="7C4A842E"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110.54(b)</w:t>
            </w:r>
          </w:p>
        </w:tc>
        <w:tc>
          <w:tcPr>
            <w:tcW w:w="1530" w:type="dxa"/>
            <w:tcBorders>
              <w:top w:val="nil"/>
              <w:left w:val="single" w:sz="4" w:space="0" w:color="auto"/>
              <w:bottom w:val="single" w:sz="4" w:space="0" w:color="auto"/>
              <w:right w:val="single" w:sz="4" w:space="0" w:color="auto"/>
            </w:tcBorders>
            <w:shd w:val="clear" w:color="auto" w:fill="auto"/>
            <w:vAlign w:val="bottom"/>
          </w:tcPr>
          <w:p w14:paraId="51BDD205" w14:textId="77777777" w:rsidR="00BA1CD3" w:rsidRPr="00BA1CD3" w:rsidRDefault="00A30099" w:rsidP="00A30099">
            <w:pPr>
              <w:rPr>
                <w:rFonts w:ascii="Arial" w:hAnsi="Arial" w:cs="Arial"/>
                <w:color w:val="000000"/>
                <w:sz w:val="16"/>
                <w:szCs w:val="16"/>
              </w:rPr>
            </w:pPr>
            <w:r>
              <w:rPr>
                <w:rFonts w:ascii="Arial" w:hAnsi="Arial" w:cs="Arial"/>
                <w:color w:val="000000"/>
                <w:sz w:val="16"/>
                <w:szCs w:val="16"/>
              </w:rPr>
              <w:t>Time required to review an annual report of exports of americium and neptunium made under the general license in 10 CFR 110.23 compliance with this requirement.</w:t>
            </w:r>
          </w:p>
        </w:tc>
        <w:tc>
          <w:tcPr>
            <w:tcW w:w="1260" w:type="dxa"/>
            <w:tcBorders>
              <w:top w:val="nil"/>
              <w:left w:val="nil"/>
              <w:bottom w:val="single" w:sz="4" w:space="0" w:color="auto"/>
              <w:right w:val="single" w:sz="4" w:space="0" w:color="auto"/>
            </w:tcBorders>
            <w:shd w:val="clear" w:color="auto" w:fill="auto"/>
            <w:noWrap/>
            <w:vAlign w:val="bottom"/>
            <w:hideMark/>
          </w:tcPr>
          <w:p w14:paraId="7A2EE6A6"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2</w:t>
            </w:r>
            <w:r>
              <w:rPr>
                <w:rFonts w:ascii="Arial" w:hAnsi="Arial" w:cs="Arial"/>
                <w:color w:val="000000"/>
                <w:sz w:val="20"/>
              </w:rPr>
              <w:t>8</w:t>
            </w:r>
          </w:p>
        </w:tc>
        <w:tc>
          <w:tcPr>
            <w:tcW w:w="1170" w:type="dxa"/>
            <w:tcBorders>
              <w:top w:val="nil"/>
              <w:left w:val="nil"/>
              <w:bottom w:val="single" w:sz="4" w:space="0" w:color="auto"/>
              <w:right w:val="single" w:sz="4" w:space="0" w:color="auto"/>
            </w:tcBorders>
            <w:shd w:val="clear" w:color="auto" w:fill="auto"/>
            <w:noWrap/>
            <w:vAlign w:val="bottom"/>
            <w:hideMark/>
          </w:tcPr>
          <w:p w14:paraId="74537087"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4010DF8F"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2</w:t>
            </w:r>
            <w:r>
              <w:rPr>
                <w:rFonts w:ascii="Arial" w:hAnsi="Arial" w:cs="Arial"/>
                <w:color w:val="000000"/>
                <w:sz w:val="20"/>
              </w:rPr>
              <w:t>8</w:t>
            </w:r>
          </w:p>
        </w:tc>
        <w:tc>
          <w:tcPr>
            <w:tcW w:w="990" w:type="dxa"/>
            <w:tcBorders>
              <w:top w:val="nil"/>
              <w:left w:val="nil"/>
              <w:bottom w:val="single" w:sz="4" w:space="0" w:color="auto"/>
              <w:right w:val="single" w:sz="4" w:space="0" w:color="auto"/>
            </w:tcBorders>
            <w:shd w:val="clear" w:color="auto" w:fill="auto"/>
            <w:noWrap/>
            <w:vAlign w:val="bottom"/>
            <w:hideMark/>
          </w:tcPr>
          <w:p w14:paraId="625D35CE" w14:textId="77777777" w:rsidR="00BA1CD3" w:rsidRPr="00F547A1" w:rsidRDefault="00BA1CD3" w:rsidP="00C62985">
            <w:pPr>
              <w:jc w:val="right"/>
              <w:rPr>
                <w:rFonts w:ascii="Arial" w:hAnsi="Arial" w:cs="Arial"/>
                <w:color w:val="000000"/>
                <w:sz w:val="20"/>
              </w:rPr>
            </w:pPr>
            <w:r>
              <w:rPr>
                <w:rFonts w:ascii="Arial" w:hAnsi="Arial" w:cs="Arial"/>
                <w:color w:val="000000"/>
                <w:sz w:val="20"/>
              </w:rPr>
              <w:t>0.2</w:t>
            </w:r>
          </w:p>
        </w:tc>
        <w:tc>
          <w:tcPr>
            <w:tcW w:w="630" w:type="dxa"/>
            <w:tcBorders>
              <w:top w:val="nil"/>
              <w:left w:val="nil"/>
              <w:bottom w:val="single" w:sz="4" w:space="0" w:color="auto"/>
              <w:right w:val="single" w:sz="4" w:space="0" w:color="auto"/>
            </w:tcBorders>
            <w:shd w:val="clear" w:color="auto" w:fill="auto"/>
            <w:noWrap/>
            <w:vAlign w:val="bottom"/>
            <w:hideMark/>
          </w:tcPr>
          <w:p w14:paraId="2CE61D44" w14:textId="77777777" w:rsidR="00BA1CD3" w:rsidRPr="00F547A1" w:rsidRDefault="00BA1CD3" w:rsidP="00C62985">
            <w:pPr>
              <w:jc w:val="right"/>
              <w:rPr>
                <w:rFonts w:ascii="Arial" w:hAnsi="Arial" w:cs="Arial"/>
                <w:color w:val="000000"/>
                <w:sz w:val="20"/>
              </w:rPr>
            </w:pPr>
            <w:r>
              <w:rPr>
                <w:rFonts w:ascii="Arial" w:hAnsi="Arial" w:cs="Arial"/>
                <w:color w:val="000000"/>
                <w:sz w:val="20"/>
              </w:rPr>
              <w:t>6</w:t>
            </w:r>
          </w:p>
        </w:tc>
        <w:tc>
          <w:tcPr>
            <w:tcW w:w="1080" w:type="dxa"/>
            <w:tcBorders>
              <w:top w:val="nil"/>
              <w:left w:val="nil"/>
              <w:bottom w:val="single" w:sz="4" w:space="0" w:color="auto"/>
              <w:right w:val="single" w:sz="4" w:space="0" w:color="auto"/>
            </w:tcBorders>
            <w:shd w:val="clear" w:color="auto" w:fill="auto"/>
            <w:noWrap/>
            <w:vAlign w:val="bottom"/>
            <w:hideMark/>
          </w:tcPr>
          <w:p w14:paraId="12FD9618" w14:textId="77777777" w:rsidR="00BA1CD3" w:rsidRPr="00F547A1" w:rsidRDefault="00BA1CD3" w:rsidP="00C62985">
            <w:pPr>
              <w:rPr>
                <w:rFonts w:ascii="Arial" w:hAnsi="Arial" w:cs="Arial"/>
                <w:color w:val="000000"/>
                <w:sz w:val="20"/>
              </w:rPr>
            </w:pPr>
            <w:r>
              <w:rPr>
                <w:rFonts w:ascii="Arial" w:hAnsi="Arial" w:cs="Arial"/>
                <w:color w:val="000000"/>
                <w:sz w:val="20"/>
              </w:rPr>
              <w:t xml:space="preserve"> $  1,674</w:t>
            </w:r>
            <w:r w:rsidRPr="00F547A1">
              <w:rPr>
                <w:rFonts w:ascii="Arial" w:hAnsi="Arial" w:cs="Arial"/>
                <w:color w:val="000000"/>
                <w:sz w:val="20"/>
              </w:rPr>
              <w:t xml:space="preserve"> </w:t>
            </w:r>
          </w:p>
        </w:tc>
      </w:tr>
      <w:tr w:rsidR="00CD61DA" w:rsidRPr="00F547A1" w14:paraId="060B9210" w14:textId="77777777" w:rsidTr="00BA1CD3">
        <w:trPr>
          <w:trHeight w:val="300"/>
          <w:jc w:val="center"/>
        </w:trPr>
        <w:tc>
          <w:tcPr>
            <w:tcW w:w="1795" w:type="dxa"/>
            <w:tcBorders>
              <w:top w:val="nil"/>
              <w:left w:val="single" w:sz="4" w:space="0" w:color="auto"/>
              <w:bottom w:val="single" w:sz="4" w:space="0" w:color="auto"/>
              <w:right w:val="single" w:sz="4" w:space="0" w:color="auto"/>
            </w:tcBorders>
            <w:shd w:val="clear" w:color="auto" w:fill="auto"/>
            <w:vAlign w:val="bottom"/>
            <w:hideMark/>
          </w:tcPr>
          <w:p w14:paraId="65EA144B" w14:textId="77777777" w:rsidR="00BA1CD3" w:rsidRPr="00F547A1" w:rsidRDefault="00BA1CD3" w:rsidP="00C62985">
            <w:pPr>
              <w:rPr>
                <w:rFonts w:ascii="Arial" w:hAnsi="Arial" w:cs="Arial"/>
                <w:color w:val="000000"/>
                <w:sz w:val="20"/>
              </w:rPr>
            </w:pPr>
            <w:r w:rsidRPr="00F547A1">
              <w:rPr>
                <w:rFonts w:ascii="Arial" w:hAnsi="Arial" w:cs="Arial"/>
                <w:color w:val="000000"/>
                <w:sz w:val="20"/>
              </w:rPr>
              <w:t xml:space="preserve">110.54(c) </w:t>
            </w:r>
          </w:p>
        </w:tc>
        <w:tc>
          <w:tcPr>
            <w:tcW w:w="1530" w:type="dxa"/>
            <w:tcBorders>
              <w:top w:val="nil"/>
              <w:left w:val="single" w:sz="4" w:space="0" w:color="auto"/>
              <w:bottom w:val="single" w:sz="4" w:space="0" w:color="auto"/>
              <w:right w:val="single" w:sz="4" w:space="0" w:color="auto"/>
            </w:tcBorders>
            <w:shd w:val="clear" w:color="auto" w:fill="auto"/>
            <w:vAlign w:val="bottom"/>
          </w:tcPr>
          <w:p w14:paraId="60195C35" w14:textId="77777777" w:rsidR="00BA1CD3" w:rsidRPr="00BA1CD3" w:rsidRDefault="00A30099" w:rsidP="00A30099">
            <w:pPr>
              <w:rPr>
                <w:rFonts w:ascii="Arial" w:hAnsi="Arial" w:cs="Arial"/>
                <w:color w:val="000000"/>
                <w:sz w:val="16"/>
                <w:szCs w:val="16"/>
              </w:rPr>
            </w:pPr>
            <w:r>
              <w:rPr>
                <w:rFonts w:ascii="Arial" w:hAnsi="Arial" w:cs="Arial"/>
                <w:color w:val="000000"/>
                <w:sz w:val="16"/>
                <w:szCs w:val="16"/>
              </w:rPr>
              <w:t>Time required to review an annual report of exports of nuclear reactor components made under the general license in 10 CFR 110.26 for compliance with this requirement.</w:t>
            </w:r>
          </w:p>
        </w:tc>
        <w:tc>
          <w:tcPr>
            <w:tcW w:w="1260" w:type="dxa"/>
            <w:tcBorders>
              <w:top w:val="nil"/>
              <w:left w:val="nil"/>
              <w:bottom w:val="single" w:sz="4" w:space="0" w:color="auto"/>
              <w:right w:val="single" w:sz="4" w:space="0" w:color="auto"/>
            </w:tcBorders>
            <w:shd w:val="clear" w:color="auto" w:fill="auto"/>
            <w:noWrap/>
            <w:vAlign w:val="bottom"/>
            <w:hideMark/>
          </w:tcPr>
          <w:p w14:paraId="47F34AB9"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2</w:t>
            </w:r>
            <w:r>
              <w:rPr>
                <w:rFonts w:ascii="Arial" w:hAnsi="Arial" w:cs="Arial"/>
                <w:color w:val="000000"/>
                <w:sz w:val="20"/>
              </w:rPr>
              <w:t>9</w:t>
            </w:r>
          </w:p>
        </w:tc>
        <w:tc>
          <w:tcPr>
            <w:tcW w:w="1170" w:type="dxa"/>
            <w:tcBorders>
              <w:top w:val="nil"/>
              <w:left w:val="nil"/>
              <w:bottom w:val="single" w:sz="4" w:space="0" w:color="auto"/>
              <w:right w:val="single" w:sz="4" w:space="0" w:color="auto"/>
            </w:tcBorders>
            <w:shd w:val="clear" w:color="auto" w:fill="auto"/>
            <w:noWrap/>
            <w:vAlign w:val="bottom"/>
            <w:hideMark/>
          </w:tcPr>
          <w:p w14:paraId="5B868381"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526FE612" w14:textId="77777777" w:rsidR="00BA1CD3" w:rsidRPr="00F547A1" w:rsidRDefault="00BA1CD3" w:rsidP="00C62985">
            <w:pPr>
              <w:jc w:val="right"/>
              <w:rPr>
                <w:rFonts w:ascii="Arial" w:hAnsi="Arial" w:cs="Arial"/>
                <w:color w:val="000000"/>
                <w:sz w:val="20"/>
              </w:rPr>
            </w:pPr>
            <w:r w:rsidRPr="00F547A1">
              <w:rPr>
                <w:rFonts w:ascii="Arial" w:hAnsi="Arial" w:cs="Arial"/>
                <w:color w:val="000000"/>
                <w:sz w:val="20"/>
              </w:rPr>
              <w:t>2</w:t>
            </w:r>
            <w:r>
              <w:rPr>
                <w:rFonts w:ascii="Arial" w:hAnsi="Arial" w:cs="Arial"/>
                <w:color w:val="000000"/>
                <w:sz w:val="20"/>
              </w:rPr>
              <w:t>9</w:t>
            </w:r>
          </w:p>
        </w:tc>
        <w:tc>
          <w:tcPr>
            <w:tcW w:w="990" w:type="dxa"/>
            <w:tcBorders>
              <w:top w:val="nil"/>
              <w:left w:val="nil"/>
              <w:bottom w:val="single" w:sz="4" w:space="0" w:color="auto"/>
              <w:right w:val="single" w:sz="4" w:space="0" w:color="auto"/>
            </w:tcBorders>
            <w:shd w:val="clear" w:color="auto" w:fill="auto"/>
            <w:noWrap/>
            <w:vAlign w:val="bottom"/>
            <w:hideMark/>
          </w:tcPr>
          <w:p w14:paraId="29DA2432" w14:textId="77777777" w:rsidR="00BA1CD3" w:rsidRPr="00F547A1" w:rsidRDefault="00BA1CD3" w:rsidP="00C62985">
            <w:pPr>
              <w:jc w:val="right"/>
              <w:rPr>
                <w:rFonts w:ascii="Arial" w:hAnsi="Arial" w:cs="Arial"/>
                <w:color w:val="000000"/>
                <w:sz w:val="20"/>
              </w:rPr>
            </w:pPr>
            <w:r>
              <w:rPr>
                <w:rFonts w:ascii="Arial" w:hAnsi="Arial" w:cs="Arial"/>
                <w:color w:val="000000"/>
                <w:sz w:val="20"/>
              </w:rPr>
              <w:t>0.1</w:t>
            </w:r>
          </w:p>
        </w:tc>
        <w:tc>
          <w:tcPr>
            <w:tcW w:w="630" w:type="dxa"/>
            <w:tcBorders>
              <w:top w:val="nil"/>
              <w:left w:val="nil"/>
              <w:bottom w:val="single" w:sz="4" w:space="0" w:color="auto"/>
              <w:right w:val="single" w:sz="4" w:space="0" w:color="auto"/>
            </w:tcBorders>
            <w:shd w:val="clear" w:color="auto" w:fill="auto"/>
            <w:noWrap/>
            <w:vAlign w:val="bottom"/>
            <w:hideMark/>
          </w:tcPr>
          <w:p w14:paraId="30AB5BF8" w14:textId="77777777" w:rsidR="00BA1CD3" w:rsidRPr="00F547A1" w:rsidRDefault="00BA1CD3" w:rsidP="00C62985">
            <w:pPr>
              <w:jc w:val="right"/>
              <w:rPr>
                <w:rFonts w:ascii="Arial" w:hAnsi="Arial" w:cs="Arial"/>
                <w:color w:val="000000"/>
                <w:sz w:val="20"/>
              </w:rPr>
            </w:pPr>
            <w:r>
              <w:rPr>
                <w:rFonts w:ascii="Arial" w:hAnsi="Arial" w:cs="Arial"/>
                <w:color w:val="000000"/>
                <w:sz w:val="20"/>
              </w:rPr>
              <w:t>3</w:t>
            </w:r>
          </w:p>
        </w:tc>
        <w:tc>
          <w:tcPr>
            <w:tcW w:w="1080" w:type="dxa"/>
            <w:tcBorders>
              <w:top w:val="nil"/>
              <w:left w:val="nil"/>
              <w:bottom w:val="single" w:sz="4" w:space="0" w:color="auto"/>
              <w:right w:val="single" w:sz="4" w:space="0" w:color="auto"/>
            </w:tcBorders>
            <w:shd w:val="clear" w:color="auto" w:fill="auto"/>
            <w:noWrap/>
            <w:vAlign w:val="bottom"/>
            <w:hideMark/>
          </w:tcPr>
          <w:p w14:paraId="38F40FB6" w14:textId="77777777" w:rsidR="00BA1CD3" w:rsidRPr="00F547A1" w:rsidRDefault="00BA1CD3" w:rsidP="00C62985">
            <w:pPr>
              <w:rPr>
                <w:rFonts w:ascii="Arial" w:hAnsi="Arial" w:cs="Arial"/>
                <w:color w:val="000000"/>
                <w:sz w:val="20"/>
              </w:rPr>
            </w:pPr>
            <w:r>
              <w:rPr>
                <w:rFonts w:ascii="Arial" w:hAnsi="Arial" w:cs="Arial"/>
                <w:color w:val="000000"/>
                <w:sz w:val="20"/>
              </w:rPr>
              <w:t xml:space="preserve"> $     837</w:t>
            </w:r>
            <w:r w:rsidRPr="00F547A1">
              <w:rPr>
                <w:rFonts w:ascii="Arial" w:hAnsi="Arial" w:cs="Arial"/>
                <w:color w:val="000000"/>
                <w:sz w:val="20"/>
              </w:rPr>
              <w:t xml:space="preserve"> </w:t>
            </w:r>
          </w:p>
        </w:tc>
      </w:tr>
      <w:tr w:rsidR="0023045D" w:rsidRPr="00F547A1" w14:paraId="206F7336" w14:textId="77777777" w:rsidTr="00320102">
        <w:trPr>
          <w:trHeight w:val="300"/>
          <w:jc w:val="center"/>
        </w:trPr>
        <w:tc>
          <w:tcPr>
            <w:tcW w:w="3325" w:type="dxa"/>
            <w:gridSpan w:val="2"/>
            <w:tcBorders>
              <w:top w:val="nil"/>
              <w:left w:val="single" w:sz="4" w:space="0" w:color="auto"/>
              <w:bottom w:val="single" w:sz="4" w:space="0" w:color="auto"/>
              <w:right w:val="single" w:sz="4" w:space="0" w:color="auto"/>
            </w:tcBorders>
            <w:shd w:val="clear" w:color="auto" w:fill="auto"/>
            <w:vAlign w:val="bottom"/>
            <w:hideMark/>
          </w:tcPr>
          <w:p w14:paraId="04EF143B" w14:textId="77777777" w:rsidR="0023045D" w:rsidRPr="00F547A1" w:rsidRDefault="0023045D" w:rsidP="00C62985">
            <w:pPr>
              <w:rPr>
                <w:rFonts w:ascii="Arial" w:hAnsi="Arial" w:cs="Arial"/>
                <w:color w:val="000000"/>
                <w:sz w:val="20"/>
              </w:rPr>
            </w:pPr>
            <w:r w:rsidRPr="00F547A1">
              <w:rPr>
                <w:rFonts w:ascii="Arial" w:hAnsi="Arial" w:cs="Arial"/>
                <w:color w:val="000000"/>
                <w:sz w:val="20"/>
              </w:rPr>
              <w:t>TOTAL</w:t>
            </w:r>
          </w:p>
        </w:tc>
        <w:tc>
          <w:tcPr>
            <w:tcW w:w="1260" w:type="dxa"/>
            <w:tcBorders>
              <w:top w:val="nil"/>
              <w:left w:val="nil"/>
              <w:bottom w:val="single" w:sz="4" w:space="0" w:color="auto"/>
              <w:right w:val="single" w:sz="4" w:space="0" w:color="auto"/>
            </w:tcBorders>
            <w:shd w:val="clear" w:color="auto" w:fill="auto"/>
            <w:noWrap/>
            <w:vAlign w:val="bottom"/>
            <w:hideMark/>
          </w:tcPr>
          <w:p w14:paraId="62E7D98C" w14:textId="77777777" w:rsidR="0023045D" w:rsidRPr="00F547A1" w:rsidRDefault="0023045D" w:rsidP="00603DF0">
            <w:pPr>
              <w:jc w:val="right"/>
              <w:rPr>
                <w:rFonts w:ascii="Arial" w:hAnsi="Arial" w:cs="Arial"/>
                <w:color w:val="000000"/>
                <w:sz w:val="20"/>
              </w:rPr>
            </w:pPr>
            <w:r w:rsidRPr="00F547A1">
              <w:rPr>
                <w:rFonts w:ascii="Arial" w:hAnsi="Arial" w:cs="Arial"/>
                <w:color w:val="000000"/>
                <w:sz w:val="20"/>
              </w:rPr>
              <w:t>1</w:t>
            </w:r>
            <w:r w:rsidR="00603DF0">
              <w:rPr>
                <w:rFonts w:ascii="Arial" w:hAnsi="Arial" w:cs="Arial"/>
                <w:color w:val="000000"/>
                <w:sz w:val="20"/>
              </w:rPr>
              <w:t>36</w:t>
            </w:r>
          </w:p>
        </w:tc>
        <w:tc>
          <w:tcPr>
            <w:tcW w:w="1170" w:type="dxa"/>
            <w:tcBorders>
              <w:top w:val="nil"/>
              <w:left w:val="nil"/>
              <w:bottom w:val="single" w:sz="4" w:space="0" w:color="auto"/>
              <w:right w:val="single" w:sz="4" w:space="0" w:color="auto"/>
            </w:tcBorders>
            <w:shd w:val="clear" w:color="auto" w:fill="auto"/>
            <w:noWrap/>
            <w:vAlign w:val="bottom"/>
            <w:hideMark/>
          </w:tcPr>
          <w:p w14:paraId="7391BFF3" w14:textId="77777777" w:rsidR="0023045D" w:rsidRPr="00F547A1" w:rsidRDefault="0023045D" w:rsidP="00C62985">
            <w:pPr>
              <w:rPr>
                <w:rFonts w:ascii="Arial" w:hAnsi="Arial" w:cs="Arial"/>
                <w:color w:val="000000"/>
                <w:sz w:val="20"/>
              </w:rPr>
            </w:pPr>
            <w:r w:rsidRPr="00F547A1">
              <w:rPr>
                <w:rFonts w:ascii="Arial" w:hAnsi="Arial" w:cs="Arial"/>
                <w:color w:val="000000"/>
                <w:sz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7DC34A" w14:textId="77777777" w:rsidR="0023045D" w:rsidRPr="00F547A1" w:rsidRDefault="0023045D" w:rsidP="00603DF0">
            <w:pPr>
              <w:jc w:val="right"/>
              <w:rPr>
                <w:rFonts w:ascii="Arial" w:hAnsi="Arial" w:cs="Arial"/>
                <w:color w:val="000000"/>
                <w:sz w:val="20"/>
              </w:rPr>
            </w:pPr>
            <w:r w:rsidRPr="00F547A1">
              <w:rPr>
                <w:rFonts w:ascii="Arial" w:hAnsi="Arial" w:cs="Arial"/>
                <w:color w:val="000000"/>
                <w:sz w:val="20"/>
              </w:rPr>
              <w:t>2</w:t>
            </w:r>
            <w:r>
              <w:rPr>
                <w:rFonts w:ascii="Arial" w:hAnsi="Arial" w:cs="Arial"/>
                <w:color w:val="000000"/>
                <w:sz w:val="20"/>
              </w:rPr>
              <w:t>,8</w:t>
            </w:r>
            <w:r w:rsidR="00603DF0">
              <w:rPr>
                <w:rFonts w:ascii="Arial" w:hAnsi="Arial" w:cs="Arial"/>
                <w:color w:val="000000"/>
                <w:sz w:val="20"/>
              </w:rPr>
              <w:t>75</w:t>
            </w:r>
          </w:p>
        </w:tc>
        <w:tc>
          <w:tcPr>
            <w:tcW w:w="990" w:type="dxa"/>
            <w:tcBorders>
              <w:top w:val="nil"/>
              <w:left w:val="nil"/>
              <w:bottom w:val="single" w:sz="4" w:space="0" w:color="auto"/>
              <w:right w:val="single" w:sz="4" w:space="0" w:color="auto"/>
            </w:tcBorders>
            <w:shd w:val="clear" w:color="auto" w:fill="auto"/>
            <w:noWrap/>
            <w:vAlign w:val="bottom"/>
            <w:hideMark/>
          </w:tcPr>
          <w:p w14:paraId="28B9CB05" w14:textId="77777777" w:rsidR="0023045D" w:rsidRPr="00F547A1" w:rsidRDefault="0023045D" w:rsidP="00C62985">
            <w:pPr>
              <w:rPr>
                <w:rFonts w:ascii="Arial" w:hAnsi="Arial" w:cs="Arial"/>
                <w:color w:val="000000"/>
                <w:sz w:val="20"/>
              </w:rPr>
            </w:pPr>
            <w:r w:rsidRPr="00F547A1">
              <w:rPr>
                <w:rFonts w:ascii="Arial" w:hAnsi="Arial" w:cs="Arial"/>
                <w:color w:val="000000"/>
                <w:sz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AAE502F" w14:textId="77777777" w:rsidR="0023045D" w:rsidRPr="00F547A1" w:rsidRDefault="009819F3" w:rsidP="00C62985">
            <w:pPr>
              <w:jc w:val="right"/>
              <w:rPr>
                <w:rFonts w:ascii="Arial" w:hAnsi="Arial" w:cs="Arial"/>
                <w:color w:val="000000"/>
                <w:sz w:val="20"/>
              </w:rPr>
            </w:pPr>
            <w:r>
              <w:rPr>
                <w:rFonts w:ascii="Arial" w:hAnsi="Arial" w:cs="Arial"/>
                <w:color w:val="000000"/>
                <w:sz w:val="20"/>
              </w:rPr>
              <w:t>87</w:t>
            </w:r>
            <w:r w:rsidR="0023045D">
              <w:rPr>
                <w:rFonts w:ascii="Arial" w:hAnsi="Arial" w:cs="Arial"/>
                <w:color w:val="000000"/>
                <w:sz w:val="20"/>
              </w:rPr>
              <w:t>.5</w:t>
            </w:r>
          </w:p>
        </w:tc>
        <w:tc>
          <w:tcPr>
            <w:tcW w:w="1080" w:type="dxa"/>
            <w:tcBorders>
              <w:top w:val="nil"/>
              <w:left w:val="nil"/>
              <w:bottom w:val="single" w:sz="4" w:space="0" w:color="auto"/>
              <w:right w:val="single" w:sz="4" w:space="0" w:color="auto"/>
            </w:tcBorders>
            <w:shd w:val="clear" w:color="auto" w:fill="auto"/>
            <w:noWrap/>
            <w:vAlign w:val="bottom"/>
            <w:hideMark/>
          </w:tcPr>
          <w:p w14:paraId="0C472552" w14:textId="77777777" w:rsidR="0023045D" w:rsidRPr="00F547A1" w:rsidRDefault="0023045D" w:rsidP="009819F3">
            <w:pPr>
              <w:rPr>
                <w:rFonts w:ascii="Arial" w:hAnsi="Arial" w:cs="Arial"/>
                <w:color w:val="000000"/>
                <w:sz w:val="20"/>
              </w:rPr>
            </w:pPr>
            <w:r>
              <w:rPr>
                <w:rFonts w:ascii="Arial" w:hAnsi="Arial" w:cs="Arial"/>
                <w:color w:val="000000"/>
                <w:sz w:val="20"/>
              </w:rPr>
              <w:t xml:space="preserve"> $</w:t>
            </w:r>
            <w:r w:rsidR="009819F3">
              <w:rPr>
                <w:rFonts w:ascii="Arial" w:hAnsi="Arial" w:cs="Arial"/>
                <w:color w:val="000000"/>
                <w:sz w:val="20"/>
              </w:rPr>
              <w:t>24,413</w:t>
            </w:r>
            <w:r w:rsidRPr="00F547A1">
              <w:rPr>
                <w:rFonts w:ascii="Arial" w:hAnsi="Arial" w:cs="Arial"/>
                <w:color w:val="000000"/>
                <w:sz w:val="20"/>
              </w:rPr>
              <w:t xml:space="preserve"> </w:t>
            </w:r>
          </w:p>
        </w:tc>
      </w:tr>
    </w:tbl>
    <w:p w14:paraId="6EA3AFD6" w14:textId="77777777" w:rsidR="00F547A1" w:rsidRPr="0023045D" w:rsidRDefault="00F547A1" w:rsidP="0023045D"/>
    <w:sectPr w:rsidR="00F547A1" w:rsidRPr="0023045D" w:rsidSect="00D64CA1">
      <w:footerReference w:type="default" r:id="rId9"/>
      <w:footerReference w:type="first" r:id="rId10"/>
      <w:type w:val="continuous"/>
      <w:pgSz w:w="12240" w:h="15840"/>
      <w:pgMar w:top="1440" w:right="1080" w:bottom="1440" w:left="1080" w:header="1440" w:footer="115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943BD" w14:textId="77777777" w:rsidR="00320102" w:rsidRDefault="00320102">
      <w:r>
        <w:separator/>
      </w:r>
    </w:p>
  </w:endnote>
  <w:endnote w:type="continuationSeparator" w:id="0">
    <w:p w14:paraId="790F52A9" w14:textId="77777777" w:rsidR="00320102" w:rsidRDefault="00320102">
      <w:r>
        <w:continuationSeparator/>
      </w:r>
    </w:p>
  </w:endnote>
  <w:endnote w:type="continuationNotice" w:id="1">
    <w:p w14:paraId="2F83AFE7" w14:textId="77777777" w:rsidR="00320102" w:rsidRDefault="00320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83062" w14:textId="77777777" w:rsidR="00320102" w:rsidRPr="00926F55" w:rsidRDefault="00320102">
    <w:pPr>
      <w:pStyle w:val="Footer"/>
      <w:jc w:val="center"/>
      <w:rPr>
        <w:rFonts w:ascii="Arial" w:hAnsi="Arial" w:cs="Arial"/>
        <w:sz w:val="22"/>
        <w:szCs w:val="22"/>
      </w:rPr>
    </w:pPr>
    <w:r w:rsidRPr="00926F55">
      <w:rPr>
        <w:rFonts w:ascii="Arial" w:hAnsi="Arial" w:cs="Arial"/>
        <w:sz w:val="22"/>
        <w:szCs w:val="22"/>
      </w:rPr>
      <w:fldChar w:fldCharType="begin"/>
    </w:r>
    <w:r w:rsidRPr="00926F55">
      <w:rPr>
        <w:rFonts w:ascii="Arial" w:hAnsi="Arial" w:cs="Arial"/>
        <w:sz w:val="22"/>
        <w:szCs w:val="22"/>
      </w:rPr>
      <w:instrText xml:space="preserve"> PAGE   \* MERGEFORMAT </w:instrText>
    </w:r>
    <w:r w:rsidRPr="00926F55">
      <w:rPr>
        <w:rFonts w:ascii="Arial" w:hAnsi="Arial" w:cs="Arial"/>
        <w:sz w:val="22"/>
        <w:szCs w:val="22"/>
      </w:rPr>
      <w:fldChar w:fldCharType="separate"/>
    </w:r>
    <w:r w:rsidR="00904BBB">
      <w:rPr>
        <w:rFonts w:ascii="Arial" w:hAnsi="Arial" w:cs="Arial"/>
        <w:noProof/>
        <w:sz w:val="22"/>
        <w:szCs w:val="22"/>
      </w:rPr>
      <w:t>1</w:t>
    </w:r>
    <w:r w:rsidRPr="00926F55">
      <w:rPr>
        <w:rFonts w:ascii="Arial" w:hAnsi="Arial" w:cs="Arial"/>
        <w:noProof/>
        <w:sz w:val="22"/>
        <w:szCs w:val="22"/>
      </w:rPr>
      <w:fldChar w:fldCharType="end"/>
    </w:r>
  </w:p>
  <w:p w14:paraId="70A5166F" w14:textId="77777777" w:rsidR="00320102" w:rsidRDefault="00320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A71A" w14:textId="77777777" w:rsidR="00320102" w:rsidRPr="00663428" w:rsidRDefault="00320102">
    <w:pPr>
      <w:pStyle w:val="Footer"/>
      <w:jc w:val="center"/>
      <w:rPr>
        <w:rFonts w:ascii="Arial" w:hAnsi="Arial" w:cs="Arial"/>
        <w:sz w:val="22"/>
        <w:szCs w:val="22"/>
      </w:rPr>
    </w:pPr>
    <w:r w:rsidRPr="00663428">
      <w:rPr>
        <w:rFonts w:ascii="Arial" w:hAnsi="Arial" w:cs="Arial"/>
        <w:sz w:val="22"/>
        <w:szCs w:val="22"/>
      </w:rPr>
      <w:fldChar w:fldCharType="begin"/>
    </w:r>
    <w:r w:rsidRPr="00663428">
      <w:rPr>
        <w:rFonts w:ascii="Arial" w:hAnsi="Arial" w:cs="Arial"/>
        <w:sz w:val="22"/>
        <w:szCs w:val="22"/>
      </w:rPr>
      <w:instrText xml:space="preserve"> PAGE   \* MERGEFORMAT </w:instrText>
    </w:r>
    <w:r w:rsidRPr="00663428">
      <w:rPr>
        <w:rFonts w:ascii="Arial" w:hAnsi="Arial" w:cs="Arial"/>
        <w:sz w:val="22"/>
        <w:szCs w:val="22"/>
      </w:rPr>
      <w:fldChar w:fldCharType="separate"/>
    </w:r>
    <w:r>
      <w:rPr>
        <w:rFonts w:ascii="Arial" w:hAnsi="Arial" w:cs="Arial"/>
        <w:noProof/>
        <w:sz w:val="22"/>
        <w:szCs w:val="22"/>
      </w:rPr>
      <w:t>1</w:t>
    </w:r>
    <w:r w:rsidRPr="00663428">
      <w:rPr>
        <w:rFonts w:ascii="Arial" w:hAnsi="Arial" w:cs="Arial"/>
        <w:noProof/>
        <w:sz w:val="22"/>
        <w:szCs w:val="22"/>
      </w:rPr>
      <w:fldChar w:fldCharType="end"/>
    </w:r>
  </w:p>
  <w:p w14:paraId="295654EE" w14:textId="77777777" w:rsidR="00320102" w:rsidRDefault="00320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68AB1" w14:textId="77777777" w:rsidR="00320102" w:rsidRDefault="00320102">
      <w:r>
        <w:separator/>
      </w:r>
    </w:p>
  </w:footnote>
  <w:footnote w:type="continuationSeparator" w:id="0">
    <w:p w14:paraId="271DC8CE" w14:textId="77777777" w:rsidR="00320102" w:rsidRDefault="00320102">
      <w:r>
        <w:continuationSeparator/>
      </w:r>
    </w:p>
  </w:footnote>
  <w:footnote w:type="continuationNotice" w:id="1">
    <w:p w14:paraId="6234A096" w14:textId="77777777" w:rsidR="00320102" w:rsidRDefault="00320102"/>
  </w:footnote>
  <w:footnote w:id="2">
    <w:p w14:paraId="189DA10D" w14:textId="77777777" w:rsidR="00320102" w:rsidRPr="009E5E33" w:rsidRDefault="00320102" w:rsidP="0023045D">
      <w:pPr>
        <w:pStyle w:val="FootnoteText"/>
        <w:rPr>
          <w:rFonts w:ascii="Arial" w:hAnsi="Arial" w:cs="Arial"/>
          <w:sz w:val="18"/>
          <w:szCs w:val="18"/>
        </w:rPr>
      </w:pPr>
      <w:r w:rsidRPr="009E5E33">
        <w:rPr>
          <w:rStyle w:val="FootnoteReference"/>
          <w:rFonts w:ascii="Arial" w:hAnsi="Arial" w:cs="Arial"/>
          <w:sz w:val="18"/>
          <w:szCs w:val="18"/>
        </w:rPr>
        <w:footnoteRef/>
      </w:r>
      <w:r w:rsidRPr="009E5E33">
        <w:rPr>
          <w:rFonts w:ascii="Arial" w:hAnsi="Arial" w:cs="Arial"/>
          <w:sz w:val="18"/>
          <w:szCs w:val="18"/>
        </w:rPr>
        <w:t xml:space="preserve"> 110.50(c) requires</w:t>
      </w:r>
      <w:r>
        <w:rPr>
          <w:rFonts w:ascii="Arial" w:hAnsi="Arial" w:cs="Arial"/>
          <w:sz w:val="18"/>
          <w:szCs w:val="18"/>
        </w:rPr>
        <w:t xml:space="preserve"> licensees exporting radioactive material listed in Appendix P to notify both the NRC and the government of the importing country in advance of each shipment.  The licensee fulfills this responsibility by emailing the NRC and copying the importing country on the message.  Because this is a single notification sent to two entities, no additional third party burden has been included in this collection.  All burden for these notifications is captured as reporting burden under 110.50(c).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A3826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15337FF9"/>
    <w:multiLevelType w:val="hybridMultilevel"/>
    <w:tmpl w:val="6BAAEA6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127B4"/>
    <w:multiLevelType w:val="hybridMultilevel"/>
    <w:tmpl w:val="B1E889C0"/>
    <w:lvl w:ilvl="0" w:tplc="35DCC746">
      <w:start w:val="14"/>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08E001C"/>
    <w:multiLevelType w:val="hybridMultilevel"/>
    <w:tmpl w:val="D7B85FAA"/>
    <w:lvl w:ilvl="0" w:tplc="0409000F">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E20ACF"/>
    <w:multiLevelType w:val="hybridMultilevel"/>
    <w:tmpl w:val="B81A3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5EC623D"/>
    <w:multiLevelType w:val="hybridMultilevel"/>
    <w:tmpl w:val="F8AA4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FCD3758"/>
    <w:multiLevelType w:val="hybridMultilevel"/>
    <w:tmpl w:val="F55C8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7"/>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DC"/>
    <w:rsid w:val="0001459C"/>
    <w:rsid w:val="00014D87"/>
    <w:rsid w:val="00015064"/>
    <w:rsid w:val="00016BC5"/>
    <w:rsid w:val="000266B5"/>
    <w:rsid w:val="00042872"/>
    <w:rsid w:val="00044A14"/>
    <w:rsid w:val="00045544"/>
    <w:rsid w:val="000455C3"/>
    <w:rsid w:val="00045BA8"/>
    <w:rsid w:val="00047B47"/>
    <w:rsid w:val="00052037"/>
    <w:rsid w:val="00055EAC"/>
    <w:rsid w:val="000566DF"/>
    <w:rsid w:val="000622C8"/>
    <w:rsid w:val="00062330"/>
    <w:rsid w:val="00065630"/>
    <w:rsid w:val="00071C5F"/>
    <w:rsid w:val="000736A4"/>
    <w:rsid w:val="000861E2"/>
    <w:rsid w:val="000875D0"/>
    <w:rsid w:val="0009705F"/>
    <w:rsid w:val="000A6490"/>
    <w:rsid w:val="000A7392"/>
    <w:rsid w:val="000B0DF0"/>
    <w:rsid w:val="000D5940"/>
    <w:rsid w:val="000E05D3"/>
    <w:rsid w:val="000F0D0F"/>
    <w:rsid w:val="000F79AC"/>
    <w:rsid w:val="00103719"/>
    <w:rsid w:val="001118A5"/>
    <w:rsid w:val="0011290D"/>
    <w:rsid w:val="00113A93"/>
    <w:rsid w:val="00114EFD"/>
    <w:rsid w:val="00115316"/>
    <w:rsid w:val="00115BA8"/>
    <w:rsid w:val="001174A7"/>
    <w:rsid w:val="0012376D"/>
    <w:rsid w:val="001238BB"/>
    <w:rsid w:val="001269B2"/>
    <w:rsid w:val="001342D0"/>
    <w:rsid w:val="0013464C"/>
    <w:rsid w:val="001455BE"/>
    <w:rsid w:val="001463BE"/>
    <w:rsid w:val="001546FB"/>
    <w:rsid w:val="001759CF"/>
    <w:rsid w:val="00180C11"/>
    <w:rsid w:val="00183733"/>
    <w:rsid w:val="00184E7C"/>
    <w:rsid w:val="001908B7"/>
    <w:rsid w:val="001A1498"/>
    <w:rsid w:val="001A2F59"/>
    <w:rsid w:val="001A3E06"/>
    <w:rsid w:val="001B004C"/>
    <w:rsid w:val="001B3ED8"/>
    <w:rsid w:val="001B4F33"/>
    <w:rsid w:val="001B6E52"/>
    <w:rsid w:val="001C23CA"/>
    <w:rsid w:val="001C4746"/>
    <w:rsid w:val="001C625D"/>
    <w:rsid w:val="001E0F7B"/>
    <w:rsid w:val="001E615E"/>
    <w:rsid w:val="001E72FE"/>
    <w:rsid w:val="001F0345"/>
    <w:rsid w:val="0020404D"/>
    <w:rsid w:val="00210E9A"/>
    <w:rsid w:val="002179A6"/>
    <w:rsid w:val="00220A7C"/>
    <w:rsid w:val="0023045D"/>
    <w:rsid w:val="00231EF7"/>
    <w:rsid w:val="002330D3"/>
    <w:rsid w:val="00240117"/>
    <w:rsid w:val="00242C4B"/>
    <w:rsid w:val="00254FA4"/>
    <w:rsid w:val="002653E5"/>
    <w:rsid w:val="00270509"/>
    <w:rsid w:val="00283F5B"/>
    <w:rsid w:val="00284CA9"/>
    <w:rsid w:val="002955F5"/>
    <w:rsid w:val="002A048D"/>
    <w:rsid w:val="002A1203"/>
    <w:rsid w:val="002A3DB7"/>
    <w:rsid w:val="002B1DA2"/>
    <w:rsid w:val="002B5DD9"/>
    <w:rsid w:val="002C35A8"/>
    <w:rsid w:val="002C781E"/>
    <w:rsid w:val="002C7D97"/>
    <w:rsid w:val="002D35C5"/>
    <w:rsid w:val="002F2AF6"/>
    <w:rsid w:val="003078B8"/>
    <w:rsid w:val="00313707"/>
    <w:rsid w:val="00320102"/>
    <w:rsid w:val="003303FD"/>
    <w:rsid w:val="00333519"/>
    <w:rsid w:val="003502D4"/>
    <w:rsid w:val="003606A9"/>
    <w:rsid w:val="00366CC2"/>
    <w:rsid w:val="003672D0"/>
    <w:rsid w:val="00375491"/>
    <w:rsid w:val="00392B47"/>
    <w:rsid w:val="00394285"/>
    <w:rsid w:val="00397E74"/>
    <w:rsid w:val="003A12F6"/>
    <w:rsid w:val="003A2641"/>
    <w:rsid w:val="003A59BD"/>
    <w:rsid w:val="003B1B97"/>
    <w:rsid w:val="003C1C5B"/>
    <w:rsid w:val="003C5CD5"/>
    <w:rsid w:val="003C728F"/>
    <w:rsid w:val="003C7C01"/>
    <w:rsid w:val="003C7D77"/>
    <w:rsid w:val="003D268B"/>
    <w:rsid w:val="003D2903"/>
    <w:rsid w:val="003E1512"/>
    <w:rsid w:val="003E375F"/>
    <w:rsid w:val="003E44C2"/>
    <w:rsid w:val="003F422D"/>
    <w:rsid w:val="00403CC8"/>
    <w:rsid w:val="00404206"/>
    <w:rsid w:val="004043B9"/>
    <w:rsid w:val="004045CC"/>
    <w:rsid w:val="00407978"/>
    <w:rsid w:val="0041389C"/>
    <w:rsid w:val="004143EB"/>
    <w:rsid w:val="0041664A"/>
    <w:rsid w:val="004239EF"/>
    <w:rsid w:val="00424794"/>
    <w:rsid w:val="00446519"/>
    <w:rsid w:val="00455ECE"/>
    <w:rsid w:val="00460729"/>
    <w:rsid w:val="004632B7"/>
    <w:rsid w:val="00465414"/>
    <w:rsid w:val="00465D80"/>
    <w:rsid w:val="004701A6"/>
    <w:rsid w:val="00474AD4"/>
    <w:rsid w:val="0047523B"/>
    <w:rsid w:val="004807E2"/>
    <w:rsid w:val="00484E90"/>
    <w:rsid w:val="00484F09"/>
    <w:rsid w:val="004850E7"/>
    <w:rsid w:val="00492082"/>
    <w:rsid w:val="0049450D"/>
    <w:rsid w:val="00496218"/>
    <w:rsid w:val="004B5CFA"/>
    <w:rsid w:val="004B6524"/>
    <w:rsid w:val="004C1757"/>
    <w:rsid w:val="004D05E0"/>
    <w:rsid w:val="004D3239"/>
    <w:rsid w:val="004D4483"/>
    <w:rsid w:val="004D45B6"/>
    <w:rsid w:val="004E4982"/>
    <w:rsid w:val="004E6933"/>
    <w:rsid w:val="004F121F"/>
    <w:rsid w:val="005052DA"/>
    <w:rsid w:val="005142BC"/>
    <w:rsid w:val="00514D8A"/>
    <w:rsid w:val="005263A5"/>
    <w:rsid w:val="00534762"/>
    <w:rsid w:val="00537AAD"/>
    <w:rsid w:val="005428E7"/>
    <w:rsid w:val="00552BDE"/>
    <w:rsid w:val="005530FD"/>
    <w:rsid w:val="0055316D"/>
    <w:rsid w:val="00562D8B"/>
    <w:rsid w:val="0056359C"/>
    <w:rsid w:val="0056590F"/>
    <w:rsid w:val="00570FFE"/>
    <w:rsid w:val="005724A9"/>
    <w:rsid w:val="00572A97"/>
    <w:rsid w:val="00574B2B"/>
    <w:rsid w:val="0057602B"/>
    <w:rsid w:val="00585689"/>
    <w:rsid w:val="00591835"/>
    <w:rsid w:val="00595B02"/>
    <w:rsid w:val="005B4D09"/>
    <w:rsid w:val="005B582C"/>
    <w:rsid w:val="005C12CB"/>
    <w:rsid w:val="005C134B"/>
    <w:rsid w:val="005C5709"/>
    <w:rsid w:val="005C5E93"/>
    <w:rsid w:val="005C5FCB"/>
    <w:rsid w:val="005D13E3"/>
    <w:rsid w:val="005D6338"/>
    <w:rsid w:val="005E4857"/>
    <w:rsid w:val="005E4B4E"/>
    <w:rsid w:val="005F4909"/>
    <w:rsid w:val="005F7397"/>
    <w:rsid w:val="00603AAF"/>
    <w:rsid w:val="00603DF0"/>
    <w:rsid w:val="00612132"/>
    <w:rsid w:val="00613A4A"/>
    <w:rsid w:val="006212EF"/>
    <w:rsid w:val="0062491C"/>
    <w:rsid w:val="00627026"/>
    <w:rsid w:val="00627622"/>
    <w:rsid w:val="00627BDF"/>
    <w:rsid w:val="00632636"/>
    <w:rsid w:val="00634EC0"/>
    <w:rsid w:val="006417E8"/>
    <w:rsid w:val="00641DFB"/>
    <w:rsid w:val="00652350"/>
    <w:rsid w:val="00653D23"/>
    <w:rsid w:val="00663428"/>
    <w:rsid w:val="0067397A"/>
    <w:rsid w:val="00683B14"/>
    <w:rsid w:val="00683B9B"/>
    <w:rsid w:val="00687355"/>
    <w:rsid w:val="00695AEC"/>
    <w:rsid w:val="006A590F"/>
    <w:rsid w:val="006A5944"/>
    <w:rsid w:val="006E1C82"/>
    <w:rsid w:val="006E69BA"/>
    <w:rsid w:val="006F0D4F"/>
    <w:rsid w:val="006F1B8D"/>
    <w:rsid w:val="007022CE"/>
    <w:rsid w:val="00707A3C"/>
    <w:rsid w:val="00713151"/>
    <w:rsid w:val="00715A3A"/>
    <w:rsid w:val="00715D4B"/>
    <w:rsid w:val="00723A69"/>
    <w:rsid w:val="00725380"/>
    <w:rsid w:val="00727022"/>
    <w:rsid w:val="00732754"/>
    <w:rsid w:val="00740725"/>
    <w:rsid w:val="00741318"/>
    <w:rsid w:val="0074233F"/>
    <w:rsid w:val="007439C6"/>
    <w:rsid w:val="007479DD"/>
    <w:rsid w:val="00757F2F"/>
    <w:rsid w:val="00760803"/>
    <w:rsid w:val="007639EA"/>
    <w:rsid w:val="007649DD"/>
    <w:rsid w:val="00765678"/>
    <w:rsid w:val="007659FD"/>
    <w:rsid w:val="00776758"/>
    <w:rsid w:val="007776CB"/>
    <w:rsid w:val="00787720"/>
    <w:rsid w:val="007A4C17"/>
    <w:rsid w:val="007A5520"/>
    <w:rsid w:val="007A7F6D"/>
    <w:rsid w:val="007B2571"/>
    <w:rsid w:val="007B5D9B"/>
    <w:rsid w:val="007B60B9"/>
    <w:rsid w:val="007C39C8"/>
    <w:rsid w:val="007D349E"/>
    <w:rsid w:val="007D6A13"/>
    <w:rsid w:val="007E6FA0"/>
    <w:rsid w:val="007F0749"/>
    <w:rsid w:val="007F5100"/>
    <w:rsid w:val="008032B3"/>
    <w:rsid w:val="00806F6E"/>
    <w:rsid w:val="0081281F"/>
    <w:rsid w:val="00817E38"/>
    <w:rsid w:val="00821025"/>
    <w:rsid w:val="0082104E"/>
    <w:rsid w:val="00824357"/>
    <w:rsid w:val="00824C0D"/>
    <w:rsid w:val="00830DA1"/>
    <w:rsid w:val="00831619"/>
    <w:rsid w:val="00833CD1"/>
    <w:rsid w:val="00835891"/>
    <w:rsid w:val="00835D46"/>
    <w:rsid w:val="0083794E"/>
    <w:rsid w:val="00837C46"/>
    <w:rsid w:val="008479EC"/>
    <w:rsid w:val="00852BF8"/>
    <w:rsid w:val="00857D4E"/>
    <w:rsid w:val="008650EA"/>
    <w:rsid w:val="00872A3F"/>
    <w:rsid w:val="008759B3"/>
    <w:rsid w:val="00876451"/>
    <w:rsid w:val="00882BB8"/>
    <w:rsid w:val="0088437D"/>
    <w:rsid w:val="008857FE"/>
    <w:rsid w:val="00890825"/>
    <w:rsid w:val="00891E85"/>
    <w:rsid w:val="00892B51"/>
    <w:rsid w:val="008951B3"/>
    <w:rsid w:val="008A2837"/>
    <w:rsid w:val="008A4741"/>
    <w:rsid w:val="008A6833"/>
    <w:rsid w:val="008C2528"/>
    <w:rsid w:val="008C30F3"/>
    <w:rsid w:val="008C4A8F"/>
    <w:rsid w:val="008C603E"/>
    <w:rsid w:val="008D14DB"/>
    <w:rsid w:val="008D6B16"/>
    <w:rsid w:val="008D790C"/>
    <w:rsid w:val="008D79F7"/>
    <w:rsid w:val="008E1C55"/>
    <w:rsid w:val="008F0525"/>
    <w:rsid w:val="008F16EA"/>
    <w:rsid w:val="0090368E"/>
    <w:rsid w:val="00904BBB"/>
    <w:rsid w:val="009069E0"/>
    <w:rsid w:val="00907514"/>
    <w:rsid w:val="0091012A"/>
    <w:rsid w:val="00926F55"/>
    <w:rsid w:val="009278A8"/>
    <w:rsid w:val="00933E60"/>
    <w:rsid w:val="009424A9"/>
    <w:rsid w:val="00943380"/>
    <w:rsid w:val="00963860"/>
    <w:rsid w:val="00971BB7"/>
    <w:rsid w:val="00975637"/>
    <w:rsid w:val="00975B99"/>
    <w:rsid w:val="009819F3"/>
    <w:rsid w:val="00984CCB"/>
    <w:rsid w:val="00985733"/>
    <w:rsid w:val="009858BD"/>
    <w:rsid w:val="0099021E"/>
    <w:rsid w:val="00996CB6"/>
    <w:rsid w:val="009B0165"/>
    <w:rsid w:val="009B1BE5"/>
    <w:rsid w:val="009B4F72"/>
    <w:rsid w:val="009B6311"/>
    <w:rsid w:val="009C2A7A"/>
    <w:rsid w:val="009D6707"/>
    <w:rsid w:val="009E5E33"/>
    <w:rsid w:val="009E76DD"/>
    <w:rsid w:val="009F0374"/>
    <w:rsid w:val="009F1356"/>
    <w:rsid w:val="009F3C0F"/>
    <w:rsid w:val="009F7F59"/>
    <w:rsid w:val="00A04055"/>
    <w:rsid w:val="00A06D3D"/>
    <w:rsid w:val="00A07DB4"/>
    <w:rsid w:val="00A101B7"/>
    <w:rsid w:val="00A14A10"/>
    <w:rsid w:val="00A14B90"/>
    <w:rsid w:val="00A21400"/>
    <w:rsid w:val="00A2447A"/>
    <w:rsid w:val="00A24FC0"/>
    <w:rsid w:val="00A26CBF"/>
    <w:rsid w:val="00A30099"/>
    <w:rsid w:val="00A31F77"/>
    <w:rsid w:val="00A32D1C"/>
    <w:rsid w:val="00A37EFE"/>
    <w:rsid w:val="00A4474C"/>
    <w:rsid w:val="00A4633D"/>
    <w:rsid w:val="00A46ECF"/>
    <w:rsid w:val="00A5509D"/>
    <w:rsid w:val="00A55718"/>
    <w:rsid w:val="00A616E6"/>
    <w:rsid w:val="00A64219"/>
    <w:rsid w:val="00A72351"/>
    <w:rsid w:val="00A770DC"/>
    <w:rsid w:val="00A776B7"/>
    <w:rsid w:val="00A931D2"/>
    <w:rsid w:val="00A96DF7"/>
    <w:rsid w:val="00AA0635"/>
    <w:rsid w:val="00AA0D91"/>
    <w:rsid w:val="00AA1C6D"/>
    <w:rsid w:val="00AA2C21"/>
    <w:rsid w:val="00AA42DB"/>
    <w:rsid w:val="00AA715C"/>
    <w:rsid w:val="00AB2E97"/>
    <w:rsid w:val="00AB473C"/>
    <w:rsid w:val="00AB52BD"/>
    <w:rsid w:val="00AC065B"/>
    <w:rsid w:val="00AC5F6D"/>
    <w:rsid w:val="00AD2A66"/>
    <w:rsid w:val="00AE25B0"/>
    <w:rsid w:val="00AF45F2"/>
    <w:rsid w:val="00B05739"/>
    <w:rsid w:val="00B12670"/>
    <w:rsid w:val="00B13A84"/>
    <w:rsid w:val="00B24835"/>
    <w:rsid w:val="00B25B8C"/>
    <w:rsid w:val="00B269C4"/>
    <w:rsid w:val="00B26EBA"/>
    <w:rsid w:val="00B35652"/>
    <w:rsid w:val="00B452F2"/>
    <w:rsid w:val="00B56ACD"/>
    <w:rsid w:val="00B57A37"/>
    <w:rsid w:val="00B57AF7"/>
    <w:rsid w:val="00B618A9"/>
    <w:rsid w:val="00B861A9"/>
    <w:rsid w:val="00B87EA0"/>
    <w:rsid w:val="00B91F5E"/>
    <w:rsid w:val="00B969C4"/>
    <w:rsid w:val="00BA1CD3"/>
    <w:rsid w:val="00BA2736"/>
    <w:rsid w:val="00BA32ED"/>
    <w:rsid w:val="00BB4C36"/>
    <w:rsid w:val="00BC107E"/>
    <w:rsid w:val="00BC56C8"/>
    <w:rsid w:val="00BC5E9C"/>
    <w:rsid w:val="00BC7F70"/>
    <w:rsid w:val="00BD7A7E"/>
    <w:rsid w:val="00BE1327"/>
    <w:rsid w:val="00BE2398"/>
    <w:rsid w:val="00BE31B0"/>
    <w:rsid w:val="00BF0197"/>
    <w:rsid w:val="00BF3704"/>
    <w:rsid w:val="00BF7A5B"/>
    <w:rsid w:val="00C03631"/>
    <w:rsid w:val="00C04AA2"/>
    <w:rsid w:val="00C05339"/>
    <w:rsid w:val="00C148D5"/>
    <w:rsid w:val="00C15CE6"/>
    <w:rsid w:val="00C3494F"/>
    <w:rsid w:val="00C34DF1"/>
    <w:rsid w:val="00C44013"/>
    <w:rsid w:val="00C4505E"/>
    <w:rsid w:val="00C47C3C"/>
    <w:rsid w:val="00C52855"/>
    <w:rsid w:val="00C53FF5"/>
    <w:rsid w:val="00C5658C"/>
    <w:rsid w:val="00C62985"/>
    <w:rsid w:val="00C62FCA"/>
    <w:rsid w:val="00C667BD"/>
    <w:rsid w:val="00C91FD1"/>
    <w:rsid w:val="00C97EA7"/>
    <w:rsid w:val="00CA083D"/>
    <w:rsid w:val="00CA13E6"/>
    <w:rsid w:val="00CA2D4A"/>
    <w:rsid w:val="00CA6F3F"/>
    <w:rsid w:val="00CB1077"/>
    <w:rsid w:val="00CB348D"/>
    <w:rsid w:val="00CB5888"/>
    <w:rsid w:val="00CD3C1C"/>
    <w:rsid w:val="00CD61DA"/>
    <w:rsid w:val="00CE14D8"/>
    <w:rsid w:val="00CE1649"/>
    <w:rsid w:val="00CE61BF"/>
    <w:rsid w:val="00D07DD6"/>
    <w:rsid w:val="00D12F06"/>
    <w:rsid w:val="00D1332A"/>
    <w:rsid w:val="00D15CA1"/>
    <w:rsid w:val="00D2090E"/>
    <w:rsid w:val="00D23590"/>
    <w:rsid w:val="00D26FBD"/>
    <w:rsid w:val="00D42E11"/>
    <w:rsid w:val="00D47B6E"/>
    <w:rsid w:val="00D607AB"/>
    <w:rsid w:val="00D64CA1"/>
    <w:rsid w:val="00D65220"/>
    <w:rsid w:val="00D75FDC"/>
    <w:rsid w:val="00D76D08"/>
    <w:rsid w:val="00D85633"/>
    <w:rsid w:val="00D9422D"/>
    <w:rsid w:val="00D958B3"/>
    <w:rsid w:val="00D97C5C"/>
    <w:rsid w:val="00DA1862"/>
    <w:rsid w:val="00DA3B51"/>
    <w:rsid w:val="00DA4886"/>
    <w:rsid w:val="00DA6DD9"/>
    <w:rsid w:val="00DB2998"/>
    <w:rsid w:val="00DC2370"/>
    <w:rsid w:val="00DC41B4"/>
    <w:rsid w:val="00DC436A"/>
    <w:rsid w:val="00DC4AD6"/>
    <w:rsid w:val="00DC5C5D"/>
    <w:rsid w:val="00DC7F1D"/>
    <w:rsid w:val="00DD6AFE"/>
    <w:rsid w:val="00DE21F4"/>
    <w:rsid w:val="00DE6124"/>
    <w:rsid w:val="00DF6C2E"/>
    <w:rsid w:val="00E07C4B"/>
    <w:rsid w:val="00E13A8C"/>
    <w:rsid w:val="00E14625"/>
    <w:rsid w:val="00E16CD2"/>
    <w:rsid w:val="00E17766"/>
    <w:rsid w:val="00E34B29"/>
    <w:rsid w:val="00E36D75"/>
    <w:rsid w:val="00E439FC"/>
    <w:rsid w:val="00E454E3"/>
    <w:rsid w:val="00E50909"/>
    <w:rsid w:val="00E54C06"/>
    <w:rsid w:val="00E662DF"/>
    <w:rsid w:val="00EB2FA4"/>
    <w:rsid w:val="00EB679E"/>
    <w:rsid w:val="00EC140F"/>
    <w:rsid w:val="00EC4283"/>
    <w:rsid w:val="00EC4AE1"/>
    <w:rsid w:val="00EC4AEE"/>
    <w:rsid w:val="00ED3897"/>
    <w:rsid w:val="00ED718E"/>
    <w:rsid w:val="00EE0551"/>
    <w:rsid w:val="00EE0D79"/>
    <w:rsid w:val="00EE1597"/>
    <w:rsid w:val="00EE3B75"/>
    <w:rsid w:val="00EE6F33"/>
    <w:rsid w:val="00EF06D5"/>
    <w:rsid w:val="00EF3EF0"/>
    <w:rsid w:val="00F075CD"/>
    <w:rsid w:val="00F30F54"/>
    <w:rsid w:val="00F33AFA"/>
    <w:rsid w:val="00F35329"/>
    <w:rsid w:val="00F3707E"/>
    <w:rsid w:val="00F41D31"/>
    <w:rsid w:val="00F454EC"/>
    <w:rsid w:val="00F547A1"/>
    <w:rsid w:val="00F57FC4"/>
    <w:rsid w:val="00F606BB"/>
    <w:rsid w:val="00F70124"/>
    <w:rsid w:val="00F752AB"/>
    <w:rsid w:val="00F76A31"/>
    <w:rsid w:val="00F76D7F"/>
    <w:rsid w:val="00F7708B"/>
    <w:rsid w:val="00F82839"/>
    <w:rsid w:val="00F83C3C"/>
    <w:rsid w:val="00F84250"/>
    <w:rsid w:val="00F84BF8"/>
    <w:rsid w:val="00F877E2"/>
    <w:rsid w:val="00F90FD4"/>
    <w:rsid w:val="00F91EFC"/>
    <w:rsid w:val="00F9732B"/>
    <w:rsid w:val="00FA1786"/>
    <w:rsid w:val="00FA3F87"/>
    <w:rsid w:val="00FB0F06"/>
    <w:rsid w:val="00FC175B"/>
    <w:rsid w:val="00FC3BDA"/>
    <w:rsid w:val="00FC4555"/>
    <w:rsid w:val="00FC60D8"/>
    <w:rsid w:val="00FE322B"/>
    <w:rsid w:val="00FE364D"/>
    <w:rsid w:val="00FE58A3"/>
    <w:rsid w:val="00FE720E"/>
    <w:rsid w:val="00FE7C2B"/>
    <w:rsid w:val="00FF463C"/>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32D148-191E-40B7-A934-BB0C53D7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5509D"/>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styleId="Header">
    <w:name w:val="header"/>
    <w:basedOn w:val="Normal"/>
    <w:link w:val="HeaderChar"/>
    <w:rsid w:val="00F84BF8"/>
    <w:pPr>
      <w:tabs>
        <w:tab w:val="center" w:pos="4320"/>
        <w:tab w:val="right" w:pos="8640"/>
      </w:tabs>
    </w:pPr>
  </w:style>
  <w:style w:type="character" w:styleId="PageNumber">
    <w:name w:val="page number"/>
    <w:basedOn w:val="DefaultParagraphFont"/>
    <w:rsid w:val="00F84BF8"/>
  </w:style>
  <w:style w:type="paragraph" w:styleId="Revision">
    <w:name w:val="Revision"/>
    <w:hidden/>
    <w:uiPriority w:val="99"/>
    <w:semiHidden/>
    <w:rsid w:val="00AB2E97"/>
    <w:rPr>
      <w:sz w:val="24"/>
    </w:rPr>
  </w:style>
  <w:style w:type="paragraph" w:styleId="NormalWeb">
    <w:name w:val="Normal (Web)"/>
    <w:basedOn w:val="Normal"/>
    <w:uiPriority w:val="99"/>
    <w:unhideWhenUsed/>
    <w:rsid w:val="003C5CD5"/>
    <w:pPr>
      <w:spacing w:before="100" w:beforeAutospacing="1" w:after="100" w:afterAutospacing="1"/>
    </w:pPr>
    <w:rPr>
      <w:szCs w:val="24"/>
    </w:rPr>
  </w:style>
  <w:style w:type="character" w:styleId="Emphasis">
    <w:name w:val="Emphasis"/>
    <w:uiPriority w:val="20"/>
    <w:qFormat/>
    <w:rsid w:val="007A5520"/>
    <w:rPr>
      <w:i/>
      <w:iCs/>
    </w:rPr>
  </w:style>
  <w:style w:type="character" w:styleId="Hyperlink">
    <w:name w:val="Hyperlink"/>
    <w:rsid w:val="007A5520"/>
    <w:rPr>
      <w:color w:val="0000FF"/>
      <w:u w:val="single"/>
    </w:rPr>
  </w:style>
  <w:style w:type="paragraph" w:styleId="Footer">
    <w:name w:val="footer"/>
    <w:basedOn w:val="Normal"/>
    <w:link w:val="FooterChar"/>
    <w:uiPriority w:val="99"/>
    <w:rsid w:val="008D79F7"/>
    <w:pPr>
      <w:tabs>
        <w:tab w:val="center" w:pos="4680"/>
        <w:tab w:val="right" w:pos="9360"/>
      </w:tabs>
    </w:pPr>
    <w:rPr>
      <w:lang w:val="x-none" w:eastAsia="x-none"/>
    </w:rPr>
  </w:style>
  <w:style w:type="character" w:customStyle="1" w:styleId="FooterChar">
    <w:name w:val="Footer Char"/>
    <w:link w:val="Footer"/>
    <w:uiPriority w:val="99"/>
    <w:rsid w:val="008D79F7"/>
    <w:rPr>
      <w:sz w:val="24"/>
    </w:rPr>
  </w:style>
  <w:style w:type="paragraph" w:styleId="FootnoteText">
    <w:name w:val="footnote text"/>
    <w:basedOn w:val="Normal"/>
    <w:link w:val="FootnoteTextChar"/>
    <w:rsid w:val="009E5E33"/>
    <w:rPr>
      <w:sz w:val="20"/>
    </w:rPr>
  </w:style>
  <w:style w:type="character" w:customStyle="1" w:styleId="FootnoteTextChar">
    <w:name w:val="Footnote Text Char"/>
    <w:basedOn w:val="DefaultParagraphFont"/>
    <w:link w:val="FootnoteText"/>
    <w:rsid w:val="009E5E33"/>
  </w:style>
  <w:style w:type="character" w:styleId="FootnoteReference">
    <w:name w:val="footnote reference"/>
    <w:rsid w:val="009E5E33"/>
    <w:rPr>
      <w:vertAlign w:val="superscript"/>
    </w:rPr>
  </w:style>
  <w:style w:type="character" w:customStyle="1" w:styleId="BalloonTextChar">
    <w:name w:val="Balloon Text Char"/>
    <w:basedOn w:val="DefaultParagraphFont"/>
    <w:link w:val="BalloonText"/>
    <w:semiHidden/>
    <w:rsid w:val="0023045D"/>
    <w:rPr>
      <w:rFonts w:ascii="Tahoma" w:hAnsi="Tahoma" w:cs="Tahoma"/>
      <w:sz w:val="16"/>
      <w:szCs w:val="16"/>
    </w:rPr>
  </w:style>
  <w:style w:type="character" w:customStyle="1" w:styleId="HeaderChar">
    <w:name w:val="Header Char"/>
    <w:basedOn w:val="DefaultParagraphFont"/>
    <w:link w:val="Header"/>
    <w:rsid w:val="0023045D"/>
    <w:rPr>
      <w:sz w:val="24"/>
    </w:rPr>
  </w:style>
  <w:style w:type="table" w:styleId="TableGrid">
    <w:name w:val="Table Grid"/>
    <w:basedOn w:val="TableNormal"/>
    <w:rsid w:val="003A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AA0D91"/>
    <w:pPr>
      <w:numPr>
        <w:numId w:val="9"/>
      </w:numPr>
      <w:contextualSpacing/>
    </w:pPr>
  </w:style>
  <w:style w:type="character" w:styleId="CommentReference">
    <w:name w:val="annotation reference"/>
    <w:basedOn w:val="DefaultParagraphFont"/>
    <w:semiHidden/>
    <w:unhideWhenUsed/>
    <w:rsid w:val="00CD61DA"/>
    <w:rPr>
      <w:sz w:val="16"/>
      <w:szCs w:val="16"/>
    </w:rPr>
  </w:style>
  <w:style w:type="paragraph" w:styleId="CommentText">
    <w:name w:val="annotation text"/>
    <w:basedOn w:val="Normal"/>
    <w:link w:val="CommentTextChar"/>
    <w:semiHidden/>
    <w:unhideWhenUsed/>
    <w:rsid w:val="00CD61DA"/>
    <w:rPr>
      <w:sz w:val="20"/>
    </w:rPr>
  </w:style>
  <w:style w:type="character" w:customStyle="1" w:styleId="CommentTextChar">
    <w:name w:val="Comment Text Char"/>
    <w:basedOn w:val="DefaultParagraphFont"/>
    <w:link w:val="CommentText"/>
    <w:semiHidden/>
    <w:rsid w:val="00CD61DA"/>
  </w:style>
  <w:style w:type="paragraph" w:styleId="CommentSubject">
    <w:name w:val="annotation subject"/>
    <w:basedOn w:val="CommentText"/>
    <w:next w:val="CommentText"/>
    <w:link w:val="CommentSubjectChar"/>
    <w:semiHidden/>
    <w:unhideWhenUsed/>
    <w:rsid w:val="00CD61DA"/>
    <w:rPr>
      <w:b/>
      <w:bCs/>
    </w:rPr>
  </w:style>
  <w:style w:type="character" w:customStyle="1" w:styleId="CommentSubjectChar">
    <w:name w:val="Comment Subject Char"/>
    <w:basedOn w:val="CommentTextChar"/>
    <w:link w:val="CommentSubject"/>
    <w:semiHidden/>
    <w:rsid w:val="00CD6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2699">
      <w:bodyDiv w:val="1"/>
      <w:marLeft w:val="0"/>
      <w:marRight w:val="0"/>
      <w:marTop w:val="0"/>
      <w:marBottom w:val="0"/>
      <w:divBdr>
        <w:top w:val="none" w:sz="0" w:space="0" w:color="auto"/>
        <w:left w:val="none" w:sz="0" w:space="0" w:color="auto"/>
        <w:bottom w:val="none" w:sz="0" w:space="0" w:color="auto"/>
        <w:right w:val="none" w:sz="0" w:space="0" w:color="auto"/>
      </w:divBdr>
    </w:div>
    <w:div w:id="22288442">
      <w:bodyDiv w:val="1"/>
      <w:marLeft w:val="0"/>
      <w:marRight w:val="0"/>
      <w:marTop w:val="0"/>
      <w:marBottom w:val="0"/>
      <w:divBdr>
        <w:top w:val="none" w:sz="0" w:space="0" w:color="auto"/>
        <w:left w:val="none" w:sz="0" w:space="0" w:color="auto"/>
        <w:bottom w:val="none" w:sz="0" w:space="0" w:color="auto"/>
        <w:right w:val="none" w:sz="0" w:space="0" w:color="auto"/>
      </w:divBdr>
    </w:div>
    <w:div w:id="44181392">
      <w:bodyDiv w:val="1"/>
      <w:marLeft w:val="0"/>
      <w:marRight w:val="0"/>
      <w:marTop w:val="0"/>
      <w:marBottom w:val="0"/>
      <w:divBdr>
        <w:top w:val="none" w:sz="0" w:space="0" w:color="auto"/>
        <w:left w:val="none" w:sz="0" w:space="0" w:color="auto"/>
        <w:bottom w:val="none" w:sz="0" w:space="0" w:color="auto"/>
        <w:right w:val="none" w:sz="0" w:space="0" w:color="auto"/>
      </w:divBdr>
    </w:div>
    <w:div w:id="273178737">
      <w:bodyDiv w:val="1"/>
      <w:marLeft w:val="0"/>
      <w:marRight w:val="0"/>
      <w:marTop w:val="0"/>
      <w:marBottom w:val="0"/>
      <w:divBdr>
        <w:top w:val="none" w:sz="0" w:space="0" w:color="auto"/>
        <w:left w:val="none" w:sz="0" w:space="0" w:color="auto"/>
        <w:bottom w:val="none" w:sz="0" w:space="0" w:color="auto"/>
        <w:right w:val="none" w:sz="0" w:space="0" w:color="auto"/>
      </w:divBdr>
    </w:div>
    <w:div w:id="285963060">
      <w:bodyDiv w:val="1"/>
      <w:marLeft w:val="0"/>
      <w:marRight w:val="0"/>
      <w:marTop w:val="0"/>
      <w:marBottom w:val="0"/>
      <w:divBdr>
        <w:top w:val="none" w:sz="0" w:space="0" w:color="auto"/>
        <w:left w:val="none" w:sz="0" w:space="0" w:color="auto"/>
        <w:bottom w:val="none" w:sz="0" w:space="0" w:color="auto"/>
        <w:right w:val="none" w:sz="0" w:space="0" w:color="auto"/>
      </w:divBdr>
    </w:div>
    <w:div w:id="365176337">
      <w:bodyDiv w:val="1"/>
      <w:marLeft w:val="0"/>
      <w:marRight w:val="0"/>
      <w:marTop w:val="0"/>
      <w:marBottom w:val="0"/>
      <w:divBdr>
        <w:top w:val="none" w:sz="0" w:space="0" w:color="auto"/>
        <w:left w:val="none" w:sz="0" w:space="0" w:color="auto"/>
        <w:bottom w:val="none" w:sz="0" w:space="0" w:color="auto"/>
        <w:right w:val="none" w:sz="0" w:space="0" w:color="auto"/>
      </w:divBdr>
    </w:div>
    <w:div w:id="587614872">
      <w:bodyDiv w:val="1"/>
      <w:marLeft w:val="0"/>
      <w:marRight w:val="0"/>
      <w:marTop w:val="0"/>
      <w:marBottom w:val="0"/>
      <w:divBdr>
        <w:top w:val="none" w:sz="0" w:space="0" w:color="auto"/>
        <w:left w:val="none" w:sz="0" w:space="0" w:color="auto"/>
        <w:bottom w:val="none" w:sz="0" w:space="0" w:color="auto"/>
        <w:right w:val="none" w:sz="0" w:space="0" w:color="auto"/>
      </w:divBdr>
      <w:divsChild>
        <w:div w:id="698971589">
          <w:marLeft w:val="0"/>
          <w:marRight w:val="0"/>
          <w:marTop w:val="0"/>
          <w:marBottom w:val="0"/>
          <w:divBdr>
            <w:top w:val="none" w:sz="0" w:space="0" w:color="auto"/>
            <w:left w:val="none" w:sz="0" w:space="0" w:color="auto"/>
            <w:bottom w:val="none" w:sz="0" w:space="0" w:color="auto"/>
            <w:right w:val="none" w:sz="0" w:space="0" w:color="auto"/>
          </w:divBdr>
          <w:divsChild>
            <w:div w:id="241834030">
              <w:marLeft w:val="0"/>
              <w:marRight w:val="0"/>
              <w:marTop w:val="0"/>
              <w:marBottom w:val="0"/>
              <w:divBdr>
                <w:top w:val="none" w:sz="0" w:space="0" w:color="auto"/>
                <w:left w:val="none" w:sz="0" w:space="0" w:color="auto"/>
                <w:bottom w:val="none" w:sz="0" w:space="0" w:color="auto"/>
                <w:right w:val="none" w:sz="0" w:space="0" w:color="auto"/>
              </w:divBdr>
              <w:divsChild>
                <w:div w:id="1529830043">
                  <w:marLeft w:val="0"/>
                  <w:marRight w:val="0"/>
                  <w:marTop w:val="0"/>
                  <w:marBottom w:val="0"/>
                  <w:divBdr>
                    <w:top w:val="none" w:sz="0" w:space="0" w:color="auto"/>
                    <w:left w:val="none" w:sz="0" w:space="0" w:color="auto"/>
                    <w:bottom w:val="none" w:sz="0" w:space="0" w:color="auto"/>
                    <w:right w:val="none" w:sz="0" w:space="0" w:color="auto"/>
                  </w:divBdr>
                  <w:divsChild>
                    <w:div w:id="1711999039">
                      <w:marLeft w:val="0"/>
                      <w:marRight w:val="0"/>
                      <w:marTop w:val="0"/>
                      <w:marBottom w:val="0"/>
                      <w:divBdr>
                        <w:top w:val="none" w:sz="0" w:space="0" w:color="auto"/>
                        <w:left w:val="none" w:sz="0" w:space="0" w:color="auto"/>
                        <w:bottom w:val="none" w:sz="0" w:space="0" w:color="auto"/>
                        <w:right w:val="none" w:sz="0" w:space="0" w:color="auto"/>
                      </w:divBdr>
                      <w:divsChild>
                        <w:div w:id="8139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319690">
      <w:bodyDiv w:val="1"/>
      <w:marLeft w:val="0"/>
      <w:marRight w:val="0"/>
      <w:marTop w:val="0"/>
      <w:marBottom w:val="0"/>
      <w:divBdr>
        <w:top w:val="none" w:sz="0" w:space="0" w:color="auto"/>
        <w:left w:val="none" w:sz="0" w:space="0" w:color="auto"/>
        <w:bottom w:val="none" w:sz="0" w:space="0" w:color="auto"/>
        <w:right w:val="none" w:sz="0" w:space="0" w:color="auto"/>
      </w:divBdr>
    </w:div>
    <w:div w:id="796989325">
      <w:bodyDiv w:val="1"/>
      <w:marLeft w:val="0"/>
      <w:marRight w:val="0"/>
      <w:marTop w:val="0"/>
      <w:marBottom w:val="0"/>
      <w:divBdr>
        <w:top w:val="none" w:sz="0" w:space="0" w:color="auto"/>
        <w:left w:val="none" w:sz="0" w:space="0" w:color="auto"/>
        <w:bottom w:val="none" w:sz="0" w:space="0" w:color="auto"/>
        <w:right w:val="none" w:sz="0" w:space="0" w:color="auto"/>
      </w:divBdr>
    </w:div>
    <w:div w:id="818109687">
      <w:bodyDiv w:val="1"/>
      <w:marLeft w:val="0"/>
      <w:marRight w:val="0"/>
      <w:marTop w:val="0"/>
      <w:marBottom w:val="0"/>
      <w:divBdr>
        <w:top w:val="none" w:sz="0" w:space="0" w:color="auto"/>
        <w:left w:val="none" w:sz="0" w:space="0" w:color="auto"/>
        <w:bottom w:val="none" w:sz="0" w:space="0" w:color="auto"/>
        <w:right w:val="none" w:sz="0" w:space="0" w:color="auto"/>
      </w:divBdr>
    </w:div>
    <w:div w:id="999045919">
      <w:bodyDiv w:val="1"/>
      <w:marLeft w:val="0"/>
      <w:marRight w:val="0"/>
      <w:marTop w:val="0"/>
      <w:marBottom w:val="0"/>
      <w:divBdr>
        <w:top w:val="none" w:sz="0" w:space="0" w:color="auto"/>
        <w:left w:val="none" w:sz="0" w:space="0" w:color="auto"/>
        <w:bottom w:val="none" w:sz="0" w:space="0" w:color="auto"/>
        <w:right w:val="none" w:sz="0" w:space="0" w:color="auto"/>
      </w:divBdr>
    </w:div>
    <w:div w:id="1060130933">
      <w:bodyDiv w:val="1"/>
      <w:marLeft w:val="0"/>
      <w:marRight w:val="0"/>
      <w:marTop w:val="0"/>
      <w:marBottom w:val="0"/>
      <w:divBdr>
        <w:top w:val="none" w:sz="0" w:space="0" w:color="auto"/>
        <w:left w:val="none" w:sz="0" w:space="0" w:color="auto"/>
        <w:bottom w:val="none" w:sz="0" w:space="0" w:color="auto"/>
        <w:right w:val="none" w:sz="0" w:space="0" w:color="auto"/>
      </w:divBdr>
      <w:divsChild>
        <w:div w:id="663171227">
          <w:marLeft w:val="0"/>
          <w:marRight w:val="0"/>
          <w:marTop w:val="0"/>
          <w:marBottom w:val="0"/>
          <w:divBdr>
            <w:top w:val="none" w:sz="0" w:space="0" w:color="auto"/>
            <w:left w:val="none" w:sz="0" w:space="0" w:color="auto"/>
            <w:bottom w:val="none" w:sz="0" w:space="0" w:color="auto"/>
            <w:right w:val="none" w:sz="0" w:space="0" w:color="auto"/>
          </w:divBdr>
          <w:divsChild>
            <w:div w:id="1488933601">
              <w:marLeft w:val="0"/>
              <w:marRight w:val="0"/>
              <w:marTop w:val="0"/>
              <w:marBottom w:val="0"/>
              <w:divBdr>
                <w:top w:val="none" w:sz="0" w:space="0" w:color="auto"/>
                <w:left w:val="none" w:sz="0" w:space="0" w:color="auto"/>
                <w:bottom w:val="none" w:sz="0" w:space="0" w:color="auto"/>
                <w:right w:val="none" w:sz="0" w:space="0" w:color="auto"/>
              </w:divBdr>
              <w:divsChild>
                <w:div w:id="393629871">
                  <w:marLeft w:val="0"/>
                  <w:marRight w:val="0"/>
                  <w:marTop w:val="0"/>
                  <w:marBottom w:val="0"/>
                  <w:divBdr>
                    <w:top w:val="none" w:sz="0" w:space="0" w:color="auto"/>
                    <w:left w:val="none" w:sz="0" w:space="0" w:color="auto"/>
                    <w:bottom w:val="none" w:sz="0" w:space="0" w:color="auto"/>
                    <w:right w:val="none" w:sz="0" w:space="0" w:color="auto"/>
                  </w:divBdr>
                  <w:divsChild>
                    <w:div w:id="989095316">
                      <w:marLeft w:val="0"/>
                      <w:marRight w:val="0"/>
                      <w:marTop w:val="0"/>
                      <w:marBottom w:val="0"/>
                      <w:divBdr>
                        <w:top w:val="none" w:sz="0" w:space="0" w:color="auto"/>
                        <w:left w:val="none" w:sz="0" w:space="0" w:color="auto"/>
                        <w:bottom w:val="none" w:sz="0" w:space="0" w:color="auto"/>
                        <w:right w:val="none" w:sz="0" w:space="0" w:color="auto"/>
                      </w:divBdr>
                      <w:divsChild>
                        <w:div w:id="768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650518">
      <w:bodyDiv w:val="1"/>
      <w:marLeft w:val="0"/>
      <w:marRight w:val="0"/>
      <w:marTop w:val="0"/>
      <w:marBottom w:val="0"/>
      <w:divBdr>
        <w:top w:val="none" w:sz="0" w:space="0" w:color="auto"/>
        <w:left w:val="none" w:sz="0" w:space="0" w:color="auto"/>
        <w:bottom w:val="none" w:sz="0" w:space="0" w:color="auto"/>
        <w:right w:val="none" w:sz="0" w:space="0" w:color="auto"/>
      </w:divBdr>
      <w:divsChild>
        <w:div w:id="466973742">
          <w:marLeft w:val="0"/>
          <w:marRight w:val="0"/>
          <w:marTop w:val="0"/>
          <w:marBottom w:val="0"/>
          <w:divBdr>
            <w:top w:val="none" w:sz="0" w:space="0" w:color="auto"/>
            <w:left w:val="none" w:sz="0" w:space="0" w:color="auto"/>
            <w:bottom w:val="none" w:sz="0" w:space="0" w:color="auto"/>
            <w:right w:val="none" w:sz="0" w:space="0" w:color="auto"/>
          </w:divBdr>
          <w:divsChild>
            <w:div w:id="1668440729">
              <w:marLeft w:val="0"/>
              <w:marRight w:val="0"/>
              <w:marTop w:val="0"/>
              <w:marBottom w:val="0"/>
              <w:divBdr>
                <w:top w:val="none" w:sz="0" w:space="0" w:color="auto"/>
                <w:left w:val="none" w:sz="0" w:space="0" w:color="auto"/>
                <w:bottom w:val="none" w:sz="0" w:space="0" w:color="auto"/>
                <w:right w:val="none" w:sz="0" w:space="0" w:color="auto"/>
              </w:divBdr>
              <w:divsChild>
                <w:div w:id="1675913326">
                  <w:marLeft w:val="0"/>
                  <w:marRight w:val="0"/>
                  <w:marTop w:val="0"/>
                  <w:marBottom w:val="0"/>
                  <w:divBdr>
                    <w:top w:val="none" w:sz="0" w:space="0" w:color="auto"/>
                    <w:left w:val="none" w:sz="0" w:space="0" w:color="auto"/>
                    <w:bottom w:val="none" w:sz="0" w:space="0" w:color="auto"/>
                    <w:right w:val="none" w:sz="0" w:space="0" w:color="auto"/>
                  </w:divBdr>
                  <w:divsChild>
                    <w:div w:id="1283421558">
                      <w:marLeft w:val="0"/>
                      <w:marRight w:val="0"/>
                      <w:marTop w:val="0"/>
                      <w:marBottom w:val="0"/>
                      <w:divBdr>
                        <w:top w:val="none" w:sz="0" w:space="0" w:color="auto"/>
                        <w:left w:val="none" w:sz="0" w:space="0" w:color="auto"/>
                        <w:bottom w:val="none" w:sz="0" w:space="0" w:color="auto"/>
                        <w:right w:val="none" w:sz="0" w:space="0" w:color="auto"/>
                      </w:divBdr>
                      <w:divsChild>
                        <w:div w:id="20661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915256">
      <w:bodyDiv w:val="1"/>
      <w:marLeft w:val="0"/>
      <w:marRight w:val="0"/>
      <w:marTop w:val="0"/>
      <w:marBottom w:val="0"/>
      <w:divBdr>
        <w:top w:val="none" w:sz="0" w:space="0" w:color="auto"/>
        <w:left w:val="none" w:sz="0" w:space="0" w:color="auto"/>
        <w:bottom w:val="none" w:sz="0" w:space="0" w:color="auto"/>
        <w:right w:val="none" w:sz="0" w:space="0" w:color="auto"/>
      </w:divBdr>
      <w:divsChild>
        <w:div w:id="1686520782">
          <w:marLeft w:val="0"/>
          <w:marRight w:val="0"/>
          <w:marTop w:val="0"/>
          <w:marBottom w:val="0"/>
          <w:divBdr>
            <w:top w:val="none" w:sz="0" w:space="0" w:color="auto"/>
            <w:left w:val="none" w:sz="0" w:space="0" w:color="auto"/>
            <w:bottom w:val="none" w:sz="0" w:space="0" w:color="auto"/>
            <w:right w:val="none" w:sz="0" w:space="0" w:color="auto"/>
          </w:divBdr>
          <w:divsChild>
            <w:div w:id="1834763361">
              <w:marLeft w:val="0"/>
              <w:marRight w:val="0"/>
              <w:marTop w:val="0"/>
              <w:marBottom w:val="0"/>
              <w:divBdr>
                <w:top w:val="none" w:sz="0" w:space="0" w:color="auto"/>
                <w:left w:val="none" w:sz="0" w:space="0" w:color="auto"/>
                <w:bottom w:val="none" w:sz="0" w:space="0" w:color="auto"/>
                <w:right w:val="none" w:sz="0" w:space="0" w:color="auto"/>
              </w:divBdr>
              <w:divsChild>
                <w:div w:id="446435395">
                  <w:marLeft w:val="0"/>
                  <w:marRight w:val="0"/>
                  <w:marTop w:val="0"/>
                  <w:marBottom w:val="0"/>
                  <w:divBdr>
                    <w:top w:val="none" w:sz="0" w:space="0" w:color="auto"/>
                    <w:left w:val="none" w:sz="0" w:space="0" w:color="auto"/>
                    <w:bottom w:val="none" w:sz="0" w:space="0" w:color="auto"/>
                    <w:right w:val="none" w:sz="0" w:space="0" w:color="auto"/>
                  </w:divBdr>
                  <w:divsChild>
                    <w:div w:id="1935741797">
                      <w:marLeft w:val="0"/>
                      <w:marRight w:val="0"/>
                      <w:marTop w:val="0"/>
                      <w:marBottom w:val="0"/>
                      <w:divBdr>
                        <w:top w:val="none" w:sz="0" w:space="0" w:color="auto"/>
                        <w:left w:val="none" w:sz="0" w:space="0" w:color="auto"/>
                        <w:bottom w:val="none" w:sz="0" w:space="0" w:color="auto"/>
                        <w:right w:val="none" w:sz="0" w:space="0" w:color="auto"/>
                      </w:divBdr>
                      <w:divsChild>
                        <w:div w:id="20851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959624">
      <w:bodyDiv w:val="1"/>
      <w:marLeft w:val="0"/>
      <w:marRight w:val="0"/>
      <w:marTop w:val="0"/>
      <w:marBottom w:val="0"/>
      <w:divBdr>
        <w:top w:val="none" w:sz="0" w:space="0" w:color="auto"/>
        <w:left w:val="none" w:sz="0" w:space="0" w:color="auto"/>
        <w:bottom w:val="none" w:sz="0" w:space="0" w:color="auto"/>
        <w:right w:val="none" w:sz="0" w:space="0" w:color="auto"/>
      </w:divBdr>
      <w:divsChild>
        <w:div w:id="1808818919">
          <w:marLeft w:val="0"/>
          <w:marRight w:val="0"/>
          <w:marTop w:val="0"/>
          <w:marBottom w:val="0"/>
          <w:divBdr>
            <w:top w:val="none" w:sz="0" w:space="0" w:color="auto"/>
            <w:left w:val="none" w:sz="0" w:space="0" w:color="auto"/>
            <w:bottom w:val="none" w:sz="0" w:space="0" w:color="auto"/>
            <w:right w:val="none" w:sz="0" w:space="0" w:color="auto"/>
          </w:divBdr>
          <w:divsChild>
            <w:div w:id="962730419">
              <w:marLeft w:val="0"/>
              <w:marRight w:val="0"/>
              <w:marTop w:val="0"/>
              <w:marBottom w:val="0"/>
              <w:divBdr>
                <w:top w:val="none" w:sz="0" w:space="0" w:color="auto"/>
                <w:left w:val="none" w:sz="0" w:space="0" w:color="auto"/>
                <w:bottom w:val="none" w:sz="0" w:space="0" w:color="auto"/>
                <w:right w:val="none" w:sz="0" w:space="0" w:color="auto"/>
              </w:divBdr>
              <w:divsChild>
                <w:div w:id="2128622320">
                  <w:marLeft w:val="0"/>
                  <w:marRight w:val="0"/>
                  <w:marTop w:val="0"/>
                  <w:marBottom w:val="0"/>
                  <w:divBdr>
                    <w:top w:val="none" w:sz="0" w:space="0" w:color="auto"/>
                    <w:left w:val="none" w:sz="0" w:space="0" w:color="auto"/>
                    <w:bottom w:val="none" w:sz="0" w:space="0" w:color="auto"/>
                    <w:right w:val="none" w:sz="0" w:space="0" w:color="auto"/>
                  </w:divBdr>
                  <w:divsChild>
                    <w:div w:id="443041470">
                      <w:marLeft w:val="0"/>
                      <w:marRight w:val="0"/>
                      <w:marTop w:val="0"/>
                      <w:marBottom w:val="0"/>
                      <w:divBdr>
                        <w:top w:val="none" w:sz="0" w:space="0" w:color="auto"/>
                        <w:left w:val="none" w:sz="0" w:space="0" w:color="auto"/>
                        <w:bottom w:val="none" w:sz="0" w:space="0" w:color="auto"/>
                        <w:right w:val="none" w:sz="0" w:space="0" w:color="auto"/>
                      </w:divBdr>
                      <w:divsChild>
                        <w:div w:id="16188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70539">
      <w:bodyDiv w:val="1"/>
      <w:marLeft w:val="0"/>
      <w:marRight w:val="0"/>
      <w:marTop w:val="0"/>
      <w:marBottom w:val="0"/>
      <w:divBdr>
        <w:top w:val="none" w:sz="0" w:space="0" w:color="auto"/>
        <w:left w:val="none" w:sz="0" w:space="0" w:color="auto"/>
        <w:bottom w:val="none" w:sz="0" w:space="0" w:color="auto"/>
        <w:right w:val="none" w:sz="0" w:space="0" w:color="auto"/>
      </w:divBdr>
    </w:div>
    <w:div w:id="1382748167">
      <w:bodyDiv w:val="1"/>
      <w:marLeft w:val="0"/>
      <w:marRight w:val="0"/>
      <w:marTop w:val="0"/>
      <w:marBottom w:val="0"/>
      <w:divBdr>
        <w:top w:val="none" w:sz="0" w:space="0" w:color="auto"/>
        <w:left w:val="none" w:sz="0" w:space="0" w:color="auto"/>
        <w:bottom w:val="none" w:sz="0" w:space="0" w:color="auto"/>
        <w:right w:val="none" w:sz="0" w:space="0" w:color="auto"/>
      </w:divBdr>
    </w:div>
    <w:div w:id="1528445928">
      <w:bodyDiv w:val="1"/>
      <w:marLeft w:val="0"/>
      <w:marRight w:val="0"/>
      <w:marTop w:val="0"/>
      <w:marBottom w:val="0"/>
      <w:divBdr>
        <w:top w:val="none" w:sz="0" w:space="0" w:color="auto"/>
        <w:left w:val="none" w:sz="0" w:space="0" w:color="auto"/>
        <w:bottom w:val="none" w:sz="0" w:space="0" w:color="auto"/>
        <w:right w:val="none" w:sz="0" w:space="0" w:color="auto"/>
      </w:divBdr>
      <w:divsChild>
        <w:div w:id="330372083">
          <w:marLeft w:val="0"/>
          <w:marRight w:val="0"/>
          <w:marTop w:val="0"/>
          <w:marBottom w:val="0"/>
          <w:divBdr>
            <w:top w:val="none" w:sz="0" w:space="0" w:color="auto"/>
            <w:left w:val="none" w:sz="0" w:space="0" w:color="auto"/>
            <w:bottom w:val="none" w:sz="0" w:space="0" w:color="auto"/>
            <w:right w:val="none" w:sz="0" w:space="0" w:color="auto"/>
          </w:divBdr>
          <w:divsChild>
            <w:div w:id="629212524">
              <w:marLeft w:val="0"/>
              <w:marRight w:val="0"/>
              <w:marTop w:val="0"/>
              <w:marBottom w:val="0"/>
              <w:divBdr>
                <w:top w:val="none" w:sz="0" w:space="0" w:color="auto"/>
                <w:left w:val="none" w:sz="0" w:space="0" w:color="auto"/>
                <w:bottom w:val="none" w:sz="0" w:space="0" w:color="auto"/>
                <w:right w:val="none" w:sz="0" w:space="0" w:color="auto"/>
              </w:divBdr>
              <w:divsChild>
                <w:div w:id="741373427">
                  <w:marLeft w:val="0"/>
                  <w:marRight w:val="0"/>
                  <w:marTop w:val="0"/>
                  <w:marBottom w:val="0"/>
                  <w:divBdr>
                    <w:top w:val="none" w:sz="0" w:space="0" w:color="auto"/>
                    <w:left w:val="none" w:sz="0" w:space="0" w:color="auto"/>
                    <w:bottom w:val="none" w:sz="0" w:space="0" w:color="auto"/>
                    <w:right w:val="none" w:sz="0" w:space="0" w:color="auto"/>
                  </w:divBdr>
                  <w:divsChild>
                    <w:div w:id="788669063">
                      <w:marLeft w:val="0"/>
                      <w:marRight w:val="0"/>
                      <w:marTop w:val="0"/>
                      <w:marBottom w:val="0"/>
                      <w:divBdr>
                        <w:top w:val="none" w:sz="0" w:space="0" w:color="auto"/>
                        <w:left w:val="none" w:sz="0" w:space="0" w:color="auto"/>
                        <w:bottom w:val="none" w:sz="0" w:space="0" w:color="auto"/>
                        <w:right w:val="none" w:sz="0" w:space="0" w:color="auto"/>
                      </w:divBdr>
                      <w:divsChild>
                        <w:div w:id="17472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2765">
      <w:bodyDiv w:val="1"/>
      <w:marLeft w:val="0"/>
      <w:marRight w:val="0"/>
      <w:marTop w:val="0"/>
      <w:marBottom w:val="0"/>
      <w:divBdr>
        <w:top w:val="none" w:sz="0" w:space="0" w:color="auto"/>
        <w:left w:val="none" w:sz="0" w:space="0" w:color="auto"/>
        <w:bottom w:val="none" w:sz="0" w:space="0" w:color="auto"/>
        <w:right w:val="none" w:sz="0" w:space="0" w:color="auto"/>
      </w:divBdr>
    </w:div>
    <w:div w:id="1755122185">
      <w:bodyDiv w:val="1"/>
      <w:marLeft w:val="0"/>
      <w:marRight w:val="0"/>
      <w:marTop w:val="0"/>
      <w:marBottom w:val="0"/>
      <w:divBdr>
        <w:top w:val="none" w:sz="0" w:space="0" w:color="auto"/>
        <w:left w:val="none" w:sz="0" w:space="0" w:color="auto"/>
        <w:bottom w:val="none" w:sz="0" w:space="0" w:color="auto"/>
        <w:right w:val="none" w:sz="0" w:space="0" w:color="auto"/>
      </w:divBdr>
    </w:div>
    <w:div w:id="1771124042">
      <w:bodyDiv w:val="1"/>
      <w:marLeft w:val="0"/>
      <w:marRight w:val="0"/>
      <w:marTop w:val="0"/>
      <w:marBottom w:val="0"/>
      <w:divBdr>
        <w:top w:val="none" w:sz="0" w:space="0" w:color="auto"/>
        <w:left w:val="none" w:sz="0" w:space="0" w:color="auto"/>
        <w:bottom w:val="none" w:sz="0" w:space="0" w:color="auto"/>
        <w:right w:val="none" w:sz="0" w:space="0" w:color="auto"/>
      </w:divBdr>
    </w:div>
    <w:div w:id="1848403964">
      <w:bodyDiv w:val="1"/>
      <w:marLeft w:val="0"/>
      <w:marRight w:val="0"/>
      <w:marTop w:val="0"/>
      <w:marBottom w:val="0"/>
      <w:divBdr>
        <w:top w:val="none" w:sz="0" w:space="0" w:color="auto"/>
        <w:left w:val="none" w:sz="0" w:space="0" w:color="auto"/>
        <w:bottom w:val="none" w:sz="0" w:space="0" w:color="auto"/>
        <w:right w:val="none" w:sz="0" w:space="0" w:color="auto"/>
      </w:divBdr>
    </w:div>
    <w:div w:id="2133742831">
      <w:bodyDiv w:val="1"/>
      <w:marLeft w:val="0"/>
      <w:marRight w:val="0"/>
      <w:marTop w:val="0"/>
      <w:marBottom w:val="0"/>
      <w:divBdr>
        <w:top w:val="none" w:sz="0" w:space="0" w:color="auto"/>
        <w:left w:val="none" w:sz="0" w:space="0" w:color="auto"/>
        <w:bottom w:val="none" w:sz="0" w:space="0" w:color="auto"/>
        <w:right w:val="none" w:sz="0" w:space="0" w:color="auto"/>
      </w:divBdr>
    </w:div>
    <w:div w:id="2146117399">
      <w:bodyDiv w:val="1"/>
      <w:marLeft w:val="0"/>
      <w:marRight w:val="0"/>
      <w:marTop w:val="0"/>
      <w:marBottom w:val="0"/>
      <w:divBdr>
        <w:top w:val="none" w:sz="0" w:space="0" w:color="auto"/>
        <w:left w:val="none" w:sz="0" w:space="0" w:color="auto"/>
        <w:bottom w:val="none" w:sz="0" w:space="0" w:color="auto"/>
        <w:right w:val="none" w:sz="0" w:space="0" w:color="auto"/>
      </w:divBdr>
      <w:divsChild>
        <w:div w:id="1587420749">
          <w:marLeft w:val="0"/>
          <w:marRight w:val="0"/>
          <w:marTop w:val="0"/>
          <w:marBottom w:val="0"/>
          <w:divBdr>
            <w:top w:val="none" w:sz="0" w:space="0" w:color="auto"/>
            <w:left w:val="none" w:sz="0" w:space="0" w:color="auto"/>
            <w:bottom w:val="none" w:sz="0" w:space="0" w:color="auto"/>
            <w:right w:val="none" w:sz="0" w:space="0" w:color="auto"/>
          </w:divBdr>
          <w:divsChild>
            <w:div w:id="1800874042">
              <w:marLeft w:val="0"/>
              <w:marRight w:val="0"/>
              <w:marTop w:val="0"/>
              <w:marBottom w:val="0"/>
              <w:divBdr>
                <w:top w:val="none" w:sz="0" w:space="0" w:color="auto"/>
                <w:left w:val="none" w:sz="0" w:space="0" w:color="auto"/>
                <w:bottom w:val="none" w:sz="0" w:space="0" w:color="auto"/>
                <w:right w:val="none" w:sz="0" w:space="0" w:color="auto"/>
              </w:divBdr>
              <w:divsChild>
                <w:div w:id="59985902">
                  <w:marLeft w:val="0"/>
                  <w:marRight w:val="0"/>
                  <w:marTop w:val="0"/>
                  <w:marBottom w:val="0"/>
                  <w:divBdr>
                    <w:top w:val="none" w:sz="0" w:space="0" w:color="auto"/>
                    <w:left w:val="none" w:sz="0" w:space="0" w:color="auto"/>
                    <w:bottom w:val="none" w:sz="0" w:space="0" w:color="auto"/>
                    <w:right w:val="none" w:sz="0" w:space="0" w:color="auto"/>
                  </w:divBdr>
                  <w:divsChild>
                    <w:div w:id="1699701270">
                      <w:marLeft w:val="0"/>
                      <w:marRight w:val="0"/>
                      <w:marTop w:val="0"/>
                      <w:marBottom w:val="0"/>
                      <w:divBdr>
                        <w:top w:val="none" w:sz="0" w:space="0" w:color="auto"/>
                        <w:left w:val="none" w:sz="0" w:space="0" w:color="auto"/>
                        <w:bottom w:val="none" w:sz="0" w:space="0" w:color="auto"/>
                        <w:right w:val="none" w:sz="0" w:space="0" w:color="auto"/>
                      </w:divBdr>
                      <w:divsChild>
                        <w:div w:id="7264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15BC-68CA-4576-8189-46C67611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4772</Words>
  <Characters>26580</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DRAFT OMB SUPPORTING STATEMENT FOR</vt:lpstr>
    </vt:vector>
  </TitlesOfParts>
  <Company>USNRC</Company>
  <LinksUpToDate>false</LinksUpToDate>
  <CharactersWithSpaces>31290</CharactersWithSpaces>
  <SharedDoc>false</SharedDoc>
  <HLinks>
    <vt:vector size="6" baseType="variant">
      <vt:variant>
        <vt:i4>3604579</vt:i4>
      </vt:variant>
      <vt:variant>
        <vt:i4>2</vt:i4>
      </vt:variant>
      <vt:variant>
        <vt:i4>0</vt:i4>
      </vt:variant>
      <vt:variant>
        <vt:i4>5</vt:i4>
      </vt:variant>
      <vt:variant>
        <vt:lpwstr>http://www.nrc.gov/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 FOR</dc:title>
  <dc:creator>dmb2</dc:creator>
  <cp:lastModifiedBy>Majeed, Fajr</cp:lastModifiedBy>
  <cp:revision>2</cp:revision>
  <cp:lastPrinted>2016-04-19T12:54:00Z</cp:lastPrinted>
  <dcterms:created xsi:type="dcterms:W3CDTF">2016-06-06T12:38:00Z</dcterms:created>
  <dcterms:modified xsi:type="dcterms:W3CDTF">2016-06-06T12:38:00Z</dcterms:modified>
</cp:coreProperties>
</file>