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281CB" w14:textId="77777777" w:rsidR="00E049FC" w:rsidRPr="00F07FEE" w:rsidRDefault="00E049FC" w:rsidP="00E049FC">
      <w:pPr>
        <w:widowControl w:val="0"/>
        <w:tabs>
          <w:tab w:val="center" w:pos="4680"/>
        </w:tabs>
        <w:jc w:val="center"/>
        <w:rPr>
          <w:rFonts w:ascii="Arial" w:hAnsi="Arial" w:cs="Arial"/>
          <w:sz w:val="22"/>
          <w:szCs w:val="22"/>
        </w:rPr>
      </w:pPr>
      <w:r w:rsidRPr="00F07FEE">
        <w:rPr>
          <w:rFonts w:ascii="Arial" w:hAnsi="Arial" w:cs="Arial"/>
          <w:sz w:val="22"/>
          <w:szCs w:val="22"/>
        </w:rPr>
        <w:fldChar w:fldCharType="begin"/>
      </w:r>
      <w:r w:rsidRPr="00F07FEE">
        <w:rPr>
          <w:rFonts w:ascii="Arial" w:hAnsi="Arial" w:cs="Arial"/>
          <w:sz w:val="22"/>
          <w:szCs w:val="22"/>
        </w:rPr>
        <w:instrText xml:space="preserve"> SEQ CHAPTER \h \r 1</w:instrText>
      </w:r>
      <w:r w:rsidRPr="00F07FEE">
        <w:rPr>
          <w:rFonts w:ascii="Arial" w:hAnsi="Arial" w:cs="Arial"/>
          <w:sz w:val="22"/>
          <w:szCs w:val="22"/>
        </w:rPr>
        <w:fldChar w:fldCharType="end"/>
      </w:r>
      <w:r>
        <w:rPr>
          <w:rFonts w:ascii="Arial" w:hAnsi="Arial" w:cs="Arial"/>
          <w:sz w:val="22"/>
          <w:szCs w:val="22"/>
        </w:rPr>
        <w:t>FINAL</w:t>
      </w:r>
      <w:r w:rsidRPr="00F07FEE">
        <w:rPr>
          <w:rFonts w:ascii="Arial" w:hAnsi="Arial" w:cs="Arial"/>
          <w:sz w:val="22"/>
          <w:szCs w:val="22"/>
        </w:rPr>
        <w:t xml:space="preserve"> SUPPORTING STATEMENT</w:t>
      </w:r>
    </w:p>
    <w:p w14:paraId="7AF9FA58" w14:textId="77777777" w:rsidR="00E049FC" w:rsidRPr="00F07FEE" w:rsidRDefault="00E049FC" w:rsidP="00E049FC">
      <w:pPr>
        <w:widowControl w:val="0"/>
        <w:tabs>
          <w:tab w:val="center" w:pos="4680"/>
        </w:tabs>
        <w:jc w:val="center"/>
        <w:rPr>
          <w:rFonts w:ascii="Arial" w:hAnsi="Arial" w:cs="Arial"/>
          <w:sz w:val="22"/>
          <w:szCs w:val="22"/>
        </w:rPr>
      </w:pPr>
      <w:r w:rsidRPr="00F07FEE">
        <w:rPr>
          <w:rFonts w:ascii="Arial" w:hAnsi="Arial" w:cs="Arial"/>
          <w:sz w:val="22"/>
          <w:szCs w:val="22"/>
        </w:rPr>
        <w:t>FOR</w:t>
      </w:r>
    </w:p>
    <w:p w14:paraId="63060B9D" w14:textId="77777777" w:rsidR="00E049FC" w:rsidRPr="00F07FEE" w:rsidRDefault="00E049FC" w:rsidP="00E049FC">
      <w:pPr>
        <w:widowControl w:val="0"/>
        <w:jc w:val="center"/>
        <w:rPr>
          <w:rFonts w:ascii="Arial" w:hAnsi="Arial" w:cs="Arial"/>
          <w:sz w:val="22"/>
          <w:szCs w:val="22"/>
        </w:rPr>
      </w:pPr>
    </w:p>
    <w:p w14:paraId="79F86A5C" w14:textId="2315682E" w:rsidR="00E049FC" w:rsidRPr="00F07FEE" w:rsidRDefault="008D3033" w:rsidP="00E049FC">
      <w:pPr>
        <w:widowControl w:val="0"/>
        <w:jc w:val="center"/>
        <w:rPr>
          <w:rFonts w:ascii="Arial" w:hAnsi="Arial" w:cs="Arial"/>
          <w:sz w:val="22"/>
          <w:szCs w:val="22"/>
        </w:rPr>
      </w:pPr>
      <w:r>
        <w:rPr>
          <w:rFonts w:ascii="Arial" w:hAnsi="Arial" w:cs="Arial"/>
          <w:sz w:val="22"/>
          <w:szCs w:val="22"/>
        </w:rPr>
        <w:t>NRC GENERIC LETTER 2016</w:t>
      </w:r>
      <w:r w:rsidR="00E049FC" w:rsidRPr="005F0444">
        <w:rPr>
          <w:rFonts w:ascii="Arial" w:hAnsi="Arial" w:cs="Arial"/>
          <w:sz w:val="22"/>
          <w:szCs w:val="22"/>
        </w:rPr>
        <w:t>-XX, MONITORING OF NEUTRON-ABSORBIN</w:t>
      </w:r>
      <w:r w:rsidR="00E049FC">
        <w:rPr>
          <w:rFonts w:ascii="Arial" w:hAnsi="Arial" w:cs="Arial"/>
          <w:sz w:val="22"/>
          <w:szCs w:val="22"/>
        </w:rPr>
        <w:t>G MATERIALS IN SPENT FUEL POOLS</w:t>
      </w:r>
    </w:p>
    <w:p w14:paraId="4A1553F1" w14:textId="77777777" w:rsidR="00E049FC" w:rsidRPr="00F07FEE" w:rsidRDefault="00E049FC" w:rsidP="00E049FC">
      <w:pPr>
        <w:widowControl w:val="0"/>
        <w:jc w:val="center"/>
        <w:rPr>
          <w:rFonts w:ascii="Arial" w:hAnsi="Arial" w:cs="Arial"/>
          <w:sz w:val="22"/>
          <w:szCs w:val="22"/>
        </w:rPr>
      </w:pPr>
    </w:p>
    <w:p w14:paraId="2F421C98" w14:textId="77777777" w:rsidR="00E049FC" w:rsidRDefault="00E049FC" w:rsidP="00E049FC">
      <w:pPr>
        <w:widowControl w:val="0"/>
        <w:tabs>
          <w:tab w:val="center" w:pos="4680"/>
        </w:tabs>
        <w:jc w:val="center"/>
        <w:rPr>
          <w:rFonts w:ascii="Arial" w:hAnsi="Arial" w:cs="Arial"/>
          <w:sz w:val="22"/>
          <w:szCs w:val="22"/>
        </w:rPr>
      </w:pPr>
      <w:r w:rsidRPr="00F07FEE">
        <w:rPr>
          <w:rFonts w:ascii="Arial" w:hAnsi="Arial" w:cs="Arial"/>
          <w:sz w:val="22"/>
          <w:szCs w:val="22"/>
        </w:rPr>
        <w:t>(3150-</w:t>
      </w:r>
      <w:r>
        <w:rPr>
          <w:rFonts w:ascii="Arial" w:hAnsi="Arial" w:cs="Arial"/>
          <w:sz w:val="22"/>
          <w:szCs w:val="22"/>
        </w:rPr>
        <w:t>XXXX</w:t>
      </w:r>
      <w:r w:rsidRPr="00F07FEE">
        <w:rPr>
          <w:rFonts w:ascii="Arial" w:hAnsi="Arial" w:cs="Arial"/>
          <w:sz w:val="22"/>
          <w:szCs w:val="22"/>
        </w:rPr>
        <w:t>)</w:t>
      </w:r>
    </w:p>
    <w:p w14:paraId="164FB71B" w14:textId="77777777" w:rsidR="00E049FC" w:rsidRPr="00F07FEE" w:rsidRDefault="00E049FC" w:rsidP="00E049FC">
      <w:pPr>
        <w:widowControl w:val="0"/>
        <w:tabs>
          <w:tab w:val="center" w:pos="4680"/>
        </w:tabs>
        <w:jc w:val="center"/>
        <w:rPr>
          <w:rFonts w:ascii="Arial" w:hAnsi="Arial" w:cs="Arial"/>
          <w:sz w:val="22"/>
          <w:szCs w:val="22"/>
        </w:rPr>
      </w:pPr>
    </w:p>
    <w:p w14:paraId="0B305004" w14:textId="77777777" w:rsidR="00E049FC" w:rsidRPr="00F07FEE" w:rsidRDefault="00E049FC" w:rsidP="00E049FC">
      <w:pPr>
        <w:widowControl w:val="0"/>
        <w:jc w:val="center"/>
        <w:rPr>
          <w:rFonts w:ascii="Arial" w:hAnsi="Arial" w:cs="Arial"/>
          <w:sz w:val="22"/>
          <w:szCs w:val="22"/>
        </w:rPr>
      </w:pPr>
      <w:r>
        <w:rPr>
          <w:rFonts w:ascii="Arial" w:hAnsi="Arial" w:cs="Arial"/>
          <w:sz w:val="22"/>
          <w:szCs w:val="22"/>
        </w:rPr>
        <w:t>NEW</w:t>
      </w:r>
    </w:p>
    <w:p w14:paraId="1147C102" w14:textId="77777777" w:rsidR="0057539F" w:rsidRPr="00F07FEE" w:rsidRDefault="0057539F" w:rsidP="002A64F1">
      <w:pPr>
        <w:widowControl w:val="0"/>
        <w:tabs>
          <w:tab w:val="center" w:pos="4680"/>
        </w:tabs>
        <w:jc w:val="center"/>
        <w:rPr>
          <w:rFonts w:ascii="Arial" w:hAnsi="Arial" w:cs="Arial"/>
          <w:sz w:val="22"/>
          <w:szCs w:val="22"/>
        </w:rPr>
      </w:pPr>
    </w:p>
    <w:p w14:paraId="682AF3D8" w14:textId="77777777" w:rsidR="002A64F1" w:rsidRPr="00F07FEE" w:rsidRDefault="002A64F1" w:rsidP="002A64F1">
      <w:pPr>
        <w:widowControl w:val="0"/>
        <w:rPr>
          <w:rFonts w:ascii="Arial" w:hAnsi="Arial" w:cs="Arial"/>
          <w:sz w:val="22"/>
          <w:szCs w:val="22"/>
        </w:rPr>
      </w:pPr>
    </w:p>
    <w:p w14:paraId="52D989B9" w14:textId="77777777" w:rsidR="002A64F1" w:rsidRPr="00F07FEE" w:rsidRDefault="002A64F1" w:rsidP="002A64F1">
      <w:pPr>
        <w:widowControl w:val="0"/>
        <w:rPr>
          <w:rFonts w:ascii="Arial" w:hAnsi="Arial" w:cs="Arial"/>
          <w:sz w:val="22"/>
          <w:szCs w:val="22"/>
        </w:rPr>
      </w:pPr>
      <w:r w:rsidRPr="00F07FEE">
        <w:rPr>
          <w:rFonts w:ascii="Arial" w:hAnsi="Arial" w:cs="Arial"/>
          <w:sz w:val="22"/>
          <w:szCs w:val="22"/>
          <w:u w:val="single"/>
        </w:rPr>
        <w:t>Description of the Information Collection</w:t>
      </w:r>
    </w:p>
    <w:p w14:paraId="7E855964" w14:textId="77777777" w:rsidR="00914858" w:rsidRPr="00F07FEE" w:rsidRDefault="00914858" w:rsidP="002A64F1">
      <w:pPr>
        <w:rPr>
          <w:rFonts w:ascii="Arial" w:hAnsi="Arial" w:cs="Arial"/>
          <w:sz w:val="22"/>
          <w:szCs w:val="22"/>
        </w:rPr>
      </w:pPr>
    </w:p>
    <w:p w14:paraId="5CC353B4" w14:textId="1643CEEF" w:rsidR="00914858" w:rsidRPr="00F07FEE" w:rsidRDefault="00A35090" w:rsidP="00914858">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BB305A">
        <w:rPr>
          <w:rFonts w:ascii="Arial" w:hAnsi="Arial" w:cs="Arial"/>
          <w:sz w:val="22"/>
          <w:szCs w:val="22"/>
        </w:rPr>
        <w:t>The Atomic Energy Act of 1954, as amended (AEA) requires that licensees provide reasonable assurance of adequate protection to public health and safety.  NRC verification of compliance with the NRC’s regulations and license conditions with respect to spent fuel pool neutron absorbers provides reasonable assurance of such adequate protection with respect to those neutron absorbers.  The NRC has authority to collect this type of information pursuant to Sections 161 and 182 of the AEA, and 10 CFR 50.54(f), to enable the NRC to determine if the license to operate a nuclear facility needs to be modified, revoked, or suspended.</w:t>
      </w:r>
      <w:r w:rsidR="00511561" w:rsidRPr="00F07FEE">
        <w:rPr>
          <w:rFonts w:ascii="Arial" w:hAnsi="Arial" w:cs="Arial"/>
          <w:sz w:val="22"/>
          <w:szCs w:val="22"/>
        </w:rPr>
        <w:t xml:space="preserve">  The Commission uses the information collected </w:t>
      </w:r>
      <w:r w:rsidR="009154B2" w:rsidRPr="00F07FEE">
        <w:rPr>
          <w:rFonts w:ascii="Arial" w:hAnsi="Arial" w:cs="Arial"/>
          <w:color w:val="000000"/>
          <w:sz w:val="22"/>
          <w:szCs w:val="22"/>
        </w:rPr>
        <w:t xml:space="preserve">to verify </w:t>
      </w:r>
      <w:r w:rsidR="007A034A">
        <w:rPr>
          <w:rFonts w:ascii="Arial" w:hAnsi="Arial" w:cs="Arial"/>
          <w:color w:val="000000"/>
          <w:sz w:val="22"/>
          <w:szCs w:val="22"/>
        </w:rPr>
        <w:t>that</w:t>
      </w:r>
      <w:r w:rsidR="009154B2" w:rsidRPr="00F07FEE">
        <w:rPr>
          <w:rFonts w:ascii="Arial" w:hAnsi="Arial" w:cs="Arial"/>
          <w:color w:val="000000"/>
          <w:sz w:val="22"/>
          <w:szCs w:val="22"/>
        </w:rPr>
        <w:t xml:space="preserve"> licensees meet the NRC regulations and requirements of their license.</w:t>
      </w:r>
    </w:p>
    <w:p w14:paraId="4C6EFC54" w14:textId="77777777" w:rsidR="00914858" w:rsidRPr="00F07FEE" w:rsidRDefault="00914858" w:rsidP="002A64F1">
      <w:pPr>
        <w:rPr>
          <w:rFonts w:ascii="Arial" w:hAnsi="Arial" w:cs="Arial"/>
          <w:sz w:val="22"/>
          <w:szCs w:val="22"/>
        </w:rPr>
      </w:pPr>
    </w:p>
    <w:p w14:paraId="58D2F77C" w14:textId="43B44175" w:rsidR="009A339F" w:rsidRDefault="005F0444" w:rsidP="005F0444">
      <w:pPr>
        <w:widowControl w:val="0"/>
        <w:rPr>
          <w:rFonts w:ascii="Arial" w:hAnsi="Arial" w:cs="Arial"/>
          <w:sz w:val="22"/>
          <w:szCs w:val="22"/>
        </w:rPr>
      </w:pPr>
      <w:r>
        <w:rPr>
          <w:rFonts w:ascii="Arial" w:hAnsi="Arial" w:cs="Arial"/>
          <w:sz w:val="22"/>
          <w:szCs w:val="22"/>
        </w:rPr>
        <w:t xml:space="preserve">Many licensees credit neutron-absorbing materials in their analyses demonstrating that the </w:t>
      </w:r>
      <w:proofErr w:type="spellStart"/>
      <w:r>
        <w:rPr>
          <w:rFonts w:ascii="Arial" w:hAnsi="Arial" w:cs="Arial"/>
          <w:sz w:val="22"/>
          <w:szCs w:val="22"/>
        </w:rPr>
        <w:t>subcriticality</w:t>
      </w:r>
      <w:proofErr w:type="spellEnd"/>
      <w:r>
        <w:rPr>
          <w:rFonts w:ascii="Arial" w:hAnsi="Arial" w:cs="Arial"/>
          <w:sz w:val="22"/>
          <w:szCs w:val="22"/>
        </w:rPr>
        <w:t xml:space="preserve"> requirements of 10 CFR 50.68, “Criticality </w:t>
      </w:r>
      <w:r w:rsidR="00BE0EBA">
        <w:rPr>
          <w:rFonts w:ascii="Arial" w:hAnsi="Arial" w:cs="Arial"/>
          <w:sz w:val="22"/>
          <w:szCs w:val="22"/>
        </w:rPr>
        <w:t>accident requirements</w:t>
      </w:r>
      <w:r>
        <w:rPr>
          <w:rFonts w:ascii="Arial" w:hAnsi="Arial" w:cs="Arial"/>
          <w:sz w:val="22"/>
          <w:szCs w:val="22"/>
        </w:rPr>
        <w:t>,” General Design Criteria</w:t>
      </w:r>
      <w:r w:rsidR="00530D12">
        <w:rPr>
          <w:rFonts w:ascii="Arial" w:hAnsi="Arial" w:cs="Arial"/>
          <w:sz w:val="22"/>
          <w:szCs w:val="22"/>
        </w:rPr>
        <w:t xml:space="preserve"> (GDC)</w:t>
      </w:r>
      <w:r>
        <w:rPr>
          <w:rFonts w:ascii="Arial" w:hAnsi="Arial" w:cs="Arial"/>
          <w:sz w:val="22"/>
          <w:szCs w:val="22"/>
        </w:rPr>
        <w:t xml:space="preserve"> 62, “Prevention of Criticality in Fuel Storage and Handling,” in Appendix A, “General Design Criteria for Nuclear Power Plants,” of 10 CFR Part 50, or other equivalent </w:t>
      </w:r>
      <w:r w:rsidR="00A35090">
        <w:rPr>
          <w:rFonts w:ascii="Arial" w:hAnsi="Arial" w:cs="Arial"/>
          <w:sz w:val="22"/>
          <w:szCs w:val="22"/>
        </w:rPr>
        <w:t>licensing basis requirements</w:t>
      </w:r>
      <w:r w:rsidR="007413F3">
        <w:rPr>
          <w:rFonts w:ascii="Arial" w:hAnsi="Arial" w:cs="Arial"/>
          <w:sz w:val="22"/>
          <w:szCs w:val="22"/>
        </w:rPr>
        <w:t xml:space="preserve"> are met</w:t>
      </w:r>
      <w:r>
        <w:rPr>
          <w:rFonts w:ascii="Arial" w:hAnsi="Arial" w:cs="Arial"/>
          <w:sz w:val="22"/>
          <w:szCs w:val="22"/>
        </w:rPr>
        <w:t xml:space="preserve">.  </w:t>
      </w:r>
      <w:r w:rsidRPr="005F0444">
        <w:rPr>
          <w:rFonts w:ascii="Arial" w:hAnsi="Arial" w:cs="Arial"/>
          <w:sz w:val="22"/>
          <w:szCs w:val="22"/>
        </w:rPr>
        <w:t xml:space="preserve">Neutron-absorbing materials installed in the spent fuel pool that are credited for maintaining </w:t>
      </w:r>
      <w:proofErr w:type="spellStart"/>
      <w:r w:rsidRPr="005F0444">
        <w:rPr>
          <w:rFonts w:ascii="Arial" w:hAnsi="Arial" w:cs="Arial"/>
          <w:sz w:val="22"/>
          <w:szCs w:val="22"/>
        </w:rPr>
        <w:t>subcriticality</w:t>
      </w:r>
      <w:proofErr w:type="spellEnd"/>
      <w:r w:rsidRPr="005F0444">
        <w:rPr>
          <w:rFonts w:ascii="Arial" w:hAnsi="Arial" w:cs="Arial"/>
          <w:sz w:val="22"/>
          <w:szCs w:val="22"/>
        </w:rPr>
        <w:t xml:space="preserve"> must be able to perform their neutron-absorbing safety function during both normal operating conditions and design basis events.  Monitoring of neutron-absorbing materials is intended to identify when degradation may affect the ability to perform the neutron-absorbing safety function, so that appropriate corrective action can be taken.  Therefore, the NRC is requesting information to determine if</w:t>
      </w:r>
      <w:r w:rsidR="000B5E7A">
        <w:rPr>
          <w:rFonts w:ascii="Arial" w:hAnsi="Arial" w:cs="Arial"/>
          <w:sz w:val="22"/>
          <w:szCs w:val="22"/>
        </w:rPr>
        <w:t xml:space="preserve">: </w:t>
      </w:r>
      <w:r w:rsidRPr="005F0444">
        <w:rPr>
          <w:rFonts w:ascii="Arial" w:hAnsi="Arial" w:cs="Arial"/>
          <w:sz w:val="22"/>
          <w:szCs w:val="22"/>
        </w:rPr>
        <w:t xml:space="preserve"> (1) addressees </w:t>
      </w:r>
      <w:r>
        <w:rPr>
          <w:rFonts w:ascii="Arial" w:hAnsi="Arial" w:cs="Arial"/>
          <w:sz w:val="22"/>
          <w:szCs w:val="22"/>
        </w:rPr>
        <w:t>have adequate neutron-absorbing material monitoring programs in place to ensure</w:t>
      </w:r>
      <w:r w:rsidRPr="005F0444">
        <w:rPr>
          <w:rFonts w:ascii="Arial" w:hAnsi="Arial" w:cs="Arial"/>
          <w:sz w:val="22"/>
          <w:szCs w:val="22"/>
        </w:rPr>
        <w:t xml:space="preserve"> compliance with </w:t>
      </w:r>
      <w:r w:rsidR="00A35090">
        <w:rPr>
          <w:rFonts w:ascii="Arial" w:hAnsi="Arial" w:cs="Arial"/>
          <w:sz w:val="22"/>
          <w:szCs w:val="22"/>
        </w:rPr>
        <w:t xml:space="preserve">applicable NRC </w:t>
      </w:r>
      <w:r w:rsidRPr="005F0444">
        <w:rPr>
          <w:rFonts w:ascii="Arial" w:hAnsi="Arial" w:cs="Arial"/>
          <w:sz w:val="22"/>
          <w:szCs w:val="22"/>
        </w:rPr>
        <w:t>the regulations</w:t>
      </w:r>
      <w:r w:rsidR="00A35090">
        <w:rPr>
          <w:rFonts w:ascii="Arial" w:hAnsi="Arial" w:cs="Arial"/>
          <w:sz w:val="22"/>
          <w:szCs w:val="22"/>
        </w:rPr>
        <w:t xml:space="preserve"> and the licensing basis for each facility</w:t>
      </w:r>
      <w:r w:rsidRPr="005F0444">
        <w:rPr>
          <w:rFonts w:ascii="Arial" w:hAnsi="Arial" w:cs="Arial"/>
          <w:sz w:val="22"/>
          <w:szCs w:val="22"/>
        </w:rPr>
        <w:t>, and (2) the agency should take additional regulatory action</w:t>
      </w:r>
      <w:r w:rsidR="00A35090">
        <w:rPr>
          <w:rFonts w:ascii="Arial" w:hAnsi="Arial" w:cs="Arial"/>
          <w:sz w:val="22"/>
          <w:szCs w:val="22"/>
        </w:rPr>
        <w:t xml:space="preserve"> with respect to neutron-absorbing materials installed in spent fuel pools</w:t>
      </w:r>
      <w:r w:rsidRPr="005F0444">
        <w:rPr>
          <w:rFonts w:ascii="Arial" w:hAnsi="Arial" w:cs="Arial"/>
          <w:sz w:val="22"/>
          <w:szCs w:val="22"/>
        </w:rPr>
        <w:t>.</w:t>
      </w:r>
    </w:p>
    <w:p w14:paraId="41607782" w14:textId="77777777" w:rsidR="00F2015A" w:rsidRDefault="00F2015A" w:rsidP="005F0444">
      <w:pPr>
        <w:widowControl w:val="0"/>
        <w:rPr>
          <w:rFonts w:ascii="Arial" w:hAnsi="Arial" w:cs="Arial"/>
          <w:sz w:val="22"/>
          <w:szCs w:val="22"/>
        </w:rPr>
      </w:pPr>
    </w:p>
    <w:p w14:paraId="2CD57B50" w14:textId="5B176656" w:rsidR="00F2015A" w:rsidRPr="00F07FEE" w:rsidRDefault="00F2015A" w:rsidP="005F0444">
      <w:pPr>
        <w:widowControl w:val="0"/>
        <w:rPr>
          <w:rFonts w:ascii="Arial" w:hAnsi="Arial" w:cs="Arial"/>
          <w:sz w:val="22"/>
          <w:szCs w:val="22"/>
        </w:rPr>
      </w:pPr>
      <w:r>
        <w:rPr>
          <w:rFonts w:ascii="Arial" w:hAnsi="Arial" w:cs="Arial"/>
          <w:sz w:val="22"/>
          <w:szCs w:val="22"/>
        </w:rPr>
        <w:t xml:space="preserve">The information will be requested in the form of a generic letter, which the agency defines as </w:t>
      </w:r>
      <w:r w:rsidRPr="00F2015A">
        <w:rPr>
          <w:rFonts w:ascii="Arial" w:hAnsi="Arial" w:cs="Arial"/>
          <w:sz w:val="22"/>
          <w:szCs w:val="22"/>
        </w:rPr>
        <w:t xml:space="preserve">a letter to a class of licensees that </w:t>
      </w:r>
      <w:bookmarkStart w:id="0" w:name="_GoBack"/>
      <w:bookmarkEnd w:id="0"/>
      <w:r w:rsidRPr="00F2015A">
        <w:rPr>
          <w:rFonts w:ascii="Arial" w:hAnsi="Arial" w:cs="Arial"/>
          <w:sz w:val="22"/>
          <w:szCs w:val="22"/>
        </w:rPr>
        <w:t>(1) requests licensee actions and/or information to address issues regarding emergent or routine matters of safety, security, safeguards, or environmental significance, and (2) requires a written response.  Although this is a “generic l</w:t>
      </w:r>
      <w:r>
        <w:rPr>
          <w:rFonts w:ascii="Arial" w:hAnsi="Arial" w:cs="Arial"/>
          <w:sz w:val="22"/>
          <w:szCs w:val="22"/>
        </w:rPr>
        <w:t>etter” in NRC terminology, the current request is not a generic information collection request as defined by the Office of Management and Budget.</w:t>
      </w:r>
    </w:p>
    <w:p w14:paraId="306D2923" w14:textId="77777777" w:rsidR="009A339F" w:rsidRPr="00F07FEE" w:rsidRDefault="009A339F" w:rsidP="002A64F1">
      <w:pPr>
        <w:widowControl w:val="0"/>
        <w:rPr>
          <w:rFonts w:ascii="Arial" w:hAnsi="Arial" w:cs="Arial"/>
          <w:sz w:val="22"/>
          <w:szCs w:val="22"/>
        </w:rPr>
      </w:pPr>
    </w:p>
    <w:p w14:paraId="66CFFC6E" w14:textId="77777777" w:rsidR="002A64F1" w:rsidRPr="00F07FEE" w:rsidRDefault="002A64F1" w:rsidP="002A64F1">
      <w:pPr>
        <w:widowControl w:val="0"/>
        <w:numPr>
          <w:ilvl w:val="0"/>
          <w:numId w:val="4"/>
        </w:numPr>
        <w:rPr>
          <w:rFonts w:ascii="Arial" w:hAnsi="Arial" w:cs="Arial"/>
          <w:sz w:val="22"/>
          <w:szCs w:val="22"/>
        </w:rPr>
      </w:pPr>
      <w:r w:rsidRPr="00F07FEE">
        <w:rPr>
          <w:rFonts w:ascii="Arial" w:hAnsi="Arial" w:cs="Arial"/>
          <w:sz w:val="22"/>
          <w:szCs w:val="22"/>
        </w:rPr>
        <w:t>JUSTIFICATION</w:t>
      </w:r>
    </w:p>
    <w:p w14:paraId="5413E432" w14:textId="77777777" w:rsidR="002A64F1" w:rsidRPr="00F07FEE" w:rsidRDefault="002A64F1" w:rsidP="002A64F1">
      <w:pPr>
        <w:widowControl w:val="0"/>
        <w:ind w:left="360"/>
        <w:rPr>
          <w:rFonts w:ascii="Arial" w:hAnsi="Arial" w:cs="Arial"/>
          <w:sz w:val="22"/>
          <w:szCs w:val="22"/>
        </w:rPr>
      </w:pPr>
    </w:p>
    <w:p w14:paraId="1A264302" w14:textId="77777777" w:rsidR="002A64F1" w:rsidRPr="00F07FEE" w:rsidRDefault="002A64F1" w:rsidP="002A64F1">
      <w:pPr>
        <w:widowControl w:val="0"/>
        <w:numPr>
          <w:ilvl w:val="0"/>
          <w:numId w:val="3"/>
        </w:numPr>
        <w:rPr>
          <w:rFonts w:ascii="Arial" w:hAnsi="Arial" w:cs="Arial"/>
          <w:sz w:val="22"/>
          <w:szCs w:val="22"/>
          <w:u w:val="single"/>
        </w:rPr>
      </w:pPr>
      <w:r w:rsidRPr="00F07FEE">
        <w:rPr>
          <w:rFonts w:ascii="Arial" w:hAnsi="Arial" w:cs="Arial"/>
          <w:sz w:val="22"/>
          <w:szCs w:val="22"/>
          <w:u w:val="single"/>
        </w:rPr>
        <w:t>Need For and Practical Utility of the Collection of Information</w:t>
      </w:r>
    </w:p>
    <w:p w14:paraId="48E56C55" w14:textId="77777777" w:rsidR="002A64F1" w:rsidRPr="00F07FEE" w:rsidRDefault="002A64F1" w:rsidP="002A64F1">
      <w:pPr>
        <w:widowControl w:val="0"/>
        <w:rPr>
          <w:rFonts w:ascii="Arial" w:hAnsi="Arial" w:cs="Arial"/>
          <w:sz w:val="22"/>
          <w:szCs w:val="22"/>
          <w:u w:val="single"/>
        </w:rPr>
      </w:pPr>
    </w:p>
    <w:p w14:paraId="2479D318" w14:textId="754002DD" w:rsidR="00530D12" w:rsidRDefault="00530D12" w:rsidP="00530D12">
      <w:pPr>
        <w:widowControl w:val="0"/>
        <w:ind w:left="1080"/>
        <w:rPr>
          <w:rFonts w:ascii="Arial" w:hAnsi="Arial" w:cs="Arial"/>
          <w:sz w:val="22"/>
          <w:szCs w:val="22"/>
        </w:rPr>
      </w:pPr>
      <w:r w:rsidRPr="00530D12">
        <w:rPr>
          <w:rFonts w:ascii="Arial" w:hAnsi="Arial" w:cs="Arial"/>
          <w:sz w:val="22"/>
          <w:szCs w:val="22"/>
        </w:rPr>
        <w:t xml:space="preserve">Reactivity and, therefore, criticality is determined by local phenomena, including how far a neutron is expected to travel in the given environment.  To ensure that </w:t>
      </w:r>
      <w:r w:rsidRPr="00530D12">
        <w:rPr>
          <w:rFonts w:ascii="Arial" w:hAnsi="Arial" w:cs="Arial"/>
          <w:sz w:val="22"/>
          <w:szCs w:val="22"/>
        </w:rPr>
        <w:lastRenderedPageBreak/>
        <w:t>licensees meet the requirements of 10 CFR 50.68 and GDC 62 (or equivalent</w:t>
      </w:r>
      <w:r w:rsidR="00A35090">
        <w:rPr>
          <w:rFonts w:ascii="Arial" w:hAnsi="Arial" w:cs="Arial"/>
          <w:sz w:val="22"/>
          <w:szCs w:val="22"/>
        </w:rPr>
        <w:t xml:space="preserve"> licensing basis requirements</w:t>
      </w:r>
      <w:r w:rsidRPr="00530D12">
        <w:rPr>
          <w:rFonts w:ascii="Arial" w:hAnsi="Arial" w:cs="Arial"/>
          <w:sz w:val="22"/>
          <w:szCs w:val="22"/>
        </w:rPr>
        <w:t>), the appropriate parameters on a local level must be known and appropriately considered.  For licensees who credit neutron absorbing material in their nuclear criticality safety analyses, this requires that they know the present condition of the neutron-absorbing materials</w:t>
      </w:r>
      <w:r w:rsidR="00BE0EBA">
        <w:rPr>
          <w:rFonts w:ascii="Arial" w:hAnsi="Arial" w:cs="Arial"/>
          <w:sz w:val="22"/>
          <w:szCs w:val="22"/>
        </w:rPr>
        <w:t>,</w:t>
      </w:r>
      <w:r w:rsidRPr="00530D12">
        <w:rPr>
          <w:rFonts w:ascii="Arial" w:hAnsi="Arial" w:cs="Arial"/>
          <w:sz w:val="22"/>
          <w:szCs w:val="22"/>
        </w:rPr>
        <w:t xml:space="preserve"> and have a plan to manage the materials’ future condition.  </w:t>
      </w:r>
    </w:p>
    <w:p w14:paraId="70A40DDE" w14:textId="77777777" w:rsidR="00530D12" w:rsidRDefault="00530D12" w:rsidP="00530D12">
      <w:pPr>
        <w:widowControl w:val="0"/>
        <w:ind w:left="1080"/>
        <w:rPr>
          <w:rFonts w:ascii="Arial" w:hAnsi="Arial" w:cs="Arial"/>
          <w:sz w:val="22"/>
          <w:szCs w:val="22"/>
        </w:rPr>
      </w:pPr>
    </w:p>
    <w:p w14:paraId="695FBF78" w14:textId="77777777" w:rsidR="00DD68F2" w:rsidRDefault="00530D12" w:rsidP="00530D12">
      <w:pPr>
        <w:widowControl w:val="0"/>
        <w:ind w:left="1080"/>
        <w:rPr>
          <w:rFonts w:ascii="Arial" w:hAnsi="Arial" w:cs="Arial"/>
          <w:sz w:val="22"/>
          <w:szCs w:val="22"/>
        </w:rPr>
      </w:pPr>
      <w:r w:rsidRPr="00530D12">
        <w:rPr>
          <w:rFonts w:ascii="Arial" w:hAnsi="Arial" w:cs="Arial"/>
          <w:sz w:val="22"/>
          <w:szCs w:val="22"/>
        </w:rPr>
        <w:t xml:space="preserve">The NRC staff has identified uncertainties with tools that the industry commonly uses to monitor the condition of the neutron-absorbing materials used in spent fuel pools.  When the NRC staff conducted further technical evaluations to assess the current state of licensees’ neutron-absorbing material monitoring programs in spent fuel pools, the staff identified multiple uncertainties and incidences where licensees </w:t>
      </w:r>
    </w:p>
    <w:p w14:paraId="60B4E8CB" w14:textId="19415EA6" w:rsidR="00C90761" w:rsidRPr="00F07FEE" w:rsidRDefault="00530D12" w:rsidP="00530D12">
      <w:pPr>
        <w:widowControl w:val="0"/>
        <w:ind w:left="1080"/>
        <w:rPr>
          <w:rFonts w:ascii="Arial" w:hAnsi="Arial" w:cs="Arial"/>
          <w:sz w:val="22"/>
          <w:szCs w:val="22"/>
        </w:rPr>
      </w:pPr>
      <w:r w:rsidRPr="00530D12">
        <w:rPr>
          <w:rFonts w:ascii="Arial" w:hAnsi="Arial" w:cs="Arial"/>
          <w:sz w:val="22"/>
          <w:szCs w:val="22"/>
        </w:rPr>
        <w:t>were ineffective in adequately monitoring and managing the condition of their neutron-absorbing materials.  In some cases, the NRC staff found that licensees had not ensured compliance with regulatory requirements.</w:t>
      </w:r>
      <w:r>
        <w:rPr>
          <w:rFonts w:ascii="Arial" w:hAnsi="Arial" w:cs="Arial"/>
          <w:sz w:val="22"/>
          <w:szCs w:val="22"/>
        </w:rPr>
        <w:t xml:space="preserve">  </w:t>
      </w:r>
      <w:r w:rsidR="00F9194D" w:rsidRPr="00F07FEE">
        <w:rPr>
          <w:rFonts w:ascii="Arial" w:hAnsi="Arial" w:cs="Arial"/>
          <w:sz w:val="22"/>
          <w:szCs w:val="22"/>
        </w:rPr>
        <w:t>The outco</w:t>
      </w:r>
      <w:r w:rsidR="00852CF7">
        <w:rPr>
          <w:rFonts w:ascii="Arial" w:hAnsi="Arial" w:cs="Arial"/>
          <w:sz w:val="22"/>
          <w:szCs w:val="22"/>
        </w:rPr>
        <w:t>me of the generic letter will ensure</w:t>
      </w:r>
      <w:r w:rsidR="00F9194D" w:rsidRPr="00F07FEE">
        <w:rPr>
          <w:rFonts w:ascii="Arial" w:hAnsi="Arial" w:cs="Arial"/>
          <w:sz w:val="22"/>
          <w:szCs w:val="22"/>
        </w:rPr>
        <w:t xml:space="preserve"> that the NRC fulfils its mission of protecting the public.</w:t>
      </w:r>
    </w:p>
    <w:p w14:paraId="1753AA5C" w14:textId="77777777" w:rsidR="009A339F" w:rsidRPr="00F07FEE" w:rsidRDefault="009A339F" w:rsidP="00BC35AD">
      <w:pPr>
        <w:ind w:left="1080"/>
        <w:rPr>
          <w:rFonts w:ascii="Arial" w:hAnsi="Arial" w:cs="Arial"/>
          <w:sz w:val="22"/>
          <w:szCs w:val="22"/>
        </w:rPr>
      </w:pPr>
    </w:p>
    <w:p w14:paraId="7FBB5380" w14:textId="77777777" w:rsidR="002A64F1" w:rsidRPr="00F07FEE" w:rsidRDefault="002A64F1" w:rsidP="002A64F1">
      <w:pPr>
        <w:widowControl w:val="0"/>
        <w:numPr>
          <w:ilvl w:val="0"/>
          <w:numId w:val="3"/>
        </w:numPr>
        <w:rPr>
          <w:rFonts w:ascii="Arial" w:hAnsi="Arial" w:cs="Arial"/>
          <w:sz w:val="22"/>
          <w:szCs w:val="22"/>
          <w:u w:val="single"/>
        </w:rPr>
      </w:pPr>
      <w:r w:rsidRPr="00F07FEE">
        <w:rPr>
          <w:rFonts w:ascii="Arial" w:hAnsi="Arial" w:cs="Arial"/>
          <w:sz w:val="22"/>
          <w:szCs w:val="22"/>
          <w:u w:val="single"/>
        </w:rPr>
        <w:t>Agency Use of Information</w:t>
      </w:r>
    </w:p>
    <w:p w14:paraId="507F4BA9" w14:textId="77777777" w:rsidR="002A64F1" w:rsidRPr="00F07FEE" w:rsidRDefault="002A64F1" w:rsidP="002A64F1">
      <w:pPr>
        <w:widowControl w:val="0"/>
        <w:rPr>
          <w:rFonts w:ascii="Arial" w:hAnsi="Arial" w:cs="Arial"/>
          <w:sz w:val="22"/>
          <w:szCs w:val="22"/>
          <w:u w:val="single"/>
        </w:rPr>
      </w:pPr>
    </w:p>
    <w:p w14:paraId="3E867D78" w14:textId="33BABE90" w:rsidR="002A64F1" w:rsidRPr="00F07FEE" w:rsidRDefault="00ED3F95" w:rsidP="009234F2">
      <w:pPr>
        <w:widowControl w:val="0"/>
        <w:ind w:left="1080"/>
        <w:rPr>
          <w:rFonts w:ascii="Arial" w:hAnsi="Arial" w:cs="Arial"/>
          <w:sz w:val="22"/>
          <w:szCs w:val="22"/>
        </w:rPr>
      </w:pPr>
      <w:r w:rsidRPr="00F07FEE">
        <w:rPr>
          <w:rFonts w:ascii="Arial" w:hAnsi="Arial" w:cs="Arial"/>
          <w:sz w:val="22"/>
          <w:szCs w:val="22"/>
        </w:rPr>
        <w:t>Using the information gathered by th</w:t>
      </w:r>
      <w:r w:rsidR="000D12F7">
        <w:rPr>
          <w:rFonts w:ascii="Arial" w:hAnsi="Arial" w:cs="Arial"/>
          <w:sz w:val="22"/>
          <w:szCs w:val="22"/>
        </w:rPr>
        <w:t>is</w:t>
      </w:r>
      <w:r w:rsidRPr="00F07FEE">
        <w:rPr>
          <w:rFonts w:ascii="Arial" w:hAnsi="Arial" w:cs="Arial"/>
          <w:sz w:val="22"/>
          <w:szCs w:val="22"/>
        </w:rPr>
        <w:t xml:space="preserve"> information request, the NRC will </w:t>
      </w:r>
      <w:r w:rsidR="00F9194D" w:rsidRPr="00F07FEE">
        <w:rPr>
          <w:rFonts w:ascii="Arial" w:hAnsi="Arial" w:cs="Arial"/>
          <w:color w:val="000000"/>
          <w:sz w:val="22"/>
          <w:szCs w:val="22"/>
        </w:rPr>
        <w:t xml:space="preserve">verify that </w:t>
      </w:r>
      <w:r w:rsidR="00530D12">
        <w:rPr>
          <w:rFonts w:ascii="Arial" w:hAnsi="Arial" w:cs="Arial"/>
          <w:color w:val="000000"/>
          <w:sz w:val="22"/>
          <w:szCs w:val="22"/>
        </w:rPr>
        <w:t>power and non-power reactor licensees</w:t>
      </w:r>
      <w:r w:rsidR="00F9194D" w:rsidRPr="00F07FEE">
        <w:rPr>
          <w:rFonts w:ascii="Arial" w:hAnsi="Arial" w:cs="Arial"/>
          <w:color w:val="000000"/>
          <w:sz w:val="22"/>
          <w:szCs w:val="22"/>
        </w:rPr>
        <w:t xml:space="preserve"> are maintaining compliance with NRC regulations</w:t>
      </w:r>
      <w:r w:rsidR="00A35090">
        <w:rPr>
          <w:rFonts w:ascii="Arial" w:hAnsi="Arial" w:cs="Arial"/>
          <w:color w:val="000000"/>
          <w:sz w:val="22"/>
          <w:szCs w:val="22"/>
        </w:rPr>
        <w:t xml:space="preserve"> and applicable licensing basis requirements</w:t>
      </w:r>
      <w:r w:rsidR="00530D12">
        <w:rPr>
          <w:rFonts w:ascii="Arial" w:hAnsi="Arial" w:cs="Arial"/>
          <w:color w:val="000000"/>
          <w:sz w:val="22"/>
          <w:szCs w:val="22"/>
        </w:rPr>
        <w:t>,</w:t>
      </w:r>
      <w:r w:rsidR="00F9194D" w:rsidRPr="00F07FEE">
        <w:rPr>
          <w:rFonts w:ascii="Arial" w:hAnsi="Arial" w:cs="Arial"/>
          <w:color w:val="000000"/>
          <w:sz w:val="22"/>
          <w:szCs w:val="22"/>
        </w:rPr>
        <w:t xml:space="preserve"> and </w:t>
      </w:r>
      <w:r w:rsidR="000D12F7">
        <w:rPr>
          <w:rFonts w:ascii="Arial" w:hAnsi="Arial" w:cs="Arial"/>
          <w:color w:val="000000"/>
          <w:sz w:val="22"/>
          <w:szCs w:val="22"/>
        </w:rPr>
        <w:t>will</w:t>
      </w:r>
      <w:r w:rsidR="00F9194D" w:rsidRPr="00F07FEE">
        <w:rPr>
          <w:rFonts w:ascii="Arial" w:hAnsi="Arial" w:cs="Arial"/>
          <w:color w:val="000000"/>
          <w:sz w:val="22"/>
          <w:szCs w:val="22"/>
        </w:rPr>
        <w:t xml:space="preserve"> </w:t>
      </w:r>
      <w:r w:rsidRPr="00F07FEE">
        <w:rPr>
          <w:rFonts w:ascii="Arial" w:hAnsi="Arial" w:cs="Arial"/>
          <w:sz w:val="22"/>
          <w:szCs w:val="22"/>
        </w:rPr>
        <w:t>determine if additional r</w:t>
      </w:r>
      <w:r w:rsidR="00462B8B" w:rsidRPr="00F07FEE">
        <w:rPr>
          <w:rFonts w:ascii="Arial" w:hAnsi="Arial" w:cs="Arial"/>
          <w:sz w:val="22"/>
          <w:szCs w:val="22"/>
        </w:rPr>
        <w:t xml:space="preserve">egulatory action is necessary.  </w:t>
      </w:r>
    </w:p>
    <w:p w14:paraId="48882DB9" w14:textId="77777777" w:rsidR="0027059B" w:rsidRPr="00F07FEE" w:rsidRDefault="0027059B" w:rsidP="009234F2">
      <w:pPr>
        <w:widowControl w:val="0"/>
        <w:ind w:left="1080"/>
        <w:rPr>
          <w:rFonts w:ascii="Arial" w:hAnsi="Arial" w:cs="Arial"/>
          <w:sz w:val="22"/>
          <w:szCs w:val="22"/>
          <w:u w:val="single"/>
        </w:rPr>
      </w:pPr>
    </w:p>
    <w:p w14:paraId="2B4EF6D6" w14:textId="77777777" w:rsidR="002A64F1" w:rsidRPr="00F07FEE" w:rsidRDefault="002A64F1" w:rsidP="0067183E">
      <w:pPr>
        <w:keepNext/>
        <w:keepLines/>
        <w:widowControl w:val="0"/>
        <w:numPr>
          <w:ilvl w:val="0"/>
          <w:numId w:val="3"/>
        </w:numPr>
        <w:rPr>
          <w:rFonts w:ascii="Arial" w:hAnsi="Arial" w:cs="Arial"/>
          <w:sz w:val="22"/>
          <w:szCs w:val="22"/>
        </w:rPr>
      </w:pPr>
      <w:r w:rsidRPr="00F07FEE">
        <w:rPr>
          <w:rFonts w:ascii="Arial" w:hAnsi="Arial" w:cs="Arial"/>
          <w:sz w:val="22"/>
          <w:szCs w:val="22"/>
          <w:u w:val="single"/>
        </w:rPr>
        <w:t>Reduction of Burden Through Information Technology</w:t>
      </w:r>
      <w:r w:rsidRPr="00F07FEE">
        <w:rPr>
          <w:rFonts w:ascii="Arial" w:hAnsi="Arial" w:cs="Arial"/>
          <w:sz w:val="22"/>
          <w:szCs w:val="22"/>
        </w:rPr>
        <w:t xml:space="preserve">  </w:t>
      </w:r>
    </w:p>
    <w:p w14:paraId="0F604769" w14:textId="77777777" w:rsidR="002A64F1" w:rsidRPr="00F07FEE" w:rsidRDefault="002A64F1" w:rsidP="0067183E">
      <w:pPr>
        <w:keepNext/>
        <w:keepLines/>
        <w:widowControl w:val="0"/>
        <w:rPr>
          <w:rFonts w:ascii="Arial" w:hAnsi="Arial" w:cs="Arial"/>
          <w:sz w:val="22"/>
          <w:szCs w:val="22"/>
        </w:rPr>
      </w:pPr>
    </w:p>
    <w:p w14:paraId="7BA04E8C" w14:textId="28F65471" w:rsidR="002A64F1" w:rsidRPr="000B5E7A" w:rsidRDefault="00D871AC" w:rsidP="0067183E">
      <w:pPr>
        <w:keepNext/>
        <w:keepLines/>
        <w:widowControl w:val="0"/>
        <w:ind w:left="1080"/>
        <w:rPr>
          <w:rFonts w:ascii="Arial" w:hAnsi="Arial" w:cs="Arial"/>
          <w:sz w:val="22"/>
          <w:szCs w:val="22"/>
        </w:rPr>
      </w:pPr>
      <w:r w:rsidRPr="00F07FEE">
        <w:rPr>
          <w:rFonts w:ascii="Arial" w:hAnsi="Arial" w:cs="Arial"/>
          <w:sz w:val="22"/>
          <w:szCs w:val="22"/>
        </w:rPr>
        <w:t xml:space="preserve">There are no legal obstacles to reducing the burden associated with this information collection. </w:t>
      </w:r>
      <w:r w:rsidR="000B5E7A">
        <w:rPr>
          <w:rFonts w:ascii="Arial" w:hAnsi="Arial" w:cs="Arial"/>
          <w:sz w:val="22"/>
          <w:szCs w:val="22"/>
        </w:rPr>
        <w:t xml:space="preserve"> </w:t>
      </w:r>
      <w:r w:rsidRPr="00F07FEE">
        <w:rPr>
          <w:rFonts w:ascii="Arial" w:hAnsi="Arial" w:cs="Arial"/>
          <w:sz w:val="22"/>
          <w:szCs w:val="22"/>
        </w:rPr>
        <w:t>The NRC encourages respondents to use information technology when it would be beneficial to them.  NRC issued a regulation on October 10, 2003 (68</w:t>
      </w:r>
      <w:r w:rsidR="00BE0EBA">
        <w:rPr>
          <w:rFonts w:ascii="Arial" w:hAnsi="Arial" w:cs="Arial"/>
          <w:sz w:val="22"/>
          <w:szCs w:val="22"/>
        </w:rPr>
        <w:t> </w:t>
      </w:r>
      <w:r w:rsidRPr="00F07FEE">
        <w:rPr>
          <w:rFonts w:ascii="Arial" w:hAnsi="Arial" w:cs="Arial"/>
          <w:sz w:val="22"/>
          <w:szCs w:val="22"/>
        </w:rPr>
        <w:t>FR</w:t>
      </w:r>
      <w:r w:rsidR="00BE0EBA">
        <w:rPr>
          <w:rFonts w:ascii="Arial" w:hAnsi="Arial" w:cs="Arial"/>
          <w:sz w:val="22"/>
          <w:szCs w:val="22"/>
        </w:rPr>
        <w:t> </w:t>
      </w:r>
      <w:r w:rsidR="00BE0EBA" w:rsidRPr="00F07FEE">
        <w:rPr>
          <w:rFonts w:ascii="Arial" w:hAnsi="Arial" w:cs="Arial"/>
          <w:sz w:val="22"/>
          <w:szCs w:val="22"/>
        </w:rPr>
        <w:t>5879</w:t>
      </w:r>
      <w:r w:rsidR="00BE0EBA">
        <w:rPr>
          <w:rFonts w:ascii="Arial" w:hAnsi="Arial" w:cs="Arial"/>
          <w:sz w:val="22"/>
          <w:szCs w:val="22"/>
        </w:rPr>
        <w:t>2</w:t>
      </w:r>
      <w:r w:rsidRPr="00F07FEE">
        <w:rPr>
          <w:rFonts w:ascii="Arial" w:hAnsi="Arial" w:cs="Arial"/>
          <w:sz w:val="22"/>
          <w:szCs w:val="22"/>
        </w:rPr>
        <w:t xml:space="preserve">), consistent with the Government Paperwork Elimination Act, which allows its licensees, vendors, applicants, and members of the public the option to make submissions electronically via CD-ROM, e-mail, special Web-based interface, or other means.  </w:t>
      </w:r>
      <w:r w:rsidR="004A41ED" w:rsidRPr="00F07FEE">
        <w:rPr>
          <w:rFonts w:ascii="Arial" w:hAnsi="Arial" w:cs="Arial"/>
          <w:sz w:val="22"/>
          <w:szCs w:val="22"/>
        </w:rPr>
        <w:t xml:space="preserve">The NRC has an Electronic Information Exchange system that provides an electronic submission capability for NRC </w:t>
      </w:r>
      <w:r w:rsidR="00C90761" w:rsidRPr="00F07FEE">
        <w:rPr>
          <w:rFonts w:ascii="Arial" w:hAnsi="Arial" w:cs="Arial"/>
          <w:sz w:val="22"/>
          <w:szCs w:val="22"/>
        </w:rPr>
        <w:t>licensees</w:t>
      </w:r>
      <w:r w:rsidR="004A41ED" w:rsidRPr="00F07FEE">
        <w:rPr>
          <w:rFonts w:ascii="Arial" w:hAnsi="Arial" w:cs="Arial"/>
          <w:sz w:val="22"/>
          <w:szCs w:val="22"/>
        </w:rPr>
        <w:t xml:space="preserve"> to voluntarily submit documents electronically. This system provides certificates of authority for electronic signatures with licensees, contractors, and other Government organizations.  </w:t>
      </w:r>
      <w:r w:rsidRPr="00F07FEE">
        <w:rPr>
          <w:rFonts w:ascii="Arial" w:hAnsi="Arial" w:cs="Arial"/>
          <w:sz w:val="22"/>
          <w:szCs w:val="22"/>
        </w:rPr>
        <w:t xml:space="preserve">It is estimated that </w:t>
      </w:r>
      <w:r w:rsidRPr="000B5E7A">
        <w:rPr>
          <w:rFonts w:ascii="Arial" w:hAnsi="Arial" w:cs="Arial"/>
          <w:sz w:val="22"/>
          <w:szCs w:val="22"/>
        </w:rPr>
        <w:t>approximately</w:t>
      </w:r>
      <w:r w:rsidR="000B5E7A" w:rsidRPr="000B5E7A">
        <w:rPr>
          <w:rFonts w:ascii="Arial" w:hAnsi="Arial" w:cs="Arial"/>
          <w:sz w:val="22"/>
          <w:szCs w:val="22"/>
        </w:rPr>
        <w:t xml:space="preserve"> 100 percent</w:t>
      </w:r>
      <w:r w:rsidR="00462B8B" w:rsidRPr="000B5E7A">
        <w:rPr>
          <w:rFonts w:ascii="Arial" w:hAnsi="Arial" w:cs="Arial"/>
          <w:sz w:val="22"/>
          <w:szCs w:val="22"/>
        </w:rPr>
        <w:t xml:space="preserve"> </w:t>
      </w:r>
      <w:r w:rsidRPr="000B5E7A">
        <w:rPr>
          <w:rFonts w:ascii="Arial" w:hAnsi="Arial" w:cs="Arial"/>
          <w:sz w:val="22"/>
          <w:szCs w:val="22"/>
        </w:rPr>
        <w:t>of the potential responses are filed electronically.</w:t>
      </w:r>
    </w:p>
    <w:p w14:paraId="4FF25508" w14:textId="77777777" w:rsidR="004A41ED" w:rsidRPr="00F07FEE" w:rsidRDefault="004A41ED" w:rsidP="004A41ED">
      <w:pPr>
        <w:widowControl w:val="0"/>
        <w:ind w:left="1080"/>
        <w:rPr>
          <w:rFonts w:ascii="Arial" w:hAnsi="Arial" w:cs="Arial"/>
          <w:sz w:val="22"/>
          <w:szCs w:val="22"/>
          <w:u w:val="single"/>
        </w:rPr>
      </w:pPr>
    </w:p>
    <w:p w14:paraId="1EB4FDA2" w14:textId="77777777" w:rsidR="002A64F1" w:rsidRPr="00F07FEE" w:rsidRDefault="002A64F1" w:rsidP="002A64F1">
      <w:pPr>
        <w:widowControl w:val="0"/>
        <w:numPr>
          <w:ilvl w:val="0"/>
          <w:numId w:val="3"/>
        </w:numPr>
        <w:rPr>
          <w:rFonts w:ascii="Arial" w:hAnsi="Arial" w:cs="Arial"/>
          <w:sz w:val="22"/>
          <w:szCs w:val="22"/>
          <w:u w:val="single"/>
        </w:rPr>
      </w:pPr>
      <w:r w:rsidRPr="00F07FEE">
        <w:rPr>
          <w:rFonts w:ascii="Arial" w:hAnsi="Arial" w:cs="Arial"/>
          <w:sz w:val="22"/>
          <w:szCs w:val="22"/>
          <w:u w:val="single"/>
        </w:rPr>
        <w:t>Effort to Identify Duplication and Use Similar Information</w:t>
      </w:r>
    </w:p>
    <w:p w14:paraId="2072EEA5" w14:textId="77777777" w:rsidR="002A64F1" w:rsidRPr="00F07FEE" w:rsidRDefault="002A64F1" w:rsidP="002A64F1">
      <w:pPr>
        <w:widowControl w:val="0"/>
        <w:rPr>
          <w:rFonts w:ascii="Arial" w:hAnsi="Arial" w:cs="Arial"/>
          <w:sz w:val="22"/>
          <w:szCs w:val="22"/>
          <w:u w:val="single"/>
        </w:rPr>
      </w:pPr>
    </w:p>
    <w:p w14:paraId="7439EBA8" w14:textId="4C72D8B3" w:rsidR="005870CD" w:rsidRPr="00F07FEE" w:rsidRDefault="00530D12" w:rsidP="005870CD">
      <w:pPr>
        <w:widowControl w:val="0"/>
        <w:ind w:left="1080"/>
        <w:rPr>
          <w:rFonts w:ascii="Arial" w:hAnsi="Arial" w:cs="Arial"/>
          <w:sz w:val="22"/>
          <w:szCs w:val="22"/>
        </w:rPr>
      </w:pPr>
      <w:r>
        <w:rPr>
          <w:rFonts w:ascii="Arial" w:hAnsi="Arial" w:cs="Arial"/>
          <w:sz w:val="22"/>
          <w:szCs w:val="22"/>
        </w:rPr>
        <w:t xml:space="preserve">The information being requested may </w:t>
      </w:r>
      <w:r w:rsidR="00A35090">
        <w:rPr>
          <w:rFonts w:ascii="Arial" w:hAnsi="Arial" w:cs="Arial"/>
          <w:sz w:val="22"/>
          <w:szCs w:val="22"/>
        </w:rPr>
        <w:t xml:space="preserve">possibly </w:t>
      </w:r>
      <w:r>
        <w:rPr>
          <w:rFonts w:ascii="Arial" w:hAnsi="Arial" w:cs="Arial"/>
          <w:sz w:val="22"/>
          <w:szCs w:val="22"/>
        </w:rPr>
        <w:t>be found in docketed documents submitted to the NRC, and provisions have been made in the generic letter to allow licensees to refer</w:t>
      </w:r>
      <w:r w:rsidR="00A1628F">
        <w:rPr>
          <w:rFonts w:ascii="Arial" w:hAnsi="Arial" w:cs="Arial"/>
          <w:sz w:val="22"/>
          <w:szCs w:val="22"/>
        </w:rPr>
        <w:t xml:space="preserve">ence these documents in response to the generic letter.  </w:t>
      </w:r>
      <w:r w:rsidR="00D871AC" w:rsidRPr="00F07FEE">
        <w:rPr>
          <w:rFonts w:ascii="Arial" w:hAnsi="Arial" w:cs="Arial"/>
          <w:sz w:val="22"/>
          <w:szCs w:val="22"/>
        </w:rPr>
        <w:t>No</w:t>
      </w:r>
      <w:r w:rsidR="00A1628F">
        <w:rPr>
          <w:rFonts w:ascii="Arial" w:hAnsi="Arial" w:cs="Arial"/>
          <w:sz w:val="22"/>
          <w:szCs w:val="22"/>
        </w:rPr>
        <w:t xml:space="preserve"> other</w:t>
      </w:r>
      <w:r w:rsidR="00D871AC" w:rsidRPr="00F07FEE">
        <w:rPr>
          <w:rFonts w:ascii="Arial" w:hAnsi="Arial" w:cs="Arial"/>
          <w:sz w:val="22"/>
          <w:szCs w:val="22"/>
        </w:rPr>
        <w:t xml:space="preserve"> sources of </w:t>
      </w:r>
      <w:r w:rsidR="00A35090">
        <w:rPr>
          <w:rFonts w:ascii="Arial" w:hAnsi="Arial" w:cs="Arial"/>
          <w:sz w:val="22"/>
          <w:szCs w:val="22"/>
        </w:rPr>
        <w:t>the requested</w:t>
      </w:r>
      <w:r w:rsidR="00D871AC" w:rsidRPr="00F07FEE">
        <w:rPr>
          <w:rFonts w:ascii="Arial" w:hAnsi="Arial" w:cs="Arial"/>
          <w:sz w:val="22"/>
          <w:szCs w:val="22"/>
        </w:rPr>
        <w:t xml:space="preserve"> information are available</w:t>
      </w:r>
      <w:r w:rsidR="00A1628F">
        <w:rPr>
          <w:rFonts w:ascii="Arial" w:hAnsi="Arial" w:cs="Arial"/>
          <w:sz w:val="22"/>
          <w:szCs w:val="22"/>
        </w:rPr>
        <w:t xml:space="preserve"> to the NRC</w:t>
      </w:r>
      <w:r w:rsidR="00D871AC" w:rsidRPr="00F07FEE">
        <w:rPr>
          <w:rFonts w:ascii="Arial" w:hAnsi="Arial" w:cs="Arial"/>
          <w:sz w:val="22"/>
          <w:szCs w:val="22"/>
        </w:rPr>
        <w:t xml:space="preserve">.  There is no duplication of requirements.  NRC has an ongoing program </w:t>
      </w:r>
      <w:r w:rsidR="000B5E7A" w:rsidRPr="00F07FEE">
        <w:rPr>
          <w:rFonts w:ascii="Arial" w:hAnsi="Arial" w:cs="Arial"/>
          <w:sz w:val="22"/>
          <w:szCs w:val="22"/>
        </w:rPr>
        <w:t xml:space="preserve">in place </w:t>
      </w:r>
      <w:r w:rsidR="00D871AC" w:rsidRPr="00F07FEE">
        <w:rPr>
          <w:rFonts w:ascii="Arial" w:hAnsi="Arial" w:cs="Arial"/>
          <w:sz w:val="22"/>
          <w:szCs w:val="22"/>
        </w:rPr>
        <w:t>to examine all information collections with the goal of eliminating all duplication and/or unnecessary information collections.</w:t>
      </w:r>
    </w:p>
    <w:p w14:paraId="6D128351" w14:textId="77777777" w:rsidR="005870CD" w:rsidRPr="00F07FEE" w:rsidRDefault="005870CD" w:rsidP="005870CD">
      <w:pPr>
        <w:widowControl w:val="0"/>
        <w:ind w:left="1080"/>
        <w:rPr>
          <w:rFonts w:ascii="Arial" w:hAnsi="Arial" w:cs="Arial"/>
          <w:sz w:val="22"/>
          <w:szCs w:val="22"/>
        </w:rPr>
      </w:pPr>
    </w:p>
    <w:p w14:paraId="7A449ADB" w14:textId="3C4B9930" w:rsidR="005870CD" w:rsidRPr="00F07FEE" w:rsidRDefault="005870CD" w:rsidP="005870CD">
      <w:pPr>
        <w:widowControl w:val="0"/>
        <w:ind w:left="1080"/>
        <w:rPr>
          <w:rFonts w:ascii="Arial" w:hAnsi="Arial" w:cs="Arial"/>
          <w:sz w:val="22"/>
          <w:szCs w:val="22"/>
        </w:rPr>
      </w:pPr>
      <w:r w:rsidRPr="00F07FEE">
        <w:rPr>
          <w:rFonts w:ascii="Arial" w:hAnsi="Arial" w:cs="Arial"/>
          <w:sz w:val="22"/>
          <w:szCs w:val="22"/>
        </w:rPr>
        <w:lastRenderedPageBreak/>
        <w:t xml:space="preserve">The information request is based </w:t>
      </w:r>
      <w:r w:rsidR="00D26D64" w:rsidRPr="00F07FEE">
        <w:rPr>
          <w:rFonts w:ascii="Arial" w:hAnsi="Arial" w:cs="Arial"/>
          <w:sz w:val="22"/>
          <w:szCs w:val="22"/>
        </w:rPr>
        <w:t>upon NRC</w:t>
      </w:r>
      <w:r w:rsidR="00C92269" w:rsidRPr="00F07FEE">
        <w:rPr>
          <w:rFonts w:ascii="Arial" w:hAnsi="Arial" w:cs="Arial"/>
          <w:sz w:val="22"/>
          <w:szCs w:val="22"/>
        </w:rPr>
        <w:t xml:space="preserve"> regulations and specific license requiremen</w:t>
      </w:r>
      <w:r w:rsidR="00D26D64">
        <w:rPr>
          <w:rFonts w:ascii="Arial" w:hAnsi="Arial" w:cs="Arial"/>
          <w:sz w:val="22"/>
          <w:szCs w:val="22"/>
        </w:rPr>
        <w:t xml:space="preserve">ts to ensure safe operation of </w:t>
      </w:r>
      <w:r w:rsidR="00A1628F">
        <w:rPr>
          <w:rFonts w:ascii="Arial" w:hAnsi="Arial" w:cs="Arial"/>
          <w:sz w:val="22"/>
          <w:szCs w:val="22"/>
        </w:rPr>
        <w:t>power and non-power reactors</w:t>
      </w:r>
      <w:r w:rsidR="00C92269" w:rsidRPr="00F07FEE">
        <w:rPr>
          <w:rFonts w:ascii="Arial" w:hAnsi="Arial" w:cs="Arial"/>
          <w:sz w:val="22"/>
          <w:szCs w:val="22"/>
        </w:rPr>
        <w:t>.</w:t>
      </w:r>
      <w:r w:rsidRPr="00F07FEE">
        <w:rPr>
          <w:rFonts w:ascii="Arial" w:hAnsi="Arial" w:cs="Arial"/>
          <w:sz w:val="22"/>
          <w:szCs w:val="22"/>
        </w:rPr>
        <w:t xml:space="preserve">  It requests </w:t>
      </w:r>
      <w:r w:rsidR="000B5E7A">
        <w:rPr>
          <w:rFonts w:ascii="Arial" w:hAnsi="Arial" w:cs="Arial"/>
          <w:sz w:val="22"/>
          <w:szCs w:val="22"/>
        </w:rPr>
        <w:t xml:space="preserve">that </w:t>
      </w:r>
      <w:r w:rsidRPr="00F07FEE">
        <w:rPr>
          <w:rFonts w:ascii="Arial" w:hAnsi="Arial" w:cs="Arial"/>
          <w:sz w:val="22"/>
          <w:szCs w:val="22"/>
        </w:rPr>
        <w:t xml:space="preserve">licensees </w:t>
      </w:r>
      <w:r w:rsidR="00357588" w:rsidRPr="00F07FEE">
        <w:rPr>
          <w:rFonts w:ascii="Arial" w:hAnsi="Arial" w:cs="Arial"/>
          <w:sz w:val="22"/>
          <w:szCs w:val="22"/>
        </w:rPr>
        <w:t xml:space="preserve">submit information to demonstrate compliance with regulatory requirements and applicable license conditions regarding </w:t>
      </w:r>
      <w:r w:rsidR="00A1628F">
        <w:rPr>
          <w:rFonts w:ascii="Arial" w:hAnsi="Arial" w:cs="Arial"/>
          <w:sz w:val="22"/>
          <w:szCs w:val="22"/>
        </w:rPr>
        <w:t xml:space="preserve">monitoring of neutron-absorbing materials that is credited in meeting NRC </w:t>
      </w:r>
      <w:proofErr w:type="spellStart"/>
      <w:r w:rsidR="00A1628F">
        <w:rPr>
          <w:rFonts w:ascii="Arial" w:hAnsi="Arial" w:cs="Arial"/>
          <w:sz w:val="22"/>
          <w:szCs w:val="22"/>
        </w:rPr>
        <w:t>subcriticality</w:t>
      </w:r>
      <w:proofErr w:type="spellEnd"/>
      <w:r w:rsidR="00A1628F">
        <w:rPr>
          <w:rFonts w:ascii="Arial" w:hAnsi="Arial" w:cs="Arial"/>
          <w:sz w:val="22"/>
          <w:szCs w:val="22"/>
        </w:rPr>
        <w:t xml:space="preserve"> requirements related to fuel storage</w:t>
      </w:r>
      <w:r w:rsidRPr="00F07FEE">
        <w:rPr>
          <w:rFonts w:ascii="Arial" w:hAnsi="Arial" w:cs="Arial"/>
          <w:sz w:val="22"/>
          <w:szCs w:val="22"/>
        </w:rPr>
        <w:t xml:space="preserve">.  This type of information is not </w:t>
      </w:r>
      <w:r w:rsidR="00A1628F">
        <w:rPr>
          <w:rFonts w:ascii="Arial" w:hAnsi="Arial" w:cs="Arial"/>
          <w:sz w:val="22"/>
          <w:szCs w:val="22"/>
        </w:rPr>
        <w:t>readily</w:t>
      </w:r>
      <w:r w:rsidRPr="00F07FEE">
        <w:rPr>
          <w:rFonts w:ascii="Arial" w:hAnsi="Arial" w:cs="Arial"/>
          <w:sz w:val="22"/>
          <w:szCs w:val="22"/>
        </w:rPr>
        <w:t xml:space="preserve"> available to the NRC</w:t>
      </w:r>
      <w:r w:rsidR="00852CF7">
        <w:rPr>
          <w:rFonts w:ascii="Arial" w:hAnsi="Arial" w:cs="Arial"/>
          <w:sz w:val="22"/>
          <w:szCs w:val="22"/>
        </w:rPr>
        <w:t xml:space="preserve"> on a generic basis</w:t>
      </w:r>
      <w:r w:rsidRPr="00F07FEE">
        <w:rPr>
          <w:rFonts w:ascii="Arial" w:hAnsi="Arial" w:cs="Arial"/>
          <w:sz w:val="22"/>
          <w:szCs w:val="22"/>
        </w:rPr>
        <w:t xml:space="preserve">.  </w:t>
      </w:r>
    </w:p>
    <w:p w14:paraId="34F5BB12" w14:textId="77777777" w:rsidR="005870CD" w:rsidRPr="00F07FEE" w:rsidRDefault="005870CD" w:rsidP="002A64F1">
      <w:pPr>
        <w:widowControl w:val="0"/>
        <w:rPr>
          <w:rFonts w:ascii="Arial" w:hAnsi="Arial" w:cs="Arial"/>
          <w:sz w:val="22"/>
          <w:szCs w:val="22"/>
          <w:u w:val="single"/>
        </w:rPr>
      </w:pPr>
    </w:p>
    <w:p w14:paraId="52167096" w14:textId="77777777" w:rsidR="002A64F1" w:rsidRPr="00E069C0" w:rsidRDefault="002A64F1" w:rsidP="002A64F1">
      <w:pPr>
        <w:widowControl w:val="0"/>
        <w:numPr>
          <w:ilvl w:val="0"/>
          <w:numId w:val="3"/>
        </w:numPr>
        <w:rPr>
          <w:rFonts w:ascii="Arial" w:hAnsi="Arial" w:cs="Arial"/>
          <w:sz w:val="22"/>
          <w:szCs w:val="22"/>
        </w:rPr>
      </w:pPr>
      <w:r w:rsidRPr="00F07FEE">
        <w:rPr>
          <w:rFonts w:ascii="Arial" w:hAnsi="Arial" w:cs="Arial"/>
          <w:sz w:val="22"/>
          <w:szCs w:val="22"/>
          <w:u w:val="single"/>
        </w:rPr>
        <w:t>Effort to Reduce Small Business Burden</w:t>
      </w:r>
    </w:p>
    <w:p w14:paraId="0709E35E" w14:textId="77777777" w:rsidR="00E069C0" w:rsidRDefault="00E069C0" w:rsidP="00E069C0">
      <w:pPr>
        <w:pStyle w:val="ListParagraph"/>
        <w:widowControl w:val="0"/>
        <w:ind w:left="1080"/>
      </w:pPr>
    </w:p>
    <w:p w14:paraId="7ED072A0" w14:textId="77777777" w:rsidR="00E069C0" w:rsidRPr="00E069C0" w:rsidRDefault="00E069C0" w:rsidP="00E069C0">
      <w:pPr>
        <w:pStyle w:val="ListParagraph"/>
        <w:widowControl w:val="0"/>
        <w:ind w:left="1080"/>
      </w:pPr>
      <w:r w:rsidRPr="00E069C0">
        <w:t>None of the licensees responding to this collection are small businesses.</w:t>
      </w:r>
    </w:p>
    <w:p w14:paraId="24A45480" w14:textId="77777777" w:rsidR="00E069C0" w:rsidRDefault="00E069C0" w:rsidP="00E069C0">
      <w:pPr>
        <w:widowControl w:val="0"/>
        <w:ind w:left="1080"/>
        <w:rPr>
          <w:rFonts w:ascii="Arial" w:hAnsi="Arial" w:cs="Arial"/>
          <w:sz w:val="22"/>
          <w:szCs w:val="22"/>
        </w:rPr>
      </w:pPr>
    </w:p>
    <w:p w14:paraId="4CCF6674" w14:textId="77777777" w:rsidR="00E069C0" w:rsidRPr="00E069C0" w:rsidRDefault="00E069C0" w:rsidP="00E069C0">
      <w:pPr>
        <w:pStyle w:val="ListParagraph"/>
        <w:widowControl w:val="0"/>
        <w:numPr>
          <w:ilvl w:val="0"/>
          <w:numId w:val="3"/>
        </w:numPr>
        <w:rPr>
          <w:u w:val="single"/>
        </w:rPr>
      </w:pPr>
      <w:r w:rsidRPr="00E069C0">
        <w:rPr>
          <w:u w:val="single"/>
        </w:rPr>
        <w:t>Consequences to Federal Program or Policy Activities if the Collection is Not Conducted or is Conducted Less Frequently</w:t>
      </w:r>
    </w:p>
    <w:p w14:paraId="222FC748" w14:textId="77777777" w:rsidR="002A64F1" w:rsidRPr="00F07FEE" w:rsidRDefault="002A64F1" w:rsidP="002A64F1">
      <w:pPr>
        <w:widowControl w:val="0"/>
        <w:rPr>
          <w:rFonts w:ascii="Arial" w:hAnsi="Arial" w:cs="Arial"/>
          <w:sz w:val="22"/>
          <w:szCs w:val="22"/>
        </w:rPr>
      </w:pPr>
    </w:p>
    <w:p w14:paraId="1DFCCE7B" w14:textId="77777777" w:rsidR="002A64F1" w:rsidRPr="00F07FEE" w:rsidRDefault="005870CD" w:rsidP="00871148">
      <w:pPr>
        <w:widowControl w:val="0"/>
        <w:ind w:left="1080"/>
        <w:rPr>
          <w:rFonts w:ascii="Arial" w:hAnsi="Arial" w:cs="Arial"/>
          <w:sz w:val="22"/>
          <w:szCs w:val="22"/>
        </w:rPr>
      </w:pPr>
      <w:r w:rsidRPr="00F07FEE">
        <w:rPr>
          <w:rFonts w:ascii="Arial" w:hAnsi="Arial" w:cs="Arial"/>
          <w:sz w:val="22"/>
          <w:szCs w:val="22"/>
        </w:rPr>
        <w:t xml:space="preserve">As described in the justification for this action, the NRC considers this information </w:t>
      </w:r>
      <w:r w:rsidR="005D350E" w:rsidRPr="00F07FEE">
        <w:rPr>
          <w:rFonts w:ascii="Arial" w:hAnsi="Arial" w:cs="Arial"/>
          <w:sz w:val="22"/>
          <w:szCs w:val="22"/>
        </w:rPr>
        <w:t xml:space="preserve">to be </w:t>
      </w:r>
      <w:r w:rsidRPr="00F07FEE">
        <w:rPr>
          <w:rFonts w:ascii="Arial" w:hAnsi="Arial" w:cs="Arial"/>
          <w:sz w:val="22"/>
          <w:szCs w:val="22"/>
        </w:rPr>
        <w:t xml:space="preserve">critical to its mission.  </w:t>
      </w:r>
      <w:r w:rsidR="00694CB5" w:rsidRPr="00F07FEE">
        <w:rPr>
          <w:rFonts w:ascii="Arial" w:hAnsi="Arial" w:cs="Arial"/>
          <w:sz w:val="22"/>
          <w:szCs w:val="22"/>
        </w:rPr>
        <w:t>The NRC is required by the Atomic Energy Act to verify that licensees are in compliance with the regulations and license conditions.  Compliance with the regulations provides reasonable assurance of public health and safety.</w:t>
      </w:r>
    </w:p>
    <w:p w14:paraId="0689F671" w14:textId="77777777" w:rsidR="007F73CD" w:rsidRPr="00F07FEE" w:rsidRDefault="007F73CD" w:rsidP="00871148">
      <w:pPr>
        <w:widowControl w:val="0"/>
        <w:ind w:left="1080"/>
        <w:rPr>
          <w:rFonts w:ascii="Arial" w:hAnsi="Arial" w:cs="Arial"/>
          <w:sz w:val="22"/>
          <w:szCs w:val="22"/>
        </w:rPr>
      </w:pPr>
    </w:p>
    <w:p w14:paraId="75BFF18A" w14:textId="77777777" w:rsidR="002A64F1" w:rsidRPr="00F07FEE" w:rsidRDefault="002A64F1" w:rsidP="002A64F1">
      <w:pPr>
        <w:widowControl w:val="0"/>
        <w:numPr>
          <w:ilvl w:val="0"/>
          <w:numId w:val="3"/>
        </w:numPr>
        <w:rPr>
          <w:rFonts w:ascii="Arial" w:hAnsi="Arial" w:cs="Arial"/>
          <w:sz w:val="22"/>
          <w:szCs w:val="22"/>
          <w:u w:val="single"/>
        </w:rPr>
      </w:pPr>
      <w:r w:rsidRPr="00F07FEE">
        <w:rPr>
          <w:rFonts w:ascii="Arial" w:hAnsi="Arial" w:cs="Arial"/>
          <w:sz w:val="22"/>
          <w:szCs w:val="22"/>
          <w:u w:val="single"/>
        </w:rPr>
        <w:t>Circumstances Which Justify Variation from OMB Guidelines</w:t>
      </w:r>
    </w:p>
    <w:p w14:paraId="5FA22694" w14:textId="77777777" w:rsidR="002A64F1" w:rsidRPr="00F07FEE" w:rsidRDefault="002A64F1" w:rsidP="002A64F1">
      <w:pPr>
        <w:widowControl w:val="0"/>
        <w:rPr>
          <w:rFonts w:ascii="Arial" w:hAnsi="Arial" w:cs="Arial"/>
          <w:sz w:val="22"/>
          <w:szCs w:val="22"/>
          <w:u w:val="single"/>
        </w:rPr>
      </w:pPr>
    </w:p>
    <w:p w14:paraId="6AAEE7E3" w14:textId="77777777" w:rsidR="002A64F1" w:rsidRPr="00F07FEE" w:rsidRDefault="00A1628F" w:rsidP="00871148">
      <w:pPr>
        <w:widowControl w:val="0"/>
        <w:ind w:left="1080"/>
        <w:rPr>
          <w:rFonts w:ascii="Arial" w:hAnsi="Arial" w:cs="Arial"/>
          <w:sz w:val="22"/>
          <w:szCs w:val="22"/>
        </w:rPr>
      </w:pPr>
      <w:r>
        <w:rPr>
          <w:rFonts w:ascii="Arial" w:hAnsi="Arial" w:cs="Arial"/>
          <w:sz w:val="22"/>
          <w:szCs w:val="22"/>
        </w:rPr>
        <w:t>Not a</w:t>
      </w:r>
      <w:r w:rsidR="00536F54" w:rsidRPr="00F07FEE">
        <w:rPr>
          <w:rFonts w:ascii="Arial" w:hAnsi="Arial" w:cs="Arial"/>
          <w:sz w:val="22"/>
          <w:szCs w:val="22"/>
        </w:rPr>
        <w:t>pplicable</w:t>
      </w:r>
      <w:r>
        <w:rPr>
          <w:rFonts w:ascii="Arial" w:hAnsi="Arial" w:cs="Arial"/>
          <w:sz w:val="22"/>
          <w:szCs w:val="22"/>
        </w:rPr>
        <w:t>.</w:t>
      </w:r>
    </w:p>
    <w:p w14:paraId="5302CD6D" w14:textId="77777777" w:rsidR="00871148" w:rsidRPr="00F07FEE" w:rsidRDefault="00871148" w:rsidP="002A64F1">
      <w:pPr>
        <w:widowControl w:val="0"/>
        <w:rPr>
          <w:rFonts w:ascii="Arial" w:hAnsi="Arial" w:cs="Arial"/>
          <w:sz w:val="22"/>
          <w:szCs w:val="22"/>
          <w:u w:val="single"/>
        </w:rPr>
      </w:pPr>
    </w:p>
    <w:p w14:paraId="2D8F9FE5" w14:textId="77777777" w:rsidR="002A64F1" w:rsidRPr="00F07FEE" w:rsidRDefault="002A64F1" w:rsidP="002A64F1">
      <w:pPr>
        <w:numPr>
          <w:ilvl w:val="0"/>
          <w:numId w:val="3"/>
        </w:numPr>
        <w:rPr>
          <w:rFonts w:ascii="Arial" w:hAnsi="Arial" w:cs="Arial"/>
          <w:sz w:val="22"/>
          <w:szCs w:val="22"/>
        </w:rPr>
      </w:pPr>
      <w:r w:rsidRPr="00F07FEE">
        <w:rPr>
          <w:rFonts w:ascii="Arial" w:hAnsi="Arial" w:cs="Arial"/>
          <w:sz w:val="22"/>
          <w:szCs w:val="22"/>
          <w:u w:val="single"/>
        </w:rPr>
        <w:t>Consultations Outside the NRC</w:t>
      </w:r>
    </w:p>
    <w:p w14:paraId="79F5F119" w14:textId="77777777" w:rsidR="002A64F1" w:rsidRPr="00F07FEE" w:rsidRDefault="002A64F1" w:rsidP="002A64F1">
      <w:pPr>
        <w:rPr>
          <w:rFonts w:ascii="Arial" w:hAnsi="Arial" w:cs="Arial"/>
          <w:sz w:val="22"/>
          <w:szCs w:val="22"/>
          <w:u w:val="single"/>
        </w:rPr>
      </w:pPr>
    </w:p>
    <w:p w14:paraId="61ABCAC4" w14:textId="77777777" w:rsidR="00942055" w:rsidRPr="00942055" w:rsidRDefault="00942055" w:rsidP="00942055">
      <w:pPr>
        <w:ind w:left="1080"/>
        <w:rPr>
          <w:rFonts w:ascii="Arial" w:hAnsi="Arial" w:cs="Arial"/>
          <w:sz w:val="22"/>
          <w:szCs w:val="22"/>
        </w:rPr>
      </w:pPr>
      <w:r w:rsidRPr="00942055">
        <w:rPr>
          <w:rFonts w:ascii="Arial" w:hAnsi="Arial" w:cs="Arial"/>
          <w:sz w:val="22"/>
          <w:szCs w:val="22"/>
        </w:rPr>
        <w:t xml:space="preserve">The opportunity for public comment on the information collection requirements for this clearance package was published in the </w:t>
      </w:r>
      <w:r w:rsidRPr="00942055">
        <w:rPr>
          <w:rFonts w:ascii="Arial" w:hAnsi="Arial" w:cs="Arial"/>
          <w:i/>
          <w:sz w:val="22"/>
          <w:szCs w:val="22"/>
        </w:rPr>
        <w:t>Federal Register</w:t>
      </w:r>
      <w:r w:rsidRPr="00942055">
        <w:rPr>
          <w:rFonts w:ascii="Arial" w:hAnsi="Arial" w:cs="Arial"/>
          <w:sz w:val="22"/>
          <w:szCs w:val="22"/>
        </w:rPr>
        <w:t xml:space="preserve"> on June 4, 2015, (80 FR 31930), which resulted in five public comments.</w:t>
      </w:r>
    </w:p>
    <w:p w14:paraId="168EA370" w14:textId="77777777" w:rsidR="00942055" w:rsidRPr="00942055" w:rsidRDefault="00942055" w:rsidP="00942055">
      <w:pPr>
        <w:ind w:left="1080"/>
        <w:rPr>
          <w:rFonts w:ascii="Arial" w:hAnsi="Arial" w:cs="Arial"/>
          <w:sz w:val="22"/>
          <w:szCs w:val="22"/>
        </w:rPr>
      </w:pPr>
    </w:p>
    <w:p w14:paraId="6F8AF199" w14:textId="366BB5F7" w:rsidR="00942055" w:rsidRPr="00942055" w:rsidRDefault="00942055" w:rsidP="00942055">
      <w:pPr>
        <w:ind w:left="1080"/>
        <w:rPr>
          <w:rFonts w:ascii="Arial" w:hAnsi="Arial" w:cs="Arial"/>
          <w:sz w:val="22"/>
          <w:szCs w:val="22"/>
        </w:rPr>
      </w:pPr>
      <w:r w:rsidRPr="00942055">
        <w:rPr>
          <w:rFonts w:ascii="Arial" w:hAnsi="Arial" w:cs="Arial"/>
          <w:sz w:val="22"/>
          <w:szCs w:val="22"/>
        </w:rPr>
        <w:t>The public comments filed in response to the June 2015 publication, which requested comments associated with the burden to respond to the final generic letter, indicated that the licensees still believed that the estimates for the expected licensee burden and number of days to respond were too low.  The NRC staff increased the response time from 120 days to 210 days to address concerns that a significant number of licensees would be entering fall refueling outages and the holiday season, which would limit available resources.  The public comments related to the estimated burden to respond to the generic letter showed that licensees were expecting to do significant amounts of work to generate new information or verify the non-existence of specific items.  The NRC position is that all records necessary to demonstrate compliance with regulatory requirements should be readily available, in accordance with the recordkeeping requirements in Appendix B of 10 CFR 50.  Therefore, licensees are only expected to do a reasonable search of existing records.  If there is information that cannot easily be produced because it is not part of the plant’s licensing basis, then a response to that effect is sufficient.</w:t>
      </w:r>
    </w:p>
    <w:p w14:paraId="7746BB43" w14:textId="77777777" w:rsidR="00942055" w:rsidRPr="00942055" w:rsidRDefault="00942055" w:rsidP="00942055">
      <w:pPr>
        <w:ind w:left="1080"/>
        <w:rPr>
          <w:rFonts w:ascii="Arial" w:hAnsi="Arial" w:cs="Arial"/>
          <w:sz w:val="22"/>
          <w:szCs w:val="22"/>
        </w:rPr>
      </w:pPr>
    </w:p>
    <w:p w14:paraId="4D0A8328" w14:textId="77777777" w:rsidR="00942055" w:rsidRPr="00942055" w:rsidRDefault="00942055" w:rsidP="00942055">
      <w:pPr>
        <w:ind w:left="1080"/>
        <w:rPr>
          <w:rFonts w:ascii="Arial" w:hAnsi="Arial" w:cs="Arial"/>
          <w:sz w:val="22"/>
          <w:szCs w:val="22"/>
        </w:rPr>
      </w:pPr>
      <w:r w:rsidRPr="00942055">
        <w:rPr>
          <w:rFonts w:ascii="Arial" w:hAnsi="Arial" w:cs="Arial"/>
          <w:sz w:val="22"/>
          <w:szCs w:val="22"/>
        </w:rPr>
        <w:t xml:space="preserve">In addition, the NRC sent a public consultation e-mail to solicit public comments from the following stakeholders: Entergy, Southern Nuclear, Dominion, National Institute </w:t>
      </w:r>
      <w:r w:rsidRPr="00942055">
        <w:rPr>
          <w:rFonts w:ascii="Arial" w:hAnsi="Arial" w:cs="Arial"/>
          <w:sz w:val="22"/>
          <w:szCs w:val="22"/>
        </w:rPr>
        <w:lastRenderedPageBreak/>
        <w:t>of Science and Technology, Electric Power Research Institute and Nuclear Energy Institute.  There were no public comments received from these stakeholders via e</w:t>
      </w:r>
      <w:r w:rsidRPr="00942055">
        <w:rPr>
          <w:rFonts w:ascii="Arial" w:hAnsi="Arial" w:cs="Arial"/>
          <w:sz w:val="22"/>
          <w:szCs w:val="22"/>
        </w:rPr>
        <w:noBreakHyphen/>
        <w:t xml:space="preserve">mail; however, Entergy and Nuclear Energy Institute submitted comments during the public comment period associated with the June 2015 </w:t>
      </w:r>
      <w:r w:rsidRPr="00942055">
        <w:rPr>
          <w:rFonts w:ascii="Arial" w:hAnsi="Arial" w:cs="Arial"/>
          <w:i/>
          <w:sz w:val="22"/>
          <w:szCs w:val="22"/>
        </w:rPr>
        <w:t>Federal Register</w:t>
      </w:r>
      <w:r w:rsidRPr="00942055">
        <w:rPr>
          <w:rFonts w:ascii="Arial" w:hAnsi="Arial" w:cs="Arial"/>
          <w:sz w:val="22"/>
          <w:szCs w:val="22"/>
        </w:rPr>
        <w:t xml:space="preserve"> publication.  The staff was unable to determine if the public consultation e-mail encouraged their participation.</w:t>
      </w:r>
    </w:p>
    <w:p w14:paraId="2756822E" w14:textId="77777777" w:rsidR="00942055" w:rsidRPr="00942055" w:rsidRDefault="00942055" w:rsidP="00942055">
      <w:pPr>
        <w:ind w:left="1080"/>
        <w:rPr>
          <w:rFonts w:ascii="Arial" w:hAnsi="Arial" w:cs="Arial"/>
          <w:sz w:val="22"/>
          <w:szCs w:val="22"/>
        </w:rPr>
      </w:pPr>
    </w:p>
    <w:p w14:paraId="1AD5F406" w14:textId="77777777" w:rsidR="00942055" w:rsidRPr="00942055" w:rsidRDefault="00942055" w:rsidP="00942055">
      <w:pPr>
        <w:ind w:left="1080"/>
        <w:rPr>
          <w:rFonts w:ascii="Arial" w:hAnsi="Arial" w:cs="Arial"/>
          <w:sz w:val="22"/>
          <w:szCs w:val="22"/>
        </w:rPr>
      </w:pPr>
      <w:r w:rsidRPr="00942055">
        <w:rPr>
          <w:rFonts w:ascii="Arial" w:hAnsi="Arial" w:cs="Arial"/>
          <w:sz w:val="22"/>
          <w:szCs w:val="22"/>
        </w:rPr>
        <w:t xml:space="preserve">Additionally, the NRC published a draft version of this generic letter in the </w:t>
      </w:r>
      <w:r w:rsidRPr="00942055">
        <w:rPr>
          <w:rFonts w:ascii="Arial" w:hAnsi="Arial" w:cs="Arial"/>
          <w:i/>
          <w:sz w:val="22"/>
          <w:szCs w:val="22"/>
        </w:rPr>
        <w:t>Federal Register</w:t>
      </w:r>
      <w:r w:rsidRPr="00942055">
        <w:rPr>
          <w:rFonts w:ascii="Arial" w:hAnsi="Arial" w:cs="Arial"/>
          <w:sz w:val="22"/>
          <w:szCs w:val="22"/>
        </w:rPr>
        <w:t xml:space="preserve"> on March 11, 2014 with a solicitation period of 60 days for public comments on the merits of the generic letter (79 FR 13685).  The agency held a public meeting during the public comment period to allow stakeholders to engage with the staff, and obtain any needed clarifications on the generic letter.  The NRC received 39 unique public comments from 11 different organizations.  The primary concerns were related to the burden on licensees, especially whether the time and resources that licensees would expend to fulfill the request for information were justified when compared to the potential safety significance of the issue.  After the staff considered all public comments, the Advisory Committee on Reactor Safeguards (ACRS) was provided with an opportunity to review and comment on the generic letter.  </w:t>
      </w:r>
    </w:p>
    <w:p w14:paraId="406368F4" w14:textId="77777777" w:rsidR="00942055" w:rsidRPr="00942055" w:rsidRDefault="00942055" w:rsidP="00942055">
      <w:pPr>
        <w:ind w:left="1080"/>
        <w:rPr>
          <w:rFonts w:ascii="Arial" w:hAnsi="Arial" w:cs="Arial"/>
          <w:sz w:val="22"/>
          <w:szCs w:val="22"/>
        </w:rPr>
      </w:pPr>
    </w:p>
    <w:p w14:paraId="357B4680" w14:textId="77777777" w:rsidR="00942055" w:rsidRPr="00942055" w:rsidRDefault="00942055" w:rsidP="00942055">
      <w:pPr>
        <w:ind w:left="1080"/>
        <w:rPr>
          <w:rFonts w:ascii="Arial" w:hAnsi="Arial" w:cs="Arial"/>
          <w:sz w:val="22"/>
          <w:szCs w:val="22"/>
        </w:rPr>
      </w:pPr>
      <w:r w:rsidRPr="00942055">
        <w:rPr>
          <w:rFonts w:ascii="Arial" w:hAnsi="Arial" w:cs="Arial"/>
          <w:sz w:val="22"/>
          <w:szCs w:val="22"/>
        </w:rPr>
        <w:t>One of the primary concerns from industry stakeholders and the ACRS was that the draft generic letter did not provide sufficient clarity on the expected scope of response from individual licensees based on the applicable concerns of NRC staff.  In particular, the ACRS recommended that the staff tailor requests based on the individual licensee’s specific neutron-absorbing material, that material’s susceptibility to degradation or deformation, and the extent to which the individual licensee credits the neutron absorbing material in its licensing basis.  In response, the NRC staff conducted two additional public meetings to discuss and address these concerns with the public and industry.  As a result of these meetings, the staff was able to develop a tiered approach that responded to the recommendation of ACRS while also satisfying both NRC staff and stakeholder concerns.</w:t>
      </w:r>
    </w:p>
    <w:p w14:paraId="1CFF435A" w14:textId="77777777" w:rsidR="00942055" w:rsidRPr="00942055" w:rsidRDefault="00942055" w:rsidP="00942055">
      <w:pPr>
        <w:ind w:left="1080"/>
        <w:rPr>
          <w:rFonts w:ascii="Arial" w:hAnsi="Arial" w:cs="Arial"/>
          <w:sz w:val="22"/>
          <w:szCs w:val="22"/>
        </w:rPr>
      </w:pPr>
    </w:p>
    <w:p w14:paraId="2FCD8CC4" w14:textId="77777777" w:rsidR="00942055" w:rsidRPr="00942055" w:rsidRDefault="00942055" w:rsidP="00942055">
      <w:pPr>
        <w:ind w:left="1080"/>
        <w:rPr>
          <w:rFonts w:ascii="Arial" w:hAnsi="Arial" w:cs="Arial"/>
          <w:sz w:val="22"/>
          <w:szCs w:val="22"/>
        </w:rPr>
      </w:pPr>
      <w:r w:rsidRPr="00942055">
        <w:rPr>
          <w:rFonts w:ascii="Arial" w:hAnsi="Arial" w:cs="Arial"/>
          <w:sz w:val="22"/>
          <w:szCs w:val="22"/>
        </w:rPr>
        <w:t xml:space="preserve">The NRC staff has taken every measure when considering the potential burden on the industry in responding to this generic letter.  In the submitted public comments responding to the March 2014 publication, licensees stated in numerous instances that they felt that the generic letter was unnecessary in light of the safety significance of the issue.  However, one commenter explicitly addressed the cumulative effect of regulations questions provided with the draft generic letter.  This response, in part, reiterated the aforementioned general position of the licensees.  The same commenter stated that due to the broad scope of the information request, the time licensees would need to respond would be much longer than NRC staff had estimated.  Another public comment associated with the draft generic letter provided an estimate of the administrative burden associated with affirmation procedures.  In response, the NRC staff increased the expected licensee burden from 120 man-hours to 170 man-hours, and extended the response time from 90 days to 120 days.  </w:t>
      </w:r>
    </w:p>
    <w:p w14:paraId="283EBC1E" w14:textId="77777777" w:rsidR="00942055" w:rsidRPr="00942055" w:rsidRDefault="00942055" w:rsidP="00942055">
      <w:pPr>
        <w:ind w:left="1080"/>
        <w:rPr>
          <w:rFonts w:ascii="Arial" w:hAnsi="Arial" w:cs="Arial"/>
          <w:sz w:val="22"/>
          <w:szCs w:val="22"/>
        </w:rPr>
      </w:pPr>
    </w:p>
    <w:p w14:paraId="2DB9C9F4" w14:textId="77777777" w:rsidR="00942055" w:rsidRPr="00942055" w:rsidRDefault="00942055" w:rsidP="00942055">
      <w:pPr>
        <w:ind w:left="1080"/>
        <w:rPr>
          <w:rFonts w:ascii="Arial" w:hAnsi="Arial" w:cs="Arial"/>
          <w:sz w:val="22"/>
          <w:szCs w:val="22"/>
        </w:rPr>
      </w:pPr>
      <w:r w:rsidRPr="00942055">
        <w:rPr>
          <w:rFonts w:ascii="Arial" w:hAnsi="Arial" w:cs="Arial"/>
          <w:sz w:val="22"/>
          <w:szCs w:val="22"/>
        </w:rPr>
        <w:t xml:space="preserve">Nevertheless, in order to further mitigate burden licensees may not have foreseen, the NRC staff recently conducted an additional public meeting to allow stakeholders to discuss options for streamlining the response process, including defining the applicability of Appendix A to specific situations, and obtaining some information </w:t>
      </w:r>
      <w:r w:rsidRPr="00942055">
        <w:rPr>
          <w:rFonts w:ascii="Arial" w:hAnsi="Arial" w:cs="Arial"/>
          <w:sz w:val="22"/>
          <w:szCs w:val="22"/>
        </w:rPr>
        <w:lastRenderedPageBreak/>
        <w:t>applicable to multiple licensees through a single submitted document.  The purpose of the meeting was to provide licensees with the opportunity to clarify their plant-specific obligations in responding to this generic letter.  There will be additional meetings as needed.  The scope of these meeting(s), however, will not change the intent of the generic letter</w:t>
      </w:r>
    </w:p>
    <w:p w14:paraId="4B85545B" w14:textId="77777777" w:rsidR="00942055" w:rsidRPr="00942055" w:rsidRDefault="00942055" w:rsidP="00942055">
      <w:pPr>
        <w:ind w:left="1080"/>
        <w:rPr>
          <w:rFonts w:ascii="Arial" w:hAnsi="Arial" w:cs="Arial"/>
          <w:sz w:val="22"/>
          <w:szCs w:val="22"/>
        </w:rPr>
      </w:pPr>
    </w:p>
    <w:p w14:paraId="5502022C" w14:textId="77777777" w:rsidR="00942055" w:rsidRPr="00942055" w:rsidRDefault="00942055" w:rsidP="00942055">
      <w:pPr>
        <w:ind w:left="1080"/>
        <w:rPr>
          <w:rFonts w:ascii="Arial" w:hAnsi="Arial" w:cs="Arial"/>
          <w:sz w:val="22"/>
          <w:szCs w:val="22"/>
        </w:rPr>
      </w:pPr>
      <w:r w:rsidRPr="00942055">
        <w:rPr>
          <w:rFonts w:ascii="Arial" w:hAnsi="Arial" w:cs="Arial"/>
          <w:sz w:val="22"/>
          <w:szCs w:val="22"/>
        </w:rPr>
        <w:t>The NRC staff will continue to coordinate with addressees to better define the expected scope for responses.  The NRC staff believes that this coordinated approach will further minimize the potential burden to licensees.</w:t>
      </w:r>
    </w:p>
    <w:p w14:paraId="7B9E138A" w14:textId="77777777" w:rsidR="00942055" w:rsidRPr="00942055" w:rsidRDefault="00942055" w:rsidP="00942055">
      <w:pPr>
        <w:ind w:left="1080"/>
        <w:rPr>
          <w:rFonts w:ascii="Arial" w:hAnsi="Arial" w:cs="Arial"/>
          <w:sz w:val="22"/>
          <w:szCs w:val="22"/>
        </w:rPr>
      </w:pPr>
    </w:p>
    <w:p w14:paraId="4D8E438A" w14:textId="77777777" w:rsidR="00942055" w:rsidRPr="00F07FEE" w:rsidRDefault="00942055" w:rsidP="00942055">
      <w:pPr>
        <w:ind w:left="1080"/>
        <w:rPr>
          <w:rFonts w:ascii="Arial" w:hAnsi="Arial" w:cs="Arial"/>
          <w:sz w:val="22"/>
          <w:szCs w:val="22"/>
        </w:rPr>
      </w:pPr>
      <w:r w:rsidRPr="00942055">
        <w:rPr>
          <w:rFonts w:ascii="Arial" w:hAnsi="Arial" w:cs="Arial"/>
          <w:sz w:val="22"/>
          <w:szCs w:val="22"/>
        </w:rPr>
        <w:t>It is important to note that the NRC staff has already had numerous interactions with stakeholders during public meetings and regulatory conferences.  All feedback obtained was considered by the NRC staff when determining the estimated burden.</w:t>
      </w:r>
    </w:p>
    <w:p w14:paraId="453ECB19" w14:textId="77777777" w:rsidR="002A64F1" w:rsidRPr="00F07FEE" w:rsidRDefault="002A64F1" w:rsidP="002A64F1">
      <w:pPr>
        <w:rPr>
          <w:rFonts w:ascii="Arial" w:hAnsi="Arial" w:cs="Arial"/>
          <w:sz w:val="22"/>
          <w:szCs w:val="22"/>
        </w:rPr>
      </w:pPr>
    </w:p>
    <w:p w14:paraId="1502524E" w14:textId="77777777" w:rsidR="002A64F1" w:rsidRPr="00F07FEE" w:rsidRDefault="002A64F1" w:rsidP="002A64F1">
      <w:pPr>
        <w:numPr>
          <w:ilvl w:val="0"/>
          <w:numId w:val="3"/>
        </w:numPr>
        <w:rPr>
          <w:rFonts w:ascii="Arial" w:hAnsi="Arial" w:cs="Arial"/>
          <w:sz w:val="22"/>
          <w:szCs w:val="22"/>
        </w:rPr>
      </w:pPr>
      <w:r w:rsidRPr="00F07FEE">
        <w:rPr>
          <w:rFonts w:ascii="Arial" w:hAnsi="Arial" w:cs="Arial"/>
          <w:sz w:val="22"/>
          <w:szCs w:val="22"/>
          <w:u w:val="single"/>
        </w:rPr>
        <w:t>Payment or Gift to Respondents</w:t>
      </w:r>
    </w:p>
    <w:p w14:paraId="151C341C" w14:textId="77777777" w:rsidR="002A64F1" w:rsidRPr="00F07FEE" w:rsidRDefault="002A64F1" w:rsidP="002A64F1">
      <w:pPr>
        <w:rPr>
          <w:rFonts w:ascii="Arial" w:hAnsi="Arial" w:cs="Arial"/>
          <w:sz w:val="22"/>
          <w:szCs w:val="22"/>
        </w:rPr>
      </w:pPr>
    </w:p>
    <w:p w14:paraId="7607CB5E" w14:textId="77777777" w:rsidR="002A64F1" w:rsidRPr="00F07FEE" w:rsidRDefault="00E600A2" w:rsidP="00D871AC">
      <w:pPr>
        <w:ind w:left="1080"/>
        <w:rPr>
          <w:rFonts w:ascii="Arial" w:hAnsi="Arial" w:cs="Arial"/>
          <w:sz w:val="22"/>
          <w:szCs w:val="22"/>
        </w:rPr>
      </w:pPr>
      <w:r>
        <w:rPr>
          <w:rFonts w:ascii="Arial" w:hAnsi="Arial" w:cs="Arial"/>
          <w:sz w:val="22"/>
          <w:szCs w:val="22"/>
        </w:rPr>
        <w:t>Not a</w:t>
      </w:r>
      <w:r w:rsidR="00536F54" w:rsidRPr="00F07FEE">
        <w:rPr>
          <w:rFonts w:ascii="Arial" w:hAnsi="Arial" w:cs="Arial"/>
          <w:sz w:val="22"/>
          <w:szCs w:val="22"/>
        </w:rPr>
        <w:t>pplicable</w:t>
      </w:r>
      <w:r>
        <w:rPr>
          <w:rFonts w:ascii="Arial" w:hAnsi="Arial" w:cs="Arial"/>
          <w:sz w:val="22"/>
          <w:szCs w:val="22"/>
        </w:rPr>
        <w:t>.</w:t>
      </w:r>
    </w:p>
    <w:p w14:paraId="2411D401" w14:textId="77777777" w:rsidR="002A64F1" w:rsidRPr="00F07FEE" w:rsidRDefault="002A64F1" w:rsidP="002A64F1">
      <w:pPr>
        <w:rPr>
          <w:rFonts w:ascii="Arial" w:hAnsi="Arial" w:cs="Arial"/>
          <w:sz w:val="22"/>
          <w:szCs w:val="22"/>
        </w:rPr>
      </w:pPr>
    </w:p>
    <w:p w14:paraId="5AFEF1C5" w14:textId="77777777" w:rsidR="002A64F1" w:rsidRPr="00F07FEE" w:rsidRDefault="002A64F1" w:rsidP="002A64F1">
      <w:pPr>
        <w:numPr>
          <w:ilvl w:val="0"/>
          <w:numId w:val="3"/>
        </w:numPr>
        <w:rPr>
          <w:rFonts w:ascii="Arial" w:hAnsi="Arial" w:cs="Arial"/>
          <w:sz w:val="22"/>
          <w:szCs w:val="22"/>
        </w:rPr>
      </w:pPr>
      <w:r w:rsidRPr="00F07FEE">
        <w:rPr>
          <w:rFonts w:ascii="Arial" w:hAnsi="Arial" w:cs="Arial"/>
          <w:sz w:val="22"/>
          <w:szCs w:val="22"/>
          <w:u w:val="single"/>
        </w:rPr>
        <w:t>Confidentiality of Information</w:t>
      </w:r>
    </w:p>
    <w:p w14:paraId="018DF061" w14:textId="77777777" w:rsidR="002A64F1" w:rsidRPr="00F07FEE" w:rsidRDefault="002A64F1" w:rsidP="002A64F1">
      <w:pPr>
        <w:rPr>
          <w:rFonts w:ascii="Arial" w:hAnsi="Arial" w:cs="Arial"/>
          <w:sz w:val="22"/>
          <w:szCs w:val="22"/>
          <w:u w:val="single"/>
        </w:rPr>
      </w:pPr>
    </w:p>
    <w:p w14:paraId="3D4B7C99" w14:textId="0E18CF38" w:rsidR="007C3119" w:rsidRDefault="00D871AC" w:rsidP="00E600A2">
      <w:pPr>
        <w:widowControl w:val="0"/>
        <w:ind w:left="1080"/>
        <w:rPr>
          <w:rFonts w:ascii="Arial" w:hAnsi="Arial" w:cs="Arial"/>
          <w:sz w:val="22"/>
          <w:szCs w:val="22"/>
        </w:rPr>
      </w:pPr>
      <w:r w:rsidRPr="00F07FEE">
        <w:rPr>
          <w:rFonts w:ascii="Arial" w:hAnsi="Arial" w:cs="Arial"/>
          <w:sz w:val="22"/>
          <w:szCs w:val="22"/>
        </w:rPr>
        <w:t xml:space="preserve">Confidential and proprietary information is protected in accordance with NRC regulations </w:t>
      </w:r>
      <w:r w:rsidR="009551AA">
        <w:rPr>
          <w:rFonts w:ascii="Arial" w:hAnsi="Arial" w:cs="Arial"/>
          <w:sz w:val="22"/>
          <w:szCs w:val="22"/>
        </w:rPr>
        <w:t>in</w:t>
      </w:r>
      <w:r w:rsidR="009551AA" w:rsidRPr="00F07FEE">
        <w:rPr>
          <w:rFonts w:ascii="Arial" w:hAnsi="Arial" w:cs="Arial"/>
          <w:sz w:val="22"/>
          <w:szCs w:val="22"/>
        </w:rPr>
        <w:t xml:space="preserve"> 10</w:t>
      </w:r>
      <w:r w:rsidRPr="00F07FEE">
        <w:rPr>
          <w:rFonts w:ascii="Arial" w:hAnsi="Arial" w:cs="Arial"/>
          <w:sz w:val="22"/>
          <w:szCs w:val="22"/>
        </w:rPr>
        <w:t xml:space="preserve"> CFR 9.17(a) and 10 CFR 2.390(b).</w:t>
      </w:r>
    </w:p>
    <w:p w14:paraId="13F7DEBD" w14:textId="77777777" w:rsidR="007C3119" w:rsidRPr="00F07FEE" w:rsidRDefault="007C3119" w:rsidP="002A64F1">
      <w:pPr>
        <w:rPr>
          <w:rFonts w:ascii="Arial" w:hAnsi="Arial" w:cs="Arial"/>
          <w:sz w:val="22"/>
          <w:szCs w:val="22"/>
        </w:rPr>
      </w:pPr>
    </w:p>
    <w:p w14:paraId="2728BFD8" w14:textId="77777777" w:rsidR="002A64F1" w:rsidRPr="00F07FEE" w:rsidRDefault="002A64F1" w:rsidP="002A64F1">
      <w:pPr>
        <w:numPr>
          <w:ilvl w:val="0"/>
          <w:numId w:val="3"/>
        </w:numPr>
        <w:rPr>
          <w:rFonts w:ascii="Arial" w:hAnsi="Arial" w:cs="Arial"/>
          <w:sz w:val="22"/>
          <w:szCs w:val="22"/>
        </w:rPr>
      </w:pPr>
      <w:r w:rsidRPr="00F07FEE">
        <w:rPr>
          <w:rFonts w:ascii="Arial" w:hAnsi="Arial" w:cs="Arial"/>
          <w:sz w:val="22"/>
          <w:szCs w:val="22"/>
          <w:u w:val="single"/>
        </w:rPr>
        <w:t>Justification for Sensitive Questions</w:t>
      </w:r>
    </w:p>
    <w:p w14:paraId="61548A5F" w14:textId="77777777" w:rsidR="002A64F1" w:rsidRPr="00F07FEE" w:rsidRDefault="002A64F1" w:rsidP="002A64F1">
      <w:pPr>
        <w:rPr>
          <w:rFonts w:ascii="Arial" w:hAnsi="Arial" w:cs="Arial"/>
          <w:sz w:val="22"/>
          <w:szCs w:val="22"/>
          <w:u w:val="single"/>
        </w:rPr>
      </w:pPr>
    </w:p>
    <w:p w14:paraId="034D549A" w14:textId="77777777" w:rsidR="002A64F1" w:rsidRPr="00F07FEE" w:rsidRDefault="00E600A2" w:rsidP="00D871AC">
      <w:pPr>
        <w:ind w:left="1080"/>
        <w:rPr>
          <w:rFonts w:ascii="Arial" w:hAnsi="Arial" w:cs="Arial"/>
          <w:sz w:val="22"/>
          <w:szCs w:val="22"/>
        </w:rPr>
      </w:pPr>
      <w:r>
        <w:rPr>
          <w:rFonts w:ascii="Arial" w:hAnsi="Arial" w:cs="Arial"/>
          <w:sz w:val="22"/>
          <w:szCs w:val="22"/>
        </w:rPr>
        <w:t>Not a</w:t>
      </w:r>
      <w:r w:rsidR="00536F54" w:rsidRPr="00F07FEE">
        <w:rPr>
          <w:rFonts w:ascii="Arial" w:hAnsi="Arial" w:cs="Arial"/>
          <w:sz w:val="22"/>
          <w:szCs w:val="22"/>
        </w:rPr>
        <w:t>pplicable</w:t>
      </w:r>
      <w:r>
        <w:rPr>
          <w:rFonts w:ascii="Arial" w:hAnsi="Arial" w:cs="Arial"/>
          <w:sz w:val="22"/>
          <w:szCs w:val="22"/>
        </w:rPr>
        <w:t>.</w:t>
      </w:r>
    </w:p>
    <w:p w14:paraId="48B3559C" w14:textId="77777777" w:rsidR="002A64F1" w:rsidRPr="00F07FEE" w:rsidRDefault="002A64F1" w:rsidP="002A64F1">
      <w:pPr>
        <w:rPr>
          <w:rFonts w:ascii="Arial" w:hAnsi="Arial" w:cs="Arial"/>
          <w:sz w:val="22"/>
          <w:szCs w:val="22"/>
        </w:rPr>
      </w:pPr>
    </w:p>
    <w:p w14:paraId="22E82E53" w14:textId="77777777" w:rsidR="002A64F1" w:rsidRPr="00F07FEE" w:rsidRDefault="002A64F1" w:rsidP="002A64F1">
      <w:pPr>
        <w:numPr>
          <w:ilvl w:val="0"/>
          <w:numId w:val="3"/>
        </w:numPr>
        <w:rPr>
          <w:rFonts w:ascii="Arial" w:hAnsi="Arial" w:cs="Arial"/>
          <w:sz w:val="22"/>
          <w:szCs w:val="22"/>
        </w:rPr>
      </w:pPr>
      <w:r w:rsidRPr="00F07FEE">
        <w:rPr>
          <w:rFonts w:ascii="Arial" w:hAnsi="Arial" w:cs="Arial"/>
          <w:sz w:val="22"/>
          <w:szCs w:val="22"/>
          <w:u w:val="single"/>
        </w:rPr>
        <w:t>Estimated Burden and Burden Hour Cost</w:t>
      </w:r>
    </w:p>
    <w:p w14:paraId="4045D8CE" w14:textId="77777777" w:rsidR="002A64F1" w:rsidRPr="00F07FEE" w:rsidRDefault="002A64F1" w:rsidP="002A64F1">
      <w:pPr>
        <w:rPr>
          <w:rFonts w:ascii="Arial" w:hAnsi="Arial" w:cs="Arial"/>
          <w:sz w:val="22"/>
          <w:szCs w:val="22"/>
          <w:u w:val="single"/>
        </w:rPr>
      </w:pPr>
    </w:p>
    <w:p w14:paraId="529B2895" w14:textId="1676A0E3" w:rsidR="00AE5C00" w:rsidRDefault="00F84C9A" w:rsidP="00D871AC">
      <w:pPr>
        <w:ind w:left="1080"/>
        <w:rPr>
          <w:rFonts w:ascii="Arial" w:hAnsi="Arial" w:cs="Arial"/>
          <w:sz w:val="22"/>
          <w:szCs w:val="22"/>
        </w:rPr>
      </w:pPr>
      <w:r w:rsidRPr="00F07FEE">
        <w:rPr>
          <w:rFonts w:ascii="Arial" w:hAnsi="Arial" w:cs="Arial"/>
          <w:sz w:val="22"/>
          <w:szCs w:val="22"/>
        </w:rPr>
        <w:t xml:space="preserve">The NRC </w:t>
      </w:r>
      <w:r w:rsidR="00CD1FB7" w:rsidRPr="00F07FEE">
        <w:rPr>
          <w:rFonts w:ascii="Arial" w:hAnsi="Arial" w:cs="Arial"/>
          <w:sz w:val="22"/>
          <w:szCs w:val="22"/>
        </w:rPr>
        <w:t xml:space="preserve">staff </w:t>
      </w:r>
      <w:r w:rsidRPr="00F07FEE">
        <w:rPr>
          <w:rFonts w:ascii="Arial" w:hAnsi="Arial" w:cs="Arial"/>
          <w:sz w:val="22"/>
          <w:szCs w:val="22"/>
        </w:rPr>
        <w:t xml:space="preserve">estimates that the time to respond to all requirements contained in the </w:t>
      </w:r>
      <w:r w:rsidR="00A91824" w:rsidRPr="00F07FEE">
        <w:rPr>
          <w:rFonts w:ascii="Arial" w:hAnsi="Arial" w:cs="Arial"/>
          <w:sz w:val="22"/>
          <w:szCs w:val="22"/>
        </w:rPr>
        <w:t>generic letter</w:t>
      </w:r>
      <w:r w:rsidRPr="00F07FEE">
        <w:rPr>
          <w:rFonts w:ascii="Arial" w:hAnsi="Arial" w:cs="Arial"/>
          <w:sz w:val="22"/>
          <w:szCs w:val="22"/>
        </w:rPr>
        <w:t xml:space="preserve"> information request </w:t>
      </w:r>
      <w:r w:rsidR="002116E4">
        <w:rPr>
          <w:rFonts w:ascii="Arial" w:hAnsi="Arial" w:cs="Arial"/>
          <w:sz w:val="22"/>
          <w:szCs w:val="22"/>
        </w:rPr>
        <w:t>will require no more than 17</w:t>
      </w:r>
      <w:r w:rsidR="00E600A2">
        <w:rPr>
          <w:rFonts w:ascii="Arial" w:hAnsi="Arial" w:cs="Arial"/>
          <w:sz w:val="22"/>
          <w:szCs w:val="22"/>
        </w:rPr>
        <w:t>0</w:t>
      </w:r>
      <w:r w:rsidR="00190C3F" w:rsidRPr="00F07FEE">
        <w:rPr>
          <w:rFonts w:ascii="Arial" w:hAnsi="Arial" w:cs="Arial"/>
          <w:sz w:val="22"/>
          <w:szCs w:val="22"/>
        </w:rPr>
        <w:t xml:space="preserve"> </w:t>
      </w:r>
      <w:r w:rsidRPr="00F07FEE">
        <w:rPr>
          <w:rFonts w:ascii="Arial" w:hAnsi="Arial" w:cs="Arial"/>
          <w:sz w:val="22"/>
          <w:szCs w:val="22"/>
        </w:rPr>
        <w:t xml:space="preserve">hours </w:t>
      </w:r>
      <w:r w:rsidR="00E600A2">
        <w:rPr>
          <w:rFonts w:ascii="Arial" w:hAnsi="Arial" w:cs="Arial"/>
          <w:sz w:val="22"/>
          <w:szCs w:val="22"/>
        </w:rPr>
        <w:t xml:space="preserve">for most </w:t>
      </w:r>
      <w:r w:rsidR="009B6AC0">
        <w:rPr>
          <w:rFonts w:ascii="Arial" w:hAnsi="Arial" w:cs="Arial"/>
          <w:sz w:val="22"/>
          <w:szCs w:val="22"/>
        </w:rPr>
        <w:t>sites</w:t>
      </w:r>
      <w:r w:rsidRPr="00F07FEE">
        <w:rPr>
          <w:rFonts w:ascii="Arial" w:hAnsi="Arial" w:cs="Arial"/>
          <w:sz w:val="22"/>
          <w:szCs w:val="22"/>
        </w:rPr>
        <w:t xml:space="preserve">, for a total of </w:t>
      </w:r>
      <w:r w:rsidR="00AE5C00">
        <w:rPr>
          <w:rFonts w:ascii="Arial" w:hAnsi="Arial" w:cs="Arial"/>
          <w:sz w:val="22"/>
          <w:szCs w:val="22"/>
        </w:rPr>
        <w:t>1</w:t>
      </w:r>
      <w:r w:rsidR="009B6AC0">
        <w:rPr>
          <w:rFonts w:ascii="Arial" w:hAnsi="Arial" w:cs="Arial"/>
          <w:sz w:val="22"/>
          <w:szCs w:val="22"/>
        </w:rPr>
        <w:t>1,9</w:t>
      </w:r>
      <w:r w:rsidR="00AE5C00">
        <w:rPr>
          <w:rFonts w:ascii="Arial" w:hAnsi="Arial" w:cs="Arial"/>
          <w:sz w:val="22"/>
          <w:szCs w:val="22"/>
        </w:rPr>
        <w:t>00</w:t>
      </w:r>
      <w:r w:rsidRPr="00F07FEE">
        <w:rPr>
          <w:rFonts w:ascii="Arial" w:hAnsi="Arial" w:cs="Arial"/>
          <w:sz w:val="22"/>
          <w:szCs w:val="22"/>
        </w:rPr>
        <w:t xml:space="preserve"> hours (</w:t>
      </w:r>
      <w:r w:rsidR="00AE5C00">
        <w:rPr>
          <w:rFonts w:ascii="Arial" w:hAnsi="Arial" w:cs="Arial"/>
          <w:sz w:val="22"/>
          <w:szCs w:val="22"/>
        </w:rPr>
        <w:t>70</w:t>
      </w:r>
      <w:r w:rsidR="00190C3F" w:rsidRPr="00F07FEE">
        <w:rPr>
          <w:rFonts w:ascii="Arial" w:hAnsi="Arial" w:cs="Arial"/>
          <w:sz w:val="22"/>
          <w:szCs w:val="22"/>
        </w:rPr>
        <w:t xml:space="preserve"> </w:t>
      </w:r>
      <w:r w:rsidR="00AE5C00">
        <w:rPr>
          <w:rFonts w:ascii="Arial" w:hAnsi="Arial" w:cs="Arial"/>
          <w:sz w:val="22"/>
          <w:szCs w:val="22"/>
        </w:rPr>
        <w:t>sites</w:t>
      </w:r>
      <w:r w:rsidR="00E600A2">
        <w:rPr>
          <w:rFonts w:ascii="Arial" w:hAnsi="Arial" w:cs="Arial"/>
          <w:sz w:val="22"/>
          <w:szCs w:val="22"/>
        </w:rPr>
        <w:t xml:space="preserve"> x </w:t>
      </w:r>
      <w:r w:rsidR="009B6AC0">
        <w:rPr>
          <w:rFonts w:ascii="Arial" w:hAnsi="Arial" w:cs="Arial"/>
          <w:sz w:val="22"/>
          <w:szCs w:val="22"/>
        </w:rPr>
        <w:t>17</w:t>
      </w:r>
      <w:r w:rsidR="00E600A2">
        <w:rPr>
          <w:rFonts w:ascii="Arial" w:hAnsi="Arial" w:cs="Arial"/>
          <w:sz w:val="22"/>
          <w:szCs w:val="22"/>
        </w:rPr>
        <w:t>0</w:t>
      </w:r>
      <w:r w:rsidR="00C94C47" w:rsidRPr="00F07FEE">
        <w:rPr>
          <w:rFonts w:ascii="Arial" w:hAnsi="Arial" w:cs="Arial"/>
          <w:sz w:val="22"/>
          <w:szCs w:val="22"/>
        </w:rPr>
        <w:t xml:space="preserve"> hours)</w:t>
      </w:r>
      <w:r w:rsidR="00E600A2">
        <w:rPr>
          <w:rFonts w:ascii="Arial" w:hAnsi="Arial" w:cs="Arial"/>
          <w:sz w:val="22"/>
          <w:szCs w:val="22"/>
        </w:rPr>
        <w:t>, plus an extra 160 hours for two power reactor licensees that credit more than two neutron-absorbing material types,</w:t>
      </w:r>
      <w:r w:rsidR="00C94C47" w:rsidRPr="00F07FEE">
        <w:rPr>
          <w:rFonts w:ascii="Arial" w:hAnsi="Arial" w:cs="Arial"/>
          <w:sz w:val="22"/>
          <w:szCs w:val="22"/>
        </w:rPr>
        <w:t xml:space="preserve"> </w:t>
      </w:r>
      <w:r w:rsidR="00E600A2">
        <w:rPr>
          <w:rFonts w:ascii="Arial" w:hAnsi="Arial" w:cs="Arial"/>
          <w:sz w:val="22"/>
          <w:szCs w:val="22"/>
        </w:rPr>
        <w:t>at a</w:t>
      </w:r>
      <w:r w:rsidR="00C94C47" w:rsidRPr="00F07FEE">
        <w:rPr>
          <w:rFonts w:ascii="Arial" w:hAnsi="Arial" w:cs="Arial"/>
          <w:sz w:val="22"/>
          <w:szCs w:val="22"/>
        </w:rPr>
        <w:t xml:space="preserve"> cost of $</w:t>
      </w:r>
      <w:r w:rsidR="009B6AC0">
        <w:rPr>
          <w:rFonts w:ascii="Arial" w:hAnsi="Arial" w:cs="Arial"/>
          <w:sz w:val="22"/>
          <w:szCs w:val="22"/>
        </w:rPr>
        <w:t>3,364,740</w:t>
      </w:r>
      <w:r w:rsidR="00C94C47" w:rsidRPr="00F07FEE">
        <w:rPr>
          <w:rFonts w:ascii="Arial" w:hAnsi="Arial" w:cs="Arial"/>
          <w:sz w:val="22"/>
          <w:szCs w:val="22"/>
        </w:rPr>
        <w:t xml:space="preserve"> (</w:t>
      </w:r>
      <w:r w:rsidR="009B6AC0">
        <w:rPr>
          <w:rFonts w:ascii="Arial" w:hAnsi="Arial" w:cs="Arial"/>
          <w:sz w:val="22"/>
          <w:szCs w:val="22"/>
        </w:rPr>
        <w:t>12,06</w:t>
      </w:r>
      <w:r w:rsidR="00AE5C00">
        <w:rPr>
          <w:rFonts w:ascii="Arial" w:hAnsi="Arial" w:cs="Arial"/>
          <w:sz w:val="22"/>
          <w:szCs w:val="22"/>
        </w:rPr>
        <w:t>0</w:t>
      </w:r>
      <w:r w:rsidR="002C54E4" w:rsidRPr="00F07FEE">
        <w:rPr>
          <w:rFonts w:ascii="Arial" w:hAnsi="Arial" w:cs="Arial"/>
          <w:sz w:val="22"/>
          <w:szCs w:val="22"/>
        </w:rPr>
        <w:t xml:space="preserve"> hours x $27</w:t>
      </w:r>
      <w:r w:rsidR="00190C3F" w:rsidRPr="00F07FEE">
        <w:rPr>
          <w:rFonts w:ascii="Arial" w:hAnsi="Arial" w:cs="Arial"/>
          <w:sz w:val="22"/>
          <w:szCs w:val="22"/>
        </w:rPr>
        <w:t>9</w:t>
      </w:r>
      <w:r w:rsidR="002C54E4" w:rsidRPr="00F07FEE">
        <w:rPr>
          <w:rFonts w:ascii="Arial" w:hAnsi="Arial" w:cs="Arial"/>
          <w:sz w:val="22"/>
          <w:szCs w:val="22"/>
        </w:rPr>
        <w:t>/</w:t>
      </w:r>
      <w:proofErr w:type="spellStart"/>
      <w:r w:rsidR="002C54E4" w:rsidRPr="00F07FEE">
        <w:rPr>
          <w:rFonts w:ascii="Arial" w:hAnsi="Arial" w:cs="Arial"/>
          <w:sz w:val="22"/>
          <w:szCs w:val="22"/>
        </w:rPr>
        <w:t>hr</w:t>
      </w:r>
      <w:proofErr w:type="spellEnd"/>
      <w:r w:rsidR="002C54E4" w:rsidRPr="00F07FEE">
        <w:rPr>
          <w:rFonts w:ascii="Arial" w:hAnsi="Arial" w:cs="Arial"/>
          <w:sz w:val="22"/>
          <w:szCs w:val="22"/>
        </w:rPr>
        <w:t xml:space="preserve">).  </w:t>
      </w:r>
      <w:r w:rsidR="00AE5C00">
        <w:rPr>
          <w:rFonts w:ascii="Arial" w:hAnsi="Arial" w:cs="Arial"/>
          <w:sz w:val="22"/>
          <w:szCs w:val="22"/>
        </w:rPr>
        <w:t xml:space="preserve">For non-power reactor licensees, the </w:t>
      </w:r>
      <w:r w:rsidR="00AE5C00" w:rsidRPr="00F07FEE">
        <w:rPr>
          <w:rFonts w:ascii="Arial" w:hAnsi="Arial" w:cs="Arial"/>
          <w:sz w:val="22"/>
          <w:szCs w:val="22"/>
        </w:rPr>
        <w:t xml:space="preserve">time to respond to all requirements contained in the generic letter information request </w:t>
      </w:r>
      <w:r w:rsidR="00AE5C00">
        <w:rPr>
          <w:rFonts w:ascii="Arial" w:hAnsi="Arial" w:cs="Arial"/>
          <w:sz w:val="22"/>
          <w:szCs w:val="22"/>
        </w:rPr>
        <w:t>will require no more than 20</w:t>
      </w:r>
      <w:r w:rsidR="00AE5C00" w:rsidRPr="00F07FEE">
        <w:rPr>
          <w:rFonts w:ascii="Arial" w:hAnsi="Arial" w:cs="Arial"/>
          <w:sz w:val="22"/>
          <w:szCs w:val="22"/>
        </w:rPr>
        <w:t xml:space="preserve"> hours </w:t>
      </w:r>
      <w:r w:rsidR="00AE5C00">
        <w:rPr>
          <w:rFonts w:ascii="Arial" w:hAnsi="Arial" w:cs="Arial"/>
          <w:sz w:val="22"/>
          <w:szCs w:val="22"/>
        </w:rPr>
        <w:t>per licensee</w:t>
      </w:r>
      <w:r w:rsidR="00AE5C00" w:rsidRPr="00F07FEE">
        <w:rPr>
          <w:rFonts w:ascii="Arial" w:hAnsi="Arial" w:cs="Arial"/>
          <w:sz w:val="22"/>
          <w:szCs w:val="22"/>
        </w:rPr>
        <w:t xml:space="preserve">, for a total of </w:t>
      </w:r>
      <w:r w:rsidR="00AE5C00">
        <w:rPr>
          <w:rFonts w:ascii="Arial" w:hAnsi="Arial" w:cs="Arial"/>
          <w:sz w:val="22"/>
          <w:szCs w:val="22"/>
        </w:rPr>
        <w:t>840</w:t>
      </w:r>
      <w:r w:rsidR="00AE5C00" w:rsidRPr="00F07FEE">
        <w:rPr>
          <w:rFonts w:ascii="Arial" w:hAnsi="Arial" w:cs="Arial"/>
          <w:sz w:val="22"/>
          <w:szCs w:val="22"/>
        </w:rPr>
        <w:t xml:space="preserve"> hours (</w:t>
      </w:r>
      <w:r w:rsidR="00AE5C00">
        <w:rPr>
          <w:rFonts w:ascii="Arial" w:hAnsi="Arial" w:cs="Arial"/>
          <w:sz w:val="22"/>
          <w:szCs w:val="22"/>
        </w:rPr>
        <w:t>42</w:t>
      </w:r>
      <w:r w:rsidR="00AE5C00" w:rsidRPr="00F07FEE">
        <w:rPr>
          <w:rFonts w:ascii="Arial" w:hAnsi="Arial" w:cs="Arial"/>
          <w:sz w:val="22"/>
          <w:szCs w:val="22"/>
        </w:rPr>
        <w:t xml:space="preserve"> </w:t>
      </w:r>
      <w:r w:rsidR="00AE5C00">
        <w:rPr>
          <w:rFonts w:ascii="Arial" w:hAnsi="Arial" w:cs="Arial"/>
          <w:sz w:val="22"/>
          <w:szCs w:val="22"/>
        </w:rPr>
        <w:t>non-power reactor licensees x 20 hours</w:t>
      </w:r>
      <w:r w:rsidR="00AE5C00" w:rsidRPr="00F07FEE">
        <w:rPr>
          <w:rFonts w:ascii="Arial" w:hAnsi="Arial" w:cs="Arial"/>
          <w:sz w:val="22"/>
          <w:szCs w:val="22"/>
        </w:rPr>
        <w:t>)</w:t>
      </w:r>
      <w:r w:rsidR="00AE5C00">
        <w:rPr>
          <w:rFonts w:ascii="Arial" w:hAnsi="Arial" w:cs="Arial"/>
          <w:sz w:val="22"/>
          <w:szCs w:val="22"/>
        </w:rPr>
        <w:t>, at a cost of $234,360 (840 hours x $279/</w:t>
      </w:r>
      <w:proofErr w:type="spellStart"/>
      <w:r w:rsidR="00AE5C00">
        <w:rPr>
          <w:rFonts w:ascii="Arial" w:hAnsi="Arial" w:cs="Arial"/>
          <w:sz w:val="22"/>
          <w:szCs w:val="22"/>
        </w:rPr>
        <w:t>hr</w:t>
      </w:r>
      <w:proofErr w:type="spellEnd"/>
      <w:r w:rsidR="00AE5C00">
        <w:rPr>
          <w:rFonts w:ascii="Arial" w:hAnsi="Arial" w:cs="Arial"/>
          <w:sz w:val="22"/>
          <w:szCs w:val="22"/>
        </w:rPr>
        <w:t xml:space="preserve">).  Therefore, the entire </w:t>
      </w:r>
      <w:r w:rsidR="00F64A41">
        <w:rPr>
          <w:rFonts w:ascii="Arial" w:hAnsi="Arial" w:cs="Arial"/>
          <w:sz w:val="22"/>
          <w:szCs w:val="22"/>
        </w:rPr>
        <w:t xml:space="preserve">industry </w:t>
      </w:r>
      <w:r w:rsidR="00AE5C00">
        <w:rPr>
          <w:rFonts w:ascii="Arial" w:hAnsi="Arial" w:cs="Arial"/>
          <w:sz w:val="22"/>
          <w:szCs w:val="22"/>
        </w:rPr>
        <w:t>burden to</w:t>
      </w:r>
      <w:r w:rsidR="009234F2" w:rsidRPr="00F07FEE">
        <w:rPr>
          <w:rFonts w:ascii="Arial" w:hAnsi="Arial" w:cs="Arial"/>
          <w:sz w:val="22"/>
          <w:szCs w:val="22"/>
        </w:rPr>
        <w:t xml:space="preserve"> respond to the </w:t>
      </w:r>
      <w:r w:rsidR="00AE5C00">
        <w:rPr>
          <w:rFonts w:ascii="Arial" w:hAnsi="Arial" w:cs="Arial"/>
          <w:sz w:val="22"/>
          <w:szCs w:val="22"/>
        </w:rPr>
        <w:t>50.54(f)</w:t>
      </w:r>
      <w:r w:rsidR="00190C3F" w:rsidRPr="00F07FEE">
        <w:rPr>
          <w:rFonts w:ascii="Arial" w:hAnsi="Arial" w:cs="Arial"/>
          <w:sz w:val="22"/>
          <w:szCs w:val="22"/>
        </w:rPr>
        <w:t xml:space="preserve"> information </w:t>
      </w:r>
      <w:r w:rsidR="009234F2" w:rsidRPr="00F07FEE">
        <w:rPr>
          <w:rFonts w:ascii="Arial" w:hAnsi="Arial" w:cs="Arial"/>
          <w:sz w:val="22"/>
          <w:szCs w:val="22"/>
        </w:rPr>
        <w:t>request</w:t>
      </w:r>
      <w:r w:rsidR="00AE5C00">
        <w:rPr>
          <w:rFonts w:ascii="Arial" w:hAnsi="Arial" w:cs="Arial"/>
          <w:sz w:val="22"/>
          <w:szCs w:val="22"/>
        </w:rPr>
        <w:t xml:space="preserve"> is estimated to be no more than $</w:t>
      </w:r>
      <w:r w:rsidR="009B6AC0">
        <w:rPr>
          <w:rFonts w:ascii="Arial" w:hAnsi="Arial" w:cs="Arial"/>
          <w:sz w:val="22"/>
          <w:szCs w:val="22"/>
        </w:rPr>
        <w:t>3,599,100</w:t>
      </w:r>
      <w:r w:rsidR="009234F2" w:rsidRPr="00F07FEE">
        <w:rPr>
          <w:rFonts w:ascii="Arial" w:hAnsi="Arial" w:cs="Arial"/>
          <w:sz w:val="22"/>
          <w:szCs w:val="22"/>
        </w:rPr>
        <w:t xml:space="preserve"> </w:t>
      </w:r>
      <w:r w:rsidR="00942055" w:rsidRPr="00E91C4C">
        <w:rPr>
          <w:rFonts w:ascii="Arial" w:hAnsi="Arial" w:cs="Arial"/>
          <w:sz w:val="22"/>
          <w:szCs w:val="22"/>
        </w:rPr>
        <w:t>(12,900 ho</w:t>
      </w:r>
      <w:r w:rsidR="008D3033">
        <w:rPr>
          <w:rFonts w:ascii="Arial" w:hAnsi="Arial" w:cs="Arial"/>
          <w:sz w:val="22"/>
          <w:szCs w:val="22"/>
        </w:rPr>
        <w:t>u</w:t>
      </w:r>
      <w:r w:rsidR="00942055" w:rsidRPr="00E91C4C">
        <w:rPr>
          <w:rFonts w:ascii="Arial" w:hAnsi="Arial" w:cs="Arial"/>
          <w:sz w:val="22"/>
          <w:szCs w:val="22"/>
        </w:rPr>
        <w:t>rs</w:t>
      </w:r>
      <w:r w:rsidR="008D3033">
        <w:rPr>
          <w:rFonts w:ascii="Arial" w:hAnsi="Arial" w:cs="Arial"/>
          <w:sz w:val="22"/>
          <w:szCs w:val="22"/>
        </w:rPr>
        <w:t xml:space="preserve"> total</w:t>
      </w:r>
      <w:r w:rsidR="00942055" w:rsidRPr="00E91C4C">
        <w:rPr>
          <w:rFonts w:ascii="Arial" w:hAnsi="Arial" w:cs="Arial"/>
          <w:sz w:val="22"/>
          <w:szCs w:val="22"/>
        </w:rPr>
        <w:t xml:space="preserve"> </w:t>
      </w:r>
      <w:r w:rsidR="008D3033">
        <w:rPr>
          <w:rFonts w:ascii="Arial" w:hAnsi="Arial" w:cs="Arial"/>
          <w:sz w:val="22"/>
          <w:szCs w:val="22"/>
        </w:rPr>
        <w:t>at $279/</w:t>
      </w:r>
      <w:proofErr w:type="spellStart"/>
      <w:r w:rsidR="008D3033">
        <w:rPr>
          <w:rFonts w:ascii="Arial" w:hAnsi="Arial" w:cs="Arial"/>
          <w:sz w:val="22"/>
          <w:szCs w:val="22"/>
        </w:rPr>
        <w:t>hr</w:t>
      </w:r>
      <w:proofErr w:type="spellEnd"/>
      <w:r w:rsidR="00942055" w:rsidRPr="00E91C4C">
        <w:rPr>
          <w:rFonts w:ascii="Arial" w:hAnsi="Arial" w:cs="Arial"/>
          <w:sz w:val="22"/>
          <w:szCs w:val="22"/>
        </w:rPr>
        <w:t>).</w:t>
      </w:r>
    </w:p>
    <w:p w14:paraId="2570BC7D" w14:textId="77777777" w:rsidR="00AE5C00" w:rsidRDefault="00AE5C00" w:rsidP="00D871AC">
      <w:pPr>
        <w:ind w:left="1080"/>
        <w:rPr>
          <w:rFonts w:ascii="Arial" w:hAnsi="Arial" w:cs="Arial"/>
          <w:sz w:val="22"/>
          <w:szCs w:val="22"/>
        </w:rPr>
      </w:pPr>
    </w:p>
    <w:p w14:paraId="70FBD183" w14:textId="77777777" w:rsidR="00F84C9A" w:rsidRDefault="009B6AC0" w:rsidP="00D871AC">
      <w:pPr>
        <w:ind w:left="1080"/>
        <w:rPr>
          <w:rFonts w:ascii="Arial" w:hAnsi="Arial" w:cs="Arial"/>
          <w:sz w:val="22"/>
          <w:szCs w:val="22"/>
        </w:rPr>
      </w:pPr>
      <w:r>
        <w:rPr>
          <w:rFonts w:ascii="Arial" w:hAnsi="Arial" w:cs="Arial"/>
          <w:sz w:val="22"/>
          <w:szCs w:val="22"/>
        </w:rPr>
        <w:t>For some sites, the burden may be higher than assumed</w:t>
      </w:r>
      <w:r w:rsidR="00852CF7">
        <w:rPr>
          <w:rFonts w:ascii="Arial" w:hAnsi="Arial" w:cs="Arial"/>
          <w:sz w:val="22"/>
          <w:szCs w:val="22"/>
        </w:rPr>
        <w:t xml:space="preserve"> above</w:t>
      </w:r>
      <w:r>
        <w:rPr>
          <w:rFonts w:ascii="Arial" w:hAnsi="Arial" w:cs="Arial"/>
          <w:sz w:val="22"/>
          <w:szCs w:val="22"/>
        </w:rPr>
        <w:t xml:space="preserve"> because different spent fuel pools at their site </w:t>
      </w:r>
      <w:r w:rsidR="00F64A41">
        <w:rPr>
          <w:rFonts w:ascii="Arial" w:hAnsi="Arial" w:cs="Arial"/>
          <w:sz w:val="22"/>
          <w:szCs w:val="22"/>
        </w:rPr>
        <w:t xml:space="preserve">may </w:t>
      </w:r>
      <w:r>
        <w:rPr>
          <w:rFonts w:ascii="Arial" w:hAnsi="Arial" w:cs="Arial"/>
          <w:sz w:val="22"/>
          <w:szCs w:val="22"/>
        </w:rPr>
        <w:t xml:space="preserve">credit </w:t>
      </w:r>
      <w:r w:rsidR="00F64A41">
        <w:rPr>
          <w:rFonts w:ascii="Arial" w:hAnsi="Arial" w:cs="Arial"/>
          <w:sz w:val="22"/>
          <w:szCs w:val="22"/>
        </w:rPr>
        <w:t xml:space="preserve">significantly </w:t>
      </w:r>
      <w:r>
        <w:rPr>
          <w:rFonts w:ascii="Arial" w:hAnsi="Arial" w:cs="Arial"/>
          <w:sz w:val="22"/>
          <w:szCs w:val="22"/>
        </w:rPr>
        <w:t xml:space="preserve">different neutron-absorbing materials </w:t>
      </w:r>
      <w:r w:rsidR="00F64A41">
        <w:rPr>
          <w:rFonts w:ascii="Arial" w:hAnsi="Arial" w:cs="Arial"/>
          <w:sz w:val="22"/>
          <w:szCs w:val="22"/>
        </w:rPr>
        <w:t>and/or monitoring programs, requiring</w:t>
      </w:r>
      <w:r>
        <w:rPr>
          <w:rFonts w:ascii="Arial" w:hAnsi="Arial" w:cs="Arial"/>
          <w:sz w:val="22"/>
          <w:szCs w:val="22"/>
        </w:rPr>
        <w:t xml:space="preserve"> separate responses to this generic letter</w:t>
      </w:r>
      <w:r w:rsidR="009234F2" w:rsidRPr="00F07FEE">
        <w:rPr>
          <w:rFonts w:ascii="Arial" w:hAnsi="Arial" w:cs="Arial"/>
          <w:sz w:val="22"/>
          <w:szCs w:val="22"/>
        </w:rPr>
        <w:t>.</w:t>
      </w:r>
      <w:r>
        <w:rPr>
          <w:rFonts w:ascii="Arial" w:hAnsi="Arial" w:cs="Arial"/>
          <w:sz w:val="22"/>
          <w:szCs w:val="22"/>
        </w:rPr>
        <w:t xml:space="preserve">  However, the NRC staff also recognizes that: (1) most multi-unit sites are expected to submit </w:t>
      </w:r>
      <w:r w:rsidR="00F64A41">
        <w:rPr>
          <w:rFonts w:ascii="Arial" w:hAnsi="Arial" w:cs="Arial"/>
          <w:sz w:val="22"/>
          <w:szCs w:val="22"/>
        </w:rPr>
        <w:t>a single response covering all on-site fuel storage; (2)</w:t>
      </w:r>
      <w:r>
        <w:rPr>
          <w:rFonts w:ascii="Arial" w:hAnsi="Arial" w:cs="Arial"/>
          <w:sz w:val="22"/>
          <w:szCs w:val="22"/>
        </w:rPr>
        <w:t xml:space="preserve"> many licensees will not be required to provide a detailed response to this generic letter because they meet the criteria of Categories 1 through 3 as described in the </w:t>
      </w:r>
      <w:r>
        <w:rPr>
          <w:rFonts w:ascii="Arial" w:hAnsi="Arial" w:cs="Arial"/>
          <w:b/>
          <w:sz w:val="22"/>
          <w:szCs w:val="22"/>
        </w:rPr>
        <w:t>Requested Information from Power Reactor Addressees</w:t>
      </w:r>
      <w:r>
        <w:rPr>
          <w:rFonts w:ascii="Arial" w:hAnsi="Arial" w:cs="Arial"/>
          <w:sz w:val="22"/>
          <w:szCs w:val="22"/>
        </w:rPr>
        <w:t xml:space="preserve"> section of the generic letter</w:t>
      </w:r>
      <w:r w:rsidR="00F64A41">
        <w:rPr>
          <w:rFonts w:ascii="Arial" w:hAnsi="Arial" w:cs="Arial"/>
          <w:sz w:val="22"/>
          <w:szCs w:val="22"/>
        </w:rPr>
        <w:t xml:space="preserve">; and (3) many licensees will be able to reference previously docketed </w:t>
      </w:r>
      <w:r w:rsidR="00F64A41">
        <w:rPr>
          <w:rFonts w:ascii="Arial" w:hAnsi="Arial" w:cs="Arial"/>
          <w:sz w:val="22"/>
          <w:szCs w:val="22"/>
        </w:rPr>
        <w:lastRenderedPageBreak/>
        <w:t>information in responding to part of the information request</w:t>
      </w:r>
      <w:r>
        <w:rPr>
          <w:rFonts w:ascii="Arial" w:hAnsi="Arial" w:cs="Arial"/>
          <w:sz w:val="22"/>
          <w:szCs w:val="22"/>
        </w:rPr>
        <w:t xml:space="preserve">.  Therefore, the total burden </w:t>
      </w:r>
      <w:r w:rsidR="00F64A41">
        <w:rPr>
          <w:rFonts w:ascii="Arial" w:hAnsi="Arial" w:cs="Arial"/>
          <w:sz w:val="22"/>
          <w:szCs w:val="22"/>
        </w:rPr>
        <w:t>is not expected to be higher than estimated above.</w:t>
      </w:r>
    </w:p>
    <w:p w14:paraId="07A18116" w14:textId="77777777" w:rsidR="00F64A41" w:rsidRDefault="00F64A41" w:rsidP="00D871AC">
      <w:pPr>
        <w:ind w:left="1080"/>
        <w:rPr>
          <w:rFonts w:ascii="Arial" w:hAnsi="Arial" w:cs="Arial"/>
          <w:sz w:val="22"/>
          <w:szCs w:val="22"/>
        </w:rPr>
      </w:pPr>
    </w:p>
    <w:p w14:paraId="59E1CB15" w14:textId="77777777" w:rsidR="00F84C9A" w:rsidRPr="00F07FEE" w:rsidRDefault="00F64A41" w:rsidP="00675376">
      <w:pPr>
        <w:ind w:left="1080"/>
        <w:rPr>
          <w:rFonts w:ascii="Arial" w:hAnsi="Arial" w:cs="Arial"/>
          <w:sz w:val="22"/>
          <w:szCs w:val="22"/>
        </w:rPr>
      </w:pPr>
      <w:r>
        <w:rPr>
          <w:rFonts w:ascii="Arial" w:hAnsi="Arial" w:cs="Arial"/>
          <w:sz w:val="22"/>
          <w:szCs w:val="22"/>
        </w:rPr>
        <w:t xml:space="preserve">The NRC staff considers neutron-absorbing materials in spent fuel pools that are credited to meet NRC </w:t>
      </w:r>
      <w:proofErr w:type="spellStart"/>
      <w:r>
        <w:rPr>
          <w:rFonts w:ascii="Arial" w:hAnsi="Arial" w:cs="Arial"/>
          <w:sz w:val="22"/>
          <w:szCs w:val="22"/>
        </w:rPr>
        <w:t>subcriticality</w:t>
      </w:r>
      <w:proofErr w:type="spellEnd"/>
      <w:r>
        <w:rPr>
          <w:rFonts w:ascii="Arial" w:hAnsi="Arial" w:cs="Arial"/>
          <w:sz w:val="22"/>
          <w:szCs w:val="22"/>
        </w:rPr>
        <w:t xml:space="preserve"> requirements to be safety related components. As such, l</w:t>
      </w:r>
      <w:r w:rsidRPr="00F64A41">
        <w:rPr>
          <w:rFonts w:ascii="Arial" w:hAnsi="Arial" w:cs="Arial"/>
          <w:sz w:val="22"/>
          <w:szCs w:val="22"/>
        </w:rPr>
        <w:t xml:space="preserve">icensees should </w:t>
      </w:r>
      <w:r>
        <w:rPr>
          <w:rFonts w:ascii="Arial" w:hAnsi="Arial" w:cs="Arial"/>
          <w:sz w:val="22"/>
          <w:szCs w:val="22"/>
        </w:rPr>
        <w:t xml:space="preserve">be </w:t>
      </w:r>
      <w:r w:rsidRPr="00F64A41">
        <w:rPr>
          <w:rFonts w:ascii="Arial" w:hAnsi="Arial" w:cs="Arial"/>
          <w:sz w:val="22"/>
          <w:szCs w:val="22"/>
        </w:rPr>
        <w:t>maintain</w:t>
      </w:r>
      <w:r>
        <w:rPr>
          <w:rFonts w:ascii="Arial" w:hAnsi="Arial" w:cs="Arial"/>
          <w:sz w:val="22"/>
          <w:szCs w:val="22"/>
        </w:rPr>
        <w:t>ing</w:t>
      </w:r>
      <w:r w:rsidRPr="00F64A41">
        <w:rPr>
          <w:rFonts w:ascii="Arial" w:hAnsi="Arial" w:cs="Arial"/>
          <w:sz w:val="22"/>
          <w:szCs w:val="22"/>
        </w:rPr>
        <w:t xml:space="preserve"> the information being requested in accordance with provisions found in Appendix B of 10 CFR Part 50 requiring the existence of a quality assurance program that appropriately characterizes each component (Criterion VII, “Control of Purchased Material, Equipment and Services,” and Criterion VIII, “Identification and Control of Materials, Parts, and Components”), that provides for appropriate testing to demonstrate satisfactory in-service performance of components (Criterion XI), and that ensures that sufficient records will be maintained to furnish evidence of such activities in an identifiable and retrievable form (Criterion XVII, “Quality Assurance Records”).</w:t>
      </w:r>
      <w:r w:rsidR="00675376">
        <w:rPr>
          <w:rFonts w:ascii="Arial" w:hAnsi="Arial" w:cs="Arial"/>
          <w:sz w:val="22"/>
          <w:szCs w:val="22"/>
        </w:rPr>
        <w:t xml:space="preserve">  The NRC staff recognizes that site-specific considerations may require some flexibility in the response to be provided to the NRC, and has incorporated such language in the generic letter.  The NRC is very explicit that no new analyses, new programs, or new research is to be developed or implemented in response to this generic letter, </w:t>
      </w:r>
      <w:r w:rsidR="00852CF7">
        <w:rPr>
          <w:rFonts w:ascii="Arial" w:hAnsi="Arial" w:cs="Arial"/>
          <w:sz w:val="22"/>
          <w:szCs w:val="22"/>
        </w:rPr>
        <w:t xml:space="preserve">which </w:t>
      </w:r>
      <w:r w:rsidR="007413F3">
        <w:rPr>
          <w:rFonts w:ascii="Arial" w:hAnsi="Arial" w:cs="Arial"/>
          <w:sz w:val="22"/>
          <w:szCs w:val="22"/>
        </w:rPr>
        <w:t xml:space="preserve">considerably </w:t>
      </w:r>
      <w:r w:rsidR="00852CF7">
        <w:rPr>
          <w:rFonts w:ascii="Arial" w:hAnsi="Arial" w:cs="Arial"/>
          <w:sz w:val="22"/>
          <w:szCs w:val="22"/>
        </w:rPr>
        <w:t>limits</w:t>
      </w:r>
      <w:r w:rsidR="00675376">
        <w:rPr>
          <w:rFonts w:ascii="Arial" w:hAnsi="Arial" w:cs="Arial"/>
          <w:sz w:val="22"/>
          <w:szCs w:val="22"/>
        </w:rPr>
        <w:t xml:space="preserve"> the burden </w:t>
      </w:r>
      <w:r w:rsidR="007413F3">
        <w:rPr>
          <w:rFonts w:ascii="Arial" w:hAnsi="Arial" w:cs="Arial"/>
          <w:sz w:val="22"/>
          <w:szCs w:val="22"/>
        </w:rPr>
        <w:t>for</w:t>
      </w:r>
      <w:r w:rsidR="00675376">
        <w:rPr>
          <w:rFonts w:ascii="Arial" w:hAnsi="Arial" w:cs="Arial"/>
          <w:sz w:val="22"/>
          <w:szCs w:val="22"/>
        </w:rPr>
        <w:t xml:space="preserve"> licensees to a reasonable search for information and the associated documentation.</w:t>
      </w:r>
    </w:p>
    <w:p w14:paraId="4638D745" w14:textId="77777777" w:rsidR="00F07FEE" w:rsidRPr="00F07FEE" w:rsidRDefault="00F07FEE" w:rsidP="00F07FEE">
      <w:pPr>
        <w:ind w:left="1800"/>
        <w:rPr>
          <w:rFonts w:ascii="Arial" w:hAnsi="Arial" w:cs="Arial"/>
          <w:sz w:val="22"/>
          <w:szCs w:val="22"/>
        </w:rPr>
      </w:pPr>
    </w:p>
    <w:p w14:paraId="0DA74876" w14:textId="77777777" w:rsidR="002A64F1" w:rsidRPr="00F07FEE" w:rsidRDefault="002A64F1" w:rsidP="001C57FF">
      <w:pPr>
        <w:pStyle w:val="Level1"/>
        <w:keepNext/>
        <w:keepLines/>
        <w:widowControl/>
        <w:numPr>
          <w:ilvl w:val="0"/>
          <w:numId w:val="3"/>
        </w:numPr>
        <w:rPr>
          <w:rFonts w:ascii="Arial" w:hAnsi="Arial" w:cs="Arial"/>
          <w:sz w:val="22"/>
          <w:szCs w:val="22"/>
        </w:rPr>
      </w:pPr>
      <w:r w:rsidRPr="00F07FEE">
        <w:rPr>
          <w:rFonts w:ascii="Arial" w:hAnsi="Arial" w:cs="Arial"/>
          <w:sz w:val="22"/>
          <w:szCs w:val="22"/>
          <w:u w:val="single"/>
        </w:rPr>
        <w:t>Estimate of Other Additional Costs</w:t>
      </w:r>
    </w:p>
    <w:p w14:paraId="65939AE6" w14:textId="77777777" w:rsidR="002A64F1" w:rsidRPr="00F07FEE" w:rsidRDefault="002A64F1" w:rsidP="001C57FF">
      <w:pPr>
        <w:pStyle w:val="Level1"/>
        <w:keepNext/>
        <w:keepLines/>
        <w:widowControl/>
        <w:rPr>
          <w:rFonts w:ascii="Arial" w:hAnsi="Arial" w:cs="Arial"/>
          <w:sz w:val="22"/>
          <w:szCs w:val="22"/>
        </w:rPr>
      </w:pPr>
    </w:p>
    <w:p w14:paraId="6AAA670F" w14:textId="77777777" w:rsidR="002A64F1" w:rsidRPr="00F07FEE" w:rsidRDefault="00C90761" w:rsidP="001C57FF">
      <w:pPr>
        <w:pStyle w:val="Level1"/>
        <w:keepNext/>
        <w:keepLines/>
        <w:widowControl/>
        <w:ind w:left="1080"/>
        <w:rPr>
          <w:rFonts w:ascii="Arial" w:hAnsi="Arial" w:cs="Arial"/>
          <w:sz w:val="22"/>
          <w:szCs w:val="22"/>
        </w:rPr>
      </w:pPr>
      <w:r w:rsidRPr="00F07FEE">
        <w:rPr>
          <w:rFonts w:ascii="Arial" w:hAnsi="Arial" w:cs="Arial"/>
          <w:sz w:val="22"/>
          <w:szCs w:val="22"/>
        </w:rPr>
        <w:t>There are no additional costs.</w:t>
      </w:r>
    </w:p>
    <w:p w14:paraId="26408DCE" w14:textId="77777777" w:rsidR="002A64F1" w:rsidRPr="00F07FEE" w:rsidRDefault="002A64F1" w:rsidP="002A64F1">
      <w:pPr>
        <w:pStyle w:val="Level1"/>
        <w:widowControl/>
        <w:rPr>
          <w:rFonts w:ascii="Arial" w:hAnsi="Arial" w:cs="Arial"/>
          <w:sz w:val="22"/>
          <w:szCs w:val="22"/>
        </w:rPr>
      </w:pPr>
    </w:p>
    <w:p w14:paraId="158CEC22" w14:textId="77777777" w:rsidR="002A64F1" w:rsidRPr="00F07FEE" w:rsidRDefault="002A64F1" w:rsidP="002A64F1">
      <w:pPr>
        <w:pStyle w:val="Level1"/>
        <w:widowControl/>
        <w:numPr>
          <w:ilvl w:val="0"/>
          <w:numId w:val="3"/>
        </w:numPr>
        <w:rPr>
          <w:rFonts w:ascii="Arial" w:hAnsi="Arial" w:cs="Arial"/>
          <w:sz w:val="22"/>
          <w:szCs w:val="22"/>
        </w:rPr>
      </w:pPr>
      <w:r w:rsidRPr="00F07FEE">
        <w:rPr>
          <w:rFonts w:ascii="Arial" w:hAnsi="Arial" w:cs="Arial"/>
          <w:sz w:val="22"/>
          <w:szCs w:val="22"/>
          <w:u w:val="single"/>
        </w:rPr>
        <w:t>Estimated Annualized Cost to the Federal Government</w:t>
      </w:r>
    </w:p>
    <w:p w14:paraId="5A4B9517" w14:textId="77777777" w:rsidR="002A64F1" w:rsidRPr="00F07FEE" w:rsidRDefault="002A64F1" w:rsidP="002A64F1">
      <w:pPr>
        <w:pStyle w:val="Level1"/>
        <w:widowControl/>
        <w:rPr>
          <w:rFonts w:ascii="Arial" w:hAnsi="Arial" w:cs="Arial"/>
          <w:sz w:val="22"/>
          <w:szCs w:val="22"/>
          <w:u w:val="single"/>
        </w:rPr>
      </w:pPr>
    </w:p>
    <w:p w14:paraId="20A36ACD" w14:textId="6D7DB221" w:rsidR="004A41ED" w:rsidRPr="00F07FEE" w:rsidRDefault="00873F21" w:rsidP="00873F21">
      <w:pPr>
        <w:pStyle w:val="Level1"/>
        <w:widowControl/>
        <w:ind w:left="1080"/>
        <w:rPr>
          <w:rFonts w:ascii="Arial" w:hAnsi="Arial" w:cs="Arial"/>
          <w:sz w:val="22"/>
          <w:szCs w:val="22"/>
        </w:rPr>
      </w:pPr>
      <w:r w:rsidRPr="00F07FEE">
        <w:rPr>
          <w:rFonts w:ascii="Arial" w:hAnsi="Arial" w:cs="Arial"/>
          <w:sz w:val="22"/>
          <w:szCs w:val="22"/>
        </w:rPr>
        <w:t xml:space="preserve">The NRC </w:t>
      </w:r>
      <w:r w:rsidR="00CD1FB7" w:rsidRPr="00F07FEE">
        <w:rPr>
          <w:rFonts w:ascii="Arial" w:hAnsi="Arial" w:cs="Arial"/>
          <w:sz w:val="22"/>
          <w:szCs w:val="22"/>
        </w:rPr>
        <w:t xml:space="preserve">staff </w:t>
      </w:r>
      <w:r w:rsidRPr="00F07FEE">
        <w:rPr>
          <w:rFonts w:ascii="Arial" w:hAnsi="Arial" w:cs="Arial"/>
          <w:sz w:val="22"/>
          <w:szCs w:val="22"/>
        </w:rPr>
        <w:t xml:space="preserve">estimates that </w:t>
      </w:r>
      <w:r w:rsidR="00E4364A" w:rsidRPr="00F07FEE">
        <w:rPr>
          <w:rFonts w:ascii="Arial" w:hAnsi="Arial" w:cs="Arial"/>
          <w:sz w:val="22"/>
          <w:szCs w:val="22"/>
        </w:rPr>
        <w:t>review</w:t>
      </w:r>
      <w:r w:rsidR="00D040C8" w:rsidRPr="00F07FEE">
        <w:rPr>
          <w:rFonts w:ascii="Arial" w:hAnsi="Arial" w:cs="Arial"/>
          <w:sz w:val="22"/>
          <w:szCs w:val="22"/>
        </w:rPr>
        <w:t xml:space="preserve"> </w:t>
      </w:r>
      <w:r w:rsidR="00675376">
        <w:rPr>
          <w:rFonts w:ascii="Arial" w:hAnsi="Arial" w:cs="Arial"/>
          <w:sz w:val="22"/>
          <w:szCs w:val="22"/>
        </w:rPr>
        <w:t xml:space="preserve">of </w:t>
      </w:r>
      <w:r w:rsidR="00D040C8" w:rsidRPr="00F07FEE">
        <w:rPr>
          <w:rFonts w:ascii="Arial" w:hAnsi="Arial" w:cs="Arial"/>
          <w:sz w:val="22"/>
          <w:szCs w:val="22"/>
        </w:rPr>
        <w:t xml:space="preserve">the information </w:t>
      </w:r>
      <w:r w:rsidR="00675376">
        <w:rPr>
          <w:rFonts w:ascii="Arial" w:hAnsi="Arial" w:cs="Arial"/>
          <w:sz w:val="22"/>
          <w:szCs w:val="22"/>
        </w:rPr>
        <w:t>in response to this information request</w:t>
      </w:r>
      <w:r w:rsidR="00E4364A" w:rsidRPr="00F07FEE">
        <w:rPr>
          <w:rFonts w:ascii="Arial" w:hAnsi="Arial" w:cs="Arial"/>
          <w:sz w:val="22"/>
          <w:szCs w:val="22"/>
        </w:rPr>
        <w:t xml:space="preserve"> will require</w:t>
      </w:r>
      <w:r w:rsidR="00675376">
        <w:rPr>
          <w:rFonts w:ascii="Arial" w:hAnsi="Arial" w:cs="Arial"/>
          <w:sz w:val="22"/>
          <w:szCs w:val="22"/>
        </w:rPr>
        <w:t xml:space="preserve"> about</w:t>
      </w:r>
      <w:r w:rsidR="00E4364A" w:rsidRPr="00F07FEE">
        <w:rPr>
          <w:rFonts w:ascii="Arial" w:hAnsi="Arial" w:cs="Arial"/>
          <w:sz w:val="22"/>
          <w:szCs w:val="22"/>
        </w:rPr>
        <w:t xml:space="preserve"> </w:t>
      </w:r>
      <w:r w:rsidR="009551AA">
        <w:rPr>
          <w:rFonts w:ascii="Arial" w:hAnsi="Arial" w:cs="Arial"/>
          <w:sz w:val="22"/>
          <w:szCs w:val="22"/>
        </w:rPr>
        <w:t>five</w:t>
      </w:r>
      <w:r w:rsidR="00D040C8" w:rsidRPr="00F07FEE">
        <w:rPr>
          <w:rFonts w:ascii="Arial" w:hAnsi="Arial" w:cs="Arial"/>
          <w:sz w:val="22"/>
          <w:szCs w:val="22"/>
        </w:rPr>
        <w:t xml:space="preserve"> </w:t>
      </w:r>
      <w:r w:rsidR="00E30D90" w:rsidRPr="00F07FEE">
        <w:rPr>
          <w:rFonts w:ascii="Arial" w:hAnsi="Arial" w:cs="Arial"/>
          <w:sz w:val="22"/>
          <w:szCs w:val="22"/>
        </w:rPr>
        <w:t xml:space="preserve">full-time equivalent (FTE) employees over </w:t>
      </w:r>
      <w:r w:rsidR="000B7046">
        <w:rPr>
          <w:rFonts w:ascii="Arial" w:hAnsi="Arial" w:cs="Arial"/>
          <w:sz w:val="22"/>
          <w:szCs w:val="22"/>
        </w:rPr>
        <w:t xml:space="preserve">the course of </w:t>
      </w:r>
      <w:r w:rsidR="00675376">
        <w:rPr>
          <w:rFonts w:ascii="Arial" w:hAnsi="Arial" w:cs="Arial"/>
          <w:sz w:val="22"/>
          <w:szCs w:val="22"/>
        </w:rPr>
        <w:t>a</w:t>
      </w:r>
      <w:r w:rsidR="000B7046">
        <w:rPr>
          <w:rFonts w:ascii="Arial" w:hAnsi="Arial" w:cs="Arial"/>
          <w:sz w:val="22"/>
          <w:szCs w:val="22"/>
        </w:rPr>
        <w:t xml:space="preserve"> year.</w:t>
      </w:r>
      <w:r w:rsidR="004A41ED" w:rsidRPr="00F07FEE">
        <w:rPr>
          <w:rFonts w:ascii="Arial" w:hAnsi="Arial" w:cs="Arial"/>
          <w:sz w:val="22"/>
          <w:szCs w:val="22"/>
        </w:rPr>
        <w:t xml:space="preserve">  At an estimated </w:t>
      </w:r>
      <w:r w:rsidR="00675376">
        <w:rPr>
          <w:rFonts w:ascii="Arial" w:hAnsi="Arial" w:cs="Arial"/>
          <w:sz w:val="22"/>
          <w:szCs w:val="22"/>
        </w:rPr>
        <w:t>2,080</w:t>
      </w:r>
      <w:r w:rsidR="004A41ED" w:rsidRPr="00F07FEE">
        <w:rPr>
          <w:rFonts w:ascii="Arial" w:hAnsi="Arial" w:cs="Arial"/>
          <w:sz w:val="22"/>
          <w:szCs w:val="22"/>
        </w:rPr>
        <w:t xml:space="preserve"> hours per FTE, NRC effort is estimated at </w:t>
      </w:r>
      <w:r w:rsidR="002C0BDC" w:rsidRPr="00F07FEE">
        <w:rPr>
          <w:rFonts w:ascii="Arial" w:hAnsi="Arial" w:cs="Arial"/>
          <w:sz w:val="22"/>
          <w:szCs w:val="22"/>
        </w:rPr>
        <w:t>1</w:t>
      </w:r>
      <w:r w:rsidR="00675376">
        <w:rPr>
          <w:rFonts w:ascii="Arial" w:hAnsi="Arial" w:cs="Arial"/>
          <w:sz w:val="22"/>
          <w:szCs w:val="22"/>
        </w:rPr>
        <w:t>0</w:t>
      </w:r>
      <w:r w:rsidR="00D040C8" w:rsidRPr="00F07FEE">
        <w:rPr>
          <w:rFonts w:ascii="Arial" w:hAnsi="Arial" w:cs="Arial"/>
          <w:sz w:val="22"/>
          <w:szCs w:val="22"/>
        </w:rPr>
        <w:t>,4</w:t>
      </w:r>
      <w:r w:rsidR="002C0BDC" w:rsidRPr="00F07FEE">
        <w:rPr>
          <w:rFonts w:ascii="Arial" w:hAnsi="Arial" w:cs="Arial"/>
          <w:sz w:val="22"/>
          <w:szCs w:val="22"/>
        </w:rPr>
        <w:t>00</w:t>
      </w:r>
      <w:r w:rsidR="004A41ED" w:rsidRPr="00F07FEE">
        <w:rPr>
          <w:rFonts w:ascii="Arial" w:hAnsi="Arial" w:cs="Arial"/>
          <w:sz w:val="22"/>
          <w:szCs w:val="22"/>
        </w:rPr>
        <w:t xml:space="preserve"> hours or $</w:t>
      </w:r>
      <w:r w:rsidR="00675376">
        <w:rPr>
          <w:rFonts w:ascii="Arial" w:hAnsi="Arial" w:cs="Arial"/>
          <w:sz w:val="22"/>
          <w:szCs w:val="22"/>
        </w:rPr>
        <w:t>2,901,600</w:t>
      </w:r>
      <w:r w:rsidR="004A41ED" w:rsidRPr="00F07FEE">
        <w:rPr>
          <w:rFonts w:ascii="Arial" w:hAnsi="Arial" w:cs="Arial"/>
          <w:sz w:val="22"/>
          <w:szCs w:val="22"/>
        </w:rPr>
        <w:t xml:space="preserve"> (</w:t>
      </w:r>
      <w:r w:rsidR="00675376">
        <w:rPr>
          <w:rFonts w:ascii="Arial" w:hAnsi="Arial" w:cs="Arial"/>
          <w:sz w:val="22"/>
          <w:szCs w:val="22"/>
        </w:rPr>
        <w:t>2,080</w:t>
      </w:r>
      <w:r w:rsidR="004A41ED" w:rsidRPr="00F07FEE">
        <w:rPr>
          <w:rFonts w:ascii="Arial" w:hAnsi="Arial" w:cs="Arial"/>
          <w:sz w:val="22"/>
          <w:szCs w:val="22"/>
        </w:rPr>
        <w:t xml:space="preserve"> </w:t>
      </w:r>
      <w:r w:rsidR="008D3033">
        <w:rPr>
          <w:rFonts w:ascii="Arial" w:hAnsi="Arial" w:cs="Arial"/>
          <w:sz w:val="22"/>
          <w:szCs w:val="22"/>
        </w:rPr>
        <w:t xml:space="preserve">hours/FTE </w:t>
      </w:r>
      <w:r w:rsidR="004A41ED" w:rsidRPr="00F07FEE">
        <w:rPr>
          <w:rFonts w:ascii="Arial" w:hAnsi="Arial" w:cs="Arial"/>
          <w:sz w:val="22"/>
          <w:szCs w:val="22"/>
        </w:rPr>
        <w:t xml:space="preserve">x </w:t>
      </w:r>
      <w:r w:rsidR="008D3033">
        <w:rPr>
          <w:rFonts w:ascii="Arial" w:hAnsi="Arial" w:cs="Arial"/>
          <w:sz w:val="22"/>
          <w:szCs w:val="22"/>
        </w:rPr>
        <w:t xml:space="preserve">5 FTE x </w:t>
      </w:r>
      <w:r w:rsidR="004A41ED" w:rsidRPr="00F07FEE">
        <w:rPr>
          <w:rFonts w:ascii="Arial" w:hAnsi="Arial" w:cs="Arial"/>
          <w:sz w:val="22"/>
          <w:szCs w:val="22"/>
        </w:rPr>
        <w:t>$27</w:t>
      </w:r>
      <w:r w:rsidR="005C5FCB">
        <w:rPr>
          <w:rFonts w:ascii="Arial" w:hAnsi="Arial" w:cs="Arial"/>
          <w:sz w:val="22"/>
          <w:szCs w:val="22"/>
        </w:rPr>
        <w:t>9</w:t>
      </w:r>
      <w:r w:rsidR="004A41ED" w:rsidRPr="00F07FEE">
        <w:rPr>
          <w:rFonts w:ascii="Arial" w:hAnsi="Arial" w:cs="Arial"/>
          <w:sz w:val="22"/>
          <w:szCs w:val="22"/>
        </w:rPr>
        <w:t>/</w:t>
      </w:r>
      <w:proofErr w:type="spellStart"/>
      <w:r w:rsidR="004A41ED" w:rsidRPr="00F07FEE">
        <w:rPr>
          <w:rFonts w:ascii="Arial" w:hAnsi="Arial" w:cs="Arial"/>
          <w:sz w:val="22"/>
          <w:szCs w:val="22"/>
        </w:rPr>
        <w:t>hr</w:t>
      </w:r>
      <w:proofErr w:type="spellEnd"/>
      <w:r w:rsidR="004A41ED" w:rsidRPr="00F07FEE">
        <w:rPr>
          <w:rFonts w:ascii="Arial" w:hAnsi="Arial" w:cs="Arial"/>
          <w:sz w:val="22"/>
          <w:szCs w:val="22"/>
        </w:rPr>
        <w:t>).</w:t>
      </w:r>
    </w:p>
    <w:p w14:paraId="3844ECFA" w14:textId="77777777" w:rsidR="00153308" w:rsidRPr="00F07FEE" w:rsidRDefault="00153308" w:rsidP="002A64F1">
      <w:pPr>
        <w:pStyle w:val="Level1"/>
        <w:widowControl/>
        <w:rPr>
          <w:rFonts w:ascii="Arial" w:hAnsi="Arial" w:cs="Arial"/>
          <w:sz w:val="22"/>
          <w:szCs w:val="22"/>
        </w:rPr>
      </w:pPr>
    </w:p>
    <w:p w14:paraId="4743F6A1" w14:textId="77777777" w:rsidR="002A64F1" w:rsidRPr="00F07FEE" w:rsidRDefault="002A64F1" w:rsidP="002A64F1">
      <w:pPr>
        <w:widowControl w:val="0"/>
        <w:numPr>
          <w:ilvl w:val="0"/>
          <w:numId w:val="3"/>
        </w:numPr>
        <w:rPr>
          <w:rFonts w:ascii="Arial" w:hAnsi="Arial" w:cs="Arial"/>
          <w:sz w:val="22"/>
          <w:szCs w:val="22"/>
          <w:u w:val="single"/>
        </w:rPr>
      </w:pPr>
      <w:r w:rsidRPr="00F07FEE">
        <w:rPr>
          <w:rFonts w:ascii="Arial" w:hAnsi="Arial" w:cs="Arial"/>
          <w:sz w:val="22"/>
          <w:szCs w:val="22"/>
          <w:u w:val="single"/>
        </w:rPr>
        <w:t>Reasons for Change in Burden or Cost</w:t>
      </w:r>
    </w:p>
    <w:p w14:paraId="15596717" w14:textId="77777777" w:rsidR="002A64F1" w:rsidRPr="00F07FEE" w:rsidRDefault="002A64F1" w:rsidP="002A64F1">
      <w:pPr>
        <w:widowControl w:val="0"/>
        <w:rPr>
          <w:rFonts w:ascii="Arial" w:hAnsi="Arial" w:cs="Arial"/>
          <w:sz w:val="22"/>
          <w:szCs w:val="22"/>
          <w:u w:val="single"/>
        </w:rPr>
      </w:pPr>
    </w:p>
    <w:p w14:paraId="21D4A6B6" w14:textId="2D056F47" w:rsidR="002A64F1" w:rsidRPr="00F07FEE" w:rsidRDefault="00E4364A" w:rsidP="00E30D90">
      <w:pPr>
        <w:widowControl w:val="0"/>
        <w:ind w:left="1080"/>
        <w:rPr>
          <w:rFonts w:ascii="Arial" w:hAnsi="Arial" w:cs="Arial"/>
          <w:sz w:val="22"/>
          <w:szCs w:val="22"/>
        </w:rPr>
      </w:pPr>
      <w:r w:rsidRPr="00F07FEE">
        <w:rPr>
          <w:rFonts w:ascii="Arial" w:hAnsi="Arial" w:cs="Arial"/>
          <w:sz w:val="22"/>
          <w:szCs w:val="22"/>
        </w:rPr>
        <w:t xml:space="preserve">The current clearance request is a new collection, issued pursuant to 10 CFR </w:t>
      </w:r>
      <w:r w:rsidR="00852CF7">
        <w:rPr>
          <w:rFonts w:ascii="Arial" w:hAnsi="Arial" w:cs="Arial"/>
          <w:sz w:val="22"/>
          <w:szCs w:val="22"/>
        </w:rPr>
        <w:t>50.54(f)</w:t>
      </w:r>
      <w:r w:rsidRPr="00F07FEE">
        <w:rPr>
          <w:rFonts w:ascii="Arial" w:hAnsi="Arial" w:cs="Arial"/>
          <w:sz w:val="22"/>
          <w:szCs w:val="22"/>
        </w:rPr>
        <w:t xml:space="preserve">, which would impose a total of </w:t>
      </w:r>
      <w:r w:rsidR="00852CF7">
        <w:rPr>
          <w:rFonts w:ascii="Arial" w:hAnsi="Arial" w:cs="Arial"/>
          <w:sz w:val="22"/>
          <w:szCs w:val="22"/>
        </w:rPr>
        <w:t>12,900</w:t>
      </w:r>
      <w:r w:rsidRPr="00F07FEE">
        <w:rPr>
          <w:rFonts w:ascii="Arial" w:hAnsi="Arial" w:cs="Arial"/>
          <w:sz w:val="22"/>
          <w:szCs w:val="22"/>
        </w:rPr>
        <w:t xml:space="preserve"> hours of burden on </w:t>
      </w:r>
      <w:r w:rsidR="00852CF7">
        <w:rPr>
          <w:rFonts w:ascii="Arial" w:hAnsi="Arial" w:cs="Arial"/>
          <w:sz w:val="22"/>
          <w:szCs w:val="22"/>
        </w:rPr>
        <w:t>power reactor licensees at 70 sites and non-power reactor licensees at 42 sites</w:t>
      </w:r>
      <w:r w:rsidRPr="00F07FEE">
        <w:rPr>
          <w:rFonts w:ascii="Arial" w:hAnsi="Arial" w:cs="Arial"/>
          <w:sz w:val="22"/>
          <w:szCs w:val="22"/>
        </w:rPr>
        <w:t xml:space="preserve"> to </w:t>
      </w:r>
      <w:r w:rsidR="0027059B" w:rsidRPr="00F07FEE">
        <w:rPr>
          <w:rFonts w:ascii="Arial" w:hAnsi="Arial" w:cs="Arial"/>
          <w:sz w:val="22"/>
          <w:szCs w:val="22"/>
        </w:rPr>
        <w:t>verify that they are in compliance with the</w:t>
      </w:r>
      <w:r w:rsidR="0004296C" w:rsidRPr="00F07FEE">
        <w:rPr>
          <w:rFonts w:ascii="Arial" w:hAnsi="Arial" w:cs="Arial"/>
          <w:sz w:val="22"/>
          <w:szCs w:val="22"/>
        </w:rPr>
        <w:t xml:space="preserve"> </w:t>
      </w:r>
      <w:r w:rsidR="0027059B" w:rsidRPr="00F07FEE">
        <w:rPr>
          <w:rFonts w:ascii="Arial" w:hAnsi="Arial" w:cs="Arial"/>
          <w:sz w:val="22"/>
          <w:szCs w:val="22"/>
        </w:rPr>
        <w:t>regulatory requirements</w:t>
      </w:r>
      <w:r w:rsidR="009551AA">
        <w:rPr>
          <w:rFonts w:ascii="Arial" w:hAnsi="Arial" w:cs="Arial"/>
          <w:sz w:val="22"/>
          <w:szCs w:val="22"/>
        </w:rPr>
        <w:t>,</w:t>
      </w:r>
      <w:r w:rsidR="0004296C" w:rsidRPr="00F07FEE">
        <w:rPr>
          <w:rFonts w:ascii="Arial" w:hAnsi="Arial" w:cs="Arial"/>
          <w:sz w:val="22"/>
          <w:szCs w:val="22"/>
        </w:rPr>
        <w:t xml:space="preserve"> and demonstrate that they provide adequate protection of public health and safety.</w:t>
      </w:r>
    </w:p>
    <w:p w14:paraId="760C6749" w14:textId="77777777" w:rsidR="002A64F1" w:rsidRPr="00F07FEE" w:rsidRDefault="002A64F1" w:rsidP="002A64F1">
      <w:pPr>
        <w:widowControl w:val="0"/>
        <w:rPr>
          <w:rFonts w:ascii="Arial" w:hAnsi="Arial" w:cs="Arial"/>
          <w:sz w:val="22"/>
          <w:szCs w:val="22"/>
          <w:u w:val="single"/>
        </w:rPr>
      </w:pPr>
    </w:p>
    <w:p w14:paraId="54E34D2F" w14:textId="77777777" w:rsidR="002A64F1" w:rsidRPr="00F07FEE" w:rsidRDefault="002A64F1" w:rsidP="002A64F1">
      <w:pPr>
        <w:pStyle w:val="Level1"/>
        <w:numPr>
          <w:ilvl w:val="0"/>
          <w:numId w:val="3"/>
        </w:numPr>
        <w:rPr>
          <w:rFonts w:ascii="Arial" w:hAnsi="Arial" w:cs="Arial"/>
          <w:sz w:val="22"/>
          <w:szCs w:val="22"/>
        </w:rPr>
      </w:pPr>
      <w:r w:rsidRPr="00F07FEE">
        <w:rPr>
          <w:rFonts w:ascii="Arial" w:hAnsi="Arial" w:cs="Arial"/>
          <w:sz w:val="22"/>
          <w:szCs w:val="22"/>
          <w:u w:val="single"/>
        </w:rPr>
        <w:t>Publication for Statistical Use</w:t>
      </w:r>
    </w:p>
    <w:p w14:paraId="2F14F30B" w14:textId="77777777" w:rsidR="002A64F1" w:rsidRPr="00F07FEE" w:rsidRDefault="002A64F1" w:rsidP="002A64F1">
      <w:pPr>
        <w:pStyle w:val="Level1"/>
        <w:rPr>
          <w:rFonts w:ascii="Arial" w:hAnsi="Arial" w:cs="Arial"/>
          <w:sz w:val="22"/>
          <w:szCs w:val="22"/>
        </w:rPr>
      </w:pPr>
    </w:p>
    <w:p w14:paraId="51BCC736" w14:textId="77777777" w:rsidR="002A64F1" w:rsidRPr="00F07FEE" w:rsidRDefault="00852CF7" w:rsidP="00D871AC">
      <w:pPr>
        <w:pStyle w:val="Level1"/>
        <w:ind w:left="1080"/>
        <w:rPr>
          <w:rFonts w:ascii="Arial" w:hAnsi="Arial" w:cs="Arial"/>
          <w:sz w:val="22"/>
          <w:szCs w:val="22"/>
        </w:rPr>
      </w:pPr>
      <w:r>
        <w:rPr>
          <w:rFonts w:ascii="Arial" w:hAnsi="Arial" w:cs="Arial"/>
          <w:sz w:val="22"/>
          <w:szCs w:val="22"/>
        </w:rPr>
        <w:t>Not a</w:t>
      </w:r>
      <w:r w:rsidR="0037401F" w:rsidRPr="00F07FEE">
        <w:rPr>
          <w:rFonts w:ascii="Arial" w:hAnsi="Arial" w:cs="Arial"/>
          <w:sz w:val="22"/>
          <w:szCs w:val="22"/>
        </w:rPr>
        <w:t>pplicable</w:t>
      </w:r>
      <w:r>
        <w:rPr>
          <w:rFonts w:ascii="Arial" w:hAnsi="Arial" w:cs="Arial"/>
          <w:sz w:val="22"/>
          <w:szCs w:val="22"/>
        </w:rPr>
        <w:t>.</w:t>
      </w:r>
    </w:p>
    <w:p w14:paraId="523330C4" w14:textId="77777777" w:rsidR="002A64F1" w:rsidRPr="00F07FEE" w:rsidRDefault="002A64F1" w:rsidP="002A64F1">
      <w:pPr>
        <w:pStyle w:val="Level1"/>
        <w:rPr>
          <w:rFonts w:ascii="Arial" w:hAnsi="Arial" w:cs="Arial"/>
          <w:sz w:val="22"/>
          <w:szCs w:val="22"/>
        </w:rPr>
      </w:pPr>
    </w:p>
    <w:p w14:paraId="10E2BA5B" w14:textId="77777777" w:rsidR="002A64F1" w:rsidRPr="00F07FEE" w:rsidRDefault="002A64F1" w:rsidP="002A64F1">
      <w:pPr>
        <w:pStyle w:val="Level1"/>
        <w:numPr>
          <w:ilvl w:val="0"/>
          <w:numId w:val="3"/>
        </w:numPr>
        <w:rPr>
          <w:rFonts w:ascii="Arial" w:hAnsi="Arial" w:cs="Arial"/>
          <w:sz w:val="22"/>
          <w:szCs w:val="22"/>
        </w:rPr>
      </w:pPr>
      <w:r w:rsidRPr="00F07FEE">
        <w:rPr>
          <w:rFonts w:ascii="Arial" w:hAnsi="Arial" w:cs="Arial"/>
          <w:sz w:val="22"/>
          <w:szCs w:val="22"/>
          <w:u w:val="single"/>
        </w:rPr>
        <w:t>Reason for Not Displaying the Expiration Date</w:t>
      </w:r>
    </w:p>
    <w:p w14:paraId="6513DECB" w14:textId="77777777" w:rsidR="002A64F1" w:rsidRPr="00F07FEE" w:rsidRDefault="002A64F1" w:rsidP="002A64F1">
      <w:pPr>
        <w:pStyle w:val="Level1"/>
        <w:rPr>
          <w:rFonts w:ascii="Arial" w:hAnsi="Arial" w:cs="Arial"/>
          <w:sz w:val="22"/>
          <w:szCs w:val="22"/>
        </w:rPr>
      </w:pPr>
    </w:p>
    <w:p w14:paraId="4656F241" w14:textId="77777777" w:rsidR="002A64F1" w:rsidRPr="00F07FEE" w:rsidRDefault="00852CF7" w:rsidP="00D871AC">
      <w:pPr>
        <w:pStyle w:val="Level1"/>
        <w:ind w:left="1080"/>
        <w:rPr>
          <w:rFonts w:ascii="Arial" w:hAnsi="Arial" w:cs="Arial"/>
          <w:sz w:val="22"/>
          <w:szCs w:val="22"/>
        </w:rPr>
      </w:pPr>
      <w:r>
        <w:rPr>
          <w:rFonts w:ascii="Arial" w:hAnsi="Arial" w:cs="Arial"/>
          <w:sz w:val="22"/>
          <w:szCs w:val="22"/>
        </w:rPr>
        <w:t>Not a</w:t>
      </w:r>
      <w:r w:rsidR="0037401F" w:rsidRPr="00F07FEE">
        <w:rPr>
          <w:rFonts w:ascii="Arial" w:hAnsi="Arial" w:cs="Arial"/>
          <w:sz w:val="22"/>
          <w:szCs w:val="22"/>
        </w:rPr>
        <w:t>pplicable</w:t>
      </w:r>
      <w:r>
        <w:rPr>
          <w:rFonts w:ascii="Arial" w:hAnsi="Arial" w:cs="Arial"/>
          <w:sz w:val="22"/>
          <w:szCs w:val="22"/>
        </w:rPr>
        <w:t>.</w:t>
      </w:r>
    </w:p>
    <w:p w14:paraId="10987FA8" w14:textId="77777777" w:rsidR="002A64F1" w:rsidRPr="00F07FEE" w:rsidRDefault="002A64F1" w:rsidP="002A64F1">
      <w:pPr>
        <w:pStyle w:val="Level1"/>
        <w:rPr>
          <w:rFonts w:ascii="Arial" w:hAnsi="Arial" w:cs="Arial"/>
          <w:sz w:val="22"/>
          <w:szCs w:val="22"/>
        </w:rPr>
      </w:pPr>
    </w:p>
    <w:p w14:paraId="456613EB" w14:textId="77777777" w:rsidR="002A64F1" w:rsidRPr="00F07FEE" w:rsidRDefault="002A64F1" w:rsidP="002A64F1">
      <w:pPr>
        <w:pStyle w:val="Level1"/>
        <w:numPr>
          <w:ilvl w:val="0"/>
          <w:numId w:val="3"/>
        </w:numPr>
        <w:rPr>
          <w:rFonts w:ascii="Arial" w:hAnsi="Arial" w:cs="Arial"/>
          <w:sz w:val="22"/>
          <w:szCs w:val="22"/>
        </w:rPr>
      </w:pPr>
      <w:r w:rsidRPr="00F07FEE">
        <w:rPr>
          <w:rFonts w:ascii="Arial" w:hAnsi="Arial" w:cs="Arial"/>
          <w:sz w:val="22"/>
          <w:szCs w:val="22"/>
          <w:u w:val="single"/>
        </w:rPr>
        <w:t>Exceptions to the Certification Statement</w:t>
      </w:r>
    </w:p>
    <w:p w14:paraId="7816E793" w14:textId="77777777" w:rsidR="002A64F1" w:rsidRPr="00F07FEE" w:rsidRDefault="002A64F1" w:rsidP="002A64F1">
      <w:pPr>
        <w:pStyle w:val="Level1"/>
        <w:rPr>
          <w:rFonts w:ascii="Arial" w:hAnsi="Arial" w:cs="Arial"/>
          <w:sz w:val="22"/>
          <w:szCs w:val="22"/>
          <w:u w:val="single"/>
        </w:rPr>
      </w:pPr>
    </w:p>
    <w:p w14:paraId="21BEDE00" w14:textId="77777777" w:rsidR="002A64F1" w:rsidRPr="00F07FEE" w:rsidRDefault="0037401F" w:rsidP="00D871AC">
      <w:pPr>
        <w:pStyle w:val="Level1"/>
        <w:ind w:left="1080"/>
        <w:rPr>
          <w:rFonts w:ascii="Arial" w:hAnsi="Arial" w:cs="Arial"/>
          <w:sz w:val="22"/>
          <w:szCs w:val="22"/>
        </w:rPr>
      </w:pPr>
      <w:r w:rsidRPr="00F07FEE">
        <w:rPr>
          <w:rFonts w:ascii="Arial" w:hAnsi="Arial" w:cs="Arial"/>
          <w:sz w:val="22"/>
          <w:szCs w:val="22"/>
        </w:rPr>
        <w:t>None</w:t>
      </w:r>
      <w:r w:rsidR="00852CF7">
        <w:rPr>
          <w:rFonts w:ascii="Arial" w:hAnsi="Arial" w:cs="Arial"/>
          <w:sz w:val="22"/>
          <w:szCs w:val="22"/>
        </w:rPr>
        <w:t>.</w:t>
      </w:r>
    </w:p>
    <w:p w14:paraId="3257798C" w14:textId="77777777" w:rsidR="002A64F1" w:rsidRPr="00F07FEE" w:rsidRDefault="002A64F1" w:rsidP="002A64F1">
      <w:pPr>
        <w:pStyle w:val="Level1"/>
        <w:rPr>
          <w:rFonts w:ascii="Arial" w:hAnsi="Arial" w:cs="Arial"/>
          <w:sz w:val="22"/>
          <w:szCs w:val="22"/>
        </w:rPr>
      </w:pPr>
    </w:p>
    <w:p w14:paraId="5B37E8DE" w14:textId="75005B61" w:rsidR="009234F2" w:rsidRPr="00785F10" w:rsidRDefault="002A64F1" w:rsidP="00785F10">
      <w:pPr>
        <w:widowControl w:val="0"/>
        <w:numPr>
          <w:ilvl w:val="0"/>
          <w:numId w:val="4"/>
        </w:numPr>
        <w:rPr>
          <w:rFonts w:ascii="Arial" w:hAnsi="Arial" w:cs="Arial"/>
          <w:sz w:val="22"/>
          <w:szCs w:val="22"/>
        </w:rPr>
      </w:pPr>
      <w:r w:rsidRPr="00F07FEE">
        <w:rPr>
          <w:rFonts w:ascii="Arial" w:hAnsi="Arial" w:cs="Arial"/>
          <w:sz w:val="22"/>
          <w:szCs w:val="22"/>
        </w:rPr>
        <w:t>COLLECTIONS OF INFORMATION EMPLOYING STATISTICAL METHODS</w:t>
      </w:r>
    </w:p>
    <w:sectPr w:rsidR="009234F2" w:rsidRPr="00785F10" w:rsidSect="00785F10">
      <w:headerReference w:type="default" r:id="rId8"/>
      <w:footerReference w:type="even" r:id="rId9"/>
      <w:pgSz w:w="12240" w:h="15840" w:code="1"/>
      <w:pgMar w:top="1440" w:right="1440" w:bottom="1440" w:left="1440" w:header="1440" w:footer="1440" w:gutter="0"/>
      <w:pgNumType w:fmt="numberInDash"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9BCE2" w14:textId="77777777" w:rsidR="00BB51B4" w:rsidRDefault="00BB51B4">
      <w:r>
        <w:separator/>
      </w:r>
    </w:p>
  </w:endnote>
  <w:endnote w:type="continuationSeparator" w:id="0">
    <w:p w14:paraId="61345717" w14:textId="77777777" w:rsidR="00BB51B4" w:rsidRDefault="00BB51B4">
      <w:r>
        <w:continuationSeparator/>
      </w:r>
    </w:p>
  </w:endnote>
  <w:endnote w:type="continuationNotice" w:id="1">
    <w:p w14:paraId="3D053F08" w14:textId="77777777" w:rsidR="00BB51B4" w:rsidRDefault="00BB5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D61C5" w14:textId="77777777" w:rsidR="009551AA" w:rsidRDefault="009551AA" w:rsidP="00093A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C833B" w14:textId="77777777" w:rsidR="009551AA" w:rsidRDefault="009551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38063" w14:textId="77777777" w:rsidR="00BB51B4" w:rsidRDefault="00BB51B4">
      <w:r>
        <w:separator/>
      </w:r>
    </w:p>
  </w:footnote>
  <w:footnote w:type="continuationSeparator" w:id="0">
    <w:p w14:paraId="027A4619" w14:textId="77777777" w:rsidR="00BB51B4" w:rsidRDefault="00BB51B4">
      <w:r>
        <w:continuationSeparator/>
      </w:r>
    </w:p>
  </w:footnote>
  <w:footnote w:type="continuationNotice" w:id="1">
    <w:p w14:paraId="537FD692" w14:textId="77777777" w:rsidR="00BB51B4" w:rsidRDefault="00BB51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9538001"/>
      <w:docPartObj>
        <w:docPartGallery w:val="Page Numbers (Top of Page)"/>
        <w:docPartUnique/>
      </w:docPartObj>
    </w:sdtPr>
    <w:sdtEndPr>
      <w:rPr>
        <w:rFonts w:ascii="Arial" w:hAnsi="Arial" w:cs="Arial"/>
        <w:noProof/>
        <w:sz w:val="22"/>
        <w:szCs w:val="22"/>
      </w:rPr>
    </w:sdtEndPr>
    <w:sdtContent>
      <w:p w14:paraId="220F5335" w14:textId="0220BF21" w:rsidR="009551AA" w:rsidRPr="00785F10" w:rsidRDefault="009551AA">
        <w:pPr>
          <w:pStyle w:val="Header"/>
          <w:jc w:val="center"/>
          <w:rPr>
            <w:rFonts w:ascii="Arial" w:hAnsi="Arial" w:cs="Arial"/>
            <w:sz w:val="22"/>
            <w:szCs w:val="22"/>
          </w:rPr>
        </w:pPr>
        <w:r w:rsidRPr="00785F10">
          <w:rPr>
            <w:rFonts w:ascii="Arial" w:hAnsi="Arial" w:cs="Arial"/>
            <w:sz w:val="22"/>
            <w:szCs w:val="22"/>
          </w:rPr>
          <w:fldChar w:fldCharType="begin"/>
        </w:r>
        <w:r w:rsidRPr="00785F10">
          <w:rPr>
            <w:rFonts w:ascii="Arial" w:hAnsi="Arial" w:cs="Arial"/>
            <w:sz w:val="22"/>
            <w:szCs w:val="22"/>
          </w:rPr>
          <w:instrText xml:space="preserve"> PAGE   \* MERGEFORMAT </w:instrText>
        </w:r>
        <w:r w:rsidRPr="00785F10">
          <w:rPr>
            <w:rFonts w:ascii="Arial" w:hAnsi="Arial" w:cs="Arial"/>
            <w:sz w:val="22"/>
            <w:szCs w:val="22"/>
          </w:rPr>
          <w:fldChar w:fldCharType="separate"/>
        </w:r>
        <w:r w:rsidR="00B178E3">
          <w:rPr>
            <w:rFonts w:ascii="Arial" w:hAnsi="Arial" w:cs="Arial"/>
            <w:noProof/>
            <w:sz w:val="22"/>
            <w:szCs w:val="22"/>
          </w:rPr>
          <w:t>- 7 -</w:t>
        </w:r>
        <w:r w:rsidRPr="00785F10">
          <w:rPr>
            <w:rFonts w:ascii="Arial" w:hAnsi="Arial" w:cs="Arial"/>
            <w:noProof/>
            <w:sz w:val="22"/>
            <w:szCs w:val="22"/>
          </w:rPr>
          <w:fldChar w:fldCharType="end"/>
        </w:r>
      </w:p>
    </w:sdtContent>
  </w:sdt>
  <w:p w14:paraId="64D6E7A9" w14:textId="77777777" w:rsidR="009551AA" w:rsidRPr="00785F10" w:rsidRDefault="009551AA">
    <w:pPr>
      <w:pStyle w:val="Header"/>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41812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994F14"/>
    <w:multiLevelType w:val="hybridMultilevel"/>
    <w:tmpl w:val="296A1B78"/>
    <w:lvl w:ilvl="0" w:tplc="0409000F">
      <w:start w:val="1"/>
      <w:numFmt w:val="decimal"/>
      <w:lvlText w:val="%1."/>
      <w:lvlJc w:val="left"/>
      <w:pPr>
        <w:tabs>
          <w:tab w:val="num" w:pos="1080"/>
        </w:tabs>
        <w:ind w:left="1080" w:hanging="360"/>
      </w:pPr>
    </w:lvl>
    <w:lvl w:ilvl="1" w:tplc="04090015">
      <w:start w:val="1"/>
      <w:numFmt w:val="upp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9126B41"/>
    <w:multiLevelType w:val="hybridMultilevel"/>
    <w:tmpl w:val="A05EA5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79D2FB7"/>
    <w:multiLevelType w:val="hybridMultilevel"/>
    <w:tmpl w:val="8822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485A63DA"/>
    <w:multiLevelType w:val="hybridMultilevel"/>
    <w:tmpl w:val="E222E7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CD55EFB"/>
    <w:multiLevelType w:val="hybridMultilevel"/>
    <w:tmpl w:val="277660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8E72C2"/>
    <w:multiLevelType w:val="hybridMultilevel"/>
    <w:tmpl w:val="5B20442C"/>
    <w:lvl w:ilvl="0" w:tplc="D71620DA">
      <w:start w:val="1"/>
      <w:numFmt w:val="decimal"/>
      <w:lvlText w:val="%1."/>
      <w:lvlJc w:val="left"/>
      <w:pPr>
        <w:tabs>
          <w:tab w:val="num" w:pos="2160"/>
        </w:tabs>
        <w:ind w:left="2160" w:hanging="72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64683519"/>
    <w:multiLevelType w:val="hybridMultilevel"/>
    <w:tmpl w:val="818E82A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69263624"/>
    <w:multiLevelType w:val="hybridMultilevel"/>
    <w:tmpl w:val="752EDBBA"/>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6729D0"/>
    <w:multiLevelType w:val="hybridMultilevel"/>
    <w:tmpl w:val="8C24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CE0BE6"/>
    <w:multiLevelType w:val="hybridMultilevel"/>
    <w:tmpl w:val="120807AE"/>
    <w:lvl w:ilvl="0" w:tplc="04090001">
      <w:start w:val="1"/>
      <w:numFmt w:val="bullet"/>
      <w:lvlText w:val=""/>
      <w:lvlJc w:val="left"/>
      <w:pPr>
        <w:ind w:left="1440" w:hanging="360"/>
      </w:pPr>
      <w:rPr>
        <w:rFonts w:ascii="Symbol" w:hAnsi="Symbol" w:hint="default"/>
      </w:rPr>
    </w:lvl>
    <w:lvl w:ilvl="1" w:tplc="D756A284">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2FC07AE"/>
    <w:multiLevelType w:val="hybridMultilevel"/>
    <w:tmpl w:val="8160BD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6"/>
  </w:num>
  <w:num w:numId="2">
    <w:abstractNumId w:val="8"/>
  </w:num>
  <w:num w:numId="3">
    <w:abstractNumId w:val="1"/>
  </w:num>
  <w:num w:numId="4">
    <w:abstractNumId w:val="9"/>
  </w:num>
  <w:num w:numId="5">
    <w:abstractNumId w:val="7"/>
  </w:num>
  <w:num w:numId="6">
    <w:abstractNumId w:val="4"/>
  </w:num>
  <w:num w:numId="7">
    <w:abstractNumId w:val="10"/>
  </w:num>
  <w:num w:numId="8">
    <w:abstractNumId w:val="11"/>
  </w:num>
  <w:num w:numId="9">
    <w:abstractNumId w:val="2"/>
  </w:num>
  <w:num w:numId="10">
    <w:abstractNumId w:val="0"/>
  </w:num>
  <w:num w:numId="11">
    <w:abstractNumId w:val="5"/>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36"/>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4F1"/>
    <w:rsid w:val="000369E2"/>
    <w:rsid w:val="000406D4"/>
    <w:rsid w:val="00041AD1"/>
    <w:rsid w:val="0004296C"/>
    <w:rsid w:val="00062D0B"/>
    <w:rsid w:val="00075102"/>
    <w:rsid w:val="00086AD8"/>
    <w:rsid w:val="00093A4B"/>
    <w:rsid w:val="00095FD8"/>
    <w:rsid w:val="000B5E7A"/>
    <w:rsid w:val="000B7046"/>
    <w:rsid w:val="000B72DA"/>
    <w:rsid w:val="000C4EB2"/>
    <w:rsid w:val="000D12F7"/>
    <w:rsid w:val="000E6B51"/>
    <w:rsid w:val="000F38BB"/>
    <w:rsid w:val="001103C1"/>
    <w:rsid w:val="00111C0A"/>
    <w:rsid w:val="00127FD5"/>
    <w:rsid w:val="00153308"/>
    <w:rsid w:val="00176A17"/>
    <w:rsid w:val="00190C3F"/>
    <w:rsid w:val="00196715"/>
    <w:rsid w:val="001C43CE"/>
    <w:rsid w:val="001C57FF"/>
    <w:rsid w:val="002116E4"/>
    <w:rsid w:val="00226797"/>
    <w:rsid w:val="00236B41"/>
    <w:rsid w:val="002568D4"/>
    <w:rsid w:val="00265888"/>
    <w:rsid w:val="0027059B"/>
    <w:rsid w:val="002803DA"/>
    <w:rsid w:val="002A183B"/>
    <w:rsid w:val="002A64F1"/>
    <w:rsid w:val="002B2060"/>
    <w:rsid w:val="002C0BDC"/>
    <w:rsid w:val="002C54E4"/>
    <w:rsid w:val="002E7072"/>
    <w:rsid w:val="00353DC3"/>
    <w:rsid w:val="00357588"/>
    <w:rsid w:val="0037401F"/>
    <w:rsid w:val="00385A15"/>
    <w:rsid w:val="00391CC1"/>
    <w:rsid w:val="003B415A"/>
    <w:rsid w:val="003C16A8"/>
    <w:rsid w:val="003C3C4C"/>
    <w:rsid w:val="003C4B89"/>
    <w:rsid w:val="003D4508"/>
    <w:rsid w:val="003E3054"/>
    <w:rsid w:val="00425FDE"/>
    <w:rsid w:val="00427946"/>
    <w:rsid w:val="00452D5C"/>
    <w:rsid w:val="00462B8B"/>
    <w:rsid w:val="00472A39"/>
    <w:rsid w:val="00474675"/>
    <w:rsid w:val="00477A73"/>
    <w:rsid w:val="004830D6"/>
    <w:rsid w:val="00484D33"/>
    <w:rsid w:val="004925E1"/>
    <w:rsid w:val="004A373D"/>
    <w:rsid w:val="004A41ED"/>
    <w:rsid w:val="004A6B43"/>
    <w:rsid w:val="004A7887"/>
    <w:rsid w:val="004C3AF8"/>
    <w:rsid w:val="004D5C7C"/>
    <w:rsid w:val="004F15E0"/>
    <w:rsid w:val="004F47B8"/>
    <w:rsid w:val="004F6752"/>
    <w:rsid w:val="004F6B59"/>
    <w:rsid w:val="005056F0"/>
    <w:rsid w:val="00511561"/>
    <w:rsid w:val="00514276"/>
    <w:rsid w:val="00515AA6"/>
    <w:rsid w:val="00530D12"/>
    <w:rsid w:val="00536F54"/>
    <w:rsid w:val="00540782"/>
    <w:rsid w:val="00555857"/>
    <w:rsid w:val="00567370"/>
    <w:rsid w:val="00571FDB"/>
    <w:rsid w:val="0057539F"/>
    <w:rsid w:val="00575488"/>
    <w:rsid w:val="00576BBC"/>
    <w:rsid w:val="0058076E"/>
    <w:rsid w:val="00584A3C"/>
    <w:rsid w:val="005870CD"/>
    <w:rsid w:val="00592B59"/>
    <w:rsid w:val="00594502"/>
    <w:rsid w:val="00596EFA"/>
    <w:rsid w:val="005B2DDD"/>
    <w:rsid w:val="005C5FCB"/>
    <w:rsid w:val="005D3238"/>
    <w:rsid w:val="005D350E"/>
    <w:rsid w:val="005D4774"/>
    <w:rsid w:val="005D5ACA"/>
    <w:rsid w:val="005E7B02"/>
    <w:rsid w:val="005F0444"/>
    <w:rsid w:val="005F726C"/>
    <w:rsid w:val="00603393"/>
    <w:rsid w:val="00621B80"/>
    <w:rsid w:val="006434B3"/>
    <w:rsid w:val="0067183E"/>
    <w:rsid w:val="00672369"/>
    <w:rsid w:val="00675376"/>
    <w:rsid w:val="006764D9"/>
    <w:rsid w:val="0068574C"/>
    <w:rsid w:val="00694CB5"/>
    <w:rsid w:val="006B6746"/>
    <w:rsid w:val="006C2FE3"/>
    <w:rsid w:val="006C3B95"/>
    <w:rsid w:val="006C61A9"/>
    <w:rsid w:val="006C7B30"/>
    <w:rsid w:val="006F05BD"/>
    <w:rsid w:val="00711092"/>
    <w:rsid w:val="00732F33"/>
    <w:rsid w:val="00734886"/>
    <w:rsid w:val="007413F3"/>
    <w:rsid w:val="00747869"/>
    <w:rsid w:val="00776498"/>
    <w:rsid w:val="00783BF2"/>
    <w:rsid w:val="00784E2B"/>
    <w:rsid w:val="00785F10"/>
    <w:rsid w:val="0079048F"/>
    <w:rsid w:val="007A034A"/>
    <w:rsid w:val="007C0B79"/>
    <w:rsid w:val="007C3119"/>
    <w:rsid w:val="007C7AC3"/>
    <w:rsid w:val="007D2366"/>
    <w:rsid w:val="007F2515"/>
    <w:rsid w:val="007F396E"/>
    <w:rsid w:val="007F683F"/>
    <w:rsid w:val="007F73CD"/>
    <w:rsid w:val="00801C3C"/>
    <w:rsid w:val="00803706"/>
    <w:rsid w:val="00811706"/>
    <w:rsid w:val="00852CF7"/>
    <w:rsid w:val="00871148"/>
    <w:rsid w:val="00873F21"/>
    <w:rsid w:val="00876ED5"/>
    <w:rsid w:val="0087723D"/>
    <w:rsid w:val="00881DF7"/>
    <w:rsid w:val="008A1961"/>
    <w:rsid w:val="008A43C3"/>
    <w:rsid w:val="008B6C3D"/>
    <w:rsid w:val="008D06DC"/>
    <w:rsid w:val="008D2976"/>
    <w:rsid w:val="008D3033"/>
    <w:rsid w:val="008F4AAE"/>
    <w:rsid w:val="009012B2"/>
    <w:rsid w:val="009054B2"/>
    <w:rsid w:val="00914858"/>
    <w:rsid w:val="009154B2"/>
    <w:rsid w:val="009234F2"/>
    <w:rsid w:val="009271BF"/>
    <w:rsid w:val="009315B5"/>
    <w:rsid w:val="00942055"/>
    <w:rsid w:val="009551AA"/>
    <w:rsid w:val="00956047"/>
    <w:rsid w:val="0095643E"/>
    <w:rsid w:val="00972917"/>
    <w:rsid w:val="00994D3A"/>
    <w:rsid w:val="009A339F"/>
    <w:rsid w:val="009B3B8F"/>
    <w:rsid w:val="009B6AC0"/>
    <w:rsid w:val="009B76FF"/>
    <w:rsid w:val="009D0D25"/>
    <w:rsid w:val="009D4190"/>
    <w:rsid w:val="009D5D1B"/>
    <w:rsid w:val="009F0972"/>
    <w:rsid w:val="009F7DAD"/>
    <w:rsid w:val="00A012E8"/>
    <w:rsid w:val="00A05506"/>
    <w:rsid w:val="00A10698"/>
    <w:rsid w:val="00A1628F"/>
    <w:rsid w:val="00A30118"/>
    <w:rsid w:val="00A325C5"/>
    <w:rsid w:val="00A34510"/>
    <w:rsid w:val="00A35090"/>
    <w:rsid w:val="00A374DD"/>
    <w:rsid w:val="00A4354D"/>
    <w:rsid w:val="00A504FC"/>
    <w:rsid w:val="00A66008"/>
    <w:rsid w:val="00A73730"/>
    <w:rsid w:val="00A76547"/>
    <w:rsid w:val="00A82CC9"/>
    <w:rsid w:val="00A91824"/>
    <w:rsid w:val="00A95703"/>
    <w:rsid w:val="00A966DA"/>
    <w:rsid w:val="00AA622B"/>
    <w:rsid w:val="00AC62F9"/>
    <w:rsid w:val="00AE5C00"/>
    <w:rsid w:val="00AF060A"/>
    <w:rsid w:val="00B00D78"/>
    <w:rsid w:val="00B11FD9"/>
    <w:rsid w:val="00B178E3"/>
    <w:rsid w:val="00B4089F"/>
    <w:rsid w:val="00B42F64"/>
    <w:rsid w:val="00B477C0"/>
    <w:rsid w:val="00B605A5"/>
    <w:rsid w:val="00BB51B4"/>
    <w:rsid w:val="00BB7241"/>
    <w:rsid w:val="00BC35AD"/>
    <w:rsid w:val="00BC56D0"/>
    <w:rsid w:val="00BE0EBA"/>
    <w:rsid w:val="00BF4895"/>
    <w:rsid w:val="00C01723"/>
    <w:rsid w:val="00C11FEC"/>
    <w:rsid w:val="00C14B24"/>
    <w:rsid w:val="00C422EC"/>
    <w:rsid w:val="00C50B06"/>
    <w:rsid w:val="00C559CE"/>
    <w:rsid w:val="00C62E6A"/>
    <w:rsid w:val="00C733AD"/>
    <w:rsid w:val="00C811B6"/>
    <w:rsid w:val="00C90761"/>
    <w:rsid w:val="00C92269"/>
    <w:rsid w:val="00C9270C"/>
    <w:rsid w:val="00C94C47"/>
    <w:rsid w:val="00C96D5A"/>
    <w:rsid w:val="00CC0C14"/>
    <w:rsid w:val="00CD1FB7"/>
    <w:rsid w:val="00CD2B25"/>
    <w:rsid w:val="00CE27AC"/>
    <w:rsid w:val="00CF2C03"/>
    <w:rsid w:val="00D040C8"/>
    <w:rsid w:val="00D044BA"/>
    <w:rsid w:val="00D12F43"/>
    <w:rsid w:val="00D17C55"/>
    <w:rsid w:val="00D26D64"/>
    <w:rsid w:val="00D43A84"/>
    <w:rsid w:val="00D54A2D"/>
    <w:rsid w:val="00D5547C"/>
    <w:rsid w:val="00D56452"/>
    <w:rsid w:val="00D6596A"/>
    <w:rsid w:val="00D871AC"/>
    <w:rsid w:val="00DC4FDE"/>
    <w:rsid w:val="00DC57A5"/>
    <w:rsid w:val="00DC6BE1"/>
    <w:rsid w:val="00DD132A"/>
    <w:rsid w:val="00DD4783"/>
    <w:rsid w:val="00DD68F2"/>
    <w:rsid w:val="00DE7380"/>
    <w:rsid w:val="00E049FC"/>
    <w:rsid w:val="00E05DF2"/>
    <w:rsid w:val="00E069C0"/>
    <w:rsid w:val="00E221B1"/>
    <w:rsid w:val="00E30D90"/>
    <w:rsid w:val="00E335C2"/>
    <w:rsid w:val="00E4364A"/>
    <w:rsid w:val="00E600A2"/>
    <w:rsid w:val="00E75D4F"/>
    <w:rsid w:val="00E770B3"/>
    <w:rsid w:val="00E86D8E"/>
    <w:rsid w:val="00E91C4C"/>
    <w:rsid w:val="00E97481"/>
    <w:rsid w:val="00EB0282"/>
    <w:rsid w:val="00EB7149"/>
    <w:rsid w:val="00ED3F95"/>
    <w:rsid w:val="00F04762"/>
    <w:rsid w:val="00F04984"/>
    <w:rsid w:val="00F06312"/>
    <w:rsid w:val="00F06F36"/>
    <w:rsid w:val="00F07FEE"/>
    <w:rsid w:val="00F1060A"/>
    <w:rsid w:val="00F2015A"/>
    <w:rsid w:val="00F2366D"/>
    <w:rsid w:val="00F36B55"/>
    <w:rsid w:val="00F45D70"/>
    <w:rsid w:val="00F5045D"/>
    <w:rsid w:val="00F50B32"/>
    <w:rsid w:val="00F52610"/>
    <w:rsid w:val="00F64A41"/>
    <w:rsid w:val="00F84C9A"/>
    <w:rsid w:val="00F85937"/>
    <w:rsid w:val="00F9194D"/>
    <w:rsid w:val="00F92EE6"/>
    <w:rsid w:val="00FA1367"/>
    <w:rsid w:val="00FB594F"/>
    <w:rsid w:val="00FC6323"/>
    <w:rsid w:val="00FD32A2"/>
    <w:rsid w:val="00FF3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4F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A64F1"/>
    <w:pPr>
      <w:widowControl w:val="0"/>
    </w:pPr>
  </w:style>
  <w:style w:type="paragraph" w:styleId="Footer">
    <w:name w:val="footer"/>
    <w:basedOn w:val="Normal"/>
    <w:rsid w:val="003B415A"/>
    <w:pPr>
      <w:tabs>
        <w:tab w:val="center" w:pos="4320"/>
        <w:tab w:val="right" w:pos="8640"/>
      </w:tabs>
    </w:pPr>
  </w:style>
  <w:style w:type="character" w:styleId="PageNumber">
    <w:name w:val="page number"/>
    <w:basedOn w:val="DefaultParagraphFont"/>
    <w:rsid w:val="003B415A"/>
  </w:style>
  <w:style w:type="paragraph" w:styleId="BalloonText">
    <w:name w:val="Balloon Text"/>
    <w:basedOn w:val="Normal"/>
    <w:link w:val="BalloonTextChar"/>
    <w:rsid w:val="00914858"/>
    <w:rPr>
      <w:rFonts w:ascii="Tahoma" w:hAnsi="Tahoma"/>
      <w:sz w:val="16"/>
      <w:szCs w:val="16"/>
      <w:lang w:val="x-none" w:eastAsia="x-none"/>
    </w:rPr>
  </w:style>
  <w:style w:type="character" w:customStyle="1" w:styleId="BalloonTextChar">
    <w:name w:val="Balloon Text Char"/>
    <w:link w:val="BalloonText"/>
    <w:rsid w:val="00914858"/>
    <w:rPr>
      <w:rFonts w:ascii="Tahoma" w:hAnsi="Tahoma" w:cs="Tahoma"/>
      <w:sz w:val="16"/>
      <w:szCs w:val="16"/>
    </w:rPr>
  </w:style>
  <w:style w:type="character" w:styleId="CommentReference">
    <w:name w:val="annotation reference"/>
    <w:rsid w:val="005D350E"/>
    <w:rPr>
      <w:sz w:val="16"/>
      <w:szCs w:val="16"/>
    </w:rPr>
  </w:style>
  <w:style w:type="paragraph" w:styleId="CommentText">
    <w:name w:val="annotation text"/>
    <w:basedOn w:val="Normal"/>
    <w:link w:val="CommentTextChar"/>
    <w:rsid w:val="005D350E"/>
    <w:rPr>
      <w:sz w:val="20"/>
    </w:rPr>
  </w:style>
  <w:style w:type="character" w:customStyle="1" w:styleId="CommentTextChar">
    <w:name w:val="Comment Text Char"/>
    <w:basedOn w:val="DefaultParagraphFont"/>
    <w:link w:val="CommentText"/>
    <w:rsid w:val="005D350E"/>
  </w:style>
  <w:style w:type="paragraph" w:styleId="CommentSubject">
    <w:name w:val="annotation subject"/>
    <w:basedOn w:val="CommentText"/>
    <w:next w:val="CommentText"/>
    <w:link w:val="CommentSubjectChar"/>
    <w:rsid w:val="005D350E"/>
    <w:rPr>
      <w:b/>
      <w:bCs/>
      <w:lang w:val="x-none" w:eastAsia="x-none"/>
    </w:rPr>
  </w:style>
  <w:style w:type="character" w:customStyle="1" w:styleId="CommentSubjectChar">
    <w:name w:val="Comment Subject Char"/>
    <w:link w:val="CommentSubject"/>
    <w:rsid w:val="005D350E"/>
    <w:rPr>
      <w:b/>
      <w:bCs/>
    </w:rPr>
  </w:style>
  <w:style w:type="table" w:styleId="TableGrid">
    <w:name w:val="Table Grid"/>
    <w:basedOn w:val="TableNormal"/>
    <w:rsid w:val="00C92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01C3C"/>
    <w:rPr>
      <w:sz w:val="20"/>
    </w:rPr>
  </w:style>
  <w:style w:type="character" w:customStyle="1" w:styleId="FootnoteTextChar">
    <w:name w:val="Footnote Text Char"/>
    <w:basedOn w:val="DefaultParagraphFont"/>
    <w:link w:val="FootnoteText"/>
    <w:rsid w:val="00801C3C"/>
  </w:style>
  <w:style w:type="character" w:styleId="FootnoteReference">
    <w:name w:val="footnote reference"/>
    <w:rsid w:val="00801C3C"/>
    <w:rPr>
      <w:vertAlign w:val="superscript"/>
    </w:rPr>
  </w:style>
  <w:style w:type="paragraph" w:styleId="ListBullet">
    <w:name w:val="List Bullet"/>
    <w:basedOn w:val="Normal"/>
    <w:rsid w:val="00621B80"/>
    <w:pPr>
      <w:numPr>
        <w:numId w:val="10"/>
      </w:numPr>
      <w:contextualSpacing/>
    </w:pPr>
  </w:style>
  <w:style w:type="paragraph" w:styleId="ListParagraph">
    <w:name w:val="List Paragraph"/>
    <w:basedOn w:val="Normal"/>
    <w:uiPriority w:val="34"/>
    <w:qFormat/>
    <w:rsid w:val="00876ED5"/>
    <w:pPr>
      <w:spacing w:line="276" w:lineRule="auto"/>
      <w:ind w:left="720"/>
      <w:contextualSpacing/>
    </w:pPr>
    <w:rPr>
      <w:rFonts w:ascii="Arial" w:eastAsia="Calibri" w:hAnsi="Arial" w:cs="Arial"/>
      <w:sz w:val="22"/>
      <w:szCs w:val="22"/>
    </w:rPr>
  </w:style>
  <w:style w:type="paragraph" w:styleId="PlainText">
    <w:name w:val="Plain Text"/>
    <w:basedOn w:val="Normal"/>
    <w:link w:val="PlainTextChar"/>
    <w:uiPriority w:val="99"/>
    <w:unhideWhenUsed/>
    <w:rsid w:val="00876ED5"/>
    <w:rPr>
      <w:rFonts w:ascii="Arial" w:hAnsi="Arial"/>
      <w:sz w:val="22"/>
      <w:szCs w:val="21"/>
      <w:lang w:val="x-none" w:eastAsia="x-none"/>
    </w:rPr>
  </w:style>
  <w:style w:type="character" w:customStyle="1" w:styleId="PlainTextChar">
    <w:name w:val="Plain Text Char"/>
    <w:link w:val="PlainText"/>
    <w:uiPriority w:val="99"/>
    <w:rsid w:val="00876ED5"/>
    <w:rPr>
      <w:rFonts w:ascii="Arial" w:hAnsi="Arial"/>
      <w:sz w:val="22"/>
      <w:szCs w:val="21"/>
    </w:rPr>
  </w:style>
  <w:style w:type="paragraph" w:styleId="Header">
    <w:name w:val="header"/>
    <w:basedOn w:val="Normal"/>
    <w:link w:val="HeaderChar"/>
    <w:uiPriority w:val="99"/>
    <w:rsid w:val="00881DF7"/>
    <w:pPr>
      <w:tabs>
        <w:tab w:val="center" w:pos="4680"/>
        <w:tab w:val="right" w:pos="9360"/>
      </w:tabs>
    </w:pPr>
    <w:rPr>
      <w:lang w:val="x-none" w:eastAsia="x-none"/>
    </w:rPr>
  </w:style>
  <w:style w:type="character" w:customStyle="1" w:styleId="HeaderChar">
    <w:name w:val="Header Char"/>
    <w:link w:val="Header"/>
    <w:uiPriority w:val="99"/>
    <w:rsid w:val="00881DF7"/>
    <w:rPr>
      <w:sz w:val="24"/>
    </w:rPr>
  </w:style>
  <w:style w:type="character" w:styleId="Hyperlink">
    <w:name w:val="Hyperlink"/>
    <w:basedOn w:val="DefaultParagraphFont"/>
    <w:rsid w:val="009B76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283111">
      <w:bodyDiv w:val="1"/>
      <w:marLeft w:val="0"/>
      <w:marRight w:val="0"/>
      <w:marTop w:val="0"/>
      <w:marBottom w:val="0"/>
      <w:divBdr>
        <w:top w:val="none" w:sz="0" w:space="0" w:color="auto"/>
        <w:left w:val="none" w:sz="0" w:space="0" w:color="auto"/>
        <w:bottom w:val="none" w:sz="0" w:space="0" w:color="auto"/>
        <w:right w:val="none" w:sz="0" w:space="0" w:color="auto"/>
      </w:divBdr>
    </w:div>
    <w:div w:id="879249223">
      <w:bodyDiv w:val="1"/>
      <w:marLeft w:val="0"/>
      <w:marRight w:val="0"/>
      <w:marTop w:val="0"/>
      <w:marBottom w:val="0"/>
      <w:divBdr>
        <w:top w:val="none" w:sz="0" w:space="0" w:color="auto"/>
        <w:left w:val="none" w:sz="0" w:space="0" w:color="auto"/>
        <w:bottom w:val="none" w:sz="0" w:space="0" w:color="auto"/>
        <w:right w:val="none" w:sz="0" w:space="0" w:color="auto"/>
      </w:divBdr>
    </w:div>
    <w:div w:id="944927219">
      <w:bodyDiv w:val="1"/>
      <w:marLeft w:val="0"/>
      <w:marRight w:val="0"/>
      <w:marTop w:val="0"/>
      <w:marBottom w:val="0"/>
      <w:divBdr>
        <w:top w:val="none" w:sz="0" w:space="0" w:color="auto"/>
        <w:left w:val="none" w:sz="0" w:space="0" w:color="auto"/>
        <w:bottom w:val="none" w:sz="0" w:space="0" w:color="auto"/>
        <w:right w:val="none" w:sz="0" w:space="0" w:color="auto"/>
      </w:divBdr>
    </w:div>
    <w:div w:id="1317026075">
      <w:bodyDiv w:val="1"/>
      <w:marLeft w:val="0"/>
      <w:marRight w:val="0"/>
      <w:marTop w:val="0"/>
      <w:marBottom w:val="0"/>
      <w:divBdr>
        <w:top w:val="none" w:sz="0" w:space="0" w:color="auto"/>
        <w:left w:val="none" w:sz="0" w:space="0" w:color="auto"/>
        <w:bottom w:val="none" w:sz="0" w:space="0" w:color="auto"/>
        <w:right w:val="none" w:sz="0" w:space="0" w:color="auto"/>
      </w:divBdr>
    </w:div>
    <w:div w:id="1608851255">
      <w:bodyDiv w:val="1"/>
      <w:marLeft w:val="0"/>
      <w:marRight w:val="0"/>
      <w:marTop w:val="0"/>
      <w:marBottom w:val="0"/>
      <w:divBdr>
        <w:top w:val="none" w:sz="0" w:space="0" w:color="auto"/>
        <w:left w:val="none" w:sz="0" w:space="0" w:color="auto"/>
        <w:bottom w:val="none" w:sz="0" w:space="0" w:color="auto"/>
        <w:right w:val="none" w:sz="0" w:space="0" w:color="auto"/>
      </w:divBdr>
    </w:div>
    <w:div w:id="179123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989C8-F895-4A4D-90DB-B9E5962E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2625</Words>
  <Characters>15045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2016-03-03T21:53:00Z</dcterms:created>
  <dcterms:modified xsi:type="dcterms:W3CDTF">2016-03-08T21:26:00Z</dcterms:modified>
</cp:coreProperties>
</file>