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B4D3F" w14:textId="1F64D791" w:rsidR="00B45BC7" w:rsidRDefault="009B1529" w:rsidP="007F5D80">
      <w:pPr>
        <w:jc w:val="center"/>
        <w:rPr>
          <w:rFonts w:ascii="Arial" w:hAnsi="Arial" w:cs="Arial"/>
          <w:b/>
          <w:bCs/>
        </w:rPr>
      </w:pPr>
      <w:bookmarkStart w:id="0" w:name="_GoBack"/>
      <w:bookmarkEnd w:id="0"/>
      <w:r>
        <w:rPr>
          <w:rFonts w:ascii="Arial" w:hAnsi="Arial" w:cs="Arial"/>
          <w:b/>
          <w:bCs/>
        </w:rPr>
        <w:t xml:space="preserve">U.S. Nuclear Regulatory Commission </w:t>
      </w:r>
      <w:r w:rsidR="006C4A43">
        <w:rPr>
          <w:rFonts w:ascii="Arial" w:hAnsi="Arial" w:cs="Arial"/>
          <w:b/>
          <w:bCs/>
        </w:rPr>
        <w:t>Re</w:t>
      </w:r>
      <w:r w:rsidR="00106ACF">
        <w:rPr>
          <w:rFonts w:ascii="Arial" w:hAnsi="Arial" w:cs="Arial"/>
          <w:b/>
          <w:bCs/>
        </w:rPr>
        <w:t>s</w:t>
      </w:r>
      <w:r w:rsidR="006C4A43">
        <w:rPr>
          <w:rFonts w:ascii="Arial" w:hAnsi="Arial" w:cs="Arial"/>
          <w:b/>
          <w:bCs/>
        </w:rPr>
        <w:t>ponse to</w:t>
      </w:r>
      <w:r>
        <w:rPr>
          <w:rFonts w:ascii="Arial" w:hAnsi="Arial" w:cs="Arial"/>
          <w:b/>
          <w:bCs/>
        </w:rPr>
        <w:br/>
      </w:r>
      <w:r w:rsidR="009A3B3F">
        <w:rPr>
          <w:rFonts w:ascii="Arial" w:hAnsi="Arial" w:cs="Arial"/>
          <w:b/>
          <w:bCs/>
        </w:rPr>
        <w:t>Public Comments on</w:t>
      </w:r>
      <w:r w:rsidR="00B45BC7">
        <w:rPr>
          <w:rFonts w:ascii="Arial" w:hAnsi="Arial" w:cs="Arial"/>
          <w:b/>
          <w:bCs/>
        </w:rPr>
        <w:t xml:space="preserve"> </w:t>
      </w:r>
      <w:r w:rsidR="00370752">
        <w:rPr>
          <w:rFonts w:ascii="Arial" w:hAnsi="Arial" w:cs="Arial"/>
          <w:b/>
          <w:bCs/>
        </w:rPr>
        <w:t>Proposed Information Collection</w:t>
      </w:r>
    </w:p>
    <w:p w14:paraId="732F4DEA" w14:textId="77777777" w:rsidR="00524D9D" w:rsidRDefault="00370752" w:rsidP="00C6365A">
      <w:pPr>
        <w:spacing w:line="480" w:lineRule="auto"/>
        <w:jc w:val="center"/>
        <w:rPr>
          <w:rFonts w:ascii="Arial" w:hAnsi="Arial" w:cs="Arial"/>
          <w:b/>
          <w:bCs/>
        </w:rPr>
      </w:pPr>
      <w:r>
        <w:rPr>
          <w:rFonts w:ascii="Arial" w:hAnsi="Arial" w:cs="Arial"/>
          <w:b/>
          <w:bCs/>
        </w:rPr>
        <w:t xml:space="preserve">NRC </w:t>
      </w:r>
      <w:r w:rsidR="009A3B3F">
        <w:rPr>
          <w:rFonts w:ascii="Arial" w:hAnsi="Arial" w:cs="Arial"/>
          <w:b/>
          <w:bCs/>
        </w:rPr>
        <w:t>Generic Letter, “Monitoring of Neutron-Absorbing Materials in Spent Fuel Pools”</w:t>
      </w:r>
    </w:p>
    <w:p w14:paraId="78CCF6A7" w14:textId="77777777" w:rsidR="00524D9D" w:rsidRDefault="00524D9D">
      <w:pPr>
        <w:rPr>
          <w:rFonts w:ascii="Arial" w:hAnsi="Arial" w:cs="Arial"/>
        </w:rPr>
      </w:pPr>
    </w:p>
    <w:p w14:paraId="6A1F4D31" w14:textId="171E32A7" w:rsidR="00524D9D" w:rsidRDefault="009A3B3F">
      <w:pPr>
        <w:rPr>
          <w:rFonts w:ascii="Arial" w:hAnsi="Arial" w:cs="Arial"/>
        </w:rPr>
      </w:pPr>
      <w:r>
        <w:rPr>
          <w:rFonts w:ascii="Arial" w:hAnsi="Arial" w:cs="Arial"/>
        </w:rPr>
        <w:t xml:space="preserve">This document presents the U.S. Nuclear Regulatory Commission’s (NRC’s) responses to public comments received on </w:t>
      </w:r>
      <w:r w:rsidR="00370752">
        <w:rPr>
          <w:rFonts w:ascii="Arial" w:hAnsi="Arial" w:cs="Arial"/>
        </w:rPr>
        <w:t xml:space="preserve">the </w:t>
      </w:r>
      <w:r w:rsidR="00522510">
        <w:rPr>
          <w:rFonts w:ascii="Arial" w:hAnsi="Arial" w:cs="Arial"/>
        </w:rPr>
        <w:t xml:space="preserve">information collection and reporting </w:t>
      </w:r>
      <w:r w:rsidR="00370752">
        <w:rPr>
          <w:rFonts w:ascii="Arial" w:hAnsi="Arial" w:cs="Arial"/>
        </w:rPr>
        <w:t xml:space="preserve">burden associated with </w:t>
      </w:r>
      <w:r>
        <w:rPr>
          <w:rFonts w:ascii="Arial" w:hAnsi="Arial" w:cs="Arial"/>
        </w:rPr>
        <w:t>a proposed generic letter</w:t>
      </w:r>
      <w:r w:rsidR="00B45BC7">
        <w:rPr>
          <w:rFonts w:ascii="Arial" w:hAnsi="Arial" w:cs="Arial"/>
        </w:rPr>
        <w:t xml:space="preserve"> (GL)</w:t>
      </w:r>
      <w:r>
        <w:rPr>
          <w:rFonts w:ascii="Arial" w:hAnsi="Arial" w:cs="Arial"/>
        </w:rPr>
        <w:t xml:space="preserve"> on monitoring the degradation of neutron-absorbing materials in spent fuel pools and other wet storage locations.  The NRC published the proposed generic letter in the </w:t>
      </w:r>
      <w:r>
        <w:rPr>
          <w:rFonts w:ascii="Arial" w:hAnsi="Arial" w:cs="Arial"/>
          <w:i/>
        </w:rPr>
        <w:t>Federal Register</w:t>
      </w:r>
      <w:r>
        <w:rPr>
          <w:rFonts w:ascii="Arial" w:hAnsi="Arial" w:cs="Arial"/>
        </w:rPr>
        <w:t xml:space="preserve"> </w:t>
      </w:r>
      <w:r w:rsidR="00522510">
        <w:rPr>
          <w:rFonts w:ascii="Arial" w:hAnsi="Arial" w:cs="Arial"/>
        </w:rPr>
        <w:t xml:space="preserve">(80 FR 31930; June 4, 2015) </w:t>
      </w:r>
      <w:r>
        <w:rPr>
          <w:rFonts w:ascii="Arial" w:hAnsi="Arial" w:cs="Arial"/>
        </w:rPr>
        <w:t xml:space="preserve">for public comment </w:t>
      </w:r>
      <w:r w:rsidR="00370752">
        <w:rPr>
          <w:rFonts w:ascii="Arial" w:hAnsi="Arial" w:cs="Arial"/>
        </w:rPr>
        <w:t>on the burden to respond</w:t>
      </w:r>
      <w:r w:rsidR="00522510">
        <w:rPr>
          <w:rFonts w:ascii="Arial" w:hAnsi="Arial" w:cs="Arial"/>
        </w:rPr>
        <w:t>.  This opportunity for comment was provided</w:t>
      </w:r>
      <w:r w:rsidR="00370752">
        <w:rPr>
          <w:rFonts w:ascii="Arial" w:hAnsi="Arial" w:cs="Arial"/>
        </w:rPr>
        <w:t xml:space="preserve"> in accordance with the procedures for obtaining </w:t>
      </w:r>
      <w:r w:rsidR="00522510">
        <w:rPr>
          <w:rFonts w:ascii="Arial" w:hAnsi="Arial" w:cs="Arial"/>
        </w:rPr>
        <w:t xml:space="preserve">a Paperwork Reduction Act </w:t>
      </w:r>
      <w:r w:rsidR="00370752">
        <w:rPr>
          <w:rFonts w:ascii="Arial" w:hAnsi="Arial" w:cs="Arial"/>
        </w:rPr>
        <w:t>clearance from the Office of Management and Budget (OMB)</w:t>
      </w:r>
      <w:r>
        <w:rPr>
          <w:rFonts w:ascii="Arial" w:hAnsi="Arial" w:cs="Arial"/>
        </w:rPr>
        <w:t>.</w:t>
      </w:r>
    </w:p>
    <w:p w14:paraId="4DE139A0" w14:textId="77777777" w:rsidR="00524D9D" w:rsidRDefault="00524D9D">
      <w:pPr>
        <w:rPr>
          <w:rFonts w:ascii="Arial" w:hAnsi="Arial" w:cs="Arial"/>
        </w:rPr>
      </w:pPr>
    </w:p>
    <w:p w14:paraId="546C8D62" w14:textId="429631EC" w:rsidR="00524D9D" w:rsidRDefault="009A3B3F">
      <w:pPr>
        <w:rPr>
          <w:rFonts w:ascii="Arial" w:hAnsi="Arial" w:cs="Arial"/>
        </w:rPr>
      </w:pPr>
      <w:r>
        <w:rPr>
          <w:rFonts w:ascii="Arial" w:hAnsi="Arial" w:cs="Arial"/>
        </w:rPr>
        <w:t xml:space="preserve">Comments on this generic letter are available electronically at the NRC’s electronic Reading Room at </w:t>
      </w:r>
      <w:hyperlink r:id="rId8" w:history="1">
        <w:r>
          <w:rPr>
            <w:rStyle w:val="Hyperlink"/>
            <w:rFonts w:ascii="Arial" w:hAnsi="Arial" w:cs="Arial"/>
          </w:rPr>
          <w:t>http://www.nrc.gov/reading-rm/adams.html</w:t>
        </w:r>
      </w:hyperlink>
      <w:r>
        <w:rPr>
          <w:rFonts w:ascii="Arial" w:hAnsi="Arial" w:cs="Arial"/>
        </w:rPr>
        <w:t xml:space="preserve">.  From this page, the public can gain entry into the Agencywide Documents Access and Management System (ADAMS), which provides text and image files of </w:t>
      </w:r>
      <w:r w:rsidR="009B1529">
        <w:rPr>
          <w:rFonts w:ascii="Arial" w:hAnsi="Arial" w:cs="Arial"/>
        </w:rPr>
        <w:t xml:space="preserve">the </w:t>
      </w:r>
      <w:r>
        <w:rPr>
          <w:rFonts w:ascii="Arial" w:hAnsi="Arial" w:cs="Arial"/>
        </w:rPr>
        <w:t xml:space="preserve">NRC’s public documents.  </w:t>
      </w:r>
      <w:r w:rsidR="009B1529">
        <w:rPr>
          <w:rFonts w:ascii="Arial" w:hAnsi="Arial" w:cs="Arial"/>
        </w:rPr>
        <w:t>The agency received c</w:t>
      </w:r>
      <w:r>
        <w:rPr>
          <w:rFonts w:ascii="Arial" w:hAnsi="Arial" w:cs="Arial"/>
        </w:rPr>
        <w:t xml:space="preserve">omments from the following individuals </w:t>
      </w:r>
      <w:r w:rsidR="009B1529">
        <w:rPr>
          <w:rFonts w:ascii="Arial" w:hAnsi="Arial" w:cs="Arial"/>
        </w:rPr>
        <w:t>and</w:t>
      </w:r>
      <w:r>
        <w:rPr>
          <w:rFonts w:ascii="Arial" w:hAnsi="Arial" w:cs="Arial"/>
        </w:rPr>
        <w:t xml:space="preserve"> </w:t>
      </w:r>
      <w:r w:rsidR="00EC13FC">
        <w:rPr>
          <w:rFonts w:ascii="Arial" w:hAnsi="Arial" w:cs="Arial"/>
        </w:rPr>
        <w:t>organizations</w:t>
      </w:r>
      <w:r>
        <w:rPr>
          <w:rFonts w:ascii="Arial" w:hAnsi="Arial" w:cs="Arial"/>
        </w:rPr>
        <w:t>:</w:t>
      </w:r>
    </w:p>
    <w:p w14:paraId="6378D5C5" w14:textId="77777777" w:rsidR="00524D9D" w:rsidRDefault="00524D9D">
      <w:pPr>
        <w:rPr>
          <w:rFonts w:ascii="Arial" w:hAnsi="Arial" w:cs="Arial"/>
        </w:rPr>
      </w:pPr>
    </w:p>
    <w:tbl>
      <w:tblPr>
        <w:tblW w:w="10067" w:type="dxa"/>
        <w:tblInd w:w="93" w:type="dxa"/>
        <w:tblLayout w:type="fixed"/>
        <w:tblCellMar>
          <w:left w:w="0" w:type="dxa"/>
          <w:right w:w="0" w:type="dxa"/>
        </w:tblCellMar>
        <w:tblLook w:val="04A0" w:firstRow="1" w:lastRow="0" w:firstColumn="1" w:lastColumn="0" w:noHBand="0" w:noVBand="1"/>
      </w:tblPr>
      <w:tblGrid>
        <w:gridCol w:w="772"/>
        <w:gridCol w:w="1673"/>
        <w:gridCol w:w="3690"/>
        <w:gridCol w:w="2340"/>
        <w:gridCol w:w="1592"/>
      </w:tblGrid>
      <w:tr w:rsidR="00524D9D" w14:paraId="1DF1A251" w14:textId="77777777" w:rsidTr="004B5296">
        <w:trPr>
          <w:trHeight w:val="255"/>
        </w:trPr>
        <w:tc>
          <w:tcPr>
            <w:tcW w:w="77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ADD95C" w14:textId="77777777" w:rsidR="00524D9D" w:rsidRDefault="009A3B3F" w:rsidP="00B45BC7">
            <w:pPr>
              <w:autoSpaceDN w:val="0"/>
              <w:jc w:val="center"/>
              <w:rPr>
                <w:rFonts w:ascii="Arial" w:hAnsi="Arial" w:cs="Arial"/>
                <w:b/>
                <w:bCs/>
                <w:sz w:val="20"/>
                <w:szCs w:val="20"/>
              </w:rPr>
            </w:pPr>
            <w:r>
              <w:rPr>
                <w:rFonts w:ascii="Arial" w:hAnsi="Arial" w:cs="Arial"/>
                <w:b/>
                <w:bCs/>
                <w:sz w:val="20"/>
                <w:szCs w:val="20"/>
              </w:rPr>
              <w:t>Letter No.</w:t>
            </w:r>
          </w:p>
        </w:tc>
        <w:tc>
          <w:tcPr>
            <w:tcW w:w="16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1785C64" w14:textId="77777777" w:rsidR="00524D9D" w:rsidRDefault="009A3B3F" w:rsidP="00B45BC7">
            <w:pPr>
              <w:autoSpaceDN w:val="0"/>
              <w:jc w:val="center"/>
              <w:rPr>
                <w:rFonts w:ascii="Arial" w:hAnsi="Arial" w:cs="Arial"/>
                <w:b/>
                <w:bCs/>
              </w:rPr>
            </w:pPr>
            <w:r>
              <w:rPr>
                <w:rFonts w:ascii="Arial" w:hAnsi="Arial" w:cs="Arial"/>
                <w:b/>
                <w:bCs/>
              </w:rPr>
              <w:t xml:space="preserve">ADAMS </w:t>
            </w:r>
            <w:r w:rsidR="00B45BC7">
              <w:rPr>
                <w:rFonts w:ascii="Arial" w:hAnsi="Arial" w:cs="Arial"/>
                <w:b/>
                <w:bCs/>
              </w:rPr>
              <w:t xml:space="preserve">Accession </w:t>
            </w:r>
            <w:r>
              <w:rPr>
                <w:rFonts w:ascii="Arial" w:hAnsi="Arial" w:cs="Arial"/>
                <w:b/>
                <w:bCs/>
              </w:rPr>
              <w:t>No.</w:t>
            </w:r>
          </w:p>
        </w:tc>
        <w:tc>
          <w:tcPr>
            <w:tcW w:w="36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7D2420" w14:textId="17061390" w:rsidR="00524D9D" w:rsidRDefault="009A3B3F" w:rsidP="00EC13FC">
            <w:pPr>
              <w:autoSpaceDN w:val="0"/>
              <w:jc w:val="center"/>
              <w:rPr>
                <w:rFonts w:ascii="Arial" w:hAnsi="Arial" w:cs="Arial"/>
                <w:b/>
                <w:bCs/>
              </w:rPr>
            </w:pPr>
            <w:r>
              <w:rPr>
                <w:rFonts w:ascii="Arial" w:hAnsi="Arial" w:cs="Arial"/>
                <w:b/>
                <w:bCs/>
              </w:rPr>
              <w:t>Commenter</w:t>
            </w:r>
          </w:p>
        </w:tc>
        <w:tc>
          <w:tcPr>
            <w:tcW w:w="2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9C6DAFD" w14:textId="4A9E656D" w:rsidR="00524D9D" w:rsidRDefault="009A3B3F" w:rsidP="00EC13FC">
            <w:pPr>
              <w:autoSpaceDN w:val="0"/>
              <w:jc w:val="center"/>
              <w:rPr>
                <w:rFonts w:ascii="Arial" w:hAnsi="Arial" w:cs="Arial"/>
                <w:b/>
                <w:bCs/>
              </w:rPr>
            </w:pPr>
            <w:r>
              <w:rPr>
                <w:rFonts w:ascii="Arial" w:hAnsi="Arial" w:cs="Arial"/>
                <w:b/>
                <w:bCs/>
              </w:rPr>
              <w:t xml:space="preserve">Comment </w:t>
            </w:r>
            <w:r w:rsidR="00EC13FC">
              <w:rPr>
                <w:rFonts w:ascii="Arial" w:hAnsi="Arial" w:cs="Arial"/>
                <w:b/>
                <w:bCs/>
              </w:rPr>
              <w:t>Submitter</w:t>
            </w:r>
          </w:p>
          <w:p w14:paraId="38DF9128" w14:textId="3CCC0675" w:rsidR="00EC13FC" w:rsidRDefault="00EC13FC" w:rsidP="00EC13FC">
            <w:pPr>
              <w:autoSpaceDN w:val="0"/>
              <w:jc w:val="center"/>
              <w:rPr>
                <w:rFonts w:ascii="Arial" w:hAnsi="Arial" w:cs="Arial"/>
                <w:b/>
                <w:bCs/>
              </w:rPr>
            </w:pPr>
            <w:r>
              <w:rPr>
                <w:rFonts w:ascii="Arial" w:hAnsi="Arial" w:cs="Arial"/>
                <w:b/>
                <w:bCs/>
              </w:rPr>
              <w:t>(if commenter is an organization or governmental entity)</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3D06CFA" w14:textId="77777777" w:rsidR="00524D9D" w:rsidRDefault="009A3B3F" w:rsidP="00C6365A">
            <w:pPr>
              <w:autoSpaceDN w:val="0"/>
              <w:jc w:val="center"/>
              <w:rPr>
                <w:rFonts w:ascii="Arial" w:hAnsi="Arial" w:cs="Arial"/>
                <w:b/>
                <w:bCs/>
              </w:rPr>
            </w:pPr>
            <w:r>
              <w:rPr>
                <w:rFonts w:ascii="Arial" w:hAnsi="Arial" w:cs="Arial"/>
                <w:b/>
                <w:bCs/>
              </w:rPr>
              <w:t>Abbreviation</w:t>
            </w:r>
          </w:p>
        </w:tc>
      </w:tr>
      <w:tr w:rsidR="00524D9D" w:rsidRPr="00D87435" w14:paraId="0CED0177" w14:textId="77777777" w:rsidTr="004B5296">
        <w:trPr>
          <w:trHeight w:val="255"/>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ECBBB1" w14:textId="77777777" w:rsidR="00524D9D" w:rsidRPr="00A44B86" w:rsidRDefault="009A3B3F">
            <w:pPr>
              <w:autoSpaceDN w:val="0"/>
              <w:jc w:val="center"/>
              <w:rPr>
                <w:rFonts w:ascii="Arial" w:hAnsi="Arial" w:cs="Arial"/>
              </w:rPr>
            </w:pPr>
            <w:r w:rsidRPr="00A44B86">
              <w:rPr>
                <w:rFonts w:ascii="Arial" w:hAnsi="Arial" w:cs="Arial"/>
              </w:rPr>
              <w:t>1</w:t>
            </w:r>
          </w:p>
        </w:tc>
        <w:tc>
          <w:tcPr>
            <w:tcW w:w="1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E94CF7" w14:textId="0D2982EA" w:rsidR="00B45BC7" w:rsidRPr="00A44B86" w:rsidRDefault="00B45BC7" w:rsidP="00A02DDF">
            <w:pPr>
              <w:autoSpaceDN w:val="0"/>
              <w:jc w:val="center"/>
              <w:rPr>
                <w:rFonts w:ascii="Arial" w:hAnsi="Arial"/>
              </w:rPr>
            </w:pPr>
            <w:r w:rsidRPr="00A44B86">
              <w:rPr>
                <w:rFonts w:ascii="Arial" w:hAnsi="Arial" w:cs="Arial"/>
              </w:rPr>
              <w:t>ML15211A5</w:t>
            </w:r>
            <w:r w:rsidR="00940EB2">
              <w:rPr>
                <w:rFonts w:ascii="Arial" w:hAnsi="Arial" w:cs="Arial"/>
              </w:rPr>
              <w:t>58</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3A8D80" w14:textId="162F8B4F" w:rsidR="00524D9D" w:rsidRPr="00A44B86" w:rsidRDefault="00E17EBA" w:rsidP="002B1209">
            <w:pPr>
              <w:autoSpaceDN w:val="0"/>
              <w:jc w:val="center"/>
              <w:rPr>
                <w:rFonts w:ascii="Arial" w:hAnsi="Arial" w:cs="Arial"/>
              </w:rPr>
            </w:pPr>
            <w:r w:rsidRPr="00A44B86">
              <w:rPr>
                <w:rFonts w:ascii="Arial" w:hAnsi="Arial" w:cs="Arial"/>
              </w:rPr>
              <w:t>South Carolina Electric &amp; Gas</w:t>
            </w:r>
            <w:r w:rsidR="00370752" w:rsidRPr="00A44B86">
              <w:rPr>
                <w:rFonts w:ascii="Arial" w:hAnsi="Arial" w:cs="Arial"/>
              </w:rPr>
              <w:t>/V.C. Summer Nuclear Station</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F53454F" w14:textId="77777777" w:rsidR="00524D9D" w:rsidRPr="00A44B86" w:rsidRDefault="00370752">
            <w:pPr>
              <w:autoSpaceDN w:val="0"/>
              <w:jc w:val="center"/>
              <w:rPr>
                <w:rFonts w:ascii="Arial" w:hAnsi="Arial" w:cs="Arial"/>
              </w:rPr>
            </w:pPr>
            <w:r w:rsidRPr="00A44B86">
              <w:rPr>
                <w:rFonts w:ascii="Arial" w:hAnsi="Arial" w:cs="Arial"/>
              </w:rPr>
              <w:t>Damon Bryson</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96D16C" w14:textId="77777777" w:rsidR="00524D9D" w:rsidRPr="00A44B86" w:rsidRDefault="00370752">
            <w:pPr>
              <w:autoSpaceDN w:val="0"/>
              <w:jc w:val="center"/>
              <w:rPr>
                <w:rFonts w:ascii="Arial" w:hAnsi="Arial" w:cs="Arial"/>
              </w:rPr>
            </w:pPr>
            <w:r w:rsidRPr="00A44B86">
              <w:rPr>
                <w:rFonts w:ascii="Arial" w:hAnsi="Arial" w:cs="Arial"/>
              </w:rPr>
              <w:t>SCEG</w:t>
            </w:r>
          </w:p>
        </w:tc>
      </w:tr>
      <w:tr w:rsidR="00524D9D" w:rsidRPr="00D87435" w14:paraId="0A63E7C9" w14:textId="77777777" w:rsidTr="004B5296">
        <w:trPr>
          <w:trHeight w:val="255"/>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5DF4EA" w14:textId="77777777" w:rsidR="00524D9D" w:rsidRPr="00A44B86" w:rsidRDefault="009A3B3F">
            <w:pPr>
              <w:autoSpaceDN w:val="0"/>
              <w:jc w:val="center"/>
              <w:rPr>
                <w:rFonts w:ascii="Arial" w:hAnsi="Arial" w:cs="Arial"/>
              </w:rPr>
            </w:pPr>
            <w:r w:rsidRPr="00A44B86">
              <w:rPr>
                <w:rFonts w:ascii="Arial" w:hAnsi="Arial" w:cs="Arial"/>
              </w:rPr>
              <w:t>2</w:t>
            </w:r>
          </w:p>
        </w:tc>
        <w:tc>
          <w:tcPr>
            <w:tcW w:w="1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9A82C" w14:textId="57D5C276" w:rsidR="00524D9D" w:rsidRPr="00DA72E3" w:rsidRDefault="00B45BC7" w:rsidP="00377889">
            <w:pPr>
              <w:autoSpaceDN w:val="0"/>
              <w:jc w:val="center"/>
              <w:rPr>
                <w:rFonts w:ascii="Arial" w:hAnsi="Arial"/>
                <w:highlight w:val="yellow"/>
              </w:rPr>
            </w:pPr>
            <w:r w:rsidRPr="00DA72E3">
              <w:rPr>
                <w:rFonts w:ascii="Arial" w:hAnsi="Arial" w:cs="Arial"/>
              </w:rPr>
              <w:t>ML15211A568</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20580DD" w14:textId="39A5D306" w:rsidR="00EF1186" w:rsidRPr="00A44B86" w:rsidRDefault="00EC13FC" w:rsidP="00670795">
            <w:pPr>
              <w:autoSpaceDN w:val="0"/>
              <w:jc w:val="center"/>
              <w:rPr>
                <w:rFonts w:ascii="Arial" w:hAnsi="Arial" w:cs="Arial"/>
              </w:rPr>
            </w:pPr>
            <w:r w:rsidRPr="00A44B86">
              <w:rPr>
                <w:rFonts w:ascii="Arial" w:hAnsi="Arial" w:cs="Arial"/>
              </w:rPr>
              <w:t>Matthew Kirkland</w:t>
            </w:r>
            <w:r w:rsidRPr="00A44B86" w:rsidDel="00EC13FC">
              <w:rPr>
                <w:rFonts w:ascii="Arial" w:hAnsi="Arial" w:cs="Arial"/>
              </w:rPr>
              <w:t xml:space="preserve"> </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2D992C" w14:textId="299D7183" w:rsidR="00524D9D" w:rsidRPr="00A44B86" w:rsidRDefault="00EC13FC">
            <w:pPr>
              <w:autoSpaceDN w:val="0"/>
              <w:jc w:val="center"/>
              <w:rPr>
                <w:rFonts w:ascii="Arial" w:hAnsi="Arial" w:cs="Arial"/>
              </w:rPr>
            </w:pPr>
            <w:r w:rsidRPr="00A44B86">
              <w:rPr>
                <w:rFonts w:ascii="Arial" w:hAnsi="Arial" w:cs="Arial"/>
              </w:rPr>
              <w:t>N/A</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59DC43" w14:textId="77777777" w:rsidR="00524D9D" w:rsidRPr="00A44B86" w:rsidRDefault="00370752">
            <w:pPr>
              <w:autoSpaceDN w:val="0"/>
              <w:jc w:val="center"/>
              <w:rPr>
                <w:rFonts w:ascii="Arial" w:hAnsi="Arial" w:cs="Arial"/>
              </w:rPr>
            </w:pPr>
            <w:r w:rsidRPr="00A44B86">
              <w:rPr>
                <w:rFonts w:ascii="Arial" w:hAnsi="Arial" w:cs="Arial"/>
              </w:rPr>
              <w:t>KIR</w:t>
            </w:r>
            <w:r w:rsidR="005777CF" w:rsidRPr="00A44B86">
              <w:rPr>
                <w:rFonts w:ascii="Arial" w:hAnsi="Arial" w:cs="Arial"/>
              </w:rPr>
              <w:t>K</w:t>
            </w:r>
          </w:p>
        </w:tc>
      </w:tr>
      <w:tr w:rsidR="00B8476C" w14:paraId="0B262D65" w14:textId="77777777" w:rsidTr="00B8476C">
        <w:trPr>
          <w:trHeight w:val="255"/>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BFBDA5" w14:textId="77777777" w:rsidR="00B8476C" w:rsidRPr="00A44B86" w:rsidRDefault="00B8476C" w:rsidP="007A18E8">
            <w:pPr>
              <w:autoSpaceDN w:val="0"/>
              <w:jc w:val="center"/>
              <w:rPr>
                <w:rFonts w:ascii="Arial" w:hAnsi="Arial" w:cs="Arial"/>
              </w:rPr>
            </w:pPr>
            <w:r w:rsidRPr="00A44B86">
              <w:rPr>
                <w:rFonts w:ascii="Arial" w:hAnsi="Arial" w:cs="Arial"/>
              </w:rPr>
              <w:t>3</w:t>
            </w:r>
          </w:p>
        </w:tc>
        <w:tc>
          <w:tcPr>
            <w:tcW w:w="1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DB428D" w14:textId="77777777" w:rsidR="00B8476C" w:rsidRPr="00A44B86" w:rsidRDefault="00B8476C" w:rsidP="007A18E8">
            <w:pPr>
              <w:autoSpaceDN w:val="0"/>
              <w:jc w:val="center"/>
              <w:rPr>
                <w:rFonts w:ascii="Arial" w:hAnsi="Arial" w:cs="Arial"/>
              </w:rPr>
            </w:pPr>
            <w:r w:rsidRPr="00A44B86">
              <w:rPr>
                <w:rFonts w:ascii="Arial" w:hAnsi="Arial" w:cs="Arial"/>
              </w:rPr>
              <w:t>ML15223A936</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94EC5F" w14:textId="77777777" w:rsidR="00B8476C" w:rsidRPr="00A44B86" w:rsidRDefault="00B8476C" w:rsidP="007A18E8">
            <w:pPr>
              <w:autoSpaceDN w:val="0"/>
              <w:jc w:val="center"/>
              <w:rPr>
                <w:rFonts w:ascii="Arial" w:hAnsi="Arial" w:cs="Arial"/>
              </w:rPr>
            </w:pPr>
            <w:r w:rsidRPr="00A44B86">
              <w:rPr>
                <w:rFonts w:ascii="Arial" w:hAnsi="Arial" w:cs="Arial"/>
              </w:rPr>
              <w:t>Entergy Operations, Inc.</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93CC77C" w14:textId="77777777" w:rsidR="00B8476C" w:rsidRPr="00A44B86" w:rsidRDefault="00B8476C" w:rsidP="007A18E8">
            <w:pPr>
              <w:autoSpaceDN w:val="0"/>
              <w:jc w:val="center"/>
              <w:rPr>
                <w:rFonts w:ascii="Arial" w:hAnsi="Arial" w:cs="Arial"/>
              </w:rPr>
            </w:pPr>
            <w:r w:rsidRPr="00A44B86">
              <w:rPr>
                <w:rFonts w:ascii="Arial" w:hAnsi="Arial" w:cs="Arial"/>
              </w:rPr>
              <w:t>Bryan S. Ford</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BDCB1F" w14:textId="77777777" w:rsidR="00B8476C" w:rsidRPr="00A44B86" w:rsidRDefault="00B8476C" w:rsidP="007A18E8">
            <w:pPr>
              <w:autoSpaceDN w:val="0"/>
              <w:jc w:val="center"/>
              <w:rPr>
                <w:rFonts w:ascii="Arial" w:hAnsi="Arial" w:cs="Arial"/>
              </w:rPr>
            </w:pPr>
            <w:r w:rsidRPr="00A44B86">
              <w:rPr>
                <w:rFonts w:ascii="Arial" w:hAnsi="Arial" w:cs="Arial"/>
              </w:rPr>
              <w:t>ENT</w:t>
            </w:r>
          </w:p>
        </w:tc>
      </w:tr>
      <w:tr w:rsidR="00370752" w14:paraId="1972D658" w14:textId="77777777" w:rsidTr="004B5296">
        <w:trPr>
          <w:trHeight w:val="255"/>
        </w:trPr>
        <w:tc>
          <w:tcPr>
            <w:tcW w:w="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A839F5" w14:textId="77777777" w:rsidR="00370752" w:rsidRPr="00A44B86" w:rsidRDefault="00B8476C" w:rsidP="00370752">
            <w:pPr>
              <w:autoSpaceDN w:val="0"/>
              <w:jc w:val="center"/>
              <w:rPr>
                <w:rFonts w:ascii="Arial" w:hAnsi="Arial" w:cs="Arial"/>
              </w:rPr>
            </w:pPr>
            <w:r w:rsidRPr="00A44B86">
              <w:rPr>
                <w:rFonts w:ascii="Arial" w:hAnsi="Arial" w:cs="Arial"/>
              </w:rPr>
              <w:t>4</w:t>
            </w:r>
          </w:p>
        </w:tc>
        <w:tc>
          <w:tcPr>
            <w:tcW w:w="1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6ED38B41" w14:textId="18186A63" w:rsidR="00370752" w:rsidRPr="00A44B86" w:rsidRDefault="00E64961" w:rsidP="00370752">
            <w:pPr>
              <w:autoSpaceDN w:val="0"/>
              <w:jc w:val="center"/>
              <w:rPr>
                <w:rFonts w:ascii="Arial" w:hAnsi="Arial" w:cs="Arial"/>
              </w:rPr>
            </w:pPr>
            <w:r w:rsidRPr="00A44B86">
              <w:rPr>
                <w:rFonts w:ascii="Arial" w:hAnsi="Arial" w:cs="Arial"/>
              </w:rPr>
              <w:t>ML15223A991</w:t>
            </w:r>
            <w:r w:rsidR="00E82E8C" w:rsidRPr="00A44B86">
              <w:rPr>
                <w:rFonts w:ascii="Arial" w:hAnsi="Arial" w:cs="Arial"/>
              </w:rPr>
              <w:t xml:space="preserve"> (package)</w:t>
            </w:r>
          </w:p>
          <w:p w14:paraId="356B5242" w14:textId="77777777" w:rsidR="00E82E8C" w:rsidRPr="00A44B86" w:rsidRDefault="00E82E8C" w:rsidP="00370752">
            <w:pPr>
              <w:autoSpaceDN w:val="0"/>
              <w:jc w:val="center"/>
              <w:rPr>
                <w:rFonts w:ascii="Arial" w:hAnsi="Arial" w:cs="Arial"/>
              </w:rPr>
            </w:pPr>
          </w:p>
          <w:p w14:paraId="5717BDAD" w14:textId="77777777" w:rsidR="00E82E8C" w:rsidRPr="00A44B86" w:rsidRDefault="00E82E8C" w:rsidP="00370752">
            <w:pPr>
              <w:autoSpaceDN w:val="0"/>
              <w:jc w:val="center"/>
              <w:rPr>
                <w:rFonts w:ascii="Arial" w:hAnsi="Arial" w:cs="Arial"/>
              </w:rPr>
            </w:pPr>
            <w:r w:rsidRPr="00A44B86">
              <w:rPr>
                <w:rFonts w:ascii="Arial" w:hAnsi="Arial" w:cs="Arial"/>
              </w:rPr>
              <w:t>ML15223A992 (letter)</w:t>
            </w:r>
          </w:p>
          <w:p w14:paraId="282EBDAF" w14:textId="77777777" w:rsidR="00E82E8C" w:rsidRPr="00A44B86" w:rsidRDefault="00E82E8C" w:rsidP="00370752">
            <w:pPr>
              <w:autoSpaceDN w:val="0"/>
              <w:jc w:val="center"/>
              <w:rPr>
                <w:rFonts w:ascii="Arial" w:hAnsi="Arial" w:cs="Arial"/>
              </w:rPr>
            </w:pPr>
          </w:p>
          <w:p w14:paraId="545F3712" w14:textId="77777777" w:rsidR="00E82E8C" w:rsidRPr="00A44B86" w:rsidRDefault="00E82E8C" w:rsidP="00370752">
            <w:pPr>
              <w:autoSpaceDN w:val="0"/>
              <w:jc w:val="center"/>
              <w:rPr>
                <w:rFonts w:ascii="Arial" w:hAnsi="Arial" w:cs="Arial"/>
              </w:rPr>
            </w:pPr>
            <w:r w:rsidRPr="00A44B86">
              <w:rPr>
                <w:rFonts w:ascii="Arial" w:hAnsi="Arial" w:cs="Arial"/>
              </w:rPr>
              <w:t>ML15223A993</w:t>
            </w:r>
          </w:p>
          <w:p w14:paraId="1AC443AC" w14:textId="5742F8B2" w:rsidR="00E82E8C" w:rsidRPr="00A44B86" w:rsidRDefault="00E82E8C" w:rsidP="00E82E8C">
            <w:pPr>
              <w:autoSpaceDN w:val="0"/>
              <w:jc w:val="center"/>
              <w:rPr>
                <w:rFonts w:ascii="Arial" w:hAnsi="Arial"/>
              </w:rPr>
            </w:pPr>
            <w:r w:rsidRPr="00A44B86">
              <w:rPr>
                <w:rFonts w:ascii="Arial" w:hAnsi="Arial" w:cs="Arial"/>
              </w:rPr>
              <w:t xml:space="preserve">(enclosure) </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64E4E3" w14:textId="77777777" w:rsidR="00370752" w:rsidRPr="00A44B86" w:rsidRDefault="00370752" w:rsidP="00370752">
            <w:pPr>
              <w:autoSpaceDN w:val="0"/>
              <w:jc w:val="center"/>
              <w:rPr>
                <w:rFonts w:ascii="Arial" w:hAnsi="Arial" w:cs="Arial"/>
              </w:rPr>
            </w:pPr>
            <w:r w:rsidRPr="00A44B86">
              <w:rPr>
                <w:rFonts w:ascii="Arial" w:hAnsi="Arial" w:cs="Arial"/>
              </w:rPr>
              <w:t>Nuclear Energy Institute</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ADDCA4" w14:textId="77777777" w:rsidR="00670795" w:rsidRPr="00A44B86" w:rsidRDefault="00370752" w:rsidP="00670795">
            <w:pPr>
              <w:autoSpaceDN w:val="0"/>
              <w:jc w:val="center"/>
              <w:rPr>
                <w:rFonts w:ascii="Arial" w:hAnsi="Arial" w:cs="Arial"/>
              </w:rPr>
            </w:pPr>
            <w:r w:rsidRPr="00A44B86">
              <w:rPr>
                <w:rFonts w:ascii="Arial" w:hAnsi="Arial" w:cs="Arial"/>
              </w:rPr>
              <w:t>Kristopher Cummings</w:t>
            </w:r>
          </w:p>
        </w:tc>
        <w:tc>
          <w:tcPr>
            <w:tcW w:w="15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3F642F1" w14:textId="77777777" w:rsidR="00370752" w:rsidRPr="00A44B86" w:rsidRDefault="00370752" w:rsidP="00370752">
            <w:pPr>
              <w:autoSpaceDN w:val="0"/>
              <w:jc w:val="center"/>
              <w:rPr>
                <w:rFonts w:ascii="Arial" w:hAnsi="Arial" w:cs="Arial"/>
              </w:rPr>
            </w:pPr>
            <w:r w:rsidRPr="00A44B86">
              <w:rPr>
                <w:rFonts w:ascii="Arial" w:hAnsi="Arial" w:cs="Arial"/>
              </w:rPr>
              <w:t>NEI</w:t>
            </w:r>
          </w:p>
        </w:tc>
      </w:tr>
      <w:tr w:rsidR="00524D9D" w14:paraId="14DEE341" w14:textId="77777777" w:rsidTr="004B5296">
        <w:trPr>
          <w:trHeight w:val="255"/>
        </w:trPr>
        <w:tc>
          <w:tcPr>
            <w:tcW w:w="772"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6595A9AF" w14:textId="63D08773" w:rsidR="00524D9D" w:rsidRPr="00A44B86" w:rsidRDefault="00B8476C">
            <w:pPr>
              <w:autoSpaceDN w:val="0"/>
              <w:jc w:val="center"/>
              <w:rPr>
                <w:rFonts w:ascii="Arial" w:hAnsi="Arial" w:cs="Arial"/>
              </w:rPr>
            </w:pPr>
            <w:r w:rsidRPr="00A44B86">
              <w:rPr>
                <w:rFonts w:ascii="Arial" w:hAnsi="Arial" w:cs="Arial"/>
              </w:rPr>
              <w:t>5</w:t>
            </w:r>
          </w:p>
        </w:tc>
        <w:tc>
          <w:tcPr>
            <w:tcW w:w="167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99B95DC" w14:textId="77777777" w:rsidR="00524D9D" w:rsidRPr="00A44B86" w:rsidRDefault="00CE5B73">
            <w:pPr>
              <w:autoSpaceDN w:val="0"/>
              <w:jc w:val="center"/>
              <w:rPr>
                <w:rFonts w:ascii="Arial" w:hAnsi="Arial" w:cs="Arial"/>
              </w:rPr>
            </w:pPr>
            <w:r w:rsidRPr="00A44B86">
              <w:rPr>
                <w:rFonts w:ascii="Arial" w:hAnsi="Arial" w:cs="Arial"/>
              </w:rPr>
              <w:t>ML15219A328</w:t>
            </w:r>
          </w:p>
        </w:tc>
        <w:tc>
          <w:tcPr>
            <w:tcW w:w="369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20D0F95B" w14:textId="77777777" w:rsidR="00670795" w:rsidRPr="00A44B86" w:rsidRDefault="00670795" w:rsidP="00EF1186">
            <w:pPr>
              <w:autoSpaceDN w:val="0"/>
              <w:jc w:val="center"/>
              <w:rPr>
                <w:rFonts w:ascii="Arial" w:hAnsi="Arial" w:cs="Arial"/>
              </w:rPr>
            </w:pPr>
            <w:r w:rsidRPr="00A44B86">
              <w:rPr>
                <w:rFonts w:ascii="Arial" w:hAnsi="Arial" w:cs="Arial"/>
              </w:rPr>
              <w:t>Duke Energy</w:t>
            </w:r>
          </w:p>
        </w:tc>
        <w:tc>
          <w:tcPr>
            <w:tcW w:w="234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0BFAE922" w14:textId="77777777" w:rsidR="00524D9D" w:rsidRPr="00A44B86" w:rsidRDefault="002B70CD">
            <w:pPr>
              <w:autoSpaceDN w:val="0"/>
              <w:jc w:val="center"/>
              <w:rPr>
                <w:rFonts w:ascii="Arial" w:hAnsi="Arial" w:cs="Arial"/>
              </w:rPr>
            </w:pPr>
            <w:r w:rsidRPr="00A44B86">
              <w:rPr>
                <w:rFonts w:ascii="Arial" w:hAnsi="Arial" w:cs="Arial"/>
              </w:rPr>
              <w:t>M. Christopher Nolan</w:t>
            </w:r>
          </w:p>
        </w:tc>
        <w:tc>
          <w:tcPr>
            <w:tcW w:w="15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CE855C" w14:textId="77777777" w:rsidR="00524D9D" w:rsidRPr="00A44B86" w:rsidRDefault="002B70CD">
            <w:pPr>
              <w:autoSpaceDN w:val="0"/>
              <w:jc w:val="center"/>
              <w:rPr>
                <w:rFonts w:ascii="Arial" w:hAnsi="Arial" w:cs="Arial"/>
              </w:rPr>
            </w:pPr>
            <w:r w:rsidRPr="00A44B86">
              <w:rPr>
                <w:rFonts w:ascii="Arial" w:hAnsi="Arial" w:cs="Arial"/>
              </w:rPr>
              <w:t>DUKE</w:t>
            </w:r>
          </w:p>
        </w:tc>
      </w:tr>
    </w:tbl>
    <w:p w14:paraId="45C0FD5E" w14:textId="77777777" w:rsidR="00524D9D" w:rsidRDefault="00524D9D">
      <w:pPr>
        <w:rPr>
          <w:rFonts w:ascii="Arial" w:hAnsi="Arial" w:cs="Arial"/>
        </w:rPr>
      </w:pPr>
    </w:p>
    <w:p w14:paraId="40D1D039" w14:textId="23223B94" w:rsidR="00EE2AB9" w:rsidRDefault="00370752" w:rsidP="009C354C">
      <w:pPr>
        <w:rPr>
          <w:rFonts w:ascii="Arial" w:hAnsi="Arial" w:cs="Arial"/>
        </w:rPr>
      </w:pPr>
      <w:r>
        <w:rPr>
          <w:rFonts w:ascii="Arial" w:hAnsi="Arial" w:cs="Arial"/>
        </w:rPr>
        <w:t>T</w:t>
      </w:r>
      <w:r w:rsidR="009A3B3F">
        <w:rPr>
          <w:rFonts w:ascii="Arial" w:hAnsi="Arial" w:cs="Arial"/>
        </w:rPr>
        <w:t>he NRC has either repeated comments as written by the commenter</w:t>
      </w:r>
      <w:r w:rsidR="00A44B86">
        <w:rPr>
          <w:rFonts w:ascii="Arial" w:hAnsi="Arial" w:cs="Arial"/>
        </w:rPr>
        <w:t>,</w:t>
      </w:r>
      <w:r w:rsidR="009A3B3F">
        <w:rPr>
          <w:rFonts w:ascii="Arial" w:hAnsi="Arial" w:cs="Arial"/>
        </w:rPr>
        <w:t xml:space="preserve"> or summarized the comments for conciseness and clarity.  At the end of the comment or comment summary, the NRC references the specific public comments and the letters by which they were provided to the NRC.  Specific comments are referred to in the form [XXX]-[YYY], where:  [XXX] represents the commenter abbreviation from the table on pag</w:t>
      </w:r>
      <w:r>
        <w:rPr>
          <w:rFonts w:ascii="Arial" w:hAnsi="Arial" w:cs="Arial"/>
        </w:rPr>
        <w:t xml:space="preserve">e 1 of this document and [YYY] represents the </w:t>
      </w:r>
      <w:r w:rsidR="007D227F">
        <w:rPr>
          <w:rFonts w:ascii="Arial" w:hAnsi="Arial" w:cs="Arial"/>
        </w:rPr>
        <w:t>identifying question</w:t>
      </w:r>
      <w:r w:rsidR="00B67119">
        <w:rPr>
          <w:rFonts w:ascii="Arial" w:hAnsi="Arial" w:cs="Arial"/>
        </w:rPr>
        <w:t>,</w:t>
      </w:r>
      <w:r w:rsidR="007D227F">
        <w:rPr>
          <w:rFonts w:ascii="Arial" w:hAnsi="Arial" w:cs="Arial"/>
        </w:rPr>
        <w:t xml:space="preserve"> number</w:t>
      </w:r>
      <w:r w:rsidR="00B67119">
        <w:rPr>
          <w:rFonts w:ascii="Arial" w:hAnsi="Arial" w:cs="Arial"/>
        </w:rPr>
        <w:t>,</w:t>
      </w:r>
      <w:r w:rsidR="007D227F">
        <w:rPr>
          <w:rFonts w:ascii="Arial" w:hAnsi="Arial" w:cs="Arial"/>
        </w:rPr>
        <w:t xml:space="preserve"> or section indicated by</w:t>
      </w:r>
      <w:r>
        <w:rPr>
          <w:rFonts w:ascii="Arial" w:hAnsi="Arial" w:cs="Arial"/>
        </w:rPr>
        <w:t xml:space="preserve"> that commenter</w:t>
      </w:r>
      <w:r w:rsidR="00B67119">
        <w:rPr>
          <w:rFonts w:ascii="Arial" w:hAnsi="Arial" w:cs="Arial"/>
        </w:rPr>
        <w:t>,</w:t>
      </w:r>
      <w:r w:rsidR="00DD461C">
        <w:rPr>
          <w:rFonts w:ascii="Arial" w:hAnsi="Arial" w:cs="Arial"/>
        </w:rPr>
        <w:t xml:space="preserve"> or the section of the document where the comment may be found.</w:t>
      </w:r>
    </w:p>
    <w:p w14:paraId="18A9E071" w14:textId="77777777" w:rsidR="00EE2AB9" w:rsidRDefault="00EE2AB9" w:rsidP="009C354C">
      <w:pPr>
        <w:rPr>
          <w:rFonts w:ascii="Arial" w:hAnsi="Arial" w:cs="Arial"/>
        </w:rPr>
      </w:pPr>
    </w:p>
    <w:p w14:paraId="48140A3E" w14:textId="77777777" w:rsidR="00EE2AB9" w:rsidRDefault="00EE2AB9" w:rsidP="009C354C">
      <w:pPr>
        <w:rPr>
          <w:rFonts w:ascii="Arial" w:hAnsi="Arial" w:cs="Arial"/>
        </w:rPr>
      </w:pPr>
    </w:p>
    <w:p w14:paraId="1D840520" w14:textId="77777777" w:rsidR="00EE2AB9" w:rsidRDefault="00EE2AB9" w:rsidP="009C354C">
      <w:pPr>
        <w:rPr>
          <w:rFonts w:ascii="Arial" w:hAnsi="Arial" w:cs="Arial"/>
        </w:rPr>
      </w:pPr>
    </w:p>
    <w:p w14:paraId="430E3BBD" w14:textId="69A45B59" w:rsidR="009C354C" w:rsidRDefault="00EE2AB9" w:rsidP="009C354C">
      <w:pPr>
        <w:rPr>
          <w:rFonts w:ascii="Arial" w:hAnsi="Arial" w:cs="Arial"/>
          <w:i/>
          <w:iCs/>
        </w:rPr>
      </w:pPr>
      <w:r>
        <w:rPr>
          <w:rFonts w:ascii="Arial" w:hAnsi="Arial" w:cs="Arial"/>
          <w:b/>
          <w:u w:val="single"/>
        </w:rPr>
        <w:t>ML15222A005</w:t>
      </w:r>
      <w:r w:rsidR="009C354C">
        <w:rPr>
          <w:rFonts w:ascii="Arial" w:hAnsi="Arial" w:cs="Arial"/>
          <w:i/>
          <w:iCs/>
        </w:rPr>
        <w:br w:type="page"/>
      </w:r>
    </w:p>
    <w:p w14:paraId="0C04B328" w14:textId="655887F6" w:rsidR="009C354C" w:rsidRPr="009C354C" w:rsidRDefault="009C354C" w:rsidP="009C354C">
      <w:pPr>
        <w:rPr>
          <w:rFonts w:ascii="Arial" w:hAnsi="Arial" w:cs="Arial"/>
          <w:iCs/>
        </w:rPr>
        <w:sectPr w:rsidR="009C354C" w:rsidRPr="009C354C" w:rsidSect="00EE2AB9">
          <w:pgSz w:w="12240" w:h="15840"/>
          <w:pgMar w:top="1440" w:right="1440" w:bottom="1440" w:left="1440" w:header="720" w:footer="1440" w:gutter="0"/>
          <w:cols w:space="720"/>
          <w:docGrid w:linePitch="360"/>
        </w:sectPr>
      </w:pPr>
    </w:p>
    <w:p w14:paraId="73A6320B" w14:textId="77777777" w:rsidR="009C354C" w:rsidRDefault="009C354C" w:rsidP="009C354C">
      <w:pPr>
        <w:rPr>
          <w:rFonts w:ascii="Arial" w:hAnsi="Arial" w:cs="Arial"/>
          <w:i/>
          <w:iCs/>
        </w:rPr>
      </w:pPr>
      <w:r w:rsidRPr="00921E0B">
        <w:rPr>
          <w:rFonts w:ascii="Arial" w:hAnsi="Arial" w:cs="Arial"/>
          <w:i/>
          <w:iCs/>
          <w:u w:val="single"/>
        </w:rPr>
        <w:lastRenderedPageBreak/>
        <w:t>Comment</w:t>
      </w:r>
      <w:r>
        <w:rPr>
          <w:rFonts w:ascii="Arial" w:hAnsi="Arial" w:cs="Arial"/>
          <w:i/>
          <w:iCs/>
        </w:rPr>
        <w:t>:  Most of the NRC-requested information is publicly available (e.g., in plant FSAR and correspondence docket), and the rest can be obtained by the NRC more efficiently through other means. [SCEG-1, SCEG-4]</w:t>
      </w:r>
    </w:p>
    <w:p w14:paraId="49DAB932" w14:textId="77777777" w:rsidR="009C354C" w:rsidRDefault="009C354C" w:rsidP="009C354C">
      <w:pPr>
        <w:rPr>
          <w:rFonts w:ascii="Arial" w:hAnsi="Arial" w:cs="Arial"/>
          <w:i/>
          <w:iCs/>
        </w:rPr>
      </w:pPr>
    </w:p>
    <w:p w14:paraId="4E3DC7B3" w14:textId="30DDE820" w:rsidR="009C354C" w:rsidRDefault="009C354C" w:rsidP="009C354C">
      <w:pPr>
        <w:rPr>
          <w:rFonts w:ascii="Arial" w:hAnsi="Arial" w:cs="Arial"/>
        </w:rPr>
      </w:pPr>
      <w:r w:rsidRPr="00921E0B">
        <w:rPr>
          <w:rFonts w:ascii="Arial" w:hAnsi="Arial" w:cs="Arial"/>
          <w:iCs/>
          <w:u w:val="single"/>
        </w:rPr>
        <w:t>NRC Response</w:t>
      </w:r>
      <w:r>
        <w:rPr>
          <w:rFonts w:ascii="Arial" w:hAnsi="Arial" w:cs="Arial"/>
          <w:iCs/>
        </w:rPr>
        <w:t xml:space="preserve">:  The NRC disagrees with the comment.  </w:t>
      </w:r>
      <w:r>
        <w:rPr>
          <w:rFonts w:ascii="Arial" w:hAnsi="Arial" w:cs="Arial"/>
        </w:rPr>
        <w:t xml:space="preserve">Previous efforts by the staff to obtain the requested information from information available to the NRC </w:t>
      </w:r>
      <w:r w:rsidR="009F66CD">
        <w:rPr>
          <w:rFonts w:ascii="Arial" w:hAnsi="Arial" w:cs="Arial"/>
        </w:rPr>
        <w:t xml:space="preserve">(e.g., plant FSARs and docketed documents) </w:t>
      </w:r>
      <w:r>
        <w:rPr>
          <w:rFonts w:ascii="Arial" w:hAnsi="Arial" w:cs="Arial"/>
        </w:rPr>
        <w:t xml:space="preserve">culminated in several databases of information, such as the Spent Fuel Pool Criticality Management database (ADAMS Accession No. ML13212A064).  The staff identified many gaps, and determined that, in many cases, the information that was previously submitted on the docket was outdated.  </w:t>
      </w:r>
      <w:r w:rsidR="009F66CD">
        <w:rPr>
          <w:rFonts w:ascii="Arial" w:hAnsi="Arial" w:cs="Arial"/>
        </w:rPr>
        <w:t xml:space="preserve">Some examples include </w:t>
      </w:r>
      <w:r w:rsidR="00B71663">
        <w:rPr>
          <w:rFonts w:ascii="Arial" w:hAnsi="Arial" w:cs="Arial"/>
        </w:rPr>
        <w:t xml:space="preserve">legacy information that could not be located, information that is typically not required to be submitted to the NRC as part of licensing reviews, or information that was found to have been changed via the </w:t>
      </w:r>
      <w:r w:rsidR="00731107">
        <w:rPr>
          <w:rFonts w:ascii="Arial" w:hAnsi="Arial" w:cs="Arial"/>
        </w:rPr>
        <w:t xml:space="preserve">Title 10 of the </w:t>
      </w:r>
      <w:r w:rsidR="00731107" w:rsidRPr="00731107">
        <w:rPr>
          <w:rFonts w:ascii="Arial" w:hAnsi="Arial" w:cs="Arial"/>
          <w:i/>
        </w:rPr>
        <w:t>Code of Federal Regulations</w:t>
      </w:r>
      <w:r w:rsidR="00731107">
        <w:rPr>
          <w:rFonts w:ascii="Arial" w:hAnsi="Arial" w:cs="Arial"/>
        </w:rPr>
        <w:t xml:space="preserve"> (</w:t>
      </w:r>
      <w:r w:rsidR="00B71663" w:rsidRPr="00731107">
        <w:rPr>
          <w:rFonts w:ascii="Arial" w:hAnsi="Arial" w:cs="Arial"/>
        </w:rPr>
        <w:t>10 CFR</w:t>
      </w:r>
      <w:r w:rsidR="00731107" w:rsidRPr="00731107">
        <w:rPr>
          <w:rFonts w:ascii="Arial" w:hAnsi="Arial" w:cs="Arial"/>
        </w:rPr>
        <w:t>)</w:t>
      </w:r>
      <w:r w:rsidR="00B71663" w:rsidRPr="00731107">
        <w:rPr>
          <w:rFonts w:ascii="Arial" w:hAnsi="Arial" w:cs="Arial"/>
        </w:rPr>
        <w:t xml:space="preserve"> 50.59</w:t>
      </w:r>
      <w:r w:rsidR="00B71663">
        <w:rPr>
          <w:rFonts w:ascii="Arial" w:hAnsi="Arial" w:cs="Arial"/>
        </w:rPr>
        <w:t xml:space="preserve"> process.  </w:t>
      </w:r>
      <w:r>
        <w:rPr>
          <w:rFonts w:ascii="Arial" w:hAnsi="Arial" w:cs="Arial"/>
        </w:rPr>
        <w:t>The NRC identified the generic letter process as the most efficient and least burdensome approach for the NRC to obtain the needed data, given the burden that an audit or inspection would impose upon a licensee and the NRC.</w:t>
      </w:r>
    </w:p>
    <w:p w14:paraId="5E46FFEF" w14:textId="77777777" w:rsidR="009C354C" w:rsidRDefault="009C354C" w:rsidP="009C354C">
      <w:pPr>
        <w:rPr>
          <w:rFonts w:ascii="Arial" w:hAnsi="Arial" w:cs="Arial"/>
        </w:rPr>
      </w:pPr>
    </w:p>
    <w:p w14:paraId="64D55288" w14:textId="77777777" w:rsidR="009C354C" w:rsidRDefault="009C354C" w:rsidP="009C354C">
      <w:pPr>
        <w:rPr>
          <w:rFonts w:ascii="Arial" w:hAnsi="Arial" w:cs="Arial"/>
        </w:rPr>
      </w:pPr>
    </w:p>
    <w:p w14:paraId="61F499EF" w14:textId="3322EF67" w:rsidR="00BD69EC" w:rsidRDefault="00BD69EC" w:rsidP="009C354C">
      <w:pPr>
        <w:rPr>
          <w:rFonts w:ascii="Arial" w:hAnsi="Arial" w:cs="Arial"/>
          <w:i/>
          <w:iCs/>
        </w:rPr>
      </w:pPr>
      <w:r w:rsidRPr="00921E0B">
        <w:rPr>
          <w:rFonts w:ascii="Arial" w:hAnsi="Arial" w:cs="Arial"/>
          <w:i/>
          <w:iCs/>
          <w:u w:val="single"/>
        </w:rPr>
        <w:t>Comment</w:t>
      </w:r>
      <w:r>
        <w:rPr>
          <w:rFonts w:ascii="Arial" w:hAnsi="Arial" w:cs="Arial"/>
          <w:i/>
          <w:iCs/>
        </w:rPr>
        <w:t xml:space="preserve">: </w:t>
      </w:r>
      <w:r w:rsidR="0045791B">
        <w:rPr>
          <w:rFonts w:ascii="Arial" w:hAnsi="Arial" w:cs="Arial"/>
          <w:i/>
          <w:iCs/>
        </w:rPr>
        <w:t xml:space="preserve"> </w:t>
      </w:r>
      <w:r>
        <w:rPr>
          <w:rFonts w:ascii="Arial" w:hAnsi="Arial" w:cs="Arial"/>
          <w:i/>
          <w:iCs/>
        </w:rPr>
        <w:t>The responses to the generic letter will not provide a significant safety benefit</w:t>
      </w:r>
      <w:r w:rsidR="0072547D">
        <w:rPr>
          <w:rFonts w:ascii="Arial" w:hAnsi="Arial" w:cs="Arial"/>
          <w:i/>
          <w:iCs/>
        </w:rPr>
        <w:t xml:space="preserve"> commensurate with the burden being imposed on licensees</w:t>
      </w:r>
      <w:r>
        <w:rPr>
          <w:rFonts w:ascii="Arial" w:hAnsi="Arial" w:cs="Arial"/>
          <w:i/>
          <w:iCs/>
        </w:rPr>
        <w:t>. [SCEG-1, SCEG-3</w:t>
      </w:r>
      <w:r w:rsidR="007D227F">
        <w:rPr>
          <w:rFonts w:ascii="Arial" w:hAnsi="Arial" w:cs="Arial"/>
          <w:i/>
          <w:iCs/>
        </w:rPr>
        <w:t>, SCEG</w:t>
      </w:r>
      <w:r w:rsidR="001E7383">
        <w:rPr>
          <w:rFonts w:ascii="Arial" w:hAnsi="Arial" w:cs="Arial"/>
          <w:i/>
          <w:iCs/>
        </w:rPr>
        <w:noBreakHyphen/>
      </w:r>
      <w:r w:rsidR="007D227F">
        <w:rPr>
          <w:rFonts w:ascii="Arial" w:hAnsi="Arial" w:cs="Arial"/>
          <w:i/>
          <w:iCs/>
        </w:rPr>
        <w:t>Summary</w:t>
      </w:r>
      <w:r>
        <w:rPr>
          <w:rFonts w:ascii="Arial" w:hAnsi="Arial" w:cs="Arial"/>
          <w:i/>
          <w:iCs/>
        </w:rPr>
        <w:t>]</w:t>
      </w:r>
    </w:p>
    <w:p w14:paraId="7FC23F6F" w14:textId="77777777" w:rsidR="00BD69EC" w:rsidRDefault="00BD69EC" w:rsidP="00BD69EC">
      <w:pPr>
        <w:rPr>
          <w:rFonts w:ascii="Arial" w:hAnsi="Arial" w:cs="Arial"/>
          <w:i/>
          <w:iCs/>
        </w:rPr>
      </w:pPr>
    </w:p>
    <w:p w14:paraId="5A088ED1" w14:textId="5985EB72" w:rsidR="00BD69EC" w:rsidRPr="00BD69EC" w:rsidRDefault="00BD69EC" w:rsidP="00BD69EC">
      <w:pPr>
        <w:rPr>
          <w:rFonts w:ascii="Arial" w:hAnsi="Arial" w:cs="Arial"/>
          <w:iCs/>
        </w:rPr>
      </w:pPr>
      <w:r w:rsidRPr="00921E0B">
        <w:rPr>
          <w:rFonts w:ascii="Arial" w:hAnsi="Arial" w:cs="Arial"/>
          <w:iCs/>
          <w:u w:val="single"/>
        </w:rPr>
        <w:t>NRC Response</w:t>
      </w:r>
      <w:r>
        <w:rPr>
          <w:rFonts w:ascii="Arial" w:hAnsi="Arial" w:cs="Arial"/>
          <w:iCs/>
        </w:rPr>
        <w:t xml:space="preserve">:  This concern was discussed in the public comments submitted in response to the draft generic letter posted in the </w:t>
      </w:r>
      <w:r>
        <w:rPr>
          <w:rFonts w:ascii="Arial" w:hAnsi="Arial" w:cs="Arial"/>
          <w:i/>
          <w:iCs/>
        </w:rPr>
        <w:t>Federal Register</w:t>
      </w:r>
      <w:r>
        <w:rPr>
          <w:rFonts w:ascii="Arial" w:hAnsi="Arial" w:cs="Arial"/>
          <w:iCs/>
        </w:rPr>
        <w:t xml:space="preserve"> on March</w:t>
      </w:r>
      <w:r w:rsidR="001E7383">
        <w:rPr>
          <w:rFonts w:ascii="Arial" w:hAnsi="Arial" w:cs="Arial"/>
          <w:iCs/>
        </w:rPr>
        <w:t> </w:t>
      </w:r>
      <w:r>
        <w:rPr>
          <w:rFonts w:ascii="Arial" w:hAnsi="Arial" w:cs="Arial"/>
          <w:iCs/>
        </w:rPr>
        <w:t>11,</w:t>
      </w:r>
      <w:r w:rsidR="001E7383">
        <w:rPr>
          <w:rFonts w:ascii="Arial" w:hAnsi="Arial" w:cs="Arial"/>
          <w:iCs/>
        </w:rPr>
        <w:t> </w:t>
      </w:r>
      <w:r>
        <w:rPr>
          <w:rFonts w:ascii="Arial" w:hAnsi="Arial" w:cs="Arial"/>
          <w:iCs/>
        </w:rPr>
        <w:t>2014 (79</w:t>
      </w:r>
      <w:r w:rsidR="001E7383">
        <w:rPr>
          <w:rFonts w:ascii="Arial" w:hAnsi="Arial" w:cs="Arial"/>
          <w:iCs/>
        </w:rPr>
        <w:t> </w:t>
      </w:r>
      <w:r>
        <w:rPr>
          <w:rFonts w:ascii="Arial" w:hAnsi="Arial" w:cs="Arial"/>
          <w:iCs/>
        </w:rPr>
        <w:t>FR</w:t>
      </w:r>
      <w:r w:rsidR="001E7383">
        <w:rPr>
          <w:rFonts w:ascii="Arial" w:hAnsi="Arial" w:cs="Arial"/>
          <w:iCs/>
        </w:rPr>
        <w:t> </w:t>
      </w:r>
      <w:r>
        <w:rPr>
          <w:rFonts w:ascii="Arial" w:hAnsi="Arial" w:cs="Arial"/>
          <w:iCs/>
        </w:rPr>
        <w:t>13685)</w:t>
      </w:r>
      <w:r w:rsidR="00663434">
        <w:rPr>
          <w:rFonts w:ascii="Arial" w:hAnsi="Arial" w:cs="Arial"/>
          <w:iCs/>
        </w:rPr>
        <w:t>.  Nuclear Energy Institute was provided with an opportunity to elaborate upon this concern</w:t>
      </w:r>
      <w:r>
        <w:rPr>
          <w:rFonts w:ascii="Arial" w:hAnsi="Arial" w:cs="Arial"/>
          <w:iCs/>
        </w:rPr>
        <w:t xml:space="preserve"> during public meetings of the Advisory Committee on Reactor Safeguards</w:t>
      </w:r>
      <w:r w:rsidR="00663434">
        <w:rPr>
          <w:rFonts w:ascii="Arial" w:hAnsi="Arial" w:cs="Arial"/>
          <w:iCs/>
        </w:rPr>
        <w:t xml:space="preserve"> related to this generic letter</w:t>
      </w:r>
      <w:r>
        <w:rPr>
          <w:rFonts w:ascii="Arial" w:hAnsi="Arial" w:cs="Arial"/>
          <w:iCs/>
        </w:rPr>
        <w:t xml:space="preserve">.  </w:t>
      </w:r>
      <w:r w:rsidR="00B71663">
        <w:rPr>
          <w:rFonts w:ascii="Arial" w:hAnsi="Arial" w:cs="Arial"/>
          <w:iCs/>
        </w:rPr>
        <w:t xml:space="preserve">The NRC staff has stated that the regulations require that adequate subcriticality margin be maintained, and adequate monitoring of neutron-absorbing materials in spent fuel pools is an essential part of ensuring that this regulatory requirement is met.  The multiple instances of operating experience identified in recent years related to previously unidentified degradation of neutron-absorbing materials in spent fuel pools (as discussed in the </w:t>
      </w:r>
      <w:r w:rsidR="00B71663" w:rsidRPr="000F391A">
        <w:rPr>
          <w:rFonts w:ascii="Arial" w:hAnsi="Arial" w:cs="Arial"/>
          <w:b/>
          <w:iCs/>
        </w:rPr>
        <w:t>Operating Experience</w:t>
      </w:r>
      <w:r w:rsidR="00B71663" w:rsidRPr="000F391A">
        <w:rPr>
          <w:rFonts w:ascii="Arial" w:hAnsi="Arial" w:cs="Arial"/>
          <w:iCs/>
        </w:rPr>
        <w:t xml:space="preserve"> section</w:t>
      </w:r>
      <w:r w:rsidR="000F391A" w:rsidRPr="000F391A">
        <w:rPr>
          <w:rFonts w:ascii="Arial" w:hAnsi="Arial" w:cs="Arial"/>
          <w:iCs/>
        </w:rPr>
        <w:t xml:space="preserve"> of the generic letter</w:t>
      </w:r>
      <w:r w:rsidR="00B71663" w:rsidRPr="000F391A">
        <w:rPr>
          <w:rFonts w:ascii="Arial" w:hAnsi="Arial" w:cs="Arial"/>
          <w:iCs/>
        </w:rPr>
        <w:t>) l</w:t>
      </w:r>
      <w:r w:rsidR="00B71663">
        <w:rPr>
          <w:rFonts w:ascii="Arial" w:hAnsi="Arial" w:cs="Arial"/>
          <w:iCs/>
        </w:rPr>
        <w:t>eads the NRC to be concerned about the potential for more compliance problems.  A more detailed</w:t>
      </w:r>
      <w:r>
        <w:rPr>
          <w:rFonts w:ascii="Arial" w:hAnsi="Arial" w:cs="Arial"/>
          <w:iCs/>
        </w:rPr>
        <w:t xml:space="preserve"> NRC staff response can be found </w:t>
      </w:r>
      <w:r w:rsidR="00B71663">
        <w:rPr>
          <w:rFonts w:ascii="Arial" w:hAnsi="Arial" w:cs="Arial"/>
          <w:iCs/>
        </w:rPr>
        <w:t xml:space="preserve">in Section III of the public comment response document for the aforementioned solicitation for public </w:t>
      </w:r>
      <w:r w:rsidR="00B71663">
        <w:rPr>
          <w:rFonts w:ascii="Arial" w:hAnsi="Arial" w:cs="Arial"/>
          <w:iCs/>
        </w:rPr>
        <w:lastRenderedPageBreak/>
        <w:t xml:space="preserve">comments on the draft generic letter, filed </w:t>
      </w:r>
      <w:r>
        <w:rPr>
          <w:rFonts w:ascii="Arial" w:hAnsi="Arial" w:cs="Arial"/>
          <w:iCs/>
        </w:rPr>
        <w:t>under ADAMS Accession No.</w:t>
      </w:r>
      <w:r w:rsidR="001E7383">
        <w:rPr>
          <w:rFonts w:ascii="Arial" w:hAnsi="Arial" w:cs="Arial"/>
          <w:iCs/>
        </w:rPr>
        <w:t> </w:t>
      </w:r>
      <w:r>
        <w:rPr>
          <w:rFonts w:ascii="Arial" w:hAnsi="Arial" w:cs="Arial"/>
          <w:iCs/>
        </w:rPr>
        <w:t>ML</w:t>
      </w:r>
      <w:r w:rsidR="000504A9">
        <w:rPr>
          <w:rFonts w:ascii="Arial" w:hAnsi="Arial" w:cs="Arial"/>
          <w:iCs/>
        </w:rPr>
        <w:t>14181B130</w:t>
      </w:r>
      <w:r>
        <w:rPr>
          <w:rFonts w:ascii="Arial" w:hAnsi="Arial" w:cs="Arial"/>
          <w:iCs/>
        </w:rPr>
        <w:t xml:space="preserve">.  Consequently, the staff has already </w:t>
      </w:r>
      <w:r w:rsidR="00383805">
        <w:rPr>
          <w:rFonts w:ascii="Arial" w:hAnsi="Arial" w:cs="Arial"/>
          <w:iCs/>
        </w:rPr>
        <w:t xml:space="preserve">addressed </w:t>
      </w:r>
      <w:r>
        <w:rPr>
          <w:rFonts w:ascii="Arial" w:hAnsi="Arial" w:cs="Arial"/>
          <w:iCs/>
        </w:rPr>
        <w:t>this concern.</w:t>
      </w:r>
    </w:p>
    <w:p w14:paraId="155BCDC2" w14:textId="77777777" w:rsidR="00BD69EC" w:rsidRDefault="00BD69EC" w:rsidP="00BD69EC">
      <w:pPr>
        <w:rPr>
          <w:rFonts w:ascii="Arial" w:hAnsi="Arial" w:cs="Arial"/>
          <w:i/>
          <w:iCs/>
        </w:rPr>
      </w:pPr>
    </w:p>
    <w:p w14:paraId="3C7DAD9C" w14:textId="52CC08EE" w:rsidR="00CD0809" w:rsidRDefault="00CD0809" w:rsidP="00CD0809">
      <w:pPr>
        <w:rPr>
          <w:rFonts w:ascii="Arial" w:hAnsi="Arial" w:cs="Arial"/>
          <w:i/>
          <w:iCs/>
        </w:rPr>
      </w:pPr>
      <w:r w:rsidRPr="00921E0B">
        <w:rPr>
          <w:rFonts w:ascii="Arial" w:hAnsi="Arial" w:cs="Arial"/>
          <w:i/>
          <w:iCs/>
          <w:u w:val="single"/>
        </w:rPr>
        <w:t>Comment</w:t>
      </w:r>
      <w:r>
        <w:rPr>
          <w:rFonts w:ascii="Arial" w:hAnsi="Arial" w:cs="Arial"/>
          <w:i/>
          <w:iCs/>
        </w:rPr>
        <w:t>:  Some of the information being requested in Appendix A will impose a significant burden on some licensees to gather for the NRC, with little safety benefit or reason. (SCEG 1a-b, 2, 2a, 2b.ii)</w:t>
      </w:r>
    </w:p>
    <w:p w14:paraId="3C7A12B0" w14:textId="77777777" w:rsidR="00CD0809" w:rsidRDefault="00CD0809" w:rsidP="00CD0809">
      <w:pPr>
        <w:rPr>
          <w:rFonts w:ascii="Arial" w:hAnsi="Arial" w:cs="Arial"/>
          <w:i/>
          <w:iCs/>
        </w:rPr>
      </w:pPr>
    </w:p>
    <w:p w14:paraId="26A2ECBF" w14:textId="77777777" w:rsidR="00CD0809" w:rsidRDefault="00CD0809" w:rsidP="00CD0809">
      <w:pPr>
        <w:rPr>
          <w:rFonts w:ascii="Arial" w:hAnsi="Arial" w:cs="Arial"/>
          <w:iCs/>
        </w:rPr>
      </w:pPr>
      <w:r w:rsidRPr="00921E0B">
        <w:rPr>
          <w:rFonts w:ascii="Arial" w:hAnsi="Arial" w:cs="Arial"/>
          <w:iCs/>
          <w:u w:val="single"/>
        </w:rPr>
        <w:t>NRC Response</w:t>
      </w:r>
      <w:r>
        <w:rPr>
          <w:rFonts w:ascii="Arial" w:hAnsi="Arial" w:cs="Arial"/>
          <w:iCs/>
        </w:rPr>
        <w:t>:  The NRC agrees that unnecessary burden should be minimized.  The NRC staff previously developed a tiered approach to better define the applicability of Appendix A to specific categories of neutron-absorbing materials.  An additional public meeting has been held to discuss options for streamlining the response process, including refining how Appendix A should be interpreted for specific licensees.  Further meetings will be held to support reductions in unnecessary burden to specific licensees.  While the comments regarding the technical merit of some of the items in Appendix A are not directly related to the burden imposed on licensees, they will also be considered as part of the discussion during the aforementioned public meetings.</w:t>
      </w:r>
    </w:p>
    <w:p w14:paraId="53613021" w14:textId="77777777" w:rsidR="00CD0809" w:rsidRDefault="00CD0809" w:rsidP="00CD0809">
      <w:pPr>
        <w:spacing w:line="276" w:lineRule="auto"/>
        <w:rPr>
          <w:rFonts w:ascii="Arial" w:hAnsi="Arial" w:cs="Arial"/>
          <w:iCs/>
        </w:rPr>
      </w:pPr>
    </w:p>
    <w:p w14:paraId="52804C89" w14:textId="77777777" w:rsidR="00CD0809" w:rsidRPr="00592A59" w:rsidRDefault="00CD0809" w:rsidP="00CD0809">
      <w:pPr>
        <w:spacing w:line="276" w:lineRule="auto"/>
        <w:rPr>
          <w:rFonts w:ascii="Arial" w:hAnsi="Arial" w:cs="Arial"/>
          <w:i/>
          <w:iCs/>
        </w:rPr>
      </w:pPr>
      <w:r>
        <w:rPr>
          <w:rFonts w:ascii="Arial" w:hAnsi="Arial" w:cs="Arial"/>
          <w:iCs/>
        </w:rPr>
        <w:t xml:space="preserve">No change </w:t>
      </w:r>
      <w:r w:rsidRPr="007A18E8">
        <w:rPr>
          <w:rFonts w:ascii="Arial" w:hAnsi="Arial" w:cs="Arial"/>
          <w:iCs/>
        </w:rPr>
        <w:t xml:space="preserve">was made to the generic letter </w:t>
      </w:r>
      <w:r>
        <w:rPr>
          <w:rFonts w:ascii="Arial" w:hAnsi="Arial" w:cs="Arial"/>
          <w:iCs/>
        </w:rPr>
        <w:t>or</w:t>
      </w:r>
      <w:r w:rsidRPr="007A18E8">
        <w:rPr>
          <w:rFonts w:ascii="Arial" w:hAnsi="Arial" w:cs="Arial"/>
          <w:iCs/>
        </w:rPr>
        <w:t xml:space="preserve"> Appendix A to the generic letter as a result of th</w:t>
      </w:r>
      <w:r>
        <w:rPr>
          <w:rFonts w:ascii="Arial" w:hAnsi="Arial" w:cs="Arial"/>
          <w:iCs/>
        </w:rPr>
        <w:t>ese</w:t>
      </w:r>
      <w:r w:rsidRPr="007A18E8">
        <w:rPr>
          <w:rFonts w:ascii="Arial" w:hAnsi="Arial" w:cs="Arial"/>
          <w:iCs/>
        </w:rPr>
        <w:t xml:space="preserve"> comment</w:t>
      </w:r>
      <w:r>
        <w:rPr>
          <w:rFonts w:ascii="Arial" w:hAnsi="Arial" w:cs="Arial"/>
          <w:iCs/>
        </w:rPr>
        <w:t>s.</w:t>
      </w:r>
    </w:p>
    <w:p w14:paraId="7968055E" w14:textId="77777777" w:rsidR="00CD0809" w:rsidRPr="00A90BDA" w:rsidRDefault="00CD0809" w:rsidP="00CD0809">
      <w:pPr>
        <w:rPr>
          <w:rFonts w:ascii="Arial" w:hAnsi="Arial" w:cs="Arial"/>
          <w:iCs/>
        </w:rPr>
      </w:pPr>
    </w:p>
    <w:p w14:paraId="322BBBAF" w14:textId="00144C3C" w:rsidR="00CD0809" w:rsidRDefault="00CD0809" w:rsidP="00CD0809">
      <w:pPr>
        <w:rPr>
          <w:rFonts w:ascii="Arial" w:hAnsi="Arial" w:cs="Arial"/>
          <w:i/>
          <w:iCs/>
        </w:rPr>
      </w:pPr>
      <w:r w:rsidRPr="00921E0B">
        <w:rPr>
          <w:rFonts w:ascii="Arial" w:hAnsi="Arial" w:cs="Arial"/>
          <w:i/>
          <w:iCs/>
          <w:u w:val="single"/>
        </w:rPr>
        <w:t>Comment</w:t>
      </w:r>
      <w:r>
        <w:rPr>
          <w:rFonts w:ascii="Arial" w:hAnsi="Arial" w:cs="Arial"/>
          <w:i/>
          <w:iCs/>
        </w:rPr>
        <w:t>:  Some of the specific information requests lack technical merit for some or all</w:t>
      </w:r>
      <w:r w:rsidR="00A90BDA">
        <w:rPr>
          <w:rFonts w:ascii="Arial" w:hAnsi="Arial" w:cs="Arial"/>
          <w:i/>
          <w:iCs/>
        </w:rPr>
        <w:t xml:space="preserve"> </w:t>
      </w:r>
      <w:r>
        <w:rPr>
          <w:rFonts w:ascii="Arial" w:hAnsi="Arial" w:cs="Arial"/>
          <w:i/>
          <w:iCs/>
        </w:rPr>
        <w:t>licensees, or are too vague to be of technical value. (SCEG 1c-e, 2b.i, 2b.iii-iv, 3, 4, 5)</w:t>
      </w:r>
    </w:p>
    <w:p w14:paraId="66CC1C05" w14:textId="77777777" w:rsidR="009C354C" w:rsidRPr="00DA72E3" w:rsidRDefault="009C354C" w:rsidP="00BD69EC">
      <w:pPr>
        <w:rPr>
          <w:rFonts w:ascii="Arial" w:hAnsi="Arial" w:cs="Arial"/>
          <w:iCs/>
        </w:rPr>
      </w:pPr>
    </w:p>
    <w:p w14:paraId="17A5DF13" w14:textId="77777777" w:rsidR="00377889" w:rsidRDefault="00377889" w:rsidP="00377889">
      <w:pPr>
        <w:rPr>
          <w:rFonts w:ascii="Arial" w:hAnsi="Arial" w:cs="Arial"/>
        </w:rPr>
      </w:pPr>
      <w:r>
        <w:rPr>
          <w:rFonts w:ascii="Arial" w:hAnsi="Arial" w:cs="Arial"/>
        </w:rPr>
        <w:t xml:space="preserve">The NRC issued a request for public comment on the GL on March 11, 2014 in the </w:t>
      </w:r>
      <w:r>
        <w:rPr>
          <w:rFonts w:ascii="Arial" w:hAnsi="Arial" w:cs="Arial"/>
          <w:i/>
          <w:iCs/>
        </w:rPr>
        <w:t>Federal Register</w:t>
      </w:r>
      <w:r>
        <w:rPr>
          <w:rFonts w:ascii="Arial" w:hAnsi="Arial" w:cs="Arial"/>
        </w:rPr>
        <w:t xml:space="preserve"> (79 FR 13682).  Several of the comments received during this earlier public comment solicitation period were similar in nature to these comments.  The NRC made changes to the GL based on the prior comments, and documented the staff considerations in the corresponding public comment response document (ADAMS Accession No. ML14181B130).  The Advisory Committee on Reactor Safeguards evaluated the technical basis for the GL and endorsed the final document as published in the June 4, 2015 solicitation for public comments (80 FR 31930).  In addition, the staff interprets some of the comments to indicate that some of the Appendix A items are not appropriate for specific licensees.  The staff is working with NEI and the industry to develop some tem</w:t>
      </w:r>
      <w:r>
        <w:rPr>
          <w:rFonts w:ascii="Arial" w:hAnsi="Arial" w:cs="Arial"/>
        </w:rPr>
        <w:lastRenderedPageBreak/>
        <w:t>plates and guidance that will better clarify how specific licensees would be expected to respond to this GL.  These NRC-industry deliberations are occurring via a series of public meetings, the first of which was held on September 10, 2015 (ADAMS Accession No. ML15239A029), with more planned to follow.  The outcome of these meetings will be a template that provides a level of detail that will clarify the applicability of each Appendix A item to specific licensees.</w:t>
      </w:r>
    </w:p>
    <w:p w14:paraId="516B9885" w14:textId="77777777" w:rsidR="00377889" w:rsidRDefault="00377889" w:rsidP="00CD0809">
      <w:pPr>
        <w:spacing w:line="276" w:lineRule="auto"/>
        <w:rPr>
          <w:rFonts w:ascii="Arial" w:hAnsi="Arial" w:cs="Arial"/>
          <w:iCs/>
        </w:rPr>
      </w:pPr>
    </w:p>
    <w:p w14:paraId="39046A1F" w14:textId="728C4B16" w:rsidR="00CD0809" w:rsidRPr="00592A59" w:rsidRDefault="00377889" w:rsidP="00DA72E3">
      <w:pPr>
        <w:rPr>
          <w:rFonts w:ascii="Arial" w:hAnsi="Arial" w:cs="Arial"/>
          <w:i/>
          <w:iCs/>
        </w:rPr>
      </w:pPr>
      <w:r>
        <w:rPr>
          <w:rFonts w:ascii="Arial" w:hAnsi="Arial" w:cs="Arial"/>
        </w:rPr>
        <w:t xml:space="preserve">Since the staff had previously addressed questions regarding the technical basis, usefulness, and the NRC’s authority to issue this GL, and clarification is being provided on licensee-specific application of the Appendix A items via separate template documents being developed by NEI, </w:t>
      </w:r>
      <w:r>
        <w:rPr>
          <w:rFonts w:ascii="Arial" w:hAnsi="Arial" w:cs="Arial"/>
          <w:iCs/>
        </w:rPr>
        <w:t>n</w:t>
      </w:r>
      <w:r w:rsidR="00CD0809">
        <w:rPr>
          <w:rFonts w:ascii="Arial" w:hAnsi="Arial" w:cs="Arial"/>
          <w:iCs/>
        </w:rPr>
        <w:t xml:space="preserve">o change </w:t>
      </w:r>
      <w:r w:rsidR="00CD0809" w:rsidRPr="007A18E8">
        <w:rPr>
          <w:rFonts w:ascii="Arial" w:hAnsi="Arial" w:cs="Arial"/>
          <w:iCs/>
        </w:rPr>
        <w:t xml:space="preserve">was made to the generic letter </w:t>
      </w:r>
      <w:r w:rsidR="00CD0809">
        <w:rPr>
          <w:rFonts w:ascii="Arial" w:hAnsi="Arial" w:cs="Arial"/>
          <w:iCs/>
        </w:rPr>
        <w:t>or</w:t>
      </w:r>
      <w:r w:rsidR="00CD0809" w:rsidRPr="007A18E8">
        <w:rPr>
          <w:rFonts w:ascii="Arial" w:hAnsi="Arial" w:cs="Arial"/>
          <w:iCs/>
        </w:rPr>
        <w:t xml:space="preserve"> Appendix A </w:t>
      </w:r>
      <w:r w:rsidR="00B275E8">
        <w:rPr>
          <w:rFonts w:ascii="Arial" w:hAnsi="Arial" w:cs="Arial"/>
          <w:iCs/>
        </w:rPr>
        <w:t>items</w:t>
      </w:r>
      <w:r w:rsidR="00CD0809" w:rsidRPr="007A18E8">
        <w:rPr>
          <w:rFonts w:ascii="Arial" w:hAnsi="Arial" w:cs="Arial"/>
          <w:iCs/>
        </w:rPr>
        <w:t xml:space="preserve"> as a result of th</w:t>
      </w:r>
      <w:r w:rsidR="00CD0809">
        <w:rPr>
          <w:rFonts w:ascii="Arial" w:hAnsi="Arial" w:cs="Arial"/>
          <w:iCs/>
        </w:rPr>
        <w:t>ese</w:t>
      </w:r>
      <w:r w:rsidR="00CD0809" w:rsidRPr="007A18E8">
        <w:rPr>
          <w:rFonts w:ascii="Arial" w:hAnsi="Arial" w:cs="Arial"/>
          <w:iCs/>
        </w:rPr>
        <w:t xml:space="preserve"> comment</w:t>
      </w:r>
      <w:r w:rsidR="00CD0809">
        <w:rPr>
          <w:rFonts w:ascii="Arial" w:hAnsi="Arial" w:cs="Arial"/>
          <w:iCs/>
        </w:rPr>
        <w:t>s.</w:t>
      </w:r>
    </w:p>
    <w:p w14:paraId="5B4C9E96" w14:textId="77777777" w:rsidR="00CD0809" w:rsidRPr="00A90BDA" w:rsidRDefault="00CD0809" w:rsidP="00BD69EC">
      <w:pPr>
        <w:rPr>
          <w:rFonts w:ascii="Arial" w:hAnsi="Arial" w:cs="Arial"/>
          <w:iCs/>
        </w:rPr>
      </w:pPr>
    </w:p>
    <w:p w14:paraId="7DF1392E" w14:textId="25BD55F7" w:rsidR="00524D9D" w:rsidRDefault="009A3B3F">
      <w:pPr>
        <w:rPr>
          <w:rFonts w:ascii="Arial" w:hAnsi="Arial" w:cs="Arial"/>
          <w:i/>
          <w:iCs/>
        </w:rPr>
      </w:pPr>
      <w:r w:rsidRPr="00921E0B">
        <w:rPr>
          <w:rFonts w:ascii="Arial" w:hAnsi="Arial" w:cs="Arial"/>
          <w:i/>
          <w:iCs/>
          <w:u w:val="single"/>
        </w:rPr>
        <w:t>Comment</w:t>
      </w:r>
      <w:r>
        <w:rPr>
          <w:rFonts w:ascii="Arial" w:hAnsi="Arial" w:cs="Arial"/>
          <w:i/>
          <w:iCs/>
        </w:rPr>
        <w:t xml:space="preserve">: </w:t>
      </w:r>
      <w:r w:rsidR="000F4844">
        <w:rPr>
          <w:rFonts w:ascii="Arial" w:hAnsi="Arial" w:cs="Arial"/>
          <w:i/>
          <w:iCs/>
        </w:rPr>
        <w:t xml:space="preserve"> </w:t>
      </w:r>
      <w:r>
        <w:rPr>
          <w:rFonts w:ascii="Arial" w:hAnsi="Arial" w:cs="Arial"/>
          <w:i/>
          <w:iCs/>
        </w:rPr>
        <w:t xml:space="preserve">The </w:t>
      </w:r>
      <w:r w:rsidR="0072547D">
        <w:rPr>
          <w:rFonts w:ascii="Arial" w:hAnsi="Arial" w:cs="Arial"/>
          <w:i/>
          <w:iCs/>
        </w:rPr>
        <w:t xml:space="preserve">generic letter </w:t>
      </w:r>
      <w:r w:rsidR="002B70CD">
        <w:rPr>
          <w:rFonts w:ascii="Arial" w:hAnsi="Arial" w:cs="Arial"/>
          <w:i/>
          <w:iCs/>
        </w:rPr>
        <w:t xml:space="preserve">greatly </w:t>
      </w:r>
      <w:r w:rsidR="0072547D">
        <w:rPr>
          <w:rFonts w:ascii="Arial" w:hAnsi="Arial" w:cs="Arial"/>
          <w:i/>
          <w:iCs/>
        </w:rPr>
        <w:t>underestimates the number of man-hours required to</w:t>
      </w:r>
      <w:r w:rsidR="00A90BDA">
        <w:rPr>
          <w:rFonts w:ascii="Arial" w:hAnsi="Arial" w:cs="Arial"/>
          <w:i/>
          <w:iCs/>
        </w:rPr>
        <w:t xml:space="preserve"> </w:t>
      </w:r>
      <w:r w:rsidR="0072547D">
        <w:rPr>
          <w:rFonts w:ascii="Arial" w:hAnsi="Arial" w:cs="Arial"/>
          <w:i/>
          <w:iCs/>
        </w:rPr>
        <w:t>respond</w:t>
      </w:r>
      <w:r>
        <w:rPr>
          <w:rFonts w:ascii="Arial" w:hAnsi="Arial" w:cs="Arial"/>
          <w:i/>
          <w:iCs/>
        </w:rPr>
        <w:t>. [</w:t>
      </w:r>
      <w:r w:rsidR="00BD69EC">
        <w:rPr>
          <w:rFonts w:ascii="Arial" w:hAnsi="Arial" w:cs="Arial"/>
          <w:i/>
          <w:iCs/>
        </w:rPr>
        <w:t>SCEG-2</w:t>
      </w:r>
      <w:r w:rsidR="00F035A7">
        <w:rPr>
          <w:rFonts w:ascii="Arial" w:hAnsi="Arial" w:cs="Arial"/>
          <w:i/>
          <w:iCs/>
        </w:rPr>
        <w:t>, NEI-2</w:t>
      </w:r>
      <w:r w:rsidR="002B70CD">
        <w:rPr>
          <w:rFonts w:ascii="Arial" w:hAnsi="Arial" w:cs="Arial"/>
          <w:i/>
          <w:iCs/>
        </w:rPr>
        <w:t>, DUKE-2</w:t>
      </w:r>
      <w:r w:rsidR="00DD461C">
        <w:rPr>
          <w:rFonts w:ascii="Arial" w:hAnsi="Arial" w:cs="Arial"/>
          <w:i/>
          <w:iCs/>
        </w:rPr>
        <w:t>, ENT-Letter</w:t>
      </w:r>
      <w:r>
        <w:rPr>
          <w:rFonts w:ascii="Arial" w:hAnsi="Arial" w:cs="Arial"/>
          <w:i/>
          <w:iCs/>
        </w:rPr>
        <w:t>]</w:t>
      </w:r>
    </w:p>
    <w:p w14:paraId="2A2B9246" w14:textId="77777777" w:rsidR="00524D9D" w:rsidRDefault="00524D9D">
      <w:pPr>
        <w:rPr>
          <w:rFonts w:ascii="Arial" w:hAnsi="Arial" w:cs="Arial"/>
          <w:i/>
          <w:iCs/>
        </w:rPr>
      </w:pPr>
    </w:p>
    <w:p w14:paraId="649744F2" w14:textId="1C0FC33E" w:rsidR="002B70CD" w:rsidRDefault="009A3B3F" w:rsidP="00BD69EC">
      <w:pPr>
        <w:rPr>
          <w:rFonts w:ascii="Arial" w:hAnsi="Arial" w:cs="Arial"/>
          <w:iCs/>
        </w:rPr>
      </w:pPr>
      <w:r w:rsidRPr="00921E0B">
        <w:rPr>
          <w:rFonts w:ascii="Arial" w:hAnsi="Arial" w:cs="Arial"/>
          <w:iCs/>
          <w:u w:val="single"/>
        </w:rPr>
        <w:t>NRC Response</w:t>
      </w:r>
      <w:r>
        <w:rPr>
          <w:rFonts w:ascii="Arial" w:hAnsi="Arial" w:cs="Arial"/>
          <w:iCs/>
        </w:rPr>
        <w:t xml:space="preserve">:  </w:t>
      </w:r>
      <w:r w:rsidR="00BD69EC">
        <w:rPr>
          <w:rFonts w:ascii="Arial" w:hAnsi="Arial" w:cs="Arial"/>
          <w:iCs/>
        </w:rPr>
        <w:t xml:space="preserve">The NRC disagrees with the comment.  The public comments provided by the </w:t>
      </w:r>
      <w:r w:rsidR="003725A2" w:rsidRPr="00731107">
        <w:rPr>
          <w:rFonts w:ascii="Arial" w:hAnsi="Arial" w:cs="Arial"/>
          <w:iCs/>
        </w:rPr>
        <w:t>four</w:t>
      </w:r>
      <w:r w:rsidR="00383805" w:rsidRPr="00731107">
        <w:rPr>
          <w:rFonts w:ascii="Arial" w:hAnsi="Arial" w:cs="Arial"/>
          <w:iCs/>
        </w:rPr>
        <w:t xml:space="preserve"> </w:t>
      </w:r>
      <w:r w:rsidR="0072547D" w:rsidRPr="00731107">
        <w:rPr>
          <w:rFonts w:ascii="Arial" w:hAnsi="Arial" w:cs="Arial"/>
          <w:iCs/>
        </w:rPr>
        <w:t xml:space="preserve">commenters </w:t>
      </w:r>
      <w:r w:rsidR="00BD69EC" w:rsidRPr="00731107">
        <w:rPr>
          <w:rFonts w:ascii="Arial" w:hAnsi="Arial" w:cs="Arial"/>
          <w:iCs/>
        </w:rPr>
        <w:t>appear to assume that respondents to</w:t>
      </w:r>
      <w:r w:rsidR="00BD69EC">
        <w:rPr>
          <w:rFonts w:ascii="Arial" w:hAnsi="Arial" w:cs="Arial"/>
          <w:iCs/>
        </w:rPr>
        <w:t xml:space="preserve"> this generic letter will need to expend significant effort to search for information that is not readily </w:t>
      </w:r>
      <w:r w:rsidR="002B70CD">
        <w:rPr>
          <w:rFonts w:ascii="Arial" w:hAnsi="Arial" w:cs="Arial"/>
          <w:iCs/>
        </w:rPr>
        <w:t xml:space="preserve">available, to </w:t>
      </w:r>
      <w:r w:rsidR="00BD69EC">
        <w:rPr>
          <w:rFonts w:ascii="Arial" w:hAnsi="Arial" w:cs="Arial"/>
          <w:iCs/>
        </w:rPr>
        <w:t>generate new information</w:t>
      </w:r>
      <w:r w:rsidR="002B70CD">
        <w:rPr>
          <w:rFonts w:ascii="Arial" w:hAnsi="Arial" w:cs="Arial"/>
          <w:iCs/>
        </w:rPr>
        <w:t>, or to verify that information does not exist</w:t>
      </w:r>
      <w:r w:rsidR="00BD69EC">
        <w:rPr>
          <w:rFonts w:ascii="Arial" w:hAnsi="Arial" w:cs="Arial"/>
          <w:iCs/>
        </w:rPr>
        <w:t xml:space="preserve">.  </w:t>
      </w:r>
      <w:r w:rsidR="00A27D6B">
        <w:rPr>
          <w:rFonts w:ascii="Arial" w:hAnsi="Arial" w:cs="Arial"/>
          <w:iCs/>
        </w:rPr>
        <w:t>Appendix A of t</w:t>
      </w:r>
      <w:r w:rsidR="00BD69EC">
        <w:rPr>
          <w:rFonts w:ascii="Arial" w:hAnsi="Arial" w:cs="Arial"/>
          <w:iCs/>
        </w:rPr>
        <w:t xml:space="preserve">he generic letter states that: </w:t>
      </w:r>
    </w:p>
    <w:p w14:paraId="1A3CD6A0" w14:textId="77777777" w:rsidR="00EF619D" w:rsidRDefault="00EF619D" w:rsidP="00BD69EC">
      <w:pPr>
        <w:rPr>
          <w:rFonts w:ascii="Arial" w:hAnsi="Arial" w:cs="Arial"/>
          <w:iCs/>
        </w:rPr>
      </w:pPr>
    </w:p>
    <w:p w14:paraId="2B028261" w14:textId="77777777" w:rsidR="002B70CD" w:rsidRDefault="000C21E8" w:rsidP="000C21E8">
      <w:pPr>
        <w:pStyle w:val="ListParagraph"/>
        <w:numPr>
          <w:ilvl w:val="0"/>
          <w:numId w:val="5"/>
        </w:numPr>
        <w:ind w:hanging="720"/>
        <w:rPr>
          <w:rFonts w:ascii="Arial" w:hAnsi="Arial" w:cs="Arial"/>
          <w:iCs/>
        </w:rPr>
      </w:pPr>
      <w:r>
        <w:rPr>
          <w:rFonts w:ascii="Arial" w:hAnsi="Arial" w:cs="Arial"/>
          <w:iCs/>
        </w:rPr>
        <w:t>I</w:t>
      </w:r>
      <w:r w:rsidR="00BD69EC" w:rsidRPr="002B70CD">
        <w:rPr>
          <w:rFonts w:ascii="Arial" w:hAnsi="Arial" w:cs="Arial"/>
          <w:iCs/>
        </w:rPr>
        <w:t>n all cases, the NRC is asking licensees to provide information available, based on a reasonable search of plant records, docketed infor</w:t>
      </w:r>
      <w:r w:rsidR="002B70CD">
        <w:rPr>
          <w:rFonts w:ascii="Arial" w:hAnsi="Arial" w:cs="Arial"/>
          <w:iCs/>
        </w:rPr>
        <w:t>mation, and licensing bas</w:t>
      </w:r>
      <w:r w:rsidR="003725A2">
        <w:rPr>
          <w:rFonts w:ascii="Arial" w:hAnsi="Arial" w:cs="Arial"/>
          <w:iCs/>
        </w:rPr>
        <w:t>e</w:t>
      </w:r>
      <w:r w:rsidR="002B70CD">
        <w:rPr>
          <w:rFonts w:ascii="Arial" w:hAnsi="Arial" w:cs="Arial"/>
          <w:iCs/>
        </w:rPr>
        <w:t>s</w:t>
      </w:r>
      <w:r>
        <w:rPr>
          <w:rFonts w:ascii="Arial" w:hAnsi="Arial" w:cs="Arial"/>
          <w:iCs/>
        </w:rPr>
        <w:t>.</w:t>
      </w:r>
    </w:p>
    <w:p w14:paraId="1A509D4E" w14:textId="77777777" w:rsidR="000C21E8" w:rsidRDefault="000C21E8" w:rsidP="007F5D80">
      <w:pPr>
        <w:pStyle w:val="ListParagraph"/>
        <w:ind w:hanging="720"/>
        <w:rPr>
          <w:rFonts w:ascii="Arial" w:hAnsi="Arial" w:cs="Arial"/>
          <w:iCs/>
        </w:rPr>
      </w:pPr>
    </w:p>
    <w:p w14:paraId="21AF798D" w14:textId="77777777" w:rsidR="002B70CD" w:rsidRDefault="000C21E8" w:rsidP="000C21E8">
      <w:pPr>
        <w:pStyle w:val="ListParagraph"/>
        <w:numPr>
          <w:ilvl w:val="0"/>
          <w:numId w:val="5"/>
        </w:numPr>
        <w:ind w:hanging="720"/>
        <w:rPr>
          <w:rFonts w:ascii="Arial" w:hAnsi="Arial" w:cs="Arial"/>
          <w:iCs/>
        </w:rPr>
      </w:pPr>
      <w:r>
        <w:rPr>
          <w:rFonts w:ascii="Arial" w:hAnsi="Arial" w:cs="Arial"/>
          <w:iCs/>
        </w:rPr>
        <w:t>T</w:t>
      </w:r>
      <w:r w:rsidR="00BD69EC" w:rsidRPr="002B70CD">
        <w:rPr>
          <w:rFonts w:ascii="Arial" w:hAnsi="Arial" w:cs="Arial"/>
          <w:iCs/>
        </w:rPr>
        <w:t>he NRC is not requiring any new analyses, new programs, or new research to be developed or imp</w:t>
      </w:r>
      <w:r w:rsidR="002B70CD">
        <w:rPr>
          <w:rFonts w:ascii="Arial" w:hAnsi="Arial" w:cs="Arial"/>
          <w:iCs/>
        </w:rPr>
        <w:t>lemented in response to this GL</w:t>
      </w:r>
      <w:r>
        <w:rPr>
          <w:rFonts w:ascii="Arial" w:hAnsi="Arial" w:cs="Arial"/>
          <w:iCs/>
        </w:rPr>
        <w:t>.</w:t>
      </w:r>
    </w:p>
    <w:p w14:paraId="63D6E33F" w14:textId="77777777" w:rsidR="000C21E8" w:rsidRPr="007F5D80" w:rsidRDefault="000C21E8" w:rsidP="007F5D80">
      <w:pPr>
        <w:ind w:hanging="720"/>
        <w:rPr>
          <w:rFonts w:ascii="Arial" w:hAnsi="Arial" w:cs="Arial"/>
          <w:iCs/>
        </w:rPr>
      </w:pPr>
    </w:p>
    <w:p w14:paraId="45D8DD99" w14:textId="77777777" w:rsidR="002B70CD" w:rsidRDefault="000C21E8" w:rsidP="000C21E8">
      <w:pPr>
        <w:pStyle w:val="ListParagraph"/>
        <w:numPr>
          <w:ilvl w:val="0"/>
          <w:numId w:val="5"/>
        </w:numPr>
        <w:ind w:hanging="720"/>
        <w:rPr>
          <w:rFonts w:ascii="Arial" w:hAnsi="Arial" w:cs="Arial"/>
          <w:iCs/>
        </w:rPr>
      </w:pPr>
      <w:r>
        <w:rPr>
          <w:rFonts w:ascii="Arial" w:hAnsi="Arial" w:cs="Arial"/>
          <w:iCs/>
        </w:rPr>
        <w:t>I</w:t>
      </w:r>
      <w:r w:rsidR="002B70CD">
        <w:rPr>
          <w:rFonts w:ascii="Arial" w:hAnsi="Arial" w:cs="Arial"/>
          <w:iCs/>
        </w:rPr>
        <w:t>f a specific section or item of the appendix is neither applicable nor part of the licensee’s licensing basis, a response to that effect is sufficient.</w:t>
      </w:r>
    </w:p>
    <w:p w14:paraId="2BBA1E22" w14:textId="77777777" w:rsidR="00F840F8" w:rsidRDefault="00F840F8" w:rsidP="002B70CD">
      <w:pPr>
        <w:rPr>
          <w:rFonts w:ascii="Arial" w:hAnsi="Arial" w:cs="Arial"/>
          <w:iCs/>
        </w:rPr>
      </w:pPr>
    </w:p>
    <w:p w14:paraId="1E22D93E" w14:textId="23B7CE81" w:rsidR="00524D9D" w:rsidRPr="002B70CD" w:rsidRDefault="002B70CD" w:rsidP="002B70CD">
      <w:pPr>
        <w:rPr>
          <w:rFonts w:ascii="Arial" w:hAnsi="Arial" w:cs="Arial"/>
          <w:iCs/>
        </w:rPr>
      </w:pPr>
      <w:r>
        <w:rPr>
          <w:rFonts w:ascii="Arial" w:hAnsi="Arial" w:cs="Arial"/>
          <w:iCs/>
        </w:rPr>
        <w:t>As stated in the first paragraph of Appendix</w:t>
      </w:r>
      <w:r w:rsidR="001E7383">
        <w:rPr>
          <w:rFonts w:ascii="Arial" w:hAnsi="Arial" w:cs="Arial"/>
          <w:iCs/>
        </w:rPr>
        <w:t> </w:t>
      </w:r>
      <w:r>
        <w:rPr>
          <w:rFonts w:ascii="Arial" w:hAnsi="Arial" w:cs="Arial"/>
          <w:iCs/>
        </w:rPr>
        <w:t>A, the list of information is provided as guidance on responding to the generic letter</w:t>
      </w:r>
      <w:r w:rsidR="003A1B7D">
        <w:rPr>
          <w:rFonts w:ascii="Arial" w:hAnsi="Arial" w:cs="Arial"/>
          <w:iCs/>
        </w:rPr>
        <w:t>,</w:t>
      </w:r>
      <w:r>
        <w:rPr>
          <w:rFonts w:ascii="Arial" w:hAnsi="Arial" w:cs="Arial"/>
          <w:iCs/>
        </w:rPr>
        <w:t xml:space="preserve"> insofar as the level of detail is concerned</w:t>
      </w:r>
      <w:r w:rsidR="00F840F8">
        <w:rPr>
          <w:rFonts w:ascii="Arial" w:hAnsi="Arial" w:cs="Arial"/>
          <w:iCs/>
        </w:rPr>
        <w:t xml:space="preserve">, not </w:t>
      </w:r>
      <w:r w:rsidR="003725A2">
        <w:rPr>
          <w:rFonts w:ascii="Arial" w:hAnsi="Arial" w:cs="Arial"/>
          <w:iCs/>
        </w:rPr>
        <w:t xml:space="preserve">as </w:t>
      </w:r>
      <w:r w:rsidR="00F840F8">
        <w:rPr>
          <w:rFonts w:ascii="Arial" w:hAnsi="Arial" w:cs="Arial"/>
          <w:iCs/>
        </w:rPr>
        <w:t>a requirement</w:t>
      </w:r>
      <w:r>
        <w:rPr>
          <w:rFonts w:ascii="Arial" w:hAnsi="Arial" w:cs="Arial"/>
          <w:iCs/>
        </w:rPr>
        <w:t xml:space="preserve">.  </w:t>
      </w:r>
      <w:r w:rsidR="00BD69EC" w:rsidRPr="002B70CD">
        <w:rPr>
          <w:rFonts w:ascii="Arial" w:hAnsi="Arial" w:cs="Arial"/>
          <w:iCs/>
        </w:rPr>
        <w:t>As a result, the estimates being provided by the commenters appear to foresee the need for a much larger level of effort than the generic letter is requesting.</w:t>
      </w:r>
      <w:r w:rsidR="000504A9">
        <w:rPr>
          <w:rFonts w:ascii="Arial" w:hAnsi="Arial" w:cs="Arial"/>
          <w:iCs/>
        </w:rPr>
        <w:t xml:space="preserve">  The staff estimates are based on the assumption </w:t>
      </w:r>
      <w:r w:rsidR="000504A9">
        <w:rPr>
          <w:rFonts w:ascii="Arial" w:hAnsi="Arial" w:cs="Arial"/>
          <w:iCs/>
        </w:rPr>
        <w:lastRenderedPageBreak/>
        <w:t xml:space="preserve">that all information being requested that is applicable to regulatory compliance and is part of the licensee’s licensing basis will be readily available </w:t>
      </w:r>
      <w:r w:rsidR="00D87435">
        <w:rPr>
          <w:rFonts w:ascii="Arial" w:hAnsi="Arial" w:cs="Arial"/>
          <w:iCs/>
        </w:rPr>
        <w:t>in accordance with provisions found in</w:t>
      </w:r>
      <w:r w:rsidR="000504A9">
        <w:rPr>
          <w:rFonts w:ascii="Arial" w:hAnsi="Arial" w:cs="Arial"/>
          <w:iCs/>
        </w:rPr>
        <w:t xml:space="preserve"> Appendix</w:t>
      </w:r>
      <w:r w:rsidR="001E7383">
        <w:rPr>
          <w:rFonts w:ascii="Arial" w:hAnsi="Arial" w:cs="Arial"/>
          <w:iCs/>
        </w:rPr>
        <w:t> </w:t>
      </w:r>
      <w:r w:rsidR="000504A9">
        <w:rPr>
          <w:rFonts w:ascii="Arial" w:hAnsi="Arial" w:cs="Arial"/>
          <w:iCs/>
        </w:rPr>
        <w:t>B to 10</w:t>
      </w:r>
      <w:r w:rsidR="001E7383">
        <w:rPr>
          <w:rFonts w:ascii="Arial" w:hAnsi="Arial" w:cs="Arial"/>
          <w:iCs/>
        </w:rPr>
        <w:t> </w:t>
      </w:r>
      <w:r w:rsidR="000504A9">
        <w:rPr>
          <w:rFonts w:ascii="Arial" w:hAnsi="Arial" w:cs="Arial"/>
          <w:iCs/>
        </w:rPr>
        <w:t>CFR</w:t>
      </w:r>
      <w:r w:rsidR="001E7383">
        <w:rPr>
          <w:rFonts w:ascii="Arial" w:hAnsi="Arial" w:cs="Arial"/>
          <w:iCs/>
        </w:rPr>
        <w:t> </w:t>
      </w:r>
      <w:r w:rsidR="000504A9">
        <w:rPr>
          <w:rFonts w:ascii="Arial" w:hAnsi="Arial" w:cs="Arial"/>
          <w:iCs/>
        </w:rPr>
        <w:t>Part</w:t>
      </w:r>
      <w:r w:rsidR="001E7383">
        <w:rPr>
          <w:rFonts w:ascii="Arial" w:hAnsi="Arial" w:cs="Arial"/>
          <w:iCs/>
        </w:rPr>
        <w:t> </w:t>
      </w:r>
      <w:r w:rsidR="000504A9">
        <w:rPr>
          <w:rFonts w:ascii="Arial" w:hAnsi="Arial" w:cs="Arial"/>
          <w:iCs/>
        </w:rPr>
        <w:t>50, “Quality Assurance Criteria for Nuclear Power Plants and Fuel Reprocessing Plants</w:t>
      </w:r>
      <w:r w:rsidR="00D87435">
        <w:rPr>
          <w:rFonts w:ascii="Arial" w:hAnsi="Arial" w:cs="Arial"/>
          <w:iCs/>
        </w:rPr>
        <w:t xml:space="preserve">,” requiring the existence of a quality </w:t>
      </w:r>
      <w:r w:rsidR="00D87435" w:rsidRPr="00D87435">
        <w:rPr>
          <w:rFonts w:ascii="Arial" w:hAnsi="Arial" w:cs="Arial"/>
          <w:iCs/>
        </w:rPr>
        <w:t>assurance program that appropriately characterizes each component (Criterion VII, “Control of Purchased Material, Equipment and Services,” and Criterion VIII, “Identification and Control of Materials, Parts, and Components”), that provides for appropriate testing to demonstrate satisfactory inservice performance of components (Criterion XI, “Test Control”), and that ensures that sufficient records will be maintained to furnish evidence of such activities in an identifiable and retrievable form (Criterion XVII, “Quality Assurance Records”).</w:t>
      </w:r>
    </w:p>
    <w:p w14:paraId="2B6B5690" w14:textId="77777777" w:rsidR="00D87435" w:rsidRDefault="00D87435" w:rsidP="007D227F">
      <w:pPr>
        <w:rPr>
          <w:rFonts w:ascii="Arial" w:hAnsi="Arial" w:cs="Arial"/>
          <w:i/>
          <w:iCs/>
        </w:rPr>
      </w:pPr>
    </w:p>
    <w:p w14:paraId="4FE48CE8" w14:textId="77777777" w:rsidR="00D87435" w:rsidRDefault="00D87435" w:rsidP="007D227F">
      <w:pPr>
        <w:rPr>
          <w:rFonts w:ascii="Arial" w:hAnsi="Arial" w:cs="Arial"/>
          <w:i/>
          <w:iCs/>
        </w:rPr>
      </w:pPr>
    </w:p>
    <w:p w14:paraId="023542D2" w14:textId="4B025674" w:rsidR="007D227F" w:rsidRDefault="007D227F" w:rsidP="007D227F">
      <w:pPr>
        <w:rPr>
          <w:rFonts w:ascii="Arial" w:hAnsi="Arial" w:cs="Arial"/>
          <w:i/>
          <w:iCs/>
        </w:rPr>
      </w:pPr>
      <w:r w:rsidRPr="00921E0B">
        <w:rPr>
          <w:rFonts w:ascii="Arial" w:hAnsi="Arial" w:cs="Arial"/>
          <w:i/>
          <w:iCs/>
          <w:u w:val="single"/>
        </w:rPr>
        <w:t>Comment</w:t>
      </w:r>
      <w:r>
        <w:rPr>
          <w:rFonts w:ascii="Arial" w:hAnsi="Arial" w:cs="Arial"/>
          <w:i/>
          <w:iCs/>
        </w:rPr>
        <w:t xml:space="preserve">: </w:t>
      </w:r>
      <w:r w:rsidR="000F4844">
        <w:rPr>
          <w:rFonts w:ascii="Arial" w:hAnsi="Arial" w:cs="Arial"/>
          <w:i/>
          <w:iCs/>
        </w:rPr>
        <w:t xml:space="preserve"> </w:t>
      </w:r>
      <w:r w:rsidR="000D2025">
        <w:rPr>
          <w:rFonts w:ascii="Arial" w:hAnsi="Arial" w:cs="Arial"/>
          <w:i/>
          <w:iCs/>
        </w:rPr>
        <w:t>More of the previously</w:t>
      </w:r>
      <w:r w:rsidR="008B7DA9">
        <w:rPr>
          <w:rFonts w:ascii="Arial" w:hAnsi="Arial" w:cs="Arial"/>
          <w:i/>
          <w:iCs/>
        </w:rPr>
        <w:noBreakHyphen/>
      </w:r>
      <w:r w:rsidR="000D2025">
        <w:rPr>
          <w:rFonts w:ascii="Arial" w:hAnsi="Arial" w:cs="Arial"/>
          <w:i/>
          <w:iCs/>
        </w:rPr>
        <w:t>submitted comments on Appendix A could be incorporated, in order to reduce licensee burden.</w:t>
      </w:r>
      <w:r>
        <w:rPr>
          <w:rFonts w:ascii="Arial" w:hAnsi="Arial" w:cs="Arial"/>
          <w:i/>
          <w:iCs/>
        </w:rPr>
        <w:t xml:space="preserve"> [</w:t>
      </w:r>
      <w:r w:rsidR="00F035A7">
        <w:rPr>
          <w:rFonts w:ascii="Arial" w:hAnsi="Arial" w:cs="Arial"/>
          <w:i/>
          <w:iCs/>
        </w:rPr>
        <w:t>NEI-1</w:t>
      </w:r>
      <w:r w:rsidR="0072547D">
        <w:rPr>
          <w:rFonts w:ascii="Arial" w:hAnsi="Arial" w:cs="Arial"/>
          <w:i/>
          <w:iCs/>
        </w:rPr>
        <w:t>, NEI-3</w:t>
      </w:r>
      <w:r w:rsidR="002B70CD">
        <w:rPr>
          <w:rFonts w:ascii="Arial" w:hAnsi="Arial" w:cs="Arial"/>
          <w:i/>
          <w:iCs/>
        </w:rPr>
        <w:t>, DUKE-1, DUKE-3</w:t>
      </w:r>
      <w:r>
        <w:rPr>
          <w:rFonts w:ascii="Arial" w:hAnsi="Arial" w:cs="Arial"/>
          <w:i/>
          <w:iCs/>
        </w:rPr>
        <w:t>]</w:t>
      </w:r>
    </w:p>
    <w:p w14:paraId="50511F65" w14:textId="77777777" w:rsidR="007D227F" w:rsidRDefault="007D227F" w:rsidP="007D227F">
      <w:pPr>
        <w:rPr>
          <w:rFonts w:ascii="Arial" w:hAnsi="Arial" w:cs="Arial"/>
          <w:i/>
          <w:iCs/>
        </w:rPr>
      </w:pPr>
    </w:p>
    <w:p w14:paraId="532E4CDF" w14:textId="04F85875" w:rsidR="007D227F" w:rsidRDefault="007D227F" w:rsidP="007D227F">
      <w:pPr>
        <w:rPr>
          <w:rFonts w:ascii="Arial" w:hAnsi="Arial" w:cs="Arial"/>
          <w:iCs/>
        </w:rPr>
      </w:pPr>
      <w:r w:rsidRPr="00921E0B">
        <w:rPr>
          <w:rFonts w:ascii="Arial" w:hAnsi="Arial" w:cs="Arial"/>
          <w:iCs/>
          <w:u w:val="single"/>
        </w:rPr>
        <w:t>NRC Response</w:t>
      </w:r>
      <w:r>
        <w:rPr>
          <w:rFonts w:ascii="Arial" w:hAnsi="Arial" w:cs="Arial"/>
          <w:iCs/>
        </w:rPr>
        <w:t>:  Many comments were provided on Appendix A during the prior public comment period, and the NRC resolution of these comments can be found under ADAMS Accession No.</w:t>
      </w:r>
      <w:r w:rsidR="001E7383">
        <w:rPr>
          <w:rFonts w:ascii="Arial" w:hAnsi="Arial" w:cs="Arial"/>
          <w:iCs/>
        </w:rPr>
        <w:t> </w:t>
      </w:r>
      <w:r>
        <w:rPr>
          <w:rFonts w:ascii="Arial" w:hAnsi="Arial" w:cs="Arial"/>
          <w:iCs/>
        </w:rPr>
        <w:t>ML</w:t>
      </w:r>
      <w:r w:rsidR="000504A9">
        <w:rPr>
          <w:rFonts w:ascii="Arial" w:hAnsi="Arial" w:cs="Arial"/>
          <w:iCs/>
        </w:rPr>
        <w:t>14181B130</w:t>
      </w:r>
      <w:r>
        <w:rPr>
          <w:rFonts w:ascii="Arial" w:hAnsi="Arial" w:cs="Arial"/>
          <w:iCs/>
        </w:rPr>
        <w:t>.</w:t>
      </w:r>
      <w:r w:rsidR="00F035A7">
        <w:rPr>
          <w:rFonts w:ascii="Arial" w:hAnsi="Arial" w:cs="Arial"/>
          <w:iCs/>
        </w:rPr>
        <w:t xml:space="preserve">  </w:t>
      </w:r>
      <w:r w:rsidR="000D2025">
        <w:rPr>
          <w:rFonts w:ascii="Arial" w:hAnsi="Arial" w:cs="Arial"/>
          <w:iCs/>
        </w:rPr>
        <w:t>A series of public meetings is being conducted between the NRC and the industry to help better define the applicability of specific items in Appendix A to specific licensees.</w:t>
      </w:r>
    </w:p>
    <w:p w14:paraId="3C4B867D" w14:textId="77777777" w:rsidR="00CA2E73" w:rsidRDefault="00CA2E73" w:rsidP="007D227F">
      <w:pPr>
        <w:rPr>
          <w:rFonts w:ascii="Arial" w:hAnsi="Arial" w:cs="Arial"/>
          <w:iCs/>
        </w:rPr>
      </w:pPr>
    </w:p>
    <w:p w14:paraId="3F5BEC3E" w14:textId="77777777" w:rsidR="009C354C" w:rsidRDefault="009C354C" w:rsidP="007D227F">
      <w:pPr>
        <w:rPr>
          <w:rFonts w:ascii="Arial" w:hAnsi="Arial" w:cs="Arial"/>
          <w:iCs/>
        </w:rPr>
      </w:pPr>
    </w:p>
    <w:p w14:paraId="08EBEF7E" w14:textId="44153E7E" w:rsidR="007D227F" w:rsidRDefault="007D227F" w:rsidP="007D227F">
      <w:pPr>
        <w:rPr>
          <w:rFonts w:ascii="Arial" w:hAnsi="Arial" w:cs="Arial"/>
          <w:i/>
          <w:iCs/>
        </w:rPr>
      </w:pPr>
      <w:r w:rsidRPr="00921E0B">
        <w:rPr>
          <w:rFonts w:ascii="Arial" w:hAnsi="Arial" w:cs="Arial"/>
          <w:i/>
          <w:iCs/>
          <w:u w:val="single"/>
        </w:rPr>
        <w:t>Comment</w:t>
      </w:r>
      <w:r>
        <w:rPr>
          <w:rFonts w:ascii="Arial" w:hAnsi="Arial" w:cs="Arial"/>
          <w:i/>
          <w:iCs/>
        </w:rPr>
        <w:t xml:space="preserve">: </w:t>
      </w:r>
      <w:r w:rsidR="000F4844">
        <w:rPr>
          <w:rFonts w:ascii="Arial" w:hAnsi="Arial" w:cs="Arial"/>
          <w:i/>
          <w:iCs/>
        </w:rPr>
        <w:t xml:space="preserve"> </w:t>
      </w:r>
      <w:r w:rsidR="00832F50">
        <w:rPr>
          <w:rFonts w:ascii="Arial" w:hAnsi="Arial" w:cs="Arial"/>
          <w:i/>
          <w:iCs/>
        </w:rPr>
        <w:t>Some flexib</w:t>
      </w:r>
      <w:r w:rsidR="009C354C">
        <w:rPr>
          <w:rFonts w:ascii="Arial" w:hAnsi="Arial" w:cs="Arial"/>
          <w:i/>
          <w:iCs/>
        </w:rPr>
        <w:t>ility should be provided for lic</w:t>
      </w:r>
      <w:r w:rsidR="00832F50">
        <w:rPr>
          <w:rFonts w:ascii="Arial" w:hAnsi="Arial" w:cs="Arial"/>
          <w:i/>
          <w:iCs/>
        </w:rPr>
        <w:t>ensees to respond to the GL in order to allow the industry to efficiently manage resources.  In addition, l</w:t>
      </w:r>
      <w:r>
        <w:rPr>
          <w:rFonts w:ascii="Arial" w:hAnsi="Arial" w:cs="Arial"/>
          <w:i/>
          <w:iCs/>
        </w:rPr>
        <w:t>icensees will be very busy with other activities (fall refueling outages, start-up activities, and end-of-year activities/vacations).  As a result, it would help reduce the burden on licensees if the issuance date were to be delayed to January</w:t>
      </w:r>
      <w:r w:rsidR="001E7383">
        <w:rPr>
          <w:rFonts w:ascii="Arial" w:hAnsi="Arial" w:cs="Arial"/>
          <w:i/>
          <w:iCs/>
        </w:rPr>
        <w:t> </w:t>
      </w:r>
      <w:r>
        <w:rPr>
          <w:rFonts w:ascii="Arial" w:hAnsi="Arial" w:cs="Arial"/>
          <w:i/>
          <w:iCs/>
        </w:rPr>
        <w:t>2016</w:t>
      </w:r>
      <w:r w:rsidR="00832F50">
        <w:rPr>
          <w:rFonts w:ascii="Arial" w:hAnsi="Arial" w:cs="Arial"/>
          <w:i/>
          <w:iCs/>
        </w:rPr>
        <w:t xml:space="preserve">, </w:t>
      </w:r>
      <w:r w:rsidR="009C354C">
        <w:rPr>
          <w:rFonts w:ascii="Arial" w:hAnsi="Arial" w:cs="Arial"/>
          <w:i/>
          <w:iCs/>
        </w:rPr>
        <w:t>and/</w:t>
      </w:r>
      <w:r w:rsidR="00832F50">
        <w:rPr>
          <w:rFonts w:ascii="Arial" w:hAnsi="Arial" w:cs="Arial"/>
          <w:i/>
          <w:iCs/>
        </w:rPr>
        <w:t xml:space="preserve">or </w:t>
      </w:r>
      <w:r w:rsidR="009C354C">
        <w:rPr>
          <w:rFonts w:ascii="Arial" w:hAnsi="Arial" w:cs="Arial"/>
          <w:i/>
          <w:iCs/>
        </w:rPr>
        <w:t xml:space="preserve">if </w:t>
      </w:r>
      <w:r w:rsidR="00832F50">
        <w:rPr>
          <w:rFonts w:ascii="Arial" w:hAnsi="Arial" w:cs="Arial"/>
          <w:i/>
          <w:iCs/>
        </w:rPr>
        <w:t xml:space="preserve">a tiered response scheme </w:t>
      </w:r>
      <w:r w:rsidR="009C354C">
        <w:rPr>
          <w:rFonts w:ascii="Arial" w:hAnsi="Arial" w:cs="Arial"/>
          <w:i/>
          <w:iCs/>
        </w:rPr>
        <w:t xml:space="preserve">was </w:t>
      </w:r>
      <w:r w:rsidR="00832F50">
        <w:rPr>
          <w:rFonts w:ascii="Arial" w:hAnsi="Arial" w:cs="Arial"/>
          <w:i/>
          <w:iCs/>
        </w:rPr>
        <w:t>adopted</w:t>
      </w:r>
      <w:r w:rsidR="009C354C">
        <w:rPr>
          <w:rFonts w:ascii="Arial" w:hAnsi="Arial" w:cs="Arial"/>
          <w:i/>
          <w:iCs/>
        </w:rPr>
        <w:t>.</w:t>
      </w:r>
      <w:r>
        <w:rPr>
          <w:rFonts w:ascii="Arial" w:hAnsi="Arial" w:cs="Arial"/>
          <w:i/>
          <w:iCs/>
        </w:rPr>
        <w:t xml:space="preserve"> [</w:t>
      </w:r>
      <w:r w:rsidR="002B70CD">
        <w:rPr>
          <w:rFonts w:ascii="Arial" w:hAnsi="Arial" w:cs="Arial"/>
          <w:i/>
          <w:iCs/>
        </w:rPr>
        <w:t>KIRK</w:t>
      </w:r>
      <w:r w:rsidR="00F035A7">
        <w:rPr>
          <w:rFonts w:ascii="Arial" w:hAnsi="Arial" w:cs="Arial"/>
          <w:i/>
          <w:iCs/>
        </w:rPr>
        <w:t>, NEI-Letter</w:t>
      </w:r>
      <w:r>
        <w:rPr>
          <w:rFonts w:ascii="Arial" w:hAnsi="Arial" w:cs="Arial"/>
          <w:i/>
          <w:iCs/>
        </w:rPr>
        <w:t>]</w:t>
      </w:r>
    </w:p>
    <w:p w14:paraId="5E4F79C8" w14:textId="77777777" w:rsidR="007D227F" w:rsidRDefault="007D227F" w:rsidP="007D227F">
      <w:pPr>
        <w:rPr>
          <w:rFonts w:ascii="Arial" w:hAnsi="Arial" w:cs="Arial"/>
          <w:i/>
          <w:iCs/>
        </w:rPr>
      </w:pPr>
    </w:p>
    <w:p w14:paraId="29FFD2A9" w14:textId="46663494" w:rsidR="007D227F" w:rsidRPr="00F035A7" w:rsidRDefault="007D227F" w:rsidP="007D227F">
      <w:pPr>
        <w:rPr>
          <w:rFonts w:ascii="Arial" w:hAnsi="Arial" w:cs="Arial"/>
          <w:iCs/>
        </w:rPr>
      </w:pPr>
      <w:r w:rsidRPr="00921E0B">
        <w:rPr>
          <w:rFonts w:ascii="Arial" w:hAnsi="Arial" w:cs="Arial"/>
          <w:iCs/>
          <w:u w:val="single"/>
        </w:rPr>
        <w:t>NRC Response</w:t>
      </w:r>
      <w:r>
        <w:rPr>
          <w:rFonts w:ascii="Arial" w:hAnsi="Arial" w:cs="Arial"/>
          <w:iCs/>
        </w:rPr>
        <w:t>:  The NRC agrees with the comment</w:t>
      </w:r>
      <w:r w:rsidR="00EA3F01">
        <w:rPr>
          <w:rFonts w:ascii="Arial" w:hAnsi="Arial" w:cs="Arial"/>
          <w:iCs/>
        </w:rPr>
        <w:t xml:space="preserve"> that some additional time be provided for licensees to provide the information requested by the generic letter</w:t>
      </w:r>
      <w:r>
        <w:rPr>
          <w:rFonts w:ascii="Arial" w:hAnsi="Arial" w:cs="Arial"/>
          <w:iCs/>
        </w:rPr>
        <w:t xml:space="preserve">.  </w:t>
      </w:r>
      <w:r w:rsidR="00F035A7">
        <w:rPr>
          <w:rFonts w:ascii="Arial" w:hAnsi="Arial" w:cs="Arial"/>
          <w:iCs/>
        </w:rPr>
        <w:t>The staff also considers the fact that while some licensees may be preoccupied with fall refueling outages in 2015, other licensees may be preoccupied with spring refueling outages in 2016.  Therefore, the staff has extend</w:t>
      </w:r>
      <w:r w:rsidR="00122E6F">
        <w:rPr>
          <w:rFonts w:ascii="Arial" w:hAnsi="Arial" w:cs="Arial"/>
          <w:iCs/>
        </w:rPr>
        <w:t>ed</w:t>
      </w:r>
      <w:r w:rsidR="00F035A7">
        <w:rPr>
          <w:rFonts w:ascii="Arial" w:hAnsi="Arial" w:cs="Arial"/>
          <w:iCs/>
        </w:rPr>
        <w:t xml:space="preserve"> the response </w:t>
      </w:r>
      <w:r w:rsidR="00F035A7">
        <w:rPr>
          <w:rFonts w:ascii="Arial" w:hAnsi="Arial" w:cs="Arial"/>
          <w:iCs/>
        </w:rPr>
        <w:lastRenderedPageBreak/>
        <w:t xml:space="preserve">timeframe by an additional </w:t>
      </w:r>
      <w:r w:rsidR="000504A9" w:rsidRPr="000504A9">
        <w:rPr>
          <w:rFonts w:ascii="Arial" w:hAnsi="Arial" w:cs="Arial"/>
          <w:iCs/>
        </w:rPr>
        <w:t>90</w:t>
      </w:r>
      <w:r w:rsidR="001E7383">
        <w:rPr>
          <w:rFonts w:ascii="Arial" w:hAnsi="Arial" w:cs="Arial"/>
          <w:iCs/>
        </w:rPr>
        <w:t> </w:t>
      </w:r>
      <w:r w:rsidR="00F035A7">
        <w:rPr>
          <w:rFonts w:ascii="Arial" w:hAnsi="Arial" w:cs="Arial"/>
          <w:iCs/>
        </w:rPr>
        <w:t>days</w:t>
      </w:r>
      <w:r w:rsidR="00DD461C">
        <w:rPr>
          <w:rFonts w:ascii="Arial" w:hAnsi="Arial" w:cs="Arial"/>
          <w:iCs/>
        </w:rPr>
        <w:t>, from 120</w:t>
      </w:r>
      <w:r w:rsidR="001E7383">
        <w:rPr>
          <w:rFonts w:ascii="Arial" w:hAnsi="Arial" w:cs="Arial"/>
          <w:iCs/>
        </w:rPr>
        <w:t> </w:t>
      </w:r>
      <w:r w:rsidR="00DD461C">
        <w:rPr>
          <w:rFonts w:ascii="Arial" w:hAnsi="Arial" w:cs="Arial"/>
          <w:iCs/>
        </w:rPr>
        <w:t>days to 210</w:t>
      </w:r>
      <w:r w:rsidR="001E7383">
        <w:rPr>
          <w:rFonts w:ascii="Arial" w:hAnsi="Arial" w:cs="Arial"/>
          <w:iCs/>
        </w:rPr>
        <w:t> </w:t>
      </w:r>
      <w:r w:rsidR="00DD461C">
        <w:rPr>
          <w:rFonts w:ascii="Arial" w:hAnsi="Arial" w:cs="Arial"/>
          <w:iCs/>
        </w:rPr>
        <w:t>days,</w:t>
      </w:r>
      <w:r w:rsidR="00F035A7">
        <w:rPr>
          <w:rFonts w:ascii="Arial" w:hAnsi="Arial" w:cs="Arial"/>
          <w:iCs/>
        </w:rPr>
        <w:t xml:space="preserve"> </w:t>
      </w:r>
      <w:r w:rsidR="00122E6F">
        <w:rPr>
          <w:rFonts w:ascii="Arial" w:hAnsi="Arial" w:cs="Arial"/>
          <w:iCs/>
        </w:rPr>
        <w:t>in order to</w:t>
      </w:r>
      <w:r w:rsidR="00F035A7">
        <w:rPr>
          <w:rFonts w:ascii="Arial" w:hAnsi="Arial" w:cs="Arial"/>
          <w:iCs/>
        </w:rPr>
        <w:t xml:space="preserve"> provide licensees with more flexibility to accommodate the resources required to respond to this generic letter</w:t>
      </w:r>
      <w:r w:rsidR="000504A9">
        <w:rPr>
          <w:rFonts w:ascii="Arial" w:hAnsi="Arial" w:cs="Arial"/>
          <w:iCs/>
        </w:rPr>
        <w:t>.</w:t>
      </w:r>
      <w:r w:rsidR="009C354C">
        <w:rPr>
          <w:rFonts w:ascii="Arial" w:hAnsi="Arial" w:cs="Arial"/>
          <w:iCs/>
        </w:rPr>
        <w:t xml:space="preserve"> </w:t>
      </w:r>
      <w:r w:rsidR="008B7DA9">
        <w:rPr>
          <w:rFonts w:ascii="Arial" w:hAnsi="Arial" w:cs="Arial"/>
          <w:iCs/>
        </w:rPr>
        <w:t xml:space="preserve"> </w:t>
      </w:r>
      <w:r w:rsidR="009C354C">
        <w:rPr>
          <w:rFonts w:ascii="Arial" w:hAnsi="Arial" w:cs="Arial"/>
          <w:iCs/>
        </w:rPr>
        <w:t>This extension of time is greater than the maximum proposed number of days proposed in the</w:t>
      </w:r>
      <w:r w:rsidR="00EA3F01">
        <w:rPr>
          <w:rFonts w:ascii="Arial" w:hAnsi="Arial" w:cs="Arial"/>
          <w:iCs/>
        </w:rPr>
        <w:t xml:space="preserve"> tiered </w:t>
      </w:r>
      <w:r w:rsidR="009C354C">
        <w:rPr>
          <w:rFonts w:ascii="Arial" w:hAnsi="Arial" w:cs="Arial"/>
          <w:iCs/>
        </w:rPr>
        <w:t>approach proposed by the commenter, precluding the need for such an approach.</w:t>
      </w:r>
    </w:p>
    <w:p w14:paraId="5641718A" w14:textId="77777777" w:rsidR="007D227F" w:rsidRDefault="007D227F" w:rsidP="007D227F">
      <w:pPr>
        <w:rPr>
          <w:rFonts w:ascii="Arial" w:hAnsi="Arial" w:cs="Arial"/>
          <w:iCs/>
        </w:rPr>
      </w:pPr>
    </w:p>
    <w:p w14:paraId="450BD920" w14:textId="77777777" w:rsidR="008B7DA9" w:rsidRDefault="008B7DA9" w:rsidP="007D227F">
      <w:pPr>
        <w:rPr>
          <w:rFonts w:ascii="Arial" w:hAnsi="Arial" w:cs="Arial"/>
          <w:iCs/>
        </w:rPr>
      </w:pPr>
    </w:p>
    <w:p w14:paraId="13F38AAA" w14:textId="0DFE7BC6" w:rsidR="0072547D" w:rsidRDefault="0072547D" w:rsidP="0072547D">
      <w:pPr>
        <w:rPr>
          <w:rFonts w:ascii="Arial" w:hAnsi="Arial" w:cs="Arial"/>
          <w:i/>
          <w:iCs/>
        </w:rPr>
      </w:pPr>
      <w:r w:rsidRPr="00921E0B">
        <w:rPr>
          <w:rFonts w:ascii="Arial" w:hAnsi="Arial" w:cs="Arial"/>
          <w:i/>
          <w:iCs/>
          <w:u w:val="single"/>
        </w:rPr>
        <w:t>Comment</w:t>
      </w:r>
      <w:r>
        <w:rPr>
          <w:rFonts w:ascii="Arial" w:hAnsi="Arial" w:cs="Arial"/>
          <w:i/>
          <w:iCs/>
        </w:rPr>
        <w:t xml:space="preserve">: </w:t>
      </w:r>
      <w:r w:rsidR="000F4844">
        <w:rPr>
          <w:rFonts w:ascii="Arial" w:hAnsi="Arial" w:cs="Arial"/>
          <w:i/>
          <w:iCs/>
        </w:rPr>
        <w:t xml:space="preserve"> </w:t>
      </w:r>
      <w:r w:rsidR="00A17B2B">
        <w:rPr>
          <w:rFonts w:ascii="Arial" w:hAnsi="Arial" w:cs="Arial"/>
          <w:i/>
          <w:iCs/>
        </w:rPr>
        <w:t xml:space="preserve">The NRC should undertake additional action to </w:t>
      </w:r>
      <w:r>
        <w:rPr>
          <w:rFonts w:ascii="Arial" w:hAnsi="Arial" w:cs="Arial"/>
          <w:i/>
          <w:iCs/>
        </w:rPr>
        <w:t xml:space="preserve">further minimize the burden on licensees, including </w:t>
      </w:r>
      <w:r w:rsidR="00A17B2B">
        <w:rPr>
          <w:rFonts w:ascii="Arial" w:hAnsi="Arial" w:cs="Arial"/>
          <w:i/>
          <w:iCs/>
        </w:rPr>
        <w:t xml:space="preserve">holding a public meeting, </w:t>
      </w:r>
      <w:r>
        <w:rPr>
          <w:rFonts w:ascii="Arial" w:hAnsi="Arial" w:cs="Arial"/>
          <w:i/>
          <w:iCs/>
        </w:rPr>
        <w:t>providing further clarity on what would be necessary to constitute an adequate response</w:t>
      </w:r>
      <w:r w:rsidR="00023275">
        <w:rPr>
          <w:rFonts w:ascii="Arial" w:hAnsi="Arial" w:cs="Arial"/>
          <w:i/>
          <w:iCs/>
        </w:rPr>
        <w:t>,</w:t>
      </w:r>
      <w:r>
        <w:rPr>
          <w:rFonts w:ascii="Arial" w:hAnsi="Arial" w:cs="Arial"/>
          <w:i/>
          <w:iCs/>
        </w:rPr>
        <w:t xml:space="preserve"> and the possibility of gathering information common to multiple licensees through a single mechanism. [NEI-3, NEI-4</w:t>
      </w:r>
      <w:r w:rsidR="00F840F8">
        <w:rPr>
          <w:rFonts w:ascii="Arial" w:hAnsi="Arial" w:cs="Arial"/>
          <w:i/>
          <w:iCs/>
        </w:rPr>
        <w:t>, DUKE-3, DUKE-4</w:t>
      </w:r>
      <w:r>
        <w:rPr>
          <w:rFonts w:ascii="Arial" w:hAnsi="Arial" w:cs="Arial"/>
          <w:i/>
          <w:iCs/>
        </w:rPr>
        <w:t>]</w:t>
      </w:r>
    </w:p>
    <w:p w14:paraId="011B615F" w14:textId="77777777" w:rsidR="0072547D" w:rsidRDefault="0072547D" w:rsidP="0072547D">
      <w:pPr>
        <w:rPr>
          <w:rFonts w:ascii="Arial" w:hAnsi="Arial" w:cs="Arial"/>
          <w:i/>
          <w:iCs/>
        </w:rPr>
      </w:pPr>
    </w:p>
    <w:p w14:paraId="1273232D" w14:textId="74170CFD" w:rsidR="0072547D" w:rsidRDefault="0072547D" w:rsidP="0072547D">
      <w:pPr>
        <w:rPr>
          <w:rFonts w:ascii="Arial" w:hAnsi="Arial" w:cs="Arial"/>
          <w:iCs/>
        </w:rPr>
      </w:pPr>
      <w:r w:rsidRPr="00921E0B">
        <w:rPr>
          <w:rFonts w:ascii="Arial" w:hAnsi="Arial" w:cs="Arial"/>
          <w:iCs/>
          <w:u w:val="single"/>
        </w:rPr>
        <w:t>NRC Response</w:t>
      </w:r>
      <w:r>
        <w:rPr>
          <w:rFonts w:ascii="Arial" w:hAnsi="Arial" w:cs="Arial"/>
          <w:iCs/>
        </w:rPr>
        <w:t>:  The</w:t>
      </w:r>
      <w:r w:rsidR="001E7383">
        <w:rPr>
          <w:rFonts w:ascii="Arial" w:hAnsi="Arial" w:cs="Arial"/>
          <w:iCs/>
        </w:rPr>
        <w:t> </w:t>
      </w:r>
      <w:r>
        <w:rPr>
          <w:rFonts w:ascii="Arial" w:hAnsi="Arial" w:cs="Arial"/>
          <w:iCs/>
        </w:rPr>
        <w:t xml:space="preserve">NRC agrees </w:t>
      </w:r>
      <w:r w:rsidR="00023275">
        <w:rPr>
          <w:rFonts w:ascii="Arial" w:hAnsi="Arial" w:cs="Arial"/>
          <w:iCs/>
        </w:rPr>
        <w:t>in part w</w:t>
      </w:r>
      <w:r>
        <w:rPr>
          <w:rFonts w:ascii="Arial" w:hAnsi="Arial" w:cs="Arial"/>
          <w:iCs/>
        </w:rPr>
        <w:t xml:space="preserve">ith the comment.  A public meeting </w:t>
      </w:r>
      <w:r w:rsidR="002E09B4">
        <w:rPr>
          <w:rFonts w:ascii="Arial" w:hAnsi="Arial" w:cs="Arial"/>
          <w:iCs/>
        </w:rPr>
        <w:t>has been</w:t>
      </w:r>
      <w:r>
        <w:rPr>
          <w:rFonts w:ascii="Arial" w:hAnsi="Arial" w:cs="Arial"/>
          <w:iCs/>
        </w:rPr>
        <w:t xml:space="preserve"> held to discuss options for st</w:t>
      </w:r>
      <w:r w:rsidR="00F840F8">
        <w:rPr>
          <w:rFonts w:ascii="Arial" w:hAnsi="Arial" w:cs="Arial"/>
          <w:iCs/>
        </w:rPr>
        <w:t>reamlining the response pr</w:t>
      </w:r>
      <w:r w:rsidR="000351D0">
        <w:rPr>
          <w:rFonts w:ascii="Arial" w:hAnsi="Arial" w:cs="Arial"/>
          <w:iCs/>
        </w:rPr>
        <w:t>ocess, including defining the applicability of Appendix</w:t>
      </w:r>
      <w:r w:rsidR="001E7383">
        <w:rPr>
          <w:rFonts w:ascii="Arial" w:hAnsi="Arial" w:cs="Arial"/>
          <w:iCs/>
        </w:rPr>
        <w:t> </w:t>
      </w:r>
      <w:r w:rsidR="000351D0">
        <w:rPr>
          <w:rFonts w:ascii="Arial" w:hAnsi="Arial" w:cs="Arial"/>
          <w:iCs/>
        </w:rPr>
        <w:t>A to specific situations and obtaining some information applicable to multiple licensees through a single submittal.</w:t>
      </w:r>
      <w:r w:rsidR="007A18E8">
        <w:rPr>
          <w:rFonts w:ascii="Arial" w:hAnsi="Arial" w:cs="Arial"/>
          <w:iCs/>
        </w:rPr>
        <w:t xml:space="preserve"> </w:t>
      </w:r>
      <w:r w:rsidR="008B7DA9">
        <w:rPr>
          <w:rFonts w:ascii="Arial" w:hAnsi="Arial" w:cs="Arial"/>
          <w:iCs/>
        </w:rPr>
        <w:t xml:space="preserve"> </w:t>
      </w:r>
      <w:r w:rsidR="002E09B4">
        <w:rPr>
          <w:rFonts w:ascii="Arial" w:hAnsi="Arial" w:cs="Arial"/>
          <w:iCs/>
        </w:rPr>
        <w:t>Further meeti</w:t>
      </w:r>
      <w:r w:rsidR="000D2025">
        <w:rPr>
          <w:rFonts w:ascii="Arial" w:hAnsi="Arial" w:cs="Arial"/>
          <w:iCs/>
        </w:rPr>
        <w:t xml:space="preserve">ngs will be held </w:t>
      </w:r>
      <w:r w:rsidR="002E09B4">
        <w:rPr>
          <w:rFonts w:ascii="Arial" w:hAnsi="Arial" w:cs="Arial"/>
          <w:iCs/>
        </w:rPr>
        <w:t xml:space="preserve">to </w:t>
      </w:r>
      <w:r w:rsidR="00F623A3">
        <w:rPr>
          <w:rFonts w:ascii="Arial" w:hAnsi="Arial" w:cs="Arial"/>
          <w:iCs/>
        </w:rPr>
        <w:t>support reductions in unnecessary burden to specific licensees.</w:t>
      </w:r>
      <w:r w:rsidR="008B7DA9">
        <w:rPr>
          <w:rFonts w:ascii="Arial" w:hAnsi="Arial" w:cs="Arial"/>
          <w:iCs/>
        </w:rPr>
        <w:t xml:space="preserve"> </w:t>
      </w:r>
      <w:r w:rsidR="00F623A3">
        <w:rPr>
          <w:rFonts w:ascii="Arial" w:hAnsi="Arial" w:cs="Arial"/>
          <w:iCs/>
        </w:rPr>
        <w:t xml:space="preserve"> </w:t>
      </w:r>
      <w:r w:rsidR="007A18E8">
        <w:rPr>
          <w:rFonts w:ascii="Arial" w:hAnsi="Arial" w:cs="Arial"/>
          <w:iCs/>
        </w:rPr>
        <w:t xml:space="preserve">No change </w:t>
      </w:r>
      <w:r w:rsidR="007A18E8" w:rsidRPr="007A18E8">
        <w:rPr>
          <w:rFonts w:ascii="Arial" w:hAnsi="Arial" w:cs="Arial"/>
          <w:iCs/>
        </w:rPr>
        <w:t>was made to the generic letter and Appendix A to the generic letter as a result of this comment</w:t>
      </w:r>
      <w:r w:rsidR="007A18E8">
        <w:rPr>
          <w:rFonts w:ascii="Arial" w:hAnsi="Arial" w:cs="Arial"/>
          <w:iCs/>
        </w:rPr>
        <w:t>.</w:t>
      </w:r>
    </w:p>
    <w:p w14:paraId="66192886" w14:textId="77777777" w:rsidR="0072547D" w:rsidRDefault="0072547D" w:rsidP="0072547D">
      <w:pPr>
        <w:rPr>
          <w:rFonts w:ascii="Arial" w:hAnsi="Arial" w:cs="Arial"/>
          <w:iCs/>
        </w:rPr>
      </w:pPr>
    </w:p>
    <w:p w14:paraId="3873431A" w14:textId="77777777" w:rsidR="00CA2E73" w:rsidRDefault="00CA2E73" w:rsidP="0072547D">
      <w:pPr>
        <w:rPr>
          <w:rFonts w:ascii="Arial" w:hAnsi="Arial" w:cs="Arial"/>
          <w:iCs/>
        </w:rPr>
      </w:pPr>
    </w:p>
    <w:p w14:paraId="6E348457" w14:textId="77777777" w:rsidR="0072547D" w:rsidRDefault="0072547D" w:rsidP="0072547D">
      <w:pPr>
        <w:rPr>
          <w:rFonts w:ascii="Arial" w:hAnsi="Arial" w:cs="Arial"/>
          <w:i/>
          <w:iCs/>
        </w:rPr>
      </w:pPr>
      <w:r w:rsidRPr="00921E0B">
        <w:rPr>
          <w:rFonts w:ascii="Arial" w:hAnsi="Arial" w:cs="Arial"/>
          <w:i/>
          <w:iCs/>
          <w:u w:val="single"/>
        </w:rPr>
        <w:t>Comment</w:t>
      </w:r>
      <w:r>
        <w:rPr>
          <w:rFonts w:ascii="Arial" w:hAnsi="Arial" w:cs="Arial"/>
          <w:i/>
          <w:iCs/>
        </w:rPr>
        <w:t xml:space="preserve">: </w:t>
      </w:r>
      <w:r w:rsidR="000F4844">
        <w:rPr>
          <w:rFonts w:ascii="Arial" w:hAnsi="Arial" w:cs="Arial"/>
          <w:i/>
          <w:iCs/>
        </w:rPr>
        <w:t xml:space="preserve"> </w:t>
      </w:r>
      <w:r>
        <w:rPr>
          <w:rFonts w:ascii="Arial" w:hAnsi="Arial" w:cs="Arial"/>
          <w:i/>
          <w:iCs/>
        </w:rPr>
        <w:t>The generic letter should explicitly recognize that the NRC does not expect licensees to provide information that goes beyond what their current licensing bases require them to maintain. [NEI-4]</w:t>
      </w:r>
    </w:p>
    <w:p w14:paraId="6FC5F616" w14:textId="77777777" w:rsidR="0072547D" w:rsidRDefault="0072547D" w:rsidP="0072547D">
      <w:pPr>
        <w:rPr>
          <w:rFonts w:ascii="Arial" w:hAnsi="Arial" w:cs="Arial"/>
          <w:i/>
          <w:iCs/>
        </w:rPr>
      </w:pPr>
    </w:p>
    <w:p w14:paraId="454083A1" w14:textId="763BF9BC" w:rsidR="00524D9D" w:rsidRDefault="0072547D">
      <w:pPr>
        <w:rPr>
          <w:rFonts w:ascii="Arial" w:hAnsi="Arial" w:cs="Arial"/>
          <w:iCs/>
        </w:rPr>
      </w:pPr>
      <w:r w:rsidRPr="00921E0B">
        <w:rPr>
          <w:rFonts w:ascii="Arial" w:hAnsi="Arial" w:cs="Arial"/>
          <w:iCs/>
          <w:u w:val="single"/>
        </w:rPr>
        <w:t>NRC Response</w:t>
      </w:r>
      <w:r>
        <w:rPr>
          <w:rFonts w:ascii="Arial" w:hAnsi="Arial" w:cs="Arial"/>
          <w:iCs/>
        </w:rPr>
        <w:t xml:space="preserve">:  </w:t>
      </w:r>
      <w:r w:rsidR="00937CB8">
        <w:rPr>
          <w:rFonts w:ascii="Arial" w:hAnsi="Arial" w:cs="Arial"/>
          <w:iCs/>
        </w:rPr>
        <w:t>The NRC agrees that the generic letter does not require licensees to provide information beyond that currently maintained, or required to be maintained in the licensing basis.  T</w:t>
      </w:r>
      <w:r w:rsidR="000504A9">
        <w:rPr>
          <w:rFonts w:ascii="Arial" w:hAnsi="Arial" w:cs="Arial"/>
          <w:iCs/>
        </w:rPr>
        <w:t>he first paragraph of Appendix</w:t>
      </w:r>
      <w:r w:rsidR="001E7383">
        <w:rPr>
          <w:rFonts w:ascii="Arial" w:hAnsi="Arial" w:cs="Arial"/>
          <w:iCs/>
        </w:rPr>
        <w:t> </w:t>
      </w:r>
      <w:r w:rsidR="000504A9">
        <w:rPr>
          <w:rFonts w:ascii="Arial" w:hAnsi="Arial" w:cs="Arial"/>
          <w:iCs/>
        </w:rPr>
        <w:t>A</w:t>
      </w:r>
      <w:r w:rsidR="00937CB8">
        <w:rPr>
          <w:rFonts w:ascii="Arial" w:hAnsi="Arial" w:cs="Arial"/>
          <w:iCs/>
        </w:rPr>
        <w:t xml:space="preserve"> to the generic letter </w:t>
      </w:r>
      <w:r w:rsidR="000504A9">
        <w:rPr>
          <w:rFonts w:ascii="Arial" w:hAnsi="Arial" w:cs="Arial"/>
          <w:iCs/>
        </w:rPr>
        <w:t>states that if a specific section or item of this appendix is not part of the licensee’s licensing basis, a response to that effect is sufficient</w:t>
      </w:r>
      <w:r w:rsidR="000351D0">
        <w:rPr>
          <w:rFonts w:ascii="Arial" w:hAnsi="Arial" w:cs="Arial"/>
          <w:iCs/>
        </w:rPr>
        <w:t>.</w:t>
      </w:r>
      <w:r w:rsidR="00937CB8">
        <w:rPr>
          <w:rFonts w:ascii="Arial" w:hAnsi="Arial" w:cs="Arial"/>
          <w:iCs/>
        </w:rPr>
        <w:t xml:space="preserve"> </w:t>
      </w:r>
      <w:r w:rsidR="00592A59">
        <w:rPr>
          <w:rFonts w:ascii="Arial" w:hAnsi="Arial" w:cs="Arial"/>
          <w:iCs/>
        </w:rPr>
        <w:t xml:space="preserve"> </w:t>
      </w:r>
      <w:r w:rsidR="009F31AD">
        <w:rPr>
          <w:rFonts w:ascii="Arial" w:hAnsi="Arial" w:cs="Arial"/>
          <w:iCs/>
        </w:rPr>
        <w:t>Therefore, language of the first paragraph of Appendix A already states</w:t>
      </w:r>
      <w:r w:rsidR="00592A59">
        <w:rPr>
          <w:rFonts w:ascii="Arial" w:hAnsi="Arial" w:cs="Arial"/>
          <w:iCs/>
        </w:rPr>
        <w:t>,</w:t>
      </w:r>
      <w:r w:rsidR="009F31AD">
        <w:rPr>
          <w:rFonts w:ascii="Arial" w:hAnsi="Arial" w:cs="Arial"/>
          <w:iCs/>
        </w:rPr>
        <w:t xml:space="preserve"> in express terms</w:t>
      </w:r>
      <w:r w:rsidR="00592A59">
        <w:rPr>
          <w:rFonts w:ascii="Arial" w:hAnsi="Arial" w:cs="Arial"/>
          <w:iCs/>
        </w:rPr>
        <w:t>,</w:t>
      </w:r>
      <w:r w:rsidR="009F31AD">
        <w:rPr>
          <w:rFonts w:ascii="Arial" w:hAnsi="Arial" w:cs="Arial"/>
          <w:iCs/>
        </w:rPr>
        <w:t xml:space="preserve"> the position which the comment requests be reflected in the generic letter.  </w:t>
      </w:r>
      <w:r w:rsidR="00937CB8">
        <w:rPr>
          <w:rFonts w:ascii="Arial" w:hAnsi="Arial" w:cs="Arial"/>
          <w:iCs/>
        </w:rPr>
        <w:t xml:space="preserve">No change was made to the generic letter and Appendix </w:t>
      </w:r>
      <w:r w:rsidR="007A18E8">
        <w:rPr>
          <w:rFonts w:ascii="Arial" w:hAnsi="Arial" w:cs="Arial"/>
          <w:iCs/>
        </w:rPr>
        <w:t xml:space="preserve">A to the generic letter </w:t>
      </w:r>
      <w:r w:rsidR="00937CB8">
        <w:rPr>
          <w:rFonts w:ascii="Arial" w:hAnsi="Arial" w:cs="Arial"/>
          <w:iCs/>
        </w:rPr>
        <w:t>as a result of this comment</w:t>
      </w:r>
      <w:r w:rsidR="007A18E8">
        <w:rPr>
          <w:rFonts w:ascii="Arial" w:hAnsi="Arial" w:cs="Arial"/>
          <w:iCs/>
        </w:rPr>
        <w:t>.</w:t>
      </w:r>
    </w:p>
    <w:p w14:paraId="2568DA67" w14:textId="77777777" w:rsidR="00F140A9" w:rsidRDefault="00F140A9">
      <w:pPr>
        <w:rPr>
          <w:rFonts w:ascii="Arial" w:hAnsi="Arial" w:cs="Arial"/>
          <w:iCs/>
        </w:rPr>
      </w:pPr>
    </w:p>
    <w:p w14:paraId="4FDE290A" w14:textId="77777777" w:rsidR="00CF3020" w:rsidRDefault="00CF3020">
      <w:pPr>
        <w:rPr>
          <w:rFonts w:ascii="Arial" w:hAnsi="Arial" w:cs="Arial"/>
          <w:iCs/>
        </w:rPr>
      </w:pPr>
    </w:p>
    <w:p w14:paraId="3D379960" w14:textId="77777777" w:rsidR="00F140A9" w:rsidRDefault="00F140A9" w:rsidP="00F140A9">
      <w:pPr>
        <w:rPr>
          <w:rFonts w:ascii="Arial" w:hAnsi="Arial" w:cs="Arial"/>
          <w:i/>
          <w:iCs/>
        </w:rPr>
      </w:pPr>
    </w:p>
    <w:p w14:paraId="56AE95E3" w14:textId="77777777" w:rsidR="00F140A9" w:rsidRDefault="00F140A9" w:rsidP="00F140A9">
      <w:pPr>
        <w:rPr>
          <w:rFonts w:ascii="Arial" w:hAnsi="Arial" w:cs="Arial"/>
          <w:i/>
          <w:iCs/>
        </w:rPr>
      </w:pPr>
    </w:p>
    <w:p w14:paraId="428F6DC5" w14:textId="5C28EC8C" w:rsidR="00F140A9" w:rsidRPr="00592A59" w:rsidRDefault="00F140A9" w:rsidP="00592A59">
      <w:pPr>
        <w:spacing w:line="276" w:lineRule="auto"/>
        <w:rPr>
          <w:rFonts w:ascii="Arial" w:hAnsi="Arial" w:cs="Arial"/>
          <w:i/>
          <w:iCs/>
        </w:rPr>
      </w:pPr>
    </w:p>
    <w:sectPr w:rsidR="00F140A9" w:rsidRPr="00592A59" w:rsidSect="00EE2AB9">
      <w:headerReference w:type="default" r:id="rId9"/>
      <w:footerReference w:type="default" r:id="rId1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BCA0B" w14:textId="77777777" w:rsidR="00EE294B" w:rsidRDefault="00EE294B">
      <w:r>
        <w:separator/>
      </w:r>
    </w:p>
  </w:endnote>
  <w:endnote w:type="continuationSeparator" w:id="0">
    <w:p w14:paraId="170F1265" w14:textId="77777777" w:rsidR="00EE294B" w:rsidRDefault="00EE294B">
      <w:r>
        <w:continuationSeparator/>
      </w:r>
    </w:p>
  </w:endnote>
  <w:endnote w:type="continuationNotice" w:id="1">
    <w:p w14:paraId="3E9D4899" w14:textId="77777777" w:rsidR="00EE294B" w:rsidRDefault="00EE2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7386" w14:textId="77777777" w:rsidR="00A27D6B" w:rsidRPr="00D16464" w:rsidRDefault="00A27D6B" w:rsidP="00D16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855A7" w14:textId="77777777" w:rsidR="00EE294B" w:rsidRDefault="00EE294B">
      <w:r>
        <w:separator/>
      </w:r>
    </w:p>
  </w:footnote>
  <w:footnote w:type="continuationSeparator" w:id="0">
    <w:p w14:paraId="4DB4C023" w14:textId="77777777" w:rsidR="00EE294B" w:rsidRDefault="00EE294B">
      <w:r>
        <w:continuationSeparator/>
      </w:r>
    </w:p>
  </w:footnote>
  <w:footnote w:type="continuationNotice" w:id="1">
    <w:p w14:paraId="560664B6" w14:textId="77777777" w:rsidR="00EE294B" w:rsidRDefault="00EE29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408674"/>
      <w:docPartObj>
        <w:docPartGallery w:val="Page Numbers (Top of Page)"/>
        <w:docPartUnique/>
      </w:docPartObj>
    </w:sdtPr>
    <w:sdtEndPr>
      <w:rPr>
        <w:rFonts w:ascii="Arial" w:hAnsi="Arial" w:cs="Arial"/>
        <w:noProof/>
      </w:rPr>
    </w:sdtEndPr>
    <w:sdtContent>
      <w:p w14:paraId="24D4583D" w14:textId="192FBB90" w:rsidR="00A27D6B" w:rsidRPr="00C6365A" w:rsidRDefault="00A27D6B" w:rsidP="00D16464">
        <w:pPr>
          <w:pStyle w:val="Header"/>
          <w:jc w:val="right"/>
          <w:rPr>
            <w:rFonts w:ascii="Arial" w:hAnsi="Arial" w:cs="Arial"/>
          </w:rPr>
        </w:pPr>
        <w:r>
          <w:rPr>
            <w:rFonts w:ascii="Arial" w:hAnsi="Arial" w:cs="Arial"/>
          </w:rPr>
          <w:t xml:space="preserve">Page </w:t>
        </w:r>
        <w:r w:rsidRPr="00EE2AB9">
          <w:rPr>
            <w:rFonts w:ascii="Arial" w:hAnsi="Arial" w:cs="Arial"/>
          </w:rPr>
          <w:fldChar w:fldCharType="begin"/>
        </w:r>
        <w:r w:rsidRPr="00EE2AB9">
          <w:rPr>
            <w:rFonts w:ascii="Arial" w:hAnsi="Arial" w:cs="Arial"/>
          </w:rPr>
          <w:instrText xml:space="preserve"> PAGE   \* MERGEFORMAT </w:instrText>
        </w:r>
        <w:r w:rsidRPr="00EE2AB9">
          <w:rPr>
            <w:rFonts w:ascii="Arial" w:hAnsi="Arial" w:cs="Arial"/>
          </w:rPr>
          <w:fldChar w:fldCharType="separate"/>
        </w:r>
        <w:r w:rsidR="007F56E8">
          <w:rPr>
            <w:rFonts w:ascii="Arial" w:hAnsi="Arial" w:cs="Arial"/>
            <w:noProof/>
          </w:rPr>
          <w:t>2</w:t>
        </w:r>
        <w:r w:rsidRPr="00EE2AB9">
          <w:rPr>
            <w:rFonts w:ascii="Arial" w:hAnsi="Arial" w:cs="Arial"/>
            <w:noProof/>
          </w:rPr>
          <w:fldChar w:fldCharType="end"/>
        </w:r>
        <w:r>
          <w:rPr>
            <w:rFonts w:ascii="Arial" w:hAnsi="Arial" w:cs="Arial"/>
            <w:noProof/>
          </w:rPr>
          <w:t xml:space="preserve"> of 4</w:t>
        </w:r>
      </w:p>
      <w:p w14:paraId="08D4A4B3" w14:textId="4CBB041C" w:rsidR="00A27D6B" w:rsidRPr="00D16464" w:rsidRDefault="00A27D6B" w:rsidP="00EE2AB9">
        <w:pPr>
          <w:pStyle w:val="Header"/>
          <w:jc w:val="center"/>
          <w:rPr>
            <w:rFonts w:ascii="Arial" w:hAnsi="Arial" w:cs="Arial"/>
          </w:rPr>
        </w:pPr>
        <w:r w:rsidRPr="00C6365A">
          <w:rPr>
            <w:rFonts w:ascii="Arial" w:hAnsi="Arial" w:cs="Arial"/>
          </w:rPr>
          <w:t>NRC Response to Public Comments on Generic Letter 201</w:t>
        </w:r>
        <w:r w:rsidR="00311B8F">
          <w:rPr>
            <w:rFonts w:ascii="Arial" w:hAnsi="Arial" w:cs="Arial"/>
          </w:rPr>
          <w:t>6</w:t>
        </w:r>
        <w:r w:rsidRPr="00C6365A">
          <w:rPr>
            <w:rFonts w:ascii="Arial" w:hAnsi="Arial" w:cs="Arial"/>
          </w:rPr>
          <w:t>-</w:t>
        </w:r>
        <w:r>
          <w:rPr>
            <w:rFonts w:ascii="Arial" w:hAnsi="Arial" w:cs="Arial"/>
          </w:rPr>
          <w:t>xx</w:t>
        </w:r>
      </w:p>
    </w:sdtContent>
  </w:sdt>
  <w:p w14:paraId="60BF1BB4" w14:textId="77777777" w:rsidR="00A27D6B" w:rsidRDefault="00A27D6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13324"/>
    <w:multiLevelType w:val="hybridMultilevel"/>
    <w:tmpl w:val="5E2E6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12C90"/>
    <w:multiLevelType w:val="hybridMultilevel"/>
    <w:tmpl w:val="A0824A5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539C5ACB"/>
    <w:multiLevelType w:val="hybridMultilevel"/>
    <w:tmpl w:val="7B0618E2"/>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7054668"/>
    <w:multiLevelType w:val="hybridMultilevel"/>
    <w:tmpl w:val="368C0666"/>
    <w:lvl w:ilvl="0" w:tplc="536A5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9D"/>
    <w:rsid w:val="00015855"/>
    <w:rsid w:val="00023275"/>
    <w:rsid w:val="000351D0"/>
    <w:rsid w:val="000504A9"/>
    <w:rsid w:val="00085F8A"/>
    <w:rsid w:val="000948AA"/>
    <w:rsid w:val="000A211F"/>
    <w:rsid w:val="000A4F25"/>
    <w:rsid w:val="000C21E8"/>
    <w:rsid w:val="000D2025"/>
    <w:rsid w:val="000F391A"/>
    <w:rsid w:val="000F4844"/>
    <w:rsid w:val="00106ACF"/>
    <w:rsid w:val="00122E6F"/>
    <w:rsid w:val="001C5D10"/>
    <w:rsid w:val="001E7383"/>
    <w:rsid w:val="001F5952"/>
    <w:rsid w:val="00233191"/>
    <w:rsid w:val="00242DC2"/>
    <w:rsid w:val="002438DE"/>
    <w:rsid w:val="0025141A"/>
    <w:rsid w:val="002531EA"/>
    <w:rsid w:val="002A051F"/>
    <w:rsid w:val="002A33BB"/>
    <w:rsid w:val="002A3BAC"/>
    <w:rsid w:val="002A622C"/>
    <w:rsid w:val="002B1209"/>
    <w:rsid w:val="002B1353"/>
    <w:rsid w:val="002B70CD"/>
    <w:rsid w:val="002E09B4"/>
    <w:rsid w:val="002E4024"/>
    <w:rsid w:val="0030700A"/>
    <w:rsid w:val="00311B8F"/>
    <w:rsid w:val="00327E98"/>
    <w:rsid w:val="0033019A"/>
    <w:rsid w:val="0035274E"/>
    <w:rsid w:val="00357212"/>
    <w:rsid w:val="00370752"/>
    <w:rsid w:val="003725A2"/>
    <w:rsid w:val="00377889"/>
    <w:rsid w:val="00383805"/>
    <w:rsid w:val="003A1B7D"/>
    <w:rsid w:val="003C03C2"/>
    <w:rsid w:val="003D7AF0"/>
    <w:rsid w:val="0042424A"/>
    <w:rsid w:val="00453C57"/>
    <w:rsid w:val="0045445E"/>
    <w:rsid w:val="0045791B"/>
    <w:rsid w:val="004A0B4D"/>
    <w:rsid w:val="004A6303"/>
    <w:rsid w:val="004B5296"/>
    <w:rsid w:val="004C7869"/>
    <w:rsid w:val="004D74EB"/>
    <w:rsid w:val="004E5063"/>
    <w:rsid w:val="00522510"/>
    <w:rsid w:val="00524D9D"/>
    <w:rsid w:val="00535DE3"/>
    <w:rsid w:val="00560B30"/>
    <w:rsid w:val="005777CF"/>
    <w:rsid w:val="00592A59"/>
    <w:rsid w:val="005C1308"/>
    <w:rsid w:val="005F6E17"/>
    <w:rsid w:val="00624C0D"/>
    <w:rsid w:val="00663434"/>
    <w:rsid w:val="00670795"/>
    <w:rsid w:val="006C4A43"/>
    <w:rsid w:val="006D7CDC"/>
    <w:rsid w:val="006F4FDE"/>
    <w:rsid w:val="00722025"/>
    <w:rsid w:val="0072547D"/>
    <w:rsid w:val="007257B1"/>
    <w:rsid w:val="00731107"/>
    <w:rsid w:val="00737797"/>
    <w:rsid w:val="0077169E"/>
    <w:rsid w:val="00773123"/>
    <w:rsid w:val="00790DFA"/>
    <w:rsid w:val="007A1755"/>
    <w:rsid w:val="007A18E8"/>
    <w:rsid w:val="007D227F"/>
    <w:rsid w:val="007E1FD8"/>
    <w:rsid w:val="007F56E8"/>
    <w:rsid w:val="007F5D80"/>
    <w:rsid w:val="00832F50"/>
    <w:rsid w:val="008373A0"/>
    <w:rsid w:val="008548A0"/>
    <w:rsid w:val="00862C4B"/>
    <w:rsid w:val="0086492F"/>
    <w:rsid w:val="008B7DA9"/>
    <w:rsid w:val="008C2405"/>
    <w:rsid w:val="00921E0B"/>
    <w:rsid w:val="009267C5"/>
    <w:rsid w:val="00937CB8"/>
    <w:rsid w:val="00940EB2"/>
    <w:rsid w:val="00955D66"/>
    <w:rsid w:val="0096053D"/>
    <w:rsid w:val="00973EB8"/>
    <w:rsid w:val="009A3B3F"/>
    <w:rsid w:val="009B1529"/>
    <w:rsid w:val="009C354C"/>
    <w:rsid w:val="009D6D67"/>
    <w:rsid w:val="009F31AD"/>
    <w:rsid w:val="009F66CD"/>
    <w:rsid w:val="00A02DDF"/>
    <w:rsid w:val="00A17B2B"/>
    <w:rsid w:val="00A27D6B"/>
    <w:rsid w:val="00A44B86"/>
    <w:rsid w:val="00A720B4"/>
    <w:rsid w:val="00A82D8C"/>
    <w:rsid w:val="00A90BDA"/>
    <w:rsid w:val="00A918E2"/>
    <w:rsid w:val="00AC05CB"/>
    <w:rsid w:val="00B050E2"/>
    <w:rsid w:val="00B125CF"/>
    <w:rsid w:val="00B13240"/>
    <w:rsid w:val="00B232C8"/>
    <w:rsid w:val="00B275E8"/>
    <w:rsid w:val="00B45BC7"/>
    <w:rsid w:val="00B67119"/>
    <w:rsid w:val="00B71663"/>
    <w:rsid w:val="00B8476C"/>
    <w:rsid w:val="00BB4A68"/>
    <w:rsid w:val="00BD69EC"/>
    <w:rsid w:val="00BE0218"/>
    <w:rsid w:val="00C14B1A"/>
    <w:rsid w:val="00C16202"/>
    <w:rsid w:val="00C20572"/>
    <w:rsid w:val="00C453DC"/>
    <w:rsid w:val="00C6365A"/>
    <w:rsid w:val="00C64C1C"/>
    <w:rsid w:val="00CA2E73"/>
    <w:rsid w:val="00CA472F"/>
    <w:rsid w:val="00CD0809"/>
    <w:rsid w:val="00CD1688"/>
    <w:rsid w:val="00CE53A8"/>
    <w:rsid w:val="00CE5B73"/>
    <w:rsid w:val="00CF156C"/>
    <w:rsid w:val="00CF3020"/>
    <w:rsid w:val="00D139EA"/>
    <w:rsid w:val="00D16464"/>
    <w:rsid w:val="00D43A9E"/>
    <w:rsid w:val="00D87435"/>
    <w:rsid w:val="00DA44E2"/>
    <w:rsid w:val="00DA72E3"/>
    <w:rsid w:val="00DD461C"/>
    <w:rsid w:val="00DD5ECF"/>
    <w:rsid w:val="00DE3FB6"/>
    <w:rsid w:val="00E03C18"/>
    <w:rsid w:val="00E1750D"/>
    <w:rsid w:val="00E17EBA"/>
    <w:rsid w:val="00E31A5E"/>
    <w:rsid w:val="00E64961"/>
    <w:rsid w:val="00E72C74"/>
    <w:rsid w:val="00E74DB5"/>
    <w:rsid w:val="00E82E8C"/>
    <w:rsid w:val="00E92617"/>
    <w:rsid w:val="00E959B5"/>
    <w:rsid w:val="00EA3F01"/>
    <w:rsid w:val="00EC13FC"/>
    <w:rsid w:val="00EE294B"/>
    <w:rsid w:val="00EE2AB9"/>
    <w:rsid w:val="00EF1186"/>
    <w:rsid w:val="00EF619D"/>
    <w:rsid w:val="00F035A7"/>
    <w:rsid w:val="00F140A9"/>
    <w:rsid w:val="00F1433D"/>
    <w:rsid w:val="00F20589"/>
    <w:rsid w:val="00F45F94"/>
    <w:rsid w:val="00F5545A"/>
    <w:rsid w:val="00F623A3"/>
    <w:rsid w:val="00F6374A"/>
    <w:rsid w:val="00F840F8"/>
    <w:rsid w:val="00F87637"/>
    <w:rsid w:val="00F9381F"/>
    <w:rsid w:val="00FB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4748D"/>
  <w15:docId w15:val="{B00398F9-1478-419F-9B06-88CEE2E8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Times New Roman"/>
    </w:rPr>
  </w:style>
  <w:style w:type="character" w:styleId="CommentReference">
    <w:name w:val="annotation reference"/>
    <w:basedOn w:val="DefaultParagraphFont"/>
    <w:uiPriority w:val="99"/>
    <w:semiHidden/>
    <w:unhideWhenUsed/>
    <w:rsid w:val="00085F8A"/>
    <w:rPr>
      <w:sz w:val="16"/>
      <w:szCs w:val="16"/>
    </w:rPr>
  </w:style>
  <w:style w:type="paragraph" w:styleId="CommentText">
    <w:name w:val="annotation text"/>
    <w:basedOn w:val="Normal"/>
    <w:link w:val="CommentTextChar"/>
    <w:uiPriority w:val="99"/>
    <w:semiHidden/>
    <w:unhideWhenUsed/>
    <w:rsid w:val="00085F8A"/>
    <w:rPr>
      <w:sz w:val="20"/>
      <w:szCs w:val="20"/>
    </w:rPr>
  </w:style>
  <w:style w:type="character" w:customStyle="1" w:styleId="CommentTextChar">
    <w:name w:val="Comment Text Char"/>
    <w:basedOn w:val="DefaultParagraphFont"/>
    <w:link w:val="CommentText"/>
    <w:uiPriority w:val="99"/>
    <w:semiHidden/>
    <w:rsid w:val="00085F8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5F8A"/>
    <w:rPr>
      <w:b/>
      <w:bCs/>
    </w:rPr>
  </w:style>
  <w:style w:type="character" w:customStyle="1" w:styleId="CommentSubjectChar">
    <w:name w:val="Comment Subject Char"/>
    <w:basedOn w:val="CommentTextChar"/>
    <w:link w:val="CommentSubject"/>
    <w:uiPriority w:val="99"/>
    <w:semiHidden/>
    <w:rsid w:val="00085F8A"/>
    <w:rPr>
      <w:rFonts w:ascii="Calibri" w:hAnsi="Calibri" w:cs="Times New Roman"/>
      <w:b/>
      <w:bCs/>
      <w:sz w:val="20"/>
      <w:szCs w:val="20"/>
    </w:rPr>
  </w:style>
  <w:style w:type="paragraph" w:styleId="ListParagraph">
    <w:name w:val="List Paragraph"/>
    <w:basedOn w:val="Normal"/>
    <w:uiPriority w:val="34"/>
    <w:qFormat/>
    <w:rsid w:val="002B7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27747">
      <w:bodyDiv w:val="1"/>
      <w:marLeft w:val="0"/>
      <w:marRight w:val="0"/>
      <w:marTop w:val="0"/>
      <w:marBottom w:val="0"/>
      <w:divBdr>
        <w:top w:val="none" w:sz="0" w:space="0" w:color="auto"/>
        <w:left w:val="none" w:sz="0" w:space="0" w:color="auto"/>
        <w:bottom w:val="none" w:sz="0" w:space="0" w:color="auto"/>
        <w:right w:val="none" w:sz="0" w:space="0" w:color="auto"/>
      </w:divBdr>
    </w:div>
    <w:div w:id="178816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reading-rm/ada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6023D-A157-4693-A8AD-28FA795E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2055</Words>
  <Characters>11719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STK1</dc:creator>
  <cp:lastModifiedBy>Donnell, Tremaine</cp:lastModifiedBy>
  <cp:revision>2</cp:revision>
  <cp:lastPrinted>2015-10-19T15:31:00Z</cp:lastPrinted>
  <dcterms:created xsi:type="dcterms:W3CDTF">2015-12-29T13:17:00Z</dcterms:created>
  <dcterms:modified xsi:type="dcterms:W3CDTF">2015-12-29T13:17:00Z</dcterms:modified>
</cp:coreProperties>
</file>