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21B" w:rsidRDefault="004F3B27">
      <w:pPr>
        <w:ind w:left="6390"/>
      </w:pPr>
      <w:r w:rsidRPr="004171E8">
        <w:t xml:space="preserve">OMB Control No.: </w:t>
      </w:r>
      <w:r w:rsidR="00363767">
        <w:t xml:space="preserve"> </w:t>
      </w:r>
      <w:r>
        <w:t>3150</w:t>
      </w:r>
      <w:r w:rsidR="0070259F">
        <w:noBreakHyphen/>
      </w:r>
      <w:r w:rsidR="00EF0ACC" w:rsidRPr="00F37BEA">
        <w:t>xxxx</w:t>
      </w:r>
    </w:p>
    <w:p w:rsidR="004F3B27" w:rsidRDefault="004F3B27" w:rsidP="004F3B27"/>
    <w:p w:rsidR="004F3B27" w:rsidRDefault="004F3B27" w:rsidP="004F3B27">
      <w:pPr>
        <w:jc w:val="center"/>
      </w:pPr>
      <w:r w:rsidRPr="004C2648">
        <w:t>UNITED STATES</w:t>
      </w:r>
    </w:p>
    <w:p w:rsidR="004F3B27" w:rsidRDefault="004F3B27" w:rsidP="004F3B27">
      <w:pPr>
        <w:jc w:val="center"/>
      </w:pPr>
      <w:r w:rsidRPr="004C2648">
        <w:t>NUCLEAR REGULATORY COMMISSION</w:t>
      </w:r>
    </w:p>
    <w:p w:rsidR="004F3B27" w:rsidRDefault="004F3B27" w:rsidP="004F3B27">
      <w:pPr>
        <w:jc w:val="center"/>
        <w:outlineLvl w:val="0"/>
      </w:pPr>
      <w:r w:rsidRPr="004C2648">
        <w:t>OFFICE OF NUCLEAR REACTOR REGULATION</w:t>
      </w:r>
    </w:p>
    <w:p w:rsidR="00535AE8" w:rsidRDefault="00EB08D2">
      <w:pPr>
        <w:pStyle w:val="Default"/>
        <w:jc w:val="center"/>
      </w:pPr>
      <w:r>
        <w:rPr>
          <w:sz w:val="22"/>
          <w:szCs w:val="22"/>
        </w:rPr>
        <w:t xml:space="preserve">OFFICE OF </w:t>
      </w:r>
      <w:r w:rsidR="00CC3C7C">
        <w:rPr>
          <w:sz w:val="22"/>
          <w:szCs w:val="22"/>
        </w:rPr>
        <w:t>NUCLEAR MATERIAL SAFETY AND SAFEGUARDS</w:t>
      </w:r>
    </w:p>
    <w:p w:rsidR="004F3B27" w:rsidRDefault="004F3B27" w:rsidP="004F3B27">
      <w:pPr>
        <w:jc w:val="center"/>
      </w:pPr>
      <w:r w:rsidRPr="004C2648">
        <w:t>WASHINGTON, DC  20555-0001</w:t>
      </w:r>
    </w:p>
    <w:p w:rsidR="004F3B27" w:rsidRDefault="004F3B27" w:rsidP="004F3B27">
      <w:pPr>
        <w:jc w:val="center"/>
      </w:pPr>
    </w:p>
    <w:p w:rsidR="004F3B27" w:rsidRDefault="004F3B27" w:rsidP="004F3B27">
      <w:pPr>
        <w:jc w:val="center"/>
        <w:outlineLvl w:val="0"/>
      </w:pPr>
      <w:r>
        <w:t xml:space="preserve">Month </w:t>
      </w:r>
      <w:r w:rsidRPr="00F37BEA">
        <w:t>XX</w:t>
      </w:r>
      <w:r>
        <w:t>, 20</w:t>
      </w:r>
      <w:r w:rsidRPr="00F37BEA">
        <w:t>XX</w:t>
      </w:r>
    </w:p>
    <w:p w:rsidR="004F3B27" w:rsidRPr="004C2648" w:rsidRDefault="004F3B27" w:rsidP="004F3B27"/>
    <w:p w:rsidR="004F3B27" w:rsidRDefault="004F3B27" w:rsidP="004F3B27">
      <w:pPr>
        <w:ind w:left="3600" w:hanging="3600"/>
      </w:pPr>
      <w:r w:rsidRPr="004C2648">
        <w:t xml:space="preserve">NRC </w:t>
      </w:r>
      <w:r>
        <w:t>GENERIC LETTER 20</w:t>
      </w:r>
      <w:r w:rsidR="00024735">
        <w:t>1</w:t>
      </w:r>
      <w:r w:rsidR="00B77CF5">
        <w:t>6</w:t>
      </w:r>
      <w:r>
        <w:t>-</w:t>
      </w:r>
      <w:r w:rsidRPr="00F37BEA">
        <w:t>XX</w:t>
      </w:r>
      <w:r>
        <w:t>:</w:t>
      </w:r>
      <w:r>
        <w:tab/>
        <w:t>MONITORING OF NEUTRON-ABSORBING MATERIALS IN SPENT FUEL POOL</w:t>
      </w:r>
      <w:r w:rsidR="00CD04C3">
        <w:t>S</w:t>
      </w:r>
    </w:p>
    <w:p w:rsidR="004F3B27" w:rsidRPr="004C2648" w:rsidRDefault="004F3B27" w:rsidP="004F3B27"/>
    <w:p w:rsidR="004F3B27" w:rsidRPr="00A0109A" w:rsidRDefault="004F3B27" w:rsidP="001E6BED">
      <w:pPr>
        <w:tabs>
          <w:tab w:val="left" w:pos="5625"/>
        </w:tabs>
        <w:outlineLvl w:val="0"/>
        <w:rPr>
          <w:b/>
        </w:rPr>
      </w:pPr>
      <w:r w:rsidRPr="00D02F40">
        <w:rPr>
          <w:b/>
        </w:rPr>
        <w:t>ADDRESSEES</w:t>
      </w:r>
      <w:r w:rsidR="001E6BED">
        <w:rPr>
          <w:b/>
        </w:rPr>
        <w:tab/>
      </w:r>
    </w:p>
    <w:p w:rsidR="004F3B27" w:rsidRPr="004C2648" w:rsidRDefault="004F3B27" w:rsidP="004F3B27"/>
    <w:p w:rsidR="004F3B27" w:rsidRDefault="004F3B27" w:rsidP="004F3B27">
      <w:r w:rsidRPr="004C2648">
        <w:t xml:space="preserve">All </w:t>
      </w:r>
      <w:r w:rsidRPr="003756BA">
        <w:rPr>
          <w:rFonts w:cs="Arial"/>
        </w:rPr>
        <w:t xml:space="preserve">nuclear power reactors </w:t>
      </w:r>
      <w:r w:rsidR="00037A3A">
        <w:rPr>
          <w:rFonts w:cs="Arial"/>
        </w:rPr>
        <w:t>with a license</w:t>
      </w:r>
      <w:r>
        <w:t xml:space="preserve"> </w:t>
      </w:r>
      <w:r w:rsidRPr="004C2648">
        <w:t>issued under Title</w:t>
      </w:r>
      <w:r>
        <w:t> </w:t>
      </w:r>
      <w:r w:rsidRPr="004C2648">
        <w:t xml:space="preserve">10 of the </w:t>
      </w:r>
      <w:r w:rsidRPr="004C2648">
        <w:rPr>
          <w:i/>
        </w:rPr>
        <w:t>Code of Federal Regulations</w:t>
      </w:r>
      <w:r w:rsidRPr="004C2648">
        <w:t xml:space="preserve"> (10</w:t>
      </w:r>
      <w:r>
        <w:t> </w:t>
      </w:r>
      <w:r w:rsidRPr="004C2648">
        <w:t>CFR)</w:t>
      </w:r>
      <w:r w:rsidR="00EF218E">
        <w:t> </w:t>
      </w:r>
      <w:r w:rsidRPr="004C2648">
        <w:t>Part</w:t>
      </w:r>
      <w:r>
        <w:t> </w:t>
      </w:r>
      <w:r w:rsidRPr="004C2648">
        <w:t xml:space="preserve">50, </w:t>
      </w:r>
      <w:r>
        <w:t>“</w:t>
      </w:r>
      <w:r w:rsidRPr="004C2648">
        <w:t>Domestic Licensing of Production and Utilization Facilities</w:t>
      </w:r>
      <w:r w:rsidR="00CB7846">
        <w:t>,</w:t>
      </w:r>
      <w:r>
        <w:t>”</w:t>
      </w:r>
      <w:r w:rsidR="00CB7846" w:rsidRPr="00CB7846">
        <w:t xml:space="preserve"> </w:t>
      </w:r>
      <w:r w:rsidR="00CB7846">
        <w:t xml:space="preserve">except those </w:t>
      </w:r>
      <w:r w:rsidR="0090268F">
        <w:t>that</w:t>
      </w:r>
      <w:r w:rsidR="00CB7846">
        <w:t xml:space="preserve"> have permanently ceased operations with all reactor fuel removed from </w:t>
      </w:r>
      <w:r w:rsidR="00870585">
        <w:t>onsite</w:t>
      </w:r>
      <w:r w:rsidR="00CB7846">
        <w:t xml:space="preserve"> </w:t>
      </w:r>
      <w:r w:rsidR="00466915">
        <w:t xml:space="preserve">spent fuel pool </w:t>
      </w:r>
      <w:r w:rsidR="00CB7846">
        <w:t>storage.</w:t>
      </w:r>
    </w:p>
    <w:p w:rsidR="001B6FE6" w:rsidRDefault="001B6FE6" w:rsidP="004F3B27"/>
    <w:p w:rsidR="00A978B4" w:rsidRDefault="00A978B4" w:rsidP="004F3B27">
      <w:r>
        <w:t>AND</w:t>
      </w:r>
    </w:p>
    <w:p w:rsidR="00A978B4" w:rsidRDefault="00A978B4" w:rsidP="004F3B27"/>
    <w:p w:rsidR="001B6FE6" w:rsidRDefault="001B6FE6" w:rsidP="004F3B27">
      <w:r>
        <w:t xml:space="preserve">All holders of an operating license for a </w:t>
      </w:r>
      <w:r w:rsidR="003603A5">
        <w:t>non-power</w:t>
      </w:r>
      <w:r>
        <w:t xml:space="preserve"> reactor (research reactor, test reactor, or critical assembly) under 10</w:t>
      </w:r>
      <w:r w:rsidR="0090268F">
        <w:t> </w:t>
      </w:r>
      <w:r>
        <w:t>CFR</w:t>
      </w:r>
      <w:r w:rsidR="0090268F">
        <w:t> </w:t>
      </w:r>
      <w:r>
        <w:t>Part</w:t>
      </w:r>
      <w:r w:rsidR="0090268F">
        <w:t> </w:t>
      </w:r>
      <w:r>
        <w:t>50</w:t>
      </w:r>
      <w:r w:rsidR="00D621F5">
        <w:t xml:space="preserve"> who ha</w:t>
      </w:r>
      <w:r w:rsidR="00A913DC">
        <w:t>ve</w:t>
      </w:r>
      <w:r w:rsidR="00D759AA">
        <w:t xml:space="preserve"> a reactor pool, fuel storage pool, or other </w:t>
      </w:r>
      <w:r w:rsidR="00A913DC">
        <w:t xml:space="preserve">wet </w:t>
      </w:r>
      <w:r w:rsidR="00D759AA">
        <w:t xml:space="preserve">locations designed for the purpose </w:t>
      </w:r>
      <w:r w:rsidR="00C2183A">
        <w:t>of fuel storage</w:t>
      </w:r>
      <w:r>
        <w:t>, except those who have permanently ceased operations</w:t>
      </w:r>
      <w:r w:rsidR="00C07742">
        <w:t xml:space="preserve"> with all reactor fuel removed from </w:t>
      </w:r>
      <w:r w:rsidR="00870585">
        <w:t>onsite</w:t>
      </w:r>
      <w:r w:rsidR="00C07742">
        <w:t xml:space="preserve"> wet storage</w:t>
      </w:r>
      <w:r>
        <w:t>.</w:t>
      </w:r>
    </w:p>
    <w:p w:rsidR="002A6880" w:rsidRDefault="002A6880" w:rsidP="004F3B27">
      <w:pPr>
        <w:outlineLvl w:val="0"/>
        <w:rPr>
          <w:b/>
        </w:rPr>
      </w:pPr>
    </w:p>
    <w:p w:rsidR="004F3B27" w:rsidRPr="00AE5997" w:rsidRDefault="004F3B27" w:rsidP="004F3B27">
      <w:pPr>
        <w:outlineLvl w:val="0"/>
        <w:rPr>
          <w:b/>
        </w:rPr>
      </w:pPr>
      <w:r w:rsidRPr="00D02F40">
        <w:rPr>
          <w:b/>
        </w:rPr>
        <w:t>PURPOSE</w:t>
      </w:r>
    </w:p>
    <w:p w:rsidR="004F3B27" w:rsidRPr="004C2648" w:rsidRDefault="004F3B27" w:rsidP="004F3B27"/>
    <w:p w:rsidR="004F3B27" w:rsidRDefault="004F3B27" w:rsidP="004F3B27">
      <w:r w:rsidRPr="004C2648">
        <w:t>The U.S.</w:t>
      </w:r>
      <w:r>
        <w:t> </w:t>
      </w:r>
      <w:r w:rsidRPr="004C2648">
        <w:t xml:space="preserve">Nuclear Regulatory Commission (NRC) is issuing this </w:t>
      </w:r>
      <w:r>
        <w:t xml:space="preserve">generic letter </w:t>
      </w:r>
      <w:r w:rsidRPr="004C2648">
        <w:t>(</w:t>
      </w:r>
      <w:r>
        <w:t>GL</w:t>
      </w:r>
      <w:r w:rsidRPr="004C2648">
        <w:t>)</w:t>
      </w:r>
      <w:r>
        <w:t xml:space="preserve"> to address degradation of neutron</w:t>
      </w:r>
      <w:r w:rsidR="005D6822">
        <w:noBreakHyphen/>
      </w:r>
      <w:r>
        <w:t xml:space="preserve">absorbing materials in </w:t>
      </w:r>
      <w:r w:rsidR="00A978B4">
        <w:t>wet storage systems for reactor fuel at power and non</w:t>
      </w:r>
      <w:r w:rsidR="00A978B4">
        <w:noBreakHyphen/>
        <w:t>power reactors.</w:t>
      </w:r>
      <w:r w:rsidR="00C07742">
        <w:t xml:space="preserve">  Th</w:t>
      </w:r>
      <w:r w:rsidR="00E02499">
        <w:t xml:space="preserve">e primary focus of this GL is on </w:t>
      </w:r>
      <w:r w:rsidR="00C07742">
        <w:t xml:space="preserve">the credited use of these materials at power reactors; however, the NRC staff is aware of the use of neutron-absorbing materials in similar applications at some </w:t>
      </w:r>
      <w:r w:rsidR="003603A5">
        <w:t>non-power</w:t>
      </w:r>
      <w:r w:rsidR="00615E27">
        <w:t xml:space="preserve"> reactors</w:t>
      </w:r>
      <w:r w:rsidR="00C07742">
        <w:t xml:space="preserve"> for which the staff needs additional information</w:t>
      </w:r>
      <w:r>
        <w:t xml:space="preserve">.  Specifically, the </w:t>
      </w:r>
      <w:r w:rsidRPr="00AA3E93">
        <w:t>NRC is issuing this GL for two purposes:</w:t>
      </w:r>
    </w:p>
    <w:p w:rsidR="004F3B27" w:rsidRDefault="004F3B27" w:rsidP="004F3B27">
      <w:pPr>
        <w:pStyle w:val="ListParagraph"/>
        <w:ind w:left="0"/>
      </w:pPr>
    </w:p>
    <w:p w:rsidR="004F3B27" w:rsidRPr="007E6AE5" w:rsidRDefault="00870585" w:rsidP="004F3B27">
      <w:pPr>
        <w:pStyle w:val="ListParagraph"/>
        <w:numPr>
          <w:ilvl w:val="0"/>
          <w:numId w:val="1"/>
        </w:numPr>
        <w:ind w:hanging="720"/>
      </w:pPr>
      <w:r>
        <w:t>T</w:t>
      </w:r>
      <w:r w:rsidR="004F3B27" w:rsidRPr="00D926AD">
        <w:t xml:space="preserve">o request </w:t>
      </w:r>
      <w:r w:rsidR="004F3B27">
        <w:t xml:space="preserve">that </w:t>
      </w:r>
      <w:r w:rsidR="004F3B27" w:rsidRPr="00D926AD">
        <w:t>addressees submit information</w:t>
      </w:r>
      <w:r w:rsidR="00773F32">
        <w:t>,</w:t>
      </w:r>
      <w:r w:rsidR="004F3B27" w:rsidRPr="00D926AD">
        <w:t xml:space="preserve"> </w:t>
      </w:r>
      <w:r w:rsidR="009E3651">
        <w:t>or provide references to previously docketed information</w:t>
      </w:r>
      <w:r w:rsidR="00773F32">
        <w:t>,</w:t>
      </w:r>
      <w:r w:rsidR="00D81A10">
        <w:t xml:space="preserve"> </w:t>
      </w:r>
      <w:r w:rsidR="00E02499">
        <w:t>which</w:t>
      </w:r>
      <w:r w:rsidR="009E3651">
        <w:t xml:space="preserve"> </w:t>
      </w:r>
      <w:r w:rsidR="004F3B27" w:rsidRPr="00D926AD">
        <w:t>demonstrat</w:t>
      </w:r>
      <w:r w:rsidR="00D81A10">
        <w:t>es</w:t>
      </w:r>
      <w:r w:rsidR="004F3B27" w:rsidRPr="00D926AD">
        <w:t xml:space="preserve"> that credited neutron</w:t>
      </w:r>
      <w:r w:rsidR="004F3B27">
        <w:noBreakHyphen/>
      </w:r>
      <w:r w:rsidR="004F3B27" w:rsidRPr="00D926AD">
        <w:t xml:space="preserve">absorbing materials in the </w:t>
      </w:r>
      <w:r w:rsidR="008222FB">
        <w:t>spent fuel pool (</w:t>
      </w:r>
      <w:r w:rsidR="004F3B27">
        <w:t>SFP</w:t>
      </w:r>
      <w:r w:rsidR="008222FB">
        <w:t>)</w:t>
      </w:r>
      <w:r w:rsidR="009D5C1B">
        <w:t xml:space="preserve"> of power reactors and the fuel storage pool, reactor pool, or </w:t>
      </w:r>
      <w:r w:rsidR="00820EFB">
        <w:t>other wet locations designed for the purpose of fuel storage</w:t>
      </w:r>
      <w:r w:rsidR="009D5C1B">
        <w:t>, as applicable</w:t>
      </w:r>
      <w:r w:rsidR="0090268F">
        <w:t>,</w:t>
      </w:r>
      <w:r w:rsidR="009D5C1B">
        <w:t xml:space="preserve"> for </w:t>
      </w:r>
      <w:r w:rsidR="003603A5">
        <w:t>non-power</w:t>
      </w:r>
      <w:r w:rsidR="00615E27">
        <w:t xml:space="preserve"> reactors</w:t>
      </w:r>
      <w:r w:rsidR="004F79E8">
        <w:t>,</w:t>
      </w:r>
      <w:r w:rsidR="004F3B27" w:rsidRPr="00D926AD">
        <w:t xml:space="preserve"> are in compliance with the licensing and design ba</w:t>
      </w:r>
      <w:r w:rsidR="004F3B27">
        <w:t xml:space="preserve">sis, </w:t>
      </w:r>
      <w:r w:rsidR="00D81A10">
        <w:t>and</w:t>
      </w:r>
      <w:r w:rsidR="004F3B27" w:rsidRPr="00D926AD">
        <w:t xml:space="preserve"> </w:t>
      </w:r>
      <w:r w:rsidR="00773F32">
        <w:t xml:space="preserve">with </w:t>
      </w:r>
      <w:r w:rsidR="004F3B27" w:rsidRPr="00D926AD">
        <w:t>applicable regulatory requirements</w:t>
      </w:r>
      <w:r w:rsidR="00D81A10">
        <w:t>;</w:t>
      </w:r>
      <w:r w:rsidR="004F3B27">
        <w:t xml:space="preserve"> </w:t>
      </w:r>
      <w:r w:rsidR="004F3B27" w:rsidRPr="00234566">
        <w:rPr>
          <w:rFonts w:eastAsia="Times New Roman"/>
          <w:szCs w:val="20"/>
        </w:rPr>
        <w:t>and</w:t>
      </w:r>
      <w:r w:rsidR="003615AD">
        <w:rPr>
          <w:rFonts w:eastAsia="Times New Roman"/>
          <w:szCs w:val="20"/>
        </w:rPr>
        <w:t xml:space="preserve"> </w:t>
      </w:r>
      <w:r w:rsidR="007871BE" w:rsidRPr="00170820">
        <w:rPr>
          <w:rFonts w:eastAsia="Times New Roman"/>
          <w:szCs w:val="20"/>
        </w:rPr>
        <w:t>that there are measures in place to maintain this compliance</w:t>
      </w:r>
      <w:r>
        <w:rPr>
          <w:rFonts w:eastAsia="Times New Roman"/>
          <w:szCs w:val="20"/>
        </w:rPr>
        <w:t>.</w:t>
      </w:r>
    </w:p>
    <w:p w:rsidR="004F3B27" w:rsidRDefault="004F3B27" w:rsidP="004F3B27">
      <w:pPr>
        <w:pStyle w:val="ListParagraph"/>
      </w:pPr>
    </w:p>
    <w:p w:rsidR="004F3B27" w:rsidRDefault="00870585" w:rsidP="004F3B27">
      <w:pPr>
        <w:pStyle w:val="ListParagraph"/>
        <w:numPr>
          <w:ilvl w:val="0"/>
          <w:numId w:val="1"/>
        </w:numPr>
        <w:ind w:hanging="720"/>
        <w:rPr>
          <w:rFonts w:eastAsia="Times New Roman"/>
          <w:szCs w:val="20"/>
        </w:rPr>
      </w:pPr>
      <w:r>
        <w:rPr>
          <w:rFonts w:eastAsia="Times New Roman"/>
          <w:szCs w:val="20"/>
        </w:rPr>
        <w:t>T</w:t>
      </w:r>
      <w:r w:rsidR="004F3B27" w:rsidRPr="00234566">
        <w:rPr>
          <w:rFonts w:eastAsia="Times New Roman"/>
          <w:szCs w:val="20"/>
        </w:rPr>
        <w:t>o collect the</w:t>
      </w:r>
      <w:r w:rsidR="004F3B27">
        <w:rPr>
          <w:rFonts w:eastAsia="Times New Roman"/>
          <w:szCs w:val="20"/>
        </w:rPr>
        <w:t xml:space="preserve"> </w:t>
      </w:r>
      <w:r w:rsidR="004F3B27" w:rsidRPr="00234566">
        <w:rPr>
          <w:rFonts w:eastAsia="Times New Roman"/>
          <w:szCs w:val="20"/>
        </w:rPr>
        <w:t xml:space="preserve">requested information </w:t>
      </w:r>
      <w:r w:rsidR="004F3B27">
        <w:rPr>
          <w:rFonts w:eastAsia="Times New Roman"/>
          <w:szCs w:val="20"/>
        </w:rPr>
        <w:t>and</w:t>
      </w:r>
      <w:r w:rsidR="004F3B27" w:rsidRPr="00234566">
        <w:rPr>
          <w:rFonts w:eastAsia="Times New Roman"/>
          <w:szCs w:val="20"/>
        </w:rPr>
        <w:t xml:space="preserve"> determine if additional regulatory action is</w:t>
      </w:r>
      <w:r w:rsidR="004F3B27">
        <w:rPr>
          <w:rFonts w:eastAsia="Times New Roman"/>
          <w:szCs w:val="20"/>
        </w:rPr>
        <w:t xml:space="preserve"> r</w:t>
      </w:r>
      <w:r w:rsidR="004F3B27" w:rsidRPr="00234566">
        <w:rPr>
          <w:rFonts w:eastAsia="Times New Roman"/>
          <w:szCs w:val="20"/>
        </w:rPr>
        <w:t>equired</w:t>
      </w:r>
      <w:r>
        <w:rPr>
          <w:rFonts w:eastAsia="Times New Roman"/>
          <w:szCs w:val="20"/>
        </w:rPr>
        <w:t>.</w:t>
      </w:r>
    </w:p>
    <w:p w:rsidR="004F3B27" w:rsidRDefault="004F3B27" w:rsidP="004F3B27">
      <w:pPr>
        <w:pStyle w:val="ListParagraph"/>
      </w:pPr>
    </w:p>
    <w:p w:rsidR="004F3B27" w:rsidRDefault="005D6822" w:rsidP="004F3B27">
      <w:pPr>
        <w:rPr>
          <w:b/>
        </w:rPr>
      </w:pPr>
      <w:r>
        <w:t>Under</w:t>
      </w:r>
      <w:r w:rsidR="004F3B27">
        <w:t xml:space="preserve"> </w:t>
      </w:r>
      <w:r w:rsidR="004F3B27" w:rsidRPr="00F62322">
        <w:t>10</w:t>
      </w:r>
      <w:r w:rsidR="003E5193">
        <w:t> </w:t>
      </w:r>
      <w:r w:rsidR="004F3B27">
        <w:t>CFR</w:t>
      </w:r>
      <w:r w:rsidR="003E5193">
        <w:t> </w:t>
      </w:r>
      <w:r w:rsidR="004F3B27">
        <w:t>50.54(f),</w:t>
      </w:r>
      <w:r w:rsidR="004F3B27" w:rsidRPr="00F62322">
        <w:t xml:space="preserve"> addressees are required to submit a written response to </w:t>
      </w:r>
      <w:r w:rsidR="004F3B27">
        <w:t>this</w:t>
      </w:r>
      <w:r w:rsidR="004F3B27" w:rsidRPr="00F62322">
        <w:t xml:space="preserve"> GL.</w:t>
      </w:r>
    </w:p>
    <w:p w:rsidR="001949BC" w:rsidRDefault="001949BC" w:rsidP="001949BC"/>
    <w:p w:rsidR="00121992" w:rsidRDefault="00121992">
      <w:pPr>
        <w:rPr>
          <w:b/>
        </w:rPr>
      </w:pPr>
      <w:r>
        <w:rPr>
          <w:b/>
        </w:rPr>
        <w:br w:type="page"/>
      </w:r>
    </w:p>
    <w:p w:rsidR="002A6880" w:rsidRPr="00AE5997" w:rsidRDefault="002A6880" w:rsidP="002A6880">
      <w:pPr>
        <w:outlineLvl w:val="0"/>
        <w:rPr>
          <w:b/>
        </w:rPr>
      </w:pPr>
      <w:r w:rsidRPr="00D02F40">
        <w:rPr>
          <w:b/>
        </w:rPr>
        <w:lastRenderedPageBreak/>
        <w:t>BACKGROUND</w:t>
      </w:r>
    </w:p>
    <w:p w:rsidR="002A6880" w:rsidRDefault="002A6880" w:rsidP="002A6880"/>
    <w:p w:rsidR="00351C08" w:rsidRDefault="002A6880" w:rsidP="004F3B27">
      <w:r>
        <w:t xml:space="preserve">The NRC requires the power reactor license holder to maintain </w:t>
      </w:r>
      <w:r w:rsidRPr="00AA3E93">
        <w:t>SFP subcriticality</w:t>
      </w:r>
      <w:r>
        <w:rPr>
          <w:rStyle w:val="FootnoteReference"/>
        </w:rPr>
        <w:footnoteReference w:id="2"/>
      </w:r>
      <w:r w:rsidRPr="00AA3E93">
        <w:t xml:space="preserve"> </w:t>
      </w:r>
      <w:r>
        <w:t xml:space="preserve">in accordance </w:t>
      </w:r>
      <w:r w:rsidR="00C07742">
        <w:t>with 10 </w:t>
      </w:r>
      <w:r w:rsidR="00C07742" w:rsidRPr="00AA3E93">
        <w:t>CFR</w:t>
      </w:r>
      <w:r w:rsidR="00C07742">
        <w:t> </w:t>
      </w:r>
      <w:r w:rsidR="00C07742" w:rsidRPr="00AA3E93">
        <w:t>50.68</w:t>
      </w:r>
      <w:r w:rsidR="00C07742">
        <w:t xml:space="preserve">, “Criticality </w:t>
      </w:r>
      <w:r w:rsidR="00CD10C9">
        <w:t>a</w:t>
      </w:r>
      <w:r w:rsidR="00C07742">
        <w:t xml:space="preserve">ccident </w:t>
      </w:r>
      <w:r w:rsidR="00CD10C9">
        <w:t>r</w:t>
      </w:r>
      <w:r w:rsidR="00C07742">
        <w:t>equirements</w:t>
      </w:r>
      <w:r w:rsidR="003E6800">
        <w:t>,</w:t>
      </w:r>
      <w:r w:rsidR="00C07742">
        <w:t>”</w:t>
      </w:r>
      <w:r w:rsidR="00C07742" w:rsidRPr="00AA3E93">
        <w:t xml:space="preserve"> </w:t>
      </w:r>
      <w:r w:rsidR="00C07742">
        <w:t>General Design Criterion (</w:t>
      </w:r>
      <w:r w:rsidR="00C07742" w:rsidRPr="00AA3E93">
        <w:t>GDC</w:t>
      </w:r>
      <w:r w:rsidR="00C07742">
        <w:t>) </w:t>
      </w:r>
      <w:r w:rsidR="00C07742" w:rsidRPr="00AA3E93">
        <w:t>62</w:t>
      </w:r>
      <w:r w:rsidR="00C07742">
        <w:t xml:space="preserve">, “Prevention of </w:t>
      </w:r>
      <w:r w:rsidR="003E6800">
        <w:t xml:space="preserve">Criticality </w:t>
      </w:r>
      <w:r w:rsidR="00C07742">
        <w:t xml:space="preserve">in </w:t>
      </w:r>
      <w:r w:rsidR="003E6800">
        <w:t xml:space="preserve">Fuel Storage </w:t>
      </w:r>
      <w:r w:rsidR="00C07742">
        <w:t xml:space="preserve">and </w:t>
      </w:r>
      <w:r w:rsidR="003E6800">
        <w:t>Handling</w:t>
      </w:r>
      <w:r w:rsidR="00C07742">
        <w:t xml:space="preserve">,” in Appendix A, “General Design Criteria </w:t>
      </w:r>
      <w:r w:rsidR="004F3B27">
        <w:t>for Nuclear Power Plants,” of 10 CFR</w:t>
      </w:r>
      <w:r w:rsidR="005256C2">
        <w:t> </w:t>
      </w:r>
      <w:r w:rsidR="004F3B27">
        <w:t>Part 50</w:t>
      </w:r>
      <w:r w:rsidR="003E6800">
        <w:t>,</w:t>
      </w:r>
      <w:r w:rsidR="00E957AA">
        <w:t xml:space="preserve"> and other equivalent regulatory criteria</w:t>
      </w:r>
      <w:r w:rsidR="004F3B27">
        <w:t xml:space="preserve">. </w:t>
      </w:r>
      <w:r w:rsidR="004F3B27" w:rsidRPr="00951AAB">
        <w:t xml:space="preserve"> </w:t>
      </w:r>
      <w:r w:rsidR="00C07742">
        <w:t xml:space="preserve">The NRC has a similar requirement included in the </w:t>
      </w:r>
      <w:r w:rsidR="006309AD">
        <w:t>t</w:t>
      </w:r>
      <w:r w:rsidR="00C07742">
        <w:t xml:space="preserve">echnical </w:t>
      </w:r>
      <w:r w:rsidR="006309AD">
        <w:t>s</w:t>
      </w:r>
      <w:r w:rsidR="00C07742">
        <w:t>pecification</w:t>
      </w:r>
      <w:r w:rsidR="006309AD">
        <w:t>s (TS)</w:t>
      </w:r>
      <w:r w:rsidR="00C07742">
        <w:t xml:space="preserve"> for </w:t>
      </w:r>
      <w:r w:rsidR="003603A5">
        <w:t>non-power</w:t>
      </w:r>
      <w:r w:rsidR="00615E27">
        <w:t xml:space="preserve"> reactors</w:t>
      </w:r>
      <w:r w:rsidR="00C07742">
        <w:t xml:space="preserve">. </w:t>
      </w:r>
    </w:p>
    <w:p w:rsidR="00351C08" w:rsidRPr="00351C08" w:rsidRDefault="00351C08" w:rsidP="00351C08">
      <w:pPr>
        <w:rPr>
          <w:b/>
        </w:rPr>
      </w:pPr>
    </w:p>
    <w:p w:rsidR="004F3B27" w:rsidRDefault="009D5949" w:rsidP="004F3B27">
      <w:r>
        <w:t xml:space="preserve">The license holder usually documents the nuclear criticality safety (NCS) analyses </w:t>
      </w:r>
      <w:r w:rsidRPr="00AA3E93">
        <w:t>in the</w:t>
      </w:r>
      <w:r>
        <w:t xml:space="preserve"> </w:t>
      </w:r>
      <w:r w:rsidR="004F3B27">
        <w:t>u</w:t>
      </w:r>
      <w:r w:rsidR="004F3B27" w:rsidRPr="00AA3E93">
        <w:t xml:space="preserve">pdated </w:t>
      </w:r>
      <w:r w:rsidR="004F3B27">
        <w:t>f</w:t>
      </w:r>
      <w:r w:rsidR="004F3B27" w:rsidRPr="00AA3E93">
        <w:t xml:space="preserve">inal </w:t>
      </w:r>
      <w:r w:rsidR="004F3B27">
        <w:t>s</w:t>
      </w:r>
      <w:r w:rsidR="004F3B27" w:rsidRPr="00AA3E93">
        <w:t xml:space="preserve">afety </w:t>
      </w:r>
      <w:r w:rsidR="004F3B27">
        <w:t>a</w:t>
      </w:r>
      <w:r w:rsidR="004F3B27" w:rsidRPr="00AA3E93">
        <w:t xml:space="preserve">nalysis </w:t>
      </w:r>
      <w:r w:rsidR="004F3B27">
        <w:t>r</w:t>
      </w:r>
      <w:r w:rsidR="004F3B27" w:rsidRPr="00AA3E93">
        <w:t>eport (UFSAR)</w:t>
      </w:r>
      <w:r w:rsidR="00C214D9">
        <w:t>.</w:t>
      </w:r>
      <w:r w:rsidR="004F3B27">
        <w:t xml:space="preserve"> </w:t>
      </w:r>
      <w:r w:rsidR="00C214D9">
        <w:t xml:space="preserve"> Th</w:t>
      </w:r>
      <w:r w:rsidR="00862A39">
        <w:t>e NCS analyses</w:t>
      </w:r>
      <w:r w:rsidR="00C214D9">
        <w:t xml:space="preserve"> form </w:t>
      </w:r>
      <w:r w:rsidR="004F3B27" w:rsidRPr="00AA3E93">
        <w:t xml:space="preserve">the basis for demonstrating compliance with </w:t>
      </w:r>
      <w:r w:rsidR="004F3B27">
        <w:t>plant</w:t>
      </w:r>
      <w:r w:rsidR="004F3B27" w:rsidRPr="00AA3E93">
        <w:t xml:space="preserve"> </w:t>
      </w:r>
      <w:r w:rsidR="004F3B27">
        <w:t xml:space="preserve">TS, compliance with </w:t>
      </w:r>
      <w:r w:rsidR="004F3B27" w:rsidRPr="00AA3E93">
        <w:t>NRC regulations</w:t>
      </w:r>
      <w:r w:rsidR="004F3B27">
        <w:t>, and</w:t>
      </w:r>
      <w:r w:rsidR="004F3B27" w:rsidRPr="00AA3E93">
        <w:t xml:space="preserve"> </w:t>
      </w:r>
      <w:r w:rsidR="004F3B27">
        <w:t>adequate subcriticality for both normal operating conditions and design</w:t>
      </w:r>
      <w:r w:rsidR="004F3B27">
        <w:noBreakHyphen/>
        <w:t xml:space="preserve">basis events.  In many SFP NCS analyses, neutron-absorbing materials, </w:t>
      </w:r>
      <w:r w:rsidR="006E3CFB">
        <w:t>with assum</w:t>
      </w:r>
      <w:r w:rsidR="00BB3087">
        <w:t>ptions on</w:t>
      </w:r>
      <w:r w:rsidR="004F3B27">
        <w:t xml:space="preserve"> dimensions and </w:t>
      </w:r>
      <w:r w:rsidR="00EB08D2">
        <w:t>b</w:t>
      </w:r>
      <w:r w:rsidR="004D6E2D">
        <w:t>oron</w:t>
      </w:r>
      <w:r w:rsidR="004F3B27">
        <w:noBreakHyphen/>
        <w:t>10 (</w:t>
      </w:r>
      <w:r w:rsidR="004F3B27" w:rsidRPr="00E03EEB">
        <w:rPr>
          <w:vertAlign w:val="superscript"/>
        </w:rPr>
        <w:t>10</w:t>
      </w:r>
      <w:r w:rsidR="004F3B27">
        <w:t>B) areal density, are credited for maintaining subcriticality</w:t>
      </w:r>
      <w:r w:rsidR="00CB4EB4">
        <w:t xml:space="preserve"> in the SFP</w:t>
      </w:r>
      <w:r w:rsidR="004F3B27">
        <w:t>.  Hence</w:t>
      </w:r>
      <w:r w:rsidR="004F3B27" w:rsidRPr="00AA3E93">
        <w:t xml:space="preserve">, </w:t>
      </w:r>
      <w:r w:rsidR="00CB4EB4">
        <w:t xml:space="preserve">these materials must be able to perform their </w:t>
      </w:r>
      <w:r w:rsidR="00466915">
        <w:t>safety</w:t>
      </w:r>
      <w:r w:rsidR="00E957AA">
        <w:t xml:space="preserve"> </w:t>
      </w:r>
      <w:r w:rsidR="00CB4EB4">
        <w:t>function during both normal operating conditions and design</w:t>
      </w:r>
      <w:r>
        <w:noBreakHyphen/>
      </w:r>
      <w:r w:rsidR="00CB4EB4">
        <w:t xml:space="preserve">basis events. </w:t>
      </w:r>
      <w:r w:rsidR="00CB4EB4" w:rsidRPr="00AA3E93">
        <w:t xml:space="preserve"> </w:t>
      </w:r>
      <w:r w:rsidR="00CB4EB4">
        <w:t>Unidentified, unmitigated, and unmonitored degradation</w:t>
      </w:r>
      <w:r w:rsidR="00CB4EB4" w:rsidRPr="00AA3E93">
        <w:t xml:space="preserve"> </w:t>
      </w:r>
      <w:r w:rsidR="004F3B27" w:rsidRPr="00AA3E93">
        <w:t>or deformation of the credited neutron</w:t>
      </w:r>
      <w:r w:rsidR="004F3B27">
        <w:t>-</w:t>
      </w:r>
      <w:r w:rsidR="004F3B27" w:rsidRPr="00AA3E93">
        <w:t xml:space="preserve">absorbing materials may reduce </w:t>
      </w:r>
      <w:r w:rsidR="00C214D9">
        <w:t xml:space="preserve">the </w:t>
      </w:r>
      <w:r w:rsidR="004F3B27" w:rsidRPr="00AA3E93">
        <w:t xml:space="preserve">safety margin and potentially </w:t>
      </w:r>
      <w:r w:rsidR="004F3B27">
        <w:t>challenge</w:t>
      </w:r>
      <w:r w:rsidR="004F3B27" w:rsidRPr="00AA3E93">
        <w:t xml:space="preserve"> the subc</w:t>
      </w:r>
      <w:r w:rsidR="00AC7CE4">
        <w:t xml:space="preserve">riticality requirement, especially when subjected to additional stressors during and following </w:t>
      </w:r>
      <w:r w:rsidR="00954E37">
        <w:t>design</w:t>
      </w:r>
      <w:r w:rsidR="00954E37">
        <w:noBreakHyphen/>
      </w:r>
      <w:r w:rsidR="00AC7CE4">
        <w:t xml:space="preserve">basis events.  </w:t>
      </w:r>
      <w:r w:rsidR="004F3B27">
        <w:t>Many license</w:t>
      </w:r>
      <w:r w:rsidR="001F55A9">
        <w:t xml:space="preserve"> holders</w:t>
      </w:r>
      <w:r w:rsidR="004F3B27">
        <w:t xml:space="preserve"> use integrated</w:t>
      </w:r>
      <w:r w:rsidR="004F3B27" w:rsidRPr="00AA3E93">
        <w:t xml:space="preserve"> defense-in-depth </w:t>
      </w:r>
      <w:r w:rsidR="004F3B27">
        <w:t xml:space="preserve">design features to account for the </w:t>
      </w:r>
      <w:r w:rsidR="004F3B27" w:rsidRPr="00AA3E93">
        <w:t>neutron</w:t>
      </w:r>
      <w:r w:rsidR="004F3B27">
        <w:t>-</w:t>
      </w:r>
      <w:r w:rsidR="004F3B27" w:rsidRPr="00AA3E93">
        <w:t>absorbing material</w:t>
      </w:r>
      <w:r w:rsidR="004F3B27">
        <w:t>’s</w:t>
      </w:r>
      <w:r w:rsidR="004F3B27" w:rsidRPr="00AA3E93">
        <w:t xml:space="preserve"> </w:t>
      </w:r>
      <w:r w:rsidR="004F3B27">
        <w:t>degradation</w:t>
      </w:r>
      <w:r w:rsidR="004F3B27" w:rsidRPr="00AA3E93">
        <w:t xml:space="preserve">.  For example, </w:t>
      </w:r>
      <w:r w:rsidR="004F3B27">
        <w:t>some</w:t>
      </w:r>
      <w:r w:rsidR="004F3B27" w:rsidRPr="00AA3E93">
        <w:t xml:space="preserve"> pressurized</w:t>
      </w:r>
      <w:r w:rsidR="004F3B27">
        <w:noBreakHyphen/>
      </w:r>
      <w:r w:rsidR="004F3B27" w:rsidRPr="00AA3E93">
        <w:t xml:space="preserve">water reactors have </w:t>
      </w:r>
      <w:r w:rsidR="004F3B27">
        <w:t>been approved to take</w:t>
      </w:r>
      <w:r w:rsidR="004F3B27" w:rsidRPr="00AA3E93">
        <w:t xml:space="preserve"> credit for the soluble </w:t>
      </w:r>
      <w:r w:rsidR="00EB08D2">
        <w:t>b</w:t>
      </w:r>
      <w:r w:rsidR="004D6E2D">
        <w:t>oron</w:t>
      </w:r>
      <w:r w:rsidR="004F3B27" w:rsidRPr="00AA3E93">
        <w:t xml:space="preserve"> in the SFP</w:t>
      </w:r>
      <w:r w:rsidR="004F3B27">
        <w:t xml:space="preserve"> water.</w:t>
      </w:r>
    </w:p>
    <w:p w:rsidR="00AC7CE4" w:rsidRDefault="00AC7CE4" w:rsidP="004F3B27"/>
    <w:p w:rsidR="001F0FC5" w:rsidRDefault="00AC7CE4" w:rsidP="004F3B27">
      <w:r>
        <w:t>Neutron-</w:t>
      </w:r>
      <w:r w:rsidR="002163DA">
        <w:t>absorb</w:t>
      </w:r>
      <w:r>
        <w:t>ing</w:t>
      </w:r>
      <w:r w:rsidR="002163DA">
        <w:t xml:space="preserve"> materials are composed of a </w:t>
      </w:r>
      <w:r w:rsidR="003658AF">
        <w:t xml:space="preserve">neutron-absorbing </w:t>
      </w:r>
      <w:r w:rsidR="00F46BB4">
        <w:t>component</w:t>
      </w:r>
      <w:r w:rsidR="002163DA">
        <w:t xml:space="preserve">, </w:t>
      </w:r>
      <w:r w:rsidR="002535F7">
        <w:t xml:space="preserve">generally </w:t>
      </w:r>
      <w:r w:rsidR="00170820" w:rsidRPr="00E03EEB">
        <w:rPr>
          <w:vertAlign w:val="superscript"/>
        </w:rPr>
        <w:t>10</w:t>
      </w:r>
      <w:r w:rsidR="00170820">
        <w:t xml:space="preserve">B </w:t>
      </w:r>
      <w:r w:rsidR="002535F7">
        <w:t xml:space="preserve">as </w:t>
      </w:r>
      <w:r w:rsidR="00EB08D2">
        <w:t>b</w:t>
      </w:r>
      <w:r w:rsidR="004D6E2D">
        <w:t>oron</w:t>
      </w:r>
      <w:r w:rsidR="00170820">
        <w:t xml:space="preserve"> </w:t>
      </w:r>
      <w:r w:rsidR="002535F7">
        <w:t>carbide,</w:t>
      </w:r>
      <w:r w:rsidR="002163DA">
        <w:t xml:space="preserve"> in a matrix.  </w:t>
      </w:r>
      <w:r w:rsidR="002535F7">
        <w:t xml:space="preserve">Both metal </w:t>
      </w:r>
      <w:r w:rsidR="002163DA">
        <w:t xml:space="preserve">matrix </w:t>
      </w:r>
      <w:r w:rsidR="002535F7">
        <w:t xml:space="preserve">and nonmetal matrix materials have been used.  </w:t>
      </w:r>
      <w:r w:rsidR="002163DA">
        <w:t>D</w:t>
      </w:r>
      <w:r w:rsidR="004F3B27" w:rsidRPr="00AA3E93">
        <w:t>ifferent neutron</w:t>
      </w:r>
      <w:r w:rsidR="004F3B27">
        <w:t>-</w:t>
      </w:r>
      <w:r w:rsidR="004F3B27" w:rsidRPr="00AA3E93">
        <w:t>absorbing materials</w:t>
      </w:r>
      <w:r w:rsidR="004F3B27">
        <w:t xml:space="preserve"> used in U.S. nuclear power plants</w:t>
      </w:r>
      <w:r w:rsidR="004F3B27" w:rsidRPr="00AA3E93">
        <w:t xml:space="preserve"> includ</w:t>
      </w:r>
      <w:r w:rsidR="002163DA">
        <w:t>e</w:t>
      </w:r>
      <w:r w:rsidR="004F3B27" w:rsidRPr="00AA3E93">
        <w:t xml:space="preserve"> </w:t>
      </w:r>
      <w:r w:rsidR="00EB08D2">
        <w:t>b</w:t>
      </w:r>
      <w:r w:rsidR="004D6E2D">
        <w:t>oron</w:t>
      </w:r>
      <w:r w:rsidR="004656FB">
        <w:t xml:space="preserve"> carbide in a silicone polymer</w:t>
      </w:r>
      <w:r w:rsidR="005F492E">
        <w:t xml:space="preserve"> (e.g.,</w:t>
      </w:r>
      <w:r w:rsidR="004408DF">
        <w:t> </w:t>
      </w:r>
      <w:r w:rsidR="005F492E" w:rsidRPr="00AA3E93">
        <w:t>Boraflex</w:t>
      </w:r>
      <w:r w:rsidR="004656FB">
        <w:t>)</w:t>
      </w:r>
      <w:r w:rsidR="00A3571E">
        <w:t>;</w:t>
      </w:r>
      <w:r w:rsidR="004F3B27" w:rsidRPr="00AA3E93">
        <w:t xml:space="preserve"> </w:t>
      </w:r>
      <w:r w:rsidR="00EB08D2">
        <w:t>b</w:t>
      </w:r>
      <w:r w:rsidR="004D6E2D">
        <w:t>oron</w:t>
      </w:r>
      <w:r w:rsidR="002C18A5">
        <w:t xml:space="preserve"> carbide in a phenol formaldehyde resin matrix</w:t>
      </w:r>
      <w:r w:rsidR="005F492E" w:rsidRPr="005F492E">
        <w:t xml:space="preserve"> </w:t>
      </w:r>
      <w:r w:rsidR="005F492E">
        <w:t>(e.g.,</w:t>
      </w:r>
      <w:r w:rsidR="00270907">
        <w:t> </w:t>
      </w:r>
      <w:r w:rsidR="004D6E2D">
        <w:t>Carborundum</w:t>
      </w:r>
      <w:r w:rsidR="002C18A5">
        <w:t>)</w:t>
      </w:r>
      <w:r w:rsidR="00A3571E">
        <w:t>;</w:t>
      </w:r>
      <w:r w:rsidR="004F3B27" w:rsidRPr="00AA3E93">
        <w:t xml:space="preserve"> </w:t>
      </w:r>
      <w:r w:rsidR="00F46BB4">
        <w:t>and metal matrix composites</w:t>
      </w:r>
      <w:r w:rsidR="00D61A79">
        <w:t>,</w:t>
      </w:r>
      <w:r w:rsidR="00F46BB4">
        <w:t xml:space="preserve"> such as </w:t>
      </w:r>
      <w:r w:rsidR="00770887" w:rsidRPr="00770887">
        <w:rPr>
          <w:rFonts w:cs="Arial"/>
        </w:rPr>
        <w:t xml:space="preserve">a cermet of </w:t>
      </w:r>
      <w:r w:rsidR="00EB08D2">
        <w:rPr>
          <w:rFonts w:cs="Arial"/>
        </w:rPr>
        <w:t>b</w:t>
      </w:r>
      <w:r w:rsidR="004D6E2D">
        <w:rPr>
          <w:rFonts w:cs="Arial"/>
        </w:rPr>
        <w:t>oron</w:t>
      </w:r>
      <w:r w:rsidR="00770887" w:rsidRPr="00770887">
        <w:rPr>
          <w:rFonts w:cs="Arial"/>
        </w:rPr>
        <w:t xml:space="preserve"> carbide and aluminum</w:t>
      </w:r>
      <w:r w:rsidR="005F492E">
        <w:rPr>
          <w:rFonts w:cs="Arial"/>
        </w:rPr>
        <w:t xml:space="preserve"> (e.g.,</w:t>
      </w:r>
      <w:r w:rsidR="00372407">
        <w:rPr>
          <w:rFonts w:cs="Arial"/>
        </w:rPr>
        <w:t> </w:t>
      </w:r>
      <w:r w:rsidR="005F492E" w:rsidRPr="00AA3E93">
        <w:t>Boral</w:t>
      </w:r>
      <w:r w:rsidR="005F492E" w:rsidRPr="002B5796">
        <w:rPr>
          <w:rFonts w:cs="Arial"/>
          <w:vertAlign w:val="superscript"/>
        </w:rPr>
        <w:t>®</w:t>
      </w:r>
      <w:r w:rsidR="00770887" w:rsidRPr="00770887">
        <w:rPr>
          <w:rFonts w:cs="Arial"/>
        </w:rPr>
        <w:t>)</w:t>
      </w:r>
      <w:r w:rsidR="004F3B27" w:rsidRPr="00AA3E93">
        <w:t xml:space="preserve">, </w:t>
      </w:r>
      <w:r w:rsidR="00F46BB4">
        <w:t xml:space="preserve">a </w:t>
      </w:r>
      <w:r w:rsidR="005F492E">
        <w:rPr>
          <w:rFonts w:cs="Arial"/>
        </w:rPr>
        <w:t xml:space="preserve">metal matrix </w:t>
      </w:r>
      <w:r w:rsidR="00F46BB4">
        <w:rPr>
          <w:rFonts w:cs="Arial"/>
        </w:rPr>
        <w:t xml:space="preserve">of an aluminum and </w:t>
      </w:r>
      <w:r w:rsidR="00EB08D2">
        <w:rPr>
          <w:rFonts w:cs="Arial"/>
        </w:rPr>
        <w:t>b</w:t>
      </w:r>
      <w:r w:rsidR="004D6E2D">
        <w:rPr>
          <w:rFonts w:cs="Arial"/>
        </w:rPr>
        <w:t>oron</w:t>
      </w:r>
      <w:r w:rsidR="00F46BB4">
        <w:rPr>
          <w:rFonts w:cs="Arial"/>
        </w:rPr>
        <w:t xml:space="preserve"> carbide </w:t>
      </w:r>
      <w:r w:rsidR="005F492E">
        <w:rPr>
          <w:rFonts w:cs="Arial"/>
        </w:rPr>
        <w:t>(e.g.,</w:t>
      </w:r>
      <w:r w:rsidR="003E0730">
        <w:rPr>
          <w:rFonts w:cs="Arial"/>
        </w:rPr>
        <w:t> </w:t>
      </w:r>
      <w:r w:rsidR="005F492E" w:rsidRPr="00AA3E93">
        <w:t>Metamic</w:t>
      </w:r>
      <w:r w:rsidR="005F492E">
        <w:rPr>
          <w:rFonts w:cs="Arial"/>
          <w:vertAlign w:val="superscript"/>
        </w:rPr>
        <w:t>™</w:t>
      </w:r>
      <w:r w:rsidR="00770887" w:rsidRPr="00770887">
        <w:rPr>
          <w:rFonts w:cs="Arial"/>
        </w:rPr>
        <w:t>)</w:t>
      </w:r>
      <w:r w:rsidR="005F492E">
        <w:rPr>
          <w:rFonts w:cs="Arial"/>
        </w:rPr>
        <w:t>, and borated stainless steel</w:t>
      </w:r>
      <w:r w:rsidR="004F3B27" w:rsidRPr="00AA3E93">
        <w:t xml:space="preserve">.  </w:t>
      </w:r>
    </w:p>
    <w:p w:rsidR="001F0FC5" w:rsidRDefault="001F0FC5" w:rsidP="004F3B27"/>
    <w:p w:rsidR="004F3B27" w:rsidRDefault="00160740" w:rsidP="004F3B27">
      <w:r>
        <w:t>In the 1980s</w:t>
      </w:r>
      <w:r w:rsidR="004F3B27" w:rsidRPr="00AA3E93">
        <w:t>, Boraflex</w:t>
      </w:r>
      <w:r w:rsidR="004F3B27">
        <w:t xml:space="preserve"> was the first neutron-absorbing material to exhibit significant degradation, as documented in </w:t>
      </w:r>
      <w:r w:rsidR="00DB1026">
        <w:t>I</w:t>
      </w:r>
      <w:r w:rsidR="004F3B27">
        <w:t xml:space="preserve">nformation </w:t>
      </w:r>
      <w:r w:rsidR="00DB1026">
        <w:t>N</w:t>
      </w:r>
      <w:r w:rsidR="00F30EBF">
        <w:t>otice (IN</w:t>
      </w:r>
      <w:r w:rsidR="004F3B27">
        <w:t>)</w:t>
      </w:r>
      <w:r w:rsidR="006309AD">
        <w:t> </w:t>
      </w:r>
      <w:r w:rsidR="00064E81" w:rsidRPr="00064E81">
        <w:t>19</w:t>
      </w:r>
      <w:r w:rsidR="004F3B27" w:rsidRPr="00064E81">
        <w:t>87</w:t>
      </w:r>
      <w:r w:rsidR="004F3B27" w:rsidRPr="00064E81">
        <w:noBreakHyphen/>
        <w:t>43</w:t>
      </w:r>
      <w:r w:rsidR="00F30EBF">
        <w:t xml:space="preserve"> (</w:t>
      </w:r>
      <w:r w:rsidR="003167B2">
        <w:t xml:space="preserve">Reference </w:t>
      </w:r>
      <w:r w:rsidR="00F30EBF" w:rsidRPr="00F30EBF">
        <w:rPr>
          <w:rStyle w:val="EndnoteReference"/>
          <w:vertAlign w:val="baseline"/>
        </w:rPr>
        <w:endnoteReference w:id="2"/>
      </w:r>
      <w:r w:rsidR="00F30EBF">
        <w:t>)</w:t>
      </w:r>
      <w:r w:rsidR="004F3B27">
        <w:t xml:space="preserve">, </w:t>
      </w:r>
      <w:r w:rsidR="00F30EBF">
        <w:t>IN</w:t>
      </w:r>
      <w:r w:rsidR="00BB0CAB">
        <w:t> </w:t>
      </w:r>
      <w:r w:rsidR="00064E81" w:rsidRPr="00064E81">
        <w:t>19</w:t>
      </w:r>
      <w:r w:rsidR="004F3B27" w:rsidRPr="00064E81">
        <w:t>93</w:t>
      </w:r>
      <w:r w:rsidR="004F3B27" w:rsidRPr="00064E81">
        <w:noBreakHyphen/>
        <w:t>70</w:t>
      </w:r>
      <w:r w:rsidR="00F30EBF">
        <w:t xml:space="preserve"> (Reference</w:t>
      </w:r>
      <w:r w:rsidR="00BB0CAB">
        <w:t> </w:t>
      </w:r>
      <w:r w:rsidR="00F30EBF" w:rsidRPr="00F30EBF">
        <w:rPr>
          <w:rStyle w:val="EndnoteReference"/>
          <w:vertAlign w:val="baseline"/>
        </w:rPr>
        <w:endnoteReference w:id="3"/>
      </w:r>
      <w:r w:rsidR="00F30EBF">
        <w:t>)</w:t>
      </w:r>
      <w:r w:rsidR="004F3B27">
        <w:t xml:space="preserve">, </w:t>
      </w:r>
      <w:r w:rsidR="00F30EBF">
        <w:t>IN</w:t>
      </w:r>
      <w:r w:rsidR="00BB0CAB">
        <w:t> </w:t>
      </w:r>
      <w:r w:rsidR="00064E81" w:rsidRPr="00064E81">
        <w:t>19</w:t>
      </w:r>
      <w:r w:rsidR="004F3B27" w:rsidRPr="00064E81">
        <w:t>95</w:t>
      </w:r>
      <w:r w:rsidR="004F3B27" w:rsidRPr="00064E81">
        <w:noBreakHyphen/>
        <w:t>38</w:t>
      </w:r>
      <w:r w:rsidR="005100E3">
        <w:t xml:space="preserve"> (Reference</w:t>
      </w:r>
      <w:r w:rsidR="00BB0CAB">
        <w:t> </w:t>
      </w:r>
      <w:r w:rsidR="005100E3" w:rsidRPr="00F30EBF">
        <w:rPr>
          <w:rStyle w:val="EndnoteReference"/>
          <w:vertAlign w:val="baseline"/>
        </w:rPr>
        <w:endnoteReference w:id="4"/>
      </w:r>
      <w:r w:rsidR="005100E3">
        <w:t>)</w:t>
      </w:r>
      <w:r w:rsidR="00C214D9">
        <w:t xml:space="preserve">, </w:t>
      </w:r>
      <w:r w:rsidR="004F3B27">
        <w:t>and GL </w:t>
      </w:r>
      <w:r w:rsidR="00064E81">
        <w:t>19</w:t>
      </w:r>
      <w:r w:rsidR="004F3B27">
        <w:t>96</w:t>
      </w:r>
      <w:r w:rsidR="004F3B27">
        <w:noBreakHyphen/>
        <w:t>04</w:t>
      </w:r>
      <w:r w:rsidR="005100E3">
        <w:t xml:space="preserve"> (Reference</w:t>
      </w:r>
      <w:r w:rsidR="00BB0CAB">
        <w:t> </w:t>
      </w:r>
      <w:r w:rsidR="005100E3" w:rsidRPr="00F30EBF">
        <w:rPr>
          <w:rStyle w:val="EndnoteReference"/>
          <w:vertAlign w:val="baseline"/>
        </w:rPr>
        <w:endnoteReference w:id="5"/>
      </w:r>
      <w:r w:rsidR="005100E3">
        <w:t>)</w:t>
      </w:r>
      <w:r w:rsidR="004F3B27">
        <w:t>.</w:t>
      </w:r>
      <w:r w:rsidR="005E37B9">
        <w:t xml:space="preserve">  </w:t>
      </w:r>
      <w:r w:rsidR="00C03867">
        <w:t>The NRC staff documented a</w:t>
      </w:r>
      <w:r w:rsidR="004F3B27">
        <w:t>dditional</w:t>
      </w:r>
      <w:r w:rsidR="004F3B27" w:rsidRPr="00D926AD">
        <w:t xml:space="preserve"> concerns regarding</w:t>
      </w:r>
      <w:r w:rsidR="004F3B27" w:rsidRPr="00331438">
        <w:t xml:space="preserve"> monitoring and mitigating degradation of Boraflex</w:t>
      </w:r>
      <w:r w:rsidR="004F3B27">
        <w:t xml:space="preserve"> </w:t>
      </w:r>
      <w:r w:rsidR="004F3B27" w:rsidRPr="00331438">
        <w:t xml:space="preserve">in </w:t>
      </w:r>
      <w:r w:rsidR="005100E3">
        <w:t>IN</w:t>
      </w:r>
      <w:r w:rsidR="00BB0CAB">
        <w:t> </w:t>
      </w:r>
      <w:r w:rsidR="00BC058C" w:rsidRPr="00064E81">
        <w:t>20</w:t>
      </w:r>
      <w:r w:rsidR="005100E3" w:rsidRPr="00064E81">
        <w:t>12</w:t>
      </w:r>
      <w:r w:rsidR="00BB0CAB" w:rsidRPr="00064E81">
        <w:noBreakHyphen/>
      </w:r>
      <w:r w:rsidR="005100E3" w:rsidRPr="00064E81">
        <w:t>13</w:t>
      </w:r>
      <w:r w:rsidR="005100E3">
        <w:t xml:space="preserve"> (Reference</w:t>
      </w:r>
      <w:r w:rsidR="00DF31D3">
        <w:t> </w:t>
      </w:r>
      <w:r w:rsidR="005100E3" w:rsidRPr="00F30EBF">
        <w:rPr>
          <w:rStyle w:val="EndnoteReference"/>
          <w:vertAlign w:val="baseline"/>
        </w:rPr>
        <w:endnoteReference w:id="6"/>
      </w:r>
      <w:r w:rsidR="005100E3">
        <w:t xml:space="preserve">).  </w:t>
      </w:r>
      <w:r w:rsidR="005E37B9">
        <w:t xml:space="preserve">Several </w:t>
      </w:r>
      <w:r w:rsidR="00F52100">
        <w:t xml:space="preserve">license holders identified </w:t>
      </w:r>
      <w:r w:rsidR="005E37B9">
        <w:t xml:space="preserve">instances of degradation or deformation of </w:t>
      </w:r>
      <w:r w:rsidR="004D6E2D">
        <w:t>Carborundum</w:t>
      </w:r>
      <w:r w:rsidR="005E37B9">
        <w:t xml:space="preserve"> and </w:t>
      </w:r>
      <w:r w:rsidR="005E37B9" w:rsidRPr="00AA3E93">
        <w:t>Boral</w:t>
      </w:r>
      <w:r w:rsidR="005E37B9" w:rsidRPr="002B5796">
        <w:rPr>
          <w:rFonts w:cs="Arial"/>
          <w:vertAlign w:val="superscript"/>
        </w:rPr>
        <w:t>®</w:t>
      </w:r>
      <w:r w:rsidR="005E37B9">
        <w:t xml:space="preserve"> neutron-absorbing materials in SFPs</w:t>
      </w:r>
      <w:r w:rsidR="004F3B27">
        <w:t xml:space="preserve">, </w:t>
      </w:r>
      <w:r w:rsidR="002B729C">
        <w:t>such as that</w:t>
      </w:r>
      <w:r w:rsidR="004F3B27">
        <w:t xml:space="preserve"> documented in </w:t>
      </w:r>
      <w:r w:rsidR="002B729C">
        <w:t>IN</w:t>
      </w:r>
      <w:r w:rsidR="006309AD">
        <w:t> </w:t>
      </w:r>
      <w:r w:rsidR="00064E81" w:rsidRPr="00064E81">
        <w:t>19</w:t>
      </w:r>
      <w:r w:rsidR="002B729C" w:rsidRPr="00064E81">
        <w:t>83</w:t>
      </w:r>
      <w:r w:rsidR="006309AD" w:rsidRPr="00064E81">
        <w:noBreakHyphen/>
      </w:r>
      <w:r w:rsidR="002B729C" w:rsidRPr="00064E81">
        <w:t>29</w:t>
      </w:r>
      <w:r w:rsidR="002B729C">
        <w:t xml:space="preserve"> (</w:t>
      </w:r>
      <w:r w:rsidR="003167B2">
        <w:t xml:space="preserve">Reference </w:t>
      </w:r>
      <w:r w:rsidR="002B729C" w:rsidRPr="00423519">
        <w:rPr>
          <w:rStyle w:val="EndnoteReference"/>
          <w:vertAlign w:val="baseline"/>
        </w:rPr>
        <w:endnoteReference w:id="7"/>
      </w:r>
      <w:r w:rsidR="002B729C">
        <w:t xml:space="preserve">) and </w:t>
      </w:r>
      <w:r w:rsidR="002B729C" w:rsidRPr="00064E81">
        <w:t>IN</w:t>
      </w:r>
      <w:r w:rsidR="004F3B27" w:rsidRPr="00064E81">
        <w:t> </w:t>
      </w:r>
      <w:r w:rsidR="00064E81" w:rsidRPr="00064E81">
        <w:t>20</w:t>
      </w:r>
      <w:r w:rsidR="004F3B27" w:rsidRPr="00064E81">
        <w:t>09</w:t>
      </w:r>
      <w:r w:rsidR="004F3B27" w:rsidRPr="00064E81">
        <w:noBreakHyphen/>
        <w:t>26</w:t>
      </w:r>
      <w:r w:rsidR="006F3C15">
        <w:t xml:space="preserve"> (Reference</w:t>
      </w:r>
      <w:bookmarkStart w:id="0" w:name="_Ref359575170"/>
      <w:r w:rsidR="00DF31D3">
        <w:t> </w:t>
      </w:r>
      <w:r w:rsidR="006F3C15" w:rsidRPr="006F3C15">
        <w:rPr>
          <w:rStyle w:val="EndnoteReference"/>
          <w:vertAlign w:val="baseline"/>
        </w:rPr>
        <w:endnoteReference w:id="8"/>
      </w:r>
      <w:bookmarkEnd w:id="0"/>
      <w:r w:rsidR="006F3C15">
        <w:t xml:space="preserve">). </w:t>
      </w:r>
      <w:r w:rsidR="004F3B27">
        <w:t xml:space="preserve"> </w:t>
      </w:r>
    </w:p>
    <w:p w:rsidR="004656FB" w:rsidRDefault="004656FB" w:rsidP="004F3B27"/>
    <w:p w:rsidR="004656FB" w:rsidRDefault="00770887" w:rsidP="004656FB">
      <w:r w:rsidRPr="00770887">
        <w:t xml:space="preserve">Surveillance of neutron-absorbing material degradation can involve the use of monitoring methods to assess or measure degradation of the material and computer codes to model and predict the condition of the materials used in the SFP.  For Boraflex, a combination of </w:t>
      </w:r>
      <w:r w:rsidR="004D6E2D">
        <w:t xml:space="preserve">the </w:t>
      </w:r>
      <w:r w:rsidRPr="00770887">
        <w:t xml:space="preserve">RACKLIFE </w:t>
      </w:r>
      <w:r w:rsidR="004D6E2D">
        <w:t xml:space="preserve">computer </w:t>
      </w:r>
      <w:r w:rsidR="000C67F3">
        <w:t xml:space="preserve">code </w:t>
      </w:r>
      <w:r w:rsidRPr="00770887">
        <w:t xml:space="preserve">and </w:t>
      </w:r>
      <w:r w:rsidR="004D6E2D">
        <w:t xml:space="preserve">the </w:t>
      </w:r>
      <w:r w:rsidRPr="00770887">
        <w:t xml:space="preserve">Boron Areal Density Gauge for Evaluating Racks (BADGER) </w:t>
      </w:r>
      <w:r w:rsidR="004D6E2D">
        <w:t>in</w:t>
      </w:r>
      <w:r w:rsidR="004D6E2D">
        <w:noBreakHyphen/>
        <w:t xml:space="preserve">situ measurement tool </w:t>
      </w:r>
      <w:r w:rsidRPr="00770887">
        <w:t>ha</w:t>
      </w:r>
      <w:r w:rsidR="001079E4">
        <w:t>s</w:t>
      </w:r>
      <w:r w:rsidRPr="00770887">
        <w:t xml:space="preserve"> been employed to manage degradation. </w:t>
      </w:r>
      <w:r w:rsidR="00C214D9">
        <w:t xml:space="preserve"> </w:t>
      </w:r>
      <w:r w:rsidRPr="00770887">
        <w:t>The RACKLIFE computer code was developed in the mid</w:t>
      </w:r>
      <w:r w:rsidR="00C32C38">
        <w:noBreakHyphen/>
      </w:r>
      <w:r w:rsidRPr="00770887">
        <w:t xml:space="preserve">1990s to track and predict the loss of Boraflex and to manage the storage patterns of spent fuel in the SFP.  The BADGER system was originally </w:t>
      </w:r>
      <w:r w:rsidRPr="00770887">
        <w:lastRenderedPageBreak/>
        <w:t>designed, assembled, and tested in the early to mid</w:t>
      </w:r>
      <w:r w:rsidR="00C32C38">
        <w:noBreakHyphen/>
      </w:r>
      <w:r w:rsidRPr="00770887">
        <w:t>1990s by Northeast Technologies Company (now a subsidiary of</w:t>
      </w:r>
      <w:r w:rsidR="001079E4">
        <w:t xml:space="preserve"> </w:t>
      </w:r>
      <w:r w:rsidRPr="00770887">
        <w:t>Curtiss</w:t>
      </w:r>
      <w:r w:rsidR="00C03867">
        <w:t>–</w:t>
      </w:r>
      <w:r w:rsidRPr="00770887">
        <w:t xml:space="preserve">Wright) as a nondestructive scoping tool to evaluate neutron-absorbing materials placed in spent fuel racks.  </w:t>
      </w:r>
      <w:r w:rsidR="00862A39">
        <w:t>Although</w:t>
      </w:r>
      <w:r w:rsidRPr="00770887">
        <w:t xml:space="preserve"> BADGER was designed and is employed primarily to measure the degradation of Boraflex, it is theoretically applicable to any neutron-absorbing material and has been used for </w:t>
      </w:r>
      <w:r w:rsidR="004D6E2D">
        <w:t>Carborundum</w:t>
      </w:r>
      <w:r w:rsidRPr="00770887">
        <w:t xml:space="preserve"> and Boral</w:t>
      </w:r>
      <w:r w:rsidRPr="00770887">
        <w:rPr>
          <w:rFonts w:cs="Arial"/>
          <w:vertAlign w:val="superscript"/>
        </w:rPr>
        <w:t>®</w:t>
      </w:r>
      <w:r w:rsidRPr="00770887">
        <w:t>.</w:t>
      </w:r>
      <w:r w:rsidR="008E343C">
        <w:t xml:space="preserve">  </w:t>
      </w:r>
      <w:r w:rsidRPr="00770887">
        <w:t>Other surveillance methods include testing of representative coupo</w:t>
      </w:r>
      <w:r w:rsidR="00567B77">
        <w:t xml:space="preserve">n samples.  </w:t>
      </w:r>
      <w:r w:rsidRPr="00770887">
        <w:t>These tests may include dimensional, neutron attenuation, and weight tests.</w:t>
      </w:r>
    </w:p>
    <w:p w:rsidR="002A6880" w:rsidRDefault="002A6880">
      <w:pPr>
        <w:keepNext/>
        <w:rPr>
          <w:b/>
        </w:rPr>
      </w:pPr>
    </w:p>
    <w:p w:rsidR="003F021B" w:rsidRDefault="004F3B27">
      <w:pPr>
        <w:keepNext/>
        <w:rPr>
          <w:b/>
        </w:rPr>
      </w:pPr>
      <w:r w:rsidRPr="00EC341B">
        <w:rPr>
          <w:b/>
        </w:rPr>
        <w:t>Operating Experience</w:t>
      </w:r>
    </w:p>
    <w:p w:rsidR="003F021B" w:rsidRDefault="003F021B">
      <w:pPr>
        <w:keepNext/>
        <w:rPr>
          <w:b/>
        </w:rPr>
      </w:pPr>
    </w:p>
    <w:p w:rsidR="004F3B27" w:rsidRDefault="004F3B27" w:rsidP="004F3B27">
      <w:r>
        <w:t>On October 6, 2003, Florida Power and Light (FPL) Energy Seabrook, LLC</w:t>
      </w:r>
      <w:r w:rsidR="00437032">
        <w:t>,</w:t>
      </w:r>
      <w:r>
        <w:t xml:space="preserve"> reported a condition involving </w:t>
      </w:r>
      <w:r w:rsidRPr="00AA3E93">
        <w:t>Boral</w:t>
      </w:r>
      <w:r w:rsidRPr="002B5796">
        <w:rPr>
          <w:rFonts w:cs="Arial"/>
          <w:vertAlign w:val="superscript"/>
        </w:rPr>
        <w:t>®</w:t>
      </w:r>
      <w:r>
        <w:t xml:space="preserve"> </w:t>
      </w:r>
      <w:r w:rsidR="008E343C">
        <w:t>SFP</w:t>
      </w:r>
      <w:r>
        <w:t xml:space="preserve"> test coupons (</w:t>
      </w:r>
      <w:r w:rsidR="006F3C15" w:rsidRPr="006F3C15">
        <w:t>Reference</w:t>
      </w:r>
      <w:r w:rsidR="005D5D7F">
        <w:t> </w:t>
      </w:r>
      <w:r w:rsidR="006F3C15" w:rsidRPr="006F3C15">
        <w:rPr>
          <w:rStyle w:val="EndnoteReference"/>
          <w:vertAlign w:val="baseline"/>
        </w:rPr>
        <w:endnoteReference w:id="9"/>
      </w:r>
      <w:r w:rsidR="006F3C15" w:rsidRPr="006F3C15">
        <w:t>)</w:t>
      </w:r>
      <w:r w:rsidRPr="006F3C15">
        <w:t>.</w:t>
      </w:r>
      <w:r>
        <w:t xml:space="preserve">  The licensee reported that </w:t>
      </w:r>
      <w:r w:rsidR="00C31EF5">
        <w:t xml:space="preserve">the </w:t>
      </w:r>
      <w:r>
        <w:t xml:space="preserve">inspection of test coupons revealed bulging or blistering of the aluminum cladding.  </w:t>
      </w:r>
      <w:r w:rsidRPr="00AA3E93">
        <w:t>Boral</w:t>
      </w:r>
      <w:r w:rsidRPr="002B5796">
        <w:rPr>
          <w:rFonts w:cs="Arial"/>
          <w:vertAlign w:val="superscript"/>
        </w:rPr>
        <w:t>®</w:t>
      </w:r>
      <w:r>
        <w:t xml:space="preserve"> test coupons had been placed in the SFP as monitoring specimens to assess the performance of similar </w:t>
      </w:r>
      <w:r w:rsidRPr="00AA3E93">
        <w:t>Boral</w:t>
      </w:r>
      <w:r w:rsidRPr="002B5796">
        <w:rPr>
          <w:rFonts w:cs="Arial"/>
          <w:vertAlign w:val="superscript"/>
        </w:rPr>
        <w:t>®</w:t>
      </w:r>
      <w:r>
        <w:t xml:space="preserve"> neutron-absorbing material incorporated in the SFP racks.  The licensee measured the </w:t>
      </w:r>
      <w:r w:rsidRPr="00E03EEB">
        <w:rPr>
          <w:vertAlign w:val="superscript"/>
        </w:rPr>
        <w:t>10</w:t>
      </w:r>
      <w:r>
        <w:t xml:space="preserve">B areal density in the </w:t>
      </w:r>
      <w:r w:rsidRPr="00AA3E93">
        <w:t>Boral</w:t>
      </w:r>
      <w:r w:rsidRPr="002B5796">
        <w:rPr>
          <w:rFonts w:cs="Arial"/>
          <w:vertAlign w:val="superscript"/>
        </w:rPr>
        <w:t>®</w:t>
      </w:r>
      <w:r>
        <w:t xml:space="preserve"> coupons by neutron-attenuation testing.  The licensee reported that </w:t>
      </w:r>
      <w:r w:rsidR="008E343C">
        <w:t>t</w:t>
      </w:r>
      <w:r>
        <w:t xml:space="preserve">he areal density </w:t>
      </w:r>
      <w:r w:rsidR="008E343C">
        <w:t>results were</w:t>
      </w:r>
      <w:r>
        <w:t xml:space="preserve"> within specification and </w:t>
      </w:r>
      <w:r w:rsidR="008E343C">
        <w:t xml:space="preserve">that </w:t>
      </w:r>
      <w:r>
        <w:t xml:space="preserve">there was no loss of </w:t>
      </w:r>
      <w:r w:rsidRPr="00E03EEB">
        <w:rPr>
          <w:vertAlign w:val="superscript"/>
        </w:rPr>
        <w:t>10</w:t>
      </w:r>
      <w:r>
        <w:t xml:space="preserve">B material.  Furthermore, </w:t>
      </w:r>
      <w:r w:rsidR="00170820">
        <w:t>the licensee stated</w:t>
      </w:r>
      <w:r>
        <w:t xml:space="preserve"> that the impact of the </w:t>
      </w:r>
      <w:r w:rsidR="00170820">
        <w:t>Boral</w:t>
      </w:r>
      <w:r w:rsidR="00170820" w:rsidRPr="00AC7CE4">
        <w:rPr>
          <w:vertAlign w:val="superscript"/>
        </w:rPr>
        <w:t>®</w:t>
      </w:r>
      <w:r w:rsidR="00170820">
        <w:t xml:space="preserve"> </w:t>
      </w:r>
      <w:r>
        <w:t xml:space="preserve">blistering on the flux trap racks was determined to be small and within the bounds of the NCS analyses.  Thus, the </w:t>
      </w:r>
      <w:r w:rsidRPr="00AA3E93">
        <w:t>Boral</w:t>
      </w:r>
      <w:r w:rsidRPr="002B5796">
        <w:rPr>
          <w:rFonts w:cs="Arial"/>
          <w:vertAlign w:val="superscript"/>
        </w:rPr>
        <w:t>®</w:t>
      </w:r>
      <w:r>
        <w:t xml:space="preserve"> maintained its </w:t>
      </w:r>
      <w:r w:rsidR="00466915">
        <w:t>safety</w:t>
      </w:r>
      <w:r w:rsidR="00E957AA">
        <w:t xml:space="preserve"> </w:t>
      </w:r>
      <w:r>
        <w:t xml:space="preserve">function.  As a result of this event, the licensee developed a </w:t>
      </w:r>
      <w:r w:rsidRPr="00AA3E93">
        <w:t>Boral</w:t>
      </w:r>
      <w:r w:rsidRPr="002B5796">
        <w:rPr>
          <w:rFonts w:cs="Arial"/>
          <w:vertAlign w:val="superscript"/>
        </w:rPr>
        <w:t>®</w:t>
      </w:r>
      <w:r>
        <w:t xml:space="preserve"> Monitoring Program and added a blistering allowance in the SFP criticality curves to account for the potential bulging or blistering of the material in the SFP racks.  </w:t>
      </w:r>
    </w:p>
    <w:p w:rsidR="004F3B27" w:rsidRDefault="004F3B27" w:rsidP="004F3B27"/>
    <w:p w:rsidR="004F3B27" w:rsidRPr="000B4F7D" w:rsidRDefault="004F3B27" w:rsidP="004F3B27">
      <w:r>
        <w:rPr>
          <w:szCs w:val="20"/>
        </w:rPr>
        <w:t>In July 2008</w:t>
      </w:r>
      <w:r>
        <w:t xml:space="preserve">, </w:t>
      </w:r>
      <w:r w:rsidR="00EB08D2">
        <w:t xml:space="preserve">the </w:t>
      </w:r>
      <w:r w:rsidR="00EB08D2" w:rsidRPr="000B4F7D">
        <w:t xml:space="preserve">licensee for </w:t>
      </w:r>
      <w:r w:rsidRPr="000B4F7D">
        <w:t xml:space="preserve">Palisades Nuclear Plant (Palisades) identified severe degradation of the SFP neutron-absorbing material </w:t>
      </w:r>
      <w:r w:rsidR="004D6E2D" w:rsidRPr="000B4F7D">
        <w:t>Carborundum</w:t>
      </w:r>
      <w:r w:rsidRPr="000B4F7D">
        <w:t>.  Palisades performed blackness testing</w:t>
      </w:r>
      <w:r w:rsidRPr="000B4F7D">
        <w:rPr>
          <w:rStyle w:val="FootnoteReference"/>
        </w:rPr>
        <w:footnoteReference w:id="3"/>
      </w:r>
      <w:r w:rsidRPr="000B4F7D">
        <w:t xml:space="preserve"> to determine if the </w:t>
      </w:r>
      <w:r w:rsidR="004D6E2D" w:rsidRPr="000B4F7D">
        <w:t>Carborundum</w:t>
      </w:r>
      <w:r w:rsidRPr="000B4F7D">
        <w:t xml:space="preserve"> neutron-absorbing material in the racks remained capable of performing its </w:t>
      </w:r>
      <w:r w:rsidR="00466915" w:rsidRPr="000B4F7D">
        <w:t>safety</w:t>
      </w:r>
      <w:r w:rsidR="00E957AA" w:rsidRPr="000B4F7D">
        <w:t xml:space="preserve"> </w:t>
      </w:r>
      <w:r w:rsidRPr="000B4F7D">
        <w:t xml:space="preserve">function.  </w:t>
      </w:r>
      <w:r w:rsidR="00A174D2" w:rsidRPr="000B4F7D">
        <w:t xml:space="preserve">The testing revealed that several </w:t>
      </w:r>
      <w:r w:rsidR="004D6E2D" w:rsidRPr="000B4F7D">
        <w:t>Carborundum</w:t>
      </w:r>
      <w:r w:rsidR="00A174D2" w:rsidRPr="000B4F7D">
        <w:t xml:space="preserve"> panels were so severely degraded that only approximately one-third of </w:t>
      </w:r>
      <w:r w:rsidR="00DB6666" w:rsidRPr="000B4F7D">
        <w:t>its</w:t>
      </w:r>
      <w:r w:rsidR="00A174D2" w:rsidRPr="000B4F7D">
        <w:t xml:space="preserve"> original </w:t>
      </w:r>
      <w:r w:rsidR="00A174D2" w:rsidRPr="000B4F7D">
        <w:rPr>
          <w:vertAlign w:val="superscript"/>
        </w:rPr>
        <w:t>10</w:t>
      </w:r>
      <w:r w:rsidR="00A174D2" w:rsidRPr="000B4F7D">
        <w:t>B remained.</w:t>
      </w:r>
      <w:r w:rsidRPr="000B4F7D">
        <w:t xml:space="preserve">  As a result, the licensee was unable to demonstrate that the SFP satisfied the subcriticality requirements in accordance with NRC regulations and </w:t>
      </w:r>
      <w:r w:rsidR="00862A39" w:rsidRPr="000B4F7D">
        <w:t xml:space="preserve">plant </w:t>
      </w:r>
      <w:r w:rsidRPr="000B4F7D">
        <w:t>TS (</w:t>
      </w:r>
      <w:r w:rsidR="006F3C15" w:rsidRPr="000B4F7D">
        <w:t>Reference</w:t>
      </w:r>
      <w:r w:rsidR="006020D9" w:rsidRPr="000B4F7D">
        <w:t> </w:t>
      </w:r>
      <w:r w:rsidR="00B95A0E" w:rsidRPr="000B4F7D">
        <w:fldChar w:fldCharType="begin"/>
      </w:r>
      <w:r w:rsidR="00DA4C9D" w:rsidRPr="000B4F7D">
        <w:instrText xml:space="preserve"> NOTEREF _Ref359575170 \h </w:instrText>
      </w:r>
      <w:r w:rsidR="000B4F7D">
        <w:instrText xml:space="preserve"> \* MERGEFORMAT </w:instrText>
      </w:r>
      <w:r w:rsidR="00B95A0E" w:rsidRPr="000B4F7D">
        <w:fldChar w:fldCharType="separate"/>
      </w:r>
      <w:r w:rsidR="009117C2">
        <w:t>7</w:t>
      </w:r>
      <w:r w:rsidR="00B95A0E" w:rsidRPr="000B4F7D">
        <w:fldChar w:fldCharType="end"/>
      </w:r>
      <w:r w:rsidRPr="000B4F7D">
        <w:t xml:space="preserve">).  Because the licensee had not </w:t>
      </w:r>
      <w:r w:rsidR="008E343C" w:rsidRPr="000B4F7D">
        <w:t>performed</w:t>
      </w:r>
      <w:r w:rsidRPr="000B4F7D">
        <w:t xml:space="preserve"> routine surveillance of the neutron-absorbing capacity of the material, the time of degradation onset and the degradation rate </w:t>
      </w:r>
      <w:r w:rsidR="008E343C" w:rsidRPr="000B4F7D">
        <w:t>were</w:t>
      </w:r>
      <w:r w:rsidRPr="000B4F7D">
        <w:t xml:space="preserve"> unknown.  </w:t>
      </w:r>
    </w:p>
    <w:p w:rsidR="004F3B27" w:rsidRPr="000B4F7D" w:rsidRDefault="004F3B27" w:rsidP="004F3B27">
      <w:pPr>
        <w:rPr>
          <w:rFonts w:cs="Arial"/>
          <w:color w:val="1F497D"/>
        </w:rPr>
      </w:pPr>
    </w:p>
    <w:p w:rsidR="004F3B27" w:rsidRDefault="004F3B27" w:rsidP="004F3B27">
      <w:r w:rsidRPr="000B4F7D">
        <w:t xml:space="preserve">In January 2009, </w:t>
      </w:r>
      <w:r w:rsidR="00EB08D2" w:rsidRPr="000B4F7D">
        <w:t xml:space="preserve">the licensee for </w:t>
      </w:r>
      <w:r w:rsidRPr="000B4F7D">
        <w:t>Beaver Valley Power Station, Units 1 and</w:t>
      </w:r>
      <w:r w:rsidR="00330407" w:rsidRPr="000B4F7D">
        <w:t> </w:t>
      </w:r>
      <w:r w:rsidRPr="000B4F7D">
        <w:t>2 (Beaver Valley), submitted supplemental information</w:t>
      </w:r>
      <w:r>
        <w:t xml:space="preserve"> identifying </w:t>
      </w:r>
      <w:r w:rsidRPr="00AA3E93">
        <w:t>Boral</w:t>
      </w:r>
      <w:r w:rsidRPr="002B5796">
        <w:rPr>
          <w:rFonts w:cs="Arial"/>
          <w:vertAlign w:val="superscript"/>
        </w:rPr>
        <w:t>®</w:t>
      </w:r>
      <w:r>
        <w:t xml:space="preserve"> degradation in the SFP in support of its </w:t>
      </w:r>
      <w:r w:rsidRPr="00F653AF">
        <w:t>license renewal application (</w:t>
      </w:r>
      <w:r w:rsidR="006F3C15">
        <w:t>Reference</w:t>
      </w:r>
      <w:r w:rsidR="008A7E5B">
        <w:t> </w:t>
      </w:r>
      <w:r w:rsidR="006F3C15" w:rsidRPr="006F3C15">
        <w:rPr>
          <w:rStyle w:val="EndnoteReference"/>
          <w:vertAlign w:val="baseline"/>
        </w:rPr>
        <w:endnoteReference w:id="10"/>
      </w:r>
      <w:r w:rsidRPr="006F3C15">
        <w:t>)</w:t>
      </w:r>
      <w:r>
        <w:t>.  The</w:t>
      </w:r>
      <w:r w:rsidRPr="00F653AF">
        <w:t xml:space="preserve"> licensee </w:t>
      </w:r>
      <w:r>
        <w:t xml:space="preserve">stated that </w:t>
      </w:r>
      <w:r w:rsidRPr="00F653AF">
        <w:t xml:space="preserve">inspections </w:t>
      </w:r>
      <w:r>
        <w:t xml:space="preserve">conducted </w:t>
      </w:r>
      <w:r w:rsidRPr="00F653AF">
        <w:t xml:space="preserve">in 2007 of the </w:t>
      </w:r>
      <w:r w:rsidRPr="00AA3E93">
        <w:t>Boral</w:t>
      </w:r>
      <w:r w:rsidRPr="002B5796">
        <w:rPr>
          <w:rFonts w:cs="Arial"/>
          <w:vertAlign w:val="superscript"/>
        </w:rPr>
        <w:t>®</w:t>
      </w:r>
      <w:r w:rsidRPr="00F653AF">
        <w:t xml:space="preserve"> </w:t>
      </w:r>
      <w:r>
        <w:t>neutron-absorbing</w:t>
      </w:r>
      <w:r w:rsidRPr="00F653AF">
        <w:t xml:space="preserve"> material coupons identified</w:t>
      </w:r>
      <w:r>
        <w:t xml:space="preserve"> </w:t>
      </w:r>
      <w:r w:rsidRPr="00F653AF">
        <w:t>numerous blisters of the aluminum cladding, while only a few small blisters were identified in</w:t>
      </w:r>
      <w:r>
        <w:t xml:space="preserve"> </w:t>
      </w:r>
      <w:r w:rsidRPr="00F653AF">
        <w:t xml:space="preserve">2002. </w:t>
      </w:r>
      <w:r>
        <w:t xml:space="preserve"> This degradation posed a potential safety concern because blisters may displace water from the flux trap between the deformed cladding and the </w:t>
      </w:r>
      <w:r w:rsidR="00EB08D2">
        <w:t>b</w:t>
      </w:r>
      <w:r w:rsidR="004D6E2D">
        <w:t>oron</w:t>
      </w:r>
      <w:r w:rsidR="00437032">
        <w:noBreakHyphen/>
      </w:r>
      <w:r>
        <w:t>containing core i</w:t>
      </w:r>
      <w:r w:rsidRPr="00F653AF">
        <w:t xml:space="preserve">n </w:t>
      </w:r>
      <w:r>
        <w:t>certain</w:t>
      </w:r>
      <w:r w:rsidRPr="00F653AF">
        <w:t xml:space="preserve"> fuel storage racks</w:t>
      </w:r>
      <w:r w:rsidR="008E343C">
        <w:t xml:space="preserve"> that</w:t>
      </w:r>
      <w:r>
        <w:t xml:space="preserve"> </w:t>
      </w:r>
      <w:r w:rsidRPr="00F653AF">
        <w:t>challeng</w:t>
      </w:r>
      <w:r>
        <w:t>e</w:t>
      </w:r>
      <w:r w:rsidRPr="00F653AF">
        <w:t xml:space="preserve"> </w:t>
      </w:r>
      <w:r w:rsidR="008E343C">
        <w:t xml:space="preserve">the </w:t>
      </w:r>
      <w:r w:rsidRPr="00F653AF">
        <w:t xml:space="preserve">dimensional assumptions used in the </w:t>
      </w:r>
      <w:r>
        <w:t>NCS analyses</w:t>
      </w:r>
      <w:r w:rsidRPr="00F653AF">
        <w:t xml:space="preserve">. </w:t>
      </w:r>
      <w:r>
        <w:t xml:space="preserve"> </w:t>
      </w:r>
      <w:r w:rsidRPr="00F653AF">
        <w:t>Based on</w:t>
      </w:r>
      <w:r>
        <w:t xml:space="preserve"> </w:t>
      </w:r>
      <w:r w:rsidRPr="00F653AF">
        <w:t xml:space="preserve">these inspections, the licensee determined that the </w:t>
      </w:r>
      <w:r w:rsidRPr="00AA3E93">
        <w:t>Boral</w:t>
      </w:r>
      <w:r w:rsidRPr="002B5796">
        <w:rPr>
          <w:rFonts w:cs="Arial"/>
          <w:vertAlign w:val="superscript"/>
        </w:rPr>
        <w:t>®</w:t>
      </w:r>
      <w:r w:rsidRPr="00F653AF">
        <w:t xml:space="preserve"> aluminum cladding blistering was an</w:t>
      </w:r>
      <w:r>
        <w:t xml:space="preserve"> </w:t>
      </w:r>
      <w:r w:rsidRPr="00F653AF">
        <w:t xml:space="preserve">aging effect </w:t>
      </w:r>
      <w:r>
        <w:t>requiring management</w:t>
      </w:r>
      <w:r w:rsidR="000E0458">
        <w:t>,</w:t>
      </w:r>
      <w:r>
        <w:t xml:space="preserve"> </w:t>
      </w:r>
      <w:r w:rsidRPr="00F653AF">
        <w:t xml:space="preserve">and </w:t>
      </w:r>
      <w:r>
        <w:t>decided to</w:t>
      </w:r>
      <w:r w:rsidRPr="00F653AF">
        <w:t xml:space="preserve"> credit the existing </w:t>
      </w:r>
      <w:r w:rsidRPr="00AA3E93">
        <w:t>Boral</w:t>
      </w:r>
      <w:r w:rsidRPr="002B5796">
        <w:rPr>
          <w:rFonts w:cs="Arial"/>
          <w:vertAlign w:val="superscript"/>
        </w:rPr>
        <w:t>®</w:t>
      </w:r>
      <w:r w:rsidRPr="00F653AF">
        <w:t xml:space="preserve"> Surveillance Program </w:t>
      </w:r>
      <w:r>
        <w:t>for</w:t>
      </w:r>
      <w:r w:rsidRPr="00F653AF">
        <w:t xml:space="preserve"> manag</w:t>
      </w:r>
      <w:r w:rsidR="00C31EF5">
        <w:t>ing</w:t>
      </w:r>
      <w:r>
        <w:t xml:space="preserve"> </w:t>
      </w:r>
      <w:r w:rsidRPr="00F653AF">
        <w:t>this aging</w:t>
      </w:r>
      <w:r>
        <w:t xml:space="preserve"> effect in its license renewal application</w:t>
      </w:r>
      <w:r w:rsidRPr="00F653AF">
        <w:t>.</w:t>
      </w:r>
      <w:r>
        <w:t xml:space="preserve">  </w:t>
      </w:r>
      <w:r w:rsidR="008E343C">
        <w:t xml:space="preserve">From this experience, Beaver Valley </w:t>
      </w:r>
      <w:r>
        <w:t>identifi</w:t>
      </w:r>
      <w:r w:rsidR="008E343C">
        <w:t>ed</w:t>
      </w:r>
      <w:r>
        <w:t xml:space="preserve"> neutron-absorb</w:t>
      </w:r>
      <w:r w:rsidR="008E343C">
        <w:t>ing material degradation and</w:t>
      </w:r>
      <w:r>
        <w:t xml:space="preserve"> develop</w:t>
      </w:r>
      <w:r w:rsidR="008E343C">
        <w:t>ed</w:t>
      </w:r>
      <w:r>
        <w:t xml:space="preserve"> or enhanc</w:t>
      </w:r>
      <w:r w:rsidR="008E343C">
        <w:t>ed</w:t>
      </w:r>
      <w:r>
        <w:t xml:space="preserve"> </w:t>
      </w:r>
      <w:r w:rsidR="00DB6666">
        <w:t xml:space="preserve">its </w:t>
      </w:r>
      <w:r w:rsidR="00C61644">
        <w:t>monitoring</w:t>
      </w:r>
      <w:r>
        <w:t xml:space="preserve"> programs.  </w:t>
      </w:r>
    </w:p>
    <w:p w:rsidR="008222FB" w:rsidRDefault="008222FB" w:rsidP="004F3B27"/>
    <w:p w:rsidR="004F3B27" w:rsidRDefault="004F3B27" w:rsidP="004F3B27">
      <w:r>
        <w:lastRenderedPageBreak/>
        <w:t xml:space="preserve">In September 2009, </w:t>
      </w:r>
      <w:r w:rsidRPr="00613D66">
        <w:t>FPL</w:t>
      </w:r>
      <w:r>
        <w:t xml:space="preserve"> informed the NRC that </w:t>
      </w:r>
      <w:r w:rsidR="00004A55">
        <w:t xml:space="preserve">due to procurement </w:t>
      </w:r>
      <w:r>
        <w:t>challenges</w:t>
      </w:r>
      <w:r w:rsidR="00CC5B6A">
        <w:t xml:space="preserve"> </w:t>
      </w:r>
      <w:r>
        <w:t xml:space="preserve">with </w:t>
      </w:r>
      <w:r w:rsidRPr="00AA3E93">
        <w:t>Metamic</w:t>
      </w:r>
      <w:r>
        <w:rPr>
          <w:rFonts w:cs="Arial"/>
          <w:vertAlign w:val="superscript"/>
        </w:rPr>
        <w:t>™</w:t>
      </w:r>
      <w:r>
        <w:t xml:space="preserve"> neutron-absorbing material inserts, Turkey Point Nuclear Generating</w:t>
      </w:r>
      <w:r w:rsidR="00E02499">
        <w:t xml:space="preserve"> Station,</w:t>
      </w:r>
      <w:r>
        <w:t xml:space="preserve"> Unit</w:t>
      </w:r>
      <w:r w:rsidR="00CE2B74">
        <w:t> </w:t>
      </w:r>
      <w:r>
        <w:t>3 (Turkey</w:t>
      </w:r>
      <w:r w:rsidR="006429D2">
        <w:t> </w:t>
      </w:r>
      <w:r>
        <w:t>Point</w:t>
      </w:r>
      <w:r w:rsidR="00CE2B74">
        <w:t> </w:t>
      </w:r>
      <w:r>
        <w:t xml:space="preserve">3) would be unable to fully implement </w:t>
      </w:r>
      <w:r w:rsidR="006C01CD">
        <w:t xml:space="preserve">license </w:t>
      </w:r>
      <w:r>
        <w:t xml:space="preserve">amendment No. 234.  </w:t>
      </w:r>
      <w:r w:rsidR="008E343C">
        <w:t xml:space="preserve">In this amendment, </w:t>
      </w:r>
      <w:r w:rsidR="006429D2">
        <w:t xml:space="preserve">the </w:t>
      </w:r>
      <w:r w:rsidR="008E343C">
        <w:t>NRC approved</w:t>
      </w:r>
      <w:r>
        <w:t xml:space="preserve"> the replacement of Boraflex with a combination of rod cluster control assemblies, </w:t>
      </w:r>
      <w:r w:rsidRPr="00AA3E93">
        <w:t>Metamic</w:t>
      </w:r>
      <w:r>
        <w:rPr>
          <w:rFonts w:cs="Arial"/>
          <w:vertAlign w:val="superscript"/>
        </w:rPr>
        <w:t>™</w:t>
      </w:r>
      <w:r>
        <w:t xml:space="preserve"> rack inserts, and administrative controls that require</w:t>
      </w:r>
      <w:r w:rsidR="008E343C">
        <w:t>d</w:t>
      </w:r>
      <w:r>
        <w:t xml:space="preserve"> mixing storage of higher reactivity fuel with lower reactivity fuel.  As a result of the procure</w:t>
      </w:r>
      <w:r w:rsidR="004F50E8">
        <w:t>ment challenges with</w:t>
      </w:r>
      <w:r>
        <w:t xml:space="preserve"> </w:t>
      </w:r>
      <w:r w:rsidRPr="00AA3E93">
        <w:t>Metamic</w:t>
      </w:r>
      <w:r>
        <w:rPr>
          <w:rFonts w:cs="Arial"/>
          <w:vertAlign w:val="superscript"/>
        </w:rPr>
        <w:t>™</w:t>
      </w:r>
      <w:r>
        <w:t xml:space="preserve"> rack inserts and the continued Boraflex degradation</w:t>
      </w:r>
      <w:r w:rsidR="00DB1026">
        <w:t>,</w:t>
      </w:r>
      <w:r>
        <w:t xml:space="preserve"> Turkey Point</w:t>
      </w:r>
      <w:r w:rsidR="00046068">
        <w:t xml:space="preserve"> 3 was </w:t>
      </w:r>
      <w:r>
        <w:t>n</w:t>
      </w:r>
      <w:r w:rsidR="00046068">
        <w:t xml:space="preserve">ot in </w:t>
      </w:r>
      <w:r>
        <w:t xml:space="preserve">compliance with </w:t>
      </w:r>
      <w:r w:rsidR="006429D2">
        <w:t>its</w:t>
      </w:r>
      <w:r>
        <w:t xml:space="preserve"> TS (</w:t>
      </w:r>
      <w:r w:rsidR="006F3C15">
        <w:t>Reference</w:t>
      </w:r>
      <w:bookmarkStart w:id="1" w:name="_Ref359935516"/>
      <w:r w:rsidR="00A94509">
        <w:t> </w:t>
      </w:r>
      <w:r w:rsidR="006F3C15" w:rsidRPr="006F3C15">
        <w:rPr>
          <w:rStyle w:val="EndnoteReference"/>
          <w:vertAlign w:val="baseline"/>
        </w:rPr>
        <w:endnoteReference w:id="11"/>
      </w:r>
      <w:bookmarkEnd w:id="1"/>
      <w:r w:rsidRPr="006F3C15">
        <w:t>)</w:t>
      </w:r>
      <w:r>
        <w:t xml:space="preserve">.  In addition, </w:t>
      </w:r>
      <w:r>
        <w:rPr>
          <w:rFonts w:cs="Arial"/>
        </w:rPr>
        <w:t>FPL implemented compensatory measures</w:t>
      </w:r>
      <w:r w:rsidR="00046068">
        <w:rPr>
          <w:rFonts w:cs="Arial"/>
        </w:rPr>
        <w:t>,</w:t>
      </w:r>
      <w:r>
        <w:rPr>
          <w:rFonts w:cs="Arial"/>
        </w:rPr>
        <w:t xml:space="preserve"> including increasing soluble </w:t>
      </w:r>
      <w:r w:rsidR="00EB08D2">
        <w:rPr>
          <w:rFonts w:cs="Arial"/>
        </w:rPr>
        <w:t>b</w:t>
      </w:r>
      <w:r w:rsidR="004D6E2D">
        <w:rPr>
          <w:rFonts w:cs="Arial"/>
        </w:rPr>
        <w:t>oron</w:t>
      </w:r>
      <w:r>
        <w:rPr>
          <w:rFonts w:cs="Arial"/>
        </w:rPr>
        <w:t xml:space="preserve"> concentration levels, to ensure that the SFP remained subcritical, as the NRC acknowledged in </w:t>
      </w:r>
      <w:r w:rsidR="006F3C15">
        <w:rPr>
          <w:rFonts w:cs="Arial"/>
        </w:rPr>
        <w:t xml:space="preserve">a </w:t>
      </w:r>
      <w:r w:rsidR="0098033F">
        <w:rPr>
          <w:rFonts w:cs="Arial"/>
        </w:rPr>
        <w:t>c</w:t>
      </w:r>
      <w:r>
        <w:rPr>
          <w:rFonts w:cs="Arial"/>
        </w:rPr>
        <w:t xml:space="preserve">onfirmatory </w:t>
      </w:r>
      <w:r w:rsidR="0098033F">
        <w:rPr>
          <w:rFonts w:cs="Arial"/>
        </w:rPr>
        <w:t>a</w:t>
      </w:r>
      <w:r>
        <w:rPr>
          <w:rFonts w:cs="Arial"/>
        </w:rPr>
        <w:t xml:space="preserve">ction </w:t>
      </w:r>
      <w:r w:rsidR="0098033F">
        <w:rPr>
          <w:rFonts w:cs="Arial"/>
        </w:rPr>
        <w:t>l</w:t>
      </w:r>
      <w:r>
        <w:rPr>
          <w:rFonts w:cs="Arial"/>
        </w:rPr>
        <w:t xml:space="preserve">etter </w:t>
      </w:r>
      <w:r w:rsidR="006F3C15">
        <w:rPr>
          <w:rFonts w:cs="Arial"/>
        </w:rPr>
        <w:t>(Reference</w:t>
      </w:r>
      <w:r w:rsidR="006020D9">
        <w:rPr>
          <w:rFonts w:cs="Arial"/>
        </w:rPr>
        <w:t> </w:t>
      </w:r>
      <w:r w:rsidR="006F3C15" w:rsidRPr="006F3C15">
        <w:rPr>
          <w:rStyle w:val="EndnoteReference"/>
          <w:rFonts w:cs="Arial"/>
          <w:vertAlign w:val="baseline"/>
        </w:rPr>
        <w:endnoteReference w:id="12"/>
      </w:r>
      <w:r w:rsidR="006F3C15" w:rsidRPr="006F3C15">
        <w:rPr>
          <w:rFonts w:cs="Arial"/>
        </w:rPr>
        <w:t>)</w:t>
      </w:r>
      <w:r w:rsidRPr="006F3C15">
        <w:rPr>
          <w:rFonts w:cs="Arial"/>
        </w:rPr>
        <w:t>.</w:t>
      </w:r>
      <w:r w:rsidR="006C01CD">
        <w:rPr>
          <w:rFonts w:cs="Arial"/>
        </w:rPr>
        <w:t xml:space="preserve">  </w:t>
      </w:r>
      <w:r w:rsidRPr="00D926AD">
        <w:t xml:space="preserve">The NRC determined </w:t>
      </w:r>
      <w:r>
        <w:t xml:space="preserve">that </w:t>
      </w:r>
      <w:r w:rsidRPr="00D926AD">
        <w:t xml:space="preserve">the safety significance warranted findings for </w:t>
      </w:r>
      <w:r>
        <w:t>failure to comply with</w:t>
      </w:r>
      <w:r w:rsidRPr="00D926AD">
        <w:t xml:space="preserve"> TS</w:t>
      </w:r>
      <w:r>
        <w:t xml:space="preserve"> and failure to implement effective corrective actions for the Unit</w:t>
      </w:r>
      <w:r w:rsidR="001F4C02">
        <w:t> </w:t>
      </w:r>
      <w:r>
        <w:t>3 Boraflex degradation</w:t>
      </w:r>
      <w:r w:rsidR="00AC7CE4">
        <w:t xml:space="preserve"> (Reference</w:t>
      </w:r>
      <w:r w:rsidR="001F4C02">
        <w:t> </w:t>
      </w:r>
      <w:r w:rsidR="00B95A0E">
        <w:fldChar w:fldCharType="begin"/>
      </w:r>
      <w:r w:rsidR="00AC7CE4">
        <w:instrText xml:space="preserve"> NOTEREF _Ref359935516 \h </w:instrText>
      </w:r>
      <w:r w:rsidR="00B95A0E">
        <w:fldChar w:fldCharType="separate"/>
      </w:r>
      <w:r w:rsidR="009117C2">
        <w:t>10</w:t>
      </w:r>
      <w:r w:rsidR="00B95A0E">
        <w:fldChar w:fldCharType="end"/>
      </w:r>
      <w:r w:rsidR="00AC7CE4">
        <w:t>)</w:t>
      </w:r>
      <w:r>
        <w:t xml:space="preserve">.  </w:t>
      </w:r>
    </w:p>
    <w:p w:rsidR="004F3B27" w:rsidRDefault="004F3B27" w:rsidP="004F3B27"/>
    <w:p w:rsidR="004F3B27" w:rsidRDefault="004F3B27" w:rsidP="004F3B27">
      <w:r>
        <w:t>To address Boraflex degradation in 2010,</w:t>
      </w:r>
      <w:r w:rsidRPr="00AA3E93">
        <w:t xml:space="preserve"> </w:t>
      </w:r>
      <w:r>
        <w:t xml:space="preserve">Peach Bottom Atomic Power Station, </w:t>
      </w:r>
      <w:r w:rsidRPr="00F567ED">
        <w:t>Units</w:t>
      </w:r>
      <w:r>
        <w:t> </w:t>
      </w:r>
      <w:r w:rsidRPr="00F567ED">
        <w:t>2 and</w:t>
      </w:r>
      <w:r w:rsidR="001F79B6">
        <w:t> </w:t>
      </w:r>
      <w:r w:rsidRPr="00F567ED">
        <w:t>3</w:t>
      </w:r>
      <w:r>
        <w:t xml:space="preserve"> (Peach Bottom),</w:t>
      </w:r>
      <w:r w:rsidRPr="00AA3E93">
        <w:t xml:space="preserve"> performed an operability determination (OD)</w:t>
      </w:r>
      <w:r>
        <w:t xml:space="preserve"> based on the RACKLIFE surveillance program</w:t>
      </w:r>
      <w:r w:rsidRPr="00AA3E93">
        <w:t xml:space="preserve"> </w:t>
      </w:r>
      <w:r w:rsidR="0056151A">
        <w:t>that</w:t>
      </w:r>
      <w:r w:rsidR="0056151A" w:rsidRPr="00AA3E93">
        <w:t xml:space="preserve"> </w:t>
      </w:r>
      <w:r w:rsidRPr="00AA3E93">
        <w:t xml:space="preserve">concluded </w:t>
      </w:r>
      <w:r w:rsidR="00C31EF5">
        <w:t xml:space="preserve">it would maintain </w:t>
      </w:r>
      <w:r w:rsidRPr="00AA3E93">
        <w:t>sufficient margin to criticality in its SFP until 2014.  However, the NRC’s review of the OD conclu</w:t>
      </w:r>
      <w:r>
        <w:t xml:space="preserve">ded that the licensee </w:t>
      </w:r>
      <w:r w:rsidR="00004A55">
        <w:t>did</w:t>
      </w:r>
      <w:r>
        <w:t xml:space="preserve"> not accurately project the rate of Boraflex degradation and used several non</w:t>
      </w:r>
      <w:r w:rsidRPr="00AA3E93">
        <w:t>conservative assumptions in the analysis.  The licensee performed a re</w:t>
      </w:r>
      <w:r w:rsidR="00046068">
        <w:t>-</w:t>
      </w:r>
      <w:r w:rsidRPr="00AA3E93">
        <w:t>analysis and determined that several Boraflex panels had degraded below the T</w:t>
      </w:r>
      <w:r>
        <w:t xml:space="preserve">S requirements as early as the fourth quarter of 2008.  As a result, contrary to 10 CFR Part 50, </w:t>
      </w:r>
      <w:r w:rsidRPr="000B4F7D">
        <w:t xml:space="preserve">Appendix B, </w:t>
      </w:r>
      <w:r w:rsidR="009528CA" w:rsidRPr="000B4F7D">
        <w:t xml:space="preserve">“Quality Assurance Criteria for Nuclear Power Plants and Fuel Reprocessing Plants,” </w:t>
      </w:r>
      <w:r w:rsidRPr="000B4F7D">
        <w:t xml:space="preserve">Criterion XVI, “Corrective Action,” the licensee </w:t>
      </w:r>
      <w:r w:rsidR="00004A55" w:rsidRPr="000B4F7D">
        <w:t>failed to</w:t>
      </w:r>
      <w:r w:rsidRPr="000B4F7D">
        <w:t xml:space="preserve"> implement corrective actions to prevent the Boraflex panels from degrading below the TS requirements</w:t>
      </w:r>
      <w:r w:rsidR="008C3429" w:rsidRPr="000B4F7D">
        <w:t xml:space="preserve"> (</w:t>
      </w:r>
      <w:r w:rsidR="003148BF" w:rsidRPr="000B4F7D">
        <w:t>Reference</w:t>
      </w:r>
      <w:r w:rsidR="00924358" w:rsidRPr="000B4F7D">
        <w:t> </w:t>
      </w:r>
      <w:r w:rsidR="003148BF" w:rsidRPr="000B4F7D">
        <w:rPr>
          <w:rStyle w:val="EndnoteReference"/>
          <w:vertAlign w:val="baseline"/>
        </w:rPr>
        <w:endnoteReference w:id="13"/>
      </w:r>
      <w:r w:rsidR="008C3429" w:rsidRPr="000B4F7D">
        <w:t>)</w:t>
      </w:r>
      <w:r w:rsidRPr="000B4F7D">
        <w:t>.  Although the licensee initiated a neutron-absorbing material monitoring program, t</w:t>
      </w:r>
      <w:r>
        <w:t xml:space="preserve">he program did not adequately monitor and manage degradation of the Boraflex panels in the SFP to ensure </w:t>
      </w:r>
      <w:r w:rsidR="00046068">
        <w:t xml:space="preserve">maintenance of </w:t>
      </w:r>
      <w:r>
        <w:t xml:space="preserve">sufficient margin.  </w:t>
      </w:r>
      <w:r w:rsidRPr="00ED4FEB">
        <w:t xml:space="preserve">This </w:t>
      </w:r>
      <w:r>
        <w:t xml:space="preserve">previously </w:t>
      </w:r>
      <w:r w:rsidRPr="00ED4FEB">
        <w:t>unidentified and unmitigated degradation posed a potential safety concern</w:t>
      </w:r>
      <w:r w:rsidR="00CC5B6A">
        <w:t xml:space="preserve"> since</w:t>
      </w:r>
      <w:r w:rsidRPr="00ED4FEB">
        <w:t xml:space="preserve"> it reduced the </w:t>
      </w:r>
      <w:r w:rsidR="00AE674C">
        <w:t>sub</w:t>
      </w:r>
      <w:r w:rsidR="00CC5B6A">
        <w:t xml:space="preserve">criticality </w:t>
      </w:r>
      <w:r w:rsidRPr="00ED4FEB">
        <w:t>margin</w:t>
      </w:r>
      <w:r>
        <w:t xml:space="preserve">.  </w:t>
      </w:r>
    </w:p>
    <w:p w:rsidR="002A6880" w:rsidRDefault="002A6880" w:rsidP="004F3B27">
      <w:pPr>
        <w:outlineLvl w:val="0"/>
        <w:rPr>
          <w:b/>
        </w:rPr>
      </w:pPr>
    </w:p>
    <w:p w:rsidR="004F3B27" w:rsidRPr="0012642C" w:rsidRDefault="004F3B27" w:rsidP="004F3B27">
      <w:pPr>
        <w:outlineLvl w:val="0"/>
        <w:rPr>
          <w:b/>
        </w:rPr>
      </w:pPr>
      <w:r w:rsidRPr="00613D66">
        <w:rPr>
          <w:b/>
        </w:rPr>
        <w:t>NRC Actions</w:t>
      </w:r>
    </w:p>
    <w:p w:rsidR="004F3B27" w:rsidRDefault="004F3B27" w:rsidP="004F3B27"/>
    <w:p w:rsidR="004F3B27" w:rsidRDefault="004D6E2D" w:rsidP="004F3B27">
      <w:r>
        <w:t xml:space="preserve">The operating experience coupled with </w:t>
      </w:r>
      <w:r w:rsidR="004F3B27">
        <w:t xml:space="preserve">regulatory actions (e.g., plant site </w:t>
      </w:r>
      <w:r w:rsidR="009B19A1">
        <w:t xml:space="preserve">inspections </w:t>
      </w:r>
      <w:r w:rsidR="004F3B27">
        <w:t>and review</w:t>
      </w:r>
      <w:r w:rsidR="007E5559">
        <w:t>s</w:t>
      </w:r>
      <w:r w:rsidR="004F3B27">
        <w:t xml:space="preserve"> of license renewal applications and license amendments) </w:t>
      </w:r>
      <w:r>
        <w:t xml:space="preserve">indicated a gap in the NRC </w:t>
      </w:r>
      <w:r w:rsidR="009B19A1">
        <w:t xml:space="preserve">regulatory </w:t>
      </w:r>
      <w:r w:rsidR="004F3B27">
        <w:t>knowledge base o</w:t>
      </w:r>
      <w:r w:rsidR="00AC7CE4">
        <w:t>f</w:t>
      </w:r>
      <w:r w:rsidR="004F3B27">
        <w:t xml:space="preserve"> neutron-absorbing materials.  In addition, the </w:t>
      </w:r>
      <w:r w:rsidR="00CC5B6A">
        <w:t>NRC</w:t>
      </w:r>
      <w:r w:rsidR="004F3B27">
        <w:t xml:space="preserve"> determined that existing regulatory guidance did not adequately address the m</w:t>
      </w:r>
      <w:r w:rsidR="004F3B27" w:rsidRPr="002A3F74">
        <w:t xml:space="preserve">anagement of the effects of </w:t>
      </w:r>
      <w:r w:rsidR="004F3B27">
        <w:t xml:space="preserve">aging on </w:t>
      </w:r>
      <w:r w:rsidR="004F3B27" w:rsidRPr="002A3F74">
        <w:t xml:space="preserve">the </w:t>
      </w:r>
      <w:r w:rsidR="004F3B27">
        <w:t xml:space="preserve">neutron-absorbing </w:t>
      </w:r>
      <w:r w:rsidR="004F3B27" w:rsidRPr="002A3F74">
        <w:t>materials</w:t>
      </w:r>
      <w:r w:rsidR="004F3B27">
        <w:t xml:space="preserve">.  </w:t>
      </w:r>
      <w:r w:rsidR="00CC5B6A">
        <w:t>Subsequently, t</w:t>
      </w:r>
      <w:r w:rsidR="004F3B27">
        <w:t xml:space="preserve">he </w:t>
      </w:r>
      <w:r w:rsidR="00CC5B6A">
        <w:t>NRC</w:t>
      </w:r>
      <w:r w:rsidR="004F3B27">
        <w:t xml:space="preserve"> developed license renewal interim staff guidance </w:t>
      </w:r>
      <w:r w:rsidR="003148BF">
        <w:t>(</w:t>
      </w:r>
      <w:r w:rsidR="00623A4D" w:rsidRPr="003148BF">
        <w:t>Reference</w:t>
      </w:r>
      <w:r w:rsidR="00623A4D">
        <w:t xml:space="preserve"> </w:t>
      </w:r>
      <w:r w:rsidR="003148BF" w:rsidRPr="003148BF">
        <w:rPr>
          <w:rStyle w:val="EndnoteReference"/>
          <w:vertAlign w:val="baseline"/>
        </w:rPr>
        <w:endnoteReference w:id="14"/>
      </w:r>
      <w:r w:rsidR="003148BF" w:rsidRPr="003148BF">
        <w:t>)</w:t>
      </w:r>
      <w:r w:rsidR="003148BF">
        <w:t xml:space="preserve"> </w:t>
      </w:r>
      <w:r w:rsidR="00400DDC">
        <w:t>for a</w:t>
      </w:r>
      <w:r w:rsidR="007E5559">
        <w:t>n</w:t>
      </w:r>
      <w:r w:rsidR="007E5559" w:rsidRPr="007E5559">
        <w:t xml:space="preserve"> </w:t>
      </w:r>
      <w:r w:rsidR="007E5559">
        <w:t>aging management program</w:t>
      </w:r>
      <w:r w:rsidR="00400DDC">
        <w:t xml:space="preserve"> </w:t>
      </w:r>
      <w:r w:rsidR="007E5559">
        <w:t xml:space="preserve">for </w:t>
      </w:r>
      <w:r w:rsidR="00400DDC">
        <w:t xml:space="preserve">neutron-absorbing materials.  </w:t>
      </w:r>
      <w:r w:rsidR="004F3B27">
        <w:t xml:space="preserve">This regulatory guidance on </w:t>
      </w:r>
      <w:r w:rsidR="006C01CD">
        <w:t xml:space="preserve">aging management of </w:t>
      </w:r>
      <w:r w:rsidR="004F3B27">
        <w:t>neutron-absorbing material</w:t>
      </w:r>
      <w:r w:rsidR="006C01CD">
        <w:t>s</w:t>
      </w:r>
      <w:r w:rsidR="004F3B27">
        <w:t xml:space="preserve"> was incorporated </w:t>
      </w:r>
      <w:r w:rsidR="004F3B27" w:rsidRPr="000B4F7D">
        <w:t>into NUREG</w:t>
      </w:r>
      <w:r w:rsidR="004F3B27" w:rsidRPr="000B4F7D">
        <w:noBreakHyphen/>
        <w:t xml:space="preserve">1801, </w:t>
      </w:r>
      <w:r w:rsidR="003148BF" w:rsidRPr="000B4F7D">
        <w:t>Revision</w:t>
      </w:r>
      <w:r w:rsidR="004F3B27" w:rsidRPr="000B4F7D">
        <w:t> 2</w:t>
      </w:r>
      <w:r w:rsidR="00916187" w:rsidRPr="000B4F7D">
        <w:t>,</w:t>
      </w:r>
      <w:r w:rsidR="003148BF" w:rsidRPr="000B4F7D">
        <w:t xml:space="preserve"> </w:t>
      </w:r>
      <w:r w:rsidR="00916187" w:rsidRPr="000B4F7D">
        <w:t xml:space="preserve">“Generic Aging Lessons Learned (GALL) Report,” </w:t>
      </w:r>
      <w:r w:rsidR="003148BF" w:rsidRPr="000B4F7D">
        <w:t>(Reference</w:t>
      </w:r>
      <w:r w:rsidR="00AC0F54" w:rsidRPr="000B4F7D">
        <w:t> </w:t>
      </w:r>
      <w:r w:rsidR="003148BF" w:rsidRPr="000B4F7D">
        <w:rPr>
          <w:rStyle w:val="EndnoteReference"/>
          <w:vertAlign w:val="baseline"/>
        </w:rPr>
        <w:endnoteReference w:id="15"/>
      </w:r>
      <w:r w:rsidR="003148BF" w:rsidRPr="000B4F7D">
        <w:t>)</w:t>
      </w:r>
      <w:r w:rsidR="00AC7E72" w:rsidRPr="000B4F7D">
        <w:t>.</w:t>
      </w:r>
    </w:p>
    <w:p w:rsidR="004F3B27" w:rsidRDefault="004F3B27" w:rsidP="004F3B27"/>
    <w:p w:rsidR="00075531" w:rsidRDefault="00CC5B6A" w:rsidP="00A42CAC">
      <w:pPr>
        <w:pStyle w:val="PlainText"/>
      </w:pPr>
      <w:r>
        <w:t>T</w:t>
      </w:r>
      <w:r w:rsidR="006C01CD">
        <w:t xml:space="preserve">he NRC </w:t>
      </w:r>
      <w:r w:rsidR="00400DDC">
        <w:t xml:space="preserve">recently </w:t>
      </w:r>
      <w:r w:rsidR="006C01CD">
        <w:t>issued t</w:t>
      </w:r>
      <w:r w:rsidR="004F3B27">
        <w:t xml:space="preserve">wo </w:t>
      </w:r>
      <w:r w:rsidR="009528CA">
        <w:t>t</w:t>
      </w:r>
      <w:r w:rsidR="004F3B27">
        <w:t xml:space="preserve">echnical </w:t>
      </w:r>
      <w:r w:rsidR="009528CA">
        <w:t>l</w:t>
      </w:r>
      <w:r w:rsidR="004F3B27">
        <w:t xml:space="preserve">etter </w:t>
      </w:r>
      <w:r w:rsidR="009528CA">
        <w:t>r</w:t>
      </w:r>
      <w:r w:rsidR="004F3B27">
        <w:t>eports (TLRs)</w:t>
      </w:r>
      <w:r w:rsidR="00125E13">
        <w:t xml:space="preserve"> (</w:t>
      </w:r>
      <w:r w:rsidR="00125E13" w:rsidRPr="00125E13">
        <w:t>References</w:t>
      </w:r>
      <w:bookmarkStart w:id="2" w:name="_Ref359570388"/>
      <w:r w:rsidR="00D11920">
        <w:t> </w:t>
      </w:r>
      <w:bookmarkStart w:id="3" w:name="_Ref413920153"/>
      <w:r w:rsidR="00125E13" w:rsidRPr="00125E13">
        <w:rPr>
          <w:rStyle w:val="EndnoteReference"/>
          <w:vertAlign w:val="baseline"/>
        </w:rPr>
        <w:endnoteReference w:id="16"/>
      </w:r>
      <w:bookmarkEnd w:id="2"/>
      <w:bookmarkEnd w:id="3"/>
      <w:r>
        <w:t xml:space="preserve"> and</w:t>
      </w:r>
      <w:r w:rsidR="005C0AD3">
        <w:t xml:space="preserve"> </w:t>
      </w:r>
      <w:bookmarkStart w:id="4" w:name="_Ref413920158"/>
      <w:r w:rsidR="005C0AD3" w:rsidRPr="005C0AD3">
        <w:rPr>
          <w:rStyle w:val="EndnoteReference"/>
          <w:vertAlign w:val="baseline"/>
        </w:rPr>
        <w:endnoteReference w:id="17"/>
      </w:r>
      <w:bookmarkEnd w:id="4"/>
      <w:r>
        <w:t>)</w:t>
      </w:r>
      <w:r w:rsidR="00125E13" w:rsidRPr="00125E13">
        <w:t xml:space="preserve"> </w:t>
      </w:r>
      <w:r w:rsidR="00400DDC">
        <w:t xml:space="preserve">discussing </w:t>
      </w:r>
      <w:r w:rsidR="004F3B27">
        <w:t xml:space="preserve">some of the methods </w:t>
      </w:r>
      <w:r w:rsidR="00E42727">
        <w:t xml:space="preserve">that </w:t>
      </w:r>
      <w:r w:rsidR="004F3B27">
        <w:t>license</w:t>
      </w:r>
      <w:r w:rsidR="001F55A9">
        <w:t xml:space="preserve"> holders</w:t>
      </w:r>
      <w:r w:rsidR="004F3B27">
        <w:t xml:space="preserve"> use to monitor the degradation of neutron</w:t>
      </w:r>
      <w:r w:rsidR="000F5AA4">
        <w:noBreakHyphen/>
      </w:r>
      <w:r w:rsidR="004F3B27">
        <w:t>absorbing materials</w:t>
      </w:r>
      <w:r w:rsidR="00E42727">
        <w:t>.</w:t>
      </w:r>
      <w:r w:rsidR="004F3B27">
        <w:t xml:space="preserve">  The </w:t>
      </w:r>
      <w:r>
        <w:t>NRC</w:t>
      </w:r>
      <w:r w:rsidR="004F3B27">
        <w:t xml:space="preserve"> commissioned these reports to gather more information on surveillance methodologies </w:t>
      </w:r>
      <w:r w:rsidR="006C01CD">
        <w:t>for neutron-absorbing</w:t>
      </w:r>
      <w:r w:rsidR="006C01CD" w:rsidRPr="002A3F74">
        <w:t xml:space="preserve"> material</w:t>
      </w:r>
      <w:r w:rsidR="006C01CD">
        <w:t>s</w:t>
      </w:r>
      <w:r w:rsidR="006C01CD" w:rsidRPr="002A3F74">
        <w:t xml:space="preserve"> </w:t>
      </w:r>
      <w:r w:rsidR="004F3B27" w:rsidRPr="002A3F74">
        <w:t>employed in SFP</w:t>
      </w:r>
      <w:r w:rsidR="004F3B27">
        <w:t>s.  The</w:t>
      </w:r>
      <w:r w:rsidR="00125E13">
        <w:t>se</w:t>
      </w:r>
      <w:r w:rsidR="004F3B27">
        <w:t xml:space="preserve"> TLRs also identify uncertainties in the methodologies employed to monitor the performance of neutron-absorbing materials.  </w:t>
      </w:r>
      <w:r w:rsidR="004F3B27" w:rsidRPr="00AA3E93">
        <w:rPr>
          <w:szCs w:val="20"/>
        </w:rPr>
        <w:t>The</w:t>
      </w:r>
      <w:r w:rsidR="004F3B27">
        <w:t xml:space="preserve"> reports provide a</w:t>
      </w:r>
      <w:r w:rsidR="001B3BC2">
        <w:t xml:space="preserve"> generic</w:t>
      </w:r>
      <w:r w:rsidR="004F3B27">
        <w:t xml:space="preserve"> overview on the use of the RACKLIFE computational tool and the BADGER </w:t>
      </w:r>
      <w:r w:rsidR="004F3B27" w:rsidRPr="00613D66">
        <w:t>in</w:t>
      </w:r>
      <w:r w:rsidR="000148BC">
        <w:noBreakHyphen/>
      </w:r>
      <w:r w:rsidR="004F3B27" w:rsidRPr="00613D66">
        <w:t>situ</w:t>
      </w:r>
      <w:r w:rsidR="004F3B27">
        <w:t xml:space="preserve"> measurement technique.  The reports </w:t>
      </w:r>
      <w:r w:rsidR="004F3B27" w:rsidRPr="0020551B">
        <w:t>discuss the reliability of the</w:t>
      </w:r>
      <w:r w:rsidR="004F3B27">
        <w:t>se</w:t>
      </w:r>
      <w:r w:rsidR="004F3B27" w:rsidRPr="0020551B">
        <w:t xml:space="preserve"> methodologies for certain applications.</w:t>
      </w:r>
      <w:r w:rsidR="004F3B27">
        <w:t xml:space="preserve">  Some license</w:t>
      </w:r>
      <w:r w:rsidR="001F55A9">
        <w:t xml:space="preserve"> holders</w:t>
      </w:r>
      <w:r w:rsidR="004F3B27">
        <w:t xml:space="preserve"> use these surveillance tools to </w:t>
      </w:r>
      <w:r w:rsidR="004F3B27" w:rsidRPr="0017078A">
        <w:t>demonstrat</w:t>
      </w:r>
      <w:r w:rsidR="004F3B27">
        <w:t>e</w:t>
      </w:r>
      <w:r w:rsidR="004F3B27" w:rsidRPr="0017078A">
        <w:t xml:space="preserve"> compliance with </w:t>
      </w:r>
      <w:r w:rsidR="004F3B27">
        <w:t xml:space="preserve">their </w:t>
      </w:r>
      <w:r w:rsidR="003449E5">
        <w:t>TS</w:t>
      </w:r>
      <w:r w:rsidR="004F3B27" w:rsidRPr="0017078A">
        <w:t xml:space="preserve"> and NRC regulations.</w:t>
      </w:r>
    </w:p>
    <w:p w:rsidR="005F492E" w:rsidRDefault="005F492E" w:rsidP="004F3B27"/>
    <w:p w:rsidR="005F492E" w:rsidRDefault="00CC5B6A" w:rsidP="004F3B27">
      <w:r>
        <w:t>Additionally, t</w:t>
      </w:r>
      <w:r w:rsidR="00A3571E">
        <w:t>he NRC</w:t>
      </w:r>
      <w:r w:rsidR="00A3571E" w:rsidRPr="00A3571E">
        <w:t xml:space="preserve"> </w:t>
      </w:r>
      <w:r w:rsidR="00A3571E">
        <w:t>recently published a</w:t>
      </w:r>
      <w:r w:rsidR="0037431E">
        <w:t xml:space="preserve"> third TLR </w:t>
      </w:r>
      <w:r w:rsidR="00125E13">
        <w:t xml:space="preserve">that </w:t>
      </w:r>
      <w:r w:rsidR="00B865D3" w:rsidRPr="00460FE4">
        <w:rPr>
          <w:rFonts w:cs="Arial"/>
        </w:rPr>
        <w:t xml:space="preserve">summarizes the characteristics of the </w:t>
      </w:r>
      <w:r w:rsidR="000C67F3">
        <w:rPr>
          <w:rFonts w:cs="Arial"/>
        </w:rPr>
        <w:t>phenolic</w:t>
      </w:r>
      <w:r w:rsidR="007E5559">
        <w:rPr>
          <w:rFonts w:cs="Arial"/>
        </w:rPr>
        <w:t>-</w:t>
      </w:r>
      <w:r w:rsidR="000C67F3">
        <w:rPr>
          <w:rFonts w:cs="Arial"/>
        </w:rPr>
        <w:t>resin</w:t>
      </w:r>
      <w:r w:rsidR="007E5559">
        <w:rPr>
          <w:rFonts w:cs="Arial"/>
        </w:rPr>
        <w:t>-</w:t>
      </w:r>
      <w:r w:rsidR="000C67F3">
        <w:rPr>
          <w:rFonts w:cs="Arial"/>
        </w:rPr>
        <w:t xml:space="preserve">type </w:t>
      </w:r>
      <w:r w:rsidR="00B865D3" w:rsidRPr="00460FE4">
        <w:rPr>
          <w:rFonts w:cs="Arial"/>
        </w:rPr>
        <w:t>neutron</w:t>
      </w:r>
      <w:r w:rsidR="000F5AA4">
        <w:rPr>
          <w:rFonts w:cs="Arial"/>
        </w:rPr>
        <w:noBreakHyphen/>
      </w:r>
      <w:r w:rsidR="00B865D3" w:rsidRPr="00460FE4">
        <w:rPr>
          <w:rFonts w:cs="Arial"/>
        </w:rPr>
        <w:t>absorbing materials</w:t>
      </w:r>
      <w:r w:rsidR="007E5559">
        <w:rPr>
          <w:rFonts w:cs="Arial"/>
        </w:rPr>
        <w:t>,</w:t>
      </w:r>
      <w:r w:rsidR="00C76A43">
        <w:rPr>
          <w:rFonts w:cs="Arial"/>
        </w:rPr>
        <w:t xml:space="preserve"> </w:t>
      </w:r>
      <w:r w:rsidR="004D6E2D">
        <w:rPr>
          <w:rFonts w:cs="Arial"/>
        </w:rPr>
        <w:t>Carborundum</w:t>
      </w:r>
      <w:r w:rsidR="00B865D3" w:rsidRPr="00460FE4">
        <w:rPr>
          <w:rFonts w:cs="Arial"/>
        </w:rPr>
        <w:t xml:space="preserve"> and Tetrabor</w:t>
      </w:r>
      <w:r w:rsidR="00642CC9" w:rsidRPr="001079E4">
        <w:rPr>
          <w:rFonts w:cs="Arial"/>
          <w:vertAlign w:val="superscript"/>
        </w:rPr>
        <w:t>®</w:t>
      </w:r>
      <w:r w:rsidR="000E0458">
        <w:rPr>
          <w:rFonts w:cs="Arial"/>
        </w:rPr>
        <w:t>,</w:t>
      </w:r>
      <w:r w:rsidR="00B865D3" w:rsidRPr="00460FE4">
        <w:rPr>
          <w:rFonts w:cs="Arial"/>
        </w:rPr>
        <w:t xml:space="preserve"> </w:t>
      </w:r>
      <w:r w:rsidR="00B865D3">
        <w:rPr>
          <w:rFonts w:cs="Arial"/>
        </w:rPr>
        <w:t xml:space="preserve">the </w:t>
      </w:r>
      <w:r w:rsidR="00B865D3" w:rsidRPr="00460FE4">
        <w:rPr>
          <w:rFonts w:cs="Arial"/>
        </w:rPr>
        <w:t>qualification testing results</w:t>
      </w:r>
      <w:r w:rsidR="000E0458">
        <w:rPr>
          <w:rFonts w:cs="Arial"/>
        </w:rPr>
        <w:t>,</w:t>
      </w:r>
      <w:r w:rsidR="00B865D3" w:rsidRPr="00460FE4">
        <w:rPr>
          <w:rFonts w:cs="Arial"/>
        </w:rPr>
        <w:t xml:space="preserve"> and </w:t>
      </w:r>
      <w:r w:rsidR="00B865D3">
        <w:rPr>
          <w:rFonts w:cs="Arial"/>
        </w:rPr>
        <w:t xml:space="preserve">the </w:t>
      </w:r>
      <w:r w:rsidR="00B865D3" w:rsidRPr="00460FE4">
        <w:rPr>
          <w:rFonts w:cs="Arial"/>
        </w:rPr>
        <w:t>operating experience pertaining to degradation</w:t>
      </w:r>
      <w:r w:rsidR="0037431E">
        <w:rPr>
          <w:rFonts w:cs="Arial"/>
        </w:rPr>
        <w:t xml:space="preserve"> </w:t>
      </w:r>
      <w:r w:rsidR="0037431E">
        <w:t>(Reference</w:t>
      </w:r>
      <w:r w:rsidR="00586DDC">
        <w:t> </w:t>
      </w:r>
      <w:bookmarkStart w:id="5" w:name="_Ref413163267"/>
      <w:r w:rsidR="0037431E" w:rsidRPr="00125E13">
        <w:rPr>
          <w:rStyle w:val="EndnoteReference"/>
          <w:vertAlign w:val="baseline"/>
        </w:rPr>
        <w:endnoteReference w:id="18"/>
      </w:r>
      <w:bookmarkEnd w:id="5"/>
      <w:r w:rsidR="0037431E" w:rsidRPr="00125E13">
        <w:t>)</w:t>
      </w:r>
      <w:r w:rsidR="00B865D3" w:rsidRPr="00460FE4">
        <w:rPr>
          <w:rFonts w:cs="Arial"/>
        </w:rPr>
        <w:t xml:space="preserve">.  The report </w:t>
      </w:r>
      <w:r w:rsidR="00862A39">
        <w:rPr>
          <w:rFonts w:cs="Arial"/>
        </w:rPr>
        <w:t>also</w:t>
      </w:r>
      <w:r w:rsidR="00B865D3" w:rsidRPr="00460FE4">
        <w:rPr>
          <w:rFonts w:cs="Arial"/>
        </w:rPr>
        <w:t xml:space="preserve"> describes phenolic resin degradation mechanisms </w:t>
      </w:r>
      <w:r w:rsidR="000B0FD3">
        <w:rPr>
          <w:rFonts w:cs="Arial"/>
        </w:rPr>
        <w:t>and</w:t>
      </w:r>
      <w:r w:rsidR="00B865D3" w:rsidRPr="00460FE4">
        <w:rPr>
          <w:rFonts w:cs="Arial"/>
        </w:rPr>
        <w:t xml:space="preserve"> analyzes current surveillance methods</w:t>
      </w:r>
      <w:r w:rsidR="00642CC9">
        <w:rPr>
          <w:rFonts w:cs="Arial"/>
        </w:rPr>
        <w:t>.</w:t>
      </w:r>
    </w:p>
    <w:p w:rsidR="002A6880" w:rsidRDefault="002A6880" w:rsidP="004F3B27">
      <w:pPr>
        <w:outlineLvl w:val="0"/>
        <w:rPr>
          <w:b/>
        </w:rPr>
      </w:pPr>
    </w:p>
    <w:p w:rsidR="004F3B27" w:rsidRPr="00CC5266" w:rsidRDefault="004F3B27" w:rsidP="004F3B27">
      <w:pPr>
        <w:outlineLvl w:val="0"/>
        <w:rPr>
          <w:b/>
        </w:rPr>
      </w:pPr>
      <w:r w:rsidRPr="00D02F40">
        <w:rPr>
          <w:b/>
        </w:rPr>
        <w:t>DISCUSSION</w:t>
      </w:r>
    </w:p>
    <w:p w:rsidR="004F3B27" w:rsidRDefault="004F3B27" w:rsidP="004F3B27"/>
    <w:p w:rsidR="004F3B27" w:rsidRDefault="004F3B27" w:rsidP="004F3B27">
      <w:r>
        <w:t xml:space="preserve">Reactivity and, therefore, criticality is </w:t>
      </w:r>
      <w:r w:rsidR="00990707">
        <w:t xml:space="preserve">determined by </w:t>
      </w:r>
      <w:r>
        <w:t>local phenomen</w:t>
      </w:r>
      <w:r w:rsidR="007E5559">
        <w:t>a</w:t>
      </w:r>
      <w:r w:rsidR="00623A4D">
        <w:t xml:space="preserve">, </w:t>
      </w:r>
      <w:r w:rsidR="00990707">
        <w:t xml:space="preserve">including </w:t>
      </w:r>
      <w:r>
        <w:t>how far a neutron is expected to travel in the given environment.  In the SFP environment, the minimum critical volume</w:t>
      </w:r>
      <w:r>
        <w:rPr>
          <w:rStyle w:val="FootnoteReference"/>
        </w:rPr>
        <w:footnoteReference w:id="4"/>
      </w:r>
      <w:r>
        <w:t xml:space="preserve"> may be as small as four fuel assemblies</w:t>
      </w:r>
      <w:r w:rsidR="00FC7F06">
        <w:t>;</w:t>
      </w:r>
      <w:r>
        <w:t xml:space="preserve"> certainly much smaller than the entire SFP.  </w:t>
      </w:r>
      <w:r w:rsidR="00862A39">
        <w:t>T</w:t>
      </w:r>
      <w:r>
        <w:t>he conditions within the minimum critical volume will determine whether or not an inadvertent criticality event can occur and if the subcriticality requirements are met.  The use of SFP-wide parameters</w:t>
      </w:r>
      <w:r w:rsidR="00623A4D">
        <w:t xml:space="preserve">, </w:t>
      </w:r>
      <w:r>
        <w:t>such as average neutron-absorbing material areal density or degradation</w:t>
      </w:r>
      <w:r w:rsidR="00623A4D">
        <w:t xml:space="preserve">, </w:t>
      </w:r>
      <w:r>
        <w:t>may not be appropriate to verify subcriticality requirements that are dependent on local properties</w:t>
      </w:r>
      <w:r w:rsidR="00990707">
        <w:t>.</w:t>
      </w:r>
    </w:p>
    <w:p w:rsidR="004F3B27" w:rsidRDefault="004F3B27" w:rsidP="004F3B27"/>
    <w:p w:rsidR="004F3B27" w:rsidRDefault="000F5AA4" w:rsidP="004F3B27">
      <w:r>
        <w:t>T</w:t>
      </w:r>
      <w:r w:rsidR="004F3B27">
        <w:t>o ensure that the requirements of 10 CF</w:t>
      </w:r>
      <w:r w:rsidR="00DB1026">
        <w:t>R</w:t>
      </w:r>
      <w:r w:rsidR="004F3B27">
        <w:t xml:space="preserve"> 50.68 </w:t>
      </w:r>
      <w:r w:rsidR="00DB1026">
        <w:t>and GDC</w:t>
      </w:r>
      <w:r w:rsidR="005D2607">
        <w:t> </w:t>
      </w:r>
      <w:r w:rsidR="00DB1026">
        <w:t>62</w:t>
      </w:r>
      <w:r w:rsidR="00577612">
        <w:t xml:space="preserve"> (or equivalent)</w:t>
      </w:r>
      <w:r w:rsidR="00DB1026">
        <w:t xml:space="preserve"> </w:t>
      </w:r>
      <w:r w:rsidR="004F3B27">
        <w:t xml:space="preserve">are met, the appropriate parameters </w:t>
      </w:r>
      <w:r w:rsidR="008A26FD">
        <w:t xml:space="preserve">on a local level </w:t>
      </w:r>
      <w:r w:rsidR="004F3B27">
        <w:t xml:space="preserve">must be known </w:t>
      </w:r>
      <w:r w:rsidR="008A26FD">
        <w:t>and appropriately considered</w:t>
      </w:r>
      <w:r w:rsidR="004F3B27">
        <w:t>.  For license</w:t>
      </w:r>
      <w:r w:rsidR="001F55A9">
        <w:t xml:space="preserve"> holder</w:t>
      </w:r>
      <w:r w:rsidR="004F3B27">
        <w:t xml:space="preserve">s </w:t>
      </w:r>
      <w:r w:rsidR="000E0458">
        <w:t xml:space="preserve">who </w:t>
      </w:r>
      <w:r w:rsidR="004F3B27">
        <w:t>credit neutron-absorbing material in their NCS</w:t>
      </w:r>
      <w:r w:rsidR="00EB08D2">
        <w:t xml:space="preserve"> analyses</w:t>
      </w:r>
      <w:r w:rsidR="004F3B27">
        <w:t xml:space="preserve">, this requires that the present condition of the neutron-absorbing material be known and that its future condition be managed.  </w:t>
      </w:r>
      <w:r w:rsidR="00EB08D2">
        <w:t>T</w:t>
      </w:r>
      <w:r w:rsidR="00862A39" w:rsidRPr="00862A39">
        <w:t xml:space="preserve">wo </w:t>
      </w:r>
      <w:r w:rsidR="00F61EFC">
        <w:t xml:space="preserve">of the aforementioned </w:t>
      </w:r>
      <w:r w:rsidR="00862A39" w:rsidRPr="00862A39">
        <w:t xml:space="preserve">TLRs issued by the NRC identify </w:t>
      </w:r>
      <w:r w:rsidR="00642CC9">
        <w:t>uncertainties</w:t>
      </w:r>
      <w:r w:rsidR="00862A39" w:rsidRPr="00862A39">
        <w:t xml:space="preserve"> with tools commonly used in the industry to monitor the condition of the neutron-absorbing materials used in SFPs.</w:t>
      </w:r>
      <w:r w:rsidR="004F3B27">
        <w:t xml:space="preserve"> </w:t>
      </w:r>
      <w:r w:rsidR="00567B77">
        <w:t xml:space="preserve"> </w:t>
      </w:r>
      <w:r w:rsidR="004F3B27">
        <w:t xml:space="preserve">As described in the Operating Experience </w:t>
      </w:r>
      <w:r w:rsidR="003615AD">
        <w:t>s</w:t>
      </w:r>
      <w:r w:rsidR="004F3B27">
        <w:t>ection</w:t>
      </w:r>
      <w:r w:rsidR="00CC5B6A">
        <w:t>,</w:t>
      </w:r>
      <w:r w:rsidR="00EB08D2">
        <w:t xml:space="preserve"> </w:t>
      </w:r>
      <w:r w:rsidR="004F50E8">
        <w:t xml:space="preserve">some </w:t>
      </w:r>
      <w:r w:rsidR="004F3B27">
        <w:t>license</w:t>
      </w:r>
      <w:r w:rsidR="001F55A9">
        <w:t xml:space="preserve"> holder</w:t>
      </w:r>
      <w:r w:rsidR="004F3B27">
        <w:t>s have had difficulty managing their neutron-absorbing materials</w:t>
      </w:r>
      <w:r w:rsidR="00C76A43">
        <w:t>’</w:t>
      </w:r>
      <w:r w:rsidR="004F3B27">
        <w:t xml:space="preserve"> current condition</w:t>
      </w:r>
      <w:r w:rsidR="007C63D3">
        <w:t>,</w:t>
      </w:r>
      <w:r w:rsidR="004F3B27">
        <w:t xml:space="preserve"> and in some cases, compliance with regulatory requirements was not </w:t>
      </w:r>
      <w:r>
        <w:t>en</w:t>
      </w:r>
      <w:r w:rsidR="004F3B27">
        <w:t>sured.</w:t>
      </w:r>
    </w:p>
    <w:p w:rsidR="004F3B27" w:rsidRDefault="004F3B27" w:rsidP="004F3B27"/>
    <w:p w:rsidR="004F3B27" w:rsidRDefault="00AC43AE">
      <w:r>
        <w:t>S</w:t>
      </w:r>
      <w:r w:rsidR="00795229">
        <w:t>pent fuel pool n</w:t>
      </w:r>
      <w:r>
        <w:t xml:space="preserve">eutron-absorbing materials that are credited for maintaining subcriticality must be able to perform </w:t>
      </w:r>
      <w:r w:rsidR="00795229">
        <w:t>its</w:t>
      </w:r>
      <w:r>
        <w:t xml:space="preserve"> </w:t>
      </w:r>
      <w:r w:rsidR="00466915">
        <w:t>safety</w:t>
      </w:r>
      <w:r w:rsidR="00E957AA">
        <w:t xml:space="preserve"> </w:t>
      </w:r>
      <w:r>
        <w:t>function during both normal operating conditions and design</w:t>
      </w:r>
      <w:r w:rsidR="00DA6DF5">
        <w:noBreakHyphen/>
      </w:r>
      <w:r>
        <w:t xml:space="preserve">basis events.  Monitoring neutron-absorbing materials is intended to identify when degradation may </w:t>
      </w:r>
      <w:r w:rsidR="007E5559">
        <w:t xml:space="preserve">affect </w:t>
      </w:r>
      <w:r w:rsidR="00795229">
        <w:t>its</w:t>
      </w:r>
      <w:r>
        <w:t xml:space="preserve"> ability to perform </w:t>
      </w:r>
      <w:r w:rsidR="00795229">
        <w:t>its</w:t>
      </w:r>
      <w:r>
        <w:t xml:space="preserve"> </w:t>
      </w:r>
      <w:r w:rsidR="00466915">
        <w:t>safety</w:t>
      </w:r>
      <w:r w:rsidR="004F50E8">
        <w:t xml:space="preserve"> </w:t>
      </w:r>
      <w:r>
        <w:t xml:space="preserve">function, so that </w:t>
      </w:r>
      <w:r w:rsidR="00204EBA">
        <w:t xml:space="preserve">appropriate </w:t>
      </w:r>
      <w:r>
        <w:t>corrective action can be taken.</w:t>
      </w:r>
      <w:r w:rsidR="00642CC9">
        <w:t xml:space="preserve">  </w:t>
      </w:r>
      <w:r w:rsidR="00EB08D2">
        <w:t>Therefore, the NRC is requesting information to determine if</w:t>
      </w:r>
      <w:r w:rsidR="00FC7F06">
        <w:t xml:space="preserve">: </w:t>
      </w:r>
      <w:r w:rsidR="00EB08D2">
        <w:t xml:space="preserve"> </w:t>
      </w:r>
      <w:r w:rsidR="00BE4FAC">
        <w:t xml:space="preserve">(1) </w:t>
      </w:r>
      <w:r w:rsidR="00EB08D2">
        <w:t>addressees are in compliance with the regulations</w:t>
      </w:r>
      <w:r w:rsidR="00FC7F06">
        <w:t>;</w:t>
      </w:r>
      <w:r w:rsidR="00EB08D2">
        <w:t xml:space="preserve"> and </w:t>
      </w:r>
      <w:r w:rsidR="00BE4FAC">
        <w:t xml:space="preserve">(2) </w:t>
      </w:r>
      <w:r w:rsidR="00EB08D2">
        <w:t>additional regulatory action is required.</w:t>
      </w:r>
    </w:p>
    <w:p w:rsidR="00AC43AE" w:rsidRDefault="00AC43AE">
      <w:pPr>
        <w:rPr>
          <w:b/>
        </w:rPr>
      </w:pPr>
    </w:p>
    <w:p w:rsidR="00F333D6" w:rsidRDefault="00D759AA">
      <w:r>
        <w:t xml:space="preserve">For new reactors, </w:t>
      </w:r>
      <w:r w:rsidR="007E5559">
        <w:t xml:space="preserve">the </w:t>
      </w:r>
      <w:r w:rsidR="002D10EB">
        <w:t xml:space="preserve">NRC was </w:t>
      </w:r>
      <w:r w:rsidR="00BE4FAC">
        <w:t xml:space="preserve">previously </w:t>
      </w:r>
      <w:r w:rsidR="002D10EB">
        <w:t>aware of the concerns discussed in this GL and considered them in the licensing review for the plants licensed under 10</w:t>
      </w:r>
      <w:r w:rsidR="007E5559">
        <w:t> </w:t>
      </w:r>
      <w:r w:rsidR="002D10EB">
        <w:t>CFR</w:t>
      </w:r>
      <w:r w:rsidR="007E5559">
        <w:t> </w:t>
      </w:r>
      <w:r w:rsidR="002D10EB">
        <w:t>Part</w:t>
      </w:r>
      <w:r w:rsidR="007E5559">
        <w:t> </w:t>
      </w:r>
      <w:r w:rsidR="002D10EB">
        <w:t>52</w:t>
      </w:r>
      <w:r w:rsidR="007E5559">
        <w:t xml:space="preserve">, </w:t>
      </w:r>
      <w:r w:rsidR="007E5559" w:rsidRPr="000B4F7D">
        <w:t>“</w:t>
      </w:r>
      <w:r w:rsidR="00077F49" w:rsidRPr="000B4F7D">
        <w:t>Licenses, Certifications, and Approvals for Nuclear Power Plants”</w:t>
      </w:r>
      <w:r w:rsidR="002D10EB" w:rsidRPr="000B4F7D">
        <w:t xml:space="preserve"> (i.e</w:t>
      </w:r>
      <w:r w:rsidR="002D10EB">
        <w:t>., Vogtle Electric Generating Plant, Units</w:t>
      </w:r>
      <w:r w:rsidR="00077F49">
        <w:t> </w:t>
      </w:r>
      <w:r w:rsidR="002D10EB">
        <w:t>3 and</w:t>
      </w:r>
      <w:r w:rsidR="00077F49">
        <w:t> </w:t>
      </w:r>
      <w:r w:rsidR="002D10EB">
        <w:t>4; V.C. Summer Nuclear Station, Units</w:t>
      </w:r>
      <w:r w:rsidR="00077F49">
        <w:t> </w:t>
      </w:r>
      <w:r w:rsidR="002D10EB">
        <w:t>2 and</w:t>
      </w:r>
      <w:r w:rsidR="00077F49">
        <w:t> </w:t>
      </w:r>
      <w:r w:rsidR="002D10EB">
        <w:t xml:space="preserve">3).  During the </w:t>
      </w:r>
      <w:r>
        <w:t>licensing</w:t>
      </w:r>
      <w:r w:rsidR="002D10EB">
        <w:t xml:space="preserve"> review, </w:t>
      </w:r>
      <w:r w:rsidR="00077F49">
        <w:t xml:space="preserve">the </w:t>
      </w:r>
      <w:r w:rsidR="002D10EB">
        <w:t>NRC obtain</w:t>
      </w:r>
      <w:r w:rsidR="00BE4FAC">
        <w:t>ed</w:t>
      </w:r>
      <w:r w:rsidR="002D10EB">
        <w:t xml:space="preserve"> sufficient information to confirm regulatory compliance of the planned design</w:t>
      </w:r>
      <w:r w:rsidR="007C63D3">
        <w:t>,</w:t>
      </w:r>
      <w:r w:rsidR="002D10EB">
        <w:t xml:space="preserve"> and </w:t>
      </w:r>
      <w:r>
        <w:t>imposed a license condition that requires 10</w:t>
      </w:r>
      <w:r w:rsidR="00077F49">
        <w:t> </w:t>
      </w:r>
      <w:r>
        <w:t>CFR</w:t>
      </w:r>
      <w:r w:rsidR="00077F49">
        <w:t> </w:t>
      </w:r>
      <w:r>
        <w:t>Part</w:t>
      </w:r>
      <w:r w:rsidR="00077F49">
        <w:t> </w:t>
      </w:r>
      <w:r>
        <w:t>52 licensees to provide the necessary information on the s</w:t>
      </w:r>
      <w:r w:rsidR="002D10EB">
        <w:t>urveillance</w:t>
      </w:r>
      <w:r w:rsidR="00077F49">
        <w:t xml:space="preserve"> or </w:t>
      </w:r>
      <w:r w:rsidR="002D10EB">
        <w:t>monitoring programs</w:t>
      </w:r>
      <w:r>
        <w:t xml:space="preserve"> before operation</w:t>
      </w:r>
      <w:r w:rsidR="002D10EB">
        <w:t>.</w:t>
      </w:r>
    </w:p>
    <w:p w:rsidR="002C3CA9" w:rsidRDefault="00D759AA">
      <w:r>
        <w:t>As for the a</w:t>
      </w:r>
      <w:r w:rsidR="00CC72CE">
        <w:t xml:space="preserve">dditional information </w:t>
      </w:r>
      <w:r>
        <w:t xml:space="preserve">on the operation of the SFP </w:t>
      </w:r>
      <w:r w:rsidR="00CC72CE">
        <w:t>being requested by this GL</w:t>
      </w:r>
      <w:r>
        <w:t>, this information would not apply to Part</w:t>
      </w:r>
      <w:r w:rsidR="00077F49">
        <w:t> </w:t>
      </w:r>
      <w:r>
        <w:t>52</w:t>
      </w:r>
      <w:r w:rsidR="00CC72CE">
        <w:t xml:space="preserve"> licensees</w:t>
      </w:r>
      <w:r>
        <w:t xml:space="preserve"> at this time because no 10</w:t>
      </w:r>
      <w:r w:rsidR="00077F49">
        <w:t> </w:t>
      </w:r>
      <w:r>
        <w:t>CFR</w:t>
      </w:r>
      <w:r w:rsidR="00077F49">
        <w:t> </w:t>
      </w:r>
      <w:r>
        <w:t>Part</w:t>
      </w:r>
      <w:r w:rsidR="000E7C62">
        <w:t> </w:t>
      </w:r>
      <w:r>
        <w:t>52 licensees</w:t>
      </w:r>
      <w:r w:rsidR="00CC72CE">
        <w:t xml:space="preserve"> currently have a</w:t>
      </w:r>
      <w:r w:rsidR="00077F49">
        <w:t>n</w:t>
      </w:r>
      <w:r w:rsidR="00CC72CE">
        <w:t xml:space="preserve"> SFP in operation</w:t>
      </w:r>
      <w:r>
        <w:t xml:space="preserve"> and will not for several years</w:t>
      </w:r>
      <w:r w:rsidR="00CC72CE">
        <w:t>.  Consequently, 10</w:t>
      </w:r>
      <w:r w:rsidR="00077F49">
        <w:t> </w:t>
      </w:r>
      <w:r w:rsidR="00CC72CE">
        <w:t>CFR</w:t>
      </w:r>
      <w:r w:rsidR="00077F49">
        <w:t> </w:t>
      </w:r>
      <w:r w:rsidR="00CC72CE">
        <w:t>Part</w:t>
      </w:r>
      <w:r w:rsidR="00077F49">
        <w:t> </w:t>
      </w:r>
      <w:r w:rsidR="00CC72CE">
        <w:t>52 licensees are not being included among the addressees for this GL.</w:t>
      </w:r>
    </w:p>
    <w:p w:rsidR="00D90B32" w:rsidRPr="002D10EB" w:rsidRDefault="00D90B32"/>
    <w:p w:rsidR="00324809" w:rsidRDefault="00324809">
      <w:pPr>
        <w:rPr>
          <w:b/>
        </w:rPr>
      </w:pPr>
    </w:p>
    <w:p w:rsidR="00324809" w:rsidRDefault="00324809">
      <w:pPr>
        <w:rPr>
          <w:b/>
        </w:rPr>
      </w:pPr>
    </w:p>
    <w:p w:rsidR="003F021B" w:rsidRDefault="004F3B27">
      <w:pPr>
        <w:rPr>
          <w:b/>
        </w:rPr>
      </w:pPr>
      <w:r w:rsidRPr="00613D66">
        <w:rPr>
          <w:b/>
        </w:rPr>
        <w:lastRenderedPageBreak/>
        <w:t>APPLICABLE REGULATORY REQUIREMENTS</w:t>
      </w:r>
    </w:p>
    <w:p w:rsidR="004F3B27" w:rsidRDefault="004F3B27" w:rsidP="004F3B27"/>
    <w:p w:rsidR="003F021B" w:rsidRDefault="00AC7CE4">
      <w:pPr>
        <w:keepNext/>
      </w:pPr>
      <w:r w:rsidRPr="00240122">
        <w:t>10</w:t>
      </w:r>
      <w:r>
        <w:t> </w:t>
      </w:r>
      <w:r w:rsidRPr="00240122">
        <w:t>CFR</w:t>
      </w:r>
      <w:r>
        <w:t> </w:t>
      </w:r>
      <w:r w:rsidRPr="00240122">
        <w:t>50.68, “Cr</w:t>
      </w:r>
      <w:r>
        <w:t xml:space="preserve">iticality </w:t>
      </w:r>
      <w:r w:rsidR="003167B2">
        <w:t>a</w:t>
      </w:r>
      <w:r>
        <w:t xml:space="preserve">ccident </w:t>
      </w:r>
      <w:r w:rsidR="003167B2">
        <w:t>r</w:t>
      </w:r>
      <w:r>
        <w:t>equirements</w:t>
      </w:r>
      <w:r w:rsidRPr="00240122">
        <w:t>”</w:t>
      </w:r>
      <w:r w:rsidR="00C07742">
        <w:t xml:space="preserve"> (</w:t>
      </w:r>
      <w:r w:rsidR="00077F49">
        <w:t>n</w:t>
      </w:r>
      <w:r w:rsidR="00C07742">
        <w:t xml:space="preserve">ot applicable to </w:t>
      </w:r>
      <w:r w:rsidR="003603A5">
        <w:t>non-power</w:t>
      </w:r>
      <w:r w:rsidR="00615E27">
        <w:t xml:space="preserve"> reactors</w:t>
      </w:r>
      <w:r w:rsidR="00C07742">
        <w:t>)</w:t>
      </w:r>
      <w:r w:rsidR="00A3571E">
        <w:t>,</w:t>
      </w:r>
    </w:p>
    <w:p w:rsidR="003F021B" w:rsidRDefault="003F021B">
      <w:pPr>
        <w:keepNext/>
      </w:pPr>
    </w:p>
    <w:p w:rsidR="00AC7CE4" w:rsidRDefault="00870585" w:rsidP="00AC7CE4">
      <w:pPr>
        <w:ind w:left="720"/>
      </w:pPr>
      <w:r>
        <w:t>C</w:t>
      </w:r>
      <w:r w:rsidR="00AC7CE4">
        <w:t>ontains t</w:t>
      </w:r>
      <w:r w:rsidR="004F3B27" w:rsidRPr="00240122">
        <w:t xml:space="preserve">he </w:t>
      </w:r>
      <w:r w:rsidR="004F3B27">
        <w:t>regulations for maintaining</w:t>
      </w:r>
      <w:r w:rsidR="00AC7CE4">
        <w:t xml:space="preserve"> </w:t>
      </w:r>
      <w:r w:rsidR="0054133C">
        <w:t>SFP</w:t>
      </w:r>
      <w:r w:rsidR="00AC7CE4">
        <w:t xml:space="preserve"> subcriticality.  </w:t>
      </w:r>
      <w:r w:rsidR="00317428">
        <w:t xml:space="preserve">The </w:t>
      </w:r>
      <w:r w:rsidR="001A4E53">
        <w:t xml:space="preserve">NRC uses this </w:t>
      </w:r>
      <w:r w:rsidR="004F3B27">
        <w:t xml:space="preserve">regulation to develop acceptance criteria for </w:t>
      </w:r>
      <w:r w:rsidR="00077F49">
        <w:t xml:space="preserve">monitoring programs for </w:t>
      </w:r>
      <w:r w:rsidR="004F3B27">
        <w:t>SFP neutron-absorbing</w:t>
      </w:r>
      <w:r w:rsidR="00AC7CE4">
        <w:t xml:space="preserve"> material</w:t>
      </w:r>
      <w:r w:rsidR="00077F49">
        <w:t>s</w:t>
      </w:r>
      <w:r w:rsidR="00AC7CE4">
        <w:t>.</w:t>
      </w:r>
    </w:p>
    <w:p w:rsidR="0054133C" w:rsidRDefault="0054133C" w:rsidP="00AC7CE4"/>
    <w:p w:rsidR="003F021B" w:rsidRDefault="00AC7CE4">
      <w:pPr>
        <w:keepNext/>
      </w:pPr>
      <w:r>
        <w:t xml:space="preserve">10 CFR 70.24, “Criticality </w:t>
      </w:r>
      <w:r w:rsidR="003167B2">
        <w:t>a</w:t>
      </w:r>
      <w:r>
        <w:t xml:space="preserve">ccident </w:t>
      </w:r>
      <w:r w:rsidR="003167B2">
        <w:t>r</w:t>
      </w:r>
      <w:r>
        <w:t>equirements</w:t>
      </w:r>
      <w:r w:rsidR="00CD3EF3">
        <w:t>,</w:t>
      </w:r>
      <w:r>
        <w:t>”</w:t>
      </w:r>
    </w:p>
    <w:p w:rsidR="003F021B" w:rsidRDefault="003F021B">
      <w:pPr>
        <w:keepNext/>
      </w:pPr>
    </w:p>
    <w:p w:rsidR="00AC7CE4" w:rsidRDefault="00870585" w:rsidP="0054133C">
      <w:pPr>
        <w:ind w:left="720"/>
      </w:pPr>
      <w:r>
        <w:t>R</w:t>
      </w:r>
      <w:r w:rsidR="0054133C">
        <w:t xml:space="preserve">equires license holders </w:t>
      </w:r>
      <w:r w:rsidR="007C63D3">
        <w:t xml:space="preserve">who </w:t>
      </w:r>
      <w:r w:rsidR="0054133C">
        <w:t>possess nuclear material to monitor the areas where the material is stored to detect accidental criticality</w:t>
      </w:r>
      <w:r w:rsidR="009476CE">
        <w:t>.</w:t>
      </w:r>
    </w:p>
    <w:p w:rsidR="0054133C" w:rsidRDefault="0054133C" w:rsidP="0054133C">
      <w:pPr>
        <w:ind w:left="720"/>
      </w:pPr>
    </w:p>
    <w:p w:rsidR="003F021B" w:rsidRDefault="0054133C">
      <w:pPr>
        <w:keepNext/>
      </w:pPr>
      <w:r>
        <w:t>10 CFR </w:t>
      </w:r>
      <w:r w:rsidRPr="00AA3E93">
        <w:t>50.</w:t>
      </w:r>
      <w:r>
        <w:t xml:space="preserve">65, “Requirements for </w:t>
      </w:r>
      <w:r w:rsidR="003167B2">
        <w:t>m</w:t>
      </w:r>
      <w:r>
        <w:t xml:space="preserve">onitoring the </w:t>
      </w:r>
      <w:r w:rsidR="003167B2">
        <w:t>effectiveness of m</w:t>
      </w:r>
      <w:r>
        <w:t xml:space="preserve">aintenance at </w:t>
      </w:r>
      <w:r w:rsidR="007F43A8">
        <w:t>nuclear p</w:t>
      </w:r>
      <w:r>
        <w:t xml:space="preserve">ower </w:t>
      </w:r>
      <w:r w:rsidR="007F43A8">
        <w:t>p</w:t>
      </w:r>
      <w:r>
        <w:t>lants”</w:t>
      </w:r>
      <w:r w:rsidR="00C07742">
        <w:t xml:space="preserve"> (</w:t>
      </w:r>
      <w:r w:rsidR="00077F49">
        <w:t>n</w:t>
      </w:r>
      <w:r w:rsidR="00C07742">
        <w:t xml:space="preserve">ot applicable to </w:t>
      </w:r>
      <w:r w:rsidR="003603A5">
        <w:t>non-power</w:t>
      </w:r>
      <w:r w:rsidR="00615E27">
        <w:t xml:space="preserve"> reactors</w:t>
      </w:r>
      <w:r w:rsidR="00C07742">
        <w:t>)</w:t>
      </w:r>
      <w:r w:rsidR="00CD3EF3">
        <w:t>,</w:t>
      </w:r>
    </w:p>
    <w:p w:rsidR="003F021B" w:rsidRDefault="003F021B">
      <w:pPr>
        <w:keepNext/>
      </w:pPr>
    </w:p>
    <w:p w:rsidR="00AC7CE4" w:rsidRDefault="00870585" w:rsidP="0054133C">
      <w:pPr>
        <w:ind w:left="720"/>
      </w:pPr>
      <w:r>
        <w:t>R</w:t>
      </w:r>
      <w:r w:rsidR="0054133C">
        <w:t>equires license holders to monitor the performance or condition of structures, systems, and components against licensee-established goals, in a manner sufficient to provide reasonable assurance that these structures, systems, and components are capable of fulfilling their intended functions.</w:t>
      </w:r>
    </w:p>
    <w:p w:rsidR="0054133C" w:rsidRDefault="0054133C" w:rsidP="0054133C"/>
    <w:p w:rsidR="003F021B" w:rsidRDefault="0054133C">
      <w:pPr>
        <w:keepNext/>
      </w:pPr>
      <w:r>
        <w:t xml:space="preserve">10 CFR 50.36, “Technical </w:t>
      </w:r>
      <w:r w:rsidR="007F43A8">
        <w:t>s</w:t>
      </w:r>
      <w:r>
        <w:t>pecifications</w:t>
      </w:r>
      <w:r w:rsidR="00CD3EF3">
        <w:t>,</w:t>
      </w:r>
      <w:r>
        <w:t>”</w:t>
      </w:r>
    </w:p>
    <w:p w:rsidR="003F021B" w:rsidRDefault="003F021B">
      <w:pPr>
        <w:keepNext/>
      </w:pPr>
    </w:p>
    <w:p w:rsidR="0054133C" w:rsidRDefault="00870585" w:rsidP="0054133C">
      <w:pPr>
        <w:ind w:firstLine="720"/>
      </w:pPr>
      <w:r>
        <w:t>C</w:t>
      </w:r>
      <w:r w:rsidR="0054133C">
        <w:t xml:space="preserve">ontains requirements applicable to </w:t>
      </w:r>
      <w:r w:rsidR="005256C2">
        <w:t>SFP</w:t>
      </w:r>
      <w:r w:rsidR="0054133C">
        <w:t xml:space="preserve"> storage.</w:t>
      </w:r>
    </w:p>
    <w:p w:rsidR="0054133C" w:rsidRDefault="0054133C" w:rsidP="0054133C">
      <w:pPr>
        <w:ind w:left="720"/>
      </w:pPr>
    </w:p>
    <w:p w:rsidR="003D0BAE" w:rsidRDefault="003D0BAE" w:rsidP="00AC7CE4">
      <w:r>
        <w:t>10</w:t>
      </w:r>
      <w:r w:rsidR="00077F49">
        <w:t> </w:t>
      </w:r>
      <w:r>
        <w:t>CFR</w:t>
      </w:r>
      <w:r w:rsidR="00077F49">
        <w:t> Part </w:t>
      </w:r>
      <w:r>
        <w:t>50, Appendix</w:t>
      </w:r>
      <w:r w:rsidR="00077F49">
        <w:t> </w:t>
      </w:r>
      <w:r>
        <w:t>B, “Quality Assurance Criteria for Nuclear Power Plants and Fuel Reprocessing Plants</w:t>
      </w:r>
      <w:r w:rsidR="00820A3D">
        <w:t>,</w:t>
      </w:r>
      <w:r>
        <w:t>”</w:t>
      </w:r>
      <w:r w:rsidR="00820A3D">
        <w:t xml:space="preserve"> </w:t>
      </w:r>
      <w:r w:rsidR="00ED35B1">
        <w:t>Criterion</w:t>
      </w:r>
      <w:r w:rsidR="00077F49">
        <w:t> </w:t>
      </w:r>
      <w:r w:rsidR="00D90B32">
        <w:t>XI</w:t>
      </w:r>
      <w:r w:rsidR="00ED35B1">
        <w:t>, “Test Control</w:t>
      </w:r>
      <w:r w:rsidR="00A3571E">
        <w:t>,</w:t>
      </w:r>
      <w:r w:rsidR="00ED35B1">
        <w:t>”</w:t>
      </w:r>
      <w:r w:rsidR="00D90B32">
        <w:t xml:space="preserve"> and </w:t>
      </w:r>
      <w:r w:rsidR="00ED35B1">
        <w:t>Criterion </w:t>
      </w:r>
      <w:r w:rsidR="00D90B32">
        <w:t>XII</w:t>
      </w:r>
      <w:r w:rsidR="00ED35B1">
        <w:t>, “Control of Measuring and Test Equipment</w:t>
      </w:r>
      <w:r w:rsidR="00CD3EF3">
        <w:t>,</w:t>
      </w:r>
      <w:r w:rsidR="00ED35B1">
        <w:t>”</w:t>
      </w:r>
    </w:p>
    <w:p w:rsidR="003D0BAE" w:rsidRDefault="003D0BAE" w:rsidP="00AC7CE4"/>
    <w:p w:rsidR="003D0BAE" w:rsidRDefault="00870585" w:rsidP="00167F5E">
      <w:pPr>
        <w:ind w:left="720"/>
      </w:pPr>
      <w:r>
        <w:t>E</w:t>
      </w:r>
      <w:r w:rsidR="003D0BAE">
        <w:t>stablish</w:t>
      </w:r>
      <w:r w:rsidR="00BE4FAC">
        <w:t>es</w:t>
      </w:r>
      <w:r w:rsidR="003D0BAE">
        <w:t xml:space="preserve"> requirements for planned and systematic actions necessary to provide adequate confidence that a structure, system, or component used to prevent or mitigate the consequences of postulated accidents will perform satisfactorily in service. </w:t>
      </w:r>
      <w:r w:rsidR="00D90B32">
        <w:t xml:space="preserve"> In particular, </w:t>
      </w:r>
      <w:r w:rsidR="00ED35B1">
        <w:t>Criteria </w:t>
      </w:r>
      <w:r w:rsidR="00D90B32">
        <w:t xml:space="preserve">XI and XII establish requirements for </w:t>
      </w:r>
      <w:r w:rsidR="00077F49">
        <w:t xml:space="preserve">the </w:t>
      </w:r>
      <w:r w:rsidR="00D90B32">
        <w:t>testing and control of measuring</w:t>
      </w:r>
      <w:r w:rsidR="00077F49">
        <w:t xml:space="preserve"> or </w:t>
      </w:r>
      <w:r w:rsidR="00D90B32">
        <w:t xml:space="preserve">testing equipment to confirm that all structures, systems, or components will perform satisfactorily in service, including operational tests conducted during nuclear power plant operation.  </w:t>
      </w:r>
    </w:p>
    <w:p w:rsidR="003D0BAE" w:rsidRDefault="003D0BAE" w:rsidP="00AC7CE4"/>
    <w:p w:rsidR="00AC7CE4" w:rsidRDefault="004F3B27" w:rsidP="00AC7CE4">
      <w:r w:rsidRPr="007F43A8">
        <w:t>Appendix A of 10 CFR Part 50 provides several operating requirements applicable to criti</w:t>
      </w:r>
      <w:r w:rsidR="00AC7CE4" w:rsidRPr="007F43A8">
        <w:t>cality control in fuel storage.</w:t>
      </w:r>
      <w:r w:rsidR="00C07742" w:rsidRPr="007F43A8">
        <w:t xml:space="preserve"> </w:t>
      </w:r>
      <w:r w:rsidR="00CD3EF3" w:rsidRPr="007F43A8">
        <w:t xml:space="preserve"> </w:t>
      </w:r>
      <w:r w:rsidR="00E957AA" w:rsidRPr="007F43A8">
        <w:t>Not all plants were licensed under the GDCs described in Appendix</w:t>
      </w:r>
      <w:r w:rsidR="00077F49" w:rsidRPr="007F43A8">
        <w:t> </w:t>
      </w:r>
      <w:r w:rsidR="00E957AA" w:rsidRPr="007F43A8">
        <w:t>A,</w:t>
      </w:r>
      <w:r w:rsidR="00E957AA">
        <w:t xml:space="preserve"> but they were generally licensed under similar station-specific design bases.  </w:t>
      </w:r>
      <w:r w:rsidR="00C07742">
        <w:t xml:space="preserve">(Not applicable to </w:t>
      </w:r>
      <w:r w:rsidR="003603A5">
        <w:t>non-power</w:t>
      </w:r>
      <w:r w:rsidR="00615E27">
        <w:t xml:space="preserve"> reactors</w:t>
      </w:r>
      <w:r w:rsidR="00C07742">
        <w:t>)</w:t>
      </w:r>
      <w:r w:rsidR="00C61644">
        <w:t xml:space="preserve">  </w:t>
      </w:r>
      <w:r w:rsidR="005D3C1C">
        <w:t xml:space="preserve">These </w:t>
      </w:r>
      <w:r w:rsidR="00C61644">
        <w:t>include but are not limited to</w:t>
      </w:r>
      <w:r w:rsidR="00CD3EF3">
        <w:t xml:space="preserve"> the following</w:t>
      </w:r>
      <w:r w:rsidR="00C61644">
        <w:t>:</w:t>
      </w:r>
    </w:p>
    <w:p w:rsidR="00AC7CE4" w:rsidRDefault="00AC7CE4" w:rsidP="00AC7CE4"/>
    <w:p w:rsidR="003F021B" w:rsidRDefault="004F3B27">
      <w:pPr>
        <w:keepNext/>
      </w:pPr>
      <w:r w:rsidRPr="00240122">
        <w:t>GDC</w:t>
      </w:r>
      <w:r>
        <w:t xml:space="preserve"> 2, “Design </w:t>
      </w:r>
      <w:r w:rsidR="00DC4C74">
        <w:t xml:space="preserve">Bases </w:t>
      </w:r>
      <w:r>
        <w:t xml:space="preserve">for </w:t>
      </w:r>
      <w:r w:rsidR="00DC4C74">
        <w:t>Protection Against Natural Phenomena</w:t>
      </w:r>
      <w:r w:rsidR="00CD3EF3">
        <w:t>,</w:t>
      </w:r>
      <w:r>
        <w:t>”</w:t>
      </w:r>
    </w:p>
    <w:p w:rsidR="003F021B" w:rsidRDefault="003F021B">
      <w:pPr>
        <w:keepNext/>
      </w:pPr>
    </w:p>
    <w:p w:rsidR="00AC7CE4" w:rsidRDefault="00870585" w:rsidP="00AC7CE4">
      <w:pPr>
        <w:ind w:left="720"/>
      </w:pPr>
      <w:r>
        <w:t>R</w:t>
      </w:r>
      <w:r w:rsidR="004F3B27">
        <w:t>equires that structures, systems, and components important to safety be designed to withstand the</w:t>
      </w:r>
      <w:r w:rsidR="00AC7CE4">
        <w:t xml:space="preserve"> effects of natural phenomena.</w:t>
      </w:r>
    </w:p>
    <w:p w:rsidR="00883797" w:rsidRDefault="00883797" w:rsidP="00AC7CE4">
      <w:pPr>
        <w:ind w:left="720"/>
      </w:pPr>
    </w:p>
    <w:p w:rsidR="003F021B" w:rsidRDefault="00C61644">
      <w:pPr>
        <w:keepNext/>
        <w:rPr>
          <w:i/>
        </w:rPr>
      </w:pPr>
      <w:r w:rsidRPr="00240122">
        <w:t>GDC</w:t>
      </w:r>
      <w:r>
        <w:t> </w:t>
      </w:r>
      <w:r w:rsidR="0037431E">
        <w:t>61</w:t>
      </w:r>
      <w:r>
        <w:t>, “</w:t>
      </w:r>
      <w:r w:rsidR="00C93968" w:rsidRPr="00C93968">
        <w:rPr>
          <w:rStyle w:val="Emphasis"/>
          <w:i w:val="0"/>
        </w:rPr>
        <w:t xml:space="preserve">Fuel </w:t>
      </w:r>
      <w:r w:rsidR="00DC4C74">
        <w:rPr>
          <w:rStyle w:val="Emphasis"/>
          <w:i w:val="0"/>
        </w:rPr>
        <w:t>S</w:t>
      </w:r>
      <w:r w:rsidR="00DC4C74" w:rsidRPr="00C93968">
        <w:rPr>
          <w:rStyle w:val="Emphasis"/>
          <w:i w:val="0"/>
        </w:rPr>
        <w:t xml:space="preserve">torage </w:t>
      </w:r>
      <w:r w:rsidR="00C93968" w:rsidRPr="00C93968">
        <w:rPr>
          <w:rStyle w:val="Emphasis"/>
          <w:i w:val="0"/>
        </w:rPr>
        <w:t xml:space="preserve">and </w:t>
      </w:r>
      <w:r w:rsidR="00DC4C74">
        <w:rPr>
          <w:rStyle w:val="Emphasis"/>
          <w:i w:val="0"/>
        </w:rPr>
        <w:t>H</w:t>
      </w:r>
      <w:r w:rsidR="00DC4C74" w:rsidRPr="00C93968">
        <w:rPr>
          <w:rStyle w:val="Emphasis"/>
          <w:i w:val="0"/>
        </w:rPr>
        <w:t xml:space="preserve">andling </w:t>
      </w:r>
      <w:r w:rsidR="00C93968" w:rsidRPr="00C93968">
        <w:rPr>
          <w:rStyle w:val="Emphasis"/>
          <w:i w:val="0"/>
        </w:rPr>
        <w:t xml:space="preserve">and </w:t>
      </w:r>
      <w:r w:rsidR="00DC4C74">
        <w:rPr>
          <w:rStyle w:val="Emphasis"/>
          <w:i w:val="0"/>
        </w:rPr>
        <w:t>R</w:t>
      </w:r>
      <w:r w:rsidR="00DC4C74" w:rsidRPr="00C93968">
        <w:rPr>
          <w:rStyle w:val="Emphasis"/>
          <w:i w:val="0"/>
        </w:rPr>
        <w:t xml:space="preserve">adioactivity </w:t>
      </w:r>
      <w:r w:rsidR="00DC4C74">
        <w:rPr>
          <w:rStyle w:val="Emphasis"/>
          <w:i w:val="0"/>
        </w:rPr>
        <w:t>C</w:t>
      </w:r>
      <w:r w:rsidR="00DC4C74" w:rsidRPr="00C93968">
        <w:rPr>
          <w:rStyle w:val="Emphasis"/>
          <w:i w:val="0"/>
        </w:rPr>
        <w:t>ontrol</w:t>
      </w:r>
      <w:r w:rsidR="00CD3EF3">
        <w:rPr>
          <w:rStyle w:val="Emphasis"/>
          <w:i w:val="0"/>
        </w:rPr>
        <w:t>,</w:t>
      </w:r>
      <w:r w:rsidR="009D724C" w:rsidRPr="009D724C">
        <w:rPr>
          <w:i/>
        </w:rPr>
        <w:t>”</w:t>
      </w:r>
    </w:p>
    <w:p w:rsidR="003F021B" w:rsidRDefault="003F021B">
      <w:pPr>
        <w:keepNext/>
      </w:pPr>
    </w:p>
    <w:p w:rsidR="00C61644" w:rsidRDefault="00870585" w:rsidP="00C61644">
      <w:pPr>
        <w:ind w:left="720"/>
      </w:pPr>
      <w:r>
        <w:t>R</w:t>
      </w:r>
      <w:r w:rsidR="00C61644">
        <w:t xml:space="preserve">equires that fuel storage and handling, radioactive waste, and other systems </w:t>
      </w:r>
      <w:r w:rsidR="005D3C1C">
        <w:t xml:space="preserve">that </w:t>
      </w:r>
      <w:r w:rsidR="00C61644">
        <w:t xml:space="preserve">may contain radioactivity be designed to </w:t>
      </w:r>
      <w:r w:rsidR="00F675CC">
        <w:t>en</w:t>
      </w:r>
      <w:r w:rsidR="00C61644">
        <w:t xml:space="preserve">sure adequate safety under normal and </w:t>
      </w:r>
      <w:r w:rsidR="00C61644">
        <w:lastRenderedPageBreak/>
        <w:t xml:space="preserve">postulated accident conditions. </w:t>
      </w:r>
      <w:r w:rsidR="005D3C1C">
        <w:t xml:space="preserve"> </w:t>
      </w:r>
      <w:r w:rsidR="00C61644">
        <w:t>These systems shall be designed with a capability to permit appropriate periodic inspection and testing of components important to safety.</w:t>
      </w:r>
    </w:p>
    <w:p w:rsidR="00AC7CE4" w:rsidRDefault="00AC7CE4" w:rsidP="00AC7CE4"/>
    <w:p w:rsidR="003F021B" w:rsidRDefault="004F3B27">
      <w:pPr>
        <w:keepNext/>
      </w:pPr>
      <w:r>
        <w:t>GDC </w:t>
      </w:r>
      <w:r w:rsidRPr="00240122">
        <w:t xml:space="preserve">62, “Prevention of </w:t>
      </w:r>
      <w:r w:rsidR="00DC4C74">
        <w:t>C</w:t>
      </w:r>
      <w:r w:rsidR="00DC4C74" w:rsidRPr="00240122">
        <w:t>riticality</w:t>
      </w:r>
      <w:r w:rsidR="00DC4C74">
        <w:t xml:space="preserve"> </w:t>
      </w:r>
      <w:r w:rsidR="00AC7CE4">
        <w:t xml:space="preserve">in </w:t>
      </w:r>
      <w:r w:rsidR="00DC4C74">
        <w:t xml:space="preserve">Fuel Storage </w:t>
      </w:r>
      <w:r w:rsidR="00AC7CE4">
        <w:t xml:space="preserve">and </w:t>
      </w:r>
      <w:r w:rsidR="00DC4C74">
        <w:t>Handling</w:t>
      </w:r>
      <w:r w:rsidR="00CD3EF3">
        <w:t>,</w:t>
      </w:r>
      <w:r w:rsidR="00AC7CE4">
        <w:t>”</w:t>
      </w:r>
    </w:p>
    <w:p w:rsidR="003F021B" w:rsidRDefault="003F021B">
      <w:pPr>
        <w:keepNext/>
      </w:pPr>
    </w:p>
    <w:p w:rsidR="00D90B32" w:rsidRDefault="00870585" w:rsidP="0054133C">
      <w:pPr>
        <w:ind w:left="720"/>
      </w:pPr>
      <w:r>
        <w:t>R</w:t>
      </w:r>
      <w:r w:rsidR="004F3B27" w:rsidRPr="00240122">
        <w:t>equire</w:t>
      </w:r>
      <w:r w:rsidR="004F3B27">
        <w:t>s</w:t>
      </w:r>
      <w:r w:rsidR="004F3B27" w:rsidRPr="00240122">
        <w:t xml:space="preserve"> that criticality in the fuel storage and handling system be prevented by physical systems or processes.</w:t>
      </w:r>
    </w:p>
    <w:p w:rsidR="004F3B27" w:rsidRPr="000B4F7D" w:rsidRDefault="004F3B27" w:rsidP="000B4F7D">
      <w:pPr>
        <w:ind w:left="720"/>
      </w:pPr>
    </w:p>
    <w:p w:rsidR="004F3B27" w:rsidRPr="00DD478B" w:rsidRDefault="004F3B27" w:rsidP="00167F5E">
      <w:pPr>
        <w:rPr>
          <w:b/>
        </w:rPr>
      </w:pPr>
      <w:r w:rsidRPr="00D02F40">
        <w:rPr>
          <w:b/>
        </w:rPr>
        <w:t xml:space="preserve">REQUESTED INFORMATION </w:t>
      </w:r>
      <w:r w:rsidR="00C07742">
        <w:rPr>
          <w:b/>
        </w:rPr>
        <w:t>FROM POWER REACTOR ADDRESSEES</w:t>
      </w:r>
    </w:p>
    <w:p w:rsidR="004F3B27" w:rsidRDefault="004F3B27" w:rsidP="004F3B27"/>
    <w:p w:rsidR="004F3B27" w:rsidRDefault="004F3B27" w:rsidP="004F3B27">
      <w:pPr>
        <w:rPr>
          <w:rFonts w:cs="Arial"/>
        </w:rPr>
      </w:pPr>
      <w:r>
        <w:rPr>
          <w:rFonts w:eastAsia="Times New Roman"/>
        </w:rPr>
        <w:t xml:space="preserve">The NRC </w:t>
      </w:r>
      <w:r w:rsidR="00536C12">
        <w:rPr>
          <w:rFonts w:eastAsia="Times New Roman"/>
        </w:rPr>
        <w:t>requests</w:t>
      </w:r>
      <w:r>
        <w:rPr>
          <w:rFonts w:eastAsia="Times New Roman"/>
        </w:rPr>
        <w:t xml:space="preserve"> information</w:t>
      </w:r>
      <w:r w:rsidRPr="00FF3343">
        <w:rPr>
          <w:rFonts w:eastAsia="Times New Roman"/>
        </w:rPr>
        <w:t xml:space="preserve"> </w:t>
      </w:r>
      <w:r w:rsidR="003603A5">
        <w:rPr>
          <w:rFonts w:eastAsia="Times New Roman"/>
        </w:rPr>
        <w:t xml:space="preserve">in the </w:t>
      </w:r>
      <w:r w:rsidR="003603A5" w:rsidRPr="000B4F7D">
        <w:t>following five areas</w:t>
      </w:r>
      <w:r w:rsidR="003603A5" w:rsidRPr="000B4F7D">
        <w:rPr>
          <w:rFonts w:eastAsia="Times New Roman"/>
        </w:rPr>
        <w:t xml:space="preserve"> </w:t>
      </w:r>
      <w:r w:rsidRPr="000B4F7D">
        <w:rPr>
          <w:rFonts w:eastAsia="Times New Roman"/>
        </w:rPr>
        <w:t>for</w:t>
      </w:r>
      <w:r w:rsidRPr="004171E8">
        <w:rPr>
          <w:rFonts w:eastAsia="Times New Roman"/>
        </w:rPr>
        <w:t xml:space="preserve"> use in verifying compliance</w:t>
      </w:r>
      <w:r>
        <w:rPr>
          <w:rFonts w:eastAsia="Times New Roman"/>
        </w:rPr>
        <w:t>:</w:t>
      </w:r>
    </w:p>
    <w:p w:rsidR="004F3B27" w:rsidRDefault="004F3B27" w:rsidP="004F3B27">
      <w:pPr>
        <w:rPr>
          <w:rFonts w:cs="Arial"/>
        </w:rPr>
      </w:pPr>
    </w:p>
    <w:p w:rsidR="004F3B27" w:rsidRDefault="000425CC" w:rsidP="005D4289">
      <w:pPr>
        <w:pStyle w:val="ListParagraph"/>
        <w:numPr>
          <w:ilvl w:val="0"/>
          <w:numId w:val="2"/>
        </w:numPr>
        <w:autoSpaceDE w:val="0"/>
        <w:autoSpaceDN w:val="0"/>
        <w:adjustRightInd w:val="0"/>
        <w:ind w:left="720" w:hanging="720"/>
        <w:rPr>
          <w:rFonts w:eastAsia="Times New Roman"/>
          <w:szCs w:val="20"/>
        </w:rPr>
      </w:pPr>
      <w:r>
        <w:rPr>
          <w:rFonts w:cs="Arial"/>
        </w:rPr>
        <w:t>a</w:t>
      </w:r>
      <w:r w:rsidRPr="00833318">
        <w:rPr>
          <w:rFonts w:cs="Arial"/>
        </w:rPr>
        <w:t xml:space="preserve"> </w:t>
      </w:r>
      <w:r w:rsidR="004F3B27" w:rsidRPr="00833318">
        <w:rPr>
          <w:rFonts w:cs="Arial"/>
        </w:rPr>
        <w:t xml:space="preserve">description of the </w:t>
      </w:r>
      <w:r w:rsidR="004F3B27">
        <w:rPr>
          <w:rFonts w:eastAsia="Times New Roman"/>
          <w:szCs w:val="20"/>
        </w:rPr>
        <w:t>neutron</w:t>
      </w:r>
      <w:r w:rsidR="004F3B27">
        <w:rPr>
          <w:rFonts w:eastAsia="Times New Roman"/>
          <w:szCs w:val="20"/>
        </w:rPr>
        <w:noBreakHyphen/>
        <w:t>absorbing</w:t>
      </w:r>
      <w:r w:rsidR="004F3B27" w:rsidRPr="00833318">
        <w:rPr>
          <w:rFonts w:eastAsia="Times New Roman"/>
          <w:szCs w:val="20"/>
        </w:rPr>
        <w:t xml:space="preserve"> material </w:t>
      </w:r>
      <w:r w:rsidR="004F3B27" w:rsidRPr="00833318">
        <w:rPr>
          <w:rFonts w:cs="Arial"/>
        </w:rPr>
        <w:t>c</w:t>
      </w:r>
      <w:r w:rsidR="004F3B27" w:rsidRPr="00833318">
        <w:rPr>
          <w:rFonts w:eastAsia="Times New Roman"/>
          <w:szCs w:val="20"/>
        </w:rPr>
        <w:t xml:space="preserve">redited in the SFP NCS </w:t>
      </w:r>
      <w:r w:rsidR="003658AF">
        <w:rPr>
          <w:rFonts w:eastAsia="Times New Roman"/>
          <w:szCs w:val="20"/>
        </w:rPr>
        <w:t>analysis of record (</w:t>
      </w:r>
      <w:r w:rsidR="004F3B27" w:rsidRPr="00833318">
        <w:rPr>
          <w:rFonts w:eastAsia="Times New Roman"/>
          <w:szCs w:val="20"/>
        </w:rPr>
        <w:t>AOR</w:t>
      </w:r>
      <w:r w:rsidR="003658AF">
        <w:rPr>
          <w:rFonts w:eastAsia="Times New Roman"/>
          <w:szCs w:val="20"/>
        </w:rPr>
        <w:t>)</w:t>
      </w:r>
      <w:r w:rsidR="004F3B27" w:rsidRPr="00833318">
        <w:rPr>
          <w:rFonts w:eastAsia="Times New Roman"/>
          <w:szCs w:val="20"/>
        </w:rPr>
        <w:t xml:space="preserve"> and its configuration in the SFP</w:t>
      </w:r>
      <w:r w:rsidR="00F61EFC">
        <w:rPr>
          <w:rFonts w:eastAsia="Times New Roman"/>
          <w:szCs w:val="20"/>
        </w:rPr>
        <w:t>;</w:t>
      </w:r>
    </w:p>
    <w:p w:rsidR="004F3B27" w:rsidRDefault="004F3B27" w:rsidP="001D5171">
      <w:pPr>
        <w:pStyle w:val="ListParagraph"/>
        <w:autoSpaceDE w:val="0"/>
        <w:autoSpaceDN w:val="0"/>
        <w:adjustRightInd w:val="0"/>
        <w:ind w:hanging="720"/>
        <w:rPr>
          <w:rFonts w:eastAsia="Times New Roman"/>
          <w:szCs w:val="20"/>
        </w:rPr>
      </w:pPr>
    </w:p>
    <w:p w:rsidR="004F3B27" w:rsidRDefault="000425CC" w:rsidP="005D4289">
      <w:pPr>
        <w:pStyle w:val="ListParagraph"/>
        <w:numPr>
          <w:ilvl w:val="0"/>
          <w:numId w:val="2"/>
        </w:numPr>
        <w:autoSpaceDE w:val="0"/>
        <w:autoSpaceDN w:val="0"/>
        <w:adjustRightInd w:val="0"/>
        <w:ind w:left="720" w:hanging="720"/>
        <w:rPr>
          <w:rFonts w:cs="Arial"/>
        </w:rPr>
      </w:pPr>
      <w:r>
        <w:rPr>
          <w:rFonts w:eastAsia="Times New Roman" w:cs="Arial"/>
          <w:szCs w:val="20"/>
        </w:rPr>
        <w:t>a</w:t>
      </w:r>
      <w:r w:rsidRPr="00833318">
        <w:rPr>
          <w:rFonts w:eastAsia="Times New Roman" w:cs="Arial"/>
          <w:szCs w:val="20"/>
        </w:rPr>
        <w:t xml:space="preserve"> </w:t>
      </w:r>
      <w:r w:rsidR="004F3B27" w:rsidRPr="00833318">
        <w:rPr>
          <w:rFonts w:eastAsia="Times New Roman" w:cs="Arial"/>
          <w:szCs w:val="20"/>
        </w:rPr>
        <w:t>description of the surveil</w:t>
      </w:r>
      <w:r w:rsidR="004F3B27" w:rsidRPr="00833318">
        <w:rPr>
          <w:rFonts w:eastAsia="Times New Roman"/>
          <w:szCs w:val="20"/>
        </w:rPr>
        <w:t>lance or monitoring pr</w:t>
      </w:r>
      <w:r w:rsidR="004F3B27" w:rsidRPr="00833318">
        <w:rPr>
          <w:rFonts w:eastAsia="Times New Roman" w:cs="Arial"/>
          <w:szCs w:val="20"/>
        </w:rPr>
        <w:t>o</w:t>
      </w:r>
      <w:r w:rsidR="004F3B27" w:rsidRPr="00833318">
        <w:rPr>
          <w:rFonts w:eastAsia="Times New Roman"/>
          <w:szCs w:val="20"/>
        </w:rPr>
        <w:t xml:space="preserve">gram used to confirm that the </w:t>
      </w:r>
      <w:r w:rsidR="004F79E8">
        <w:rPr>
          <w:rFonts w:eastAsia="Times New Roman"/>
          <w:szCs w:val="20"/>
        </w:rPr>
        <w:t xml:space="preserve">credited </w:t>
      </w:r>
      <w:r w:rsidR="004F3B27">
        <w:rPr>
          <w:rFonts w:eastAsia="Times New Roman"/>
          <w:szCs w:val="20"/>
        </w:rPr>
        <w:t>neutron</w:t>
      </w:r>
      <w:r w:rsidR="006F2D8F">
        <w:rPr>
          <w:rFonts w:eastAsia="Times New Roman"/>
          <w:szCs w:val="20"/>
        </w:rPr>
        <w:noBreakHyphen/>
      </w:r>
      <w:r w:rsidR="004F3B27">
        <w:rPr>
          <w:rFonts w:eastAsia="Times New Roman"/>
          <w:szCs w:val="20"/>
        </w:rPr>
        <w:t>absorbing</w:t>
      </w:r>
      <w:r w:rsidR="004F3B27" w:rsidRPr="00833318">
        <w:rPr>
          <w:rFonts w:eastAsia="Times New Roman"/>
          <w:szCs w:val="20"/>
        </w:rPr>
        <w:t xml:space="preserve"> material is performin</w:t>
      </w:r>
      <w:r w:rsidR="004F3B27" w:rsidRPr="00FA040A">
        <w:rPr>
          <w:rFonts w:eastAsia="Times New Roman"/>
          <w:szCs w:val="20"/>
        </w:rPr>
        <w:t xml:space="preserve">g </w:t>
      </w:r>
      <w:r w:rsidR="004F3B27">
        <w:rPr>
          <w:rFonts w:eastAsia="Times New Roman"/>
          <w:szCs w:val="20"/>
        </w:rPr>
        <w:t>its</w:t>
      </w:r>
      <w:r w:rsidR="004F3B27" w:rsidRPr="00FA040A">
        <w:rPr>
          <w:rFonts w:eastAsia="Times New Roman"/>
          <w:szCs w:val="20"/>
        </w:rPr>
        <w:t xml:space="preserve"> </w:t>
      </w:r>
      <w:r w:rsidR="00466915">
        <w:rPr>
          <w:rFonts w:eastAsia="Times New Roman"/>
          <w:szCs w:val="20"/>
        </w:rPr>
        <w:t>safety</w:t>
      </w:r>
      <w:r w:rsidR="00E957AA">
        <w:rPr>
          <w:rFonts w:eastAsia="Times New Roman"/>
          <w:szCs w:val="20"/>
        </w:rPr>
        <w:t xml:space="preserve"> </w:t>
      </w:r>
      <w:r w:rsidR="004F3B27">
        <w:rPr>
          <w:rFonts w:eastAsia="Times New Roman"/>
          <w:szCs w:val="20"/>
        </w:rPr>
        <w:t>function, including the frequency, limitations, and accuracy of the methodologies used</w:t>
      </w:r>
      <w:r w:rsidR="00F61EFC">
        <w:rPr>
          <w:rFonts w:eastAsia="Times New Roman"/>
          <w:szCs w:val="20"/>
        </w:rPr>
        <w:t>;</w:t>
      </w:r>
    </w:p>
    <w:p w:rsidR="004F3B27" w:rsidRPr="00EC341B" w:rsidRDefault="004F3B27" w:rsidP="001D5171">
      <w:pPr>
        <w:pStyle w:val="ListParagraph"/>
        <w:ind w:hanging="720"/>
        <w:rPr>
          <w:rFonts w:eastAsia="Times New Roman"/>
          <w:szCs w:val="20"/>
        </w:rPr>
      </w:pPr>
    </w:p>
    <w:p w:rsidR="004F3B27" w:rsidRDefault="000425CC" w:rsidP="005D4289">
      <w:pPr>
        <w:pStyle w:val="ListParagraph"/>
        <w:numPr>
          <w:ilvl w:val="0"/>
          <w:numId w:val="2"/>
        </w:numPr>
        <w:autoSpaceDE w:val="0"/>
        <w:autoSpaceDN w:val="0"/>
        <w:adjustRightInd w:val="0"/>
        <w:ind w:left="720" w:hanging="720"/>
        <w:rPr>
          <w:rFonts w:eastAsia="Times New Roman"/>
          <w:szCs w:val="20"/>
        </w:rPr>
      </w:pPr>
      <w:r>
        <w:rPr>
          <w:rFonts w:eastAsia="Times New Roman"/>
          <w:szCs w:val="20"/>
        </w:rPr>
        <w:t>a</w:t>
      </w:r>
      <w:r w:rsidRPr="00833318">
        <w:rPr>
          <w:rFonts w:eastAsia="Times New Roman"/>
          <w:szCs w:val="20"/>
        </w:rPr>
        <w:t xml:space="preserve"> </w:t>
      </w:r>
      <w:r w:rsidR="004F3B27" w:rsidRPr="00833318">
        <w:rPr>
          <w:rFonts w:eastAsia="Times New Roman"/>
          <w:szCs w:val="20"/>
        </w:rPr>
        <w:t>description of the technical basis for determining the interval of surveillance</w:t>
      </w:r>
      <w:r w:rsidR="006F2D8F">
        <w:rPr>
          <w:rFonts w:eastAsia="Times New Roman"/>
          <w:szCs w:val="20"/>
        </w:rPr>
        <w:t xml:space="preserve"> or </w:t>
      </w:r>
      <w:r w:rsidR="004F3B27" w:rsidRPr="00833318">
        <w:rPr>
          <w:rFonts w:eastAsia="Times New Roman"/>
          <w:szCs w:val="20"/>
        </w:rPr>
        <w:t>monitoring</w:t>
      </w:r>
      <w:r w:rsidR="004F3B27">
        <w:rPr>
          <w:rFonts w:eastAsia="Times New Roman"/>
          <w:szCs w:val="20"/>
        </w:rPr>
        <w:t xml:space="preserve"> for the </w:t>
      </w:r>
      <w:r w:rsidR="004F79E8">
        <w:rPr>
          <w:rFonts w:eastAsia="Times New Roman"/>
          <w:szCs w:val="20"/>
        </w:rPr>
        <w:t xml:space="preserve">credited </w:t>
      </w:r>
      <w:r w:rsidR="004F3B27">
        <w:rPr>
          <w:rFonts w:eastAsia="Times New Roman"/>
          <w:szCs w:val="20"/>
        </w:rPr>
        <w:t>neutron-absorbing material</w:t>
      </w:r>
      <w:r w:rsidR="00F61EFC">
        <w:rPr>
          <w:rFonts w:eastAsia="Times New Roman"/>
          <w:szCs w:val="20"/>
        </w:rPr>
        <w:t>;</w:t>
      </w:r>
    </w:p>
    <w:p w:rsidR="004F3B27" w:rsidRPr="00D33C51" w:rsidRDefault="004F3B27" w:rsidP="001D5171">
      <w:pPr>
        <w:autoSpaceDE w:val="0"/>
        <w:autoSpaceDN w:val="0"/>
        <w:adjustRightInd w:val="0"/>
        <w:ind w:left="720" w:hanging="720"/>
        <w:rPr>
          <w:rFonts w:eastAsia="Times New Roman"/>
          <w:szCs w:val="20"/>
        </w:rPr>
      </w:pPr>
    </w:p>
    <w:p w:rsidR="004F3B27" w:rsidRDefault="000425CC" w:rsidP="005D4289">
      <w:pPr>
        <w:pStyle w:val="ListParagraph"/>
        <w:numPr>
          <w:ilvl w:val="0"/>
          <w:numId w:val="2"/>
        </w:numPr>
        <w:autoSpaceDE w:val="0"/>
        <w:autoSpaceDN w:val="0"/>
        <w:adjustRightInd w:val="0"/>
        <w:ind w:left="720" w:hanging="720"/>
        <w:rPr>
          <w:rFonts w:cs="Arial"/>
        </w:rPr>
      </w:pPr>
      <w:r>
        <w:rPr>
          <w:rFonts w:eastAsia="Times New Roman"/>
          <w:szCs w:val="20"/>
        </w:rPr>
        <w:t>a</w:t>
      </w:r>
      <w:r w:rsidRPr="00C928C7">
        <w:rPr>
          <w:rFonts w:eastAsia="Times New Roman"/>
          <w:szCs w:val="20"/>
        </w:rPr>
        <w:t xml:space="preserve"> </w:t>
      </w:r>
      <w:r w:rsidR="004F3B27" w:rsidRPr="00C928C7">
        <w:rPr>
          <w:rFonts w:eastAsia="Times New Roman"/>
          <w:szCs w:val="20"/>
        </w:rPr>
        <w:t>description of how the credited neutron</w:t>
      </w:r>
      <w:r w:rsidR="004F3B27" w:rsidRPr="00C928C7">
        <w:rPr>
          <w:rFonts w:eastAsia="Times New Roman"/>
          <w:szCs w:val="20"/>
        </w:rPr>
        <w:noBreakHyphen/>
        <w:t>absorbing</w:t>
      </w:r>
      <w:r w:rsidR="004F3B27">
        <w:rPr>
          <w:rFonts w:eastAsia="Times New Roman"/>
          <w:szCs w:val="20"/>
        </w:rPr>
        <w:t xml:space="preserve"> material is modeled in the SFP NCS AOR and how the monitoring</w:t>
      </w:r>
      <w:r w:rsidR="006F2D8F">
        <w:rPr>
          <w:rFonts w:eastAsia="Times New Roman"/>
          <w:szCs w:val="20"/>
        </w:rPr>
        <w:t xml:space="preserve"> or </w:t>
      </w:r>
      <w:r w:rsidR="004F3B27">
        <w:rPr>
          <w:rFonts w:eastAsia="Times New Roman"/>
          <w:szCs w:val="20"/>
        </w:rPr>
        <w:t>surveillance program ensures that the actual condition of the neutron</w:t>
      </w:r>
      <w:r w:rsidR="004F3B27">
        <w:rPr>
          <w:rFonts w:eastAsia="Times New Roman"/>
          <w:szCs w:val="20"/>
        </w:rPr>
        <w:noBreakHyphen/>
        <w:t>absorbing material is bounded by the NCS AOR</w:t>
      </w:r>
      <w:r w:rsidR="00F61EFC">
        <w:rPr>
          <w:rFonts w:eastAsia="Times New Roman"/>
          <w:szCs w:val="20"/>
        </w:rPr>
        <w:t>; and</w:t>
      </w:r>
    </w:p>
    <w:p w:rsidR="004F3B27" w:rsidRDefault="004F3B27" w:rsidP="001D5171">
      <w:pPr>
        <w:autoSpaceDE w:val="0"/>
        <w:autoSpaceDN w:val="0"/>
        <w:adjustRightInd w:val="0"/>
        <w:ind w:left="720" w:hanging="720"/>
        <w:rPr>
          <w:rFonts w:cs="Arial"/>
        </w:rPr>
      </w:pPr>
    </w:p>
    <w:p w:rsidR="004F3B27" w:rsidRDefault="000425CC" w:rsidP="005D4289">
      <w:pPr>
        <w:pStyle w:val="ListParagraph"/>
        <w:numPr>
          <w:ilvl w:val="0"/>
          <w:numId w:val="2"/>
        </w:numPr>
        <w:autoSpaceDE w:val="0"/>
        <w:autoSpaceDN w:val="0"/>
        <w:adjustRightInd w:val="0"/>
        <w:ind w:left="720" w:hanging="720"/>
        <w:rPr>
          <w:rFonts w:eastAsia="Times New Roman"/>
          <w:szCs w:val="20"/>
        </w:rPr>
      </w:pPr>
      <w:r>
        <w:rPr>
          <w:rFonts w:eastAsia="Times New Roman"/>
          <w:szCs w:val="20"/>
        </w:rPr>
        <w:t xml:space="preserve">a </w:t>
      </w:r>
      <w:r w:rsidR="004F3B27">
        <w:rPr>
          <w:rFonts w:eastAsia="Times New Roman"/>
          <w:szCs w:val="20"/>
        </w:rPr>
        <w:t xml:space="preserve">description of the technical basis for concluding that the </w:t>
      </w:r>
      <w:r w:rsidR="00466915">
        <w:rPr>
          <w:rFonts w:eastAsia="Times New Roman"/>
          <w:szCs w:val="20"/>
        </w:rPr>
        <w:t>safety</w:t>
      </w:r>
      <w:r w:rsidR="00E957AA">
        <w:rPr>
          <w:rFonts w:eastAsia="Times New Roman"/>
          <w:szCs w:val="20"/>
        </w:rPr>
        <w:t xml:space="preserve"> function</w:t>
      </w:r>
      <w:r w:rsidR="004F3B27">
        <w:rPr>
          <w:rFonts w:eastAsia="Times New Roman"/>
          <w:szCs w:val="20"/>
        </w:rPr>
        <w:t xml:space="preserve"> for the </w:t>
      </w:r>
      <w:r w:rsidR="004F79E8">
        <w:rPr>
          <w:rFonts w:eastAsia="Times New Roman"/>
          <w:szCs w:val="20"/>
        </w:rPr>
        <w:t xml:space="preserve">credited </w:t>
      </w:r>
      <w:r w:rsidR="004F3B27">
        <w:rPr>
          <w:rFonts w:eastAsia="Times New Roman"/>
          <w:szCs w:val="20"/>
        </w:rPr>
        <w:t>neutron</w:t>
      </w:r>
      <w:r w:rsidR="004F3B27">
        <w:rPr>
          <w:rFonts w:eastAsia="Times New Roman"/>
          <w:szCs w:val="20"/>
        </w:rPr>
        <w:noBreakHyphen/>
        <w:t xml:space="preserve">absorbing material in the </w:t>
      </w:r>
      <w:r w:rsidR="009E36F6">
        <w:rPr>
          <w:rFonts w:eastAsia="Times New Roman"/>
          <w:szCs w:val="20"/>
        </w:rPr>
        <w:t>SFP</w:t>
      </w:r>
      <w:r w:rsidR="004F3B27">
        <w:rPr>
          <w:rFonts w:eastAsia="Times New Roman"/>
          <w:szCs w:val="20"/>
        </w:rPr>
        <w:t xml:space="preserve"> will be maintained during design-basis events</w:t>
      </w:r>
      <w:r w:rsidR="00F61EFC">
        <w:rPr>
          <w:rFonts w:eastAsia="Times New Roman"/>
          <w:szCs w:val="20"/>
        </w:rPr>
        <w:t>.</w:t>
      </w:r>
    </w:p>
    <w:p w:rsidR="004F3B27" w:rsidRDefault="004F3B27" w:rsidP="004F3B27">
      <w:pPr>
        <w:autoSpaceDE w:val="0"/>
        <w:autoSpaceDN w:val="0"/>
        <w:adjustRightInd w:val="0"/>
        <w:rPr>
          <w:rFonts w:cs="Arial"/>
        </w:rPr>
      </w:pPr>
    </w:p>
    <w:p w:rsidR="00CB7846" w:rsidRDefault="00536C12" w:rsidP="00567B77">
      <w:pPr>
        <w:rPr>
          <w:rFonts w:eastAsia="Times New Roman"/>
        </w:rPr>
      </w:pPr>
      <w:r>
        <w:rPr>
          <w:rFonts w:eastAsia="Times New Roman"/>
        </w:rPr>
        <w:t>The NRC will accept responses based on a categorization, as follows</w:t>
      </w:r>
      <w:r w:rsidR="00CB7846">
        <w:rPr>
          <w:rFonts w:eastAsia="Times New Roman"/>
        </w:rPr>
        <w:t>:</w:t>
      </w:r>
    </w:p>
    <w:p w:rsidR="00CB7846" w:rsidRDefault="00CB7846" w:rsidP="00567B77">
      <w:pPr>
        <w:rPr>
          <w:rFonts w:eastAsia="Times New Roman"/>
        </w:rPr>
      </w:pPr>
    </w:p>
    <w:p w:rsidR="00CB7846" w:rsidRDefault="00CB7846" w:rsidP="005D4289">
      <w:pPr>
        <w:pStyle w:val="ListParagraph"/>
        <w:numPr>
          <w:ilvl w:val="0"/>
          <w:numId w:val="4"/>
        </w:numPr>
        <w:rPr>
          <w:rFonts w:eastAsia="Times New Roman"/>
        </w:rPr>
      </w:pPr>
      <w:r>
        <w:rPr>
          <w:rFonts w:eastAsia="Times New Roman"/>
        </w:rPr>
        <w:t>Category</w:t>
      </w:r>
      <w:r w:rsidR="009E36F6">
        <w:rPr>
          <w:rFonts w:eastAsia="Times New Roman"/>
        </w:rPr>
        <w:t> </w:t>
      </w:r>
      <w:r>
        <w:rPr>
          <w:rFonts w:eastAsia="Times New Roman"/>
        </w:rPr>
        <w:t xml:space="preserve">1: </w:t>
      </w:r>
      <w:r w:rsidR="009E36F6">
        <w:rPr>
          <w:rFonts w:eastAsia="Times New Roman"/>
        </w:rPr>
        <w:t xml:space="preserve"> </w:t>
      </w:r>
      <w:r>
        <w:rPr>
          <w:rFonts w:eastAsia="Times New Roman"/>
        </w:rPr>
        <w:t xml:space="preserve">Power reactor addressees that do not credit neutron-absorbing materials other than soluble boron in the </w:t>
      </w:r>
      <w:r w:rsidR="009E36F6">
        <w:rPr>
          <w:rFonts w:eastAsia="Times New Roman"/>
        </w:rPr>
        <w:t>AOR</w:t>
      </w:r>
      <w:r>
        <w:rPr>
          <w:rFonts w:eastAsia="Times New Roman"/>
        </w:rPr>
        <w:t>.  In some cases, no neutron-absorbing material is present in the spent fuel storage racks, and in othe</w:t>
      </w:r>
      <w:r w:rsidR="008222FB">
        <w:rPr>
          <w:rFonts w:eastAsia="Times New Roman"/>
        </w:rPr>
        <w:t>r cases, credit for the neutron</w:t>
      </w:r>
      <w:r w:rsidR="008222FB">
        <w:rPr>
          <w:rFonts w:eastAsia="Times New Roman"/>
        </w:rPr>
        <w:noBreakHyphen/>
      </w:r>
      <w:r>
        <w:rPr>
          <w:rFonts w:eastAsia="Times New Roman"/>
        </w:rPr>
        <w:t>absorbing material has been removed through a regulatory action (i.e.,</w:t>
      </w:r>
      <w:r w:rsidR="009E36F6">
        <w:rPr>
          <w:rFonts w:eastAsia="Times New Roman"/>
        </w:rPr>
        <w:t> </w:t>
      </w:r>
      <w:r w:rsidR="009B19A1">
        <w:rPr>
          <w:rFonts w:eastAsia="Times New Roman"/>
        </w:rPr>
        <w:t xml:space="preserve">approved </w:t>
      </w:r>
      <w:r>
        <w:rPr>
          <w:rFonts w:eastAsia="Times New Roman"/>
        </w:rPr>
        <w:t>license amendment).</w:t>
      </w:r>
      <w:r w:rsidR="00383C20">
        <w:rPr>
          <w:rFonts w:eastAsia="Times New Roman"/>
        </w:rPr>
        <w:t xml:space="preserve">  Those</w:t>
      </w:r>
      <w:r w:rsidR="00D241D9">
        <w:rPr>
          <w:rFonts w:eastAsia="Times New Roman"/>
        </w:rPr>
        <w:t xml:space="preserve"> addressee</w:t>
      </w:r>
      <w:r w:rsidR="00383C20">
        <w:rPr>
          <w:rFonts w:eastAsia="Times New Roman"/>
        </w:rPr>
        <w:t>s</w:t>
      </w:r>
      <w:r w:rsidR="00D241D9">
        <w:rPr>
          <w:rFonts w:eastAsia="Times New Roman"/>
        </w:rPr>
        <w:t xml:space="preserve"> may submit a </w:t>
      </w:r>
      <w:r w:rsidR="00BE4FAC">
        <w:rPr>
          <w:rFonts w:eastAsia="Times New Roman"/>
        </w:rPr>
        <w:t xml:space="preserve">response </w:t>
      </w:r>
      <w:r w:rsidR="00D241D9">
        <w:rPr>
          <w:rFonts w:eastAsia="Times New Roman"/>
        </w:rPr>
        <w:t>letter confirming that no neutron-absorbing materials are currently credited to meet NRC subcriticality requirements in the SFP.</w:t>
      </w:r>
    </w:p>
    <w:p w:rsidR="00535AE8" w:rsidRDefault="00535AE8">
      <w:pPr>
        <w:pStyle w:val="ListParagraph"/>
        <w:rPr>
          <w:rFonts w:eastAsia="Times New Roman"/>
        </w:rPr>
      </w:pPr>
    </w:p>
    <w:p w:rsidR="00CB7846" w:rsidRDefault="00CB7846" w:rsidP="005D4289">
      <w:pPr>
        <w:pStyle w:val="ListParagraph"/>
        <w:numPr>
          <w:ilvl w:val="0"/>
          <w:numId w:val="4"/>
        </w:numPr>
        <w:rPr>
          <w:rFonts w:eastAsia="Times New Roman"/>
        </w:rPr>
      </w:pPr>
      <w:r>
        <w:rPr>
          <w:rFonts w:eastAsia="Times New Roman"/>
        </w:rPr>
        <w:t>Category</w:t>
      </w:r>
      <w:r w:rsidR="009E36F6">
        <w:rPr>
          <w:rFonts w:eastAsia="Times New Roman"/>
        </w:rPr>
        <w:t> </w:t>
      </w:r>
      <w:r>
        <w:rPr>
          <w:rFonts w:eastAsia="Times New Roman"/>
        </w:rPr>
        <w:t>2:</w:t>
      </w:r>
      <w:r w:rsidR="009E36F6">
        <w:rPr>
          <w:rFonts w:eastAsia="Times New Roman"/>
        </w:rPr>
        <w:t xml:space="preserve"> </w:t>
      </w:r>
      <w:r>
        <w:rPr>
          <w:rFonts w:eastAsia="Times New Roman"/>
        </w:rPr>
        <w:t xml:space="preserve"> Power reactor address</w:t>
      </w:r>
      <w:r w:rsidR="002B5CDF">
        <w:rPr>
          <w:rFonts w:eastAsia="Times New Roman"/>
        </w:rPr>
        <w:t>e</w:t>
      </w:r>
      <w:r>
        <w:rPr>
          <w:rFonts w:eastAsia="Times New Roman"/>
        </w:rPr>
        <w:t xml:space="preserve">es that </w:t>
      </w:r>
      <w:r w:rsidR="002B5CDF">
        <w:rPr>
          <w:rFonts w:eastAsia="Times New Roman"/>
        </w:rPr>
        <w:t xml:space="preserve">have an approved license amendment to remove credit for existing neutron-absorbing materials and </w:t>
      </w:r>
      <w:r w:rsidR="00CD3EF3">
        <w:rPr>
          <w:rFonts w:eastAsia="Times New Roman"/>
        </w:rPr>
        <w:t>that</w:t>
      </w:r>
      <w:r w:rsidR="002B5CDF">
        <w:rPr>
          <w:rFonts w:eastAsia="Times New Roman"/>
        </w:rPr>
        <w:t xml:space="preserve"> intend to complete full implementation no later than </w:t>
      </w:r>
      <w:r w:rsidR="00B468D3">
        <w:rPr>
          <w:rFonts w:eastAsia="Times New Roman"/>
        </w:rPr>
        <w:t>24 </w:t>
      </w:r>
      <w:r w:rsidR="002B5CDF">
        <w:rPr>
          <w:rFonts w:eastAsia="Times New Roman"/>
        </w:rPr>
        <w:t xml:space="preserve">months after the issuance of this </w:t>
      </w:r>
      <w:r w:rsidR="005256C2">
        <w:rPr>
          <w:rFonts w:eastAsia="Times New Roman"/>
        </w:rPr>
        <w:t>GL</w:t>
      </w:r>
      <w:r w:rsidR="003603A5">
        <w:rPr>
          <w:rFonts w:eastAsia="Times New Roman"/>
        </w:rPr>
        <w:t>.  Licensees may request extensions if there are extenuating circumstances</w:t>
      </w:r>
      <w:r w:rsidR="002B5CDF">
        <w:rPr>
          <w:rFonts w:eastAsia="Times New Roman"/>
        </w:rPr>
        <w:t>.</w:t>
      </w:r>
      <w:r w:rsidR="00D241D9">
        <w:rPr>
          <w:rFonts w:eastAsia="Times New Roman"/>
        </w:rPr>
        <w:t xml:space="preserve">  Th</w:t>
      </w:r>
      <w:r w:rsidR="00383C20">
        <w:rPr>
          <w:rFonts w:eastAsia="Times New Roman"/>
        </w:rPr>
        <w:t>os</w:t>
      </w:r>
      <w:r w:rsidR="00D241D9">
        <w:rPr>
          <w:rFonts w:eastAsia="Times New Roman"/>
        </w:rPr>
        <w:t>e addressee</w:t>
      </w:r>
      <w:r w:rsidR="00383C20">
        <w:rPr>
          <w:rFonts w:eastAsia="Times New Roman"/>
        </w:rPr>
        <w:t>s</w:t>
      </w:r>
      <w:r w:rsidR="00D241D9">
        <w:rPr>
          <w:rFonts w:eastAsia="Times New Roman"/>
        </w:rPr>
        <w:t xml:space="preserve"> may submit a </w:t>
      </w:r>
      <w:r w:rsidR="00BE4FAC">
        <w:rPr>
          <w:rFonts w:eastAsia="Times New Roman"/>
        </w:rPr>
        <w:t xml:space="preserve">response </w:t>
      </w:r>
      <w:r w:rsidR="00D241D9">
        <w:rPr>
          <w:rFonts w:eastAsia="Times New Roman"/>
        </w:rPr>
        <w:t>letter affirming that they will implement the approved license amendment request within the specified time.  However, they must still provide information equivalent to Category</w:t>
      </w:r>
      <w:r w:rsidR="009E36F6">
        <w:rPr>
          <w:rFonts w:eastAsia="Times New Roman"/>
        </w:rPr>
        <w:t> </w:t>
      </w:r>
      <w:r w:rsidR="00D241D9">
        <w:rPr>
          <w:rFonts w:eastAsia="Times New Roman"/>
        </w:rPr>
        <w:t>3 or Category</w:t>
      </w:r>
      <w:r w:rsidR="009E36F6">
        <w:rPr>
          <w:rFonts w:eastAsia="Times New Roman"/>
        </w:rPr>
        <w:t> </w:t>
      </w:r>
      <w:r w:rsidR="00D241D9">
        <w:rPr>
          <w:rFonts w:eastAsia="Times New Roman"/>
        </w:rPr>
        <w:t xml:space="preserve">4 for any other neutron-absorbing material credited in the SFP criticality </w:t>
      </w:r>
      <w:r w:rsidR="009E36F6">
        <w:rPr>
          <w:rFonts w:eastAsia="Times New Roman"/>
        </w:rPr>
        <w:t>AOR</w:t>
      </w:r>
      <w:r w:rsidR="00D241D9">
        <w:rPr>
          <w:rFonts w:eastAsia="Times New Roman"/>
        </w:rPr>
        <w:t xml:space="preserve"> after the license amendment has been fully implemented.</w:t>
      </w:r>
      <w:bookmarkStart w:id="6" w:name="_GoBack"/>
      <w:bookmarkEnd w:id="6"/>
    </w:p>
    <w:p w:rsidR="00535AE8" w:rsidRDefault="00535AE8">
      <w:pPr>
        <w:rPr>
          <w:rFonts w:eastAsia="Times New Roman"/>
        </w:rPr>
      </w:pPr>
    </w:p>
    <w:p w:rsidR="002B5CDF" w:rsidRDefault="002B5CDF" w:rsidP="005D4289">
      <w:pPr>
        <w:pStyle w:val="ListParagraph"/>
        <w:numPr>
          <w:ilvl w:val="0"/>
          <w:numId w:val="4"/>
        </w:numPr>
        <w:rPr>
          <w:rFonts w:eastAsia="Times New Roman"/>
        </w:rPr>
      </w:pPr>
      <w:r>
        <w:rPr>
          <w:rFonts w:eastAsia="Times New Roman"/>
        </w:rPr>
        <w:t>Category</w:t>
      </w:r>
      <w:r w:rsidR="009E36F6">
        <w:rPr>
          <w:rFonts w:eastAsia="Times New Roman"/>
        </w:rPr>
        <w:t> </w:t>
      </w:r>
      <w:r>
        <w:rPr>
          <w:rFonts w:eastAsia="Times New Roman"/>
        </w:rPr>
        <w:t xml:space="preserve">3: </w:t>
      </w:r>
      <w:r w:rsidR="009E36F6">
        <w:rPr>
          <w:rFonts w:eastAsia="Times New Roman"/>
        </w:rPr>
        <w:t xml:space="preserve"> </w:t>
      </w:r>
      <w:r>
        <w:rPr>
          <w:rFonts w:eastAsia="Times New Roman"/>
        </w:rPr>
        <w:t xml:space="preserve">Power reactor addressees that have </w:t>
      </w:r>
      <w:r w:rsidR="00022317">
        <w:rPr>
          <w:rFonts w:eastAsia="Times New Roman"/>
        </w:rPr>
        <w:t>incorporated their neutron-absorbing material monitoring programs into their licensing basis through a</w:t>
      </w:r>
      <w:r w:rsidR="009E36F6">
        <w:rPr>
          <w:rFonts w:eastAsia="Times New Roman"/>
        </w:rPr>
        <w:t>n</w:t>
      </w:r>
      <w:r w:rsidR="00022317">
        <w:rPr>
          <w:rFonts w:eastAsia="Times New Roman"/>
        </w:rPr>
        <w:t xml:space="preserve"> NRC-approved T</w:t>
      </w:r>
      <w:r w:rsidR="009E36F6">
        <w:rPr>
          <w:rFonts w:eastAsia="Times New Roman"/>
        </w:rPr>
        <w:t>S</w:t>
      </w:r>
      <w:r w:rsidR="00C76A43">
        <w:rPr>
          <w:rFonts w:eastAsia="Times New Roman"/>
        </w:rPr>
        <w:t xml:space="preserve"> </w:t>
      </w:r>
      <w:r w:rsidR="00022317">
        <w:rPr>
          <w:rFonts w:eastAsia="Times New Roman"/>
        </w:rPr>
        <w:lastRenderedPageBreak/>
        <w:t>change or license condition</w:t>
      </w:r>
      <w:r w:rsidR="009D7134">
        <w:rPr>
          <w:rFonts w:eastAsia="Times New Roman"/>
        </w:rPr>
        <w:t>.</w:t>
      </w:r>
      <w:r w:rsidR="00383C20">
        <w:rPr>
          <w:rFonts w:eastAsia="Times New Roman"/>
        </w:rPr>
        <w:t xml:space="preserve">  Those addressees may submit a </w:t>
      </w:r>
      <w:r w:rsidR="00BE4FAC">
        <w:rPr>
          <w:rFonts w:eastAsia="Times New Roman"/>
        </w:rPr>
        <w:t xml:space="preserve">response </w:t>
      </w:r>
      <w:r w:rsidR="00383C20">
        <w:rPr>
          <w:rFonts w:eastAsia="Times New Roman"/>
        </w:rPr>
        <w:t>letter referencing their approved T</w:t>
      </w:r>
      <w:r w:rsidR="009E36F6">
        <w:rPr>
          <w:rFonts w:eastAsia="Times New Roman"/>
        </w:rPr>
        <w:t>S</w:t>
      </w:r>
      <w:r w:rsidR="00383C20">
        <w:rPr>
          <w:rFonts w:eastAsia="Times New Roman"/>
        </w:rPr>
        <w:t xml:space="preserve"> change or license condition and affirming that no change has been made to their neutron-absorbing material monitoring program</w:t>
      </w:r>
      <w:r w:rsidR="009E36F6">
        <w:rPr>
          <w:rFonts w:eastAsia="Times New Roman"/>
        </w:rPr>
        <w:t>,</w:t>
      </w:r>
      <w:r w:rsidR="00383C20">
        <w:rPr>
          <w:rFonts w:eastAsia="Times New Roman"/>
        </w:rPr>
        <w:t xml:space="preserve"> as described in the referenced license amendment request.  If a change has been made since NRC approval of the reference, the </w:t>
      </w:r>
      <w:r w:rsidR="00BE4FAC">
        <w:rPr>
          <w:rFonts w:eastAsia="Times New Roman"/>
        </w:rPr>
        <w:t xml:space="preserve">response </w:t>
      </w:r>
      <w:r w:rsidR="00383C20">
        <w:rPr>
          <w:rFonts w:eastAsia="Times New Roman"/>
        </w:rPr>
        <w:t xml:space="preserve">letter should also describe any </w:t>
      </w:r>
      <w:r w:rsidR="00CD3EF3">
        <w:rPr>
          <w:rFonts w:eastAsia="Times New Roman"/>
        </w:rPr>
        <w:t xml:space="preserve">such </w:t>
      </w:r>
      <w:r w:rsidR="00383C20">
        <w:rPr>
          <w:rFonts w:eastAsia="Times New Roman"/>
        </w:rPr>
        <w:t>changes.  (Licensees with a monitoring program approved as part of a license amendment request or license renewal application that w</w:t>
      </w:r>
      <w:r w:rsidR="000A00A4">
        <w:rPr>
          <w:rFonts w:eastAsia="Times New Roman"/>
        </w:rPr>
        <w:t>as</w:t>
      </w:r>
      <w:r w:rsidR="00383C20">
        <w:rPr>
          <w:rFonts w:eastAsia="Times New Roman"/>
        </w:rPr>
        <w:t xml:space="preserve"> </w:t>
      </w:r>
      <w:r w:rsidR="005A654E" w:rsidRPr="005A654E">
        <w:rPr>
          <w:rFonts w:eastAsia="Times New Roman"/>
          <w:u w:val="single"/>
        </w:rPr>
        <w:t>not</w:t>
      </w:r>
      <w:r w:rsidR="00383C20">
        <w:rPr>
          <w:rFonts w:eastAsia="Times New Roman"/>
        </w:rPr>
        <w:t xml:space="preserve"> incorporated as a T</w:t>
      </w:r>
      <w:r w:rsidR="009E36F6">
        <w:rPr>
          <w:rFonts w:eastAsia="Times New Roman"/>
        </w:rPr>
        <w:t xml:space="preserve">S </w:t>
      </w:r>
      <w:r w:rsidR="00383C20">
        <w:rPr>
          <w:rFonts w:eastAsia="Times New Roman"/>
        </w:rPr>
        <w:t xml:space="preserve">change or license condition are considered to </w:t>
      </w:r>
      <w:r w:rsidR="009E36F6">
        <w:rPr>
          <w:rFonts w:eastAsia="Times New Roman"/>
        </w:rPr>
        <w:t>belong</w:t>
      </w:r>
      <w:r w:rsidR="007C4D62">
        <w:rPr>
          <w:rFonts w:eastAsia="Times New Roman"/>
        </w:rPr>
        <w:t xml:space="preserve"> in</w:t>
      </w:r>
      <w:r w:rsidR="00383C20">
        <w:rPr>
          <w:rFonts w:eastAsia="Times New Roman"/>
        </w:rPr>
        <w:t xml:space="preserve"> Category</w:t>
      </w:r>
      <w:r w:rsidR="009E36F6">
        <w:rPr>
          <w:rFonts w:eastAsia="Times New Roman"/>
        </w:rPr>
        <w:t> </w:t>
      </w:r>
      <w:r w:rsidR="00383C20">
        <w:rPr>
          <w:rFonts w:eastAsia="Times New Roman"/>
        </w:rPr>
        <w:t>4</w:t>
      </w:r>
      <w:r w:rsidR="00645DE2">
        <w:rPr>
          <w:rFonts w:eastAsia="Times New Roman"/>
        </w:rPr>
        <w:t>.</w:t>
      </w:r>
      <w:r w:rsidR="00383C20">
        <w:rPr>
          <w:rFonts w:eastAsia="Times New Roman"/>
        </w:rPr>
        <w:t>)</w:t>
      </w:r>
    </w:p>
    <w:p w:rsidR="00535AE8" w:rsidRDefault="00535AE8">
      <w:pPr>
        <w:rPr>
          <w:rFonts w:eastAsia="Times New Roman"/>
        </w:rPr>
      </w:pPr>
    </w:p>
    <w:p w:rsidR="003A3B7B" w:rsidRDefault="002B5CDF" w:rsidP="005D4289">
      <w:pPr>
        <w:pStyle w:val="ListParagraph"/>
        <w:numPr>
          <w:ilvl w:val="0"/>
          <w:numId w:val="4"/>
        </w:numPr>
        <w:rPr>
          <w:rFonts w:eastAsia="Times New Roman"/>
        </w:rPr>
      </w:pPr>
      <w:r>
        <w:rPr>
          <w:rFonts w:eastAsia="Times New Roman"/>
        </w:rPr>
        <w:t xml:space="preserve">Category 4: </w:t>
      </w:r>
      <w:r w:rsidR="00CD3EF3">
        <w:rPr>
          <w:rFonts w:eastAsia="Times New Roman"/>
        </w:rPr>
        <w:t xml:space="preserve"> </w:t>
      </w:r>
      <w:r>
        <w:rPr>
          <w:rFonts w:eastAsia="Times New Roman"/>
        </w:rPr>
        <w:t>All other power reactor addressees.</w:t>
      </w:r>
      <w:r w:rsidR="00383C20">
        <w:rPr>
          <w:rFonts w:eastAsia="Times New Roman"/>
        </w:rPr>
        <w:t xml:space="preserve">  </w:t>
      </w:r>
      <w:r w:rsidR="00D31283">
        <w:rPr>
          <w:rFonts w:eastAsia="Times New Roman"/>
        </w:rPr>
        <w:t>The NRC seeks information in five areas depending upon the type of neutron absorber material used by the licensee in the</w:t>
      </w:r>
      <w:r w:rsidR="00BE4FAC">
        <w:rPr>
          <w:rFonts w:eastAsia="Times New Roman"/>
        </w:rPr>
        <w:t xml:space="preserve"> </w:t>
      </w:r>
      <w:r w:rsidR="007C63D3">
        <w:rPr>
          <w:rFonts w:eastAsia="Times New Roman"/>
        </w:rPr>
        <w:t>SFP</w:t>
      </w:r>
      <w:r w:rsidR="00D31283">
        <w:rPr>
          <w:rFonts w:eastAsia="Times New Roman"/>
        </w:rPr>
        <w:t xml:space="preserve">.  A detailed discussion of the five areas of information </w:t>
      </w:r>
      <w:r w:rsidR="00BE4FAC">
        <w:rPr>
          <w:rFonts w:eastAsia="Times New Roman"/>
        </w:rPr>
        <w:t>can be found</w:t>
      </w:r>
      <w:r w:rsidR="00D31283">
        <w:rPr>
          <w:rFonts w:eastAsia="Times New Roman"/>
        </w:rPr>
        <w:t xml:space="preserve"> in Appendix A.  </w:t>
      </w:r>
      <w:r w:rsidR="003B54C2">
        <w:rPr>
          <w:rFonts w:eastAsia="Times New Roman"/>
        </w:rPr>
        <w:t>Table 1</w:t>
      </w:r>
      <w:r w:rsidR="00CC5473">
        <w:rPr>
          <w:rFonts w:eastAsia="Times New Roman"/>
        </w:rPr>
        <w:t>,</w:t>
      </w:r>
      <w:r w:rsidR="003B54C2">
        <w:rPr>
          <w:rFonts w:eastAsia="Times New Roman"/>
        </w:rPr>
        <w:t xml:space="preserve"> below</w:t>
      </w:r>
      <w:r w:rsidR="00CC5473">
        <w:rPr>
          <w:rFonts w:eastAsia="Times New Roman"/>
        </w:rPr>
        <w:t>,</w:t>
      </w:r>
      <w:r w:rsidR="003B54C2">
        <w:rPr>
          <w:rFonts w:eastAsia="Times New Roman"/>
        </w:rPr>
        <w:t xml:space="preserve"> contains</w:t>
      </w:r>
      <w:r w:rsidR="00BE4FAC">
        <w:rPr>
          <w:rFonts w:eastAsia="Times New Roman"/>
        </w:rPr>
        <w:t xml:space="preserve"> </w:t>
      </w:r>
      <w:r w:rsidR="003B54C2">
        <w:rPr>
          <w:rFonts w:eastAsia="Times New Roman"/>
        </w:rPr>
        <w:t>t</w:t>
      </w:r>
      <w:r w:rsidR="00D31283">
        <w:rPr>
          <w:rFonts w:eastAsia="Times New Roman"/>
        </w:rPr>
        <w:t xml:space="preserve">he areas of information to be provided </w:t>
      </w:r>
      <w:r w:rsidR="003B54C2">
        <w:rPr>
          <w:rFonts w:eastAsia="Times New Roman"/>
        </w:rPr>
        <w:t xml:space="preserve">by the licensee </w:t>
      </w:r>
      <w:r w:rsidR="00D31283">
        <w:rPr>
          <w:rFonts w:eastAsia="Times New Roman"/>
        </w:rPr>
        <w:t>with respect to each type of neutron absorber material</w:t>
      </w:r>
      <w:r w:rsidR="003A3B7B">
        <w:rPr>
          <w:rFonts w:eastAsia="Times New Roman"/>
        </w:rPr>
        <w:t>.</w:t>
      </w:r>
    </w:p>
    <w:p w:rsidR="00C147B6" w:rsidRPr="00C147B6" w:rsidRDefault="00C147B6" w:rsidP="00C147B6">
      <w:pPr>
        <w:ind w:left="360"/>
        <w:rPr>
          <w:rFonts w:eastAsia="Times New Roman"/>
        </w:rPr>
      </w:pPr>
    </w:p>
    <w:p w:rsidR="00075531" w:rsidRDefault="003C4668" w:rsidP="000B4F7D">
      <w:pPr>
        <w:pStyle w:val="ListParagraph"/>
        <w:jc w:val="center"/>
        <w:rPr>
          <w:rFonts w:eastAsia="Times New Roman"/>
          <w:u w:val="single"/>
        </w:rPr>
      </w:pPr>
      <w:r w:rsidRPr="00C147B6">
        <w:rPr>
          <w:rFonts w:eastAsia="Times New Roman"/>
          <w:u w:val="single"/>
        </w:rPr>
        <w:t>Table 1. Areas of Information by Neutron Absorber Material Types</w:t>
      </w:r>
    </w:p>
    <w:p w:rsidR="00ED2C8C" w:rsidRPr="00C147B6" w:rsidRDefault="00ED2C8C" w:rsidP="000B4F7D">
      <w:pPr>
        <w:pStyle w:val="ListParagraph"/>
        <w:jc w:val="center"/>
        <w:rPr>
          <w:rFonts w:eastAsia="Times New Roman"/>
          <w:u w:val="single"/>
        </w:rPr>
      </w:pPr>
    </w:p>
    <w:tbl>
      <w:tblPr>
        <w:tblStyle w:val="TableGrid"/>
        <w:tblW w:w="8370" w:type="dxa"/>
        <w:tblInd w:w="828" w:type="dxa"/>
        <w:tblLayout w:type="fixed"/>
        <w:tblLook w:val="04A0" w:firstRow="1" w:lastRow="0" w:firstColumn="1" w:lastColumn="0" w:noHBand="0" w:noVBand="1"/>
      </w:tblPr>
      <w:tblGrid>
        <w:gridCol w:w="3135"/>
        <w:gridCol w:w="1047"/>
        <w:gridCol w:w="1047"/>
        <w:gridCol w:w="1047"/>
        <w:gridCol w:w="1047"/>
        <w:gridCol w:w="1047"/>
      </w:tblGrid>
      <w:tr w:rsidR="003A3B7B" w:rsidTr="00ED2C8C">
        <w:tc>
          <w:tcPr>
            <w:tcW w:w="3510" w:type="dxa"/>
            <w:tcBorders>
              <w:top w:val="nil"/>
              <w:left w:val="nil"/>
            </w:tcBorders>
            <w:vAlign w:val="center"/>
          </w:tcPr>
          <w:p w:rsidR="00535AE8" w:rsidRDefault="00535AE8">
            <w:pPr>
              <w:jc w:val="center"/>
              <w:rPr>
                <w:rFonts w:eastAsia="Times New Roman"/>
              </w:rPr>
            </w:pPr>
          </w:p>
        </w:tc>
        <w:tc>
          <w:tcPr>
            <w:tcW w:w="1152" w:type="dxa"/>
            <w:gridSpan w:val="5"/>
            <w:vAlign w:val="center"/>
          </w:tcPr>
          <w:p w:rsidR="00375F99" w:rsidRDefault="003603A5">
            <w:pPr>
              <w:jc w:val="center"/>
              <w:rPr>
                <w:rFonts w:eastAsia="Times New Roman"/>
              </w:rPr>
            </w:pPr>
            <w:r>
              <w:rPr>
                <w:rFonts w:eastAsia="Times New Roman"/>
              </w:rPr>
              <w:t>Areas of Requested</w:t>
            </w:r>
            <w:r w:rsidR="003A3B7B">
              <w:rPr>
                <w:rFonts w:eastAsia="Times New Roman"/>
              </w:rPr>
              <w:t xml:space="preserve"> Information</w:t>
            </w:r>
            <w:r w:rsidR="003C4668">
              <w:rPr>
                <w:rFonts w:eastAsia="Times New Roman"/>
              </w:rPr>
              <w:t xml:space="preserve"> </w:t>
            </w:r>
          </w:p>
          <w:p w:rsidR="00535AE8" w:rsidRDefault="003C4668">
            <w:pPr>
              <w:jc w:val="center"/>
              <w:rPr>
                <w:rFonts w:eastAsia="Times New Roman"/>
              </w:rPr>
            </w:pPr>
            <w:r>
              <w:rPr>
                <w:rFonts w:eastAsia="Times New Roman"/>
              </w:rPr>
              <w:t>(de</w:t>
            </w:r>
            <w:r w:rsidR="00B77CF5">
              <w:rPr>
                <w:rFonts w:eastAsia="Times New Roman"/>
              </w:rPr>
              <w:t>scribed in Appendix A of GL-2016</w:t>
            </w:r>
            <w:r>
              <w:rPr>
                <w:rFonts w:eastAsia="Times New Roman"/>
              </w:rPr>
              <w:t>-XX)</w:t>
            </w:r>
          </w:p>
        </w:tc>
      </w:tr>
      <w:tr w:rsidR="003A3B7B" w:rsidTr="00ED2C8C">
        <w:tc>
          <w:tcPr>
            <w:tcW w:w="3510" w:type="dxa"/>
            <w:vAlign w:val="center"/>
          </w:tcPr>
          <w:p w:rsidR="00535AE8" w:rsidRDefault="00466915">
            <w:pPr>
              <w:jc w:val="center"/>
              <w:rPr>
                <w:rFonts w:eastAsia="Times New Roman"/>
              </w:rPr>
            </w:pPr>
            <w:r>
              <w:rPr>
                <w:rFonts w:eastAsia="Times New Roman"/>
              </w:rPr>
              <w:t xml:space="preserve">Neutron-Absorbing </w:t>
            </w:r>
            <w:r w:rsidR="00870585">
              <w:rPr>
                <w:rFonts w:eastAsia="Times New Roman"/>
              </w:rPr>
              <w:t>Material T</w:t>
            </w:r>
            <w:r w:rsidR="003A3B7B">
              <w:rPr>
                <w:rFonts w:eastAsia="Times New Roman"/>
              </w:rPr>
              <w:t>ype</w:t>
            </w:r>
          </w:p>
        </w:tc>
        <w:tc>
          <w:tcPr>
            <w:tcW w:w="1152" w:type="dxa"/>
            <w:vAlign w:val="center"/>
          </w:tcPr>
          <w:p w:rsidR="00535AE8" w:rsidRDefault="003A3B7B">
            <w:pPr>
              <w:jc w:val="center"/>
              <w:rPr>
                <w:rFonts w:eastAsia="Times New Roman"/>
              </w:rPr>
            </w:pPr>
            <w:r>
              <w:rPr>
                <w:rFonts w:eastAsia="Times New Roman"/>
              </w:rPr>
              <w:t>(1)</w:t>
            </w:r>
          </w:p>
        </w:tc>
        <w:tc>
          <w:tcPr>
            <w:tcW w:w="1152" w:type="dxa"/>
            <w:vAlign w:val="center"/>
          </w:tcPr>
          <w:p w:rsidR="00535AE8" w:rsidRDefault="003A3B7B">
            <w:pPr>
              <w:jc w:val="center"/>
              <w:rPr>
                <w:rFonts w:eastAsia="Times New Roman"/>
              </w:rPr>
            </w:pPr>
            <w:r>
              <w:rPr>
                <w:rFonts w:eastAsia="Times New Roman"/>
              </w:rPr>
              <w:t>(2)</w:t>
            </w:r>
          </w:p>
        </w:tc>
        <w:tc>
          <w:tcPr>
            <w:tcW w:w="1152" w:type="dxa"/>
            <w:vAlign w:val="center"/>
          </w:tcPr>
          <w:p w:rsidR="00535AE8" w:rsidRDefault="003A3B7B">
            <w:pPr>
              <w:jc w:val="center"/>
              <w:rPr>
                <w:rFonts w:eastAsia="Times New Roman"/>
              </w:rPr>
            </w:pPr>
            <w:r>
              <w:rPr>
                <w:rFonts w:eastAsia="Times New Roman"/>
              </w:rPr>
              <w:t>(3)</w:t>
            </w:r>
          </w:p>
        </w:tc>
        <w:tc>
          <w:tcPr>
            <w:tcW w:w="1152" w:type="dxa"/>
            <w:vAlign w:val="center"/>
          </w:tcPr>
          <w:p w:rsidR="00535AE8" w:rsidRDefault="003A3B7B">
            <w:pPr>
              <w:jc w:val="center"/>
              <w:rPr>
                <w:rFonts w:eastAsia="Times New Roman"/>
              </w:rPr>
            </w:pPr>
            <w:r>
              <w:rPr>
                <w:rFonts w:eastAsia="Times New Roman"/>
              </w:rPr>
              <w:t>(4)</w:t>
            </w:r>
          </w:p>
        </w:tc>
        <w:tc>
          <w:tcPr>
            <w:tcW w:w="1152" w:type="dxa"/>
            <w:vAlign w:val="center"/>
          </w:tcPr>
          <w:p w:rsidR="00535AE8" w:rsidRDefault="003A3B7B">
            <w:pPr>
              <w:jc w:val="center"/>
              <w:rPr>
                <w:rFonts w:eastAsia="Times New Roman"/>
              </w:rPr>
            </w:pPr>
            <w:r>
              <w:rPr>
                <w:rFonts w:eastAsia="Times New Roman"/>
              </w:rPr>
              <w:t>(5)</w:t>
            </w:r>
          </w:p>
        </w:tc>
      </w:tr>
      <w:tr w:rsidR="003A3B7B" w:rsidTr="00ED2C8C">
        <w:tc>
          <w:tcPr>
            <w:tcW w:w="3510" w:type="dxa"/>
            <w:vAlign w:val="center"/>
          </w:tcPr>
          <w:p w:rsidR="00535AE8" w:rsidRDefault="003A3B7B">
            <w:pPr>
              <w:jc w:val="center"/>
              <w:rPr>
                <w:rFonts w:eastAsia="Times New Roman"/>
              </w:rPr>
            </w:pPr>
            <w:r>
              <w:rPr>
                <w:rFonts w:eastAsia="Times New Roman"/>
              </w:rPr>
              <w:t>Boraflex</w:t>
            </w:r>
          </w:p>
          <w:p w:rsidR="00535AE8" w:rsidRDefault="003A3B7B">
            <w:pPr>
              <w:jc w:val="center"/>
              <w:rPr>
                <w:rFonts w:eastAsia="Times New Roman"/>
              </w:rPr>
            </w:pPr>
            <w:r>
              <w:rPr>
                <w:rFonts w:eastAsia="Times New Roman"/>
              </w:rPr>
              <w:t>Carborundum</w:t>
            </w:r>
          </w:p>
          <w:p w:rsidR="00535AE8" w:rsidRDefault="003A3B7B">
            <w:pPr>
              <w:jc w:val="center"/>
              <w:rPr>
                <w:rFonts w:eastAsia="Times New Roman"/>
              </w:rPr>
            </w:pPr>
            <w:r>
              <w:rPr>
                <w:rFonts w:eastAsia="Times New Roman"/>
              </w:rPr>
              <w:t>Tetrabor</w:t>
            </w:r>
          </w:p>
        </w:tc>
        <w:tc>
          <w:tcPr>
            <w:tcW w:w="1152" w:type="dxa"/>
            <w:vAlign w:val="center"/>
          </w:tcPr>
          <w:p w:rsidR="00535AE8" w:rsidRDefault="003A3B7B">
            <w:pPr>
              <w:jc w:val="center"/>
              <w:rPr>
                <w:rFonts w:eastAsia="Times New Roman"/>
              </w:rPr>
            </w:pPr>
            <w:r>
              <w:rPr>
                <w:rFonts w:eastAsia="Times New Roman"/>
              </w:rPr>
              <w:t>x</w:t>
            </w:r>
          </w:p>
        </w:tc>
        <w:tc>
          <w:tcPr>
            <w:tcW w:w="1152" w:type="dxa"/>
            <w:vAlign w:val="center"/>
          </w:tcPr>
          <w:p w:rsidR="00535AE8" w:rsidRDefault="003A3B7B">
            <w:pPr>
              <w:jc w:val="center"/>
              <w:rPr>
                <w:rFonts w:eastAsia="Times New Roman"/>
              </w:rPr>
            </w:pPr>
            <w:r>
              <w:rPr>
                <w:rFonts w:eastAsia="Times New Roman"/>
              </w:rPr>
              <w:t>x</w:t>
            </w:r>
          </w:p>
        </w:tc>
        <w:tc>
          <w:tcPr>
            <w:tcW w:w="1152" w:type="dxa"/>
            <w:vAlign w:val="center"/>
          </w:tcPr>
          <w:p w:rsidR="00535AE8" w:rsidRDefault="003A3B7B">
            <w:pPr>
              <w:jc w:val="center"/>
              <w:rPr>
                <w:rFonts w:eastAsia="Times New Roman"/>
              </w:rPr>
            </w:pPr>
            <w:r>
              <w:rPr>
                <w:rFonts w:eastAsia="Times New Roman"/>
              </w:rPr>
              <w:t>x</w:t>
            </w:r>
          </w:p>
        </w:tc>
        <w:tc>
          <w:tcPr>
            <w:tcW w:w="1152" w:type="dxa"/>
            <w:vAlign w:val="center"/>
          </w:tcPr>
          <w:p w:rsidR="00535AE8" w:rsidRDefault="003A3B7B">
            <w:pPr>
              <w:jc w:val="center"/>
              <w:rPr>
                <w:rFonts w:eastAsia="Times New Roman"/>
              </w:rPr>
            </w:pPr>
            <w:r>
              <w:rPr>
                <w:rFonts w:eastAsia="Times New Roman"/>
              </w:rPr>
              <w:t>x</w:t>
            </w:r>
          </w:p>
        </w:tc>
        <w:tc>
          <w:tcPr>
            <w:tcW w:w="1152" w:type="dxa"/>
            <w:vAlign w:val="center"/>
          </w:tcPr>
          <w:p w:rsidR="00535AE8" w:rsidRDefault="003A3B7B">
            <w:pPr>
              <w:jc w:val="center"/>
              <w:rPr>
                <w:rFonts w:eastAsia="Times New Roman"/>
              </w:rPr>
            </w:pPr>
            <w:r>
              <w:rPr>
                <w:rFonts w:eastAsia="Times New Roman"/>
              </w:rPr>
              <w:t>x</w:t>
            </w:r>
          </w:p>
        </w:tc>
      </w:tr>
      <w:tr w:rsidR="003A3B7B" w:rsidTr="007C4D62">
        <w:tc>
          <w:tcPr>
            <w:tcW w:w="3510" w:type="dxa"/>
            <w:vAlign w:val="center"/>
          </w:tcPr>
          <w:p w:rsidR="00535AE8" w:rsidRDefault="003A3B7B">
            <w:pPr>
              <w:jc w:val="center"/>
              <w:rPr>
                <w:rFonts w:eastAsia="Times New Roman"/>
              </w:rPr>
            </w:pPr>
            <w:r>
              <w:rPr>
                <w:rFonts w:eastAsia="Times New Roman"/>
              </w:rPr>
              <w:t>Boral</w:t>
            </w:r>
          </w:p>
        </w:tc>
        <w:tc>
          <w:tcPr>
            <w:tcW w:w="1152" w:type="dxa"/>
            <w:vAlign w:val="center"/>
          </w:tcPr>
          <w:p w:rsidR="00535AE8" w:rsidRDefault="003A3B7B">
            <w:pPr>
              <w:jc w:val="center"/>
              <w:rPr>
                <w:rFonts w:eastAsia="Times New Roman"/>
              </w:rPr>
            </w:pPr>
            <w:r>
              <w:rPr>
                <w:rFonts w:eastAsia="Times New Roman"/>
              </w:rPr>
              <w:t>x</w:t>
            </w:r>
          </w:p>
        </w:tc>
        <w:tc>
          <w:tcPr>
            <w:tcW w:w="1152" w:type="dxa"/>
            <w:vAlign w:val="center"/>
          </w:tcPr>
          <w:p w:rsidR="00535AE8" w:rsidRDefault="003A3B7B">
            <w:pPr>
              <w:jc w:val="center"/>
              <w:rPr>
                <w:rFonts w:eastAsia="Times New Roman"/>
              </w:rPr>
            </w:pPr>
            <w:r>
              <w:rPr>
                <w:rFonts w:eastAsia="Times New Roman"/>
              </w:rPr>
              <w:t>x</w:t>
            </w:r>
            <w:r w:rsidR="007C4D62">
              <w:rPr>
                <w:rFonts w:eastAsia="Times New Roman"/>
              </w:rPr>
              <w:t>*</w:t>
            </w:r>
          </w:p>
        </w:tc>
        <w:tc>
          <w:tcPr>
            <w:tcW w:w="1152" w:type="dxa"/>
            <w:vAlign w:val="center"/>
          </w:tcPr>
          <w:p w:rsidR="00535AE8" w:rsidRDefault="00535AE8">
            <w:pPr>
              <w:jc w:val="center"/>
              <w:rPr>
                <w:rFonts w:eastAsia="Times New Roman"/>
              </w:rPr>
            </w:pPr>
          </w:p>
        </w:tc>
        <w:tc>
          <w:tcPr>
            <w:tcW w:w="1152" w:type="dxa"/>
            <w:vAlign w:val="center"/>
          </w:tcPr>
          <w:p w:rsidR="00535AE8" w:rsidRDefault="007C4D62">
            <w:pPr>
              <w:jc w:val="center"/>
              <w:rPr>
                <w:rFonts w:eastAsia="Times New Roman"/>
              </w:rPr>
            </w:pPr>
            <w:r>
              <w:rPr>
                <w:rFonts w:eastAsia="Times New Roman"/>
              </w:rPr>
              <w:t>x</w:t>
            </w:r>
          </w:p>
        </w:tc>
        <w:tc>
          <w:tcPr>
            <w:tcW w:w="1152" w:type="dxa"/>
            <w:vAlign w:val="center"/>
          </w:tcPr>
          <w:p w:rsidR="00535AE8" w:rsidRDefault="00535AE8">
            <w:pPr>
              <w:jc w:val="center"/>
              <w:rPr>
                <w:rFonts w:eastAsia="Times New Roman"/>
              </w:rPr>
            </w:pPr>
          </w:p>
        </w:tc>
      </w:tr>
      <w:tr w:rsidR="003A3B7B" w:rsidTr="007C4D62">
        <w:tc>
          <w:tcPr>
            <w:tcW w:w="3510" w:type="dxa"/>
            <w:vAlign w:val="center"/>
          </w:tcPr>
          <w:p w:rsidR="00535AE8" w:rsidRDefault="003A3B7B">
            <w:pPr>
              <w:jc w:val="center"/>
              <w:rPr>
                <w:rFonts w:eastAsia="Times New Roman"/>
              </w:rPr>
            </w:pPr>
            <w:r>
              <w:rPr>
                <w:rFonts w:eastAsia="Times New Roman"/>
              </w:rPr>
              <w:t>Borated SS</w:t>
            </w:r>
          </w:p>
          <w:p w:rsidR="00535AE8" w:rsidRDefault="003A3B7B">
            <w:pPr>
              <w:jc w:val="center"/>
              <w:rPr>
                <w:rFonts w:eastAsia="Times New Roman"/>
              </w:rPr>
            </w:pPr>
            <w:r>
              <w:rPr>
                <w:rFonts w:eastAsia="Times New Roman"/>
              </w:rPr>
              <w:t>Metamic</w:t>
            </w:r>
          </w:p>
          <w:p w:rsidR="00535AE8" w:rsidRDefault="003A3B7B">
            <w:pPr>
              <w:jc w:val="center"/>
              <w:rPr>
                <w:rFonts w:eastAsia="Times New Roman"/>
              </w:rPr>
            </w:pPr>
            <w:r>
              <w:rPr>
                <w:rFonts w:eastAsia="Times New Roman"/>
              </w:rPr>
              <w:t>Boralcan</w:t>
            </w:r>
          </w:p>
          <w:p w:rsidR="00535AE8" w:rsidRDefault="003A3B7B">
            <w:pPr>
              <w:jc w:val="center"/>
              <w:rPr>
                <w:rFonts w:eastAsia="Times New Roman"/>
              </w:rPr>
            </w:pPr>
            <w:r>
              <w:rPr>
                <w:rFonts w:eastAsia="Times New Roman"/>
              </w:rPr>
              <w:t>Other metallic matrix composites</w:t>
            </w:r>
          </w:p>
        </w:tc>
        <w:tc>
          <w:tcPr>
            <w:tcW w:w="1152" w:type="dxa"/>
            <w:vAlign w:val="center"/>
          </w:tcPr>
          <w:p w:rsidR="00535AE8" w:rsidRDefault="003A3B7B">
            <w:pPr>
              <w:jc w:val="center"/>
              <w:rPr>
                <w:rFonts w:eastAsia="Times New Roman"/>
              </w:rPr>
            </w:pPr>
            <w:r>
              <w:rPr>
                <w:rFonts w:eastAsia="Times New Roman"/>
              </w:rPr>
              <w:t>x</w:t>
            </w:r>
          </w:p>
        </w:tc>
        <w:tc>
          <w:tcPr>
            <w:tcW w:w="1152" w:type="dxa"/>
            <w:vAlign w:val="center"/>
          </w:tcPr>
          <w:p w:rsidR="00535AE8" w:rsidRDefault="007C4D62">
            <w:pPr>
              <w:jc w:val="center"/>
              <w:rPr>
                <w:rFonts w:eastAsia="Times New Roman"/>
              </w:rPr>
            </w:pPr>
            <w:r>
              <w:rPr>
                <w:rFonts w:eastAsia="Times New Roman"/>
              </w:rPr>
              <w:t>x*</w:t>
            </w:r>
          </w:p>
        </w:tc>
        <w:tc>
          <w:tcPr>
            <w:tcW w:w="1152" w:type="dxa"/>
            <w:vAlign w:val="center"/>
          </w:tcPr>
          <w:p w:rsidR="00535AE8" w:rsidRDefault="00535AE8">
            <w:pPr>
              <w:jc w:val="center"/>
              <w:rPr>
                <w:rFonts w:eastAsia="Times New Roman"/>
              </w:rPr>
            </w:pPr>
          </w:p>
        </w:tc>
        <w:tc>
          <w:tcPr>
            <w:tcW w:w="1152" w:type="dxa"/>
            <w:vAlign w:val="center"/>
          </w:tcPr>
          <w:p w:rsidR="00535AE8" w:rsidRDefault="00535AE8">
            <w:pPr>
              <w:jc w:val="center"/>
              <w:rPr>
                <w:rFonts w:eastAsia="Times New Roman"/>
              </w:rPr>
            </w:pPr>
          </w:p>
        </w:tc>
        <w:tc>
          <w:tcPr>
            <w:tcW w:w="1152" w:type="dxa"/>
            <w:vAlign w:val="center"/>
          </w:tcPr>
          <w:p w:rsidR="00535AE8" w:rsidRDefault="00535AE8">
            <w:pPr>
              <w:jc w:val="center"/>
              <w:rPr>
                <w:rFonts w:eastAsia="Times New Roman"/>
              </w:rPr>
            </w:pPr>
          </w:p>
        </w:tc>
      </w:tr>
    </w:tbl>
    <w:p w:rsidR="00535AE8" w:rsidRDefault="00ED2C8C">
      <w:pPr>
        <w:ind w:left="360" w:firstLine="360"/>
        <w:rPr>
          <w:rFonts w:eastAsia="Times New Roman"/>
          <w:sz w:val="18"/>
          <w:szCs w:val="18"/>
        </w:rPr>
      </w:pPr>
      <w:r>
        <w:rPr>
          <w:rFonts w:eastAsia="Times New Roman"/>
          <w:sz w:val="18"/>
          <w:szCs w:val="18"/>
        </w:rPr>
        <w:t xml:space="preserve">   </w:t>
      </w:r>
      <w:r w:rsidR="00F01548">
        <w:rPr>
          <w:rFonts w:eastAsia="Times New Roman"/>
          <w:sz w:val="18"/>
          <w:szCs w:val="18"/>
        </w:rPr>
        <w:t xml:space="preserve">* </w:t>
      </w:r>
      <w:r w:rsidR="007C4D62">
        <w:rPr>
          <w:rFonts w:eastAsia="Times New Roman"/>
          <w:sz w:val="18"/>
          <w:szCs w:val="18"/>
        </w:rPr>
        <w:t>Except for 2(b)(iii).</w:t>
      </w:r>
    </w:p>
    <w:p w:rsidR="00CB7846" w:rsidRDefault="00CB7846" w:rsidP="00567B77">
      <w:pPr>
        <w:rPr>
          <w:rFonts w:eastAsia="Times New Roman"/>
        </w:rPr>
      </w:pPr>
    </w:p>
    <w:p w:rsidR="00C147B6" w:rsidRDefault="00C147B6" w:rsidP="00567B77">
      <w:r>
        <w:t>Previously</w:t>
      </w:r>
      <w:r w:rsidR="00375F99">
        <w:t>-</w:t>
      </w:r>
      <w:r>
        <w:t xml:space="preserve">docketed information may be referenced (including license renewal applications and license amendment requests) if the addressee affirms that the information </w:t>
      </w:r>
      <w:r w:rsidR="007C63D3">
        <w:t xml:space="preserve">remains </w:t>
      </w:r>
      <w:r>
        <w:t xml:space="preserve">applicable and provides any updated or missing information.  </w:t>
      </w:r>
      <w:r w:rsidR="00D03EE8">
        <w:t xml:space="preserve">In all cases, the NRC is </w:t>
      </w:r>
      <w:r w:rsidR="000A00A4">
        <w:t xml:space="preserve">asking </w:t>
      </w:r>
      <w:r w:rsidR="00D03EE8">
        <w:t>licensees to provide information available</w:t>
      </w:r>
      <w:r w:rsidR="009D2D8C">
        <w:t>,</w:t>
      </w:r>
      <w:r w:rsidR="00D03EE8">
        <w:t xml:space="preserve"> based on a reasonable search of plant records, docketed information</w:t>
      </w:r>
      <w:r>
        <w:t>, and licensing basis.</w:t>
      </w:r>
    </w:p>
    <w:p w:rsidR="00C147B6" w:rsidRDefault="00C147B6" w:rsidP="00567B77"/>
    <w:p w:rsidR="00480EC0" w:rsidRDefault="00D41BB4">
      <w:r>
        <w:t xml:space="preserve">The NRC is not requiring any new analyses, new programs, or new research to be developed </w:t>
      </w:r>
      <w:r w:rsidR="00D03EE8">
        <w:t xml:space="preserve">or </w:t>
      </w:r>
      <w:r>
        <w:t>implemented</w:t>
      </w:r>
      <w:r w:rsidR="00D03EE8">
        <w:t xml:space="preserve"> in response to this </w:t>
      </w:r>
      <w:r w:rsidR="00785CAB">
        <w:t>GL</w:t>
      </w:r>
      <w:r>
        <w:t xml:space="preserve">.  </w:t>
      </w:r>
      <w:r w:rsidR="00BE3463">
        <w:t>Licensees should maintain t</w:t>
      </w:r>
      <w:r w:rsidR="005219B3">
        <w:t>he information being requested in accordance with provisions found in Appendix</w:t>
      </w:r>
      <w:r w:rsidR="00785CAB">
        <w:t> </w:t>
      </w:r>
      <w:r w:rsidR="005219B3">
        <w:t>B of 10</w:t>
      </w:r>
      <w:r w:rsidR="00785CAB">
        <w:t> </w:t>
      </w:r>
      <w:r w:rsidR="005219B3">
        <w:t>CFR</w:t>
      </w:r>
      <w:r w:rsidR="00785CAB">
        <w:t> Part </w:t>
      </w:r>
      <w:r w:rsidR="005219B3">
        <w:t>50 requiring the existence of a quality assurance program that appropriately characterizes each component (Criteri</w:t>
      </w:r>
      <w:r w:rsidR="00DD10E1">
        <w:t>on</w:t>
      </w:r>
      <w:r w:rsidR="00785CAB">
        <w:t> </w:t>
      </w:r>
      <w:r w:rsidR="005219B3">
        <w:t>VII</w:t>
      </w:r>
      <w:r w:rsidR="00DD10E1">
        <w:t>, “Control of Purchased Material, Equipment and Services,”</w:t>
      </w:r>
      <w:r w:rsidR="005219B3">
        <w:t xml:space="preserve"> </w:t>
      </w:r>
      <w:r w:rsidR="00785CAB">
        <w:t>and</w:t>
      </w:r>
      <w:r w:rsidR="00DD10E1">
        <w:t xml:space="preserve"> Criterion</w:t>
      </w:r>
      <w:r w:rsidR="00785CAB">
        <w:t> </w:t>
      </w:r>
      <w:r w:rsidR="005219B3">
        <w:t>VIII</w:t>
      </w:r>
      <w:r w:rsidR="00DD10E1">
        <w:t>, “Identification and Control of Materials, Parts, and Components”</w:t>
      </w:r>
      <w:r w:rsidR="009A6FC8">
        <w:t>)</w:t>
      </w:r>
      <w:r w:rsidR="00DD10E1">
        <w:t xml:space="preserve">, </w:t>
      </w:r>
      <w:r w:rsidR="005219B3">
        <w:t xml:space="preserve">that provides for appropriate testing to demonstrate satisfactory </w:t>
      </w:r>
      <w:r w:rsidR="00870585">
        <w:t>inservice</w:t>
      </w:r>
      <w:r w:rsidR="005219B3">
        <w:t xml:space="preserve"> performance of components (Criterion</w:t>
      </w:r>
      <w:r w:rsidR="00785CAB">
        <w:t> </w:t>
      </w:r>
      <w:r w:rsidR="005219B3">
        <w:t>XI</w:t>
      </w:r>
      <w:r w:rsidR="00F53632">
        <w:t>, “Test Control”</w:t>
      </w:r>
      <w:r w:rsidR="005219B3">
        <w:t xml:space="preserve">), and that </w:t>
      </w:r>
      <w:r w:rsidR="009A6FC8">
        <w:t xml:space="preserve">ensures that </w:t>
      </w:r>
      <w:r w:rsidR="005219B3">
        <w:t>sufficient records will be maintained to furnish evidence of such activities in an identifiable and retrievable form (Criterion</w:t>
      </w:r>
      <w:r w:rsidR="00785CAB">
        <w:t> </w:t>
      </w:r>
      <w:r w:rsidR="005219B3">
        <w:t>XVII</w:t>
      </w:r>
      <w:r w:rsidR="00DD10E1">
        <w:t>, “Quality Assurance Records”</w:t>
      </w:r>
      <w:r w:rsidR="005219B3">
        <w:t>).</w:t>
      </w:r>
    </w:p>
    <w:p w:rsidR="00883797" w:rsidRDefault="00883797"/>
    <w:p w:rsidR="00883797" w:rsidRDefault="00883797"/>
    <w:p w:rsidR="00883797" w:rsidRDefault="00883797">
      <w:pPr>
        <w:rPr>
          <w:rFonts w:eastAsia="Times New Roman"/>
          <w:b/>
        </w:rPr>
      </w:pPr>
    </w:p>
    <w:p w:rsidR="002A6370" w:rsidRDefault="002A6370">
      <w:pPr>
        <w:rPr>
          <w:rFonts w:eastAsia="Times New Roman"/>
          <w:b/>
        </w:rPr>
      </w:pPr>
    </w:p>
    <w:p w:rsidR="00C07742" w:rsidRDefault="00C07742" w:rsidP="00C07742">
      <w:pPr>
        <w:rPr>
          <w:rFonts w:eastAsia="Times New Roman"/>
          <w:b/>
        </w:rPr>
      </w:pPr>
      <w:r>
        <w:rPr>
          <w:rFonts w:eastAsia="Times New Roman"/>
          <w:b/>
        </w:rPr>
        <w:lastRenderedPageBreak/>
        <w:t xml:space="preserve">REQUESTED INFORMATION FROM </w:t>
      </w:r>
      <w:r w:rsidR="003603A5">
        <w:rPr>
          <w:rFonts w:eastAsia="Times New Roman"/>
          <w:b/>
        </w:rPr>
        <w:t>NON-POWER</w:t>
      </w:r>
      <w:r>
        <w:rPr>
          <w:rFonts w:eastAsia="Times New Roman"/>
          <w:b/>
        </w:rPr>
        <w:t xml:space="preserve"> REACTOR ADDRESSEES</w:t>
      </w:r>
    </w:p>
    <w:p w:rsidR="00C07742" w:rsidRDefault="00C07742" w:rsidP="00C07742">
      <w:pPr>
        <w:rPr>
          <w:rFonts w:eastAsia="Times New Roman"/>
          <w:b/>
        </w:rPr>
      </w:pPr>
    </w:p>
    <w:p w:rsidR="00C07742" w:rsidRDefault="009767C4" w:rsidP="00C07742">
      <w:r>
        <w:t xml:space="preserve">The NRC requests that each </w:t>
      </w:r>
      <w:r w:rsidR="003603A5">
        <w:t>non-power</w:t>
      </w:r>
      <w:r>
        <w:t xml:space="preserve"> reactor</w:t>
      </w:r>
      <w:r w:rsidR="00C07742">
        <w:t xml:space="preserve"> addressee provide the following information for use in determining the reliance on neutron-absorbing materials for </w:t>
      </w:r>
      <w:r w:rsidR="005256C2">
        <w:t>NCS</w:t>
      </w:r>
      <w:r w:rsidR="00C07742">
        <w:t xml:space="preserve"> of reactor fuel or spent fuel in storage </w:t>
      </w:r>
      <w:r w:rsidR="00C2183A">
        <w:t xml:space="preserve">contained within </w:t>
      </w:r>
      <w:r w:rsidR="00C07742">
        <w:t>reactor</w:t>
      </w:r>
      <w:r w:rsidR="009D5C1B">
        <w:t xml:space="preserve"> pools, fuel storage pools, </w:t>
      </w:r>
      <w:r w:rsidR="00C2183A">
        <w:t xml:space="preserve">or other </w:t>
      </w:r>
      <w:r w:rsidR="00A913DC">
        <w:t xml:space="preserve">wet </w:t>
      </w:r>
      <w:r w:rsidR="00C2183A">
        <w:t xml:space="preserve">locations designed for the purpose of fuel storage, </w:t>
      </w:r>
      <w:r w:rsidR="009D5C1B">
        <w:t>as applicable</w:t>
      </w:r>
      <w:r w:rsidR="00C07742">
        <w:t>:</w:t>
      </w:r>
    </w:p>
    <w:p w:rsidR="00C07742" w:rsidRDefault="00C07742" w:rsidP="00C07742"/>
    <w:p w:rsidR="00C07742" w:rsidRDefault="00C07742" w:rsidP="005D4289">
      <w:pPr>
        <w:pStyle w:val="ListParagraph"/>
        <w:numPr>
          <w:ilvl w:val="0"/>
          <w:numId w:val="3"/>
        </w:numPr>
        <w:ind w:hanging="720"/>
      </w:pPr>
      <w:r>
        <w:t xml:space="preserve">Are neutron-absorbing materials </w:t>
      </w:r>
      <w:r w:rsidR="00785CAB">
        <w:t xml:space="preserve">used </w:t>
      </w:r>
      <w:r>
        <w:t xml:space="preserve">in </w:t>
      </w:r>
      <w:r w:rsidR="00C2183A">
        <w:t xml:space="preserve">a </w:t>
      </w:r>
      <w:r>
        <w:t>reactor pool</w:t>
      </w:r>
      <w:r w:rsidR="009D5C1B">
        <w:t>, fuel storage pool</w:t>
      </w:r>
      <w:r>
        <w:t xml:space="preserve">, </w:t>
      </w:r>
      <w:r w:rsidR="00C2183A">
        <w:t xml:space="preserve">or other </w:t>
      </w:r>
      <w:r w:rsidR="00A913DC">
        <w:t xml:space="preserve">wet </w:t>
      </w:r>
      <w:r w:rsidR="00C2183A">
        <w:t>locations designed</w:t>
      </w:r>
      <w:r>
        <w:t xml:space="preserve"> for the storage of reactor or spent fuel?</w:t>
      </w:r>
    </w:p>
    <w:p w:rsidR="00427854" w:rsidRDefault="00427854" w:rsidP="00704B9F">
      <w:pPr>
        <w:pStyle w:val="ListParagraph"/>
      </w:pPr>
    </w:p>
    <w:p w:rsidR="00C07742" w:rsidRDefault="00C07742" w:rsidP="005D4289">
      <w:pPr>
        <w:pStyle w:val="ListParagraph"/>
        <w:numPr>
          <w:ilvl w:val="0"/>
          <w:numId w:val="3"/>
        </w:numPr>
        <w:ind w:hanging="720"/>
      </w:pPr>
      <w:r>
        <w:t>I</w:t>
      </w:r>
      <w:r w:rsidRPr="00763E0A">
        <w:t xml:space="preserve">f neutron-absorbing materials are </w:t>
      </w:r>
      <w:r w:rsidR="00785CAB" w:rsidRPr="00763E0A">
        <w:t>u</w:t>
      </w:r>
      <w:r w:rsidR="00785CAB">
        <w:t>s</w:t>
      </w:r>
      <w:r w:rsidR="00785CAB" w:rsidRPr="00763E0A">
        <w:t>ed</w:t>
      </w:r>
      <w:r>
        <w:t>, is their use</w:t>
      </w:r>
      <w:r w:rsidRPr="00763E0A">
        <w:t xml:space="preserve"> credited</w:t>
      </w:r>
      <w:r>
        <w:rPr>
          <w:rStyle w:val="FootnoteReference"/>
        </w:rPr>
        <w:footnoteReference w:id="5"/>
      </w:r>
      <w:r>
        <w:t xml:space="preserve"> </w:t>
      </w:r>
      <w:r w:rsidRPr="00763E0A">
        <w:t xml:space="preserve">in the </w:t>
      </w:r>
      <w:r>
        <w:t>licensing or design basis (i.e</w:t>
      </w:r>
      <w:r w:rsidR="00C76A43">
        <w:t>.,</w:t>
      </w:r>
      <w:r w:rsidR="00785CAB">
        <w:t> </w:t>
      </w:r>
      <w:r w:rsidRPr="00763E0A">
        <w:t xml:space="preserve">criticality safety </w:t>
      </w:r>
      <w:r>
        <w:t xml:space="preserve">analysis) </w:t>
      </w:r>
      <w:r w:rsidRPr="00763E0A">
        <w:t xml:space="preserve">for the storage of reactor fuel or spent fuel in </w:t>
      </w:r>
      <w:r w:rsidR="00C2183A">
        <w:t>a</w:t>
      </w:r>
      <w:r w:rsidR="00C2183A" w:rsidRPr="00763E0A">
        <w:t xml:space="preserve"> </w:t>
      </w:r>
      <w:r w:rsidRPr="00763E0A">
        <w:t>reactor</w:t>
      </w:r>
      <w:r>
        <w:t xml:space="preserve"> pool</w:t>
      </w:r>
      <w:r w:rsidR="009D5C1B">
        <w:t>, fuel storage pool</w:t>
      </w:r>
      <w:r>
        <w:t xml:space="preserve">, </w:t>
      </w:r>
      <w:r w:rsidR="00C2183A">
        <w:t xml:space="preserve">or other </w:t>
      </w:r>
      <w:r w:rsidR="00A913DC">
        <w:t xml:space="preserve">wet </w:t>
      </w:r>
      <w:r w:rsidR="00C2183A">
        <w:t xml:space="preserve">locations, </w:t>
      </w:r>
      <w:r>
        <w:t>as applicable</w:t>
      </w:r>
      <w:r w:rsidRPr="00763E0A">
        <w:t>?</w:t>
      </w:r>
    </w:p>
    <w:p w:rsidR="009767C4" w:rsidRDefault="009767C4" w:rsidP="00704B9F"/>
    <w:p w:rsidR="002A6880" w:rsidRDefault="00C07742" w:rsidP="005D4289">
      <w:pPr>
        <w:pStyle w:val="ListParagraph"/>
        <w:numPr>
          <w:ilvl w:val="0"/>
          <w:numId w:val="3"/>
        </w:numPr>
        <w:ind w:hanging="720"/>
        <w:rPr>
          <w:b/>
        </w:rPr>
      </w:pPr>
      <w:r>
        <w:t xml:space="preserve">If neutron-absorbing materials are credited in the facility licensing or design basis for the storage of reactor or spent fuel in </w:t>
      </w:r>
      <w:r w:rsidR="00C2183A">
        <w:t xml:space="preserve">a </w:t>
      </w:r>
      <w:r>
        <w:t xml:space="preserve">reactor </w:t>
      </w:r>
      <w:r w:rsidR="009D5C1B">
        <w:t>pool, fuel storage pool</w:t>
      </w:r>
      <w:r>
        <w:t xml:space="preserve">, </w:t>
      </w:r>
      <w:r w:rsidR="00C2183A">
        <w:t xml:space="preserve">or other </w:t>
      </w:r>
      <w:r w:rsidR="00A913DC">
        <w:t xml:space="preserve">wet </w:t>
      </w:r>
      <w:r w:rsidR="00C2183A">
        <w:t xml:space="preserve">locations, </w:t>
      </w:r>
      <w:r>
        <w:t xml:space="preserve">as applicable, then provide a description </w:t>
      </w:r>
      <w:r w:rsidR="00BE3463">
        <w:t xml:space="preserve">of, </w:t>
      </w:r>
      <w:r>
        <w:t xml:space="preserve">and technical basis </w:t>
      </w:r>
      <w:r w:rsidR="00785CAB">
        <w:t>for</w:t>
      </w:r>
      <w:r w:rsidR="00BE3463">
        <w:t>,</w:t>
      </w:r>
      <w:r>
        <w:t xml:space="preserve"> any surveillance or monitoring programs used to confirm continued acceptable performance of the neutron-absorbing materials over time.</w:t>
      </w:r>
    </w:p>
    <w:p w:rsidR="002A6880" w:rsidRDefault="002A6880" w:rsidP="002A6880">
      <w:pPr>
        <w:spacing w:line="276" w:lineRule="auto"/>
        <w:rPr>
          <w:b/>
        </w:rPr>
      </w:pPr>
    </w:p>
    <w:p w:rsidR="004F3B27" w:rsidRPr="002A6880" w:rsidRDefault="004F3B27" w:rsidP="002A6880">
      <w:pPr>
        <w:spacing w:line="276" w:lineRule="auto"/>
        <w:rPr>
          <w:b/>
        </w:rPr>
      </w:pPr>
      <w:r w:rsidRPr="002A6880">
        <w:rPr>
          <w:b/>
        </w:rPr>
        <w:t>REQUIRED RESPONSE</w:t>
      </w:r>
    </w:p>
    <w:p w:rsidR="004F3B27" w:rsidRDefault="004F3B27" w:rsidP="004F3B27"/>
    <w:p w:rsidR="004F3B27" w:rsidRDefault="004F3B27" w:rsidP="004F3B27">
      <w:r>
        <w:t>In accordance with 10 CFR 50.54(f), an addressee must respond as described below:</w:t>
      </w:r>
    </w:p>
    <w:p w:rsidR="004F3B27" w:rsidRDefault="004F3B27" w:rsidP="004F3B27"/>
    <w:p w:rsidR="004F3B27" w:rsidRDefault="004F3B27" w:rsidP="004F3B27">
      <w:pPr>
        <w:pStyle w:val="ListParagraph"/>
        <w:ind w:left="0"/>
      </w:pPr>
      <w:r w:rsidRPr="00786F41">
        <w:t xml:space="preserve">Within </w:t>
      </w:r>
      <w:r w:rsidR="00F53632">
        <w:t>21</w:t>
      </w:r>
      <w:r>
        <w:t>0 </w:t>
      </w:r>
      <w:r w:rsidRPr="00786F41">
        <w:t xml:space="preserve">days of the date of this GL, each addressee is requested to submit a written response consistent with the information requested </w:t>
      </w:r>
      <w:r>
        <w:t>above</w:t>
      </w:r>
      <w:r w:rsidR="009D5C1B">
        <w:t>,</w:t>
      </w:r>
      <w:r>
        <w:t xml:space="preserve"> and </w:t>
      </w:r>
      <w:r w:rsidR="009D5C1B">
        <w:t xml:space="preserve">for power reactors, as </w:t>
      </w:r>
      <w:r>
        <w:t>described in Appendix A.</w:t>
      </w:r>
    </w:p>
    <w:p w:rsidR="004F3B27" w:rsidRPr="00786F41" w:rsidRDefault="004F3B27" w:rsidP="004F3B27"/>
    <w:p w:rsidR="004F3B27" w:rsidRDefault="004F3B27" w:rsidP="004F3B27">
      <w:r>
        <w:t xml:space="preserve">If an addressee cannot meet the requested response date, the addressee must provide a response within 30 days of the date of this GL and describe the alternative course of action that it proposes to take in </w:t>
      </w:r>
      <w:r w:rsidR="006F2D8F">
        <w:t>place</w:t>
      </w:r>
      <w:r>
        <w:t xml:space="preserve"> of providing this information, the basis for the acceptability of the proposed alternative course of action, and </w:t>
      </w:r>
      <w:r w:rsidR="006F2D8F">
        <w:t xml:space="preserve">the </w:t>
      </w:r>
      <w:r>
        <w:t>estimated completion dates.</w:t>
      </w:r>
    </w:p>
    <w:p w:rsidR="004F3B27" w:rsidRDefault="004F3B27" w:rsidP="004F3B27"/>
    <w:p w:rsidR="004F3B27" w:rsidRDefault="004F3B27" w:rsidP="004F3B27">
      <w:r>
        <w:t>The required written response, signed under oath and af</w:t>
      </w:r>
      <w:r w:rsidR="00862A39">
        <w:t>firmation, should be addressed “</w:t>
      </w:r>
      <w:r>
        <w:t>ATTN:</w:t>
      </w:r>
      <w:r w:rsidR="006F2D8F">
        <w:t>  </w:t>
      </w:r>
      <w:r w:rsidR="00862A39">
        <w:t>Document Control Desk</w:t>
      </w:r>
      <w:r>
        <w:t>, U.S. Nuclear Regulatory Commission, Washington, DC 20555</w:t>
      </w:r>
      <w:r>
        <w:noBreakHyphen/>
        <w:t>0001,</w:t>
      </w:r>
      <w:r w:rsidR="00862A39">
        <w:t>”</w:t>
      </w:r>
      <w:r>
        <w:t xml:space="preserve"> in accordance with 10 CFR 50.4, “Written </w:t>
      </w:r>
      <w:r w:rsidR="00DC4C74">
        <w:t>communications</w:t>
      </w:r>
      <w:r>
        <w:t>.”  In</w:t>
      </w:r>
      <w:r w:rsidR="00785CAB">
        <w:t xml:space="preserve"> </w:t>
      </w:r>
      <w:r>
        <w:t xml:space="preserve">addition, </w:t>
      </w:r>
      <w:r w:rsidRPr="00156DDF">
        <w:t xml:space="preserve">addressees should submit a copy of the response to the appropriate </w:t>
      </w:r>
      <w:r>
        <w:t>r</w:t>
      </w:r>
      <w:r w:rsidRPr="00156DDF">
        <w:t>egional</w:t>
      </w:r>
      <w:r>
        <w:t xml:space="preserve"> office and NRC resident inspector</w:t>
      </w:r>
      <w:r w:rsidRPr="00156DDF">
        <w:t>.</w:t>
      </w:r>
    </w:p>
    <w:p w:rsidR="00273479" w:rsidRDefault="00273479" w:rsidP="004F3B27"/>
    <w:p w:rsidR="00663881" w:rsidRDefault="00663881">
      <w:pPr>
        <w:rPr>
          <w:b/>
        </w:rPr>
      </w:pPr>
      <w:r>
        <w:rPr>
          <w:b/>
        </w:rPr>
        <w:br w:type="page"/>
      </w:r>
    </w:p>
    <w:p w:rsidR="004F3B27" w:rsidRDefault="004F3B27" w:rsidP="00C35BB4">
      <w:r w:rsidRPr="00613D66">
        <w:rPr>
          <w:b/>
        </w:rPr>
        <w:lastRenderedPageBreak/>
        <w:t>REASON FOR INFORMATION REQUEST</w:t>
      </w:r>
    </w:p>
    <w:p w:rsidR="004F3B27" w:rsidRDefault="004F3B27" w:rsidP="004F3B27"/>
    <w:p w:rsidR="00797444" w:rsidRDefault="004F3B27" w:rsidP="004F3B27">
      <w:r>
        <w:t>The NRC is authorized under Section 182.a of the Atomic Energy Act of 1954, as amended, and 10 CFR 50.54(f) to require the addressees of this GL to submit to the NRC the information described in “Requested Response.”  The NRC staff has determined that the information collection and reporting burden to be imposed on nuclear power plant</w:t>
      </w:r>
      <w:r w:rsidR="009D5C1B">
        <w:t xml:space="preserve"> and </w:t>
      </w:r>
      <w:r w:rsidR="003603A5">
        <w:t>non-power</w:t>
      </w:r>
      <w:r w:rsidR="00615E27">
        <w:t xml:space="preserve"> reactor</w:t>
      </w:r>
      <w:r>
        <w:t xml:space="preserve"> license</w:t>
      </w:r>
      <w:r w:rsidR="001F55A9">
        <w:t xml:space="preserve"> holders</w:t>
      </w:r>
      <w:r>
        <w:t xml:space="preserve"> by this GL is justified in view of the potential safety significance </w:t>
      </w:r>
      <w:r w:rsidR="00795229">
        <w:t xml:space="preserve">issue concerning </w:t>
      </w:r>
      <w:r>
        <w:t>degradation of neutron</w:t>
      </w:r>
      <w:r w:rsidR="00E71BFF">
        <w:noBreakHyphen/>
      </w:r>
      <w:r>
        <w:t xml:space="preserve">absorbing materials in the </w:t>
      </w:r>
      <w:r w:rsidR="00B83275">
        <w:t>SFP</w:t>
      </w:r>
      <w:r w:rsidR="009D5C1B">
        <w:t xml:space="preserve"> of nuclear power plants and the reactor pool, reactor tank, or fuel storage pool of </w:t>
      </w:r>
      <w:r w:rsidR="003603A5">
        <w:t>non-power</w:t>
      </w:r>
      <w:r w:rsidR="00615E27">
        <w:t xml:space="preserve"> reactors</w:t>
      </w:r>
      <w:r>
        <w:t xml:space="preserve">.  </w:t>
      </w:r>
      <w:r w:rsidRPr="00D02F40">
        <w:t>Unidentified and unmitigated degradation of these materials may challenge the subcriticality margin of the SFP</w:t>
      </w:r>
      <w:r w:rsidR="009D5C1B">
        <w:t xml:space="preserve"> for nuclear power plants and the reactor pool, reactor tank, or fuel storage pool for </w:t>
      </w:r>
      <w:r w:rsidR="003603A5">
        <w:t>non-power</w:t>
      </w:r>
      <w:r w:rsidR="00615E27">
        <w:t xml:space="preserve"> reactors</w:t>
      </w:r>
      <w:r w:rsidRPr="00D02F40">
        <w:t xml:space="preserve"> </w:t>
      </w:r>
      <w:r w:rsidR="000C67F3">
        <w:t>required by the</w:t>
      </w:r>
      <w:r>
        <w:t xml:space="preserve"> existing </w:t>
      </w:r>
      <w:r w:rsidRPr="00D02F40">
        <w:t xml:space="preserve">regulations. </w:t>
      </w:r>
      <w:r>
        <w:t xml:space="preserve"> </w:t>
      </w:r>
      <w:r w:rsidR="0041497A">
        <w:t xml:space="preserve">The existing regulatory criteria for subcriticality margin are designed </w:t>
      </w:r>
      <w:r w:rsidR="001D18D8">
        <w:t xml:space="preserve">to </w:t>
      </w:r>
      <w:r w:rsidR="00725B1B">
        <w:t>prevent</w:t>
      </w:r>
      <w:r w:rsidR="0041497A">
        <w:t xml:space="preserve"> an inadvertent criticality event.  If local conditions in the SFP are such that criticality is achieved, the local heat generation is likely to increase </w:t>
      </w:r>
      <w:r w:rsidR="005C6601">
        <w:t>from</w:t>
      </w:r>
      <w:r w:rsidR="0041497A">
        <w:t xml:space="preserve"> power generation through fission.  Such an event could challenge the ability of the </w:t>
      </w:r>
      <w:r w:rsidR="00E96420">
        <w:t xml:space="preserve">credited </w:t>
      </w:r>
      <w:r w:rsidR="0041497A">
        <w:t>SFP structures, systems, and components to maintain adequate cooling of the fuel.</w:t>
      </w:r>
    </w:p>
    <w:p w:rsidR="00797444" w:rsidRDefault="00797444" w:rsidP="004F3B27"/>
    <w:p w:rsidR="00D90B32" w:rsidRDefault="004F3B27">
      <w:r w:rsidRPr="00D02F40">
        <w:t xml:space="preserve">This GL requests information from the addressees so </w:t>
      </w:r>
      <w:r w:rsidR="00E71BFF">
        <w:t xml:space="preserve">that </w:t>
      </w:r>
      <w:r w:rsidRPr="00D02F40">
        <w:t xml:space="preserve">the NRC can determine </w:t>
      </w:r>
      <w:r w:rsidR="00E71BFF">
        <w:t>if</w:t>
      </w:r>
      <w:r w:rsidRPr="00D02F40">
        <w:t xml:space="preserve"> the degradation of the </w:t>
      </w:r>
      <w:r>
        <w:t>neutron-absorbing</w:t>
      </w:r>
      <w:r w:rsidRPr="00D02F40">
        <w:t xml:space="preserve"> materials in the </w:t>
      </w:r>
      <w:r w:rsidR="00B83275">
        <w:t>SFP</w:t>
      </w:r>
      <w:r w:rsidR="009D5C1B">
        <w:t xml:space="preserve"> for nuclear power plants and the reactor pool, reactor tank, or fuel storage pool for </w:t>
      </w:r>
      <w:r w:rsidR="003603A5">
        <w:t>non-power</w:t>
      </w:r>
      <w:r w:rsidR="00615E27">
        <w:t xml:space="preserve"> reactors</w:t>
      </w:r>
      <w:r w:rsidRPr="00D02F40">
        <w:t xml:space="preserve"> is being </w:t>
      </w:r>
      <w:r>
        <w:t>managed</w:t>
      </w:r>
      <w:r w:rsidRPr="00D02F40">
        <w:t xml:space="preserve"> to maintain reasonable assurance that the</w:t>
      </w:r>
      <w:r w:rsidR="00B83275">
        <w:t xml:space="preserve"> materials</w:t>
      </w:r>
      <w:r w:rsidRPr="00D02F40">
        <w:t xml:space="preserve"> are capable of performing their </w:t>
      </w:r>
      <w:r w:rsidR="00466915">
        <w:t>safety</w:t>
      </w:r>
      <w:r w:rsidRPr="00D02F40">
        <w:t xml:space="preserve"> function</w:t>
      </w:r>
      <w:r>
        <w:t>,</w:t>
      </w:r>
      <w:r w:rsidRPr="00D02F40">
        <w:t xml:space="preserve"> and </w:t>
      </w:r>
      <w:r w:rsidR="005C6601">
        <w:t xml:space="preserve">to verify that </w:t>
      </w:r>
      <w:r w:rsidRPr="00D02F40">
        <w:t>the addressees are in compliance with the regulations.</w:t>
      </w:r>
      <w:r w:rsidR="00120DAB">
        <w:t xml:space="preserve">  The level of detail required to perform this determination is not found in documents readily available to the NRC, such as the </w:t>
      </w:r>
      <w:r w:rsidR="005C6601">
        <w:t>f</w:t>
      </w:r>
      <w:r w:rsidR="00120DAB">
        <w:t xml:space="preserve">inal </w:t>
      </w:r>
      <w:r w:rsidR="005C6601">
        <w:t>s</w:t>
      </w:r>
      <w:r w:rsidR="00120DAB">
        <w:t xml:space="preserve">afety </w:t>
      </w:r>
      <w:r w:rsidR="005C6601">
        <w:t>a</w:t>
      </w:r>
      <w:r w:rsidR="00120DAB">
        <w:t xml:space="preserve">nalysis </w:t>
      </w:r>
      <w:r w:rsidR="005C6601">
        <w:t>r</w:t>
      </w:r>
      <w:r w:rsidR="00120DAB">
        <w:t>eport</w:t>
      </w:r>
      <w:r w:rsidR="00393AC8">
        <w:t>s</w:t>
      </w:r>
      <w:r w:rsidR="00120DAB">
        <w:t xml:space="preserve">.  The NRC is not </w:t>
      </w:r>
      <w:r w:rsidR="00725B1B">
        <w:t>requiring</w:t>
      </w:r>
      <w:r w:rsidR="00120DAB">
        <w:t xml:space="preserve"> any new analyses or </w:t>
      </w:r>
      <w:r w:rsidR="00725B1B">
        <w:t xml:space="preserve">new programs </w:t>
      </w:r>
      <w:r w:rsidR="00A913DC">
        <w:t xml:space="preserve">to be developed and implemented.  </w:t>
      </w:r>
      <w:r w:rsidR="00CD17A4">
        <w:t xml:space="preserve">Accordingly, the burden </w:t>
      </w:r>
      <w:r w:rsidR="005C6601">
        <w:t>on</w:t>
      </w:r>
      <w:r w:rsidR="00CD17A4">
        <w:t xml:space="preserve"> licensees is estimated to be no more than </w:t>
      </w:r>
      <w:r w:rsidR="00577612">
        <w:t>170</w:t>
      </w:r>
      <w:r w:rsidR="005C6601">
        <w:t> </w:t>
      </w:r>
      <w:r w:rsidR="00CD17A4">
        <w:t xml:space="preserve">hours per </w:t>
      </w:r>
      <w:r w:rsidR="00577612">
        <w:t xml:space="preserve">unit </w:t>
      </w:r>
      <w:r w:rsidR="00CD17A4">
        <w:t>for all but two power reactors</w:t>
      </w:r>
      <w:r w:rsidR="00A22134">
        <w:t>,</w:t>
      </w:r>
      <w:r w:rsidR="00CD17A4">
        <w:t xml:space="preserve"> and no more than 20</w:t>
      </w:r>
      <w:r w:rsidR="005C6601">
        <w:t> </w:t>
      </w:r>
      <w:r w:rsidR="00CD17A4">
        <w:t xml:space="preserve">hours per site for </w:t>
      </w:r>
      <w:r w:rsidR="003603A5">
        <w:t>non-power</w:t>
      </w:r>
      <w:r w:rsidR="00CD17A4">
        <w:t xml:space="preserve"> reactors to collect the information from documents available to the licensees and submit a final response to the NRC.  Two power reactor licensees credit </w:t>
      </w:r>
      <w:r w:rsidR="00D41BB4">
        <w:t xml:space="preserve">more than two </w:t>
      </w:r>
      <w:r w:rsidR="00CD17A4">
        <w:t xml:space="preserve">neutron-absorbing materials to meet regulatory requirements, so they may take up to </w:t>
      </w:r>
      <w:r w:rsidR="00577612">
        <w:t>250</w:t>
      </w:r>
      <w:r w:rsidR="005C6601">
        <w:t> </w:t>
      </w:r>
      <w:r w:rsidR="00CD17A4">
        <w:t xml:space="preserve">hours.  </w:t>
      </w:r>
    </w:p>
    <w:p w:rsidR="00FA4CA3" w:rsidRDefault="00FA4CA3">
      <w:pPr>
        <w:rPr>
          <w:b/>
        </w:rPr>
      </w:pPr>
    </w:p>
    <w:p w:rsidR="004F3B27" w:rsidRPr="00536D0A" w:rsidRDefault="004F3B27" w:rsidP="0054133C">
      <w:pPr>
        <w:rPr>
          <w:b/>
        </w:rPr>
      </w:pPr>
      <w:r w:rsidRPr="00D02F40">
        <w:rPr>
          <w:b/>
        </w:rPr>
        <w:t>RELATED GENERIC COMMUNICATIONS</w:t>
      </w:r>
    </w:p>
    <w:p w:rsidR="004F3B27" w:rsidRDefault="004F3B27" w:rsidP="004F3B27"/>
    <w:tbl>
      <w:tblPr>
        <w:tblW w:w="9387" w:type="dxa"/>
        <w:tblInd w:w="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5" w:type="dxa"/>
          <w:right w:w="25" w:type="dxa"/>
        </w:tblCellMar>
        <w:tblLook w:val="0040" w:firstRow="0" w:lastRow="1" w:firstColumn="0" w:lastColumn="0" w:noHBand="0" w:noVBand="0"/>
      </w:tblPr>
      <w:tblGrid>
        <w:gridCol w:w="2009"/>
        <w:gridCol w:w="5760"/>
        <w:gridCol w:w="1618"/>
      </w:tblGrid>
      <w:tr w:rsidR="000B4F7D" w:rsidRPr="007C3871" w:rsidTr="00273479">
        <w:trPr>
          <w:cantSplit/>
          <w:trHeight w:val="427"/>
          <w:tblHeader/>
        </w:trPr>
        <w:tc>
          <w:tcPr>
            <w:tcW w:w="2009" w:type="dxa"/>
            <w:shd w:val="pct5" w:color="000000" w:fill="auto"/>
            <w:tcMar>
              <w:top w:w="72" w:type="dxa"/>
              <w:left w:w="86" w:type="dxa"/>
              <w:bottom w:w="72" w:type="dxa"/>
              <w:right w:w="0" w:type="dxa"/>
            </w:tcMar>
          </w:tcPr>
          <w:p w:rsidR="004F3B27" w:rsidRPr="00B42326" w:rsidRDefault="00C93968" w:rsidP="000B4F7D">
            <w:pPr>
              <w:jc w:val="center"/>
              <w:rPr>
                <w:b/>
              </w:rPr>
            </w:pPr>
            <w:r w:rsidRPr="00C93968">
              <w:rPr>
                <w:b/>
              </w:rPr>
              <w:t>Document Number</w:t>
            </w:r>
          </w:p>
        </w:tc>
        <w:tc>
          <w:tcPr>
            <w:tcW w:w="5760" w:type="dxa"/>
            <w:shd w:val="pct5" w:color="000000" w:fill="auto"/>
            <w:tcMar>
              <w:top w:w="72" w:type="dxa"/>
              <w:left w:w="86" w:type="dxa"/>
              <w:bottom w:w="72" w:type="dxa"/>
              <w:right w:w="0" w:type="dxa"/>
            </w:tcMar>
          </w:tcPr>
          <w:p w:rsidR="004F3B27" w:rsidRPr="00B42326" w:rsidRDefault="00C93968" w:rsidP="000B4F7D">
            <w:pPr>
              <w:jc w:val="center"/>
              <w:rPr>
                <w:b/>
              </w:rPr>
            </w:pPr>
            <w:r w:rsidRPr="00C93968">
              <w:rPr>
                <w:b/>
              </w:rPr>
              <w:t>Document Name</w:t>
            </w:r>
          </w:p>
        </w:tc>
        <w:tc>
          <w:tcPr>
            <w:tcW w:w="1618" w:type="dxa"/>
            <w:shd w:val="pct5" w:color="000000" w:fill="auto"/>
            <w:tcMar>
              <w:top w:w="72" w:type="dxa"/>
              <w:left w:w="86" w:type="dxa"/>
              <w:bottom w:w="72" w:type="dxa"/>
              <w:right w:w="0" w:type="dxa"/>
            </w:tcMar>
          </w:tcPr>
          <w:p w:rsidR="004F3B27" w:rsidRPr="00B42326" w:rsidRDefault="00C93968" w:rsidP="000B4F7D">
            <w:pPr>
              <w:jc w:val="center"/>
              <w:rPr>
                <w:b/>
              </w:rPr>
            </w:pPr>
            <w:r w:rsidRPr="00C93968">
              <w:rPr>
                <w:b/>
              </w:rPr>
              <w:t xml:space="preserve">ADAMS Accession No. </w:t>
            </w:r>
          </w:p>
        </w:tc>
      </w:tr>
      <w:tr w:rsidR="000B4F7D" w:rsidRPr="007C3871" w:rsidTr="00273479">
        <w:trPr>
          <w:cantSplit/>
        </w:trPr>
        <w:tc>
          <w:tcPr>
            <w:tcW w:w="2009" w:type="dxa"/>
            <w:tcMar>
              <w:top w:w="29" w:type="dxa"/>
              <w:left w:w="86" w:type="dxa"/>
              <w:bottom w:w="29" w:type="dxa"/>
              <w:right w:w="0" w:type="dxa"/>
            </w:tcMar>
          </w:tcPr>
          <w:p w:rsidR="004F3B27" w:rsidRDefault="004F3B27" w:rsidP="00B34757">
            <w:r>
              <w:t xml:space="preserve">IN </w:t>
            </w:r>
            <w:r w:rsidR="00BD4A3E">
              <w:t>20</w:t>
            </w:r>
            <w:r>
              <w:t>12-13</w:t>
            </w:r>
          </w:p>
        </w:tc>
        <w:tc>
          <w:tcPr>
            <w:tcW w:w="5760" w:type="dxa"/>
            <w:tcMar>
              <w:top w:w="29" w:type="dxa"/>
              <w:left w:w="86" w:type="dxa"/>
              <w:bottom w:w="29" w:type="dxa"/>
              <w:right w:w="0" w:type="dxa"/>
            </w:tcMar>
          </w:tcPr>
          <w:p w:rsidR="004F3B27" w:rsidRDefault="004F3B27" w:rsidP="00B34757">
            <w:r w:rsidRPr="00405A71">
              <w:t>B</w:t>
            </w:r>
            <w:r>
              <w:t>oraflex Degradation Surveillance Programs and Corrective Actions in the Spent Fuel Pool</w:t>
            </w:r>
          </w:p>
        </w:tc>
        <w:tc>
          <w:tcPr>
            <w:tcW w:w="1618" w:type="dxa"/>
            <w:tcMar>
              <w:top w:w="29" w:type="dxa"/>
              <w:left w:w="86" w:type="dxa"/>
              <w:bottom w:w="29" w:type="dxa"/>
              <w:right w:w="0" w:type="dxa"/>
            </w:tcMar>
          </w:tcPr>
          <w:p w:rsidR="004F3B27" w:rsidRDefault="004F3B27" w:rsidP="00B34757">
            <w:r w:rsidRPr="000E7CD5">
              <w:t>ML121660156</w:t>
            </w:r>
          </w:p>
        </w:tc>
      </w:tr>
      <w:tr w:rsidR="000B4F7D" w:rsidRPr="007C3871" w:rsidTr="00273479">
        <w:trPr>
          <w:cantSplit/>
        </w:trPr>
        <w:tc>
          <w:tcPr>
            <w:tcW w:w="2009" w:type="dxa"/>
            <w:tcMar>
              <w:top w:w="29" w:type="dxa"/>
              <w:left w:w="86" w:type="dxa"/>
              <w:bottom w:w="29" w:type="dxa"/>
              <w:right w:w="0" w:type="dxa"/>
            </w:tcMar>
          </w:tcPr>
          <w:p w:rsidR="004F3B27" w:rsidRPr="007C3871" w:rsidRDefault="004F3B27" w:rsidP="00B34757">
            <w:r w:rsidRPr="007C3871">
              <w:t xml:space="preserve">IN </w:t>
            </w:r>
            <w:r w:rsidR="00D13556">
              <w:t>20</w:t>
            </w:r>
            <w:r>
              <w:t>09</w:t>
            </w:r>
            <w:r w:rsidRPr="007C3871">
              <w:t>-</w:t>
            </w:r>
            <w:r>
              <w:t>26</w:t>
            </w:r>
          </w:p>
        </w:tc>
        <w:tc>
          <w:tcPr>
            <w:tcW w:w="5760" w:type="dxa"/>
            <w:tcMar>
              <w:top w:w="29" w:type="dxa"/>
              <w:left w:w="86" w:type="dxa"/>
              <w:bottom w:w="29" w:type="dxa"/>
              <w:right w:w="0" w:type="dxa"/>
            </w:tcMar>
          </w:tcPr>
          <w:p w:rsidR="004F3B27" w:rsidRDefault="004F3B27" w:rsidP="00B34757">
            <w:r>
              <w:t>Degradation of Neutron-Absorbing Materials in the Spent Fuel Pool</w:t>
            </w:r>
          </w:p>
        </w:tc>
        <w:tc>
          <w:tcPr>
            <w:tcW w:w="1618" w:type="dxa"/>
            <w:tcMar>
              <w:top w:w="29" w:type="dxa"/>
              <w:left w:w="86" w:type="dxa"/>
              <w:bottom w:w="29" w:type="dxa"/>
              <w:right w:w="0" w:type="dxa"/>
            </w:tcMar>
          </w:tcPr>
          <w:p w:rsidR="004F3B27" w:rsidRDefault="004F3B27" w:rsidP="00B34757">
            <w:r w:rsidRPr="00F87597">
              <w:t>ML092440545</w:t>
            </w:r>
          </w:p>
        </w:tc>
      </w:tr>
      <w:tr w:rsidR="000B4F7D" w:rsidRPr="007C3871" w:rsidTr="00273479">
        <w:trPr>
          <w:cantSplit/>
        </w:trPr>
        <w:tc>
          <w:tcPr>
            <w:tcW w:w="2009" w:type="dxa"/>
            <w:tcMar>
              <w:top w:w="29" w:type="dxa"/>
              <w:left w:w="86" w:type="dxa"/>
              <w:bottom w:w="29" w:type="dxa"/>
              <w:right w:w="0" w:type="dxa"/>
            </w:tcMar>
          </w:tcPr>
          <w:p w:rsidR="004F3B27" w:rsidRPr="007C3871" w:rsidRDefault="004F3B27" w:rsidP="00B34757">
            <w:r w:rsidRPr="007C3871">
              <w:t xml:space="preserve">GL </w:t>
            </w:r>
            <w:r w:rsidR="00D13556">
              <w:t>19</w:t>
            </w:r>
            <w:r>
              <w:t>96-04</w:t>
            </w:r>
          </w:p>
        </w:tc>
        <w:tc>
          <w:tcPr>
            <w:tcW w:w="5760" w:type="dxa"/>
            <w:tcMar>
              <w:top w:w="29" w:type="dxa"/>
              <w:left w:w="86" w:type="dxa"/>
              <w:bottom w:w="29" w:type="dxa"/>
              <w:right w:w="0" w:type="dxa"/>
            </w:tcMar>
          </w:tcPr>
          <w:p w:rsidR="004F3B27" w:rsidRDefault="004F3B27" w:rsidP="00B34757">
            <w:r>
              <w:t>Boraflex Degradation in Spent Fuel Pool Storage Racks</w:t>
            </w:r>
          </w:p>
        </w:tc>
        <w:tc>
          <w:tcPr>
            <w:tcW w:w="1618" w:type="dxa"/>
            <w:tcMar>
              <w:top w:w="29" w:type="dxa"/>
              <w:left w:w="86" w:type="dxa"/>
              <w:bottom w:w="29" w:type="dxa"/>
              <w:right w:w="0" w:type="dxa"/>
            </w:tcMar>
          </w:tcPr>
          <w:p w:rsidR="004F3B27" w:rsidRDefault="004F3B27" w:rsidP="00B34757">
            <w:r>
              <w:t>ML031110008</w:t>
            </w:r>
          </w:p>
        </w:tc>
      </w:tr>
      <w:tr w:rsidR="000B4F7D" w:rsidRPr="007C3871" w:rsidTr="00273479">
        <w:trPr>
          <w:cantSplit/>
        </w:trPr>
        <w:tc>
          <w:tcPr>
            <w:tcW w:w="2009" w:type="dxa"/>
            <w:tcMar>
              <w:top w:w="29" w:type="dxa"/>
              <w:left w:w="86" w:type="dxa"/>
              <w:bottom w:w="29" w:type="dxa"/>
              <w:right w:w="0" w:type="dxa"/>
            </w:tcMar>
          </w:tcPr>
          <w:p w:rsidR="004F3B27" w:rsidRPr="007C3871" w:rsidRDefault="004F3B27" w:rsidP="00B34757">
            <w:r>
              <w:t xml:space="preserve">IN </w:t>
            </w:r>
            <w:r w:rsidR="00D13556">
              <w:t>19</w:t>
            </w:r>
            <w:r w:rsidRPr="00326509">
              <w:t>95-38</w:t>
            </w:r>
          </w:p>
        </w:tc>
        <w:tc>
          <w:tcPr>
            <w:tcW w:w="5760" w:type="dxa"/>
            <w:tcMar>
              <w:top w:w="29" w:type="dxa"/>
              <w:left w:w="86" w:type="dxa"/>
              <w:bottom w:w="29" w:type="dxa"/>
              <w:right w:w="0" w:type="dxa"/>
            </w:tcMar>
          </w:tcPr>
          <w:p w:rsidR="004F3B27" w:rsidRDefault="004F3B27" w:rsidP="00B34757">
            <w:r>
              <w:t>Degradation of Boraflex Neutron Absorber in Spent Fuel Storage Racks</w:t>
            </w:r>
          </w:p>
        </w:tc>
        <w:tc>
          <w:tcPr>
            <w:tcW w:w="1618" w:type="dxa"/>
            <w:tcMar>
              <w:top w:w="29" w:type="dxa"/>
              <w:left w:w="86" w:type="dxa"/>
              <w:bottom w:w="29" w:type="dxa"/>
              <w:right w:w="0" w:type="dxa"/>
            </w:tcMar>
          </w:tcPr>
          <w:p w:rsidR="004F3B27" w:rsidRDefault="004F3B27" w:rsidP="00B34757">
            <w:r>
              <w:t>ML031060277</w:t>
            </w:r>
          </w:p>
        </w:tc>
      </w:tr>
      <w:tr w:rsidR="000B4F7D" w:rsidRPr="007C3871" w:rsidTr="00273479">
        <w:trPr>
          <w:cantSplit/>
        </w:trPr>
        <w:tc>
          <w:tcPr>
            <w:tcW w:w="2009" w:type="dxa"/>
            <w:tcMar>
              <w:top w:w="29" w:type="dxa"/>
              <w:left w:w="86" w:type="dxa"/>
              <w:bottom w:w="29" w:type="dxa"/>
              <w:right w:w="0" w:type="dxa"/>
            </w:tcMar>
          </w:tcPr>
          <w:p w:rsidR="004F3B27" w:rsidRPr="007C3871" w:rsidRDefault="004F3B27" w:rsidP="00B34757">
            <w:r>
              <w:t xml:space="preserve">IN </w:t>
            </w:r>
            <w:r w:rsidR="00D13556">
              <w:t>19</w:t>
            </w:r>
            <w:r w:rsidRPr="00326509">
              <w:t>93-70</w:t>
            </w:r>
          </w:p>
        </w:tc>
        <w:tc>
          <w:tcPr>
            <w:tcW w:w="5760" w:type="dxa"/>
            <w:tcMar>
              <w:top w:w="29" w:type="dxa"/>
              <w:left w:w="86" w:type="dxa"/>
              <w:bottom w:w="29" w:type="dxa"/>
              <w:right w:w="0" w:type="dxa"/>
            </w:tcMar>
          </w:tcPr>
          <w:p w:rsidR="004F3B27" w:rsidRDefault="004F3B27" w:rsidP="00B34757">
            <w:r>
              <w:t>Degradation of Boraflex Neutron Absorber Coupons</w:t>
            </w:r>
          </w:p>
        </w:tc>
        <w:tc>
          <w:tcPr>
            <w:tcW w:w="1618" w:type="dxa"/>
            <w:tcMar>
              <w:top w:w="29" w:type="dxa"/>
              <w:left w:w="86" w:type="dxa"/>
              <w:bottom w:w="29" w:type="dxa"/>
              <w:right w:w="0" w:type="dxa"/>
            </w:tcMar>
          </w:tcPr>
          <w:p w:rsidR="004F3B27" w:rsidRDefault="004F3B27" w:rsidP="00B34757">
            <w:r>
              <w:t>ML031070107</w:t>
            </w:r>
          </w:p>
        </w:tc>
      </w:tr>
      <w:tr w:rsidR="000B4F7D" w:rsidRPr="007C3871" w:rsidTr="00273479">
        <w:trPr>
          <w:cantSplit/>
        </w:trPr>
        <w:tc>
          <w:tcPr>
            <w:tcW w:w="2009" w:type="dxa"/>
            <w:tcMar>
              <w:top w:w="29" w:type="dxa"/>
              <w:left w:w="86" w:type="dxa"/>
              <w:bottom w:w="29" w:type="dxa"/>
              <w:right w:w="0" w:type="dxa"/>
            </w:tcMar>
          </w:tcPr>
          <w:p w:rsidR="004F3B27" w:rsidRPr="007C3871" w:rsidRDefault="004F3B27" w:rsidP="00B34757">
            <w:r w:rsidRPr="00326509">
              <w:t xml:space="preserve">IN </w:t>
            </w:r>
            <w:r w:rsidR="00D13556">
              <w:t>19</w:t>
            </w:r>
            <w:r w:rsidRPr="00326509">
              <w:t>87-43</w:t>
            </w:r>
          </w:p>
        </w:tc>
        <w:tc>
          <w:tcPr>
            <w:tcW w:w="5760" w:type="dxa"/>
            <w:tcMar>
              <w:top w:w="29" w:type="dxa"/>
              <w:left w:w="86" w:type="dxa"/>
              <w:bottom w:w="29" w:type="dxa"/>
              <w:right w:w="0" w:type="dxa"/>
            </w:tcMar>
          </w:tcPr>
          <w:p w:rsidR="004F3B27" w:rsidRDefault="004F3B27" w:rsidP="00B34757">
            <w:r>
              <w:t>Gaps in Neutron-Absorbing Material in High-Density Spent Fuel Storage Racks</w:t>
            </w:r>
          </w:p>
        </w:tc>
        <w:tc>
          <w:tcPr>
            <w:tcW w:w="1618" w:type="dxa"/>
            <w:tcMar>
              <w:top w:w="29" w:type="dxa"/>
              <w:left w:w="86" w:type="dxa"/>
              <w:bottom w:w="29" w:type="dxa"/>
              <w:right w:w="0" w:type="dxa"/>
            </w:tcMar>
          </w:tcPr>
          <w:p w:rsidR="004F3B27" w:rsidRDefault="004F3B27" w:rsidP="00B34757">
            <w:r>
              <w:t>ML031130349</w:t>
            </w:r>
          </w:p>
        </w:tc>
      </w:tr>
      <w:tr w:rsidR="000B4F7D" w:rsidRPr="007C3871" w:rsidTr="00273479">
        <w:trPr>
          <w:cantSplit/>
        </w:trPr>
        <w:tc>
          <w:tcPr>
            <w:tcW w:w="2009" w:type="dxa"/>
            <w:tcMar>
              <w:top w:w="29" w:type="dxa"/>
              <w:left w:w="86" w:type="dxa"/>
              <w:bottom w:w="29" w:type="dxa"/>
              <w:right w:w="0" w:type="dxa"/>
            </w:tcMar>
          </w:tcPr>
          <w:p w:rsidR="004F3B27" w:rsidRPr="007C3871" w:rsidRDefault="004F3B27" w:rsidP="00B34757">
            <w:r w:rsidRPr="00326509">
              <w:t xml:space="preserve">IN </w:t>
            </w:r>
            <w:r w:rsidR="00D13556">
              <w:t>19</w:t>
            </w:r>
            <w:r w:rsidRPr="00326509">
              <w:t>83-29</w:t>
            </w:r>
          </w:p>
        </w:tc>
        <w:tc>
          <w:tcPr>
            <w:tcW w:w="5760" w:type="dxa"/>
            <w:tcMar>
              <w:top w:w="29" w:type="dxa"/>
              <w:left w:w="86" w:type="dxa"/>
              <w:bottom w:w="29" w:type="dxa"/>
              <w:right w:w="0" w:type="dxa"/>
            </w:tcMar>
          </w:tcPr>
          <w:p w:rsidR="004F3B27" w:rsidRDefault="004F3B27" w:rsidP="00B34757">
            <w:r>
              <w:t>Fuel Binding Caused by Fuel Rack Deformation</w:t>
            </w:r>
          </w:p>
        </w:tc>
        <w:tc>
          <w:tcPr>
            <w:tcW w:w="1618" w:type="dxa"/>
            <w:tcMar>
              <w:top w:w="29" w:type="dxa"/>
              <w:left w:w="86" w:type="dxa"/>
              <w:bottom w:w="29" w:type="dxa"/>
              <w:right w:w="0" w:type="dxa"/>
            </w:tcMar>
          </w:tcPr>
          <w:p w:rsidR="004F3B27" w:rsidRPr="002F35F0" w:rsidRDefault="002F35F0" w:rsidP="00B34757">
            <w:pPr>
              <w:rPr>
                <w:rFonts w:cs="Arial"/>
                <w:highlight w:val="green"/>
              </w:rPr>
            </w:pPr>
            <w:r w:rsidRPr="002F35F0">
              <w:rPr>
                <w:rFonts w:cs="Arial"/>
                <w:color w:val="000000"/>
              </w:rPr>
              <w:t>ML14043A291</w:t>
            </w:r>
          </w:p>
        </w:tc>
      </w:tr>
      <w:tr w:rsidR="000B4F7D" w:rsidRPr="007C3871" w:rsidTr="00273479">
        <w:trPr>
          <w:cantSplit/>
        </w:trPr>
        <w:tc>
          <w:tcPr>
            <w:tcW w:w="2009" w:type="dxa"/>
            <w:tcMar>
              <w:top w:w="29" w:type="dxa"/>
              <w:left w:w="86" w:type="dxa"/>
              <w:bottom w:w="29" w:type="dxa"/>
              <w:right w:w="0" w:type="dxa"/>
            </w:tcMar>
          </w:tcPr>
          <w:p w:rsidR="004F3B27" w:rsidRPr="00326509" w:rsidRDefault="004F3B27" w:rsidP="00B34757">
            <w:r>
              <w:t xml:space="preserve">GL </w:t>
            </w:r>
            <w:r w:rsidR="00D13556">
              <w:t>19</w:t>
            </w:r>
            <w:r>
              <w:t>78-11</w:t>
            </w:r>
          </w:p>
        </w:tc>
        <w:tc>
          <w:tcPr>
            <w:tcW w:w="5760" w:type="dxa"/>
            <w:tcMar>
              <w:top w:w="29" w:type="dxa"/>
              <w:left w:w="86" w:type="dxa"/>
              <w:bottom w:w="29" w:type="dxa"/>
              <w:right w:w="0" w:type="dxa"/>
            </w:tcMar>
          </w:tcPr>
          <w:p w:rsidR="004F3B27" w:rsidRDefault="004F3B27" w:rsidP="00B34757">
            <w:r>
              <w:t>Review and Acceptance of Spent Fuel Storage and Handling Application</w:t>
            </w:r>
          </w:p>
        </w:tc>
        <w:tc>
          <w:tcPr>
            <w:tcW w:w="1618" w:type="dxa"/>
            <w:tcMar>
              <w:top w:w="29" w:type="dxa"/>
              <w:left w:w="86" w:type="dxa"/>
              <w:bottom w:w="29" w:type="dxa"/>
              <w:right w:w="0" w:type="dxa"/>
            </w:tcMar>
          </w:tcPr>
          <w:p w:rsidR="004F3B27" w:rsidRDefault="004F3B27" w:rsidP="00B34757">
            <w:r>
              <w:t>ML031280383</w:t>
            </w:r>
          </w:p>
        </w:tc>
      </w:tr>
    </w:tbl>
    <w:p w:rsidR="004F3B27" w:rsidRDefault="004F3B27" w:rsidP="0054133C">
      <w:pPr>
        <w:rPr>
          <w:b/>
        </w:rPr>
      </w:pPr>
      <w:r w:rsidRPr="00200683">
        <w:rPr>
          <w:b/>
        </w:rPr>
        <w:lastRenderedPageBreak/>
        <w:t>BACKFIT</w:t>
      </w:r>
      <w:r w:rsidR="00EB08D2">
        <w:rPr>
          <w:b/>
        </w:rPr>
        <w:t>TING AND ISSUE FINALITY</w:t>
      </w:r>
      <w:r w:rsidRPr="00200683">
        <w:rPr>
          <w:b/>
        </w:rPr>
        <w:t xml:space="preserve"> DISCUSSION</w:t>
      </w:r>
    </w:p>
    <w:p w:rsidR="004F3B27" w:rsidRPr="00536D0A" w:rsidRDefault="004F3B27" w:rsidP="004F3B27">
      <w:pPr>
        <w:rPr>
          <w:b/>
        </w:rPr>
      </w:pPr>
    </w:p>
    <w:p w:rsidR="00120DAB" w:rsidRDefault="00120DAB" w:rsidP="00120DAB">
      <w:r>
        <w:t>Th</w:t>
      </w:r>
      <w:r w:rsidR="004727BB">
        <w:t>is</w:t>
      </w:r>
      <w:r>
        <w:t xml:space="preserve"> </w:t>
      </w:r>
      <w:r w:rsidR="005C6601">
        <w:t>GL</w:t>
      </w:r>
      <w:r>
        <w:t xml:space="preserve"> request</w:t>
      </w:r>
      <w:r w:rsidR="004727BB">
        <w:t>s</w:t>
      </w:r>
      <w:r>
        <w:t xml:space="preserve"> information from holders of </w:t>
      </w:r>
      <w:r w:rsidR="005C6601">
        <w:t>10 CFR </w:t>
      </w:r>
      <w:r>
        <w:t>Part</w:t>
      </w:r>
      <w:r w:rsidR="005C6601">
        <w:t> </w:t>
      </w:r>
      <w:r>
        <w:t>50 operating licenses, including licensees who have submitted the certification under 10</w:t>
      </w:r>
      <w:r w:rsidR="005C6601">
        <w:t> </w:t>
      </w:r>
      <w:r>
        <w:t>CFR</w:t>
      </w:r>
      <w:r w:rsidR="005C6601">
        <w:t> </w:t>
      </w:r>
      <w:r>
        <w:t>50.82(a)(1)</w:t>
      </w:r>
      <w:r w:rsidR="009F4B28">
        <w:t xml:space="preserve"> that they have permanently ceased reactor operations</w:t>
      </w:r>
      <w:r w:rsidR="005C6601">
        <w:t>,</w:t>
      </w:r>
      <w:r>
        <w:t xml:space="preserve"> unless they have removed all fuel from the </w:t>
      </w:r>
      <w:r w:rsidR="005256C2">
        <w:t>SFP</w:t>
      </w:r>
      <w:r>
        <w:t xml:space="preserve">.  This </w:t>
      </w:r>
      <w:r w:rsidR="005C6601">
        <w:t xml:space="preserve">GL </w:t>
      </w:r>
      <w:r>
        <w:t xml:space="preserve">is also applicable to </w:t>
      </w:r>
      <w:r w:rsidR="003603A5">
        <w:t>non-power</w:t>
      </w:r>
      <w:r>
        <w:t xml:space="preserve"> reactors</w:t>
      </w:r>
      <w:r w:rsidR="005C6601">
        <w:t>,</w:t>
      </w:r>
      <w:r>
        <w:t xml:space="preserve"> if they have fuel on</w:t>
      </w:r>
      <w:r w:rsidR="005C6601">
        <w:t xml:space="preserve"> </w:t>
      </w:r>
      <w:r>
        <w:t xml:space="preserve">site in wet storage in a fuel storage pool, reactor pool, or reactor tank.  This </w:t>
      </w:r>
      <w:r w:rsidR="005C6601">
        <w:t>GL</w:t>
      </w:r>
      <w:r>
        <w:t xml:space="preserve"> is not addressed</w:t>
      </w:r>
      <w:r w:rsidR="003B54C2">
        <w:t xml:space="preserve"> or</w:t>
      </w:r>
      <w:r>
        <w:t xml:space="preserve"> applicable to the two holders of combined licenses under 10</w:t>
      </w:r>
      <w:r w:rsidR="005C6601">
        <w:t> </w:t>
      </w:r>
      <w:r>
        <w:t>CFR</w:t>
      </w:r>
      <w:r w:rsidR="005C6601">
        <w:t> </w:t>
      </w:r>
      <w:r>
        <w:t>Part</w:t>
      </w:r>
      <w:r w:rsidR="005C6601">
        <w:t> </w:t>
      </w:r>
      <w:r>
        <w:t>52</w:t>
      </w:r>
      <w:r w:rsidRPr="00120DAB">
        <w:t xml:space="preserve">: </w:t>
      </w:r>
      <w:r w:rsidR="005C6601">
        <w:t xml:space="preserve"> </w:t>
      </w:r>
      <w:r w:rsidRPr="00120DAB">
        <w:t>Southern Nuclear Operating Company, Inc. (Vogtle Electric Generating Plant, Units</w:t>
      </w:r>
      <w:r w:rsidR="005C6601">
        <w:t> </w:t>
      </w:r>
      <w:r w:rsidRPr="00120DAB">
        <w:t>3 and</w:t>
      </w:r>
      <w:r w:rsidR="005C6601">
        <w:t> </w:t>
      </w:r>
      <w:r w:rsidRPr="00120DAB">
        <w:t>4) and South Carolina Electric &amp; Gas Company (V.C. Summer Nuclear Station, Units</w:t>
      </w:r>
      <w:r w:rsidR="005C6601">
        <w:t> </w:t>
      </w:r>
      <w:r w:rsidRPr="00120DAB">
        <w:t>2 and</w:t>
      </w:r>
      <w:r w:rsidR="005C6601">
        <w:t> </w:t>
      </w:r>
      <w:r w:rsidRPr="00120DAB">
        <w:t>3).</w:t>
      </w:r>
    </w:p>
    <w:p w:rsidR="00120DAB" w:rsidRDefault="00120DAB" w:rsidP="00120DAB"/>
    <w:p w:rsidR="00120DAB" w:rsidRDefault="00120DAB" w:rsidP="00120DAB">
      <w:r>
        <w:t>The NRC is requesting information to determine if neutron</w:t>
      </w:r>
      <w:r w:rsidR="005C6601">
        <w:t>-</w:t>
      </w:r>
      <w:r>
        <w:t xml:space="preserve">absorbing materials in the </w:t>
      </w:r>
      <w:r w:rsidR="005C6601">
        <w:t>SFP</w:t>
      </w:r>
      <w:r>
        <w:t xml:space="preserve"> of power reactors and the fuel storage pool, reactor pool, or reactor tank, as applicable, for </w:t>
      </w:r>
      <w:r w:rsidR="008222FB">
        <w:t>non</w:t>
      </w:r>
      <w:r w:rsidR="008222FB">
        <w:noBreakHyphen/>
      </w:r>
      <w:r w:rsidR="003603A5">
        <w:t>power</w:t>
      </w:r>
      <w:r>
        <w:t xml:space="preserve"> reactors are in compliance with the licensing and design bas</w:t>
      </w:r>
      <w:r w:rsidR="00870585">
        <w:t>e</w:t>
      </w:r>
      <w:r>
        <w:t xml:space="preserve">s, as well as </w:t>
      </w:r>
      <w:r w:rsidR="006D39B3">
        <w:t xml:space="preserve">with </w:t>
      </w:r>
      <w:r>
        <w:t xml:space="preserve">applicable regulatory requirements, and </w:t>
      </w:r>
      <w:r w:rsidR="005C6601">
        <w:t xml:space="preserve">if </w:t>
      </w:r>
      <w:r>
        <w:t xml:space="preserve">there are measures in place to maintain this compliance.  Based upon this information, the NRC will determine if additional regulatory action is required. </w:t>
      </w:r>
      <w:r w:rsidR="005C6601">
        <w:t xml:space="preserve"> </w:t>
      </w:r>
      <w:r>
        <w:t xml:space="preserve">If the NRC imposes regulatory action on holders of </w:t>
      </w:r>
      <w:r w:rsidR="005C6601">
        <w:t>10 CFR </w:t>
      </w:r>
      <w:r>
        <w:t>Part</w:t>
      </w:r>
      <w:r w:rsidR="005C6601">
        <w:t> </w:t>
      </w:r>
      <w:r>
        <w:t xml:space="preserve">50 operating licenses for nuclear power plants with respect to neutron absorbers in </w:t>
      </w:r>
      <w:r w:rsidR="005256C2">
        <w:t>SFP</w:t>
      </w:r>
      <w:r>
        <w:t xml:space="preserve">s as a result of </w:t>
      </w:r>
      <w:r w:rsidR="00870585">
        <w:t xml:space="preserve">the </w:t>
      </w:r>
      <w:r>
        <w:t xml:space="preserve">NRC’s evaluation of the information submitted in response to this </w:t>
      </w:r>
      <w:r w:rsidR="005C6601">
        <w:t>GL</w:t>
      </w:r>
      <w:r>
        <w:t>, then the NRC will address the requirements of the Backfit Rule, 10</w:t>
      </w:r>
      <w:r w:rsidR="005C6601">
        <w:t> </w:t>
      </w:r>
      <w:r>
        <w:t>CFR</w:t>
      </w:r>
      <w:r w:rsidR="005C6601">
        <w:t> </w:t>
      </w:r>
      <w:r>
        <w:t>50.109</w:t>
      </w:r>
      <w:r w:rsidR="006475E7">
        <w:t>,</w:t>
      </w:r>
      <w:r>
        <w:t xml:space="preserve"> no later than the time it imposes the regulatory action.  In addition, the information requested by the NRC in this </w:t>
      </w:r>
      <w:r w:rsidR="005C6601">
        <w:t>GL</w:t>
      </w:r>
      <w:r>
        <w:t xml:space="preserve"> is not required, solely as a result of the NRC’s request, to be included or reflected in the UFSAR under 10</w:t>
      </w:r>
      <w:r w:rsidR="005C6601">
        <w:t> </w:t>
      </w:r>
      <w:r>
        <w:t>CFR</w:t>
      </w:r>
      <w:r w:rsidR="005C6601">
        <w:t> </w:t>
      </w:r>
      <w:r>
        <w:t xml:space="preserve">50.71(e). </w:t>
      </w:r>
      <w:r w:rsidR="005C6601">
        <w:t xml:space="preserve"> </w:t>
      </w:r>
      <w:r>
        <w:t xml:space="preserve">If the NRC takes regulatory action to require that the information submitted in response to this </w:t>
      </w:r>
      <w:r w:rsidR="005C6601">
        <w:t>GL</w:t>
      </w:r>
      <w:r>
        <w:t xml:space="preserve"> be treated by the licensee as </w:t>
      </w:r>
      <w:r w:rsidR="00711BE7">
        <w:t>a legally binding requirement</w:t>
      </w:r>
      <w:r>
        <w:t xml:space="preserve"> for that licensee’s facility, then the NRC will address the requirements of the Backfit Rule, no later than the time it requires the licensee to </w:t>
      </w:r>
      <w:r w:rsidR="005D75B3">
        <w:t>treat the submitted information as a legally binding requirement</w:t>
      </w:r>
      <w:r>
        <w:t xml:space="preserve">.  For these reasons, the NRC concludes that the </w:t>
      </w:r>
      <w:r w:rsidR="001F3F9D">
        <w:t>GL</w:t>
      </w:r>
      <w:r w:rsidR="004727BB">
        <w:t xml:space="preserve"> does </w:t>
      </w:r>
      <w:r>
        <w:t>not effectively constitute</w:t>
      </w:r>
      <w:r w:rsidR="000E7C62">
        <w:t xml:space="preserve"> backfitting </w:t>
      </w:r>
      <w:r w:rsidR="001F3F9D">
        <w:t>for</w:t>
      </w:r>
      <w:r w:rsidR="000E7C62">
        <w:t xml:space="preserve"> holders of </w:t>
      </w:r>
      <w:r w:rsidR="001F3F9D">
        <w:t>10 CFR </w:t>
      </w:r>
      <w:r w:rsidR="000E7C62">
        <w:t>Part </w:t>
      </w:r>
      <w:r>
        <w:t xml:space="preserve">50 operating licenses. </w:t>
      </w:r>
    </w:p>
    <w:p w:rsidR="00120DAB" w:rsidRDefault="00120DAB" w:rsidP="00120DAB"/>
    <w:p w:rsidR="00120DAB" w:rsidRDefault="00120DAB" w:rsidP="00120DAB">
      <w:r>
        <w:t xml:space="preserve">This </w:t>
      </w:r>
      <w:r w:rsidR="005256C2">
        <w:t>GL</w:t>
      </w:r>
      <w:r>
        <w:t xml:space="preserve"> is not addressed to the two holders of combined li</w:t>
      </w:r>
      <w:r w:rsidR="00D759AA">
        <w:t>censes under 10</w:t>
      </w:r>
      <w:r w:rsidR="001F3F9D">
        <w:t> </w:t>
      </w:r>
      <w:r w:rsidR="00D759AA">
        <w:t>CFR</w:t>
      </w:r>
      <w:r w:rsidR="001F3F9D">
        <w:t> </w:t>
      </w:r>
      <w:r w:rsidR="00D759AA">
        <w:t>Part</w:t>
      </w:r>
      <w:r w:rsidR="001F3F9D">
        <w:t> </w:t>
      </w:r>
      <w:r w:rsidR="00D759AA">
        <w:t xml:space="preserve">52 (Southern Nuclear Operating Company, Inc. and South Carolina Electric &amp; Gas Company), for the reasons set forth </w:t>
      </w:r>
      <w:r w:rsidR="001F3F9D">
        <w:t xml:space="preserve">in </w:t>
      </w:r>
      <w:r w:rsidR="00D759AA">
        <w:t xml:space="preserve">the </w:t>
      </w:r>
      <w:r w:rsidR="00D759AA" w:rsidRPr="00D759AA">
        <w:rPr>
          <w:b/>
        </w:rPr>
        <w:t>Discussion</w:t>
      </w:r>
      <w:r w:rsidR="001F3F9D">
        <w:rPr>
          <w:b/>
        </w:rPr>
        <w:t xml:space="preserve"> Section</w:t>
      </w:r>
      <w:r w:rsidR="00D759AA">
        <w:t>.  T</w:t>
      </w:r>
      <w:r>
        <w:t>herefore</w:t>
      </w:r>
      <w:r w:rsidR="00D759AA">
        <w:t>,</w:t>
      </w:r>
      <w:r>
        <w:t xml:space="preserve"> the issuance of this </w:t>
      </w:r>
      <w:r w:rsidR="001F3F9D">
        <w:t>GL</w:t>
      </w:r>
      <w:r>
        <w:t xml:space="preserve"> </w:t>
      </w:r>
      <w:r w:rsidR="004727BB">
        <w:t>is</w:t>
      </w:r>
      <w:r w:rsidR="00D759AA">
        <w:t xml:space="preserve"> not </w:t>
      </w:r>
      <w:r>
        <w:t>inconsistent with the issue finality provisions applicable to</w:t>
      </w:r>
      <w:r w:rsidR="00D759AA">
        <w:t xml:space="preserve"> those</w:t>
      </w:r>
      <w:r>
        <w:t xml:space="preserve"> combined license holders in 10</w:t>
      </w:r>
      <w:r w:rsidR="001F3F9D">
        <w:t> </w:t>
      </w:r>
      <w:r>
        <w:t>CFR</w:t>
      </w:r>
      <w:r w:rsidR="001F3F9D">
        <w:t> </w:t>
      </w:r>
      <w:r>
        <w:t>52.98</w:t>
      </w:r>
      <w:r w:rsidR="00850F6F">
        <w:t>, “Finality of c</w:t>
      </w:r>
      <w:r w:rsidR="001F3F9D">
        <w:t xml:space="preserve">ombined </w:t>
      </w:r>
      <w:r w:rsidR="00850F6F">
        <w:t>l</w:t>
      </w:r>
      <w:r w:rsidR="001F3F9D">
        <w:t xml:space="preserve">icenses; </w:t>
      </w:r>
      <w:r w:rsidR="00850F6F">
        <w:t>i</w:t>
      </w:r>
      <w:r w:rsidR="001F3F9D">
        <w:t xml:space="preserve">nformation </w:t>
      </w:r>
      <w:r w:rsidR="00850F6F">
        <w:t>r</w:t>
      </w:r>
      <w:r w:rsidR="001F3F9D">
        <w:t>equests</w:t>
      </w:r>
      <w:r>
        <w:t>.</w:t>
      </w:r>
      <w:r w:rsidR="001F3F9D">
        <w:t>”</w:t>
      </w:r>
      <w:r>
        <w:t xml:space="preserve">  </w:t>
      </w:r>
    </w:p>
    <w:p w:rsidR="00120DAB" w:rsidRDefault="00120DAB" w:rsidP="00120DAB"/>
    <w:p w:rsidR="004F3B27" w:rsidRDefault="00120DAB" w:rsidP="004F3B27">
      <w:r>
        <w:t xml:space="preserve">Holders of licenses for </w:t>
      </w:r>
      <w:r w:rsidR="003603A5">
        <w:t>non-power</w:t>
      </w:r>
      <w:r>
        <w:t xml:space="preserve"> reactors are not </w:t>
      </w:r>
      <w:r w:rsidR="004727BB">
        <w:t>subject to</w:t>
      </w:r>
      <w:r>
        <w:t xml:space="preserve"> the Backfit Rule and are not licensed under </w:t>
      </w:r>
      <w:r w:rsidR="001F3F9D">
        <w:t>10 CFR </w:t>
      </w:r>
      <w:r>
        <w:t>Part</w:t>
      </w:r>
      <w:r w:rsidR="001F3F9D">
        <w:t> </w:t>
      </w:r>
      <w:r>
        <w:t xml:space="preserve">52. </w:t>
      </w:r>
      <w:r w:rsidR="001F3F9D">
        <w:t xml:space="preserve"> </w:t>
      </w:r>
      <w:r>
        <w:t xml:space="preserve">Therefore, this </w:t>
      </w:r>
      <w:r w:rsidR="005256C2">
        <w:t>GL</w:t>
      </w:r>
      <w:r>
        <w:t xml:space="preserve"> may be issued to </w:t>
      </w:r>
      <w:r w:rsidR="003603A5">
        <w:t>non-power</w:t>
      </w:r>
      <w:r>
        <w:t xml:space="preserve"> reactor licensees without consideration of backfitting or issue finality under </w:t>
      </w:r>
      <w:r w:rsidR="001F3F9D">
        <w:t>10 CFR </w:t>
      </w:r>
      <w:r>
        <w:t>Part</w:t>
      </w:r>
      <w:r w:rsidR="001F3F9D">
        <w:t> </w:t>
      </w:r>
      <w:r>
        <w:t xml:space="preserve">52.      </w:t>
      </w:r>
    </w:p>
    <w:p w:rsidR="00120DAB" w:rsidRDefault="00120DAB" w:rsidP="004F3B27">
      <w:pPr>
        <w:outlineLvl w:val="0"/>
        <w:rPr>
          <w:b/>
          <w:i/>
        </w:rPr>
      </w:pPr>
    </w:p>
    <w:p w:rsidR="004F3B27" w:rsidRPr="00536D0A" w:rsidRDefault="004F3B27" w:rsidP="004F3B27">
      <w:pPr>
        <w:outlineLvl w:val="0"/>
        <w:rPr>
          <w:b/>
        </w:rPr>
      </w:pPr>
      <w:r w:rsidRPr="00A62A34">
        <w:rPr>
          <w:b/>
          <w:i/>
        </w:rPr>
        <w:t>FEDERAL REGISTER</w:t>
      </w:r>
      <w:r w:rsidRPr="00D02F40">
        <w:rPr>
          <w:b/>
        </w:rPr>
        <w:t xml:space="preserve"> NOTIFICATION</w:t>
      </w:r>
    </w:p>
    <w:p w:rsidR="004F3B27" w:rsidRDefault="004F3B27" w:rsidP="004F3B27"/>
    <w:p w:rsidR="004D4036" w:rsidRDefault="00BB3480" w:rsidP="004F3B27">
      <w:r>
        <w:t xml:space="preserve">A notice of opportunity for public comment on this GL was published in the </w:t>
      </w:r>
      <w:r>
        <w:rPr>
          <w:i/>
        </w:rPr>
        <w:t>Federal Register</w:t>
      </w:r>
      <w:r>
        <w:t xml:space="preserve"> (79</w:t>
      </w:r>
      <w:r w:rsidR="002606FD">
        <w:t> </w:t>
      </w:r>
      <w:r>
        <w:t>FR</w:t>
      </w:r>
      <w:r w:rsidR="002606FD">
        <w:t> </w:t>
      </w:r>
      <w:r w:rsidR="00DC4C74">
        <w:t>13682</w:t>
      </w:r>
      <w:r>
        <w:t xml:space="preserve">) </w:t>
      </w:r>
      <w:r w:rsidR="003C32A5">
        <w:t>for a 60</w:t>
      </w:r>
      <w:r w:rsidR="003C1BBC">
        <w:t>-</w:t>
      </w:r>
      <w:r w:rsidR="003C32A5">
        <w:t xml:space="preserve">day posting period </w:t>
      </w:r>
      <w:r>
        <w:t>on March</w:t>
      </w:r>
      <w:r w:rsidR="002606FD">
        <w:t> </w:t>
      </w:r>
      <w:r>
        <w:t>11,</w:t>
      </w:r>
      <w:r w:rsidR="002606FD">
        <w:t> </w:t>
      </w:r>
      <w:r>
        <w:t xml:space="preserve">2014.  The NRC received </w:t>
      </w:r>
      <w:r w:rsidR="00CB05BC">
        <w:t>eleven</w:t>
      </w:r>
      <w:r w:rsidR="00E24E73">
        <w:t xml:space="preserve"> </w:t>
      </w:r>
      <w:r>
        <w:t xml:space="preserve">sets of comments, all from the nuclear industry or vendors associated with the nuclear industry.  The NRC staff’s evaluation of the comments is publicly available through NRC’s </w:t>
      </w:r>
      <w:r w:rsidR="002606FD">
        <w:t>Agencywide Documents Access and Management System (</w:t>
      </w:r>
      <w:r>
        <w:t>ADAMS</w:t>
      </w:r>
      <w:r w:rsidR="002606FD">
        <w:t>)</w:t>
      </w:r>
      <w:r>
        <w:t xml:space="preserve"> under Accession No.</w:t>
      </w:r>
      <w:r w:rsidR="002606FD">
        <w:t> </w:t>
      </w:r>
      <w:r w:rsidR="00CB05BC">
        <w:t xml:space="preserve">ML14181B130.  </w:t>
      </w:r>
    </w:p>
    <w:p w:rsidR="004D4036" w:rsidRDefault="004D4036" w:rsidP="004F3B27"/>
    <w:p w:rsidR="004F3B27" w:rsidRPr="00BB3480" w:rsidRDefault="00CB05BC" w:rsidP="004F3B27">
      <w:r>
        <w:t xml:space="preserve">A notice of opportunity for public comment regarding the burden on respondents was published in the </w:t>
      </w:r>
      <w:r>
        <w:rPr>
          <w:i/>
        </w:rPr>
        <w:t xml:space="preserve">Federal </w:t>
      </w:r>
      <w:r w:rsidRPr="00CB05BC">
        <w:t>Register</w:t>
      </w:r>
      <w:r>
        <w:t xml:space="preserve"> (80</w:t>
      </w:r>
      <w:r w:rsidR="009B0A58">
        <w:t> </w:t>
      </w:r>
      <w:r>
        <w:t>FR 31930) on June 4, 2015</w:t>
      </w:r>
      <w:r w:rsidR="00277A6A">
        <w:t>, as part of the process</w:t>
      </w:r>
      <w:r>
        <w:t xml:space="preserve"> for obtaining clearance from the Office of Management and Budget</w:t>
      </w:r>
      <w:r w:rsidR="00277A6A">
        <w:t xml:space="preserve"> to issue this </w:t>
      </w:r>
      <w:r w:rsidR="001F73AC">
        <w:t>GL</w:t>
      </w:r>
      <w:r>
        <w:t xml:space="preserve">.  The NRC staff’s </w:t>
      </w:r>
      <w:r>
        <w:lastRenderedPageBreak/>
        <w:t xml:space="preserve">evaluation of the comments related to burden can be found under </w:t>
      </w:r>
      <w:r w:rsidR="00E456EE">
        <w:t xml:space="preserve">ADAMS </w:t>
      </w:r>
      <w:r>
        <w:t xml:space="preserve">Accession No. </w:t>
      </w:r>
      <w:r w:rsidR="00E24E73" w:rsidRPr="00CB05BC">
        <w:t>ML15222A005</w:t>
      </w:r>
      <w:r w:rsidR="00645DE2">
        <w:t>.</w:t>
      </w:r>
    </w:p>
    <w:p w:rsidR="002A6880" w:rsidRDefault="002A6880" w:rsidP="004F3B27">
      <w:pPr>
        <w:outlineLvl w:val="0"/>
        <w:rPr>
          <w:b/>
        </w:rPr>
      </w:pPr>
    </w:p>
    <w:p w:rsidR="004F3B27" w:rsidRPr="00536D0A" w:rsidRDefault="004F3B27" w:rsidP="004F3B27">
      <w:pPr>
        <w:outlineLvl w:val="0"/>
        <w:rPr>
          <w:b/>
        </w:rPr>
      </w:pPr>
      <w:r w:rsidRPr="00D02F40">
        <w:rPr>
          <w:b/>
        </w:rPr>
        <w:t>CONGRESSIONAL REVIEW ACT</w:t>
      </w:r>
    </w:p>
    <w:p w:rsidR="004F3B27" w:rsidRDefault="004F3B27" w:rsidP="004F3B27"/>
    <w:p w:rsidR="004F3B27" w:rsidRDefault="001D4A45" w:rsidP="004F3B27">
      <w:pPr>
        <w:rPr>
          <w:b/>
        </w:rPr>
      </w:pPr>
      <w:r>
        <w:rPr>
          <w:rFonts w:cs="Arial"/>
        </w:rPr>
        <w:t xml:space="preserve">This </w:t>
      </w:r>
      <w:r w:rsidR="002606FD">
        <w:rPr>
          <w:rFonts w:cs="Arial"/>
        </w:rPr>
        <w:t>GL</w:t>
      </w:r>
      <w:r>
        <w:rPr>
          <w:rFonts w:cs="Arial"/>
        </w:rPr>
        <w:t xml:space="preserve"> is not a rule as defined in the Congressional Review Act (5</w:t>
      </w:r>
      <w:r w:rsidR="002606FD">
        <w:rPr>
          <w:rFonts w:cs="Arial"/>
        </w:rPr>
        <w:t> </w:t>
      </w:r>
      <w:r>
        <w:rPr>
          <w:rFonts w:cs="Arial"/>
        </w:rPr>
        <w:t>U.S.C.</w:t>
      </w:r>
      <w:r w:rsidR="002606FD">
        <w:rPr>
          <w:rFonts w:cs="Arial"/>
        </w:rPr>
        <w:t> </w:t>
      </w:r>
      <w:r>
        <w:rPr>
          <w:rFonts w:cs="Arial"/>
        </w:rPr>
        <w:t>801</w:t>
      </w:r>
      <w:r w:rsidR="002606FD">
        <w:rPr>
          <w:rFonts w:cs="Arial"/>
        </w:rPr>
        <w:t>–</w:t>
      </w:r>
      <w:r>
        <w:rPr>
          <w:rFonts w:cs="Arial"/>
        </w:rPr>
        <w:t>808).</w:t>
      </w:r>
    </w:p>
    <w:p w:rsidR="002A6370" w:rsidRDefault="002A6370">
      <w:pPr>
        <w:rPr>
          <w:b/>
        </w:rPr>
      </w:pPr>
    </w:p>
    <w:p w:rsidR="004F3B27" w:rsidRPr="00536D0A" w:rsidRDefault="004F3B27" w:rsidP="00167F5E">
      <w:pPr>
        <w:rPr>
          <w:b/>
        </w:rPr>
      </w:pPr>
      <w:r w:rsidRPr="00D02F40">
        <w:rPr>
          <w:b/>
        </w:rPr>
        <w:t>PAPERWORK REDUCTION ACT STATEMENT</w:t>
      </w:r>
    </w:p>
    <w:p w:rsidR="004F3B27" w:rsidRDefault="004F3B27" w:rsidP="004F3B27"/>
    <w:p w:rsidR="005032E7" w:rsidRDefault="005032E7" w:rsidP="005032E7">
      <w:r>
        <w:t xml:space="preserve">This </w:t>
      </w:r>
      <w:r w:rsidR="002606FD">
        <w:t>GL</w:t>
      </w:r>
      <w:r>
        <w:t xml:space="preserve"> contains information collection requirements that are subject to the Paperwork Reduction Act of 1995 (44</w:t>
      </w:r>
      <w:r w:rsidR="002606FD">
        <w:t> </w:t>
      </w:r>
      <w:r>
        <w:t>U.S.C.</w:t>
      </w:r>
      <w:r w:rsidR="002606FD">
        <w:t> </w:t>
      </w:r>
      <w:r>
        <w:t>3501 et seq.).  These information collections were approved by the Office of Management and Budget (OMB), approval number 3150</w:t>
      </w:r>
      <w:r w:rsidR="002606FD">
        <w:noBreakHyphen/>
      </w:r>
      <w:r w:rsidR="00A56E25" w:rsidRPr="00870585">
        <w:rPr>
          <w:highlight w:val="yellow"/>
        </w:rPr>
        <w:t>XXXX</w:t>
      </w:r>
      <w:r>
        <w:t>.  This collection of information is re</w:t>
      </w:r>
      <w:r w:rsidR="00B07018">
        <w:t>quired under the provisions of </w:t>
      </w:r>
      <w:r>
        <w:t>Section</w:t>
      </w:r>
      <w:r w:rsidR="002606FD">
        <w:t> </w:t>
      </w:r>
      <w:r>
        <w:t>182a of the Atomic Energy Act of 1954, as amended</w:t>
      </w:r>
      <w:r w:rsidR="00C76A43">
        <w:t>,</w:t>
      </w:r>
      <w:r>
        <w:t xml:space="preserve"> and 10</w:t>
      </w:r>
      <w:r w:rsidR="002606FD">
        <w:t> </w:t>
      </w:r>
      <w:r>
        <w:t>CFR</w:t>
      </w:r>
      <w:r w:rsidR="002606FD">
        <w:t> </w:t>
      </w:r>
      <w:r>
        <w:t>50.54(f).</w:t>
      </w:r>
    </w:p>
    <w:p w:rsidR="005032E7" w:rsidRDefault="005032E7" w:rsidP="005032E7"/>
    <w:p w:rsidR="00CD17A4" w:rsidRDefault="00CD17A4" w:rsidP="005032E7">
      <w:r>
        <w:t xml:space="preserve">The burden </w:t>
      </w:r>
      <w:r w:rsidR="002606FD">
        <w:t>on</w:t>
      </w:r>
      <w:r>
        <w:t xml:space="preserve"> the public for these mandatory information collections is estimated to be no more than </w:t>
      </w:r>
      <w:r w:rsidR="00577612">
        <w:t>17</w:t>
      </w:r>
      <w:r w:rsidR="00D41BB4">
        <w:t>0</w:t>
      </w:r>
      <w:r w:rsidR="002606FD">
        <w:t> </w:t>
      </w:r>
      <w:r>
        <w:t xml:space="preserve">hours per </w:t>
      </w:r>
      <w:r w:rsidR="009F4B28">
        <w:t xml:space="preserve">unit </w:t>
      </w:r>
      <w:r>
        <w:t xml:space="preserve">for all but two power reactor </w:t>
      </w:r>
      <w:r w:rsidR="00577612">
        <w:t xml:space="preserve">units </w:t>
      </w:r>
      <w:r>
        <w:t>licensed under 10</w:t>
      </w:r>
      <w:r w:rsidR="002606FD">
        <w:t> </w:t>
      </w:r>
      <w:r>
        <w:t>CFR</w:t>
      </w:r>
      <w:r w:rsidR="002606FD">
        <w:t> </w:t>
      </w:r>
      <w:r>
        <w:t>Part</w:t>
      </w:r>
      <w:r w:rsidR="002606FD">
        <w:t> </w:t>
      </w:r>
      <w:r>
        <w:t>50 and no more than 20</w:t>
      </w:r>
      <w:r w:rsidR="002606FD">
        <w:t> </w:t>
      </w:r>
      <w:r>
        <w:t xml:space="preserve">hours per response for </w:t>
      </w:r>
      <w:r w:rsidR="003603A5">
        <w:t>non-power</w:t>
      </w:r>
      <w:r>
        <w:t xml:space="preserve"> reactors, including the time for reviewing instructions, searching existing data sources, gathering and maintaining the data needed, and completing and reviewing the information collection.  Two power reactor licensees credit </w:t>
      </w:r>
      <w:r w:rsidR="00D41BB4">
        <w:t xml:space="preserve">more than two </w:t>
      </w:r>
      <w:r>
        <w:t xml:space="preserve">neutron-absorbing materials to meet regulatory requirements, so they may take up to </w:t>
      </w:r>
      <w:r w:rsidR="00577612">
        <w:t>25</w:t>
      </w:r>
      <w:r w:rsidR="00D41BB4">
        <w:t>0</w:t>
      </w:r>
      <w:r w:rsidR="002606FD">
        <w:t> </w:t>
      </w:r>
      <w:r>
        <w:t>hours</w:t>
      </w:r>
      <w:r w:rsidR="009F4B28">
        <w:t xml:space="preserve"> per unit</w:t>
      </w:r>
      <w:r>
        <w:t xml:space="preserve">.  </w:t>
      </w:r>
    </w:p>
    <w:p w:rsidR="00CD17A4" w:rsidRDefault="00CD17A4" w:rsidP="005032E7"/>
    <w:p w:rsidR="005032E7" w:rsidRDefault="005032E7" w:rsidP="005032E7">
      <w:r>
        <w:t>Send comments on this burden estimate or any other aspect of these information collections, including suggestions for reducing the burden, to the FOIA, Privacy, and Information Collection Branch (T5</w:t>
      </w:r>
      <w:r w:rsidR="002606FD">
        <w:noBreakHyphen/>
      </w:r>
      <w:r>
        <w:t>F53), U.S.</w:t>
      </w:r>
      <w:r w:rsidR="002606FD">
        <w:t> </w:t>
      </w:r>
      <w:r>
        <w:t>Nuclear Regulatory Commission, Washington, DC</w:t>
      </w:r>
      <w:r w:rsidR="002606FD">
        <w:t> </w:t>
      </w:r>
      <w:r>
        <w:t>20555</w:t>
      </w:r>
      <w:r w:rsidR="002606FD">
        <w:noBreakHyphen/>
      </w:r>
      <w:r>
        <w:t xml:space="preserve">0001, or to </w:t>
      </w:r>
      <w:hyperlink r:id="rId22" w:history="1">
        <w:r>
          <w:rPr>
            <w:rStyle w:val="Hyperlink"/>
          </w:rPr>
          <w:t>Infocollects.Resource@nrc.gov</w:t>
        </w:r>
      </w:hyperlink>
      <w:r>
        <w:t>, and to the Desk Officer, Office of Information and Regulatory Affairs, NEOB</w:t>
      </w:r>
      <w:r w:rsidR="002606FD">
        <w:noBreakHyphen/>
      </w:r>
      <w:r>
        <w:t>10202 (3150</w:t>
      </w:r>
      <w:r w:rsidR="002606FD">
        <w:noBreakHyphen/>
      </w:r>
      <w:r w:rsidR="00F37BD1">
        <w:t>XXXX</w:t>
      </w:r>
      <w:r>
        <w:t>), Office of Management and Budget, Washington, DC</w:t>
      </w:r>
      <w:r w:rsidR="002606FD">
        <w:t> </w:t>
      </w:r>
      <w:r>
        <w:t>20503.</w:t>
      </w:r>
    </w:p>
    <w:p w:rsidR="004F3B27" w:rsidRDefault="004F3B27" w:rsidP="004F3B27"/>
    <w:p w:rsidR="004F3B27" w:rsidRPr="00C35BB4" w:rsidRDefault="005032E7" w:rsidP="00C35BB4">
      <w:pPr>
        <w:outlineLvl w:val="0"/>
        <w:rPr>
          <w:b/>
        </w:rPr>
      </w:pPr>
      <w:r w:rsidRPr="00C35BB4">
        <w:rPr>
          <w:b/>
        </w:rPr>
        <w:t>P</w:t>
      </w:r>
      <w:r>
        <w:rPr>
          <w:b/>
        </w:rPr>
        <w:t>UBLIC</w:t>
      </w:r>
      <w:r w:rsidRPr="00C35BB4">
        <w:rPr>
          <w:b/>
        </w:rPr>
        <w:t xml:space="preserve"> P</w:t>
      </w:r>
      <w:r>
        <w:rPr>
          <w:b/>
        </w:rPr>
        <w:t>ROTECTION</w:t>
      </w:r>
      <w:r w:rsidRPr="00C35BB4">
        <w:rPr>
          <w:b/>
        </w:rPr>
        <w:t xml:space="preserve"> N</w:t>
      </w:r>
      <w:r>
        <w:rPr>
          <w:b/>
        </w:rPr>
        <w:t>OTIFICATION</w:t>
      </w:r>
    </w:p>
    <w:p w:rsidR="004F3B27" w:rsidRDefault="004F3B27" w:rsidP="004F3B27"/>
    <w:p w:rsidR="009A23E9" w:rsidRDefault="004F3B27" w:rsidP="009A23E9">
      <w:pPr>
        <w:rPr>
          <w:b/>
        </w:rPr>
      </w:pPr>
      <w:r>
        <w:t xml:space="preserve">The NRC may </w:t>
      </w:r>
      <w:r w:rsidR="005032E7">
        <w:t xml:space="preserve">neither </w:t>
      </w:r>
      <w:r>
        <w:t xml:space="preserve">conduct </w:t>
      </w:r>
      <w:r w:rsidR="005032E7">
        <w:t>n</w:t>
      </w:r>
      <w:r>
        <w:t xml:space="preserve">or sponsor, and a person is not required to respond to, an information collection </w:t>
      </w:r>
      <w:r w:rsidR="005032E7">
        <w:t xml:space="preserve">request or requirement </w:t>
      </w:r>
      <w:r>
        <w:t xml:space="preserve">unless the requesting document displays a currently valid </w:t>
      </w:r>
      <w:r w:rsidR="002606FD">
        <w:t>Office of Management and Budget</w:t>
      </w:r>
      <w:r>
        <w:t xml:space="preserve"> control number.</w:t>
      </w:r>
    </w:p>
    <w:p w:rsidR="009A23E9" w:rsidRDefault="009A23E9" w:rsidP="00663881">
      <w:pPr>
        <w:widowControl w:val="0"/>
        <w:tabs>
          <w:tab w:val="left" w:pos="1545"/>
        </w:tabs>
        <w:rPr>
          <w:b/>
        </w:rPr>
      </w:pPr>
    </w:p>
    <w:p w:rsidR="00F30EBF" w:rsidRPr="003C2DBA" w:rsidRDefault="00F30EBF" w:rsidP="00663881">
      <w:pPr>
        <w:widowControl w:val="0"/>
        <w:tabs>
          <w:tab w:val="left" w:pos="1545"/>
        </w:tabs>
        <w:sectPr w:rsidR="00F30EBF" w:rsidRPr="003C2DBA" w:rsidSect="00121992">
          <w:headerReference w:type="default" r:id="rId23"/>
          <w:footerReference w:type="first" r:id="rId24"/>
          <w:endnotePr>
            <w:numFmt w:val="decimal"/>
          </w:endnotePr>
          <w:pgSz w:w="12240" w:h="15839" w:code="1"/>
          <w:pgMar w:top="1440" w:right="1440" w:bottom="1440" w:left="1440" w:header="720" w:footer="1440" w:gutter="0"/>
          <w:pgNumType w:start="1"/>
          <w:cols w:space="720"/>
          <w:titlePg/>
          <w:docGrid w:linePitch="299"/>
        </w:sectPr>
      </w:pPr>
      <w:r>
        <w:rPr>
          <w:b/>
        </w:rPr>
        <w:t>REFERENCES</w:t>
      </w:r>
    </w:p>
    <w:p w:rsidR="004F3B27" w:rsidRPr="00536D0A" w:rsidRDefault="004F3B27" w:rsidP="004F3B27">
      <w:pPr>
        <w:outlineLvl w:val="0"/>
        <w:rPr>
          <w:b/>
        </w:rPr>
      </w:pPr>
      <w:r w:rsidRPr="00D02F40">
        <w:rPr>
          <w:b/>
        </w:rPr>
        <w:lastRenderedPageBreak/>
        <w:t>CONTACT</w:t>
      </w:r>
    </w:p>
    <w:p w:rsidR="004F3B27" w:rsidRDefault="004F3B27" w:rsidP="004F3B27"/>
    <w:p w:rsidR="004F3B27" w:rsidRPr="00156DDF" w:rsidRDefault="004F3B27" w:rsidP="004F3B27">
      <w:r>
        <w:t>Please direct any questions about this matter to the technical co</w:t>
      </w:r>
      <w:r w:rsidRPr="00156DDF">
        <w:t xml:space="preserve">ntact or the </w:t>
      </w:r>
      <w:r>
        <w:t>l</w:t>
      </w:r>
      <w:r w:rsidRPr="00156DDF">
        <w:t xml:space="preserve">ead </w:t>
      </w:r>
      <w:r>
        <w:t>p</w:t>
      </w:r>
      <w:r w:rsidRPr="00156DDF">
        <w:t xml:space="preserve">roject </w:t>
      </w:r>
      <w:r>
        <w:t>m</w:t>
      </w:r>
      <w:r w:rsidRPr="00156DDF">
        <w:t>anager listed below or to the appropriate Office of Nuclear Reactor Regulation project manager.</w:t>
      </w:r>
    </w:p>
    <w:p w:rsidR="008222FB" w:rsidRDefault="008222FB" w:rsidP="008222FB"/>
    <w:p w:rsidR="008222FB" w:rsidRDefault="008222FB" w:rsidP="008222FB"/>
    <w:p w:rsidR="008222FB" w:rsidRDefault="008222FB" w:rsidP="008222FB"/>
    <w:p w:rsidR="008222FB" w:rsidRDefault="008222FB" w:rsidP="008222FB"/>
    <w:p w:rsidR="004F3B27" w:rsidRDefault="00C93E96" w:rsidP="008222FB">
      <w:pPr>
        <w:ind w:left="3600" w:firstLine="720"/>
      </w:pPr>
      <w:r>
        <w:t>Drew Persinko</w:t>
      </w:r>
      <w:r w:rsidR="004F3B27">
        <w:t xml:space="preserve">, </w:t>
      </w:r>
      <w:r>
        <w:t>Acting</w:t>
      </w:r>
      <w:r w:rsidR="004F3B27">
        <w:t>Director</w:t>
      </w:r>
    </w:p>
    <w:p w:rsidR="004F3B27" w:rsidRPr="00D77D0A" w:rsidRDefault="004F3B27" w:rsidP="004F3B27">
      <w:pPr>
        <w:ind w:left="4320"/>
      </w:pPr>
      <w:r>
        <w:t>Division</w:t>
      </w:r>
      <w:r w:rsidRPr="00D77D0A">
        <w:t xml:space="preserve"> </w:t>
      </w:r>
      <w:r>
        <w:t>of</w:t>
      </w:r>
      <w:r w:rsidRPr="00D77D0A">
        <w:t xml:space="preserve"> </w:t>
      </w:r>
      <w:r w:rsidR="00536C12">
        <w:t>Decommissioning, Uranium Recovery, and Waste Programs</w:t>
      </w:r>
    </w:p>
    <w:p w:rsidR="004F3B27" w:rsidRPr="00D77D0A" w:rsidRDefault="004F3B27" w:rsidP="00536C12">
      <w:pPr>
        <w:autoSpaceDE w:val="0"/>
        <w:autoSpaceDN w:val="0"/>
        <w:adjustRightInd w:val="0"/>
        <w:ind w:left="3600" w:firstLine="720"/>
      </w:pPr>
      <w:r w:rsidRPr="00D77D0A">
        <w:rPr>
          <w:rFonts w:cs="Arial"/>
          <w:bCs/>
        </w:rPr>
        <w:t xml:space="preserve">Office of </w:t>
      </w:r>
      <w:r w:rsidR="00536C12">
        <w:rPr>
          <w:rFonts w:cs="Arial"/>
          <w:bCs/>
        </w:rPr>
        <w:t>Nuclear Material Safety and Safeguards</w:t>
      </w:r>
      <w:r w:rsidRPr="00D77D0A" w:rsidDel="00D77D0A">
        <w:t xml:space="preserve"> </w:t>
      </w:r>
    </w:p>
    <w:p w:rsidR="004F3B27" w:rsidRDefault="004F3B27" w:rsidP="004F3B27">
      <w:pPr>
        <w:ind w:left="4320"/>
        <w:outlineLvl w:val="0"/>
      </w:pPr>
    </w:p>
    <w:p w:rsidR="00BC4E64" w:rsidRDefault="00BC4E64" w:rsidP="004F3B27">
      <w:pPr>
        <w:ind w:left="4320"/>
        <w:outlineLvl w:val="0"/>
      </w:pPr>
    </w:p>
    <w:p w:rsidR="00E71BFF" w:rsidRDefault="00E71BFF" w:rsidP="004F3B27">
      <w:pPr>
        <w:ind w:left="4320"/>
        <w:outlineLvl w:val="0"/>
      </w:pPr>
    </w:p>
    <w:p w:rsidR="00E71BFF" w:rsidRDefault="00E71BFF" w:rsidP="004F3B27">
      <w:pPr>
        <w:ind w:left="4320"/>
        <w:outlineLvl w:val="0"/>
      </w:pPr>
    </w:p>
    <w:p w:rsidR="004F3B27" w:rsidRDefault="004F3B27" w:rsidP="004F3B27">
      <w:pPr>
        <w:ind w:left="4320"/>
        <w:outlineLvl w:val="0"/>
      </w:pPr>
      <w:r>
        <w:t>Lawrence E. Kokajko, Director</w:t>
      </w:r>
    </w:p>
    <w:p w:rsidR="004F3B27" w:rsidRDefault="004F3B27" w:rsidP="004F3B27">
      <w:pPr>
        <w:ind w:left="4320"/>
        <w:outlineLvl w:val="0"/>
      </w:pPr>
      <w:r>
        <w:t>Division of Policy and Rulemaking</w:t>
      </w:r>
    </w:p>
    <w:p w:rsidR="004F3B27" w:rsidRDefault="004F3B27" w:rsidP="004F3B27">
      <w:pPr>
        <w:ind w:left="4320"/>
      </w:pPr>
      <w:r>
        <w:t>Office of Nuclear Reactor Regulation</w:t>
      </w:r>
    </w:p>
    <w:p w:rsidR="004F3B27" w:rsidRDefault="004F3B27" w:rsidP="004F3B27"/>
    <w:p w:rsidR="00726D8E" w:rsidRDefault="00726D8E" w:rsidP="004F3B27"/>
    <w:p w:rsidR="004F3B27" w:rsidRDefault="004F3B27" w:rsidP="004F3B27">
      <w:pPr>
        <w:tabs>
          <w:tab w:val="left" w:pos="2520"/>
        </w:tabs>
        <w:outlineLvl w:val="0"/>
      </w:pPr>
      <w:r>
        <w:t>Techni</w:t>
      </w:r>
      <w:r w:rsidRPr="00156DDF">
        <w:t>cal Contact:</w:t>
      </w:r>
      <w:r>
        <w:tab/>
      </w:r>
      <w:r w:rsidR="001079E4">
        <w:t>Scott Krepel</w:t>
      </w:r>
      <w:r w:rsidRPr="00156DDF">
        <w:t>, NRR/</w:t>
      </w:r>
      <w:r>
        <w:t>DSS</w:t>
      </w:r>
    </w:p>
    <w:p w:rsidR="004F3B27" w:rsidRPr="00990707" w:rsidRDefault="004F3B27" w:rsidP="004F3B27">
      <w:pPr>
        <w:ind w:left="2520"/>
        <w:rPr>
          <w:lang w:val="fr-FR"/>
        </w:rPr>
      </w:pPr>
      <w:r w:rsidRPr="00990707">
        <w:rPr>
          <w:lang w:val="fr-FR"/>
        </w:rPr>
        <w:t>301-</w:t>
      </w:r>
      <w:r w:rsidR="001079E4">
        <w:rPr>
          <w:lang w:val="fr-FR"/>
        </w:rPr>
        <w:t>302-0399</w:t>
      </w:r>
    </w:p>
    <w:p w:rsidR="004F3B27" w:rsidRPr="00990707" w:rsidRDefault="004F3B27" w:rsidP="004F3B27">
      <w:pPr>
        <w:ind w:left="2520"/>
        <w:outlineLvl w:val="0"/>
        <w:rPr>
          <w:lang w:val="fr-FR"/>
        </w:rPr>
      </w:pPr>
      <w:r w:rsidRPr="00990707">
        <w:rPr>
          <w:lang w:val="fr-FR"/>
        </w:rPr>
        <w:t xml:space="preserve">E-mail:  </w:t>
      </w:r>
      <w:r w:rsidR="001079E4">
        <w:rPr>
          <w:rStyle w:val="Hyperlink"/>
          <w:lang w:val="fr-FR"/>
        </w:rPr>
        <w:t>Scott.Krepel</w:t>
      </w:r>
      <w:r w:rsidRPr="00990707">
        <w:rPr>
          <w:rStyle w:val="Hyperlink"/>
          <w:lang w:val="fr-FR"/>
        </w:rPr>
        <w:t>@nrc.gov</w:t>
      </w:r>
    </w:p>
    <w:p w:rsidR="004F3B27" w:rsidRPr="00990707" w:rsidRDefault="004F3B27" w:rsidP="004F3B27">
      <w:pPr>
        <w:rPr>
          <w:lang w:val="fr-FR"/>
        </w:rPr>
      </w:pPr>
    </w:p>
    <w:p w:rsidR="004F3B27" w:rsidRDefault="004F3B27" w:rsidP="004F3B27">
      <w:pPr>
        <w:tabs>
          <w:tab w:val="left" w:pos="2520"/>
        </w:tabs>
        <w:outlineLvl w:val="0"/>
      </w:pPr>
      <w:r>
        <w:t>Lead Project Manager:</w:t>
      </w:r>
      <w:r>
        <w:tab/>
      </w:r>
      <w:r w:rsidR="002F35F0">
        <w:t>Serita Sanders</w:t>
      </w:r>
      <w:r>
        <w:t>, NRR/DPR</w:t>
      </w:r>
    </w:p>
    <w:p w:rsidR="004F3B27" w:rsidRPr="00990707" w:rsidRDefault="004F3B27" w:rsidP="004F3B27">
      <w:pPr>
        <w:ind w:left="2520"/>
        <w:rPr>
          <w:lang w:val="fr-FR"/>
        </w:rPr>
      </w:pPr>
      <w:r w:rsidRPr="00990707">
        <w:rPr>
          <w:lang w:val="fr-FR"/>
        </w:rPr>
        <w:t>301-415-</w:t>
      </w:r>
      <w:r w:rsidR="002F35F0">
        <w:rPr>
          <w:lang w:val="fr-FR"/>
        </w:rPr>
        <w:t>2956</w:t>
      </w:r>
    </w:p>
    <w:p w:rsidR="004F3B27" w:rsidRPr="00990707" w:rsidRDefault="004F3B27" w:rsidP="004F3B27">
      <w:pPr>
        <w:ind w:left="2520"/>
        <w:outlineLvl w:val="0"/>
        <w:rPr>
          <w:lang w:val="fr-FR"/>
        </w:rPr>
      </w:pPr>
      <w:r w:rsidRPr="00990707">
        <w:rPr>
          <w:lang w:val="fr-FR"/>
        </w:rPr>
        <w:t xml:space="preserve">E-mail:  </w:t>
      </w:r>
      <w:r w:rsidR="002F35F0" w:rsidRPr="002F35F0">
        <w:rPr>
          <w:color w:val="0000FF"/>
          <w:u w:val="single"/>
          <w:lang w:val="fr-FR"/>
        </w:rPr>
        <w:t>Serita.Sanders</w:t>
      </w:r>
      <w:r w:rsidRPr="00990707">
        <w:rPr>
          <w:rStyle w:val="Hyperlink"/>
          <w:lang w:val="fr-FR"/>
        </w:rPr>
        <w:t>@nrc.gov</w:t>
      </w:r>
    </w:p>
    <w:p w:rsidR="004F3B27" w:rsidRPr="00990707" w:rsidRDefault="004F3B27" w:rsidP="004F3B27">
      <w:pPr>
        <w:rPr>
          <w:lang w:val="fr-FR"/>
        </w:rPr>
      </w:pPr>
    </w:p>
    <w:p w:rsidR="004F3B27" w:rsidRDefault="004F3B27" w:rsidP="004F3B27">
      <w:r>
        <w:t xml:space="preserve">Note:  NRC generic communications may be found on the NRC public </w:t>
      </w:r>
      <w:r w:rsidR="003B54C2">
        <w:t>w</w:t>
      </w:r>
      <w:r>
        <w:t xml:space="preserve">ebsite, </w:t>
      </w:r>
      <w:hyperlink r:id="rId25" w:history="1">
        <w:r>
          <w:rPr>
            <w:color w:val="0000FF"/>
            <w:u w:val="single"/>
          </w:rPr>
          <w:t>http://www.nrc.gov</w:t>
        </w:r>
      </w:hyperlink>
      <w:r>
        <w:t>, under NRC Library/Document Collections.</w:t>
      </w:r>
    </w:p>
    <w:p w:rsidR="004F3B27" w:rsidRDefault="004F3B27" w:rsidP="004F3B27"/>
    <w:p w:rsidR="007B3B61" w:rsidRDefault="004F3B27" w:rsidP="004F3B27">
      <w:pPr>
        <w:ind w:left="180" w:hanging="180"/>
        <w:outlineLvl w:val="0"/>
      </w:pPr>
      <w:r>
        <w:t xml:space="preserve">Enclosure:  </w:t>
      </w:r>
    </w:p>
    <w:p w:rsidR="004F3B27" w:rsidRDefault="004F3B27" w:rsidP="004F3B27">
      <w:pPr>
        <w:ind w:left="180" w:hanging="180"/>
        <w:outlineLvl w:val="0"/>
        <w:sectPr w:rsidR="004F3B27" w:rsidSect="00465329">
          <w:headerReference w:type="default" r:id="rId26"/>
          <w:headerReference w:type="first" r:id="rId27"/>
          <w:endnotePr>
            <w:numFmt w:val="decimal"/>
          </w:endnotePr>
          <w:pgSz w:w="12240" w:h="15839" w:code="1"/>
          <w:pgMar w:top="1440" w:right="1440" w:bottom="1440" w:left="1440" w:header="720" w:footer="720" w:gutter="0"/>
          <w:cols w:space="720"/>
          <w:docGrid w:linePitch="299"/>
        </w:sectPr>
      </w:pPr>
      <w:r>
        <w:t>Appendix</w:t>
      </w:r>
      <w:r w:rsidR="00BC4E64">
        <w:t> </w:t>
      </w:r>
      <w:r>
        <w:t>A</w:t>
      </w:r>
    </w:p>
    <w:p w:rsidR="004F3B27" w:rsidRPr="00E83801" w:rsidRDefault="004F3B27" w:rsidP="006F517C">
      <w:pPr>
        <w:spacing w:line="216" w:lineRule="auto"/>
        <w:outlineLvl w:val="0"/>
        <w:rPr>
          <w:rFonts w:cs="Arial"/>
          <w:b/>
        </w:rPr>
      </w:pPr>
      <w:r w:rsidRPr="00E83801">
        <w:rPr>
          <w:rFonts w:cs="Arial"/>
          <w:b/>
        </w:rPr>
        <w:lastRenderedPageBreak/>
        <w:t>CONTACT</w:t>
      </w:r>
    </w:p>
    <w:p w:rsidR="004F3B27" w:rsidRPr="00E83801" w:rsidRDefault="004F3B27" w:rsidP="006F517C">
      <w:pPr>
        <w:spacing w:line="216" w:lineRule="auto"/>
        <w:rPr>
          <w:rFonts w:cs="Arial"/>
        </w:rPr>
      </w:pPr>
    </w:p>
    <w:p w:rsidR="004F3B27" w:rsidRPr="00E83801" w:rsidRDefault="004F3B27" w:rsidP="006F517C">
      <w:pPr>
        <w:spacing w:line="216" w:lineRule="auto"/>
        <w:rPr>
          <w:rFonts w:cs="Arial"/>
        </w:rPr>
      </w:pPr>
      <w:r w:rsidRPr="00E83801">
        <w:rPr>
          <w:rFonts w:cs="Arial"/>
        </w:rPr>
        <w:t>Please direct any questions about this matter to the technical contact or the lead project manager listed below or to the appropriate Office of Nuclear Reactor Regulation project manager.</w:t>
      </w:r>
    </w:p>
    <w:p w:rsidR="003B54C2" w:rsidRPr="00E83801" w:rsidRDefault="003B54C2" w:rsidP="006F517C">
      <w:pPr>
        <w:spacing w:line="216" w:lineRule="auto"/>
        <w:rPr>
          <w:rFonts w:cs="Arial"/>
        </w:rPr>
      </w:pPr>
    </w:p>
    <w:p w:rsidR="00536C12" w:rsidRPr="00E83801" w:rsidRDefault="00536C12" w:rsidP="006F517C">
      <w:pPr>
        <w:spacing w:line="216" w:lineRule="auto"/>
        <w:rPr>
          <w:rFonts w:cs="Arial"/>
        </w:rPr>
      </w:pPr>
    </w:p>
    <w:p w:rsidR="004F3B27" w:rsidRPr="00E83801" w:rsidRDefault="00C93E96" w:rsidP="006F517C">
      <w:pPr>
        <w:spacing w:line="216" w:lineRule="auto"/>
        <w:ind w:left="4320"/>
        <w:rPr>
          <w:rFonts w:cs="Arial"/>
        </w:rPr>
      </w:pPr>
      <w:r>
        <w:rPr>
          <w:rFonts w:cs="Arial"/>
        </w:rPr>
        <w:t>Drew Persinko</w:t>
      </w:r>
      <w:r w:rsidR="004F3B27" w:rsidRPr="00E83801">
        <w:rPr>
          <w:rFonts w:cs="Arial"/>
        </w:rPr>
        <w:t xml:space="preserve">, </w:t>
      </w:r>
      <w:r>
        <w:rPr>
          <w:rFonts w:cs="Arial"/>
        </w:rPr>
        <w:t xml:space="preserve">Acting </w:t>
      </w:r>
      <w:r w:rsidR="004F3B27" w:rsidRPr="00E83801">
        <w:rPr>
          <w:rFonts w:cs="Arial"/>
        </w:rPr>
        <w:t>Director</w:t>
      </w:r>
    </w:p>
    <w:p w:rsidR="00536C12" w:rsidRPr="00E83801" w:rsidRDefault="00536C12" w:rsidP="006F517C">
      <w:pPr>
        <w:spacing w:line="216" w:lineRule="auto"/>
        <w:ind w:left="4320"/>
        <w:rPr>
          <w:rFonts w:cs="Arial"/>
        </w:rPr>
      </w:pPr>
      <w:r w:rsidRPr="00E83801">
        <w:rPr>
          <w:rFonts w:cs="Arial"/>
        </w:rPr>
        <w:t>Division of Decommissioning, Uranium Recovery, and Waste Programs</w:t>
      </w:r>
    </w:p>
    <w:p w:rsidR="00536C12" w:rsidRPr="00E83801" w:rsidRDefault="00536C12" w:rsidP="006F517C">
      <w:pPr>
        <w:spacing w:line="216" w:lineRule="auto"/>
        <w:ind w:left="4320"/>
        <w:rPr>
          <w:rFonts w:cs="Arial"/>
        </w:rPr>
      </w:pPr>
      <w:r w:rsidRPr="00E83801">
        <w:rPr>
          <w:rFonts w:cs="Arial"/>
          <w:bCs/>
        </w:rPr>
        <w:t>Office of Nuclear Material Safety and Safeguards</w:t>
      </w:r>
      <w:r w:rsidRPr="00E83801" w:rsidDel="00D77D0A">
        <w:rPr>
          <w:rFonts w:cs="Arial"/>
        </w:rPr>
        <w:t xml:space="preserve"> </w:t>
      </w:r>
    </w:p>
    <w:p w:rsidR="004F3B27" w:rsidRPr="00E83801" w:rsidRDefault="004F3B27" w:rsidP="006F517C">
      <w:pPr>
        <w:spacing w:line="216" w:lineRule="auto"/>
        <w:ind w:left="4320"/>
        <w:rPr>
          <w:rFonts w:cs="Arial"/>
        </w:rPr>
      </w:pPr>
    </w:p>
    <w:p w:rsidR="004235FB" w:rsidRPr="00E83801" w:rsidRDefault="004235FB" w:rsidP="006F517C">
      <w:pPr>
        <w:spacing w:line="216" w:lineRule="auto"/>
        <w:ind w:left="4320"/>
        <w:rPr>
          <w:rFonts w:cs="Arial"/>
        </w:rPr>
      </w:pPr>
    </w:p>
    <w:p w:rsidR="004F3B27" w:rsidRPr="00E83801" w:rsidRDefault="004F3B27" w:rsidP="006F517C">
      <w:pPr>
        <w:spacing w:line="216" w:lineRule="auto"/>
        <w:ind w:left="4320"/>
        <w:rPr>
          <w:rFonts w:cs="Arial"/>
        </w:rPr>
      </w:pPr>
      <w:r w:rsidRPr="00E83801">
        <w:rPr>
          <w:rFonts w:cs="Arial"/>
        </w:rPr>
        <w:t>Lawrence E. Kokajko, Director</w:t>
      </w:r>
    </w:p>
    <w:p w:rsidR="004F3B27" w:rsidRPr="00E83801" w:rsidRDefault="004F3B27" w:rsidP="006F517C">
      <w:pPr>
        <w:spacing w:line="216" w:lineRule="auto"/>
        <w:ind w:left="4320"/>
        <w:rPr>
          <w:rFonts w:cs="Arial"/>
        </w:rPr>
      </w:pPr>
      <w:r w:rsidRPr="00E83801">
        <w:rPr>
          <w:rFonts w:cs="Arial"/>
        </w:rPr>
        <w:t>Division of Policy and Rulemaking</w:t>
      </w:r>
    </w:p>
    <w:p w:rsidR="004F3B27" w:rsidRPr="00E83801" w:rsidRDefault="004F3B27" w:rsidP="006F517C">
      <w:pPr>
        <w:spacing w:line="216" w:lineRule="auto"/>
        <w:ind w:left="4320"/>
        <w:rPr>
          <w:rFonts w:cs="Arial"/>
        </w:rPr>
      </w:pPr>
      <w:r w:rsidRPr="00E83801">
        <w:rPr>
          <w:rFonts w:cs="Arial"/>
        </w:rPr>
        <w:t>Office of Nuclear Reactor Regulation</w:t>
      </w:r>
    </w:p>
    <w:p w:rsidR="003B54C2" w:rsidRDefault="003B54C2" w:rsidP="00D571B4">
      <w:pPr>
        <w:tabs>
          <w:tab w:val="left" w:pos="2520"/>
        </w:tabs>
        <w:spacing w:line="216" w:lineRule="auto"/>
        <w:jc w:val="right"/>
        <w:outlineLvl w:val="0"/>
        <w:rPr>
          <w:rFonts w:cs="Arial"/>
        </w:rPr>
      </w:pPr>
    </w:p>
    <w:p w:rsidR="007B3B61" w:rsidRDefault="007B3B61" w:rsidP="006F517C">
      <w:pPr>
        <w:tabs>
          <w:tab w:val="left" w:pos="2520"/>
        </w:tabs>
        <w:spacing w:line="216" w:lineRule="auto"/>
        <w:outlineLvl w:val="0"/>
      </w:pPr>
      <w:r>
        <w:t>Techni</w:t>
      </w:r>
      <w:r w:rsidRPr="00156DDF">
        <w:t>cal Contact:</w:t>
      </w:r>
      <w:r>
        <w:tab/>
        <w:t>Scott Krepel</w:t>
      </w:r>
      <w:r w:rsidRPr="00156DDF">
        <w:t>, NRR/</w:t>
      </w:r>
      <w:r>
        <w:t>DSS</w:t>
      </w:r>
    </w:p>
    <w:p w:rsidR="007B3B61" w:rsidRPr="00990707" w:rsidRDefault="007B3B61" w:rsidP="006F517C">
      <w:pPr>
        <w:spacing w:line="216" w:lineRule="auto"/>
        <w:ind w:left="2520"/>
        <w:rPr>
          <w:lang w:val="fr-FR"/>
        </w:rPr>
      </w:pPr>
      <w:r w:rsidRPr="00990707">
        <w:rPr>
          <w:lang w:val="fr-FR"/>
        </w:rPr>
        <w:t>301-</w:t>
      </w:r>
      <w:r>
        <w:rPr>
          <w:lang w:val="fr-FR"/>
        </w:rPr>
        <w:t>302-0399</w:t>
      </w:r>
    </w:p>
    <w:p w:rsidR="007B3B61" w:rsidRPr="00990707" w:rsidRDefault="007B3B61" w:rsidP="006F517C">
      <w:pPr>
        <w:spacing w:line="216" w:lineRule="auto"/>
        <w:ind w:left="2520"/>
        <w:outlineLvl w:val="0"/>
        <w:rPr>
          <w:lang w:val="fr-FR"/>
        </w:rPr>
      </w:pPr>
      <w:r w:rsidRPr="00990707">
        <w:rPr>
          <w:lang w:val="fr-FR"/>
        </w:rPr>
        <w:t xml:space="preserve">E-mail:  </w:t>
      </w:r>
      <w:r>
        <w:rPr>
          <w:rStyle w:val="Hyperlink"/>
          <w:lang w:val="fr-FR"/>
        </w:rPr>
        <w:t>Scott.Krepel</w:t>
      </w:r>
      <w:r w:rsidRPr="00990707">
        <w:rPr>
          <w:rStyle w:val="Hyperlink"/>
          <w:lang w:val="fr-FR"/>
        </w:rPr>
        <w:t>@nrc.gov</w:t>
      </w:r>
    </w:p>
    <w:p w:rsidR="007B3B61" w:rsidRPr="00990707" w:rsidRDefault="007B3B61" w:rsidP="006F517C">
      <w:pPr>
        <w:spacing w:line="216" w:lineRule="auto"/>
        <w:rPr>
          <w:lang w:val="fr-FR"/>
        </w:rPr>
      </w:pPr>
    </w:p>
    <w:p w:rsidR="007B3B61" w:rsidRPr="00990707" w:rsidRDefault="007B3B61" w:rsidP="006F517C">
      <w:pPr>
        <w:spacing w:line="216" w:lineRule="auto"/>
        <w:rPr>
          <w:lang w:val="fr-FR"/>
        </w:rPr>
      </w:pPr>
    </w:p>
    <w:p w:rsidR="007B3B61" w:rsidRDefault="007B3B61" w:rsidP="006F517C">
      <w:pPr>
        <w:tabs>
          <w:tab w:val="left" w:pos="2520"/>
        </w:tabs>
        <w:spacing w:line="216" w:lineRule="auto"/>
        <w:outlineLvl w:val="0"/>
      </w:pPr>
      <w:r>
        <w:t>Lead Project Manager:</w:t>
      </w:r>
      <w:r>
        <w:tab/>
        <w:t>Serita Sanders, NRR/DPR</w:t>
      </w:r>
    </w:p>
    <w:p w:rsidR="007B3B61" w:rsidRPr="00990707" w:rsidRDefault="007B3B61" w:rsidP="006F517C">
      <w:pPr>
        <w:spacing w:line="216" w:lineRule="auto"/>
        <w:ind w:left="2520"/>
        <w:rPr>
          <w:lang w:val="fr-FR"/>
        </w:rPr>
      </w:pPr>
      <w:r w:rsidRPr="00990707">
        <w:rPr>
          <w:lang w:val="fr-FR"/>
        </w:rPr>
        <w:t>301-415-</w:t>
      </w:r>
      <w:r>
        <w:rPr>
          <w:lang w:val="fr-FR"/>
        </w:rPr>
        <w:t>2956</w:t>
      </w:r>
    </w:p>
    <w:p w:rsidR="007B3B61" w:rsidRPr="00990707" w:rsidRDefault="007B3B61" w:rsidP="006F517C">
      <w:pPr>
        <w:spacing w:line="216" w:lineRule="auto"/>
        <w:ind w:left="2520"/>
        <w:outlineLvl w:val="0"/>
        <w:rPr>
          <w:lang w:val="fr-FR"/>
        </w:rPr>
      </w:pPr>
      <w:r w:rsidRPr="00990707">
        <w:rPr>
          <w:lang w:val="fr-FR"/>
        </w:rPr>
        <w:t xml:space="preserve">E-mail:  </w:t>
      </w:r>
      <w:r w:rsidRPr="002F35F0">
        <w:rPr>
          <w:color w:val="0000FF"/>
          <w:u w:val="single"/>
          <w:lang w:val="fr-FR"/>
        </w:rPr>
        <w:t>Serita.Sanders</w:t>
      </w:r>
      <w:r w:rsidRPr="00990707">
        <w:rPr>
          <w:rStyle w:val="Hyperlink"/>
          <w:lang w:val="fr-FR"/>
        </w:rPr>
        <w:t>@nrc.gov</w:t>
      </w:r>
    </w:p>
    <w:p w:rsidR="004F3B27" w:rsidRPr="00E83801" w:rsidRDefault="004F3B27" w:rsidP="006F517C">
      <w:pPr>
        <w:spacing w:line="216" w:lineRule="auto"/>
        <w:rPr>
          <w:lang w:val="fr-FR"/>
        </w:rPr>
      </w:pPr>
    </w:p>
    <w:p w:rsidR="004F3B27" w:rsidRPr="00E83801" w:rsidRDefault="004F3B27" w:rsidP="006F517C">
      <w:pPr>
        <w:spacing w:line="216" w:lineRule="auto"/>
        <w:rPr>
          <w:rFonts w:cs="Arial"/>
        </w:rPr>
      </w:pPr>
      <w:bookmarkStart w:id="7" w:name="LastPage"/>
      <w:r w:rsidRPr="00E83801">
        <w:rPr>
          <w:rFonts w:cs="Arial"/>
        </w:rPr>
        <w:t xml:space="preserve">Note:  </w:t>
      </w:r>
      <w:bookmarkEnd w:id="7"/>
      <w:r w:rsidRPr="00E83801">
        <w:rPr>
          <w:rFonts w:cs="Arial"/>
        </w:rPr>
        <w:t xml:space="preserve">NRC generic communications may be found on the NRC public </w:t>
      </w:r>
      <w:r w:rsidR="003B54C2">
        <w:rPr>
          <w:rFonts w:cs="Arial"/>
        </w:rPr>
        <w:t>w</w:t>
      </w:r>
      <w:r w:rsidRPr="00E83801">
        <w:rPr>
          <w:rFonts w:cs="Arial"/>
        </w:rPr>
        <w:t>ebsite,</w:t>
      </w:r>
    </w:p>
    <w:p w:rsidR="004F3B27" w:rsidRPr="00E83801" w:rsidRDefault="00E51D90" w:rsidP="006F517C">
      <w:pPr>
        <w:spacing w:line="216" w:lineRule="auto"/>
        <w:rPr>
          <w:rFonts w:cs="Arial"/>
        </w:rPr>
      </w:pPr>
      <w:hyperlink r:id="rId28" w:history="1">
        <w:r w:rsidR="004F3B27" w:rsidRPr="00E83801">
          <w:rPr>
            <w:rFonts w:cs="Arial"/>
            <w:color w:val="0000FF"/>
            <w:u w:val="single"/>
          </w:rPr>
          <w:t>http://www.nrc.gov</w:t>
        </w:r>
      </w:hyperlink>
      <w:r w:rsidR="004F3B27" w:rsidRPr="00E83801">
        <w:rPr>
          <w:rFonts w:cs="Arial"/>
        </w:rPr>
        <w:t>, under NRC Library/Document Collections.</w:t>
      </w:r>
    </w:p>
    <w:p w:rsidR="003B54C2" w:rsidRDefault="003B54C2" w:rsidP="006F517C">
      <w:pPr>
        <w:spacing w:line="216" w:lineRule="auto"/>
        <w:ind w:left="180" w:hanging="180"/>
        <w:outlineLvl w:val="0"/>
        <w:rPr>
          <w:rFonts w:cs="Arial"/>
        </w:rPr>
      </w:pPr>
    </w:p>
    <w:p w:rsidR="007B3B61" w:rsidRDefault="004F3B27" w:rsidP="006F517C">
      <w:pPr>
        <w:spacing w:line="216" w:lineRule="auto"/>
        <w:ind w:left="180" w:hanging="180"/>
        <w:outlineLvl w:val="0"/>
        <w:rPr>
          <w:rFonts w:cs="Arial"/>
        </w:rPr>
      </w:pPr>
      <w:r w:rsidRPr="00E83801">
        <w:rPr>
          <w:rFonts w:cs="Arial"/>
        </w:rPr>
        <w:t xml:space="preserve">Enclosure:  </w:t>
      </w:r>
    </w:p>
    <w:p w:rsidR="004F3B27" w:rsidRPr="00E83801" w:rsidRDefault="004F3B27" w:rsidP="006F517C">
      <w:pPr>
        <w:spacing w:line="216" w:lineRule="auto"/>
        <w:ind w:left="180" w:hanging="180"/>
        <w:outlineLvl w:val="0"/>
        <w:rPr>
          <w:rFonts w:cs="Arial"/>
        </w:rPr>
      </w:pPr>
      <w:r w:rsidRPr="00E83801">
        <w:rPr>
          <w:rFonts w:cs="Arial"/>
        </w:rPr>
        <w:t>Appendix A</w:t>
      </w:r>
    </w:p>
    <w:p w:rsidR="004F3B27" w:rsidRPr="005F7C1D" w:rsidRDefault="004F3B27" w:rsidP="004F3B27">
      <w:pPr>
        <w:rPr>
          <w:rFonts w:cs="Arial"/>
          <w:sz w:val="18"/>
          <w:szCs w:val="18"/>
        </w:rPr>
      </w:pPr>
    </w:p>
    <w:p w:rsidR="00587E9A" w:rsidRDefault="004F3B27" w:rsidP="004F3B27">
      <w:pPr>
        <w:outlineLvl w:val="0"/>
        <w:rPr>
          <w:sz w:val="18"/>
        </w:rPr>
      </w:pPr>
      <w:r w:rsidRPr="006F517C">
        <w:rPr>
          <w:b/>
          <w:sz w:val="18"/>
          <w:u w:val="single"/>
        </w:rPr>
        <w:t>DISTRIBUTION</w:t>
      </w:r>
      <w:r w:rsidRPr="009A23E9">
        <w:rPr>
          <w:sz w:val="18"/>
        </w:rPr>
        <w:t xml:space="preserve">: </w:t>
      </w:r>
      <w:r w:rsidR="00E83801" w:rsidRPr="009A23E9">
        <w:rPr>
          <w:sz w:val="18"/>
        </w:rPr>
        <w:t xml:space="preserve"> </w:t>
      </w:r>
    </w:p>
    <w:p w:rsidR="004F3B27" w:rsidRDefault="00E24E73" w:rsidP="004F3B27">
      <w:pPr>
        <w:outlineLvl w:val="0"/>
        <w:rPr>
          <w:sz w:val="18"/>
        </w:rPr>
      </w:pPr>
      <w:r>
        <w:rPr>
          <w:sz w:val="18"/>
        </w:rPr>
        <w:t xml:space="preserve">RidsNrrDss Resource </w:t>
      </w:r>
      <w:r>
        <w:rPr>
          <w:sz w:val="18"/>
        </w:rPr>
        <w:tab/>
      </w:r>
      <w:r>
        <w:rPr>
          <w:sz w:val="18"/>
        </w:rPr>
        <w:tab/>
        <w:t>RidsNrrDpr Resource</w:t>
      </w:r>
      <w:r>
        <w:rPr>
          <w:sz w:val="18"/>
        </w:rPr>
        <w:tab/>
      </w:r>
      <w:r>
        <w:rPr>
          <w:sz w:val="18"/>
        </w:rPr>
        <w:tab/>
        <w:t>RidsNrrDe Resource</w:t>
      </w:r>
    </w:p>
    <w:p w:rsidR="00E24E73" w:rsidRDefault="00E24E73" w:rsidP="004F3B27">
      <w:pPr>
        <w:outlineLvl w:val="0"/>
        <w:rPr>
          <w:rFonts w:cs="Arial"/>
          <w:sz w:val="18"/>
          <w:szCs w:val="18"/>
        </w:rPr>
      </w:pPr>
      <w:r w:rsidRPr="00E24E73">
        <w:rPr>
          <w:rFonts w:cs="Arial"/>
          <w:sz w:val="18"/>
          <w:szCs w:val="18"/>
        </w:rPr>
        <w:t>RidsOeMailCenter Resource</w:t>
      </w:r>
      <w:r>
        <w:rPr>
          <w:rFonts w:cs="Arial"/>
          <w:sz w:val="18"/>
          <w:szCs w:val="18"/>
        </w:rPr>
        <w:tab/>
        <w:t>SKrepel, NRR/DSS/SRXB</w:t>
      </w:r>
      <w:r>
        <w:rPr>
          <w:rFonts w:cs="Arial"/>
          <w:sz w:val="18"/>
          <w:szCs w:val="18"/>
        </w:rPr>
        <w:tab/>
      </w:r>
      <w:r>
        <w:rPr>
          <w:rFonts w:cs="Arial"/>
          <w:sz w:val="18"/>
          <w:szCs w:val="18"/>
        </w:rPr>
        <w:tab/>
        <w:t>SSanders, NRR/DPR/PGCB</w:t>
      </w:r>
    </w:p>
    <w:p w:rsidR="00E24E73" w:rsidRDefault="00E24E73" w:rsidP="004F3B27">
      <w:pPr>
        <w:outlineLvl w:val="0"/>
        <w:rPr>
          <w:rFonts w:cs="Arial"/>
          <w:sz w:val="18"/>
          <w:szCs w:val="18"/>
        </w:rPr>
      </w:pPr>
      <w:r>
        <w:rPr>
          <w:rFonts w:cs="Arial"/>
          <w:sz w:val="18"/>
          <w:szCs w:val="18"/>
        </w:rPr>
        <w:t>SStuchell, NRR/DPR/PGCB</w:t>
      </w:r>
      <w:r>
        <w:rPr>
          <w:rFonts w:cs="Arial"/>
          <w:sz w:val="18"/>
          <w:szCs w:val="18"/>
        </w:rPr>
        <w:tab/>
      </w:r>
      <w:r w:rsidRPr="00E24E73">
        <w:rPr>
          <w:rFonts w:cs="Arial"/>
          <w:sz w:val="18"/>
          <w:szCs w:val="18"/>
        </w:rPr>
        <w:t>RidsOIS Resource</w:t>
      </w:r>
      <w:r>
        <w:rPr>
          <w:rFonts w:cs="Arial"/>
          <w:sz w:val="18"/>
          <w:szCs w:val="18"/>
        </w:rPr>
        <w:tab/>
      </w:r>
      <w:r>
        <w:rPr>
          <w:rFonts w:cs="Arial"/>
          <w:sz w:val="18"/>
          <w:szCs w:val="18"/>
        </w:rPr>
        <w:tab/>
        <w:t>NrrDlr Resource</w:t>
      </w:r>
    </w:p>
    <w:p w:rsidR="00E83801" w:rsidRDefault="00E24E73" w:rsidP="004F3B27">
      <w:pPr>
        <w:outlineLvl w:val="0"/>
        <w:rPr>
          <w:rFonts w:cs="Arial"/>
          <w:sz w:val="18"/>
          <w:szCs w:val="18"/>
        </w:rPr>
      </w:pPr>
      <w:r>
        <w:rPr>
          <w:rFonts w:cs="Arial"/>
          <w:sz w:val="18"/>
          <w:szCs w:val="18"/>
        </w:rPr>
        <w:t xml:space="preserve">RidsNmssDuwp Resource </w:t>
      </w:r>
      <w:r>
        <w:rPr>
          <w:rFonts w:cs="Arial"/>
          <w:sz w:val="18"/>
          <w:szCs w:val="18"/>
        </w:rPr>
        <w:tab/>
      </w:r>
      <w:r>
        <w:rPr>
          <w:rFonts w:cs="Arial"/>
          <w:sz w:val="18"/>
          <w:szCs w:val="18"/>
        </w:rPr>
        <w:tab/>
        <w:t xml:space="preserve">RidsNrrDorl Resource </w:t>
      </w:r>
      <w:r w:rsidR="006F517C">
        <w:rPr>
          <w:rFonts w:cs="Arial"/>
          <w:sz w:val="18"/>
          <w:szCs w:val="18"/>
        </w:rPr>
        <w:tab/>
      </w:r>
      <w:r w:rsidR="006F517C">
        <w:rPr>
          <w:rFonts w:cs="Arial"/>
          <w:sz w:val="18"/>
          <w:szCs w:val="18"/>
        </w:rPr>
        <w:tab/>
        <w:t xml:space="preserve">RidsOGCMailCenter Resource </w:t>
      </w:r>
    </w:p>
    <w:p w:rsidR="006F517C" w:rsidRDefault="006F517C" w:rsidP="004F3B27">
      <w:pPr>
        <w:outlineLvl w:val="0"/>
        <w:rPr>
          <w:rFonts w:cs="Arial"/>
          <w:sz w:val="18"/>
          <w:szCs w:val="18"/>
        </w:rPr>
      </w:pPr>
    </w:p>
    <w:p w:rsidR="006F517C" w:rsidRPr="00E83801" w:rsidRDefault="006F517C" w:rsidP="004F3B27">
      <w:pPr>
        <w:outlineLvl w:val="0"/>
        <w:rPr>
          <w:rFonts w:cs="Arial"/>
          <w:sz w:val="18"/>
          <w:szCs w:val="18"/>
        </w:rPr>
      </w:pPr>
      <w:r w:rsidRPr="00E83801">
        <w:rPr>
          <w:rFonts w:cs="Arial"/>
          <w:b/>
          <w:sz w:val="18"/>
          <w:szCs w:val="18"/>
        </w:rPr>
        <w:t xml:space="preserve">ADAMS Accession No.:  </w:t>
      </w:r>
      <w:r w:rsidR="00D571B4" w:rsidRPr="00D571B4">
        <w:rPr>
          <w:rStyle w:val="outputtext"/>
          <w:b/>
          <w:sz w:val="18"/>
          <w:szCs w:val="18"/>
        </w:rPr>
        <w:t>ML16043A167</w:t>
      </w:r>
      <w:r w:rsidRPr="00D571B4">
        <w:rPr>
          <w:rFonts w:cs="Arial"/>
          <w:b/>
          <w:sz w:val="18"/>
          <w:szCs w:val="18"/>
        </w:rPr>
        <w:tab/>
      </w:r>
      <w:r w:rsidRPr="00D571B4">
        <w:rPr>
          <w:rFonts w:cs="Arial"/>
          <w:b/>
          <w:sz w:val="18"/>
          <w:szCs w:val="18"/>
        </w:rPr>
        <w:tab/>
      </w:r>
      <w:r w:rsidRPr="00E83801">
        <w:rPr>
          <w:rFonts w:cs="Arial"/>
          <w:b/>
          <w:sz w:val="18"/>
          <w:szCs w:val="18"/>
        </w:rPr>
        <w:t>*via e-mail</w:t>
      </w:r>
      <w:r w:rsidRPr="00E83801">
        <w:rPr>
          <w:rFonts w:cs="Arial"/>
          <w:b/>
          <w:sz w:val="18"/>
          <w:szCs w:val="18"/>
        </w:rPr>
        <w:tab/>
      </w:r>
      <w:r w:rsidRPr="00E83801">
        <w:rPr>
          <w:rFonts w:cs="Arial"/>
          <w:b/>
          <w:sz w:val="18"/>
          <w:szCs w:val="18"/>
        </w:rPr>
        <w:tab/>
        <w:t>TAC MF0581</w:t>
      </w:r>
    </w:p>
    <w:tbl>
      <w:tblPr>
        <w:tblpPr w:leftFromText="187" w:rightFromText="187" w:vertAnchor="text" w:horzAnchor="margin" w:tblpY="2"/>
        <w:tblW w:w="4962" w:type="pct"/>
        <w:tblLayout w:type="fixed"/>
        <w:tblCellMar>
          <w:left w:w="72" w:type="dxa"/>
          <w:right w:w="72" w:type="dxa"/>
        </w:tblCellMar>
        <w:tblLook w:val="04A0" w:firstRow="1" w:lastRow="0" w:firstColumn="1" w:lastColumn="0" w:noHBand="0" w:noVBand="1"/>
      </w:tblPr>
      <w:tblGrid>
        <w:gridCol w:w="1063"/>
        <w:gridCol w:w="1389"/>
        <w:gridCol w:w="1555"/>
        <w:gridCol w:w="1439"/>
        <w:gridCol w:w="1168"/>
        <w:gridCol w:w="1351"/>
        <w:gridCol w:w="1235"/>
      </w:tblGrid>
      <w:tr w:rsidR="00E65704" w:rsidRPr="00E83801" w:rsidTr="00E65704">
        <w:trPr>
          <w:trHeight w:val="244"/>
        </w:trPr>
        <w:tc>
          <w:tcPr>
            <w:tcW w:w="578" w:type="pct"/>
            <w:tcBorders>
              <w:top w:val="double" w:sz="12" w:space="0" w:color="000000"/>
              <w:left w:val="double" w:sz="12" w:space="0" w:color="000000"/>
              <w:bottom w:val="single" w:sz="8" w:space="0" w:color="000000"/>
              <w:right w:val="single" w:sz="8" w:space="0" w:color="000000"/>
            </w:tcBorders>
            <w:vAlign w:val="center"/>
            <w:hideMark/>
          </w:tcPr>
          <w:p w:rsidR="00E65704" w:rsidRPr="00E83801" w:rsidRDefault="00E65704" w:rsidP="00E65704">
            <w:pPr>
              <w:rPr>
                <w:rFonts w:cs="Arial"/>
                <w:sz w:val="18"/>
                <w:szCs w:val="18"/>
              </w:rPr>
            </w:pPr>
            <w:r w:rsidRPr="00E83801">
              <w:rPr>
                <w:rFonts w:cs="Arial"/>
                <w:sz w:val="18"/>
                <w:szCs w:val="18"/>
              </w:rPr>
              <w:t>OFFICE</w:t>
            </w:r>
          </w:p>
        </w:tc>
        <w:tc>
          <w:tcPr>
            <w:tcW w:w="755" w:type="pct"/>
            <w:tcBorders>
              <w:top w:val="double" w:sz="12" w:space="0" w:color="000000"/>
              <w:left w:val="single" w:sz="8" w:space="0" w:color="000000"/>
              <w:bottom w:val="single" w:sz="8" w:space="0" w:color="000000"/>
              <w:right w:val="single" w:sz="8" w:space="0" w:color="000000"/>
            </w:tcBorders>
            <w:vAlign w:val="center"/>
          </w:tcPr>
          <w:p w:rsidR="00E65704" w:rsidRPr="00E83801" w:rsidRDefault="00E65704" w:rsidP="00E65704">
            <w:pPr>
              <w:jc w:val="center"/>
              <w:rPr>
                <w:rFonts w:cs="Arial"/>
                <w:sz w:val="18"/>
                <w:szCs w:val="18"/>
              </w:rPr>
            </w:pPr>
            <w:r w:rsidRPr="00E83801">
              <w:rPr>
                <w:rFonts w:cs="Arial"/>
                <w:sz w:val="18"/>
                <w:szCs w:val="18"/>
              </w:rPr>
              <w:t>NRR/DSS/ SRXB</w:t>
            </w:r>
          </w:p>
        </w:tc>
        <w:tc>
          <w:tcPr>
            <w:tcW w:w="845" w:type="pct"/>
            <w:tcBorders>
              <w:top w:val="double" w:sz="12" w:space="0" w:color="000000"/>
              <w:left w:val="single" w:sz="8" w:space="0" w:color="000000"/>
              <w:bottom w:val="single" w:sz="8" w:space="0" w:color="000000"/>
              <w:right w:val="single" w:sz="8" w:space="0" w:color="000000"/>
            </w:tcBorders>
            <w:vAlign w:val="center"/>
            <w:hideMark/>
          </w:tcPr>
          <w:p w:rsidR="00E65704" w:rsidRPr="00E83801" w:rsidRDefault="00E65704" w:rsidP="00E65704">
            <w:pPr>
              <w:jc w:val="center"/>
              <w:rPr>
                <w:rFonts w:cs="Arial"/>
                <w:sz w:val="18"/>
                <w:szCs w:val="18"/>
              </w:rPr>
            </w:pPr>
            <w:r w:rsidRPr="00E83801">
              <w:rPr>
                <w:rFonts w:cs="Arial"/>
                <w:sz w:val="18"/>
                <w:szCs w:val="18"/>
              </w:rPr>
              <w:t>NRR/DE/</w:t>
            </w:r>
          </w:p>
          <w:p w:rsidR="00E65704" w:rsidRPr="00E83801" w:rsidRDefault="00E65704" w:rsidP="00E65704">
            <w:pPr>
              <w:jc w:val="center"/>
              <w:rPr>
                <w:rFonts w:cs="Arial"/>
                <w:sz w:val="18"/>
                <w:szCs w:val="18"/>
              </w:rPr>
            </w:pPr>
            <w:r w:rsidRPr="00E83801">
              <w:rPr>
                <w:rFonts w:cs="Arial"/>
                <w:sz w:val="18"/>
                <w:szCs w:val="18"/>
              </w:rPr>
              <w:t>ESGB</w:t>
            </w:r>
          </w:p>
        </w:tc>
        <w:tc>
          <w:tcPr>
            <w:tcW w:w="782" w:type="pct"/>
            <w:tcBorders>
              <w:top w:val="double" w:sz="12" w:space="0" w:color="000000"/>
              <w:left w:val="single" w:sz="8" w:space="0" w:color="000000"/>
              <w:bottom w:val="single" w:sz="8" w:space="0" w:color="000000"/>
              <w:right w:val="single" w:sz="8" w:space="0" w:color="000000"/>
            </w:tcBorders>
            <w:vAlign w:val="center"/>
            <w:hideMark/>
          </w:tcPr>
          <w:p w:rsidR="00E65704" w:rsidRPr="00E83801" w:rsidRDefault="00E65704" w:rsidP="00E65704">
            <w:pPr>
              <w:jc w:val="center"/>
              <w:rPr>
                <w:rFonts w:cs="Arial"/>
                <w:sz w:val="18"/>
                <w:szCs w:val="18"/>
              </w:rPr>
            </w:pPr>
            <w:r w:rsidRPr="00E83801">
              <w:rPr>
                <w:rFonts w:cs="Arial"/>
                <w:sz w:val="18"/>
                <w:szCs w:val="18"/>
              </w:rPr>
              <w:t>NRR/DSS/</w:t>
            </w:r>
          </w:p>
          <w:p w:rsidR="00E65704" w:rsidRPr="00E83801" w:rsidRDefault="00E65704" w:rsidP="00E65704">
            <w:pPr>
              <w:jc w:val="center"/>
              <w:rPr>
                <w:rFonts w:cs="Arial"/>
                <w:sz w:val="18"/>
                <w:szCs w:val="18"/>
              </w:rPr>
            </w:pPr>
            <w:r w:rsidRPr="00E83801">
              <w:rPr>
                <w:rFonts w:cs="Arial"/>
                <w:sz w:val="18"/>
                <w:szCs w:val="18"/>
              </w:rPr>
              <w:t>SRXB</w:t>
            </w:r>
          </w:p>
        </w:tc>
        <w:tc>
          <w:tcPr>
            <w:tcW w:w="635" w:type="pct"/>
            <w:tcBorders>
              <w:top w:val="double" w:sz="12" w:space="0" w:color="000000"/>
              <w:left w:val="single" w:sz="8" w:space="0" w:color="000000"/>
              <w:bottom w:val="single" w:sz="8" w:space="0" w:color="000000"/>
              <w:right w:val="single" w:sz="8" w:space="0" w:color="000000"/>
            </w:tcBorders>
            <w:vAlign w:val="center"/>
            <w:hideMark/>
          </w:tcPr>
          <w:p w:rsidR="00E65704" w:rsidRPr="00E83801" w:rsidRDefault="00E65704" w:rsidP="00E65704">
            <w:pPr>
              <w:jc w:val="center"/>
              <w:rPr>
                <w:rFonts w:cs="Arial"/>
                <w:sz w:val="18"/>
                <w:szCs w:val="18"/>
              </w:rPr>
            </w:pPr>
            <w:r w:rsidRPr="00E83801">
              <w:rPr>
                <w:rFonts w:cs="Arial"/>
                <w:sz w:val="18"/>
                <w:szCs w:val="18"/>
              </w:rPr>
              <w:t>Tech Editor</w:t>
            </w:r>
          </w:p>
        </w:tc>
        <w:tc>
          <w:tcPr>
            <w:tcW w:w="734" w:type="pct"/>
            <w:tcBorders>
              <w:top w:val="double" w:sz="12" w:space="0" w:color="000000"/>
              <w:left w:val="single" w:sz="8" w:space="0" w:color="000000"/>
              <w:bottom w:val="single" w:sz="8" w:space="0" w:color="000000"/>
              <w:right w:val="single" w:sz="8" w:space="0" w:color="000000"/>
            </w:tcBorders>
            <w:shd w:val="clear" w:color="auto" w:fill="FFFFFF"/>
            <w:vAlign w:val="center"/>
            <w:hideMark/>
          </w:tcPr>
          <w:p w:rsidR="00E65704" w:rsidRPr="00E83801" w:rsidRDefault="00E65704" w:rsidP="00E65704">
            <w:pPr>
              <w:jc w:val="center"/>
              <w:rPr>
                <w:rFonts w:cs="Arial"/>
                <w:sz w:val="18"/>
                <w:szCs w:val="18"/>
              </w:rPr>
            </w:pPr>
            <w:r>
              <w:rPr>
                <w:rFonts w:cs="Arial"/>
                <w:sz w:val="18"/>
                <w:szCs w:val="18"/>
              </w:rPr>
              <w:t>NRR/DPR/LA</w:t>
            </w:r>
          </w:p>
        </w:tc>
        <w:tc>
          <w:tcPr>
            <w:tcW w:w="671" w:type="pct"/>
            <w:tcBorders>
              <w:top w:val="double" w:sz="12" w:space="0" w:color="000000"/>
              <w:left w:val="single" w:sz="8" w:space="0" w:color="000000"/>
              <w:bottom w:val="single" w:sz="8" w:space="0" w:color="000000"/>
              <w:right w:val="double" w:sz="12" w:space="0" w:color="000000"/>
            </w:tcBorders>
            <w:shd w:val="clear" w:color="auto" w:fill="FFFFFF"/>
            <w:vAlign w:val="center"/>
            <w:hideMark/>
          </w:tcPr>
          <w:p w:rsidR="00E65704" w:rsidRPr="00E83801" w:rsidRDefault="00E65704" w:rsidP="00E65704">
            <w:pPr>
              <w:jc w:val="center"/>
              <w:rPr>
                <w:rFonts w:cs="Arial"/>
                <w:sz w:val="18"/>
                <w:szCs w:val="18"/>
              </w:rPr>
            </w:pPr>
            <w:r w:rsidRPr="00E83801">
              <w:rPr>
                <w:rFonts w:cs="Arial"/>
                <w:sz w:val="18"/>
                <w:szCs w:val="18"/>
              </w:rPr>
              <w:t>NRR/DLR</w:t>
            </w:r>
          </w:p>
        </w:tc>
      </w:tr>
      <w:tr w:rsidR="00E65704" w:rsidRPr="00E83801" w:rsidTr="00E65704">
        <w:trPr>
          <w:trHeight w:val="230"/>
        </w:trPr>
        <w:tc>
          <w:tcPr>
            <w:tcW w:w="578" w:type="pct"/>
            <w:tcBorders>
              <w:top w:val="single" w:sz="8" w:space="0" w:color="000000"/>
              <w:left w:val="double" w:sz="12" w:space="0" w:color="000000"/>
              <w:bottom w:val="single" w:sz="8" w:space="0" w:color="000000"/>
              <w:right w:val="single" w:sz="8" w:space="0" w:color="000000"/>
            </w:tcBorders>
            <w:vAlign w:val="center"/>
            <w:hideMark/>
          </w:tcPr>
          <w:p w:rsidR="00E65704" w:rsidRPr="00E83801" w:rsidRDefault="00E65704" w:rsidP="00E65704">
            <w:pPr>
              <w:rPr>
                <w:rFonts w:cs="Arial"/>
                <w:sz w:val="18"/>
                <w:szCs w:val="18"/>
              </w:rPr>
            </w:pPr>
            <w:r w:rsidRPr="00E83801">
              <w:rPr>
                <w:rFonts w:cs="Arial"/>
                <w:sz w:val="18"/>
                <w:szCs w:val="18"/>
              </w:rPr>
              <w:t>NAME</w:t>
            </w:r>
          </w:p>
        </w:tc>
        <w:tc>
          <w:tcPr>
            <w:tcW w:w="755" w:type="pct"/>
            <w:tcBorders>
              <w:top w:val="single" w:sz="8" w:space="0" w:color="000000"/>
              <w:left w:val="single" w:sz="8" w:space="0" w:color="000000"/>
              <w:bottom w:val="single" w:sz="8" w:space="0" w:color="000000"/>
              <w:right w:val="single" w:sz="8" w:space="0" w:color="000000"/>
            </w:tcBorders>
            <w:vAlign w:val="center"/>
          </w:tcPr>
          <w:p w:rsidR="00E65704" w:rsidRPr="00E83801" w:rsidRDefault="00E65704" w:rsidP="00E65704">
            <w:pPr>
              <w:jc w:val="center"/>
              <w:rPr>
                <w:rFonts w:cs="Arial"/>
                <w:sz w:val="18"/>
                <w:szCs w:val="18"/>
              </w:rPr>
            </w:pPr>
            <w:r>
              <w:rPr>
                <w:rFonts w:cs="Arial"/>
                <w:sz w:val="18"/>
                <w:szCs w:val="18"/>
              </w:rPr>
              <w:t>SKrepel</w:t>
            </w:r>
          </w:p>
        </w:tc>
        <w:tc>
          <w:tcPr>
            <w:tcW w:w="845" w:type="pct"/>
            <w:tcBorders>
              <w:top w:val="single" w:sz="8" w:space="0" w:color="000000"/>
              <w:left w:val="single" w:sz="8" w:space="0" w:color="000000"/>
              <w:bottom w:val="single" w:sz="8" w:space="0" w:color="000000"/>
              <w:right w:val="single" w:sz="8" w:space="0" w:color="000000"/>
            </w:tcBorders>
            <w:vAlign w:val="center"/>
          </w:tcPr>
          <w:p w:rsidR="00E65704" w:rsidRPr="00E83801" w:rsidRDefault="00E65704" w:rsidP="00E65704">
            <w:pPr>
              <w:jc w:val="center"/>
              <w:rPr>
                <w:rFonts w:cs="Arial"/>
                <w:sz w:val="18"/>
                <w:szCs w:val="18"/>
              </w:rPr>
            </w:pPr>
            <w:r>
              <w:rPr>
                <w:rFonts w:cs="Arial"/>
                <w:sz w:val="18"/>
                <w:szCs w:val="18"/>
              </w:rPr>
              <w:t>MYoder*</w:t>
            </w:r>
          </w:p>
        </w:tc>
        <w:tc>
          <w:tcPr>
            <w:tcW w:w="782" w:type="pct"/>
            <w:tcBorders>
              <w:top w:val="single" w:sz="8" w:space="0" w:color="000000"/>
              <w:left w:val="single" w:sz="8" w:space="0" w:color="000000"/>
              <w:bottom w:val="single" w:sz="8" w:space="0" w:color="000000"/>
              <w:right w:val="single" w:sz="8" w:space="0" w:color="000000"/>
            </w:tcBorders>
            <w:vAlign w:val="center"/>
          </w:tcPr>
          <w:p w:rsidR="00E65704" w:rsidRPr="00E83801" w:rsidRDefault="00E65704" w:rsidP="00E65704">
            <w:pPr>
              <w:jc w:val="center"/>
              <w:rPr>
                <w:rFonts w:cs="Arial"/>
                <w:sz w:val="18"/>
                <w:szCs w:val="18"/>
              </w:rPr>
            </w:pPr>
            <w:r>
              <w:rPr>
                <w:rFonts w:cs="Arial"/>
                <w:sz w:val="18"/>
                <w:szCs w:val="18"/>
              </w:rPr>
              <w:t>KWood*</w:t>
            </w:r>
          </w:p>
        </w:tc>
        <w:tc>
          <w:tcPr>
            <w:tcW w:w="635" w:type="pct"/>
            <w:tcBorders>
              <w:top w:val="single" w:sz="8" w:space="0" w:color="000000"/>
              <w:left w:val="single" w:sz="8" w:space="0" w:color="000000"/>
              <w:bottom w:val="single" w:sz="8" w:space="0" w:color="000000"/>
              <w:right w:val="single" w:sz="8" w:space="0" w:color="000000"/>
            </w:tcBorders>
            <w:vAlign w:val="center"/>
          </w:tcPr>
          <w:p w:rsidR="00E65704" w:rsidRPr="00E83801" w:rsidRDefault="00E65704" w:rsidP="00E65704">
            <w:pPr>
              <w:jc w:val="center"/>
              <w:rPr>
                <w:rFonts w:cs="Arial"/>
                <w:sz w:val="18"/>
                <w:szCs w:val="18"/>
              </w:rPr>
            </w:pPr>
            <w:r>
              <w:rPr>
                <w:rFonts w:cs="Arial"/>
                <w:sz w:val="18"/>
                <w:szCs w:val="18"/>
              </w:rPr>
              <w:t>JDougherty*</w:t>
            </w:r>
          </w:p>
        </w:tc>
        <w:tc>
          <w:tcPr>
            <w:tcW w:w="73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5704" w:rsidRDefault="00E65704" w:rsidP="00E65704">
            <w:pPr>
              <w:jc w:val="center"/>
              <w:rPr>
                <w:rFonts w:cs="Arial"/>
                <w:sz w:val="18"/>
                <w:szCs w:val="18"/>
              </w:rPr>
            </w:pPr>
            <w:r>
              <w:rPr>
                <w:rFonts w:cs="Arial"/>
                <w:sz w:val="18"/>
                <w:szCs w:val="18"/>
              </w:rPr>
              <w:t>ABaxter*</w:t>
            </w:r>
          </w:p>
          <w:p w:rsidR="00E65704" w:rsidRPr="00E83801" w:rsidRDefault="00E65704" w:rsidP="00E65704">
            <w:pPr>
              <w:jc w:val="center"/>
              <w:rPr>
                <w:rFonts w:cs="Arial"/>
                <w:sz w:val="18"/>
                <w:szCs w:val="18"/>
              </w:rPr>
            </w:pPr>
            <w:r w:rsidRPr="009A23E9">
              <w:rPr>
                <w:rFonts w:cs="Arial"/>
                <w:sz w:val="12"/>
                <w:szCs w:val="12"/>
              </w:rPr>
              <w:t>w/comments</w:t>
            </w:r>
          </w:p>
        </w:tc>
        <w:tc>
          <w:tcPr>
            <w:tcW w:w="671" w:type="pct"/>
            <w:tcBorders>
              <w:top w:val="single" w:sz="8" w:space="0" w:color="000000"/>
              <w:left w:val="single" w:sz="8" w:space="0" w:color="000000"/>
              <w:bottom w:val="single" w:sz="8" w:space="0" w:color="000000"/>
              <w:right w:val="double" w:sz="12" w:space="0" w:color="000000"/>
            </w:tcBorders>
            <w:shd w:val="clear" w:color="auto" w:fill="FFFFFF"/>
            <w:vAlign w:val="center"/>
          </w:tcPr>
          <w:p w:rsidR="00E65704" w:rsidRPr="00E83801" w:rsidRDefault="00E65704" w:rsidP="00E65704">
            <w:pPr>
              <w:jc w:val="center"/>
              <w:rPr>
                <w:rFonts w:cs="Arial"/>
                <w:sz w:val="18"/>
                <w:szCs w:val="18"/>
              </w:rPr>
            </w:pPr>
            <w:r>
              <w:rPr>
                <w:rFonts w:cs="Arial"/>
                <w:sz w:val="18"/>
                <w:szCs w:val="18"/>
              </w:rPr>
              <w:t>AHiser*</w:t>
            </w:r>
          </w:p>
        </w:tc>
      </w:tr>
      <w:tr w:rsidR="00E65704" w:rsidRPr="00E83801" w:rsidTr="00E65704">
        <w:trPr>
          <w:trHeight w:val="230"/>
        </w:trPr>
        <w:tc>
          <w:tcPr>
            <w:tcW w:w="578" w:type="pct"/>
            <w:tcBorders>
              <w:top w:val="single" w:sz="8" w:space="0" w:color="000000"/>
              <w:left w:val="double" w:sz="12" w:space="0" w:color="000000"/>
              <w:bottom w:val="double" w:sz="12" w:space="0" w:color="000000"/>
              <w:right w:val="single" w:sz="8" w:space="0" w:color="000000"/>
            </w:tcBorders>
            <w:vAlign w:val="center"/>
            <w:hideMark/>
          </w:tcPr>
          <w:p w:rsidR="00E65704" w:rsidRPr="00E83801" w:rsidRDefault="00E65704" w:rsidP="00E65704">
            <w:pPr>
              <w:rPr>
                <w:rFonts w:cs="Arial"/>
                <w:sz w:val="18"/>
                <w:szCs w:val="18"/>
              </w:rPr>
            </w:pPr>
            <w:r w:rsidRPr="00E83801">
              <w:rPr>
                <w:rFonts w:cs="Arial"/>
                <w:sz w:val="18"/>
                <w:szCs w:val="18"/>
              </w:rPr>
              <w:t>DATE</w:t>
            </w:r>
          </w:p>
        </w:tc>
        <w:tc>
          <w:tcPr>
            <w:tcW w:w="755" w:type="pct"/>
            <w:tcBorders>
              <w:top w:val="single" w:sz="8" w:space="0" w:color="000000"/>
              <w:left w:val="single" w:sz="8" w:space="0" w:color="000000"/>
              <w:bottom w:val="double" w:sz="12" w:space="0" w:color="000000"/>
              <w:right w:val="single" w:sz="8" w:space="0" w:color="000000"/>
            </w:tcBorders>
            <w:vAlign w:val="center"/>
          </w:tcPr>
          <w:p w:rsidR="00E65704" w:rsidRPr="00E83801" w:rsidRDefault="00E65704" w:rsidP="00E65704">
            <w:pPr>
              <w:jc w:val="center"/>
              <w:rPr>
                <w:rFonts w:cs="Arial"/>
                <w:sz w:val="18"/>
                <w:szCs w:val="18"/>
              </w:rPr>
            </w:pPr>
            <w:r>
              <w:rPr>
                <w:rFonts w:cs="Arial"/>
                <w:sz w:val="18"/>
                <w:szCs w:val="18"/>
              </w:rPr>
              <w:t>08/25/15</w:t>
            </w:r>
          </w:p>
        </w:tc>
        <w:tc>
          <w:tcPr>
            <w:tcW w:w="845" w:type="pct"/>
            <w:tcBorders>
              <w:top w:val="single" w:sz="8" w:space="0" w:color="000000"/>
              <w:left w:val="single" w:sz="8" w:space="0" w:color="000000"/>
              <w:bottom w:val="double" w:sz="12" w:space="0" w:color="000000"/>
              <w:right w:val="single" w:sz="8" w:space="0" w:color="000000"/>
            </w:tcBorders>
            <w:vAlign w:val="center"/>
          </w:tcPr>
          <w:p w:rsidR="00E65704" w:rsidRPr="00E83801" w:rsidRDefault="00E65704" w:rsidP="00E65704">
            <w:pPr>
              <w:jc w:val="center"/>
              <w:rPr>
                <w:rFonts w:cs="Arial"/>
                <w:sz w:val="18"/>
                <w:szCs w:val="18"/>
              </w:rPr>
            </w:pPr>
            <w:r>
              <w:rPr>
                <w:rFonts w:cs="Arial"/>
                <w:sz w:val="18"/>
                <w:szCs w:val="18"/>
              </w:rPr>
              <w:t>08/27/15</w:t>
            </w:r>
          </w:p>
        </w:tc>
        <w:tc>
          <w:tcPr>
            <w:tcW w:w="782" w:type="pct"/>
            <w:tcBorders>
              <w:top w:val="single" w:sz="8" w:space="0" w:color="000000"/>
              <w:left w:val="single" w:sz="8" w:space="0" w:color="000000"/>
              <w:bottom w:val="double" w:sz="12" w:space="0" w:color="000000"/>
              <w:right w:val="single" w:sz="8" w:space="0" w:color="000000"/>
            </w:tcBorders>
            <w:vAlign w:val="center"/>
          </w:tcPr>
          <w:p w:rsidR="00E65704" w:rsidRPr="00E83801" w:rsidRDefault="00E65704" w:rsidP="00E65704">
            <w:pPr>
              <w:jc w:val="center"/>
              <w:rPr>
                <w:rFonts w:cs="Arial"/>
                <w:sz w:val="18"/>
                <w:szCs w:val="18"/>
              </w:rPr>
            </w:pPr>
            <w:r>
              <w:rPr>
                <w:rFonts w:cs="Arial"/>
                <w:sz w:val="18"/>
                <w:szCs w:val="18"/>
              </w:rPr>
              <w:t>08/27/15</w:t>
            </w:r>
          </w:p>
        </w:tc>
        <w:tc>
          <w:tcPr>
            <w:tcW w:w="635" w:type="pct"/>
            <w:tcBorders>
              <w:top w:val="single" w:sz="8" w:space="0" w:color="000000"/>
              <w:left w:val="single" w:sz="8" w:space="0" w:color="000000"/>
              <w:bottom w:val="double" w:sz="12" w:space="0" w:color="000000"/>
              <w:right w:val="single" w:sz="8" w:space="0" w:color="000000"/>
            </w:tcBorders>
            <w:vAlign w:val="center"/>
          </w:tcPr>
          <w:p w:rsidR="00E65704" w:rsidRPr="00E83801" w:rsidRDefault="00E65704" w:rsidP="00E65704">
            <w:pPr>
              <w:jc w:val="center"/>
              <w:rPr>
                <w:rFonts w:cs="Arial"/>
                <w:sz w:val="18"/>
                <w:szCs w:val="18"/>
              </w:rPr>
            </w:pPr>
            <w:r>
              <w:rPr>
                <w:rFonts w:cs="Arial"/>
                <w:sz w:val="18"/>
                <w:szCs w:val="18"/>
              </w:rPr>
              <w:t>08/28/15</w:t>
            </w:r>
          </w:p>
        </w:tc>
        <w:tc>
          <w:tcPr>
            <w:tcW w:w="734" w:type="pct"/>
            <w:tcBorders>
              <w:top w:val="single" w:sz="8" w:space="0" w:color="000000"/>
              <w:left w:val="single" w:sz="8" w:space="0" w:color="000000"/>
              <w:bottom w:val="double" w:sz="12" w:space="0" w:color="000000"/>
              <w:right w:val="single" w:sz="8" w:space="0" w:color="000000"/>
            </w:tcBorders>
            <w:shd w:val="clear" w:color="auto" w:fill="FFFFFF"/>
            <w:vAlign w:val="center"/>
          </w:tcPr>
          <w:p w:rsidR="00E65704" w:rsidRPr="00E83801" w:rsidRDefault="00E65704" w:rsidP="00E65704">
            <w:pPr>
              <w:jc w:val="center"/>
              <w:rPr>
                <w:rFonts w:cs="Arial"/>
                <w:sz w:val="18"/>
                <w:szCs w:val="18"/>
              </w:rPr>
            </w:pPr>
            <w:r>
              <w:rPr>
                <w:rFonts w:cs="Arial"/>
                <w:sz w:val="18"/>
                <w:szCs w:val="18"/>
              </w:rPr>
              <w:t>08/25/15</w:t>
            </w:r>
          </w:p>
        </w:tc>
        <w:tc>
          <w:tcPr>
            <w:tcW w:w="671" w:type="pct"/>
            <w:tcBorders>
              <w:top w:val="single" w:sz="8" w:space="0" w:color="000000"/>
              <w:left w:val="single" w:sz="8" w:space="0" w:color="000000"/>
              <w:bottom w:val="double" w:sz="12" w:space="0" w:color="000000"/>
              <w:right w:val="double" w:sz="12" w:space="0" w:color="000000"/>
            </w:tcBorders>
            <w:shd w:val="clear" w:color="auto" w:fill="FFFFFF"/>
            <w:vAlign w:val="center"/>
          </w:tcPr>
          <w:p w:rsidR="00E65704" w:rsidRPr="00E83801" w:rsidRDefault="00E65704" w:rsidP="00E65704">
            <w:pPr>
              <w:jc w:val="center"/>
              <w:rPr>
                <w:rFonts w:cs="Arial"/>
                <w:sz w:val="18"/>
                <w:szCs w:val="18"/>
              </w:rPr>
            </w:pPr>
            <w:r>
              <w:rPr>
                <w:rFonts w:cs="Arial"/>
                <w:sz w:val="18"/>
                <w:szCs w:val="18"/>
              </w:rPr>
              <w:t>08/28/15</w:t>
            </w:r>
          </w:p>
        </w:tc>
      </w:tr>
      <w:tr w:rsidR="00E65704" w:rsidRPr="00E83801" w:rsidTr="00E65704">
        <w:trPr>
          <w:trHeight w:val="313"/>
        </w:trPr>
        <w:tc>
          <w:tcPr>
            <w:tcW w:w="578" w:type="pct"/>
            <w:tcBorders>
              <w:top w:val="double" w:sz="12" w:space="0" w:color="000000"/>
              <w:left w:val="double" w:sz="12" w:space="0" w:color="000000"/>
              <w:bottom w:val="single" w:sz="8" w:space="0" w:color="000000"/>
              <w:right w:val="single" w:sz="8" w:space="0" w:color="000000"/>
            </w:tcBorders>
            <w:vAlign w:val="center"/>
            <w:hideMark/>
          </w:tcPr>
          <w:p w:rsidR="00E65704" w:rsidRPr="00E83801" w:rsidRDefault="00E65704" w:rsidP="00E65704">
            <w:pPr>
              <w:rPr>
                <w:rFonts w:cs="Arial"/>
                <w:sz w:val="18"/>
                <w:szCs w:val="18"/>
              </w:rPr>
            </w:pPr>
            <w:r w:rsidRPr="00E83801">
              <w:rPr>
                <w:rFonts w:cs="Arial"/>
                <w:sz w:val="18"/>
                <w:szCs w:val="18"/>
              </w:rPr>
              <w:t>OFFICE</w:t>
            </w:r>
          </w:p>
        </w:tc>
        <w:tc>
          <w:tcPr>
            <w:tcW w:w="755" w:type="pct"/>
            <w:tcBorders>
              <w:top w:val="double" w:sz="12" w:space="0" w:color="000000"/>
              <w:left w:val="single" w:sz="8" w:space="0" w:color="000000"/>
              <w:bottom w:val="single" w:sz="8" w:space="0" w:color="000000"/>
              <w:right w:val="single" w:sz="8" w:space="0" w:color="000000"/>
            </w:tcBorders>
            <w:vAlign w:val="center"/>
          </w:tcPr>
          <w:p w:rsidR="00E65704" w:rsidRPr="00E83801" w:rsidRDefault="00E65704" w:rsidP="00E65704">
            <w:pPr>
              <w:jc w:val="center"/>
              <w:rPr>
                <w:rFonts w:cs="Arial"/>
                <w:sz w:val="18"/>
                <w:szCs w:val="18"/>
              </w:rPr>
            </w:pPr>
            <w:r w:rsidRPr="00E83801">
              <w:rPr>
                <w:rFonts w:cs="Arial"/>
                <w:sz w:val="18"/>
                <w:szCs w:val="18"/>
              </w:rPr>
              <w:t>NMSS/DUWP/ RDB/BC</w:t>
            </w:r>
          </w:p>
        </w:tc>
        <w:tc>
          <w:tcPr>
            <w:tcW w:w="845" w:type="pct"/>
            <w:tcBorders>
              <w:top w:val="double" w:sz="12" w:space="0" w:color="000000"/>
              <w:left w:val="single" w:sz="8" w:space="0" w:color="000000"/>
              <w:bottom w:val="single" w:sz="8" w:space="0" w:color="000000"/>
              <w:right w:val="single" w:sz="8" w:space="0" w:color="000000"/>
            </w:tcBorders>
            <w:vAlign w:val="center"/>
          </w:tcPr>
          <w:p w:rsidR="00E65704" w:rsidRPr="00E83801" w:rsidRDefault="00E65704" w:rsidP="00E65704">
            <w:pPr>
              <w:jc w:val="center"/>
              <w:rPr>
                <w:rFonts w:cs="Arial"/>
                <w:sz w:val="18"/>
                <w:szCs w:val="18"/>
              </w:rPr>
            </w:pPr>
            <w:r w:rsidRPr="00E83801">
              <w:rPr>
                <w:rFonts w:cs="Arial"/>
                <w:sz w:val="18"/>
                <w:szCs w:val="18"/>
              </w:rPr>
              <w:t>NRR/DPR/PRLB/BC</w:t>
            </w:r>
          </w:p>
        </w:tc>
        <w:tc>
          <w:tcPr>
            <w:tcW w:w="782" w:type="pct"/>
            <w:tcBorders>
              <w:top w:val="double" w:sz="12" w:space="0" w:color="000000"/>
              <w:left w:val="single" w:sz="8" w:space="0" w:color="000000"/>
              <w:bottom w:val="single" w:sz="8" w:space="0" w:color="000000"/>
              <w:right w:val="single" w:sz="8" w:space="0" w:color="000000"/>
            </w:tcBorders>
            <w:vAlign w:val="center"/>
          </w:tcPr>
          <w:p w:rsidR="00E65704" w:rsidRPr="00E83801" w:rsidRDefault="00E65704" w:rsidP="00E65704">
            <w:pPr>
              <w:jc w:val="center"/>
              <w:rPr>
                <w:rFonts w:cs="Arial"/>
                <w:sz w:val="18"/>
                <w:szCs w:val="18"/>
              </w:rPr>
            </w:pPr>
            <w:r w:rsidRPr="00E83801">
              <w:rPr>
                <w:rFonts w:cs="Arial"/>
                <w:sz w:val="18"/>
                <w:szCs w:val="18"/>
              </w:rPr>
              <w:t>NRR/DSS/</w:t>
            </w:r>
          </w:p>
          <w:p w:rsidR="00E65704" w:rsidRPr="00E83801" w:rsidRDefault="00E65704" w:rsidP="00E65704">
            <w:pPr>
              <w:jc w:val="center"/>
              <w:rPr>
                <w:rFonts w:cs="Arial"/>
                <w:sz w:val="18"/>
                <w:szCs w:val="18"/>
              </w:rPr>
            </w:pPr>
            <w:r w:rsidRPr="00E83801">
              <w:rPr>
                <w:rFonts w:cs="Arial"/>
                <w:sz w:val="18"/>
                <w:szCs w:val="18"/>
              </w:rPr>
              <w:t>SRXB/BC</w:t>
            </w:r>
          </w:p>
        </w:tc>
        <w:tc>
          <w:tcPr>
            <w:tcW w:w="635" w:type="pct"/>
            <w:tcBorders>
              <w:top w:val="double" w:sz="12" w:space="0" w:color="000000"/>
              <w:left w:val="single" w:sz="8" w:space="0" w:color="000000"/>
              <w:bottom w:val="single" w:sz="8" w:space="0" w:color="000000"/>
              <w:right w:val="single" w:sz="8" w:space="0" w:color="000000"/>
            </w:tcBorders>
            <w:vAlign w:val="center"/>
          </w:tcPr>
          <w:p w:rsidR="00E65704" w:rsidRPr="00E83801" w:rsidRDefault="00E65704" w:rsidP="00E65704">
            <w:pPr>
              <w:jc w:val="center"/>
              <w:rPr>
                <w:rFonts w:cs="Arial"/>
                <w:sz w:val="18"/>
                <w:szCs w:val="18"/>
              </w:rPr>
            </w:pPr>
            <w:r w:rsidRPr="00E83801">
              <w:rPr>
                <w:rFonts w:cs="Arial"/>
                <w:sz w:val="18"/>
                <w:szCs w:val="18"/>
              </w:rPr>
              <w:t>NRR/DE/</w:t>
            </w:r>
          </w:p>
          <w:p w:rsidR="00E65704" w:rsidRPr="00E83801" w:rsidRDefault="00E65704" w:rsidP="00E65704">
            <w:pPr>
              <w:jc w:val="center"/>
              <w:rPr>
                <w:rFonts w:cs="Arial"/>
                <w:sz w:val="18"/>
                <w:szCs w:val="18"/>
              </w:rPr>
            </w:pPr>
            <w:r w:rsidRPr="00E83801">
              <w:rPr>
                <w:rFonts w:cs="Arial"/>
                <w:sz w:val="18"/>
                <w:szCs w:val="18"/>
              </w:rPr>
              <w:t>ESGB/BC</w:t>
            </w:r>
          </w:p>
        </w:tc>
        <w:tc>
          <w:tcPr>
            <w:tcW w:w="734" w:type="pct"/>
            <w:tcBorders>
              <w:top w:val="double" w:sz="12" w:space="0" w:color="000000"/>
              <w:left w:val="single" w:sz="8" w:space="0" w:color="000000"/>
              <w:bottom w:val="single" w:sz="8" w:space="0" w:color="000000"/>
              <w:right w:val="single" w:sz="8" w:space="0" w:color="000000"/>
            </w:tcBorders>
            <w:shd w:val="clear" w:color="auto" w:fill="FFFFFF"/>
            <w:vAlign w:val="center"/>
          </w:tcPr>
          <w:p w:rsidR="00E65704" w:rsidRPr="00E83801" w:rsidRDefault="00E65704" w:rsidP="00E65704">
            <w:pPr>
              <w:jc w:val="center"/>
              <w:rPr>
                <w:rFonts w:cs="Arial"/>
                <w:sz w:val="18"/>
                <w:szCs w:val="18"/>
              </w:rPr>
            </w:pPr>
            <w:r>
              <w:rPr>
                <w:rFonts w:cs="Arial"/>
                <w:sz w:val="18"/>
                <w:szCs w:val="18"/>
              </w:rPr>
              <w:t>NRR/DSS/D</w:t>
            </w:r>
          </w:p>
        </w:tc>
        <w:tc>
          <w:tcPr>
            <w:tcW w:w="671" w:type="pct"/>
            <w:tcBorders>
              <w:top w:val="double" w:sz="12" w:space="0" w:color="000000"/>
              <w:left w:val="single" w:sz="8" w:space="0" w:color="000000"/>
              <w:bottom w:val="single" w:sz="8" w:space="0" w:color="000000"/>
              <w:right w:val="double" w:sz="12" w:space="0" w:color="000000"/>
            </w:tcBorders>
            <w:shd w:val="clear" w:color="auto" w:fill="FFFFFF"/>
            <w:vAlign w:val="center"/>
            <w:hideMark/>
          </w:tcPr>
          <w:p w:rsidR="00E65704" w:rsidRPr="00E83801" w:rsidRDefault="00E65704" w:rsidP="00E65704">
            <w:pPr>
              <w:jc w:val="center"/>
              <w:rPr>
                <w:rFonts w:cs="Arial"/>
                <w:sz w:val="18"/>
                <w:szCs w:val="18"/>
              </w:rPr>
            </w:pPr>
            <w:r w:rsidRPr="00E83801">
              <w:rPr>
                <w:rFonts w:cs="Arial"/>
                <w:sz w:val="18"/>
                <w:szCs w:val="18"/>
              </w:rPr>
              <w:t>NRR/DE/D</w:t>
            </w:r>
          </w:p>
        </w:tc>
      </w:tr>
      <w:tr w:rsidR="00E65704" w:rsidRPr="00E83801" w:rsidTr="00E65704">
        <w:trPr>
          <w:trHeight w:val="223"/>
        </w:trPr>
        <w:tc>
          <w:tcPr>
            <w:tcW w:w="578" w:type="pct"/>
            <w:tcBorders>
              <w:top w:val="single" w:sz="8" w:space="0" w:color="000000"/>
              <w:left w:val="double" w:sz="12" w:space="0" w:color="000000"/>
              <w:bottom w:val="single" w:sz="8" w:space="0" w:color="000000"/>
              <w:right w:val="single" w:sz="8" w:space="0" w:color="000000"/>
            </w:tcBorders>
            <w:vAlign w:val="center"/>
            <w:hideMark/>
          </w:tcPr>
          <w:p w:rsidR="00E65704" w:rsidRPr="00E83801" w:rsidRDefault="00E65704" w:rsidP="00E65704">
            <w:pPr>
              <w:rPr>
                <w:rFonts w:cs="Arial"/>
                <w:sz w:val="18"/>
                <w:szCs w:val="18"/>
              </w:rPr>
            </w:pPr>
            <w:r w:rsidRPr="00E83801">
              <w:rPr>
                <w:rFonts w:cs="Arial"/>
                <w:sz w:val="18"/>
                <w:szCs w:val="18"/>
              </w:rPr>
              <w:t>NAME</w:t>
            </w:r>
          </w:p>
        </w:tc>
        <w:tc>
          <w:tcPr>
            <w:tcW w:w="755" w:type="pct"/>
            <w:tcBorders>
              <w:top w:val="single" w:sz="8" w:space="0" w:color="000000"/>
              <w:left w:val="single" w:sz="8" w:space="0" w:color="000000"/>
              <w:bottom w:val="single" w:sz="8" w:space="0" w:color="000000"/>
              <w:right w:val="single" w:sz="8" w:space="0" w:color="000000"/>
            </w:tcBorders>
            <w:vAlign w:val="center"/>
          </w:tcPr>
          <w:p w:rsidR="00E65704" w:rsidRPr="00E83801" w:rsidRDefault="00E65704" w:rsidP="00E65704">
            <w:pPr>
              <w:jc w:val="center"/>
              <w:rPr>
                <w:rFonts w:cs="Arial"/>
                <w:sz w:val="18"/>
                <w:szCs w:val="18"/>
              </w:rPr>
            </w:pPr>
            <w:r>
              <w:rPr>
                <w:rFonts w:cs="Arial"/>
                <w:sz w:val="18"/>
                <w:szCs w:val="18"/>
              </w:rPr>
              <w:t>BWatson*</w:t>
            </w:r>
          </w:p>
        </w:tc>
        <w:tc>
          <w:tcPr>
            <w:tcW w:w="845" w:type="pct"/>
            <w:tcBorders>
              <w:top w:val="single" w:sz="8" w:space="0" w:color="000000"/>
              <w:left w:val="single" w:sz="8" w:space="0" w:color="000000"/>
              <w:bottom w:val="single" w:sz="8" w:space="0" w:color="000000"/>
              <w:right w:val="single" w:sz="8" w:space="0" w:color="000000"/>
            </w:tcBorders>
            <w:vAlign w:val="center"/>
          </w:tcPr>
          <w:p w:rsidR="00E65704" w:rsidRPr="00E83801" w:rsidRDefault="00E65704" w:rsidP="00E65704">
            <w:pPr>
              <w:jc w:val="center"/>
              <w:rPr>
                <w:rFonts w:cs="Arial"/>
                <w:sz w:val="18"/>
                <w:szCs w:val="18"/>
              </w:rPr>
            </w:pPr>
            <w:r>
              <w:rPr>
                <w:rFonts w:cs="Arial"/>
                <w:sz w:val="18"/>
                <w:szCs w:val="18"/>
              </w:rPr>
              <w:t>AAdams*</w:t>
            </w:r>
          </w:p>
        </w:tc>
        <w:tc>
          <w:tcPr>
            <w:tcW w:w="782" w:type="pct"/>
            <w:tcBorders>
              <w:top w:val="single" w:sz="8" w:space="0" w:color="000000"/>
              <w:left w:val="single" w:sz="8" w:space="0" w:color="000000"/>
              <w:bottom w:val="single" w:sz="8" w:space="0" w:color="000000"/>
              <w:right w:val="single" w:sz="8" w:space="0" w:color="000000"/>
            </w:tcBorders>
            <w:vAlign w:val="center"/>
          </w:tcPr>
          <w:p w:rsidR="00E65704" w:rsidRPr="00E83801" w:rsidRDefault="00E65704" w:rsidP="00E65704">
            <w:pPr>
              <w:jc w:val="center"/>
              <w:rPr>
                <w:rFonts w:cs="Arial"/>
                <w:sz w:val="18"/>
                <w:szCs w:val="18"/>
              </w:rPr>
            </w:pPr>
            <w:r>
              <w:rPr>
                <w:rFonts w:cs="Arial"/>
                <w:sz w:val="18"/>
                <w:szCs w:val="18"/>
              </w:rPr>
              <w:t>KWood for CJackson*</w:t>
            </w:r>
          </w:p>
        </w:tc>
        <w:tc>
          <w:tcPr>
            <w:tcW w:w="635" w:type="pct"/>
            <w:tcBorders>
              <w:top w:val="single" w:sz="8" w:space="0" w:color="000000"/>
              <w:left w:val="single" w:sz="8" w:space="0" w:color="000000"/>
              <w:bottom w:val="single" w:sz="8" w:space="0" w:color="000000"/>
              <w:right w:val="single" w:sz="8" w:space="0" w:color="000000"/>
            </w:tcBorders>
            <w:vAlign w:val="center"/>
          </w:tcPr>
          <w:p w:rsidR="00E65704" w:rsidRPr="00E83801" w:rsidRDefault="00E65704" w:rsidP="00E65704">
            <w:pPr>
              <w:jc w:val="center"/>
              <w:rPr>
                <w:rFonts w:cs="Arial"/>
                <w:sz w:val="18"/>
                <w:szCs w:val="18"/>
              </w:rPr>
            </w:pPr>
            <w:r>
              <w:rPr>
                <w:rFonts w:cs="Arial"/>
                <w:sz w:val="18"/>
                <w:szCs w:val="18"/>
              </w:rPr>
              <w:t>GKulesa*</w:t>
            </w:r>
          </w:p>
        </w:tc>
        <w:tc>
          <w:tcPr>
            <w:tcW w:w="73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5704" w:rsidRPr="00E83801" w:rsidRDefault="00E65704" w:rsidP="00E65704">
            <w:pPr>
              <w:jc w:val="center"/>
              <w:rPr>
                <w:rFonts w:cs="Arial"/>
                <w:sz w:val="18"/>
                <w:szCs w:val="18"/>
              </w:rPr>
            </w:pPr>
            <w:r>
              <w:rPr>
                <w:rFonts w:cs="Arial"/>
                <w:sz w:val="18"/>
                <w:szCs w:val="18"/>
              </w:rPr>
              <w:t>TMcGinty</w:t>
            </w:r>
            <w:r w:rsidR="00414B0F">
              <w:rPr>
                <w:rFonts w:cs="Arial"/>
                <w:sz w:val="18"/>
                <w:szCs w:val="18"/>
              </w:rPr>
              <w:t>*</w:t>
            </w:r>
          </w:p>
        </w:tc>
        <w:tc>
          <w:tcPr>
            <w:tcW w:w="671" w:type="pct"/>
            <w:tcBorders>
              <w:top w:val="single" w:sz="8" w:space="0" w:color="000000"/>
              <w:left w:val="single" w:sz="8" w:space="0" w:color="000000"/>
              <w:bottom w:val="single" w:sz="8" w:space="0" w:color="000000"/>
              <w:right w:val="double" w:sz="12" w:space="0" w:color="000000"/>
            </w:tcBorders>
            <w:shd w:val="clear" w:color="auto" w:fill="FFFFFF"/>
            <w:vAlign w:val="center"/>
          </w:tcPr>
          <w:p w:rsidR="00E65704" w:rsidRPr="00E83801" w:rsidRDefault="00414B0F" w:rsidP="00E65704">
            <w:pPr>
              <w:jc w:val="center"/>
              <w:rPr>
                <w:rFonts w:cs="Arial"/>
                <w:sz w:val="18"/>
                <w:szCs w:val="18"/>
              </w:rPr>
            </w:pPr>
            <w:r>
              <w:rPr>
                <w:rFonts w:cs="Arial"/>
                <w:sz w:val="18"/>
                <w:szCs w:val="18"/>
              </w:rPr>
              <w:t xml:space="preserve">MRossLee for </w:t>
            </w:r>
            <w:r w:rsidR="00E65704">
              <w:rPr>
                <w:rFonts w:cs="Arial"/>
                <w:sz w:val="18"/>
                <w:szCs w:val="18"/>
              </w:rPr>
              <w:t>JLubinski</w:t>
            </w:r>
            <w:r>
              <w:rPr>
                <w:rFonts w:cs="Arial"/>
                <w:sz w:val="18"/>
                <w:szCs w:val="18"/>
              </w:rPr>
              <w:t>*</w:t>
            </w:r>
          </w:p>
        </w:tc>
      </w:tr>
      <w:tr w:rsidR="00414B0F" w:rsidRPr="00E83801" w:rsidTr="00E65704">
        <w:trPr>
          <w:trHeight w:val="230"/>
        </w:trPr>
        <w:tc>
          <w:tcPr>
            <w:tcW w:w="578" w:type="pct"/>
            <w:tcBorders>
              <w:top w:val="single" w:sz="8" w:space="0" w:color="000000"/>
              <w:left w:val="double" w:sz="12" w:space="0" w:color="000000"/>
              <w:bottom w:val="double" w:sz="12" w:space="0" w:color="000000"/>
              <w:right w:val="single" w:sz="8" w:space="0" w:color="000000"/>
            </w:tcBorders>
            <w:vAlign w:val="center"/>
            <w:hideMark/>
          </w:tcPr>
          <w:p w:rsidR="00414B0F" w:rsidRPr="00E83801" w:rsidRDefault="00414B0F" w:rsidP="00414B0F">
            <w:pPr>
              <w:rPr>
                <w:rFonts w:cs="Arial"/>
                <w:sz w:val="18"/>
                <w:szCs w:val="18"/>
              </w:rPr>
            </w:pPr>
            <w:r w:rsidRPr="00E83801">
              <w:rPr>
                <w:rFonts w:cs="Arial"/>
                <w:sz w:val="18"/>
                <w:szCs w:val="18"/>
              </w:rPr>
              <w:t>DATE</w:t>
            </w:r>
          </w:p>
        </w:tc>
        <w:tc>
          <w:tcPr>
            <w:tcW w:w="755" w:type="pct"/>
            <w:tcBorders>
              <w:top w:val="single" w:sz="8" w:space="0" w:color="000000"/>
              <w:left w:val="single" w:sz="8" w:space="0" w:color="000000"/>
              <w:bottom w:val="double" w:sz="12" w:space="0" w:color="000000"/>
              <w:right w:val="single" w:sz="8" w:space="0" w:color="000000"/>
            </w:tcBorders>
            <w:vAlign w:val="center"/>
          </w:tcPr>
          <w:p w:rsidR="00414B0F" w:rsidRPr="00E83801" w:rsidRDefault="00414B0F" w:rsidP="00414B0F">
            <w:pPr>
              <w:jc w:val="center"/>
              <w:rPr>
                <w:rFonts w:cs="Arial"/>
                <w:sz w:val="18"/>
                <w:szCs w:val="18"/>
              </w:rPr>
            </w:pPr>
            <w:r>
              <w:rPr>
                <w:rFonts w:cs="Arial"/>
                <w:sz w:val="18"/>
                <w:szCs w:val="18"/>
              </w:rPr>
              <w:t>8/31/15</w:t>
            </w:r>
          </w:p>
        </w:tc>
        <w:tc>
          <w:tcPr>
            <w:tcW w:w="845" w:type="pct"/>
            <w:tcBorders>
              <w:top w:val="single" w:sz="8" w:space="0" w:color="000000"/>
              <w:left w:val="single" w:sz="8" w:space="0" w:color="000000"/>
              <w:bottom w:val="double" w:sz="12" w:space="0" w:color="000000"/>
              <w:right w:val="single" w:sz="8" w:space="0" w:color="000000"/>
            </w:tcBorders>
            <w:vAlign w:val="center"/>
          </w:tcPr>
          <w:p w:rsidR="00414B0F" w:rsidRPr="00E83801" w:rsidRDefault="00414B0F" w:rsidP="00414B0F">
            <w:pPr>
              <w:jc w:val="center"/>
              <w:rPr>
                <w:rFonts w:cs="Arial"/>
                <w:sz w:val="18"/>
                <w:szCs w:val="18"/>
              </w:rPr>
            </w:pPr>
            <w:r>
              <w:rPr>
                <w:rFonts w:cs="Arial"/>
                <w:sz w:val="18"/>
                <w:szCs w:val="18"/>
              </w:rPr>
              <w:t>8/31/15</w:t>
            </w:r>
          </w:p>
        </w:tc>
        <w:tc>
          <w:tcPr>
            <w:tcW w:w="782" w:type="pct"/>
            <w:tcBorders>
              <w:top w:val="single" w:sz="8" w:space="0" w:color="000000"/>
              <w:left w:val="single" w:sz="8" w:space="0" w:color="000000"/>
              <w:bottom w:val="double" w:sz="12" w:space="0" w:color="000000"/>
              <w:right w:val="single" w:sz="8" w:space="0" w:color="000000"/>
            </w:tcBorders>
            <w:vAlign w:val="center"/>
          </w:tcPr>
          <w:p w:rsidR="00414B0F" w:rsidRPr="00E83801" w:rsidRDefault="00414B0F" w:rsidP="00414B0F">
            <w:pPr>
              <w:jc w:val="center"/>
              <w:rPr>
                <w:rFonts w:cs="Arial"/>
                <w:sz w:val="18"/>
                <w:szCs w:val="18"/>
              </w:rPr>
            </w:pPr>
            <w:r>
              <w:rPr>
                <w:rFonts w:cs="Arial"/>
                <w:sz w:val="18"/>
                <w:szCs w:val="18"/>
              </w:rPr>
              <w:t>8/31/15</w:t>
            </w:r>
          </w:p>
        </w:tc>
        <w:tc>
          <w:tcPr>
            <w:tcW w:w="635" w:type="pct"/>
            <w:tcBorders>
              <w:top w:val="single" w:sz="8" w:space="0" w:color="000000"/>
              <w:left w:val="single" w:sz="8" w:space="0" w:color="000000"/>
              <w:bottom w:val="double" w:sz="12" w:space="0" w:color="000000"/>
              <w:right w:val="single" w:sz="8" w:space="0" w:color="000000"/>
            </w:tcBorders>
            <w:vAlign w:val="center"/>
          </w:tcPr>
          <w:p w:rsidR="00414B0F" w:rsidRPr="00E83801" w:rsidRDefault="00414B0F" w:rsidP="00414B0F">
            <w:pPr>
              <w:jc w:val="center"/>
              <w:rPr>
                <w:rFonts w:cs="Arial"/>
                <w:sz w:val="18"/>
                <w:szCs w:val="18"/>
              </w:rPr>
            </w:pPr>
            <w:r>
              <w:rPr>
                <w:rFonts w:cs="Arial"/>
                <w:sz w:val="18"/>
                <w:szCs w:val="18"/>
              </w:rPr>
              <w:t>9/1/15</w:t>
            </w:r>
          </w:p>
        </w:tc>
        <w:tc>
          <w:tcPr>
            <w:tcW w:w="734" w:type="pct"/>
            <w:tcBorders>
              <w:top w:val="single" w:sz="8" w:space="0" w:color="000000"/>
              <w:left w:val="single" w:sz="8" w:space="0" w:color="000000"/>
              <w:bottom w:val="double" w:sz="12" w:space="0" w:color="000000"/>
              <w:right w:val="single" w:sz="8" w:space="0" w:color="000000"/>
            </w:tcBorders>
            <w:shd w:val="clear" w:color="auto" w:fill="FFFFFF"/>
            <w:vAlign w:val="center"/>
          </w:tcPr>
          <w:p w:rsidR="00414B0F" w:rsidRPr="00E83801" w:rsidRDefault="00414B0F" w:rsidP="00414B0F">
            <w:pPr>
              <w:jc w:val="center"/>
              <w:rPr>
                <w:rFonts w:cs="Arial"/>
                <w:sz w:val="18"/>
                <w:szCs w:val="18"/>
              </w:rPr>
            </w:pPr>
            <w:r>
              <w:rPr>
                <w:rFonts w:cs="Arial"/>
                <w:sz w:val="18"/>
                <w:szCs w:val="18"/>
              </w:rPr>
              <w:t>9/1/15</w:t>
            </w:r>
          </w:p>
        </w:tc>
        <w:tc>
          <w:tcPr>
            <w:tcW w:w="671" w:type="pct"/>
            <w:tcBorders>
              <w:top w:val="single" w:sz="8" w:space="0" w:color="000000"/>
              <w:left w:val="single" w:sz="8" w:space="0" w:color="000000"/>
              <w:bottom w:val="double" w:sz="12" w:space="0" w:color="000000"/>
              <w:right w:val="double" w:sz="12" w:space="0" w:color="000000"/>
            </w:tcBorders>
            <w:shd w:val="clear" w:color="auto" w:fill="FFFFFF"/>
            <w:vAlign w:val="center"/>
          </w:tcPr>
          <w:p w:rsidR="00414B0F" w:rsidRPr="00E83801" w:rsidRDefault="00414B0F" w:rsidP="00414B0F">
            <w:pPr>
              <w:jc w:val="center"/>
              <w:rPr>
                <w:rFonts w:cs="Arial"/>
                <w:sz w:val="18"/>
                <w:szCs w:val="18"/>
              </w:rPr>
            </w:pPr>
            <w:r>
              <w:rPr>
                <w:rFonts w:cs="Arial"/>
                <w:sz w:val="18"/>
                <w:szCs w:val="18"/>
              </w:rPr>
              <w:t>9/2/15</w:t>
            </w:r>
          </w:p>
        </w:tc>
      </w:tr>
      <w:tr w:rsidR="00E65704" w:rsidRPr="00E83801" w:rsidTr="00E65704">
        <w:trPr>
          <w:trHeight w:val="244"/>
        </w:trPr>
        <w:tc>
          <w:tcPr>
            <w:tcW w:w="578" w:type="pct"/>
            <w:tcBorders>
              <w:top w:val="double" w:sz="12" w:space="0" w:color="000000"/>
              <w:left w:val="double" w:sz="12" w:space="0" w:color="000000"/>
              <w:bottom w:val="single" w:sz="8" w:space="0" w:color="000000"/>
              <w:right w:val="single" w:sz="8" w:space="0" w:color="000000"/>
            </w:tcBorders>
            <w:vAlign w:val="center"/>
            <w:hideMark/>
          </w:tcPr>
          <w:p w:rsidR="00E65704" w:rsidRPr="00E83801" w:rsidRDefault="00E65704" w:rsidP="00E65704">
            <w:pPr>
              <w:rPr>
                <w:rFonts w:cs="Arial"/>
                <w:sz w:val="18"/>
                <w:szCs w:val="18"/>
              </w:rPr>
            </w:pPr>
            <w:r w:rsidRPr="00E83801">
              <w:rPr>
                <w:rFonts w:cs="Arial"/>
                <w:sz w:val="18"/>
                <w:szCs w:val="18"/>
              </w:rPr>
              <w:t>OFFICE</w:t>
            </w:r>
          </w:p>
        </w:tc>
        <w:tc>
          <w:tcPr>
            <w:tcW w:w="755" w:type="pct"/>
            <w:tcBorders>
              <w:top w:val="double" w:sz="12" w:space="0" w:color="000000"/>
              <w:left w:val="single" w:sz="8" w:space="0" w:color="000000"/>
              <w:bottom w:val="single" w:sz="8" w:space="0" w:color="000000"/>
              <w:right w:val="single" w:sz="8" w:space="0" w:color="000000"/>
            </w:tcBorders>
            <w:vAlign w:val="center"/>
          </w:tcPr>
          <w:p w:rsidR="00E65704" w:rsidRPr="00E83801" w:rsidRDefault="00E65704" w:rsidP="00E65704">
            <w:pPr>
              <w:jc w:val="center"/>
              <w:rPr>
                <w:rFonts w:cs="Arial"/>
                <w:sz w:val="18"/>
                <w:szCs w:val="18"/>
              </w:rPr>
            </w:pPr>
            <w:r w:rsidRPr="00E83801">
              <w:rPr>
                <w:rFonts w:cs="Arial"/>
                <w:sz w:val="18"/>
                <w:szCs w:val="18"/>
              </w:rPr>
              <w:t>NRR/</w:t>
            </w:r>
          </w:p>
          <w:p w:rsidR="00E65704" w:rsidRPr="00E83801" w:rsidRDefault="00E65704" w:rsidP="00E65704">
            <w:pPr>
              <w:jc w:val="center"/>
              <w:rPr>
                <w:rFonts w:cs="Arial"/>
                <w:sz w:val="18"/>
                <w:szCs w:val="18"/>
              </w:rPr>
            </w:pPr>
            <w:r w:rsidRPr="00E83801">
              <w:rPr>
                <w:rFonts w:cs="Arial"/>
                <w:sz w:val="18"/>
                <w:szCs w:val="18"/>
              </w:rPr>
              <w:t>DORL/D</w:t>
            </w:r>
          </w:p>
        </w:tc>
        <w:tc>
          <w:tcPr>
            <w:tcW w:w="845" w:type="pct"/>
            <w:tcBorders>
              <w:top w:val="double" w:sz="12" w:space="0" w:color="000000"/>
              <w:left w:val="single" w:sz="8" w:space="0" w:color="000000"/>
              <w:bottom w:val="single" w:sz="8" w:space="0" w:color="000000"/>
              <w:right w:val="single" w:sz="8" w:space="0" w:color="000000"/>
            </w:tcBorders>
            <w:vAlign w:val="center"/>
          </w:tcPr>
          <w:p w:rsidR="00E65704" w:rsidRPr="00E83801" w:rsidRDefault="00E65704" w:rsidP="00E65704">
            <w:pPr>
              <w:jc w:val="center"/>
              <w:rPr>
                <w:rFonts w:cs="Arial"/>
                <w:sz w:val="18"/>
                <w:szCs w:val="18"/>
              </w:rPr>
            </w:pPr>
            <w:r>
              <w:rPr>
                <w:rFonts w:cs="Arial"/>
                <w:sz w:val="18"/>
                <w:szCs w:val="18"/>
              </w:rPr>
              <w:t>NMSS/DUWP/D</w:t>
            </w:r>
          </w:p>
        </w:tc>
        <w:tc>
          <w:tcPr>
            <w:tcW w:w="782" w:type="pct"/>
            <w:tcBorders>
              <w:top w:val="double" w:sz="12" w:space="0" w:color="000000"/>
              <w:left w:val="single" w:sz="8" w:space="0" w:color="000000"/>
              <w:bottom w:val="single" w:sz="8" w:space="0" w:color="000000"/>
              <w:right w:val="single" w:sz="8" w:space="0" w:color="000000"/>
            </w:tcBorders>
            <w:vAlign w:val="center"/>
          </w:tcPr>
          <w:p w:rsidR="00E65704" w:rsidRPr="00E83801" w:rsidRDefault="00E65704" w:rsidP="00E65704">
            <w:pPr>
              <w:jc w:val="center"/>
              <w:rPr>
                <w:rFonts w:cs="Arial"/>
                <w:sz w:val="18"/>
                <w:szCs w:val="18"/>
              </w:rPr>
            </w:pPr>
            <w:r w:rsidRPr="00E83801">
              <w:rPr>
                <w:rFonts w:cs="Arial"/>
                <w:sz w:val="18"/>
                <w:szCs w:val="18"/>
              </w:rPr>
              <w:t>NRR/</w:t>
            </w:r>
          </w:p>
          <w:p w:rsidR="00E65704" w:rsidRPr="00E83801" w:rsidRDefault="00E65704" w:rsidP="00E65704">
            <w:pPr>
              <w:jc w:val="center"/>
              <w:rPr>
                <w:rFonts w:cs="Arial"/>
                <w:sz w:val="18"/>
                <w:szCs w:val="18"/>
              </w:rPr>
            </w:pPr>
            <w:r w:rsidRPr="00E83801">
              <w:rPr>
                <w:rFonts w:cs="Arial"/>
                <w:sz w:val="18"/>
                <w:szCs w:val="18"/>
              </w:rPr>
              <w:t>PMDA</w:t>
            </w:r>
          </w:p>
        </w:tc>
        <w:tc>
          <w:tcPr>
            <w:tcW w:w="635" w:type="pct"/>
            <w:tcBorders>
              <w:top w:val="double" w:sz="12" w:space="0" w:color="000000"/>
              <w:left w:val="single" w:sz="8" w:space="0" w:color="000000"/>
              <w:bottom w:val="single" w:sz="8" w:space="0" w:color="000000"/>
              <w:right w:val="single" w:sz="8" w:space="0" w:color="000000"/>
            </w:tcBorders>
            <w:vAlign w:val="center"/>
          </w:tcPr>
          <w:p w:rsidR="00E65704" w:rsidRPr="00E83801" w:rsidRDefault="00E65704" w:rsidP="00E65704">
            <w:pPr>
              <w:jc w:val="center"/>
              <w:rPr>
                <w:rFonts w:cs="Arial"/>
                <w:sz w:val="18"/>
                <w:szCs w:val="18"/>
              </w:rPr>
            </w:pPr>
            <w:r w:rsidRPr="00E83801">
              <w:rPr>
                <w:rFonts w:cs="Arial"/>
                <w:sz w:val="18"/>
                <w:szCs w:val="18"/>
              </w:rPr>
              <w:t>OIS</w:t>
            </w:r>
          </w:p>
        </w:tc>
        <w:tc>
          <w:tcPr>
            <w:tcW w:w="734" w:type="pct"/>
            <w:tcBorders>
              <w:top w:val="double" w:sz="12" w:space="0" w:color="000000"/>
              <w:left w:val="single" w:sz="8" w:space="0" w:color="000000"/>
              <w:bottom w:val="single" w:sz="8" w:space="0" w:color="000000"/>
              <w:right w:val="single" w:sz="8" w:space="0" w:color="000000"/>
            </w:tcBorders>
            <w:shd w:val="clear" w:color="auto" w:fill="FFFFFF"/>
            <w:vAlign w:val="center"/>
          </w:tcPr>
          <w:p w:rsidR="00E65704" w:rsidRPr="00E83801" w:rsidRDefault="00E65704" w:rsidP="00E65704">
            <w:pPr>
              <w:jc w:val="center"/>
              <w:rPr>
                <w:rFonts w:cs="Arial"/>
                <w:sz w:val="18"/>
                <w:szCs w:val="18"/>
              </w:rPr>
            </w:pPr>
            <w:r w:rsidRPr="00E83801">
              <w:rPr>
                <w:rFonts w:cs="Arial"/>
                <w:sz w:val="18"/>
                <w:szCs w:val="18"/>
              </w:rPr>
              <w:t>OE</w:t>
            </w:r>
          </w:p>
        </w:tc>
        <w:tc>
          <w:tcPr>
            <w:tcW w:w="671" w:type="pct"/>
            <w:tcBorders>
              <w:top w:val="double" w:sz="12" w:space="0" w:color="000000"/>
              <w:left w:val="single" w:sz="8" w:space="0" w:color="000000"/>
              <w:bottom w:val="single" w:sz="8" w:space="0" w:color="000000"/>
              <w:right w:val="double" w:sz="12" w:space="0" w:color="000000"/>
            </w:tcBorders>
            <w:shd w:val="clear" w:color="auto" w:fill="FFFFFF"/>
            <w:vAlign w:val="center"/>
          </w:tcPr>
          <w:p w:rsidR="00E65704" w:rsidRPr="00E83801" w:rsidRDefault="00E65704" w:rsidP="00E65704">
            <w:pPr>
              <w:jc w:val="center"/>
              <w:rPr>
                <w:rFonts w:cs="Arial"/>
                <w:sz w:val="18"/>
                <w:szCs w:val="18"/>
              </w:rPr>
            </w:pPr>
            <w:r w:rsidRPr="00E83801">
              <w:rPr>
                <w:rFonts w:cs="Arial"/>
                <w:sz w:val="18"/>
                <w:szCs w:val="18"/>
              </w:rPr>
              <w:t>OGC</w:t>
            </w:r>
          </w:p>
        </w:tc>
      </w:tr>
      <w:tr w:rsidR="00E65704" w:rsidRPr="00E83801" w:rsidTr="00E65704">
        <w:trPr>
          <w:trHeight w:val="243"/>
        </w:trPr>
        <w:tc>
          <w:tcPr>
            <w:tcW w:w="578" w:type="pct"/>
            <w:tcBorders>
              <w:top w:val="single" w:sz="8" w:space="0" w:color="000000"/>
              <w:left w:val="double" w:sz="12" w:space="0" w:color="000000"/>
              <w:bottom w:val="single" w:sz="8" w:space="0" w:color="000000"/>
              <w:right w:val="single" w:sz="8" w:space="0" w:color="000000"/>
            </w:tcBorders>
            <w:vAlign w:val="center"/>
            <w:hideMark/>
          </w:tcPr>
          <w:p w:rsidR="00E65704" w:rsidRPr="00E83801" w:rsidRDefault="00E65704" w:rsidP="00E65704">
            <w:pPr>
              <w:rPr>
                <w:rFonts w:cs="Arial"/>
                <w:sz w:val="18"/>
                <w:szCs w:val="18"/>
              </w:rPr>
            </w:pPr>
            <w:r w:rsidRPr="00E83801">
              <w:rPr>
                <w:rFonts w:cs="Arial"/>
                <w:sz w:val="18"/>
                <w:szCs w:val="18"/>
              </w:rPr>
              <w:t>NAME</w:t>
            </w:r>
          </w:p>
        </w:tc>
        <w:tc>
          <w:tcPr>
            <w:tcW w:w="755" w:type="pct"/>
            <w:tcBorders>
              <w:top w:val="single" w:sz="8" w:space="0" w:color="000000"/>
              <w:left w:val="single" w:sz="8" w:space="0" w:color="000000"/>
              <w:bottom w:val="single" w:sz="8" w:space="0" w:color="000000"/>
              <w:right w:val="single" w:sz="8" w:space="0" w:color="000000"/>
            </w:tcBorders>
            <w:vAlign w:val="center"/>
          </w:tcPr>
          <w:p w:rsidR="00E65704" w:rsidRPr="00E83801" w:rsidRDefault="00E65704" w:rsidP="00E65704">
            <w:pPr>
              <w:jc w:val="center"/>
              <w:rPr>
                <w:rFonts w:cs="Arial"/>
                <w:sz w:val="18"/>
                <w:szCs w:val="18"/>
              </w:rPr>
            </w:pPr>
            <w:r w:rsidRPr="00587E9A">
              <w:rPr>
                <w:rFonts w:cs="Arial"/>
                <w:sz w:val="18"/>
                <w:szCs w:val="18"/>
              </w:rPr>
              <w:t>ABoland</w:t>
            </w:r>
            <w:r w:rsidR="00414B0F">
              <w:rPr>
                <w:rFonts w:cs="Arial"/>
                <w:sz w:val="18"/>
                <w:szCs w:val="18"/>
              </w:rPr>
              <w:t>*</w:t>
            </w:r>
          </w:p>
        </w:tc>
        <w:tc>
          <w:tcPr>
            <w:tcW w:w="845" w:type="pct"/>
            <w:tcBorders>
              <w:top w:val="single" w:sz="8" w:space="0" w:color="000000"/>
              <w:left w:val="single" w:sz="8" w:space="0" w:color="000000"/>
              <w:bottom w:val="single" w:sz="8" w:space="0" w:color="000000"/>
              <w:right w:val="single" w:sz="8" w:space="0" w:color="000000"/>
            </w:tcBorders>
            <w:vAlign w:val="center"/>
          </w:tcPr>
          <w:p w:rsidR="00E65704" w:rsidRPr="00E83801" w:rsidRDefault="00E65704" w:rsidP="00E65704">
            <w:pPr>
              <w:jc w:val="center"/>
              <w:rPr>
                <w:rFonts w:cs="Arial"/>
                <w:sz w:val="18"/>
                <w:szCs w:val="18"/>
              </w:rPr>
            </w:pPr>
            <w:r>
              <w:rPr>
                <w:rFonts w:cs="Arial"/>
                <w:sz w:val="18"/>
                <w:szCs w:val="18"/>
              </w:rPr>
              <w:t>LCamper</w:t>
            </w:r>
            <w:r w:rsidR="00414B0F">
              <w:rPr>
                <w:rFonts w:cs="Arial"/>
                <w:sz w:val="18"/>
                <w:szCs w:val="18"/>
              </w:rPr>
              <w:t>*</w:t>
            </w:r>
          </w:p>
        </w:tc>
        <w:tc>
          <w:tcPr>
            <w:tcW w:w="782" w:type="pct"/>
            <w:tcBorders>
              <w:top w:val="single" w:sz="8" w:space="0" w:color="000000"/>
              <w:left w:val="single" w:sz="8" w:space="0" w:color="000000"/>
              <w:bottom w:val="single" w:sz="8" w:space="0" w:color="000000"/>
              <w:right w:val="single" w:sz="8" w:space="0" w:color="000000"/>
            </w:tcBorders>
            <w:vAlign w:val="center"/>
          </w:tcPr>
          <w:p w:rsidR="00E65704" w:rsidRPr="00E83801" w:rsidRDefault="00E65704" w:rsidP="00E65704">
            <w:pPr>
              <w:jc w:val="center"/>
              <w:rPr>
                <w:rFonts w:cs="Arial"/>
                <w:sz w:val="18"/>
                <w:szCs w:val="18"/>
              </w:rPr>
            </w:pPr>
            <w:r>
              <w:rPr>
                <w:rFonts w:cs="Arial"/>
                <w:sz w:val="18"/>
                <w:szCs w:val="18"/>
              </w:rPr>
              <w:t>LHill</w:t>
            </w:r>
            <w:r w:rsidR="00FD4062">
              <w:rPr>
                <w:rFonts w:cs="Arial"/>
                <w:sz w:val="18"/>
                <w:szCs w:val="18"/>
              </w:rPr>
              <w:t>*</w:t>
            </w:r>
          </w:p>
        </w:tc>
        <w:tc>
          <w:tcPr>
            <w:tcW w:w="635" w:type="pct"/>
            <w:tcBorders>
              <w:top w:val="single" w:sz="8" w:space="0" w:color="000000"/>
              <w:left w:val="single" w:sz="8" w:space="0" w:color="000000"/>
              <w:bottom w:val="single" w:sz="8" w:space="0" w:color="000000"/>
              <w:right w:val="single" w:sz="8" w:space="0" w:color="000000"/>
            </w:tcBorders>
            <w:vAlign w:val="center"/>
          </w:tcPr>
          <w:p w:rsidR="00E65704" w:rsidRPr="00E83801" w:rsidRDefault="00E65704" w:rsidP="00E65704">
            <w:pPr>
              <w:jc w:val="center"/>
              <w:rPr>
                <w:rFonts w:cs="Arial"/>
                <w:sz w:val="18"/>
                <w:szCs w:val="18"/>
              </w:rPr>
            </w:pPr>
            <w:r>
              <w:rPr>
                <w:rFonts w:cs="Arial"/>
                <w:sz w:val="18"/>
                <w:szCs w:val="18"/>
              </w:rPr>
              <w:t>TDonnell</w:t>
            </w:r>
          </w:p>
        </w:tc>
        <w:tc>
          <w:tcPr>
            <w:tcW w:w="73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5704" w:rsidRPr="00E83801" w:rsidRDefault="00E65704" w:rsidP="00E65704">
            <w:pPr>
              <w:jc w:val="center"/>
              <w:rPr>
                <w:rFonts w:cs="Arial"/>
                <w:sz w:val="18"/>
                <w:szCs w:val="18"/>
              </w:rPr>
            </w:pPr>
            <w:r>
              <w:rPr>
                <w:rFonts w:cs="Arial"/>
                <w:sz w:val="18"/>
                <w:szCs w:val="18"/>
              </w:rPr>
              <w:t>TMarenchin</w:t>
            </w:r>
            <w:r w:rsidR="00FD4062">
              <w:rPr>
                <w:rFonts w:cs="Arial"/>
                <w:sz w:val="18"/>
                <w:szCs w:val="18"/>
              </w:rPr>
              <w:t>*</w:t>
            </w:r>
          </w:p>
        </w:tc>
        <w:tc>
          <w:tcPr>
            <w:tcW w:w="671" w:type="pct"/>
            <w:tcBorders>
              <w:top w:val="single" w:sz="8" w:space="0" w:color="000000"/>
              <w:left w:val="single" w:sz="8" w:space="0" w:color="000000"/>
              <w:bottom w:val="single" w:sz="8" w:space="0" w:color="000000"/>
              <w:right w:val="double" w:sz="12" w:space="0" w:color="000000"/>
            </w:tcBorders>
            <w:shd w:val="clear" w:color="auto" w:fill="FFFFFF"/>
            <w:vAlign w:val="center"/>
          </w:tcPr>
          <w:p w:rsidR="00E65704" w:rsidRPr="00E83801" w:rsidRDefault="00E65704" w:rsidP="00E65704">
            <w:pPr>
              <w:jc w:val="center"/>
              <w:rPr>
                <w:rFonts w:cs="Arial"/>
                <w:sz w:val="18"/>
                <w:szCs w:val="18"/>
              </w:rPr>
            </w:pPr>
            <w:r>
              <w:rPr>
                <w:rFonts w:cs="Arial"/>
                <w:sz w:val="18"/>
                <w:szCs w:val="18"/>
              </w:rPr>
              <w:t>GMizuno</w:t>
            </w:r>
          </w:p>
        </w:tc>
      </w:tr>
      <w:tr w:rsidR="00FD4062" w:rsidRPr="00E83801" w:rsidTr="00E65704">
        <w:trPr>
          <w:trHeight w:val="230"/>
        </w:trPr>
        <w:tc>
          <w:tcPr>
            <w:tcW w:w="578" w:type="pct"/>
            <w:tcBorders>
              <w:top w:val="single" w:sz="8" w:space="0" w:color="000000"/>
              <w:left w:val="double" w:sz="12" w:space="0" w:color="000000"/>
              <w:bottom w:val="double" w:sz="12" w:space="0" w:color="000000"/>
              <w:right w:val="single" w:sz="8" w:space="0" w:color="000000"/>
            </w:tcBorders>
            <w:vAlign w:val="center"/>
            <w:hideMark/>
          </w:tcPr>
          <w:p w:rsidR="00FD4062" w:rsidRPr="00E83801" w:rsidRDefault="00FD4062" w:rsidP="00FD4062">
            <w:pPr>
              <w:rPr>
                <w:rFonts w:cs="Arial"/>
                <w:sz w:val="18"/>
                <w:szCs w:val="18"/>
              </w:rPr>
            </w:pPr>
            <w:r w:rsidRPr="00E83801">
              <w:rPr>
                <w:rFonts w:cs="Arial"/>
                <w:sz w:val="18"/>
                <w:szCs w:val="18"/>
              </w:rPr>
              <w:t>DATE</w:t>
            </w:r>
          </w:p>
        </w:tc>
        <w:tc>
          <w:tcPr>
            <w:tcW w:w="755" w:type="pct"/>
            <w:tcBorders>
              <w:top w:val="single" w:sz="8" w:space="0" w:color="000000"/>
              <w:left w:val="single" w:sz="8" w:space="0" w:color="000000"/>
              <w:bottom w:val="double" w:sz="12" w:space="0" w:color="000000"/>
              <w:right w:val="single" w:sz="8" w:space="0" w:color="000000"/>
            </w:tcBorders>
            <w:vAlign w:val="center"/>
          </w:tcPr>
          <w:p w:rsidR="00FD4062" w:rsidRPr="00E83801" w:rsidRDefault="00FD4062" w:rsidP="00FD4062">
            <w:pPr>
              <w:jc w:val="center"/>
              <w:rPr>
                <w:rFonts w:cs="Arial"/>
                <w:sz w:val="18"/>
                <w:szCs w:val="18"/>
              </w:rPr>
            </w:pPr>
            <w:r>
              <w:rPr>
                <w:rFonts w:cs="Arial"/>
                <w:sz w:val="18"/>
                <w:szCs w:val="18"/>
              </w:rPr>
              <w:t>9/2/15</w:t>
            </w:r>
          </w:p>
        </w:tc>
        <w:tc>
          <w:tcPr>
            <w:tcW w:w="845" w:type="pct"/>
            <w:tcBorders>
              <w:top w:val="single" w:sz="8" w:space="0" w:color="000000"/>
              <w:left w:val="single" w:sz="8" w:space="0" w:color="000000"/>
              <w:bottom w:val="double" w:sz="12" w:space="0" w:color="000000"/>
              <w:right w:val="single" w:sz="8" w:space="0" w:color="000000"/>
            </w:tcBorders>
            <w:vAlign w:val="center"/>
          </w:tcPr>
          <w:p w:rsidR="00FD4062" w:rsidRPr="00E83801" w:rsidRDefault="00FD4062" w:rsidP="00FD4062">
            <w:pPr>
              <w:jc w:val="center"/>
              <w:rPr>
                <w:rFonts w:cs="Arial"/>
                <w:sz w:val="18"/>
                <w:szCs w:val="18"/>
              </w:rPr>
            </w:pPr>
            <w:r>
              <w:rPr>
                <w:rFonts w:cs="Arial"/>
                <w:sz w:val="18"/>
                <w:szCs w:val="18"/>
              </w:rPr>
              <w:t>9/1/15</w:t>
            </w:r>
          </w:p>
        </w:tc>
        <w:tc>
          <w:tcPr>
            <w:tcW w:w="782" w:type="pct"/>
            <w:tcBorders>
              <w:top w:val="single" w:sz="8" w:space="0" w:color="000000"/>
              <w:left w:val="single" w:sz="8" w:space="0" w:color="000000"/>
              <w:bottom w:val="double" w:sz="12" w:space="0" w:color="000000"/>
              <w:right w:val="single" w:sz="8" w:space="0" w:color="000000"/>
            </w:tcBorders>
            <w:vAlign w:val="center"/>
          </w:tcPr>
          <w:p w:rsidR="00FD4062" w:rsidRPr="00E83801" w:rsidRDefault="00FD4062" w:rsidP="00FD4062">
            <w:pPr>
              <w:jc w:val="center"/>
              <w:rPr>
                <w:rFonts w:cs="Arial"/>
                <w:sz w:val="18"/>
                <w:szCs w:val="18"/>
              </w:rPr>
            </w:pPr>
            <w:r>
              <w:rPr>
                <w:rFonts w:cs="Arial"/>
                <w:sz w:val="18"/>
                <w:szCs w:val="18"/>
              </w:rPr>
              <w:t>9/8/15</w:t>
            </w:r>
          </w:p>
        </w:tc>
        <w:tc>
          <w:tcPr>
            <w:tcW w:w="635" w:type="pct"/>
            <w:tcBorders>
              <w:top w:val="single" w:sz="8" w:space="0" w:color="000000"/>
              <w:left w:val="single" w:sz="8" w:space="0" w:color="000000"/>
              <w:bottom w:val="double" w:sz="12" w:space="0" w:color="000000"/>
              <w:right w:val="single" w:sz="8" w:space="0" w:color="000000"/>
            </w:tcBorders>
            <w:vAlign w:val="center"/>
          </w:tcPr>
          <w:p w:rsidR="00FD4062" w:rsidRPr="00E83801" w:rsidRDefault="00FD4062" w:rsidP="00797DF2">
            <w:pPr>
              <w:jc w:val="center"/>
              <w:rPr>
                <w:rFonts w:cs="Arial"/>
                <w:sz w:val="18"/>
                <w:szCs w:val="18"/>
              </w:rPr>
            </w:pPr>
            <w:r>
              <w:rPr>
                <w:rFonts w:cs="Arial"/>
                <w:sz w:val="18"/>
                <w:szCs w:val="18"/>
              </w:rPr>
              <w:t xml:space="preserve">   </w:t>
            </w:r>
            <w:r w:rsidR="0039360A">
              <w:rPr>
                <w:rFonts w:cs="Arial"/>
                <w:sz w:val="18"/>
                <w:szCs w:val="18"/>
              </w:rPr>
              <w:t>9/14</w:t>
            </w:r>
            <w:r>
              <w:rPr>
                <w:rFonts w:cs="Arial"/>
                <w:sz w:val="18"/>
                <w:szCs w:val="18"/>
              </w:rPr>
              <w:t>/15</w:t>
            </w:r>
          </w:p>
        </w:tc>
        <w:tc>
          <w:tcPr>
            <w:tcW w:w="734" w:type="pct"/>
            <w:tcBorders>
              <w:top w:val="single" w:sz="8" w:space="0" w:color="000000"/>
              <w:left w:val="single" w:sz="8" w:space="0" w:color="000000"/>
              <w:bottom w:val="double" w:sz="12" w:space="0" w:color="000000"/>
              <w:right w:val="single" w:sz="8" w:space="0" w:color="000000"/>
            </w:tcBorders>
            <w:shd w:val="clear" w:color="auto" w:fill="FFFFFF"/>
            <w:vAlign w:val="center"/>
          </w:tcPr>
          <w:p w:rsidR="00FD4062" w:rsidRPr="00E83801" w:rsidRDefault="00FD4062" w:rsidP="00FD4062">
            <w:pPr>
              <w:jc w:val="center"/>
              <w:rPr>
                <w:rFonts w:cs="Arial"/>
                <w:sz w:val="18"/>
                <w:szCs w:val="18"/>
              </w:rPr>
            </w:pPr>
            <w:r>
              <w:rPr>
                <w:rFonts w:cs="Arial"/>
                <w:sz w:val="18"/>
                <w:szCs w:val="18"/>
              </w:rPr>
              <w:t>9/8/15</w:t>
            </w:r>
          </w:p>
        </w:tc>
        <w:tc>
          <w:tcPr>
            <w:tcW w:w="671" w:type="pct"/>
            <w:tcBorders>
              <w:top w:val="single" w:sz="8" w:space="0" w:color="000000"/>
              <w:left w:val="single" w:sz="8" w:space="0" w:color="000000"/>
              <w:bottom w:val="double" w:sz="12" w:space="0" w:color="000000"/>
              <w:right w:val="double" w:sz="12" w:space="0" w:color="000000"/>
            </w:tcBorders>
            <w:shd w:val="clear" w:color="auto" w:fill="FFFFFF"/>
            <w:vAlign w:val="center"/>
          </w:tcPr>
          <w:p w:rsidR="00FD4062" w:rsidRPr="00E83801" w:rsidRDefault="00324809" w:rsidP="00324809">
            <w:pPr>
              <w:jc w:val="center"/>
              <w:rPr>
                <w:rFonts w:cs="Arial"/>
                <w:sz w:val="18"/>
                <w:szCs w:val="18"/>
              </w:rPr>
            </w:pPr>
            <w:r>
              <w:rPr>
                <w:rFonts w:cs="Arial"/>
                <w:sz w:val="18"/>
                <w:szCs w:val="18"/>
              </w:rPr>
              <w:t>12</w:t>
            </w:r>
            <w:r w:rsidR="00FD4062">
              <w:rPr>
                <w:rFonts w:cs="Arial"/>
                <w:sz w:val="18"/>
                <w:szCs w:val="18"/>
              </w:rPr>
              <w:t>/</w:t>
            </w:r>
            <w:r>
              <w:rPr>
                <w:rFonts w:cs="Arial"/>
                <w:sz w:val="18"/>
                <w:szCs w:val="18"/>
              </w:rPr>
              <w:t>14</w:t>
            </w:r>
            <w:r w:rsidR="00FD4062">
              <w:rPr>
                <w:rFonts w:cs="Arial"/>
                <w:sz w:val="18"/>
                <w:szCs w:val="18"/>
              </w:rPr>
              <w:t>/15</w:t>
            </w:r>
          </w:p>
        </w:tc>
      </w:tr>
      <w:tr w:rsidR="00E65704" w:rsidRPr="00E83801" w:rsidTr="00E65704">
        <w:trPr>
          <w:trHeight w:val="230"/>
        </w:trPr>
        <w:tc>
          <w:tcPr>
            <w:tcW w:w="578" w:type="pct"/>
            <w:tcBorders>
              <w:top w:val="double" w:sz="12" w:space="0" w:color="000000"/>
              <w:left w:val="double" w:sz="12" w:space="0" w:color="000000"/>
              <w:bottom w:val="single" w:sz="8" w:space="0" w:color="000000"/>
              <w:right w:val="single" w:sz="8" w:space="0" w:color="000000"/>
            </w:tcBorders>
            <w:vAlign w:val="center"/>
            <w:hideMark/>
          </w:tcPr>
          <w:p w:rsidR="00E65704" w:rsidRPr="00E83801" w:rsidRDefault="00E65704" w:rsidP="00E65704">
            <w:pPr>
              <w:rPr>
                <w:rFonts w:cs="Arial"/>
                <w:sz w:val="18"/>
                <w:szCs w:val="18"/>
              </w:rPr>
            </w:pPr>
            <w:r w:rsidRPr="00E83801">
              <w:rPr>
                <w:rFonts w:cs="Arial"/>
                <w:sz w:val="18"/>
                <w:szCs w:val="18"/>
              </w:rPr>
              <w:t>OFFICE</w:t>
            </w:r>
          </w:p>
        </w:tc>
        <w:tc>
          <w:tcPr>
            <w:tcW w:w="755" w:type="pct"/>
            <w:tcBorders>
              <w:top w:val="double" w:sz="12" w:space="0" w:color="000000"/>
              <w:left w:val="single" w:sz="8" w:space="0" w:color="000000"/>
              <w:bottom w:val="single" w:sz="8" w:space="0" w:color="000000"/>
              <w:right w:val="single" w:sz="8" w:space="0" w:color="000000"/>
            </w:tcBorders>
            <w:vAlign w:val="center"/>
          </w:tcPr>
          <w:p w:rsidR="00E65704" w:rsidRPr="00E83801" w:rsidRDefault="00E65704" w:rsidP="00E65704">
            <w:pPr>
              <w:jc w:val="center"/>
              <w:rPr>
                <w:rFonts w:cs="Arial"/>
                <w:sz w:val="18"/>
                <w:szCs w:val="18"/>
              </w:rPr>
            </w:pPr>
            <w:r w:rsidRPr="00E83801">
              <w:rPr>
                <w:rFonts w:cs="Arial"/>
                <w:sz w:val="18"/>
                <w:szCs w:val="18"/>
              </w:rPr>
              <w:t>NRR/DPR/PGCB:LA</w:t>
            </w:r>
          </w:p>
        </w:tc>
        <w:tc>
          <w:tcPr>
            <w:tcW w:w="845" w:type="pct"/>
            <w:tcBorders>
              <w:top w:val="double" w:sz="12" w:space="0" w:color="000000"/>
              <w:left w:val="single" w:sz="8" w:space="0" w:color="000000"/>
              <w:bottom w:val="single" w:sz="8" w:space="0" w:color="000000"/>
              <w:right w:val="single" w:sz="8" w:space="0" w:color="000000"/>
            </w:tcBorders>
            <w:vAlign w:val="center"/>
          </w:tcPr>
          <w:p w:rsidR="00E65704" w:rsidRPr="00E83801" w:rsidRDefault="00E65704" w:rsidP="00E65704">
            <w:pPr>
              <w:jc w:val="center"/>
              <w:rPr>
                <w:rFonts w:cs="Arial"/>
                <w:sz w:val="18"/>
                <w:szCs w:val="18"/>
              </w:rPr>
            </w:pPr>
            <w:r w:rsidRPr="00E83801">
              <w:rPr>
                <w:rFonts w:cs="Arial"/>
                <w:sz w:val="18"/>
                <w:szCs w:val="18"/>
              </w:rPr>
              <w:t>NRR/DPR/ PGCB:PM</w:t>
            </w:r>
          </w:p>
        </w:tc>
        <w:tc>
          <w:tcPr>
            <w:tcW w:w="782" w:type="pct"/>
            <w:tcBorders>
              <w:top w:val="double" w:sz="12" w:space="0" w:color="000000"/>
              <w:left w:val="single" w:sz="8" w:space="0" w:color="000000"/>
              <w:bottom w:val="single" w:sz="8" w:space="0" w:color="000000"/>
              <w:right w:val="single" w:sz="8" w:space="0" w:color="000000"/>
            </w:tcBorders>
            <w:vAlign w:val="center"/>
          </w:tcPr>
          <w:p w:rsidR="00E65704" w:rsidRPr="00E83801" w:rsidRDefault="00E65704" w:rsidP="00E65704">
            <w:pPr>
              <w:jc w:val="center"/>
              <w:rPr>
                <w:rFonts w:cs="Arial"/>
                <w:sz w:val="18"/>
                <w:szCs w:val="18"/>
              </w:rPr>
            </w:pPr>
            <w:r w:rsidRPr="00E83801">
              <w:rPr>
                <w:rFonts w:cs="Arial"/>
                <w:sz w:val="18"/>
                <w:szCs w:val="18"/>
              </w:rPr>
              <w:t>NRR/DPR/ PGCB:BC</w:t>
            </w:r>
          </w:p>
        </w:tc>
        <w:tc>
          <w:tcPr>
            <w:tcW w:w="635" w:type="pct"/>
            <w:tcBorders>
              <w:top w:val="double" w:sz="12" w:space="0" w:color="000000"/>
              <w:left w:val="single" w:sz="8" w:space="0" w:color="000000"/>
              <w:bottom w:val="single" w:sz="8" w:space="0" w:color="000000"/>
              <w:right w:val="single" w:sz="8" w:space="0" w:color="000000"/>
            </w:tcBorders>
            <w:vAlign w:val="center"/>
          </w:tcPr>
          <w:p w:rsidR="00E65704" w:rsidRPr="00E83801" w:rsidRDefault="00E65704" w:rsidP="00E65704">
            <w:pPr>
              <w:jc w:val="center"/>
              <w:rPr>
                <w:rFonts w:cs="Arial"/>
                <w:sz w:val="18"/>
                <w:szCs w:val="18"/>
              </w:rPr>
            </w:pPr>
            <w:r w:rsidRPr="00E83801">
              <w:rPr>
                <w:rFonts w:cs="Arial"/>
                <w:sz w:val="18"/>
                <w:szCs w:val="18"/>
              </w:rPr>
              <w:t>NRR/DPR/</w:t>
            </w:r>
          </w:p>
          <w:p w:rsidR="00E65704" w:rsidRPr="00E83801" w:rsidRDefault="00E65704" w:rsidP="00E65704">
            <w:pPr>
              <w:jc w:val="center"/>
              <w:rPr>
                <w:rFonts w:cs="Arial"/>
                <w:sz w:val="18"/>
                <w:szCs w:val="18"/>
              </w:rPr>
            </w:pPr>
            <w:r w:rsidRPr="00E83801">
              <w:rPr>
                <w:rFonts w:cs="Arial"/>
                <w:sz w:val="18"/>
                <w:szCs w:val="18"/>
              </w:rPr>
              <w:t>DD</w:t>
            </w:r>
          </w:p>
        </w:tc>
        <w:tc>
          <w:tcPr>
            <w:tcW w:w="734" w:type="pct"/>
            <w:tcBorders>
              <w:top w:val="double" w:sz="12" w:space="0" w:color="000000"/>
              <w:left w:val="single" w:sz="8" w:space="0" w:color="000000"/>
              <w:bottom w:val="single" w:sz="8" w:space="0" w:color="000000"/>
              <w:right w:val="single" w:sz="8" w:space="0" w:color="000000"/>
            </w:tcBorders>
            <w:shd w:val="clear" w:color="auto" w:fill="FFFFFF"/>
            <w:vAlign w:val="center"/>
          </w:tcPr>
          <w:p w:rsidR="00E65704" w:rsidRPr="00E83801" w:rsidRDefault="00E65704" w:rsidP="00E65704">
            <w:pPr>
              <w:jc w:val="center"/>
              <w:rPr>
                <w:rFonts w:cs="Arial"/>
                <w:sz w:val="18"/>
                <w:szCs w:val="18"/>
              </w:rPr>
            </w:pPr>
            <w:r w:rsidRPr="00E83801">
              <w:rPr>
                <w:rFonts w:cs="Arial"/>
                <w:sz w:val="18"/>
                <w:szCs w:val="18"/>
              </w:rPr>
              <w:t>NRR/DPR:D</w:t>
            </w:r>
          </w:p>
        </w:tc>
        <w:tc>
          <w:tcPr>
            <w:tcW w:w="671" w:type="pct"/>
            <w:tcBorders>
              <w:top w:val="double" w:sz="12" w:space="0" w:color="000000"/>
              <w:left w:val="single" w:sz="8" w:space="0" w:color="000000"/>
              <w:bottom w:val="single" w:sz="8" w:space="0" w:color="000000"/>
              <w:right w:val="double" w:sz="12" w:space="0" w:color="000000"/>
            </w:tcBorders>
            <w:shd w:val="clear" w:color="auto" w:fill="FFFFFF"/>
            <w:vAlign w:val="center"/>
          </w:tcPr>
          <w:p w:rsidR="00E65704" w:rsidRPr="00E83801" w:rsidRDefault="00E65704" w:rsidP="00E65704">
            <w:pPr>
              <w:jc w:val="center"/>
              <w:rPr>
                <w:rFonts w:cs="Arial"/>
                <w:sz w:val="18"/>
                <w:szCs w:val="18"/>
              </w:rPr>
            </w:pPr>
          </w:p>
        </w:tc>
      </w:tr>
      <w:tr w:rsidR="00E65704" w:rsidRPr="00E83801" w:rsidTr="00E65704">
        <w:trPr>
          <w:trHeight w:val="230"/>
        </w:trPr>
        <w:tc>
          <w:tcPr>
            <w:tcW w:w="578" w:type="pct"/>
            <w:tcBorders>
              <w:top w:val="single" w:sz="8" w:space="0" w:color="000000"/>
              <w:left w:val="double" w:sz="12" w:space="0" w:color="000000"/>
              <w:bottom w:val="single" w:sz="8" w:space="0" w:color="000000"/>
              <w:right w:val="single" w:sz="8" w:space="0" w:color="000000"/>
            </w:tcBorders>
            <w:vAlign w:val="center"/>
            <w:hideMark/>
          </w:tcPr>
          <w:p w:rsidR="00E65704" w:rsidRPr="00E83801" w:rsidRDefault="00E65704" w:rsidP="00E65704">
            <w:pPr>
              <w:rPr>
                <w:rFonts w:cs="Arial"/>
                <w:sz w:val="18"/>
                <w:szCs w:val="18"/>
              </w:rPr>
            </w:pPr>
            <w:r w:rsidRPr="00E83801">
              <w:rPr>
                <w:rFonts w:cs="Arial"/>
                <w:sz w:val="18"/>
                <w:szCs w:val="18"/>
              </w:rPr>
              <w:t>NAME</w:t>
            </w:r>
          </w:p>
        </w:tc>
        <w:tc>
          <w:tcPr>
            <w:tcW w:w="755" w:type="pct"/>
            <w:tcBorders>
              <w:top w:val="single" w:sz="8" w:space="0" w:color="000000"/>
              <w:left w:val="single" w:sz="8" w:space="0" w:color="000000"/>
              <w:bottom w:val="single" w:sz="8" w:space="0" w:color="000000"/>
              <w:right w:val="single" w:sz="8" w:space="0" w:color="000000"/>
            </w:tcBorders>
            <w:vAlign w:val="center"/>
          </w:tcPr>
          <w:p w:rsidR="00E65704" w:rsidRPr="00E83801" w:rsidRDefault="000E1ED3" w:rsidP="00E65704">
            <w:pPr>
              <w:jc w:val="center"/>
              <w:rPr>
                <w:rFonts w:cs="Arial"/>
                <w:sz w:val="18"/>
                <w:szCs w:val="18"/>
              </w:rPr>
            </w:pPr>
            <w:r>
              <w:rPr>
                <w:rFonts w:cs="Arial"/>
                <w:sz w:val="18"/>
                <w:szCs w:val="18"/>
              </w:rPr>
              <w:t>ELee</w:t>
            </w:r>
          </w:p>
        </w:tc>
        <w:tc>
          <w:tcPr>
            <w:tcW w:w="845" w:type="pct"/>
            <w:tcBorders>
              <w:top w:val="single" w:sz="8" w:space="0" w:color="000000"/>
              <w:left w:val="single" w:sz="8" w:space="0" w:color="000000"/>
              <w:bottom w:val="single" w:sz="8" w:space="0" w:color="000000"/>
              <w:right w:val="single" w:sz="8" w:space="0" w:color="000000"/>
            </w:tcBorders>
            <w:vAlign w:val="center"/>
          </w:tcPr>
          <w:p w:rsidR="00E65704" w:rsidRPr="00E83801" w:rsidRDefault="00E65704" w:rsidP="00E65704">
            <w:pPr>
              <w:jc w:val="center"/>
              <w:rPr>
                <w:rFonts w:cs="Arial"/>
                <w:sz w:val="18"/>
                <w:szCs w:val="18"/>
              </w:rPr>
            </w:pPr>
            <w:r>
              <w:rPr>
                <w:rFonts w:cs="Arial"/>
                <w:sz w:val="18"/>
                <w:szCs w:val="18"/>
              </w:rPr>
              <w:t>SSanders</w:t>
            </w:r>
          </w:p>
        </w:tc>
        <w:tc>
          <w:tcPr>
            <w:tcW w:w="782" w:type="pct"/>
            <w:tcBorders>
              <w:top w:val="single" w:sz="8" w:space="0" w:color="000000"/>
              <w:left w:val="single" w:sz="8" w:space="0" w:color="000000"/>
              <w:bottom w:val="single" w:sz="8" w:space="0" w:color="000000"/>
              <w:right w:val="single" w:sz="8" w:space="0" w:color="000000"/>
            </w:tcBorders>
            <w:vAlign w:val="center"/>
          </w:tcPr>
          <w:p w:rsidR="00E65704" w:rsidRPr="00E83801" w:rsidRDefault="00E65704" w:rsidP="00E65704">
            <w:pPr>
              <w:jc w:val="center"/>
              <w:rPr>
                <w:rFonts w:cs="Arial"/>
                <w:sz w:val="18"/>
                <w:szCs w:val="18"/>
              </w:rPr>
            </w:pPr>
            <w:r>
              <w:rPr>
                <w:rFonts w:cs="Arial"/>
                <w:sz w:val="18"/>
                <w:szCs w:val="18"/>
              </w:rPr>
              <w:t>SStuchell</w:t>
            </w:r>
          </w:p>
        </w:tc>
        <w:tc>
          <w:tcPr>
            <w:tcW w:w="635" w:type="pct"/>
            <w:tcBorders>
              <w:top w:val="single" w:sz="8" w:space="0" w:color="000000"/>
              <w:left w:val="single" w:sz="8" w:space="0" w:color="000000"/>
              <w:bottom w:val="single" w:sz="8" w:space="0" w:color="000000"/>
              <w:right w:val="single" w:sz="8" w:space="0" w:color="000000"/>
            </w:tcBorders>
            <w:vAlign w:val="center"/>
          </w:tcPr>
          <w:p w:rsidR="00E65704" w:rsidRPr="00E83801" w:rsidRDefault="00E65704" w:rsidP="00E65704">
            <w:pPr>
              <w:jc w:val="center"/>
              <w:rPr>
                <w:rFonts w:cs="Arial"/>
                <w:sz w:val="18"/>
                <w:szCs w:val="18"/>
              </w:rPr>
            </w:pPr>
            <w:r>
              <w:rPr>
                <w:rFonts w:cs="Arial"/>
                <w:sz w:val="18"/>
                <w:szCs w:val="18"/>
              </w:rPr>
              <w:t>AMoheni</w:t>
            </w:r>
          </w:p>
        </w:tc>
        <w:tc>
          <w:tcPr>
            <w:tcW w:w="73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E65704" w:rsidRPr="00E83801" w:rsidRDefault="00E65704" w:rsidP="00E65704">
            <w:pPr>
              <w:jc w:val="center"/>
              <w:rPr>
                <w:rFonts w:cs="Arial"/>
                <w:sz w:val="18"/>
                <w:szCs w:val="18"/>
              </w:rPr>
            </w:pPr>
            <w:r>
              <w:rPr>
                <w:rFonts w:cs="Arial"/>
                <w:sz w:val="18"/>
                <w:szCs w:val="18"/>
              </w:rPr>
              <w:t>LKokajko</w:t>
            </w:r>
          </w:p>
        </w:tc>
        <w:tc>
          <w:tcPr>
            <w:tcW w:w="671" w:type="pct"/>
            <w:tcBorders>
              <w:top w:val="single" w:sz="8" w:space="0" w:color="000000"/>
              <w:left w:val="single" w:sz="8" w:space="0" w:color="000000"/>
              <w:bottom w:val="single" w:sz="8" w:space="0" w:color="000000"/>
              <w:right w:val="double" w:sz="12" w:space="0" w:color="000000"/>
            </w:tcBorders>
            <w:shd w:val="clear" w:color="auto" w:fill="FFFFFF"/>
            <w:vAlign w:val="center"/>
          </w:tcPr>
          <w:p w:rsidR="00E65704" w:rsidRPr="00E83801" w:rsidRDefault="00E65704" w:rsidP="00E65704">
            <w:pPr>
              <w:jc w:val="center"/>
              <w:rPr>
                <w:rFonts w:cs="Arial"/>
                <w:sz w:val="18"/>
                <w:szCs w:val="18"/>
              </w:rPr>
            </w:pPr>
          </w:p>
        </w:tc>
      </w:tr>
      <w:tr w:rsidR="00E65704" w:rsidRPr="00E83801" w:rsidTr="00E65704">
        <w:trPr>
          <w:trHeight w:val="230"/>
        </w:trPr>
        <w:tc>
          <w:tcPr>
            <w:tcW w:w="578" w:type="pct"/>
            <w:tcBorders>
              <w:top w:val="single" w:sz="8" w:space="0" w:color="000000"/>
              <w:left w:val="double" w:sz="12" w:space="0" w:color="000000"/>
              <w:bottom w:val="double" w:sz="12" w:space="0" w:color="000000"/>
              <w:right w:val="single" w:sz="8" w:space="0" w:color="000000"/>
            </w:tcBorders>
            <w:vAlign w:val="center"/>
            <w:hideMark/>
          </w:tcPr>
          <w:p w:rsidR="00E65704" w:rsidRPr="00E83801" w:rsidRDefault="00E65704" w:rsidP="00E65704">
            <w:pPr>
              <w:rPr>
                <w:rFonts w:cs="Arial"/>
                <w:sz w:val="18"/>
                <w:szCs w:val="18"/>
              </w:rPr>
            </w:pPr>
            <w:r w:rsidRPr="00E83801">
              <w:rPr>
                <w:rFonts w:cs="Arial"/>
                <w:sz w:val="18"/>
                <w:szCs w:val="18"/>
              </w:rPr>
              <w:t>DATE</w:t>
            </w:r>
          </w:p>
        </w:tc>
        <w:tc>
          <w:tcPr>
            <w:tcW w:w="755" w:type="pct"/>
            <w:tcBorders>
              <w:top w:val="single" w:sz="8" w:space="0" w:color="000000"/>
              <w:left w:val="single" w:sz="8" w:space="0" w:color="000000"/>
              <w:bottom w:val="double" w:sz="12" w:space="0" w:color="000000"/>
              <w:right w:val="single" w:sz="8" w:space="0" w:color="000000"/>
            </w:tcBorders>
            <w:vAlign w:val="center"/>
          </w:tcPr>
          <w:p w:rsidR="00E65704" w:rsidRPr="00E83801" w:rsidRDefault="000E1ED3" w:rsidP="000E1ED3">
            <w:pPr>
              <w:jc w:val="center"/>
              <w:rPr>
                <w:rFonts w:cs="Arial"/>
                <w:sz w:val="18"/>
                <w:szCs w:val="18"/>
              </w:rPr>
            </w:pPr>
            <w:r>
              <w:rPr>
                <w:rFonts w:cs="Arial"/>
                <w:sz w:val="18"/>
                <w:szCs w:val="18"/>
              </w:rPr>
              <w:t>0915</w:t>
            </w:r>
            <w:r w:rsidR="00E65704">
              <w:rPr>
                <w:rFonts w:cs="Arial"/>
                <w:sz w:val="18"/>
                <w:szCs w:val="18"/>
              </w:rPr>
              <w:t>/15</w:t>
            </w:r>
          </w:p>
        </w:tc>
        <w:tc>
          <w:tcPr>
            <w:tcW w:w="845" w:type="pct"/>
            <w:tcBorders>
              <w:top w:val="single" w:sz="8" w:space="0" w:color="000000"/>
              <w:left w:val="single" w:sz="8" w:space="0" w:color="000000"/>
              <w:bottom w:val="double" w:sz="12" w:space="0" w:color="000000"/>
              <w:right w:val="single" w:sz="8" w:space="0" w:color="000000"/>
            </w:tcBorders>
            <w:vAlign w:val="center"/>
          </w:tcPr>
          <w:p w:rsidR="00E65704" w:rsidRPr="00E83801" w:rsidRDefault="004F0223" w:rsidP="004F0223">
            <w:pPr>
              <w:jc w:val="center"/>
              <w:rPr>
                <w:rFonts w:cs="Arial"/>
                <w:sz w:val="18"/>
                <w:szCs w:val="18"/>
              </w:rPr>
            </w:pPr>
            <w:r>
              <w:rPr>
                <w:rFonts w:cs="Arial"/>
                <w:sz w:val="18"/>
                <w:szCs w:val="18"/>
              </w:rPr>
              <w:t>09</w:t>
            </w:r>
            <w:r w:rsidR="00E65704">
              <w:rPr>
                <w:rFonts w:cs="Arial"/>
                <w:sz w:val="18"/>
                <w:szCs w:val="18"/>
              </w:rPr>
              <w:t>/</w:t>
            </w:r>
            <w:r>
              <w:rPr>
                <w:rFonts w:cs="Arial"/>
                <w:sz w:val="18"/>
                <w:szCs w:val="18"/>
              </w:rPr>
              <w:t>17</w:t>
            </w:r>
            <w:r w:rsidR="00E65704">
              <w:rPr>
                <w:rFonts w:cs="Arial"/>
                <w:sz w:val="18"/>
                <w:szCs w:val="18"/>
              </w:rPr>
              <w:t>/15</w:t>
            </w:r>
          </w:p>
        </w:tc>
        <w:tc>
          <w:tcPr>
            <w:tcW w:w="782" w:type="pct"/>
            <w:tcBorders>
              <w:top w:val="single" w:sz="8" w:space="0" w:color="000000"/>
              <w:left w:val="single" w:sz="8" w:space="0" w:color="000000"/>
              <w:bottom w:val="double" w:sz="12" w:space="0" w:color="000000"/>
              <w:right w:val="single" w:sz="8" w:space="0" w:color="000000"/>
            </w:tcBorders>
            <w:vAlign w:val="center"/>
          </w:tcPr>
          <w:p w:rsidR="00E65704" w:rsidRPr="00E83801" w:rsidRDefault="004F0223" w:rsidP="004F0223">
            <w:pPr>
              <w:jc w:val="center"/>
              <w:rPr>
                <w:rFonts w:cs="Arial"/>
                <w:sz w:val="18"/>
                <w:szCs w:val="18"/>
              </w:rPr>
            </w:pPr>
            <w:r>
              <w:rPr>
                <w:rFonts w:cs="Arial"/>
                <w:sz w:val="18"/>
                <w:szCs w:val="18"/>
              </w:rPr>
              <w:t>09</w:t>
            </w:r>
            <w:r w:rsidR="00E65704">
              <w:rPr>
                <w:rFonts w:cs="Arial"/>
                <w:sz w:val="18"/>
                <w:szCs w:val="18"/>
              </w:rPr>
              <w:t>/</w:t>
            </w:r>
            <w:r>
              <w:rPr>
                <w:rFonts w:cs="Arial"/>
                <w:sz w:val="18"/>
                <w:szCs w:val="18"/>
              </w:rPr>
              <w:t>21</w:t>
            </w:r>
            <w:r w:rsidR="00E65704">
              <w:rPr>
                <w:rFonts w:cs="Arial"/>
                <w:sz w:val="18"/>
                <w:szCs w:val="18"/>
              </w:rPr>
              <w:t>/15</w:t>
            </w:r>
          </w:p>
        </w:tc>
        <w:tc>
          <w:tcPr>
            <w:tcW w:w="635" w:type="pct"/>
            <w:tcBorders>
              <w:top w:val="single" w:sz="8" w:space="0" w:color="000000"/>
              <w:left w:val="single" w:sz="8" w:space="0" w:color="000000"/>
              <w:bottom w:val="double" w:sz="12" w:space="0" w:color="000000"/>
              <w:right w:val="single" w:sz="8" w:space="0" w:color="000000"/>
            </w:tcBorders>
            <w:vAlign w:val="center"/>
          </w:tcPr>
          <w:p w:rsidR="00E65704" w:rsidRPr="00E83801" w:rsidRDefault="00324809" w:rsidP="00324809">
            <w:pPr>
              <w:jc w:val="center"/>
              <w:rPr>
                <w:rFonts w:cs="Arial"/>
                <w:sz w:val="18"/>
                <w:szCs w:val="18"/>
              </w:rPr>
            </w:pPr>
            <w:r>
              <w:rPr>
                <w:rFonts w:cs="Arial"/>
                <w:sz w:val="18"/>
                <w:szCs w:val="18"/>
              </w:rPr>
              <w:t>12</w:t>
            </w:r>
            <w:r w:rsidR="00E65704">
              <w:rPr>
                <w:rFonts w:cs="Arial"/>
                <w:sz w:val="18"/>
                <w:szCs w:val="18"/>
              </w:rPr>
              <w:t>/</w:t>
            </w:r>
            <w:r>
              <w:rPr>
                <w:rFonts w:cs="Arial"/>
                <w:sz w:val="18"/>
                <w:szCs w:val="18"/>
              </w:rPr>
              <w:t>15</w:t>
            </w:r>
            <w:r w:rsidR="00E65704">
              <w:rPr>
                <w:rFonts w:cs="Arial"/>
                <w:sz w:val="18"/>
                <w:szCs w:val="18"/>
              </w:rPr>
              <w:t xml:space="preserve"> /15</w:t>
            </w:r>
          </w:p>
        </w:tc>
        <w:tc>
          <w:tcPr>
            <w:tcW w:w="734" w:type="pct"/>
            <w:tcBorders>
              <w:top w:val="single" w:sz="8" w:space="0" w:color="000000"/>
              <w:left w:val="single" w:sz="8" w:space="0" w:color="000000"/>
              <w:bottom w:val="double" w:sz="12" w:space="0" w:color="000000"/>
              <w:right w:val="single" w:sz="8" w:space="0" w:color="000000"/>
            </w:tcBorders>
            <w:shd w:val="clear" w:color="auto" w:fill="FFFFFF"/>
            <w:vAlign w:val="center"/>
          </w:tcPr>
          <w:p w:rsidR="00E65704" w:rsidRPr="00E83801" w:rsidRDefault="00592993" w:rsidP="00592993">
            <w:pPr>
              <w:jc w:val="center"/>
              <w:rPr>
                <w:rFonts w:cs="Arial"/>
                <w:sz w:val="18"/>
                <w:szCs w:val="18"/>
              </w:rPr>
            </w:pPr>
            <w:r>
              <w:rPr>
                <w:rFonts w:cs="Arial"/>
                <w:sz w:val="18"/>
                <w:szCs w:val="18"/>
              </w:rPr>
              <w:t>12</w:t>
            </w:r>
            <w:r w:rsidR="00E65704">
              <w:rPr>
                <w:rFonts w:cs="Arial"/>
                <w:sz w:val="18"/>
                <w:szCs w:val="18"/>
              </w:rPr>
              <w:t>/</w:t>
            </w:r>
            <w:r>
              <w:rPr>
                <w:rFonts w:cs="Arial"/>
                <w:sz w:val="18"/>
                <w:szCs w:val="18"/>
              </w:rPr>
              <w:t>18</w:t>
            </w:r>
            <w:r w:rsidR="00E65704">
              <w:rPr>
                <w:rFonts w:cs="Arial"/>
                <w:sz w:val="18"/>
                <w:szCs w:val="18"/>
              </w:rPr>
              <w:t>/15</w:t>
            </w:r>
          </w:p>
        </w:tc>
        <w:tc>
          <w:tcPr>
            <w:tcW w:w="671" w:type="pct"/>
            <w:tcBorders>
              <w:top w:val="single" w:sz="8" w:space="0" w:color="000000"/>
              <w:left w:val="single" w:sz="8" w:space="0" w:color="000000"/>
              <w:bottom w:val="double" w:sz="12" w:space="0" w:color="000000"/>
              <w:right w:val="double" w:sz="12" w:space="0" w:color="000000"/>
            </w:tcBorders>
            <w:shd w:val="clear" w:color="auto" w:fill="FFFFFF"/>
            <w:vAlign w:val="center"/>
          </w:tcPr>
          <w:p w:rsidR="00E65704" w:rsidRPr="00E83801" w:rsidRDefault="00E65704" w:rsidP="00E65704">
            <w:pPr>
              <w:jc w:val="center"/>
              <w:rPr>
                <w:rFonts w:cs="Arial"/>
                <w:sz w:val="18"/>
                <w:szCs w:val="18"/>
              </w:rPr>
            </w:pPr>
          </w:p>
        </w:tc>
      </w:tr>
    </w:tbl>
    <w:p w:rsidR="00E83801" w:rsidRPr="00E83801" w:rsidRDefault="00016654" w:rsidP="00E83801">
      <w:pPr>
        <w:jc w:val="center"/>
        <w:rPr>
          <w:rFonts w:cs="Arial"/>
          <w:b/>
          <w:sz w:val="18"/>
          <w:szCs w:val="18"/>
        </w:rPr>
      </w:pPr>
      <w:r w:rsidRPr="00E83801">
        <w:rPr>
          <w:rFonts w:cs="Arial"/>
          <w:b/>
          <w:sz w:val="18"/>
          <w:szCs w:val="18"/>
        </w:rPr>
        <w:t>OFFICIAL RECORD COPY</w:t>
      </w:r>
    </w:p>
    <w:p w:rsidR="00E83801" w:rsidRPr="00016654" w:rsidRDefault="00E83801" w:rsidP="00E83801">
      <w:pPr>
        <w:rPr>
          <w:b/>
        </w:rPr>
        <w:sectPr w:rsidR="00E83801" w:rsidRPr="00016654" w:rsidSect="006F517C">
          <w:headerReference w:type="default" r:id="rId29"/>
          <w:headerReference w:type="first" r:id="rId30"/>
          <w:footerReference w:type="first" r:id="rId31"/>
          <w:pgSz w:w="12240" w:h="15839" w:code="1"/>
          <w:pgMar w:top="432" w:right="1440" w:bottom="180" w:left="1440" w:header="432" w:footer="432" w:gutter="0"/>
          <w:pgNumType w:start="1"/>
          <w:cols w:space="720"/>
          <w:titlePg/>
          <w:docGrid w:linePitch="299"/>
        </w:sectPr>
      </w:pPr>
    </w:p>
    <w:p w:rsidR="004F3B27" w:rsidRDefault="00043FFB" w:rsidP="004F3B27">
      <w:pPr>
        <w:jc w:val="center"/>
        <w:rPr>
          <w:rFonts w:eastAsia="Times New Roman"/>
          <w:b/>
        </w:rPr>
      </w:pPr>
      <w:r w:rsidRPr="00C81113">
        <w:rPr>
          <w:rFonts w:eastAsia="Times New Roman"/>
          <w:b/>
        </w:rPr>
        <w:lastRenderedPageBreak/>
        <w:t>Appendix </w:t>
      </w:r>
      <w:r w:rsidR="00C81113" w:rsidRPr="00C81113">
        <w:rPr>
          <w:rFonts w:eastAsia="Times New Roman"/>
          <w:b/>
        </w:rPr>
        <w:t>A</w:t>
      </w:r>
    </w:p>
    <w:p w:rsidR="00BC56A0" w:rsidRDefault="00BC56A0" w:rsidP="004F3B27">
      <w:pPr>
        <w:jc w:val="center"/>
        <w:rPr>
          <w:rFonts w:eastAsia="Times New Roman"/>
          <w:b/>
        </w:rPr>
      </w:pPr>
    </w:p>
    <w:p w:rsidR="00466915" w:rsidRPr="00C81113" w:rsidRDefault="00466915" w:rsidP="004F3B27">
      <w:pPr>
        <w:jc w:val="center"/>
        <w:rPr>
          <w:rFonts w:eastAsia="Times New Roman"/>
          <w:b/>
        </w:rPr>
      </w:pPr>
      <w:r>
        <w:rPr>
          <w:rFonts w:eastAsia="Times New Roman"/>
          <w:b/>
        </w:rPr>
        <w:t xml:space="preserve">Guidance for Category 4 Responders to </w:t>
      </w:r>
      <w:r w:rsidR="00717B61">
        <w:rPr>
          <w:rFonts w:eastAsia="Times New Roman"/>
          <w:b/>
        </w:rPr>
        <w:t xml:space="preserve">Generic Letter </w:t>
      </w:r>
      <w:r w:rsidR="00B77CF5">
        <w:rPr>
          <w:rFonts w:eastAsia="Times New Roman"/>
          <w:b/>
        </w:rPr>
        <w:t>2016</w:t>
      </w:r>
      <w:r>
        <w:rPr>
          <w:rFonts w:eastAsia="Times New Roman"/>
          <w:b/>
        </w:rPr>
        <w:t>-</w:t>
      </w:r>
      <w:r w:rsidRPr="00B80533">
        <w:rPr>
          <w:rFonts w:eastAsia="Times New Roman"/>
          <w:b/>
          <w:highlight w:val="yellow"/>
        </w:rPr>
        <w:t>XX</w:t>
      </w:r>
    </w:p>
    <w:p w:rsidR="004F3B27" w:rsidRDefault="004F3B27" w:rsidP="004F3B27">
      <w:pPr>
        <w:jc w:val="center"/>
        <w:rPr>
          <w:rFonts w:eastAsia="Times New Roman"/>
        </w:rPr>
      </w:pPr>
    </w:p>
    <w:p w:rsidR="007C4D62" w:rsidRDefault="004F3B27" w:rsidP="004F3B27">
      <w:r w:rsidRPr="0094530A">
        <w:t xml:space="preserve">This appendix </w:t>
      </w:r>
      <w:r>
        <w:t>describes</w:t>
      </w:r>
      <w:r w:rsidRPr="0094530A">
        <w:t xml:space="preserve"> the </w:t>
      </w:r>
      <w:r>
        <w:t>level of</w:t>
      </w:r>
      <w:r w:rsidRPr="0094530A">
        <w:t xml:space="preserve"> </w:t>
      </w:r>
      <w:r>
        <w:t>detail</w:t>
      </w:r>
      <w:r w:rsidRPr="0094530A">
        <w:t xml:space="preserve"> </w:t>
      </w:r>
      <w:r w:rsidR="00466915">
        <w:t xml:space="preserve">for the information requested in </w:t>
      </w:r>
      <w:r w:rsidR="00717B61">
        <w:t>Generic Letter (</w:t>
      </w:r>
      <w:r w:rsidR="00466915">
        <w:t>GL</w:t>
      </w:r>
      <w:r w:rsidR="00717B61">
        <w:t>)</w:t>
      </w:r>
      <w:r w:rsidR="00B77CF5">
        <w:t xml:space="preserve"> 2016</w:t>
      </w:r>
      <w:r w:rsidR="00466915">
        <w:t>-</w:t>
      </w:r>
      <w:r w:rsidR="00466915" w:rsidRPr="00B80533">
        <w:rPr>
          <w:highlight w:val="yellow"/>
        </w:rPr>
        <w:t>XX</w:t>
      </w:r>
      <w:r w:rsidR="00466915">
        <w:t xml:space="preserve"> from Category 4 responders</w:t>
      </w:r>
      <w:r w:rsidRPr="0094530A">
        <w:t xml:space="preserve">. </w:t>
      </w:r>
      <w:r w:rsidR="00D41BB4">
        <w:t xml:space="preserve"> </w:t>
      </w:r>
      <w:r w:rsidR="00842F59">
        <w:t xml:space="preserve">The list of information herein is provided as guidance on responding to this </w:t>
      </w:r>
      <w:r w:rsidR="002606FD">
        <w:t>GL</w:t>
      </w:r>
      <w:r w:rsidR="00512E36">
        <w:t xml:space="preserve">.  The </w:t>
      </w:r>
      <w:r w:rsidR="00870585">
        <w:t>U.S. Nuclear Regulatory Commission (</w:t>
      </w:r>
      <w:r w:rsidR="00466915">
        <w:t>NRC</w:t>
      </w:r>
      <w:r w:rsidR="00870585">
        <w:t>)</w:t>
      </w:r>
      <w:r w:rsidR="00512E36">
        <w:t xml:space="preserve"> recognizes that addressees may find </w:t>
      </w:r>
      <w:r w:rsidR="007F6F8A">
        <w:t xml:space="preserve">that site-specific considerations make </w:t>
      </w:r>
      <w:r w:rsidR="00512E36">
        <w:t>it necessary to deviate from this guidance</w:t>
      </w:r>
      <w:r w:rsidR="007F6F8A">
        <w:t>,</w:t>
      </w:r>
      <w:r w:rsidR="00512E36">
        <w:t xml:space="preserve"> but any such deviations </w:t>
      </w:r>
      <w:r w:rsidR="00466915">
        <w:t xml:space="preserve">should </w:t>
      </w:r>
      <w:r w:rsidR="00512E36">
        <w:t xml:space="preserve">be justified.  </w:t>
      </w:r>
      <w:r w:rsidR="00C52079">
        <w:t xml:space="preserve">Licensees are encouraged to discuss any potential deviations with the NRC </w:t>
      </w:r>
      <w:r w:rsidR="00870585">
        <w:t>before</w:t>
      </w:r>
      <w:r w:rsidR="00C52079">
        <w:t xml:space="preserve"> making their formal response</w:t>
      </w:r>
      <w:r w:rsidR="00870585">
        <w:t>s</w:t>
      </w:r>
      <w:r w:rsidR="00C52079">
        <w:t xml:space="preserve">.  </w:t>
      </w:r>
      <w:r w:rsidR="00512E36">
        <w:t xml:space="preserve">If a specific section or item of this appendix is </w:t>
      </w:r>
      <w:r w:rsidR="00D81A10">
        <w:t>n</w:t>
      </w:r>
      <w:r w:rsidR="00512E36">
        <w:t xml:space="preserve">either applicable </w:t>
      </w:r>
      <w:r w:rsidR="00D81A10">
        <w:t>n</w:t>
      </w:r>
      <w:r w:rsidR="00512E36">
        <w:t xml:space="preserve">or part of the licensee’s licensing basis, a response to that effect is sufficient.  </w:t>
      </w:r>
      <w:r w:rsidR="004B6FFC">
        <w:t>If an addressee has additional information relevant to the question of regulatory compliance, such items</w:t>
      </w:r>
      <w:r w:rsidR="00CE5643">
        <w:t xml:space="preserve"> should be included</w:t>
      </w:r>
      <w:r w:rsidR="004B6FFC">
        <w:t xml:space="preserve"> in the </w:t>
      </w:r>
      <w:r w:rsidR="001C4DDD">
        <w:t xml:space="preserve">GL </w:t>
      </w:r>
      <w:r w:rsidR="004B6FFC">
        <w:t>response</w:t>
      </w:r>
      <w:r w:rsidR="001C4DDD">
        <w:t xml:space="preserve"> letter</w:t>
      </w:r>
      <w:r w:rsidR="004B6FFC">
        <w:t>.</w:t>
      </w:r>
    </w:p>
    <w:p w:rsidR="007C4D62" w:rsidRDefault="007C4D62" w:rsidP="004F3B27"/>
    <w:p w:rsidR="007C4D62" w:rsidRDefault="007C4D62" w:rsidP="004F3B27">
      <w:r>
        <w:t xml:space="preserve">The information </w:t>
      </w:r>
      <w:r w:rsidR="00870585">
        <w:t>that</w:t>
      </w:r>
      <w:r w:rsidR="00466915">
        <w:t xml:space="preserve"> </w:t>
      </w:r>
      <w:r w:rsidR="002727BF">
        <w:t xml:space="preserve">each power reactor addressee </w:t>
      </w:r>
      <w:r w:rsidR="00B07018">
        <w:t>should provide</w:t>
      </w:r>
      <w:r>
        <w:t xml:space="preserve"> varies</w:t>
      </w:r>
      <w:r w:rsidR="002727BF">
        <w:t>,</w:t>
      </w:r>
      <w:r>
        <w:t xml:space="preserve"> </w:t>
      </w:r>
      <w:r w:rsidR="00466915">
        <w:t xml:space="preserve">depending </w:t>
      </w:r>
      <w:r>
        <w:t xml:space="preserve">on the neutron-absorbing materials credited </w:t>
      </w:r>
      <w:r w:rsidR="00466915">
        <w:t xml:space="preserve">by each licensee </w:t>
      </w:r>
      <w:r>
        <w:t>and known susceptibility to degradation.  The table</w:t>
      </w:r>
      <w:r w:rsidR="002606FD" w:rsidRPr="002606FD">
        <w:t xml:space="preserve"> </w:t>
      </w:r>
      <w:r w:rsidR="002606FD">
        <w:t>below</w:t>
      </w:r>
      <w:r>
        <w:t xml:space="preserve"> </w:t>
      </w:r>
      <w:r w:rsidR="00466915">
        <w:t>summarizes the type of information that should be provided for</w:t>
      </w:r>
      <w:r>
        <w:t xml:space="preserve"> each type of neutron-absorbing material.</w:t>
      </w:r>
    </w:p>
    <w:p w:rsidR="007C4D62" w:rsidRDefault="007C4D62" w:rsidP="004F3B27"/>
    <w:tbl>
      <w:tblPr>
        <w:tblStyle w:val="TableGrid"/>
        <w:tblW w:w="8370" w:type="dxa"/>
        <w:tblInd w:w="828" w:type="dxa"/>
        <w:tblLayout w:type="fixed"/>
        <w:tblLook w:val="04A0" w:firstRow="1" w:lastRow="0" w:firstColumn="1" w:lastColumn="0" w:noHBand="0" w:noVBand="1"/>
      </w:tblPr>
      <w:tblGrid>
        <w:gridCol w:w="3135"/>
        <w:gridCol w:w="1047"/>
        <w:gridCol w:w="1047"/>
        <w:gridCol w:w="1047"/>
        <w:gridCol w:w="1047"/>
        <w:gridCol w:w="1047"/>
      </w:tblGrid>
      <w:tr w:rsidR="00F01548" w:rsidTr="00F01548">
        <w:tc>
          <w:tcPr>
            <w:tcW w:w="3510" w:type="dxa"/>
            <w:tcBorders>
              <w:top w:val="nil"/>
              <w:left w:val="nil"/>
              <w:bottom w:val="double" w:sz="4" w:space="0" w:color="auto"/>
              <w:right w:val="double" w:sz="4" w:space="0" w:color="auto"/>
            </w:tcBorders>
            <w:vAlign w:val="center"/>
          </w:tcPr>
          <w:p w:rsidR="00F01548" w:rsidRDefault="00F01548" w:rsidP="00F01548">
            <w:pPr>
              <w:jc w:val="center"/>
              <w:rPr>
                <w:rFonts w:eastAsia="Times New Roman"/>
              </w:rPr>
            </w:pPr>
          </w:p>
        </w:tc>
        <w:tc>
          <w:tcPr>
            <w:tcW w:w="1152" w:type="dxa"/>
            <w:gridSpan w:val="5"/>
            <w:tcBorders>
              <w:top w:val="double" w:sz="4" w:space="0" w:color="auto"/>
              <w:left w:val="double" w:sz="4" w:space="0" w:color="auto"/>
              <w:bottom w:val="double" w:sz="4" w:space="0" w:color="auto"/>
              <w:right w:val="double" w:sz="4" w:space="0" w:color="auto"/>
            </w:tcBorders>
            <w:vAlign w:val="center"/>
          </w:tcPr>
          <w:p w:rsidR="00F01548" w:rsidRDefault="003603A5" w:rsidP="00F01548">
            <w:pPr>
              <w:jc w:val="center"/>
              <w:rPr>
                <w:rFonts w:eastAsia="Times New Roman"/>
              </w:rPr>
            </w:pPr>
            <w:r>
              <w:rPr>
                <w:rFonts w:eastAsia="Times New Roman"/>
              </w:rPr>
              <w:t>Areas of Requested</w:t>
            </w:r>
            <w:r w:rsidR="00F01548">
              <w:rPr>
                <w:rFonts w:eastAsia="Times New Roman"/>
              </w:rPr>
              <w:t xml:space="preserve"> Information</w:t>
            </w:r>
          </w:p>
        </w:tc>
      </w:tr>
      <w:tr w:rsidR="00F01548" w:rsidTr="00F01548">
        <w:tc>
          <w:tcPr>
            <w:tcW w:w="3510" w:type="dxa"/>
            <w:tcBorders>
              <w:top w:val="double" w:sz="4" w:space="0" w:color="auto"/>
              <w:left w:val="double" w:sz="4" w:space="0" w:color="auto"/>
              <w:bottom w:val="double" w:sz="4" w:space="0" w:color="auto"/>
              <w:right w:val="double" w:sz="4" w:space="0" w:color="auto"/>
            </w:tcBorders>
            <w:vAlign w:val="center"/>
          </w:tcPr>
          <w:p w:rsidR="00F01548" w:rsidRDefault="00466915" w:rsidP="00F01548">
            <w:pPr>
              <w:jc w:val="center"/>
              <w:rPr>
                <w:rFonts w:eastAsia="Times New Roman"/>
              </w:rPr>
            </w:pPr>
            <w:r>
              <w:rPr>
                <w:rFonts w:eastAsia="Times New Roman"/>
              </w:rPr>
              <w:t xml:space="preserve">Neutron-Absorbing </w:t>
            </w:r>
            <w:r w:rsidR="00870585">
              <w:rPr>
                <w:rFonts w:eastAsia="Times New Roman"/>
              </w:rPr>
              <w:t>Material T</w:t>
            </w:r>
            <w:r w:rsidR="00F01548">
              <w:rPr>
                <w:rFonts w:eastAsia="Times New Roman"/>
              </w:rPr>
              <w:t>ype</w:t>
            </w:r>
          </w:p>
        </w:tc>
        <w:tc>
          <w:tcPr>
            <w:tcW w:w="1152" w:type="dxa"/>
            <w:tcBorders>
              <w:top w:val="double" w:sz="4" w:space="0" w:color="auto"/>
              <w:left w:val="double" w:sz="4" w:space="0" w:color="auto"/>
              <w:bottom w:val="double" w:sz="4" w:space="0" w:color="auto"/>
              <w:right w:val="double" w:sz="4" w:space="0" w:color="auto"/>
            </w:tcBorders>
            <w:vAlign w:val="center"/>
          </w:tcPr>
          <w:p w:rsidR="00F01548" w:rsidRDefault="00F01548" w:rsidP="00F01548">
            <w:pPr>
              <w:jc w:val="center"/>
              <w:rPr>
                <w:rFonts w:eastAsia="Times New Roman"/>
              </w:rPr>
            </w:pPr>
            <w:r>
              <w:rPr>
                <w:rFonts w:eastAsia="Times New Roman"/>
              </w:rPr>
              <w:t>(1)</w:t>
            </w:r>
          </w:p>
        </w:tc>
        <w:tc>
          <w:tcPr>
            <w:tcW w:w="1152" w:type="dxa"/>
            <w:tcBorders>
              <w:top w:val="double" w:sz="4" w:space="0" w:color="auto"/>
              <w:left w:val="double" w:sz="4" w:space="0" w:color="auto"/>
              <w:bottom w:val="double" w:sz="4" w:space="0" w:color="auto"/>
              <w:right w:val="double" w:sz="4" w:space="0" w:color="auto"/>
            </w:tcBorders>
            <w:vAlign w:val="center"/>
          </w:tcPr>
          <w:p w:rsidR="00F01548" w:rsidRDefault="00F01548" w:rsidP="00F01548">
            <w:pPr>
              <w:jc w:val="center"/>
              <w:rPr>
                <w:rFonts w:eastAsia="Times New Roman"/>
              </w:rPr>
            </w:pPr>
            <w:r>
              <w:rPr>
                <w:rFonts w:eastAsia="Times New Roman"/>
              </w:rPr>
              <w:t>(2)</w:t>
            </w:r>
          </w:p>
        </w:tc>
        <w:tc>
          <w:tcPr>
            <w:tcW w:w="1152" w:type="dxa"/>
            <w:tcBorders>
              <w:top w:val="double" w:sz="4" w:space="0" w:color="auto"/>
              <w:left w:val="double" w:sz="4" w:space="0" w:color="auto"/>
              <w:bottom w:val="double" w:sz="4" w:space="0" w:color="auto"/>
              <w:right w:val="double" w:sz="4" w:space="0" w:color="auto"/>
            </w:tcBorders>
            <w:vAlign w:val="center"/>
          </w:tcPr>
          <w:p w:rsidR="00F01548" w:rsidRDefault="00F01548" w:rsidP="00F01548">
            <w:pPr>
              <w:jc w:val="center"/>
              <w:rPr>
                <w:rFonts w:eastAsia="Times New Roman"/>
              </w:rPr>
            </w:pPr>
            <w:r>
              <w:rPr>
                <w:rFonts w:eastAsia="Times New Roman"/>
              </w:rPr>
              <w:t>(3)</w:t>
            </w:r>
          </w:p>
        </w:tc>
        <w:tc>
          <w:tcPr>
            <w:tcW w:w="1152" w:type="dxa"/>
            <w:tcBorders>
              <w:top w:val="double" w:sz="4" w:space="0" w:color="auto"/>
              <w:left w:val="double" w:sz="4" w:space="0" w:color="auto"/>
              <w:bottom w:val="double" w:sz="4" w:space="0" w:color="auto"/>
              <w:right w:val="double" w:sz="4" w:space="0" w:color="auto"/>
            </w:tcBorders>
            <w:vAlign w:val="center"/>
          </w:tcPr>
          <w:p w:rsidR="00F01548" w:rsidRDefault="00F01548" w:rsidP="00F01548">
            <w:pPr>
              <w:jc w:val="center"/>
              <w:rPr>
                <w:rFonts w:eastAsia="Times New Roman"/>
              </w:rPr>
            </w:pPr>
            <w:r>
              <w:rPr>
                <w:rFonts w:eastAsia="Times New Roman"/>
              </w:rPr>
              <w:t>(4)</w:t>
            </w:r>
          </w:p>
        </w:tc>
        <w:tc>
          <w:tcPr>
            <w:tcW w:w="1152" w:type="dxa"/>
            <w:tcBorders>
              <w:top w:val="double" w:sz="4" w:space="0" w:color="auto"/>
              <w:left w:val="double" w:sz="4" w:space="0" w:color="auto"/>
              <w:bottom w:val="double" w:sz="4" w:space="0" w:color="auto"/>
              <w:right w:val="double" w:sz="4" w:space="0" w:color="auto"/>
            </w:tcBorders>
            <w:vAlign w:val="center"/>
          </w:tcPr>
          <w:p w:rsidR="00F01548" w:rsidRDefault="00F01548" w:rsidP="00F01548">
            <w:pPr>
              <w:jc w:val="center"/>
              <w:rPr>
                <w:rFonts w:eastAsia="Times New Roman"/>
              </w:rPr>
            </w:pPr>
            <w:r>
              <w:rPr>
                <w:rFonts w:eastAsia="Times New Roman"/>
              </w:rPr>
              <w:t>(5)</w:t>
            </w:r>
          </w:p>
        </w:tc>
      </w:tr>
      <w:tr w:rsidR="00F01548" w:rsidTr="00F01548">
        <w:tc>
          <w:tcPr>
            <w:tcW w:w="3510" w:type="dxa"/>
            <w:tcBorders>
              <w:top w:val="double" w:sz="4" w:space="0" w:color="auto"/>
            </w:tcBorders>
            <w:vAlign w:val="center"/>
          </w:tcPr>
          <w:p w:rsidR="00F01548" w:rsidRDefault="00F01548" w:rsidP="00F01548">
            <w:pPr>
              <w:jc w:val="center"/>
              <w:rPr>
                <w:rFonts w:eastAsia="Times New Roman"/>
              </w:rPr>
            </w:pPr>
            <w:r>
              <w:rPr>
                <w:rFonts w:eastAsia="Times New Roman"/>
              </w:rPr>
              <w:t>Boraflex</w:t>
            </w:r>
          </w:p>
          <w:p w:rsidR="00F01548" w:rsidRDefault="00F01548" w:rsidP="00F01548">
            <w:pPr>
              <w:jc w:val="center"/>
              <w:rPr>
                <w:rFonts w:eastAsia="Times New Roman"/>
              </w:rPr>
            </w:pPr>
            <w:r>
              <w:rPr>
                <w:rFonts w:eastAsia="Times New Roman"/>
              </w:rPr>
              <w:t>Carborundum</w:t>
            </w:r>
          </w:p>
          <w:p w:rsidR="00F01548" w:rsidRDefault="00F01548" w:rsidP="00F01548">
            <w:pPr>
              <w:jc w:val="center"/>
              <w:rPr>
                <w:rFonts w:eastAsia="Times New Roman"/>
              </w:rPr>
            </w:pPr>
            <w:r>
              <w:rPr>
                <w:rFonts w:eastAsia="Times New Roman"/>
              </w:rPr>
              <w:t>Tetrabor</w:t>
            </w:r>
          </w:p>
        </w:tc>
        <w:tc>
          <w:tcPr>
            <w:tcW w:w="1152" w:type="dxa"/>
            <w:tcBorders>
              <w:top w:val="double" w:sz="4" w:space="0" w:color="auto"/>
            </w:tcBorders>
            <w:vAlign w:val="center"/>
          </w:tcPr>
          <w:p w:rsidR="00F01548" w:rsidRDefault="00F01548" w:rsidP="00F01548">
            <w:pPr>
              <w:jc w:val="center"/>
              <w:rPr>
                <w:rFonts w:eastAsia="Times New Roman"/>
              </w:rPr>
            </w:pPr>
            <w:r>
              <w:rPr>
                <w:rFonts w:eastAsia="Times New Roman"/>
              </w:rPr>
              <w:t>x</w:t>
            </w:r>
          </w:p>
        </w:tc>
        <w:tc>
          <w:tcPr>
            <w:tcW w:w="1152" w:type="dxa"/>
            <w:tcBorders>
              <w:top w:val="double" w:sz="4" w:space="0" w:color="auto"/>
            </w:tcBorders>
            <w:vAlign w:val="center"/>
          </w:tcPr>
          <w:p w:rsidR="00F01548" w:rsidRDefault="00F01548" w:rsidP="00F01548">
            <w:pPr>
              <w:jc w:val="center"/>
              <w:rPr>
                <w:rFonts w:eastAsia="Times New Roman"/>
              </w:rPr>
            </w:pPr>
            <w:r>
              <w:rPr>
                <w:rFonts w:eastAsia="Times New Roman"/>
              </w:rPr>
              <w:t>x</w:t>
            </w:r>
          </w:p>
        </w:tc>
        <w:tc>
          <w:tcPr>
            <w:tcW w:w="1152" w:type="dxa"/>
            <w:tcBorders>
              <w:top w:val="double" w:sz="4" w:space="0" w:color="auto"/>
            </w:tcBorders>
            <w:vAlign w:val="center"/>
          </w:tcPr>
          <w:p w:rsidR="00F01548" w:rsidRDefault="00F01548" w:rsidP="00F01548">
            <w:pPr>
              <w:jc w:val="center"/>
              <w:rPr>
                <w:rFonts w:eastAsia="Times New Roman"/>
              </w:rPr>
            </w:pPr>
            <w:r>
              <w:rPr>
                <w:rFonts w:eastAsia="Times New Roman"/>
              </w:rPr>
              <w:t>x</w:t>
            </w:r>
          </w:p>
        </w:tc>
        <w:tc>
          <w:tcPr>
            <w:tcW w:w="1152" w:type="dxa"/>
            <w:tcBorders>
              <w:top w:val="double" w:sz="4" w:space="0" w:color="auto"/>
            </w:tcBorders>
            <w:vAlign w:val="center"/>
          </w:tcPr>
          <w:p w:rsidR="00F01548" w:rsidRDefault="00F01548" w:rsidP="00F01548">
            <w:pPr>
              <w:jc w:val="center"/>
              <w:rPr>
                <w:rFonts w:eastAsia="Times New Roman"/>
              </w:rPr>
            </w:pPr>
            <w:r>
              <w:rPr>
                <w:rFonts w:eastAsia="Times New Roman"/>
              </w:rPr>
              <w:t>x</w:t>
            </w:r>
          </w:p>
        </w:tc>
        <w:tc>
          <w:tcPr>
            <w:tcW w:w="1152" w:type="dxa"/>
            <w:tcBorders>
              <w:top w:val="double" w:sz="4" w:space="0" w:color="auto"/>
            </w:tcBorders>
            <w:vAlign w:val="center"/>
          </w:tcPr>
          <w:p w:rsidR="00F01548" w:rsidRDefault="002727BF" w:rsidP="00F01548">
            <w:pPr>
              <w:jc w:val="center"/>
              <w:rPr>
                <w:rFonts w:eastAsia="Times New Roman"/>
              </w:rPr>
            </w:pPr>
            <w:r>
              <w:rPr>
                <w:rFonts w:eastAsia="Times New Roman"/>
              </w:rPr>
              <w:t>X</w:t>
            </w:r>
          </w:p>
        </w:tc>
      </w:tr>
      <w:tr w:rsidR="00F01548" w:rsidTr="00F01548">
        <w:tc>
          <w:tcPr>
            <w:tcW w:w="3510" w:type="dxa"/>
            <w:vAlign w:val="center"/>
          </w:tcPr>
          <w:p w:rsidR="00F01548" w:rsidRDefault="00F01548" w:rsidP="00F01548">
            <w:pPr>
              <w:jc w:val="center"/>
              <w:rPr>
                <w:rFonts w:eastAsia="Times New Roman"/>
              </w:rPr>
            </w:pPr>
            <w:r>
              <w:rPr>
                <w:rFonts w:eastAsia="Times New Roman"/>
              </w:rPr>
              <w:t>Boral</w:t>
            </w:r>
          </w:p>
        </w:tc>
        <w:tc>
          <w:tcPr>
            <w:tcW w:w="1152" w:type="dxa"/>
            <w:vAlign w:val="center"/>
          </w:tcPr>
          <w:p w:rsidR="00F01548" w:rsidRDefault="00F01548" w:rsidP="00F01548">
            <w:pPr>
              <w:jc w:val="center"/>
              <w:rPr>
                <w:rFonts w:eastAsia="Times New Roman"/>
              </w:rPr>
            </w:pPr>
            <w:r>
              <w:rPr>
                <w:rFonts w:eastAsia="Times New Roman"/>
              </w:rPr>
              <w:t>x</w:t>
            </w:r>
          </w:p>
        </w:tc>
        <w:tc>
          <w:tcPr>
            <w:tcW w:w="1152" w:type="dxa"/>
            <w:vAlign w:val="center"/>
          </w:tcPr>
          <w:p w:rsidR="00F01548" w:rsidRDefault="00F01548" w:rsidP="00F01548">
            <w:pPr>
              <w:jc w:val="center"/>
              <w:rPr>
                <w:rFonts w:eastAsia="Times New Roman"/>
              </w:rPr>
            </w:pPr>
            <w:r>
              <w:rPr>
                <w:rFonts w:eastAsia="Times New Roman"/>
              </w:rPr>
              <w:t>x*</w:t>
            </w:r>
          </w:p>
        </w:tc>
        <w:tc>
          <w:tcPr>
            <w:tcW w:w="1152" w:type="dxa"/>
            <w:vAlign w:val="center"/>
          </w:tcPr>
          <w:p w:rsidR="00F01548" w:rsidRDefault="00F01548" w:rsidP="00F01548">
            <w:pPr>
              <w:jc w:val="center"/>
              <w:rPr>
                <w:rFonts w:eastAsia="Times New Roman"/>
              </w:rPr>
            </w:pPr>
          </w:p>
        </w:tc>
        <w:tc>
          <w:tcPr>
            <w:tcW w:w="1152" w:type="dxa"/>
            <w:vAlign w:val="center"/>
          </w:tcPr>
          <w:p w:rsidR="00F01548" w:rsidRDefault="00F01548" w:rsidP="00F01548">
            <w:pPr>
              <w:jc w:val="center"/>
              <w:rPr>
                <w:rFonts w:eastAsia="Times New Roman"/>
              </w:rPr>
            </w:pPr>
            <w:r>
              <w:rPr>
                <w:rFonts w:eastAsia="Times New Roman"/>
              </w:rPr>
              <w:t>x</w:t>
            </w:r>
          </w:p>
        </w:tc>
        <w:tc>
          <w:tcPr>
            <w:tcW w:w="1152" w:type="dxa"/>
            <w:vAlign w:val="center"/>
          </w:tcPr>
          <w:p w:rsidR="00F01548" w:rsidRDefault="00F01548" w:rsidP="00F01548">
            <w:pPr>
              <w:jc w:val="center"/>
              <w:rPr>
                <w:rFonts w:eastAsia="Times New Roman"/>
              </w:rPr>
            </w:pPr>
          </w:p>
        </w:tc>
      </w:tr>
      <w:tr w:rsidR="00F01548" w:rsidTr="00F01548">
        <w:tc>
          <w:tcPr>
            <w:tcW w:w="3510" w:type="dxa"/>
            <w:vAlign w:val="center"/>
          </w:tcPr>
          <w:p w:rsidR="00F01548" w:rsidRDefault="00F01548" w:rsidP="00F01548">
            <w:pPr>
              <w:jc w:val="center"/>
              <w:rPr>
                <w:rFonts w:eastAsia="Times New Roman"/>
              </w:rPr>
            </w:pPr>
            <w:r>
              <w:rPr>
                <w:rFonts w:eastAsia="Times New Roman"/>
              </w:rPr>
              <w:t>Borated SS</w:t>
            </w:r>
          </w:p>
          <w:p w:rsidR="00F01548" w:rsidRDefault="00F01548" w:rsidP="00F01548">
            <w:pPr>
              <w:jc w:val="center"/>
              <w:rPr>
                <w:rFonts w:eastAsia="Times New Roman"/>
              </w:rPr>
            </w:pPr>
            <w:r>
              <w:rPr>
                <w:rFonts w:eastAsia="Times New Roman"/>
              </w:rPr>
              <w:t>Metamic</w:t>
            </w:r>
          </w:p>
          <w:p w:rsidR="00F01548" w:rsidRDefault="00F01548" w:rsidP="00F01548">
            <w:pPr>
              <w:jc w:val="center"/>
              <w:rPr>
                <w:rFonts w:eastAsia="Times New Roman"/>
              </w:rPr>
            </w:pPr>
            <w:r>
              <w:rPr>
                <w:rFonts w:eastAsia="Times New Roman"/>
              </w:rPr>
              <w:t>Boralcan</w:t>
            </w:r>
          </w:p>
          <w:p w:rsidR="00F01548" w:rsidRDefault="00F01548" w:rsidP="00F01548">
            <w:pPr>
              <w:jc w:val="center"/>
              <w:rPr>
                <w:rFonts w:eastAsia="Times New Roman"/>
              </w:rPr>
            </w:pPr>
            <w:r>
              <w:rPr>
                <w:rFonts w:eastAsia="Times New Roman"/>
              </w:rPr>
              <w:t>Other metallic matrix composites</w:t>
            </w:r>
          </w:p>
        </w:tc>
        <w:tc>
          <w:tcPr>
            <w:tcW w:w="1152" w:type="dxa"/>
            <w:vAlign w:val="center"/>
          </w:tcPr>
          <w:p w:rsidR="00F01548" w:rsidRDefault="00F01548" w:rsidP="00F01548">
            <w:pPr>
              <w:jc w:val="center"/>
              <w:rPr>
                <w:rFonts w:eastAsia="Times New Roman"/>
              </w:rPr>
            </w:pPr>
            <w:r>
              <w:rPr>
                <w:rFonts w:eastAsia="Times New Roman"/>
              </w:rPr>
              <w:t>x</w:t>
            </w:r>
          </w:p>
        </w:tc>
        <w:tc>
          <w:tcPr>
            <w:tcW w:w="1152" w:type="dxa"/>
            <w:vAlign w:val="center"/>
          </w:tcPr>
          <w:p w:rsidR="00F01548" w:rsidRDefault="00F01548" w:rsidP="00F01548">
            <w:pPr>
              <w:jc w:val="center"/>
              <w:rPr>
                <w:rFonts w:eastAsia="Times New Roman"/>
              </w:rPr>
            </w:pPr>
            <w:r>
              <w:rPr>
                <w:rFonts w:eastAsia="Times New Roman"/>
              </w:rPr>
              <w:t>x*</w:t>
            </w:r>
          </w:p>
        </w:tc>
        <w:tc>
          <w:tcPr>
            <w:tcW w:w="1152" w:type="dxa"/>
            <w:vAlign w:val="center"/>
          </w:tcPr>
          <w:p w:rsidR="00F01548" w:rsidRDefault="00F01548" w:rsidP="00F01548">
            <w:pPr>
              <w:jc w:val="center"/>
              <w:rPr>
                <w:rFonts w:eastAsia="Times New Roman"/>
              </w:rPr>
            </w:pPr>
          </w:p>
        </w:tc>
        <w:tc>
          <w:tcPr>
            <w:tcW w:w="1152" w:type="dxa"/>
            <w:vAlign w:val="center"/>
          </w:tcPr>
          <w:p w:rsidR="00F01548" w:rsidRDefault="00F01548" w:rsidP="00F01548">
            <w:pPr>
              <w:jc w:val="center"/>
              <w:rPr>
                <w:rFonts w:eastAsia="Times New Roman"/>
              </w:rPr>
            </w:pPr>
          </w:p>
        </w:tc>
        <w:tc>
          <w:tcPr>
            <w:tcW w:w="1152" w:type="dxa"/>
            <w:vAlign w:val="center"/>
          </w:tcPr>
          <w:p w:rsidR="00F01548" w:rsidRDefault="00F01548" w:rsidP="00F01548">
            <w:pPr>
              <w:jc w:val="center"/>
              <w:rPr>
                <w:rFonts w:eastAsia="Times New Roman"/>
              </w:rPr>
            </w:pPr>
          </w:p>
        </w:tc>
      </w:tr>
    </w:tbl>
    <w:p w:rsidR="00F01548" w:rsidRPr="00F226DB" w:rsidRDefault="00F01548" w:rsidP="00F01548">
      <w:pPr>
        <w:ind w:left="360" w:firstLine="360"/>
        <w:rPr>
          <w:rFonts w:eastAsia="Times New Roman"/>
          <w:sz w:val="18"/>
          <w:szCs w:val="18"/>
        </w:rPr>
      </w:pPr>
      <w:r>
        <w:rPr>
          <w:rFonts w:eastAsia="Times New Roman"/>
          <w:sz w:val="18"/>
          <w:szCs w:val="18"/>
        </w:rPr>
        <w:t>* Except for 2(b)(iii).</w:t>
      </w:r>
    </w:p>
    <w:p w:rsidR="00A913DC" w:rsidRDefault="00A913DC" w:rsidP="000B4F7D">
      <w:pPr>
        <w:pStyle w:val="ListParagraph"/>
        <w:tabs>
          <w:tab w:val="left" w:pos="810"/>
        </w:tabs>
        <w:autoSpaceDE w:val="0"/>
        <w:autoSpaceDN w:val="0"/>
        <w:adjustRightInd w:val="0"/>
        <w:ind w:left="1080"/>
        <w:rPr>
          <w:rFonts w:eastAsia="Times New Roman"/>
          <w:sz w:val="18"/>
          <w:szCs w:val="18"/>
        </w:rPr>
      </w:pPr>
    </w:p>
    <w:p w:rsidR="00DA3C52" w:rsidRPr="00F06441" w:rsidRDefault="00DA3C52" w:rsidP="00F06441">
      <w:pPr>
        <w:rPr>
          <w:u w:val="single"/>
        </w:rPr>
      </w:pPr>
      <w:r w:rsidRPr="00F06441">
        <w:rPr>
          <w:u w:val="single"/>
        </w:rPr>
        <w:t>Areas of Requested Information</w:t>
      </w:r>
    </w:p>
    <w:p w:rsidR="00DA3C52" w:rsidRPr="00F06441" w:rsidRDefault="00DA3C52" w:rsidP="00F06441"/>
    <w:p w:rsidR="00DA3C52" w:rsidRPr="00F06441" w:rsidRDefault="00DA3C52" w:rsidP="000B4F7D">
      <w:pPr>
        <w:pStyle w:val="ListParagraph"/>
        <w:numPr>
          <w:ilvl w:val="0"/>
          <w:numId w:val="5"/>
        </w:numPr>
      </w:pPr>
      <w:r w:rsidRPr="00F06441">
        <w:t>Describe the neutron-absorbing material credited in the spent fuel pool (SFP) nuclear criticality safety (NCS) analysis of record (AOR) and its configuration in the SFP, including the following:</w:t>
      </w:r>
    </w:p>
    <w:p w:rsidR="00DA3C52" w:rsidRPr="00F06441" w:rsidRDefault="00DA3C52" w:rsidP="000B4F7D"/>
    <w:p w:rsidR="00DA3C52" w:rsidRPr="00F06441" w:rsidRDefault="00DA3C52" w:rsidP="000B4F7D">
      <w:pPr>
        <w:pStyle w:val="ListParagraph"/>
        <w:numPr>
          <w:ilvl w:val="1"/>
          <w:numId w:val="5"/>
        </w:numPr>
        <w:tabs>
          <w:tab w:val="left" w:pos="720"/>
        </w:tabs>
      </w:pPr>
      <w:r w:rsidRPr="00F06441">
        <w:t>manufacturers, dates of manufacture, and dates of material installation in the SFP</w:t>
      </w:r>
      <w:r w:rsidR="00F61EFC">
        <w:t>;</w:t>
      </w:r>
    </w:p>
    <w:p w:rsidR="00DA3C52" w:rsidRPr="00F06441" w:rsidRDefault="00DA3C52" w:rsidP="000B4F7D"/>
    <w:p w:rsidR="00DA3C52" w:rsidRPr="00F06441" w:rsidRDefault="00DA3C52" w:rsidP="000B4F7D">
      <w:pPr>
        <w:pStyle w:val="ListParagraph"/>
        <w:numPr>
          <w:ilvl w:val="1"/>
          <w:numId w:val="5"/>
        </w:numPr>
      </w:pPr>
      <w:r w:rsidRPr="00F06441">
        <w:t>neutron-absorbing material specifications</w:t>
      </w:r>
      <w:r w:rsidR="00F61EFC">
        <w:t>, such as:</w:t>
      </w:r>
    </w:p>
    <w:p w:rsidR="005C3367" w:rsidRDefault="005C3367" w:rsidP="000B4F7D">
      <w:pPr>
        <w:ind w:left="5820"/>
      </w:pPr>
    </w:p>
    <w:p w:rsidR="005C3367" w:rsidRDefault="00DA3C52" w:rsidP="000B4F7D">
      <w:pPr>
        <w:pStyle w:val="ListParagraph"/>
        <w:numPr>
          <w:ilvl w:val="2"/>
          <w:numId w:val="5"/>
        </w:numPr>
      </w:pPr>
      <w:r w:rsidRPr="00F06441">
        <w:t>materials of construction, including the certified content of the neutron</w:t>
      </w:r>
      <w:r w:rsidRPr="00F06441">
        <w:noBreakHyphen/>
        <w:t>absorbing component expressed as weight percent</w:t>
      </w:r>
      <w:r w:rsidR="00F61EFC">
        <w:t>;</w:t>
      </w:r>
    </w:p>
    <w:p w:rsidR="005C3367" w:rsidRDefault="005C3367" w:rsidP="000B4F7D">
      <w:pPr>
        <w:ind w:left="2160" w:hanging="720"/>
      </w:pPr>
    </w:p>
    <w:p w:rsidR="00FE5A7C" w:rsidRDefault="00DA3C52" w:rsidP="000B4F7D">
      <w:pPr>
        <w:pStyle w:val="ListParagraph"/>
        <w:numPr>
          <w:ilvl w:val="2"/>
          <w:numId w:val="5"/>
        </w:numPr>
      </w:pPr>
      <w:r w:rsidRPr="00F06441">
        <w:t>minimum certified, minimum as-built, maximum as-built, and nominal as</w:t>
      </w:r>
      <w:r w:rsidRPr="00F06441">
        <w:noBreakHyphen/>
        <w:t>built areal density of the neutron-absorbing component</w:t>
      </w:r>
      <w:r w:rsidR="00F61EFC">
        <w:t>; and</w:t>
      </w:r>
    </w:p>
    <w:p w:rsidR="00FE5A7C" w:rsidRDefault="00FE5A7C" w:rsidP="000B4F7D"/>
    <w:p w:rsidR="00DA3C52" w:rsidRPr="00F06441" w:rsidRDefault="00DA3C52" w:rsidP="00A54C8F">
      <w:pPr>
        <w:pStyle w:val="ListParagraph"/>
        <w:numPr>
          <w:ilvl w:val="2"/>
          <w:numId w:val="5"/>
        </w:numPr>
      </w:pPr>
      <w:r w:rsidRPr="00F06441">
        <w:lastRenderedPageBreak/>
        <w:t>material characteristics, including porosity, density, and dimensions</w:t>
      </w:r>
      <w:r w:rsidR="00F61EFC">
        <w:t>;</w:t>
      </w:r>
    </w:p>
    <w:p w:rsidR="00DA3C52" w:rsidRPr="00F06441" w:rsidRDefault="00DA3C52" w:rsidP="000B4F7D"/>
    <w:p w:rsidR="00DA3C52" w:rsidRPr="00F06441" w:rsidRDefault="00DA3C52" w:rsidP="000B4F7D">
      <w:pPr>
        <w:pStyle w:val="ListParagraph"/>
        <w:numPr>
          <w:ilvl w:val="1"/>
          <w:numId w:val="5"/>
        </w:numPr>
      </w:pPr>
      <w:r w:rsidRPr="00F06441">
        <w:t>qualification testing approach for compatibility with the SFP environment and results from the testing</w:t>
      </w:r>
      <w:r w:rsidR="00F61EFC">
        <w:t>;</w:t>
      </w:r>
    </w:p>
    <w:p w:rsidR="00DA3C52" w:rsidRPr="00F06441" w:rsidRDefault="00DA3C52" w:rsidP="000B4F7D"/>
    <w:p w:rsidR="00DA3C52" w:rsidRPr="00F06441" w:rsidRDefault="00DA3C52" w:rsidP="000B4F7D">
      <w:pPr>
        <w:pStyle w:val="ListParagraph"/>
        <w:numPr>
          <w:ilvl w:val="1"/>
          <w:numId w:val="5"/>
        </w:numPr>
      </w:pPr>
      <w:r w:rsidRPr="00F06441">
        <w:t>configuration in the SFP</w:t>
      </w:r>
      <w:r w:rsidR="00F61EFC">
        <w:t>, such as:</w:t>
      </w:r>
    </w:p>
    <w:p w:rsidR="00DA3C52" w:rsidRPr="00F06441" w:rsidRDefault="00DA3C52" w:rsidP="000B4F7D"/>
    <w:p w:rsidR="00DA3C52" w:rsidRDefault="00DA3C52" w:rsidP="000B4F7D">
      <w:pPr>
        <w:pStyle w:val="ListParagraph"/>
        <w:numPr>
          <w:ilvl w:val="2"/>
          <w:numId w:val="5"/>
        </w:numPr>
      </w:pPr>
      <w:r w:rsidRPr="00F06441">
        <w:t>method of integrating neutron-absorbing material into racks (e.g., inserts, welded in place, spot welded in place, rodlets)</w:t>
      </w:r>
      <w:r w:rsidR="00F61EFC">
        <w:t>; and</w:t>
      </w:r>
    </w:p>
    <w:p w:rsidR="00FE5A7C" w:rsidRDefault="00FE5A7C" w:rsidP="000B4F7D"/>
    <w:p w:rsidR="00DA3C52" w:rsidRPr="00F06441" w:rsidRDefault="00DA3C52" w:rsidP="000B4F7D">
      <w:pPr>
        <w:pStyle w:val="ListParagraph"/>
        <w:numPr>
          <w:ilvl w:val="2"/>
          <w:numId w:val="5"/>
        </w:numPr>
      </w:pPr>
      <w:r w:rsidRPr="00F06441">
        <w:t>sheathing and degree of physical exposure of neutron-absorbing materials to the SFP environment</w:t>
      </w:r>
      <w:r w:rsidR="00180CC1">
        <w:t>;</w:t>
      </w:r>
    </w:p>
    <w:p w:rsidR="00DA3C52" w:rsidRPr="00F06441" w:rsidRDefault="00DA3C52" w:rsidP="000B4F7D"/>
    <w:p w:rsidR="00DA3C52" w:rsidRPr="00F06441" w:rsidRDefault="00FE5A7C" w:rsidP="000B4F7D">
      <w:pPr>
        <w:pStyle w:val="ListParagraph"/>
        <w:ind w:left="360"/>
      </w:pPr>
      <w:r>
        <w:t>e)</w:t>
      </w:r>
      <w:r>
        <w:tab/>
      </w:r>
      <w:r w:rsidR="00DA3C52" w:rsidRPr="00F06441">
        <w:t>current condition of the credited neutron-absorbing material in the SFP</w:t>
      </w:r>
      <w:r w:rsidR="00F61EFC">
        <w:t>, such as:</w:t>
      </w:r>
    </w:p>
    <w:p w:rsidR="00DA3C52" w:rsidRPr="00F06441" w:rsidRDefault="00DA3C52" w:rsidP="000B4F7D"/>
    <w:p w:rsidR="00DA3C52" w:rsidRPr="00F06441" w:rsidRDefault="00DA3C52" w:rsidP="000B4F7D">
      <w:pPr>
        <w:pStyle w:val="ListParagraph"/>
        <w:numPr>
          <w:ilvl w:val="2"/>
          <w:numId w:val="6"/>
        </w:numPr>
      </w:pPr>
      <w:r w:rsidRPr="00F06441">
        <w:t>estimated current minimum areal density</w:t>
      </w:r>
      <w:r w:rsidR="00F61EFC">
        <w:t>;</w:t>
      </w:r>
    </w:p>
    <w:p w:rsidR="00FE5A7C" w:rsidRDefault="00FE5A7C" w:rsidP="000B4F7D">
      <w:pPr>
        <w:pStyle w:val="ListParagraph"/>
        <w:ind w:left="360"/>
      </w:pPr>
    </w:p>
    <w:p w:rsidR="00DA3C52" w:rsidRPr="00F06441" w:rsidRDefault="00DA3C52" w:rsidP="000B4F7D">
      <w:pPr>
        <w:pStyle w:val="ListParagraph"/>
        <w:numPr>
          <w:ilvl w:val="2"/>
          <w:numId w:val="6"/>
        </w:numPr>
      </w:pPr>
      <w:r w:rsidRPr="00F06441">
        <w:t>current credited areal density of the neutron-absorbing material in the NCS AOR</w:t>
      </w:r>
      <w:r w:rsidR="00F61EFC">
        <w:t>; and</w:t>
      </w:r>
    </w:p>
    <w:p w:rsidR="00DA3C52" w:rsidRPr="00F06441" w:rsidRDefault="00DA3C52" w:rsidP="000B4F7D">
      <w:pPr>
        <w:pStyle w:val="ListParagraph"/>
        <w:ind w:left="1080"/>
      </w:pPr>
    </w:p>
    <w:p w:rsidR="00DA3C52" w:rsidRPr="00F06441" w:rsidRDefault="00DA3C52" w:rsidP="000B4F7D">
      <w:pPr>
        <w:pStyle w:val="ListParagraph"/>
        <w:numPr>
          <w:ilvl w:val="2"/>
          <w:numId w:val="6"/>
        </w:numPr>
      </w:pPr>
      <w:r w:rsidRPr="00F06441">
        <w:t>recorded degradation and deformations of the neutron-absorbing material in the SFP (e.g., blisters, swelling, gaps, cracks, loss of material, loss of neutron</w:t>
      </w:r>
      <w:r w:rsidRPr="00F06441">
        <w:noBreakHyphen/>
        <w:t>attenuation capability)</w:t>
      </w:r>
      <w:r w:rsidR="00F61EFC">
        <w:t>.</w:t>
      </w:r>
    </w:p>
    <w:p w:rsidR="00DA3C52" w:rsidRPr="00F06441" w:rsidRDefault="00DA3C52" w:rsidP="000B4F7D"/>
    <w:p w:rsidR="00DA3C52" w:rsidRPr="00F06441" w:rsidRDefault="00DA3C52" w:rsidP="000B4F7D">
      <w:pPr>
        <w:pStyle w:val="ListParagraph"/>
        <w:numPr>
          <w:ilvl w:val="0"/>
          <w:numId w:val="6"/>
        </w:numPr>
      </w:pPr>
      <w:r w:rsidRPr="00F06441">
        <w:t>Describe the surveillance or monitoring program used to confirm that the credited neutron</w:t>
      </w:r>
      <w:r w:rsidRPr="00F06441">
        <w:noBreakHyphen/>
        <w:t xml:space="preserve">absorbing material is performing its safety function, including the frequency, limitations, and accuracy of the methodologies used.  </w:t>
      </w:r>
    </w:p>
    <w:p w:rsidR="00DA3C52" w:rsidRPr="00F06441" w:rsidRDefault="00DA3C52" w:rsidP="000B4F7D"/>
    <w:p w:rsidR="00DA3C52" w:rsidRPr="00F06441" w:rsidRDefault="00DA3C52" w:rsidP="000B4F7D">
      <w:pPr>
        <w:pStyle w:val="ListParagraph"/>
        <w:numPr>
          <w:ilvl w:val="1"/>
          <w:numId w:val="6"/>
        </w:numPr>
      </w:pPr>
      <w:r w:rsidRPr="00F06441">
        <w:t>Provide the technical basis for the surveillance or monitoring method, including a description of how the method can detect degradation mechanisms that affect the material’s ability to perform its safety function.  Also, include a description and technical basis for the technique(s) and method(s) used in the surveillance or monitoring program, including:</w:t>
      </w:r>
    </w:p>
    <w:p w:rsidR="00DA3C52" w:rsidRPr="00F06441" w:rsidRDefault="00DA3C52" w:rsidP="000B4F7D"/>
    <w:p w:rsidR="00DA3C52" w:rsidRPr="00F06441" w:rsidRDefault="00DA3C52" w:rsidP="000B4F7D">
      <w:pPr>
        <w:pStyle w:val="ListParagraph"/>
        <w:numPr>
          <w:ilvl w:val="2"/>
          <w:numId w:val="6"/>
        </w:numPr>
      </w:pPr>
      <w:r w:rsidRPr="00F06441">
        <w:t>approach used to determine frequency, calculations, and sample size</w:t>
      </w:r>
      <w:r w:rsidR="00F61EFC">
        <w:t>;</w:t>
      </w:r>
    </w:p>
    <w:p w:rsidR="004360F2" w:rsidRDefault="004360F2" w:rsidP="000B4F7D">
      <w:pPr>
        <w:pStyle w:val="ListParagraph"/>
      </w:pPr>
    </w:p>
    <w:p w:rsidR="00DA3C52" w:rsidRPr="00F06441" w:rsidRDefault="00DA3C52" w:rsidP="000B4F7D">
      <w:pPr>
        <w:pStyle w:val="ListParagraph"/>
        <w:numPr>
          <w:ilvl w:val="2"/>
          <w:numId w:val="6"/>
        </w:numPr>
      </w:pPr>
      <w:r w:rsidRPr="00F06441">
        <w:t>parameters to be inspected and data collected</w:t>
      </w:r>
      <w:r w:rsidR="00F61EFC">
        <w:t>;</w:t>
      </w:r>
    </w:p>
    <w:p w:rsidR="004360F2" w:rsidRDefault="004360F2" w:rsidP="000B4F7D">
      <w:pPr>
        <w:pStyle w:val="ListParagraph"/>
        <w:ind w:left="1080"/>
      </w:pPr>
    </w:p>
    <w:p w:rsidR="00DA3C52" w:rsidRPr="00F06441" w:rsidRDefault="00DA3C52" w:rsidP="000B4F7D">
      <w:pPr>
        <w:pStyle w:val="ListParagraph"/>
        <w:numPr>
          <w:ilvl w:val="2"/>
          <w:numId w:val="6"/>
        </w:numPr>
      </w:pPr>
      <w:r w:rsidRPr="00F06441">
        <w:t>acceptance criteria of the program and how they ensure that the material’s structure and safety function are maintained within the assumptions of the NCS AOR</w:t>
      </w:r>
      <w:r w:rsidR="00F61EFC">
        <w:t>;</w:t>
      </w:r>
    </w:p>
    <w:p w:rsidR="00DA3C52" w:rsidRPr="00F06441" w:rsidRDefault="00DA3C52" w:rsidP="000B4F7D"/>
    <w:p w:rsidR="00DA3C52" w:rsidRPr="00F06441" w:rsidRDefault="00DA3C52" w:rsidP="000B4F7D">
      <w:pPr>
        <w:pStyle w:val="ListParagraph"/>
        <w:numPr>
          <w:ilvl w:val="2"/>
          <w:numId w:val="6"/>
        </w:numPr>
      </w:pPr>
      <w:r w:rsidRPr="00F06441">
        <w:t>monitoring and trending of the surveillance or monitoring program data</w:t>
      </w:r>
      <w:r w:rsidR="00F61EFC">
        <w:t>; and</w:t>
      </w:r>
    </w:p>
    <w:p w:rsidR="00DA3C52" w:rsidRPr="00F06441" w:rsidRDefault="00DA3C52" w:rsidP="000B4F7D"/>
    <w:p w:rsidR="00DA3C52" w:rsidRPr="00F06441" w:rsidRDefault="00DA3C52" w:rsidP="000B4F7D">
      <w:pPr>
        <w:pStyle w:val="ListParagraph"/>
        <w:numPr>
          <w:ilvl w:val="2"/>
          <w:numId w:val="6"/>
        </w:numPr>
      </w:pPr>
      <w:r w:rsidRPr="00F06441">
        <w:t>industry standards used</w:t>
      </w:r>
      <w:r w:rsidR="00F61EFC">
        <w:t>.</w:t>
      </w:r>
    </w:p>
    <w:p w:rsidR="00DA3C52" w:rsidRPr="00F06441" w:rsidRDefault="00DA3C52" w:rsidP="00F06441"/>
    <w:p w:rsidR="00DA3C52" w:rsidRPr="00F06441" w:rsidRDefault="00DA3C52" w:rsidP="000B4F7D">
      <w:pPr>
        <w:pStyle w:val="ListParagraph"/>
        <w:numPr>
          <w:ilvl w:val="1"/>
          <w:numId w:val="6"/>
        </w:numPr>
      </w:pPr>
      <w:r w:rsidRPr="00F06441">
        <w:t>For the following monitoring methods, include these additional discussion items</w:t>
      </w:r>
      <w:r w:rsidR="00F61EFC">
        <w:t>.</w:t>
      </w:r>
    </w:p>
    <w:p w:rsidR="00DA3C52" w:rsidRPr="00F06441" w:rsidRDefault="00DA3C52" w:rsidP="000B4F7D"/>
    <w:p w:rsidR="00DA3C52" w:rsidRPr="00F06441" w:rsidRDefault="00DA3C52" w:rsidP="000B4F7D">
      <w:pPr>
        <w:pStyle w:val="ListParagraph"/>
        <w:numPr>
          <w:ilvl w:val="2"/>
          <w:numId w:val="6"/>
        </w:numPr>
      </w:pPr>
      <w:r w:rsidRPr="00F06441">
        <w:t xml:space="preserve">If there is visual inspection of </w:t>
      </w:r>
      <w:r w:rsidR="00870585">
        <w:t>inservice</w:t>
      </w:r>
      <w:r w:rsidRPr="00F06441">
        <w:t xml:space="preserve"> material:</w:t>
      </w:r>
    </w:p>
    <w:p w:rsidR="00DA3C52" w:rsidRPr="00F06441" w:rsidRDefault="00DA3C52" w:rsidP="000B4F7D"/>
    <w:p w:rsidR="00DA3C52" w:rsidRPr="00F06441" w:rsidRDefault="001733BE" w:rsidP="000B4F7D">
      <w:pPr>
        <w:pStyle w:val="ListParagraph"/>
        <w:numPr>
          <w:ilvl w:val="3"/>
          <w:numId w:val="6"/>
        </w:numPr>
      </w:pPr>
      <w:r>
        <w:t>d</w:t>
      </w:r>
      <w:r w:rsidR="00DA3C52" w:rsidRPr="00F06441">
        <w:t>escribe the visual inspection performed on each sample</w:t>
      </w:r>
      <w:r>
        <w:t>; and</w:t>
      </w:r>
    </w:p>
    <w:p w:rsidR="00DA3C52" w:rsidRPr="00F06441" w:rsidRDefault="00DA3C52" w:rsidP="000B4F7D"/>
    <w:p w:rsidR="00DA3C52" w:rsidRPr="00F06441" w:rsidRDefault="001733BE" w:rsidP="000B4F7D">
      <w:pPr>
        <w:pStyle w:val="ListParagraph"/>
        <w:numPr>
          <w:ilvl w:val="3"/>
          <w:numId w:val="6"/>
        </w:numPr>
      </w:pPr>
      <w:r>
        <w:t>d</w:t>
      </w:r>
      <w:r w:rsidR="00DA3C52" w:rsidRPr="00F06441">
        <w:t>escribe the scope of the inspection (i.e., number of panels or inspection points per inspection period).</w:t>
      </w:r>
    </w:p>
    <w:p w:rsidR="00DA3C52" w:rsidRPr="00F06441" w:rsidRDefault="00DA3C52" w:rsidP="000B4F7D"/>
    <w:p w:rsidR="007739CD" w:rsidRPr="00F06441" w:rsidRDefault="00DA3C52" w:rsidP="000B4F7D">
      <w:pPr>
        <w:pStyle w:val="ListParagraph"/>
        <w:numPr>
          <w:ilvl w:val="2"/>
          <w:numId w:val="6"/>
        </w:numPr>
      </w:pPr>
      <w:r w:rsidRPr="00F06441">
        <w:t>If there is a coupon-monitoring program:</w:t>
      </w:r>
    </w:p>
    <w:p w:rsidR="007739CD" w:rsidRPr="00F06441" w:rsidRDefault="007739CD" w:rsidP="000B4F7D"/>
    <w:p w:rsidR="00DA3C52" w:rsidRPr="00F06441" w:rsidRDefault="001733BE" w:rsidP="000B4F7D">
      <w:pPr>
        <w:pStyle w:val="ListParagraph"/>
        <w:numPr>
          <w:ilvl w:val="3"/>
          <w:numId w:val="6"/>
        </w:numPr>
      </w:pPr>
      <w:r>
        <w:t>p</w:t>
      </w:r>
      <w:r w:rsidR="00DA3C52" w:rsidRPr="00F06441">
        <w:t>rovide a description and technical basis for how the coupons are representative of the material in the racks.  Include in the discussion the material radiation exposure levels, SFP environment conditions, exposure to the SFP water, location of the coupons, configuration of the coupons (e.g., jacketing or sheathing, venting bolted on, glued on, or free in the jacket, water flow past the material, bends, shapes, galvanic considerations, and stress-relaxation considerations), and dimensions of the coupons</w:t>
      </w:r>
      <w:r>
        <w:t>;</w:t>
      </w:r>
    </w:p>
    <w:p w:rsidR="00DA3C52" w:rsidRPr="00F06441" w:rsidRDefault="00DA3C52" w:rsidP="000B4F7D"/>
    <w:p w:rsidR="00DA3C52" w:rsidRPr="00F06441" w:rsidRDefault="001733BE" w:rsidP="000B4F7D">
      <w:pPr>
        <w:pStyle w:val="ListParagraph"/>
        <w:numPr>
          <w:ilvl w:val="3"/>
          <w:numId w:val="6"/>
        </w:numPr>
      </w:pPr>
      <w:r>
        <w:t>p</w:t>
      </w:r>
      <w:r w:rsidRPr="00F06441">
        <w:t xml:space="preserve">rovide </w:t>
      </w:r>
      <w:r w:rsidR="00DA3C52" w:rsidRPr="00F06441">
        <w:t>the dates of coupon installation for each set of coupons</w:t>
      </w:r>
      <w:r>
        <w:t>;</w:t>
      </w:r>
    </w:p>
    <w:p w:rsidR="00DA3C52" w:rsidRPr="00F06441" w:rsidRDefault="00DA3C52" w:rsidP="000B4F7D"/>
    <w:p w:rsidR="00DA3C52" w:rsidRPr="00F06441" w:rsidRDefault="001733BE" w:rsidP="000B4F7D">
      <w:pPr>
        <w:pStyle w:val="ListParagraph"/>
        <w:numPr>
          <w:ilvl w:val="3"/>
          <w:numId w:val="6"/>
        </w:numPr>
      </w:pPr>
      <w:r>
        <w:t>i</w:t>
      </w:r>
      <w:r w:rsidR="00DA3C52" w:rsidRPr="00F06441">
        <w:t>f the coupons are returned to the SFP for further evaluation, provide the technical justification for why the reinserted coupons would remain representative of the materials in the rack</w:t>
      </w:r>
      <w:r>
        <w:t>; and</w:t>
      </w:r>
    </w:p>
    <w:p w:rsidR="00DA3C52" w:rsidRPr="00F06441" w:rsidRDefault="00DA3C52" w:rsidP="000B4F7D"/>
    <w:p w:rsidR="00DA3C52" w:rsidRPr="00F06441" w:rsidRDefault="001733BE" w:rsidP="000B4F7D">
      <w:pPr>
        <w:pStyle w:val="ListParagraph"/>
        <w:numPr>
          <w:ilvl w:val="3"/>
          <w:numId w:val="6"/>
        </w:numPr>
      </w:pPr>
      <w:r>
        <w:t>p</w:t>
      </w:r>
      <w:r w:rsidR="00DA3C52" w:rsidRPr="00F06441">
        <w:t>rovide the number of coupons remaining to be tested and whether there are enough coupons for testing for the life of the SFP.  Also provide the schedule for coupon removal and testing.</w:t>
      </w:r>
    </w:p>
    <w:p w:rsidR="00DA3C52" w:rsidRPr="00F06441" w:rsidRDefault="00DA3C52" w:rsidP="000B4F7D"/>
    <w:p w:rsidR="00DA3C52" w:rsidRPr="00F06441" w:rsidRDefault="00DA3C52" w:rsidP="000B4F7D">
      <w:pPr>
        <w:pStyle w:val="ListParagraph"/>
        <w:numPr>
          <w:ilvl w:val="2"/>
          <w:numId w:val="6"/>
        </w:numPr>
      </w:pPr>
      <w:r w:rsidRPr="00F06441">
        <w:t>If RACKLIFE is used:</w:t>
      </w:r>
    </w:p>
    <w:p w:rsidR="00DA3C52" w:rsidRPr="00F06441" w:rsidRDefault="00DA3C52" w:rsidP="000B4F7D"/>
    <w:p w:rsidR="00DA3C52" w:rsidRPr="00F06441" w:rsidRDefault="001733BE" w:rsidP="000B4F7D">
      <w:pPr>
        <w:pStyle w:val="ListParagraph"/>
        <w:numPr>
          <w:ilvl w:val="3"/>
          <w:numId w:val="6"/>
        </w:numPr>
      </w:pPr>
      <w:r>
        <w:t>n</w:t>
      </w:r>
      <w:r w:rsidR="00DA3C52" w:rsidRPr="00F06441">
        <w:t>ote the version of RACKLIFE being used (e.g., 1.10, 2.1)</w:t>
      </w:r>
      <w:r>
        <w:t>;</w:t>
      </w:r>
    </w:p>
    <w:p w:rsidR="00DA3C52" w:rsidRPr="00F06441" w:rsidRDefault="00DA3C52" w:rsidP="000B4F7D"/>
    <w:p w:rsidR="00DA3C52" w:rsidRPr="00F06441" w:rsidRDefault="001733BE" w:rsidP="000B4F7D">
      <w:pPr>
        <w:pStyle w:val="ListParagraph"/>
        <w:numPr>
          <w:ilvl w:val="3"/>
          <w:numId w:val="6"/>
        </w:numPr>
      </w:pPr>
      <w:r>
        <w:t>n</w:t>
      </w:r>
      <w:r w:rsidR="00DA3C52" w:rsidRPr="00F06441">
        <w:t>ote the frequency at which the RACKLIFE code is run</w:t>
      </w:r>
      <w:r>
        <w:t>;</w:t>
      </w:r>
    </w:p>
    <w:p w:rsidR="00DA3C52" w:rsidRPr="00F06441" w:rsidRDefault="00DA3C52" w:rsidP="000B4F7D"/>
    <w:p w:rsidR="00DA3C52" w:rsidRPr="00F06441" w:rsidRDefault="001733BE" w:rsidP="000B4F7D">
      <w:pPr>
        <w:pStyle w:val="ListParagraph"/>
        <w:numPr>
          <w:ilvl w:val="3"/>
          <w:numId w:val="6"/>
        </w:numPr>
      </w:pPr>
      <w:r>
        <w:t>d</w:t>
      </w:r>
      <w:r w:rsidR="00DA3C52" w:rsidRPr="00F06441">
        <w:t>escribe the confirmatory testing (e.g., in</w:t>
      </w:r>
      <w:r w:rsidR="00DA3C52" w:rsidRPr="00F06441">
        <w:noBreakHyphen/>
        <w:t>situ testing) being performed and how the results confirm that RACKLIFE is conservative or representative with respect to neutron attenuation</w:t>
      </w:r>
      <w:r>
        <w:t>; and</w:t>
      </w:r>
    </w:p>
    <w:p w:rsidR="00DA3C52" w:rsidRPr="00F06441" w:rsidRDefault="00DA3C52" w:rsidP="000B4F7D"/>
    <w:p w:rsidR="00DA3C52" w:rsidRPr="00F06441" w:rsidRDefault="001733BE" w:rsidP="000B4F7D">
      <w:pPr>
        <w:pStyle w:val="ListParagraph"/>
        <w:numPr>
          <w:ilvl w:val="3"/>
          <w:numId w:val="6"/>
        </w:numPr>
      </w:pPr>
      <w:r>
        <w:t>p</w:t>
      </w:r>
      <w:r w:rsidR="00DA3C52" w:rsidRPr="00F06441">
        <w:t>rovide the current minimum RACKLIFE predicted areal density of the neutron-absorbing material in the SFP.  Discuss how this areal density is calculated in RACKLIFE.  Include in the discussion whether the areal densities calculated in RACKLIFE are based on the actual as-manufactured areal density of each panel, the nominal areal density of all of the panels, the minimum certified areal density, the minimum as-manufactured areal density, or the areal density credited by the NCS AOR.  Also discuss the use of the escape coefficient and the total silica rate of Boraflex degradation in the SFP.</w:t>
      </w:r>
    </w:p>
    <w:p w:rsidR="00DA3C52" w:rsidRPr="00F06441" w:rsidRDefault="00DA3C52" w:rsidP="000B4F7D"/>
    <w:p w:rsidR="00DA3C52" w:rsidRPr="00F06441" w:rsidRDefault="00DA3C52" w:rsidP="000B4F7D">
      <w:pPr>
        <w:pStyle w:val="ListParagraph"/>
        <w:numPr>
          <w:ilvl w:val="2"/>
          <w:numId w:val="6"/>
        </w:numPr>
      </w:pPr>
      <w:r w:rsidRPr="00F06441">
        <w:t>If in</w:t>
      </w:r>
      <w:r w:rsidRPr="00F06441">
        <w:noBreakHyphen/>
        <w:t>situ testing with a neutron source and detector is used (e.g., BADGER testing, blackness testing):</w:t>
      </w:r>
    </w:p>
    <w:p w:rsidR="00DA3C52" w:rsidRPr="00F06441" w:rsidRDefault="00DA3C52" w:rsidP="000B4F7D"/>
    <w:p w:rsidR="00DA3C52" w:rsidRPr="00F06441" w:rsidRDefault="001733BE" w:rsidP="000B4F7D">
      <w:pPr>
        <w:pStyle w:val="ListParagraph"/>
        <w:numPr>
          <w:ilvl w:val="3"/>
          <w:numId w:val="6"/>
        </w:numPr>
      </w:pPr>
      <w:r>
        <w:t>d</w:t>
      </w:r>
      <w:r w:rsidR="00DA3C52" w:rsidRPr="00F06441">
        <w:t xml:space="preserve">escribe the method and criteria for choosing panels to be tested and include whether the most susceptible panels are chosen to be tested.  Provide the statistical sampling plan that accounts for both sampling and measurement error and consideration of potential correlation in sample results.  State whether it is </w:t>
      </w:r>
      <w:r w:rsidR="00DA3C52" w:rsidRPr="00F06441">
        <w:lastRenderedPageBreak/>
        <w:t>statistically significant enough that the result can be extrapolated to the state of the entire pool</w:t>
      </w:r>
      <w:r>
        <w:t>;</w:t>
      </w:r>
    </w:p>
    <w:p w:rsidR="00DA3C52" w:rsidRPr="00F06441" w:rsidRDefault="00DA3C52" w:rsidP="000B4F7D"/>
    <w:p w:rsidR="00DA3C52" w:rsidRPr="000B4F7D" w:rsidRDefault="001733BE" w:rsidP="000B4F7D">
      <w:pPr>
        <w:pStyle w:val="ListParagraph"/>
        <w:numPr>
          <w:ilvl w:val="3"/>
          <w:numId w:val="6"/>
        </w:numPr>
      </w:pPr>
      <w:r>
        <w:t>s</w:t>
      </w:r>
      <w:r w:rsidR="00DA3C52" w:rsidRPr="000B4F7D">
        <w:t>tate if the results of the in</w:t>
      </w:r>
      <w:r w:rsidR="00DA3C52" w:rsidRPr="000B4F7D">
        <w:noBreakHyphen/>
        <w:t>situ testing are trended and whether there is repeat panel testing from campaign to campaign</w:t>
      </w:r>
      <w:r>
        <w:t>;</w:t>
      </w:r>
    </w:p>
    <w:p w:rsidR="00DA3C52" w:rsidRPr="00F06441" w:rsidRDefault="00DA3C52" w:rsidP="000B4F7D"/>
    <w:p w:rsidR="00DA3C52" w:rsidRPr="00F06441" w:rsidRDefault="001733BE" w:rsidP="000B4F7D">
      <w:pPr>
        <w:pStyle w:val="ListParagraph"/>
        <w:numPr>
          <w:ilvl w:val="3"/>
          <w:numId w:val="6"/>
        </w:numPr>
      </w:pPr>
      <w:r>
        <w:t>d</w:t>
      </w:r>
      <w:r w:rsidR="00DA3C52" w:rsidRPr="00F06441">
        <w:t xml:space="preserve">escribe the sources of uncertainties when using the in-situ testing device and how they are incorporated in the testing results.  Include the uncertainties outlined in the technical letter report titled “Initial Assessment of Uncertainties Associated with BADGER Methodology,” September 30, 2012 (Agencywide </w:t>
      </w:r>
      <w:r w:rsidR="00870585">
        <w:t>Document Access and Management System</w:t>
      </w:r>
      <w:r w:rsidR="00DA3C52" w:rsidRPr="00F06441">
        <w:t xml:space="preserve"> Accession No. ML12254A064).  Discuss the effect of rack cell deformation and detector or head misalignment, such as tilt, twist, offset, or other misalignments of the heads and how they are managed and accounted for in the analysis</w:t>
      </w:r>
      <w:r>
        <w:t>; and</w:t>
      </w:r>
    </w:p>
    <w:p w:rsidR="00DA3C52" w:rsidRPr="00F06441" w:rsidRDefault="00DA3C52" w:rsidP="000B4F7D"/>
    <w:p w:rsidR="00DA3C52" w:rsidRPr="00F06441" w:rsidRDefault="001733BE" w:rsidP="000B4F7D">
      <w:pPr>
        <w:pStyle w:val="ListParagraph"/>
        <w:numPr>
          <w:ilvl w:val="3"/>
          <w:numId w:val="6"/>
        </w:numPr>
      </w:pPr>
      <w:r>
        <w:t>d</w:t>
      </w:r>
      <w:r w:rsidR="00DA3C52" w:rsidRPr="00F06441">
        <w:t>escribe the calibration of the in</w:t>
      </w:r>
      <w:r w:rsidR="00DA3C52" w:rsidRPr="00F06441">
        <w:noBreakHyphen/>
        <w:t>situ testing device, including the following:</w:t>
      </w:r>
    </w:p>
    <w:p w:rsidR="00DA3C52" w:rsidRPr="00F06441" w:rsidRDefault="00DA3C52" w:rsidP="000B4F7D"/>
    <w:p w:rsidR="00DA3C52" w:rsidRPr="00F06441" w:rsidRDefault="001733BE" w:rsidP="000B4F7D">
      <w:pPr>
        <w:pStyle w:val="ListParagraph"/>
        <w:numPr>
          <w:ilvl w:val="4"/>
          <w:numId w:val="6"/>
        </w:numPr>
      </w:pPr>
      <w:r>
        <w:t>d</w:t>
      </w:r>
      <w:r w:rsidRPr="00F06441">
        <w:t xml:space="preserve">escribe </w:t>
      </w:r>
      <w:r w:rsidR="00DA3C52" w:rsidRPr="00F06441">
        <w:t>how the materials used in the calibration standard compare to the SFP rack materials and how any differences are accounted for in the calibration and results</w:t>
      </w:r>
      <w:r>
        <w:t>;</w:t>
      </w:r>
    </w:p>
    <w:p w:rsidR="00DA3C52" w:rsidRPr="00F06441" w:rsidRDefault="00DA3C52" w:rsidP="000B4F7D"/>
    <w:p w:rsidR="00DA3C52" w:rsidRPr="00F06441" w:rsidRDefault="001733BE" w:rsidP="000B4F7D">
      <w:pPr>
        <w:pStyle w:val="ListParagraph"/>
        <w:numPr>
          <w:ilvl w:val="4"/>
          <w:numId w:val="6"/>
        </w:numPr>
      </w:pPr>
      <w:r>
        <w:t>d</w:t>
      </w:r>
      <w:r w:rsidRPr="00F06441">
        <w:t xml:space="preserve">escribe </w:t>
      </w:r>
      <w:r w:rsidR="00DA3C52" w:rsidRPr="00F06441">
        <w:t>how potential material changes in the SFP rack materials caused by degradation or aging are accounted for in the calibration and results</w:t>
      </w:r>
      <w:r>
        <w:t>; and</w:t>
      </w:r>
    </w:p>
    <w:p w:rsidR="00DA3C52" w:rsidRPr="00F06441" w:rsidRDefault="00DA3C52" w:rsidP="000B4F7D"/>
    <w:p w:rsidR="00DA3C52" w:rsidRPr="00F06441" w:rsidRDefault="001733BE" w:rsidP="000B4F7D">
      <w:pPr>
        <w:pStyle w:val="ListParagraph"/>
        <w:numPr>
          <w:ilvl w:val="4"/>
          <w:numId w:val="6"/>
        </w:numPr>
      </w:pPr>
      <w:r>
        <w:t>i</w:t>
      </w:r>
      <w:r w:rsidRPr="00F06441">
        <w:t xml:space="preserve">f </w:t>
      </w:r>
      <w:r w:rsidR="00DA3C52" w:rsidRPr="00F06441">
        <w:t>the calibration includes the in-situ measurement of an SFP rack “reference panel,” explain the following:</w:t>
      </w:r>
    </w:p>
    <w:p w:rsidR="00DA3C52" w:rsidRPr="00F06441" w:rsidRDefault="00DA3C52" w:rsidP="000B4F7D"/>
    <w:p w:rsidR="00DA3C52" w:rsidRPr="00F06441" w:rsidRDefault="00DA3C52" w:rsidP="000B4F7D">
      <w:pPr>
        <w:pStyle w:val="ListParagraph"/>
        <w:numPr>
          <w:ilvl w:val="5"/>
          <w:numId w:val="6"/>
        </w:numPr>
      </w:pPr>
      <w:r w:rsidRPr="00F06441">
        <w:t>the methodology for selecting the reference panel(s) and how the reference panels are verified to meet the requirements</w:t>
      </w:r>
      <w:r w:rsidR="001733BE">
        <w:t>;</w:t>
      </w:r>
      <w:r w:rsidRPr="00F06441">
        <w:t xml:space="preserve"> </w:t>
      </w:r>
    </w:p>
    <w:p w:rsidR="00DA3C52" w:rsidRPr="00F06441" w:rsidRDefault="00DA3C52" w:rsidP="000B4F7D"/>
    <w:p w:rsidR="00DA3C52" w:rsidRPr="00F06441" w:rsidRDefault="00DA3C52" w:rsidP="000B4F7D">
      <w:pPr>
        <w:pStyle w:val="ListParagraph"/>
        <w:numPr>
          <w:ilvl w:val="5"/>
          <w:numId w:val="6"/>
        </w:numPr>
      </w:pPr>
      <w:r w:rsidRPr="00F06441">
        <w:t>whether all surveillance campaigns use the same reference panel(s)</w:t>
      </w:r>
      <w:r w:rsidR="001733BE">
        <w:t>; and</w:t>
      </w:r>
      <w:r w:rsidRPr="00F06441">
        <w:t xml:space="preserve"> </w:t>
      </w:r>
    </w:p>
    <w:p w:rsidR="00DA3C52" w:rsidRPr="00F06441" w:rsidRDefault="00DA3C52" w:rsidP="000B4F7D"/>
    <w:p w:rsidR="00DA3C52" w:rsidRPr="00F06441" w:rsidRDefault="00870585" w:rsidP="000B4F7D">
      <w:pPr>
        <w:pStyle w:val="ListParagraph"/>
        <w:numPr>
          <w:ilvl w:val="5"/>
          <w:numId w:val="6"/>
        </w:numPr>
      </w:pPr>
      <w:r>
        <w:t>i</w:t>
      </w:r>
      <w:r w:rsidR="00DA3C52" w:rsidRPr="00F06441">
        <w:t>f the same reference panels are not used for each measurement surveillance, describe how the use of different reference panels affects the ability to make comparisons from one campaign to the next.</w:t>
      </w:r>
    </w:p>
    <w:p w:rsidR="00DA3C52" w:rsidRPr="00F06441" w:rsidRDefault="00DA3C52" w:rsidP="000B4F7D"/>
    <w:p w:rsidR="00DA3C52" w:rsidRPr="00F06441" w:rsidRDefault="00DA3C52" w:rsidP="000B4F7D">
      <w:pPr>
        <w:pStyle w:val="ListParagraph"/>
        <w:numPr>
          <w:ilvl w:val="0"/>
          <w:numId w:val="6"/>
        </w:numPr>
      </w:pPr>
      <w:r w:rsidRPr="00F06441">
        <w:t>For any Boraflex, Carborundum, or Tetrabor being credited, describe the technical basis for determining the interval of surveillance or monitoring for the credited neutron</w:t>
      </w:r>
      <w:r w:rsidRPr="00F06441">
        <w:noBreakHyphen/>
        <w:t>absorbing material.  Include a justification of why the material properties of the neutron-absorbing material will continue to be consistent with the assumptions in the SFP NCS AOR between surveillances or monitoring intervals.</w:t>
      </w:r>
    </w:p>
    <w:p w:rsidR="00DA3C52" w:rsidRPr="00F06441" w:rsidRDefault="00DA3C52" w:rsidP="000B4F7D"/>
    <w:p w:rsidR="00DA3C52" w:rsidRPr="00F06441" w:rsidRDefault="00DA3C52" w:rsidP="000B4F7D">
      <w:pPr>
        <w:pStyle w:val="ListParagraph"/>
        <w:numPr>
          <w:ilvl w:val="0"/>
          <w:numId w:val="6"/>
        </w:numPr>
      </w:pPr>
      <w:r w:rsidRPr="00F06441">
        <w:t>For any Boraflex, Carborundum, Tetrabor, or Boral being credited, describe how the credited neutron-absorbing material is modeled in the SFP NCS AOR and how the monitoring or surveillance program ensures that the actual condition of the neutron</w:t>
      </w:r>
      <w:r w:rsidRPr="00F06441">
        <w:noBreakHyphen/>
        <w:t>absorbing material is bounded by the NCS AOR</w:t>
      </w:r>
      <w:r w:rsidR="001733BE">
        <w:t>.</w:t>
      </w:r>
    </w:p>
    <w:p w:rsidR="00DA3C52" w:rsidRPr="00F06441" w:rsidRDefault="00DA3C52" w:rsidP="000B4F7D"/>
    <w:p w:rsidR="00DA3C52" w:rsidRPr="00F06441" w:rsidRDefault="00DA3C52" w:rsidP="000B4F7D">
      <w:pPr>
        <w:pStyle w:val="ListParagraph"/>
        <w:numPr>
          <w:ilvl w:val="1"/>
          <w:numId w:val="6"/>
        </w:numPr>
      </w:pPr>
      <w:r w:rsidRPr="00F06441">
        <w:t xml:space="preserve">Describe the technical basis for the method of modeling the neutron-absorbing material in the NCS AOR.  Discuss whether the modeling addresses degraded neutron-absorbing </w:t>
      </w:r>
      <w:r w:rsidRPr="00F06441">
        <w:lastRenderedPageBreak/>
        <w:t>material, including loss of material, deformation of material (such as blisters, gaps, cracks, and shrinkage), and localized effects, such as non-uniform degradation.</w:t>
      </w:r>
    </w:p>
    <w:p w:rsidR="00DA3C52" w:rsidRPr="00F06441" w:rsidRDefault="00DA3C52" w:rsidP="000B4F7D"/>
    <w:p w:rsidR="00DA3C52" w:rsidRPr="00F06441" w:rsidRDefault="00DA3C52" w:rsidP="000B4F7D">
      <w:pPr>
        <w:pStyle w:val="ListParagraph"/>
        <w:numPr>
          <w:ilvl w:val="1"/>
          <w:numId w:val="6"/>
        </w:numPr>
      </w:pPr>
      <w:r w:rsidRPr="00F06441">
        <w:t>Describe how the results of the monitoring or surveillance program are used to ensure that the actual condition of the neutron-absorbing material is bounded by the SFP NCS AOR.  If a coupon monitoring program is used, provide a description and technical basis for the coupon tests and acceptance criteria used to ensure the material properties of the neutron-absorbing material are maintained within the assumptions of the NCS AOR.  Include a discussion on the measured dimensional changes, visual inspection, observed surface corrosion, observed degradation or deformation of the material (e.g., blistering, bulging, pitting, or warping), and neutron-attenuation measurements of the coupons.</w:t>
      </w:r>
    </w:p>
    <w:p w:rsidR="00DA3C52" w:rsidRPr="00F06441" w:rsidRDefault="00DA3C52" w:rsidP="00F06441"/>
    <w:p w:rsidR="00DA3C52" w:rsidRPr="00F06441" w:rsidRDefault="00DA3C52" w:rsidP="000B4F7D">
      <w:pPr>
        <w:pStyle w:val="ListParagraph"/>
        <w:numPr>
          <w:ilvl w:val="1"/>
          <w:numId w:val="6"/>
        </w:numPr>
      </w:pPr>
      <w:r w:rsidRPr="00F06441">
        <w:t>Describe how the bias and uncertainty of the monitoring or surveillance program are used in the SFP NCS AOR.</w:t>
      </w:r>
    </w:p>
    <w:p w:rsidR="00DA3C52" w:rsidRPr="00F06441" w:rsidRDefault="00DA3C52" w:rsidP="000B4F7D"/>
    <w:p w:rsidR="00DA3C52" w:rsidRPr="00F06441" w:rsidRDefault="00DA3C52" w:rsidP="000B4F7D">
      <w:pPr>
        <w:pStyle w:val="ListParagraph"/>
        <w:numPr>
          <w:ilvl w:val="1"/>
          <w:numId w:val="6"/>
        </w:numPr>
      </w:pPr>
      <w:r w:rsidRPr="00F06441">
        <w:t>Describe how the degradation in adjacent panels is correlated and accounted for in the NCS AOR.</w:t>
      </w:r>
    </w:p>
    <w:p w:rsidR="00DA3C52" w:rsidRPr="00F06441" w:rsidRDefault="00DA3C52" w:rsidP="00F06441"/>
    <w:p w:rsidR="00DA3C52" w:rsidRPr="00F06441" w:rsidRDefault="00DA3C52" w:rsidP="000B4F7D">
      <w:pPr>
        <w:pStyle w:val="ListParagraph"/>
        <w:numPr>
          <w:ilvl w:val="0"/>
          <w:numId w:val="6"/>
        </w:numPr>
      </w:pPr>
      <w:r w:rsidRPr="00F06441">
        <w:t>For any Boraflex, Carborundum, or Tetrabor being credited, describe the technical basis for concluding that the safety function for the credited neutron-absorbing material in the SFP will be maintained during design</w:t>
      </w:r>
      <w:r w:rsidRPr="00F06441">
        <w:noBreakHyphen/>
        <w:t>basis events (e.g., seismic events, loss of SFP cooling, fuel assembly drop accidents, and any other plant-specific design-basis events that may affect the neutron-absorbing material).</w:t>
      </w:r>
    </w:p>
    <w:p w:rsidR="00DA3C52" w:rsidRPr="00F06441" w:rsidRDefault="00DA3C52" w:rsidP="000B4F7D"/>
    <w:p w:rsidR="00DA3C52" w:rsidRPr="00F06441" w:rsidRDefault="00DA3C52" w:rsidP="000B4F7D">
      <w:pPr>
        <w:pStyle w:val="ListParagraph"/>
        <w:numPr>
          <w:ilvl w:val="1"/>
          <w:numId w:val="6"/>
        </w:numPr>
      </w:pPr>
      <w:r w:rsidRPr="00F06441">
        <w:t>For each design-basis event that would have an effect on the neutron-absorbing material, describe the technical basis for determining the effects of the design</w:t>
      </w:r>
      <w:r w:rsidRPr="00F06441">
        <w:noBreakHyphen/>
        <w:t>basis event on the material condition of the neutron-absorbing material during the design</w:t>
      </w:r>
      <w:r w:rsidRPr="00F06441">
        <w:noBreakHyphen/>
        <w:t>basis event, including:</w:t>
      </w:r>
    </w:p>
    <w:p w:rsidR="00DA3C52" w:rsidRPr="00F06441" w:rsidRDefault="00DA3C52" w:rsidP="000B4F7D"/>
    <w:p w:rsidR="00DA3C52" w:rsidRPr="00F06441" w:rsidRDefault="00DA3C52" w:rsidP="000B4F7D">
      <w:pPr>
        <w:pStyle w:val="ListParagraph"/>
        <w:numPr>
          <w:ilvl w:val="2"/>
          <w:numId w:val="6"/>
        </w:numPr>
      </w:pPr>
      <w:r w:rsidRPr="00F06441">
        <w:t>shifting or settling relative to the active fuel</w:t>
      </w:r>
      <w:r w:rsidR="001733BE">
        <w:t>;</w:t>
      </w:r>
    </w:p>
    <w:p w:rsidR="00DA3C52" w:rsidRPr="00F06441" w:rsidRDefault="00DA3C52" w:rsidP="000B4F7D"/>
    <w:p w:rsidR="00DA3C52" w:rsidRPr="00F06441" w:rsidRDefault="00DA3C52" w:rsidP="000B4F7D">
      <w:pPr>
        <w:pStyle w:val="ListParagraph"/>
        <w:numPr>
          <w:ilvl w:val="2"/>
          <w:numId w:val="6"/>
        </w:numPr>
      </w:pPr>
      <w:r w:rsidRPr="00F06441">
        <w:t>increased dissolution or corrosion</w:t>
      </w:r>
      <w:r w:rsidR="001733BE">
        <w:t>; and</w:t>
      </w:r>
    </w:p>
    <w:p w:rsidR="00DA3C52" w:rsidRPr="00F06441" w:rsidRDefault="00DA3C52" w:rsidP="000B4F7D"/>
    <w:p w:rsidR="00DA3C52" w:rsidRPr="00F06441" w:rsidRDefault="00DA3C52" w:rsidP="000B4F7D">
      <w:pPr>
        <w:pStyle w:val="ListParagraph"/>
        <w:numPr>
          <w:ilvl w:val="2"/>
          <w:numId w:val="6"/>
        </w:numPr>
      </w:pPr>
      <w:r w:rsidRPr="00F06441">
        <w:t>changes of state or loss of material properties that hinder the neutron</w:t>
      </w:r>
      <w:r w:rsidRPr="00F06441">
        <w:noBreakHyphen/>
        <w:t>absorbing material’s ability to perform its safety function</w:t>
      </w:r>
      <w:r w:rsidR="001733BE">
        <w:t>.</w:t>
      </w:r>
    </w:p>
    <w:p w:rsidR="00DA3C52" w:rsidRPr="00F06441" w:rsidRDefault="00DA3C52" w:rsidP="000B4F7D"/>
    <w:p w:rsidR="00DA3C52" w:rsidRPr="00F06441" w:rsidRDefault="00DA3C52" w:rsidP="000B4F7D">
      <w:pPr>
        <w:pStyle w:val="ListParagraph"/>
        <w:numPr>
          <w:ilvl w:val="1"/>
          <w:numId w:val="6"/>
        </w:numPr>
      </w:pPr>
      <w:r w:rsidRPr="00F06441">
        <w:t>Describe how the monitoring program ensures that the current material condition of the neutron-absorbing material will accommodate the stressors during a design</w:t>
      </w:r>
      <w:r w:rsidRPr="00F06441">
        <w:noBreakHyphen/>
        <w:t>basis event and remain within the assumptions of the NCS AOR, including:</w:t>
      </w:r>
    </w:p>
    <w:p w:rsidR="00DA3C52" w:rsidRPr="00F06441" w:rsidRDefault="00DA3C52" w:rsidP="000B4F7D"/>
    <w:p w:rsidR="00DA3C52" w:rsidRPr="00F06441" w:rsidRDefault="00DA3C52" w:rsidP="000B4F7D">
      <w:pPr>
        <w:pStyle w:val="ListParagraph"/>
        <w:numPr>
          <w:ilvl w:val="2"/>
          <w:numId w:val="6"/>
        </w:numPr>
      </w:pPr>
      <w:r w:rsidRPr="00F06441">
        <w:t>monitoring methodology</w:t>
      </w:r>
      <w:r w:rsidR="001733BE">
        <w:t>;</w:t>
      </w:r>
      <w:r w:rsidRPr="00F06441">
        <w:t xml:space="preserve"> </w:t>
      </w:r>
    </w:p>
    <w:p w:rsidR="00DA3C52" w:rsidRPr="00F06441" w:rsidRDefault="00DA3C52" w:rsidP="000B4F7D"/>
    <w:p w:rsidR="00DA3C52" w:rsidRPr="00F06441" w:rsidRDefault="00DA3C52" w:rsidP="000B4F7D">
      <w:pPr>
        <w:pStyle w:val="ListParagraph"/>
        <w:numPr>
          <w:ilvl w:val="2"/>
          <w:numId w:val="6"/>
        </w:numPr>
      </w:pPr>
      <w:r w:rsidRPr="00F06441">
        <w:t>parameters monitored</w:t>
      </w:r>
      <w:r w:rsidR="001733BE">
        <w:t>;</w:t>
      </w:r>
    </w:p>
    <w:p w:rsidR="00DA3C52" w:rsidRPr="00F06441" w:rsidRDefault="00DA3C52" w:rsidP="000B4F7D"/>
    <w:p w:rsidR="00DA3C52" w:rsidRPr="00F06441" w:rsidRDefault="00DA3C52" w:rsidP="000B4F7D">
      <w:pPr>
        <w:pStyle w:val="ListParagraph"/>
        <w:numPr>
          <w:ilvl w:val="2"/>
          <w:numId w:val="6"/>
        </w:numPr>
      </w:pPr>
      <w:r w:rsidRPr="00F06441">
        <w:t>acceptance criteria</w:t>
      </w:r>
      <w:r w:rsidR="001733BE">
        <w:t>; and</w:t>
      </w:r>
    </w:p>
    <w:p w:rsidR="00DA3C52" w:rsidRPr="00F06441" w:rsidRDefault="00DA3C52" w:rsidP="000B4F7D"/>
    <w:p w:rsidR="00DA3C52" w:rsidRPr="00F06441" w:rsidRDefault="00DA3C52" w:rsidP="000B4F7D">
      <w:pPr>
        <w:pStyle w:val="ListParagraph"/>
        <w:numPr>
          <w:ilvl w:val="2"/>
          <w:numId w:val="6"/>
        </w:numPr>
      </w:pPr>
      <w:r w:rsidRPr="00F06441">
        <w:t>intervals of monitoring</w:t>
      </w:r>
      <w:r w:rsidR="001733BE">
        <w:t>.</w:t>
      </w:r>
    </w:p>
    <w:p w:rsidR="00DA3C52" w:rsidRPr="00F06441" w:rsidRDefault="00DA3C52" w:rsidP="000B4F7D"/>
    <w:sectPr w:rsidR="00DA3C52" w:rsidRPr="00F06441" w:rsidSect="004914EB">
      <w:headerReference w:type="default" r:id="rId32"/>
      <w:headerReference w:type="first" r:id="rId33"/>
      <w:footerReference w:type="first" r:id="rId34"/>
      <w:pgSz w:w="12240" w:h="15839" w:code="1"/>
      <w:pgMar w:top="1440" w:right="1440" w:bottom="1440" w:left="1440" w:header="720" w:footer="144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928" w:rsidRPr="005C3DCE" w:rsidRDefault="00BA0928" w:rsidP="005C3DCE">
      <w:pPr>
        <w:pStyle w:val="Footer"/>
      </w:pPr>
    </w:p>
  </w:endnote>
  <w:endnote w:type="continuationSeparator" w:id="0">
    <w:p w:rsidR="00BA0928" w:rsidRDefault="00BA0928" w:rsidP="00AB0B1E"/>
  </w:endnote>
  <w:endnote w:type="continuationNotice" w:id="1">
    <w:p w:rsidR="00BA0928" w:rsidRDefault="00BA0928"/>
  </w:endnote>
  <w:endnote w:id="2">
    <w:p w:rsidR="00F61EFC" w:rsidRDefault="00F61EFC" w:rsidP="00663881">
      <w:pPr>
        <w:pStyle w:val="EndnoteText"/>
        <w:widowControl w:val="0"/>
        <w:ind w:left="720" w:hanging="720"/>
        <w:rPr>
          <w:rFonts w:cs="Arial"/>
          <w:szCs w:val="22"/>
        </w:rPr>
      </w:pPr>
      <w:r w:rsidRPr="00120A0C">
        <w:rPr>
          <w:rStyle w:val="EndnoteReference"/>
          <w:rFonts w:cs="Arial"/>
          <w:szCs w:val="22"/>
          <w:vertAlign w:val="baseline"/>
        </w:rPr>
        <w:endnoteRef/>
      </w:r>
      <w:r>
        <w:rPr>
          <w:rFonts w:cs="Arial"/>
          <w:szCs w:val="22"/>
        </w:rPr>
        <w:t>.</w:t>
      </w:r>
      <w:r>
        <w:rPr>
          <w:rFonts w:cs="Arial"/>
          <w:szCs w:val="22"/>
        </w:rPr>
        <w:tab/>
      </w:r>
      <w:r w:rsidRPr="00120A0C">
        <w:rPr>
          <w:rStyle w:val="EndnoteReference"/>
          <w:rFonts w:cs="Arial"/>
          <w:szCs w:val="22"/>
          <w:vertAlign w:val="baseline"/>
        </w:rPr>
        <w:t xml:space="preserve">Information Notice </w:t>
      </w:r>
      <w:r>
        <w:rPr>
          <w:rFonts w:cs="Arial"/>
          <w:szCs w:val="22"/>
        </w:rPr>
        <w:t>19</w:t>
      </w:r>
      <w:r w:rsidRPr="00120A0C">
        <w:rPr>
          <w:rStyle w:val="EndnoteReference"/>
          <w:rFonts w:cs="Arial"/>
          <w:szCs w:val="22"/>
          <w:vertAlign w:val="baseline"/>
        </w:rPr>
        <w:t>87</w:t>
      </w:r>
      <w:r w:rsidRPr="00120A0C">
        <w:rPr>
          <w:rStyle w:val="EndnoteReference"/>
          <w:rFonts w:cs="Arial"/>
          <w:szCs w:val="22"/>
          <w:vertAlign w:val="baseline"/>
        </w:rPr>
        <w:noBreakHyphen/>
        <w:t xml:space="preserve">43, “Gaps in Neutron-Absorbing Material in High-Density Spent Fuel Storage Racks,” </w:t>
      </w:r>
      <w:r>
        <w:rPr>
          <w:rFonts w:cs="Arial"/>
          <w:szCs w:val="22"/>
        </w:rPr>
        <w:t xml:space="preserve">September 8, 1987, </w:t>
      </w:r>
      <w:r w:rsidRPr="00120A0C">
        <w:rPr>
          <w:rStyle w:val="EndnoteReference"/>
          <w:rFonts w:cs="Arial"/>
          <w:szCs w:val="22"/>
          <w:vertAlign w:val="baseline"/>
        </w:rPr>
        <w:t>ADAMS Accession No</w:t>
      </w:r>
      <w:r w:rsidRPr="00120A0C">
        <w:rPr>
          <w:rFonts w:cs="Arial"/>
          <w:szCs w:val="22"/>
        </w:rPr>
        <w:t>.</w:t>
      </w:r>
      <w:r>
        <w:rPr>
          <w:rFonts w:cs="Arial"/>
          <w:szCs w:val="22"/>
        </w:rPr>
        <w:t> </w:t>
      </w:r>
      <w:r w:rsidRPr="00120A0C">
        <w:rPr>
          <w:rStyle w:val="EndnoteReference"/>
          <w:rFonts w:cs="Arial"/>
          <w:szCs w:val="22"/>
          <w:vertAlign w:val="baseline"/>
        </w:rPr>
        <w:t>ML031130349</w:t>
      </w:r>
      <w:r>
        <w:rPr>
          <w:rFonts w:cs="Arial"/>
          <w:szCs w:val="22"/>
        </w:rPr>
        <w:t>.</w:t>
      </w:r>
    </w:p>
    <w:p w:rsidR="00F61EFC" w:rsidRDefault="00F61EFC">
      <w:pPr>
        <w:pStyle w:val="EndnoteText"/>
        <w:ind w:left="720" w:hanging="720"/>
        <w:rPr>
          <w:rStyle w:val="EndnoteReference"/>
          <w:rFonts w:cs="Arial"/>
          <w:szCs w:val="22"/>
          <w:vertAlign w:val="baseline"/>
        </w:rPr>
      </w:pPr>
    </w:p>
  </w:endnote>
  <w:endnote w:id="3">
    <w:p w:rsidR="00F61EFC" w:rsidRDefault="00F61EFC">
      <w:pPr>
        <w:pStyle w:val="EndnoteText"/>
        <w:ind w:left="720" w:hanging="720"/>
        <w:rPr>
          <w:rFonts w:cs="Arial"/>
          <w:szCs w:val="22"/>
        </w:rPr>
      </w:pPr>
      <w:r w:rsidRPr="00120A0C">
        <w:rPr>
          <w:rStyle w:val="EndnoteReference"/>
          <w:rFonts w:cs="Arial"/>
          <w:szCs w:val="22"/>
          <w:vertAlign w:val="baseline"/>
        </w:rPr>
        <w:endnoteRef/>
      </w:r>
      <w:r>
        <w:rPr>
          <w:rFonts w:cs="Arial"/>
          <w:szCs w:val="22"/>
        </w:rPr>
        <w:t>.</w:t>
      </w:r>
      <w:r>
        <w:rPr>
          <w:rFonts w:cs="Arial"/>
          <w:szCs w:val="22"/>
        </w:rPr>
        <w:tab/>
      </w:r>
      <w:r w:rsidRPr="00120A0C">
        <w:rPr>
          <w:rStyle w:val="EndnoteReference"/>
          <w:rFonts w:cs="Arial"/>
          <w:szCs w:val="22"/>
          <w:vertAlign w:val="baseline"/>
        </w:rPr>
        <w:t xml:space="preserve">Information Notice </w:t>
      </w:r>
      <w:r>
        <w:rPr>
          <w:rFonts w:cs="Arial"/>
          <w:szCs w:val="22"/>
        </w:rPr>
        <w:t>19</w:t>
      </w:r>
      <w:r w:rsidRPr="00120A0C">
        <w:rPr>
          <w:rStyle w:val="EndnoteReference"/>
          <w:rFonts w:cs="Arial"/>
          <w:szCs w:val="22"/>
          <w:vertAlign w:val="baseline"/>
        </w:rPr>
        <w:t>93</w:t>
      </w:r>
      <w:r w:rsidRPr="00120A0C">
        <w:rPr>
          <w:rStyle w:val="EndnoteReference"/>
          <w:rFonts w:cs="Arial"/>
          <w:szCs w:val="22"/>
          <w:vertAlign w:val="baseline"/>
        </w:rPr>
        <w:noBreakHyphen/>
        <w:t xml:space="preserve">70, “Degradation of Boraflex Neutron Absorber Coupons,” </w:t>
      </w:r>
      <w:r>
        <w:rPr>
          <w:rFonts w:cs="Arial"/>
          <w:szCs w:val="22"/>
        </w:rPr>
        <w:t xml:space="preserve">September 10, 1993, </w:t>
      </w:r>
      <w:r w:rsidRPr="00120A0C">
        <w:rPr>
          <w:rStyle w:val="EndnoteReference"/>
          <w:rFonts w:cs="Arial"/>
          <w:szCs w:val="22"/>
          <w:vertAlign w:val="baseline"/>
        </w:rPr>
        <w:t>ADAMS Accession No</w:t>
      </w:r>
      <w:r w:rsidRPr="00120A0C">
        <w:rPr>
          <w:rFonts w:cs="Arial"/>
          <w:szCs w:val="22"/>
        </w:rPr>
        <w:t>.</w:t>
      </w:r>
      <w:r>
        <w:rPr>
          <w:rFonts w:cs="Arial"/>
          <w:szCs w:val="22"/>
        </w:rPr>
        <w:t> </w:t>
      </w:r>
      <w:r w:rsidRPr="00120A0C">
        <w:rPr>
          <w:rStyle w:val="EndnoteReference"/>
          <w:rFonts w:cs="Arial"/>
          <w:szCs w:val="22"/>
          <w:vertAlign w:val="baseline"/>
        </w:rPr>
        <w:t>ML031070107</w:t>
      </w:r>
      <w:r>
        <w:rPr>
          <w:rFonts w:cs="Arial"/>
          <w:szCs w:val="22"/>
        </w:rPr>
        <w:t>.</w:t>
      </w:r>
    </w:p>
    <w:p w:rsidR="00F61EFC" w:rsidRDefault="00F61EFC">
      <w:pPr>
        <w:pStyle w:val="EndnoteText"/>
        <w:ind w:left="720" w:hanging="720"/>
        <w:rPr>
          <w:rStyle w:val="EndnoteReference"/>
          <w:rFonts w:cs="Arial"/>
          <w:szCs w:val="22"/>
          <w:vertAlign w:val="baseline"/>
        </w:rPr>
      </w:pPr>
    </w:p>
  </w:endnote>
  <w:endnote w:id="4">
    <w:p w:rsidR="00F61EFC" w:rsidRDefault="00F61EFC">
      <w:pPr>
        <w:pStyle w:val="EndnoteText"/>
        <w:ind w:left="720" w:hanging="720"/>
        <w:rPr>
          <w:rFonts w:cs="Arial"/>
          <w:szCs w:val="22"/>
        </w:rPr>
      </w:pPr>
      <w:r w:rsidRPr="00120A0C">
        <w:rPr>
          <w:rStyle w:val="EndnoteReference"/>
          <w:rFonts w:cs="Arial"/>
          <w:szCs w:val="22"/>
          <w:vertAlign w:val="baseline"/>
        </w:rPr>
        <w:endnoteRef/>
      </w:r>
      <w:r>
        <w:rPr>
          <w:rFonts w:cs="Arial"/>
          <w:szCs w:val="22"/>
        </w:rPr>
        <w:t>.</w:t>
      </w:r>
      <w:r>
        <w:rPr>
          <w:rFonts w:cs="Arial"/>
          <w:szCs w:val="22"/>
        </w:rPr>
        <w:tab/>
      </w:r>
      <w:r w:rsidRPr="00120A0C">
        <w:rPr>
          <w:rStyle w:val="EndnoteReference"/>
          <w:rFonts w:cs="Arial"/>
          <w:szCs w:val="22"/>
          <w:vertAlign w:val="baseline"/>
        </w:rPr>
        <w:t xml:space="preserve">Information Notice </w:t>
      </w:r>
      <w:r>
        <w:rPr>
          <w:rFonts w:cs="Arial"/>
          <w:szCs w:val="22"/>
        </w:rPr>
        <w:t>19</w:t>
      </w:r>
      <w:r w:rsidRPr="00120A0C">
        <w:rPr>
          <w:rStyle w:val="EndnoteReference"/>
          <w:rFonts w:cs="Arial"/>
          <w:szCs w:val="22"/>
          <w:vertAlign w:val="baseline"/>
        </w:rPr>
        <w:t>95</w:t>
      </w:r>
      <w:r w:rsidRPr="00120A0C">
        <w:rPr>
          <w:rStyle w:val="EndnoteReference"/>
          <w:rFonts w:cs="Arial"/>
          <w:szCs w:val="22"/>
          <w:vertAlign w:val="baseline"/>
        </w:rPr>
        <w:noBreakHyphen/>
        <w:t xml:space="preserve">38, “Degradation of Boraflex Neutron Absorber in Spent Fuel Storage Racks,” </w:t>
      </w:r>
      <w:r>
        <w:rPr>
          <w:rFonts w:cs="Arial"/>
          <w:szCs w:val="22"/>
        </w:rPr>
        <w:t xml:space="preserve">September 8, 1995, </w:t>
      </w:r>
      <w:r w:rsidRPr="00120A0C">
        <w:rPr>
          <w:rStyle w:val="EndnoteReference"/>
          <w:rFonts w:cs="Arial"/>
          <w:szCs w:val="22"/>
          <w:vertAlign w:val="baseline"/>
        </w:rPr>
        <w:t>ADAMS Accession No</w:t>
      </w:r>
      <w:r w:rsidRPr="00120A0C">
        <w:rPr>
          <w:rFonts w:cs="Arial"/>
          <w:szCs w:val="22"/>
        </w:rPr>
        <w:t>.</w:t>
      </w:r>
      <w:r>
        <w:rPr>
          <w:rStyle w:val="EndnoteReference"/>
          <w:rFonts w:cs="Arial"/>
          <w:szCs w:val="22"/>
          <w:vertAlign w:val="baseline"/>
        </w:rPr>
        <w:t> </w:t>
      </w:r>
      <w:r w:rsidRPr="00120A0C">
        <w:rPr>
          <w:rStyle w:val="EndnoteReference"/>
          <w:rFonts w:cs="Arial"/>
          <w:szCs w:val="22"/>
          <w:vertAlign w:val="baseline"/>
        </w:rPr>
        <w:t>ML031060277</w:t>
      </w:r>
      <w:r>
        <w:rPr>
          <w:rFonts w:cs="Arial"/>
          <w:szCs w:val="22"/>
        </w:rPr>
        <w:t>.</w:t>
      </w:r>
    </w:p>
    <w:p w:rsidR="00F61EFC" w:rsidRDefault="00F61EFC">
      <w:pPr>
        <w:pStyle w:val="EndnoteText"/>
        <w:ind w:left="720" w:hanging="720"/>
        <w:rPr>
          <w:rStyle w:val="EndnoteReference"/>
          <w:rFonts w:cs="Arial"/>
          <w:szCs w:val="22"/>
          <w:vertAlign w:val="baseline"/>
        </w:rPr>
      </w:pPr>
    </w:p>
  </w:endnote>
  <w:endnote w:id="5">
    <w:p w:rsidR="00F61EFC" w:rsidRDefault="00F61EFC">
      <w:pPr>
        <w:pStyle w:val="EndnoteText"/>
        <w:ind w:left="720" w:hanging="720"/>
        <w:rPr>
          <w:rFonts w:cs="Arial"/>
          <w:szCs w:val="22"/>
        </w:rPr>
      </w:pPr>
      <w:r w:rsidRPr="00120A0C">
        <w:rPr>
          <w:rStyle w:val="EndnoteReference"/>
          <w:rFonts w:cs="Arial"/>
          <w:szCs w:val="22"/>
          <w:vertAlign w:val="baseline"/>
        </w:rPr>
        <w:endnoteRef/>
      </w:r>
      <w:r>
        <w:rPr>
          <w:rFonts w:cs="Arial"/>
          <w:szCs w:val="22"/>
        </w:rPr>
        <w:t>.</w:t>
      </w:r>
      <w:r>
        <w:rPr>
          <w:rFonts w:cs="Arial"/>
          <w:szCs w:val="22"/>
        </w:rPr>
        <w:tab/>
      </w:r>
      <w:r>
        <w:rPr>
          <w:rStyle w:val="EndnoteReference"/>
          <w:rFonts w:cs="Arial"/>
          <w:szCs w:val="22"/>
          <w:vertAlign w:val="baseline"/>
        </w:rPr>
        <w:t>G</w:t>
      </w:r>
      <w:r>
        <w:rPr>
          <w:rFonts w:cs="Arial"/>
          <w:szCs w:val="22"/>
        </w:rPr>
        <w:t xml:space="preserve">eneric </w:t>
      </w:r>
      <w:r w:rsidRPr="00120A0C">
        <w:rPr>
          <w:rStyle w:val="EndnoteReference"/>
          <w:rFonts w:cs="Arial"/>
          <w:szCs w:val="22"/>
          <w:vertAlign w:val="baseline"/>
        </w:rPr>
        <w:t>L</w:t>
      </w:r>
      <w:r>
        <w:rPr>
          <w:rStyle w:val="EndnoteReference"/>
          <w:rFonts w:cs="Arial"/>
          <w:szCs w:val="22"/>
          <w:vertAlign w:val="baseline"/>
        </w:rPr>
        <w:t>etter</w:t>
      </w:r>
      <w:r w:rsidRPr="00120A0C">
        <w:rPr>
          <w:rStyle w:val="EndnoteReference"/>
          <w:rFonts w:cs="Arial"/>
          <w:szCs w:val="22"/>
          <w:vertAlign w:val="baseline"/>
        </w:rPr>
        <w:t> </w:t>
      </w:r>
      <w:r>
        <w:rPr>
          <w:rFonts w:cs="Arial"/>
          <w:szCs w:val="22"/>
        </w:rPr>
        <w:t>19</w:t>
      </w:r>
      <w:r w:rsidRPr="00120A0C">
        <w:rPr>
          <w:rStyle w:val="EndnoteReference"/>
          <w:rFonts w:cs="Arial"/>
          <w:szCs w:val="22"/>
          <w:vertAlign w:val="baseline"/>
        </w:rPr>
        <w:t>96</w:t>
      </w:r>
      <w:r w:rsidRPr="00120A0C">
        <w:rPr>
          <w:rStyle w:val="EndnoteReference"/>
          <w:rFonts w:cs="Arial"/>
          <w:szCs w:val="22"/>
          <w:vertAlign w:val="baseline"/>
        </w:rPr>
        <w:noBreakHyphen/>
        <w:t>04, “Boraflex Degradation in Spent Fuel Pool</w:t>
      </w:r>
      <w:r>
        <w:rPr>
          <w:rFonts w:cs="Arial"/>
          <w:szCs w:val="22"/>
        </w:rPr>
        <w:t xml:space="preserve"> Storage Racks</w:t>
      </w:r>
      <w:r w:rsidRPr="00120A0C">
        <w:rPr>
          <w:rStyle w:val="EndnoteReference"/>
          <w:rFonts w:cs="Arial"/>
          <w:szCs w:val="22"/>
          <w:vertAlign w:val="baseline"/>
        </w:rPr>
        <w:t xml:space="preserve">,” </w:t>
      </w:r>
      <w:r>
        <w:rPr>
          <w:rFonts w:cs="Arial"/>
          <w:szCs w:val="22"/>
        </w:rPr>
        <w:t xml:space="preserve">June 26, 1996, </w:t>
      </w:r>
      <w:r w:rsidRPr="00120A0C">
        <w:rPr>
          <w:rStyle w:val="EndnoteReference"/>
          <w:rFonts w:cs="Arial"/>
          <w:szCs w:val="22"/>
          <w:vertAlign w:val="baseline"/>
        </w:rPr>
        <w:t>ADAMS Accession No</w:t>
      </w:r>
      <w:r w:rsidRPr="00120A0C">
        <w:rPr>
          <w:rFonts w:cs="Arial"/>
          <w:szCs w:val="22"/>
        </w:rPr>
        <w:t>.</w:t>
      </w:r>
      <w:r>
        <w:rPr>
          <w:rStyle w:val="EndnoteReference"/>
          <w:rFonts w:cs="Arial"/>
          <w:szCs w:val="22"/>
          <w:vertAlign w:val="baseline"/>
        </w:rPr>
        <w:t> </w:t>
      </w:r>
      <w:r w:rsidRPr="00120A0C">
        <w:rPr>
          <w:rStyle w:val="EndnoteReference"/>
          <w:rFonts w:cs="Arial"/>
          <w:szCs w:val="22"/>
          <w:vertAlign w:val="baseline"/>
        </w:rPr>
        <w:t>ML031110008</w:t>
      </w:r>
      <w:r>
        <w:rPr>
          <w:rFonts w:cs="Arial"/>
          <w:szCs w:val="22"/>
        </w:rPr>
        <w:t>.</w:t>
      </w:r>
    </w:p>
    <w:p w:rsidR="00F61EFC" w:rsidRDefault="00F61EFC">
      <w:pPr>
        <w:pStyle w:val="EndnoteText"/>
        <w:ind w:left="720" w:hanging="720"/>
        <w:rPr>
          <w:rStyle w:val="EndnoteReference"/>
          <w:rFonts w:cs="Arial"/>
          <w:szCs w:val="22"/>
          <w:vertAlign w:val="baseline"/>
        </w:rPr>
      </w:pPr>
    </w:p>
  </w:endnote>
  <w:endnote w:id="6">
    <w:p w:rsidR="00F61EFC" w:rsidRDefault="00F61EFC">
      <w:pPr>
        <w:pStyle w:val="EndnoteText"/>
        <w:ind w:left="720" w:hanging="720"/>
        <w:rPr>
          <w:rFonts w:cs="Arial"/>
          <w:szCs w:val="22"/>
        </w:rPr>
      </w:pPr>
      <w:r w:rsidRPr="00120A0C">
        <w:rPr>
          <w:rStyle w:val="EndnoteReference"/>
          <w:rFonts w:cs="Arial"/>
          <w:szCs w:val="22"/>
          <w:vertAlign w:val="baseline"/>
        </w:rPr>
        <w:endnoteRef/>
      </w:r>
      <w:r>
        <w:rPr>
          <w:rFonts w:cs="Arial"/>
          <w:szCs w:val="22"/>
        </w:rPr>
        <w:t>.</w:t>
      </w:r>
      <w:r>
        <w:rPr>
          <w:rFonts w:cs="Arial"/>
          <w:szCs w:val="22"/>
        </w:rPr>
        <w:tab/>
      </w:r>
      <w:r w:rsidRPr="00120A0C">
        <w:rPr>
          <w:rStyle w:val="EndnoteReference"/>
          <w:rFonts w:cs="Arial"/>
          <w:szCs w:val="22"/>
          <w:vertAlign w:val="baseline"/>
        </w:rPr>
        <w:t xml:space="preserve">Information Notice </w:t>
      </w:r>
      <w:r>
        <w:rPr>
          <w:rFonts w:cs="Arial"/>
          <w:szCs w:val="22"/>
        </w:rPr>
        <w:t>20</w:t>
      </w:r>
      <w:r w:rsidRPr="00120A0C">
        <w:rPr>
          <w:rStyle w:val="EndnoteReference"/>
          <w:rFonts w:cs="Arial"/>
          <w:szCs w:val="22"/>
          <w:vertAlign w:val="baseline"/>
        </w:rPr>
        <w:t>12</w:t>
      </w:r>
      <w:r>
        <w:rPr>
          <w:rFonts w:cs="Arial"/>
          <w:szCs w:val="22"/>
        </w:rPr>
        <w:noBreakHyphen/>
      </w:r>
      <w:r w:rsidRPr="00120A0C">
        <w:rPr>
          <w:rStyle w:val="EndnoteReference"/>
          <w:rFonts w:cs="Arial"/>
          <w:szCs w:val="22"/>
          <w:vertAlign w:val="baseline"/>
        </w:rPr>
        <w:t xml:space="preserve">13, </w:t>
      </w:r>
      <w:r>
        <w:rPr>
          <w:rFonts w:cs="Arial"/>
          <w:szCs w:val="22"/>
        </w:rPr>
        <w:t>“</w:t>
      </w:r>
      <w:r w:rsidRPr="00120A0C">
        <w:rPr>
          <w:rStyle w:val="EndnoteReference"/>
          <w:rFonts w:cs="Arial"/>
          <w:szCs w:val="22"/>
          <w:vertAlign w:val="baseline"/>
        </w:rPr>
        <w:t xml:space="preserve">Boraflex Degradation Surveillance Programs and Corrective Actions in the Spent Fuel Pool,” </w:t>
      </w:r>
      <w:r>
        <w:rPr>
          <w:rFonts w:cs="Arial"/>
          <w:szCs w:val="22"/>
        </w:rPr>
        <w:t xml:space="preserve">August 10, 2012, </w:t>
      </w:r>
      <w:r w:rsidRPr="00120A0C">
        <w:rPr>
          <w:rStyle w:val="EndnoteReference"/>
          <w:rFonts w:cs="Arial"/>
          <w:szCs w:val="22"/>
          <w:vertAlign w:val="baseline"/>
        </w:rPr>
        <w:t>ADAMS Accession No</w:t>
      </w:r>
      <w:r w:rsidRPr="00120A0C">
        <w:rPr>
          <w:rFonts w:cs="Arial"/>
          <w:szCs w:val="22"/>
        </w:rPr>
        <w:t>.</w:t>
      </w:r>
      <w:r>
        <w:rPr>
          <w:rStyle w:val="EndnoteReference"/>
          <w:rFonts w:cs="Arial"/>
          <w:szCs w:val="22"/>
          <w:vertAlign w:val="baseline"/>
        </w:rPr>
        <w:t> </w:t>
      </w:r>
      <w:r w:rsidRPr="00120A0C">
        <w:rPr>
          <w:rStyle w:val="EndnoteReference"/>
          <w:rFonts w:cs="Arial"/>
          <w:szCs w:val="22"/>
          <w:vertAlign w:val="baseline"/>
        </w:rPr>
        <w:t>ML121660156</w:t>
      </w:r>
      <w:r>
        <w:rPr>
          <w:rFonts w:cs="Arial"/>
          <w:szCs w:val="22"/>
        </w:rPr>
        <w:t>.</w:t>
      </w:r>
    </w:p>
    <w:p w:rsidR="00F61EFC" w:rsidRDefault="00F61EFC">
      <w:pPr>
        <w:pStyle w:val="EndnoteText"/>
        <w:ind w:left="720" w:hanging="720"/>
        <w:rPr>
          <w:rStyle w:val="EndnoteReference"/>
          <w:rFonts w:cs="Arial"/>
          <w:szCs w:val="22"/>
          <w:vertAlign w:val="baseline"/>
        </w:rPr>
      </w:pPr>
    </w:p>
  </w:endnote>
  <w:endnote w:id="7">
    <w:p w:rsidR="00F61EFC" w:rsidRPr="00160740" w:rsidRDefault="00F61EFC" w:rsidP="002B729C">
      <w:pPr>
        <w:pStyle w:val="EndnoteText"/>
        <w:ind w:left="720" w:hanging="720"/>
      </w:pPr>
      <w:r w:rsidRPr="00160740">
        <w:rPr>
          <w:rStyle w:val="EndnoteReference"/>
          <w:vertAlign w:val="baseline"/>
        </w:rPr>
        <w:endnoteRef/>
      </w:r>
      <w:r>
        <w:t>.</w:t>
      </w:r>
      <w:r>
        <w:tab/>
        <w:t xml:space="preserve">Information Notice 1983-29, “Fuel Binding Caused by Fuel Rack Deformation,” </w:t>
      </w:r>
      <w:r>
        <w:rPr>
          <w:rFonts w:cs="Arial"/>
          <w:szCs w:val="22"/>
        </w:rPr>
        <w:t xml:space="preserve">May 6, 1983, </w:t>
      </w:r>
      <w:r w:rsidRPr="00120A0C">
        <w:rPr>
          <w:rStyle w:val="EndnoteReference"/>
          <w:rFonts w:cs="Arial"/>
          <w:szCs w:val="22"/>
          <w:vertAlign w:val="baseline"/>
        </w:rPr>
        <w:t>ADAMS Accession No</w:t>
      </w:r>
      <w:r w:rsidRPr="00120A0C">
        <w:rPr>
          <w:rFonts w:cs="Arial"/>
          <w:szCs w:val="22"/>
        </w:rPr>
        <w:t>.</w:t>
      </w:r>
      <w:r>
        <w:rPr>
          <w:rStyle w:val="EndnoteReference"/>
          <w:rFonts w:cs="Arial"/>
          <w:szCs w:val="22"/>
          <w:vertAlign w:val="baseline"/>
        </w:rPr>
        <w:t> </w:t>
      </w:r>
      <w:r w:rsidRPr="00120A0C">
        <w:rPr>
          <w:rStyle w:val="EndnoteReference"/>
          <w:rFonts w:cs="Arial"/>
          <w:szCs w:val="22"/>
          <w:vertAlign w:val="baseline"/>
        </w:rPr>
        <w:t>ML1</w:t>
      </w:r>
      <w:r>
        <w:rPr>
          <w:rStyle w:val="EndnoteReference"/>
          <w:rFonts w:cs="Arial"/>
          <w:szCs w:val="22"/>
          <w:vertAlign w:val="baseline"/>
        </w:rPr>
        <w:t>4</w:t>
      </w:r>
      <w:r>
        <w:rPr>
          <w:rFonts w:cs="Arial"/>
          <w:szCs w:val="22"/>
        </w:rPr>
        <w:t>043A291.</w:t>
      </w:r>
    </w:p>
    <w:p w:rsidR="00F61EFC" w:rsidRDefault="00F61EFC" w:rsidP="002B729C">
      <w:pPr>
        <w:pStyle w:val="EndnoteText"/>
      </w:pPr>
    </w:p>
  </w:endnote>
  <w:endnote w:id="8">
    <w:p w:rsidR="00F61EFC" w:rsidRDefault="00F61EFC">
      <w:pPr>
        <w:pStyle w:val="EndnoteText"/>
        <w:ind w:left="720" w:hanging="720"/>
        <w:rPr>
          <w:rFonts w:cs="Arial"/>
          <w:szCs w:val="22"/>
        </w:rPr>
      </w:pPr>
      <w:r w:rsidRPr="00120A0C">
        <w:rPr>
          <w:rStyle w:val="EndnoteReference"/>
          <w:rFonts w:cs="Arial"/>
          <w:szCs w:val="22"/>
          <w:vertAlign w:val="baseline"/>
        </w:rPr>
        <w:endnoteRef/>
      </w:r>
      <w:r>
        <w:rPr>
          <w:rFonts w:cs="Arial"/>
          <w:szCs w:val="22"/>
        </w:rPr>
        <w:t>.</w:t>
      </w:r>
      <w:r>
        <w:rPr>
          <w:rFonts w:cs="Arial"/>
          <w:szCs w:val="22"/>
        </w:rPr>
        <w:tab/>
      </w:r>
      <w:r w:rsidRPr="00120A0C">
        <w:rPr>
          <w:rStyle w:val="EndnoteReference"/>
          <w:rFonts w:cs="Arial"/>
          <w:szCs w:val="22"/>
          <w:vertAlign w:val="baseline"/>
        </w:rPr>
        <w:t xml:space="preserve">Information Notice </w:t>
      </w:r>
      <w:r>
        <w:rPr>
          <w:rFonts w:cs="Arial"/>
          <w:szCs w:val="22"/>
        </w:rPr>
        <w:t>20</w:t>
      </w:r>
      <w:r w:rsidRPr="00120A0C">
        <w:rPr>
          <w:rStyle w:val="EndnoteReference"/>
          <w:rFonts w:cs="Arial"/>
          <w:szCs w:val="22"/>
          <w:vertAlign w:val="baseline"/>
        </w:rPr>
        <w:t>09</w:t>
      </w:r>
      <w:r>
        <w:rPr>
          <w:rFonts w:cs="Arial"/>
          <w:szCs w:val="22"/>
        </w:rPr>
        <w:noBreakHyphen/>
      </w:r>
      <w:r w:rsidRPr="00120A0C">
        <w:rPr>
          <w:rStyle w:val="EndnoteReference"/>
          <w:rFonts w:cs="Arial"/>
          <w:szCs w:val="22"/>
          <w:vertAlign w:val="baseline"/>
        </w:rPr>
        <w:t xml:space="preserve">26, “Degradation of Neutron-Absorbing Materials in the Spent Fuel Pool,” </w:t>
      </w:r>
      <w:r>
        <w:rPr>
          <w:rFonts w:cs="Arial"/>
          <w:szCs w:val="22"/>
        </w:rPr>
        <w:t xml:space="preserve">October 28, 2009, </w:t>
      </w:r>
      <w:r w:rsidRPr="00120A0C">
        <w:rPr>
          <w:rStyle w:val="EndnoteReference"/>
          <w:rFonts w:cs="Arial"/>
          <w:szCs w:val="22"/>
          <w:vertAlign w:val="baseline"/>
        </w:rPr>
        <w:t>ADAMS Accession No</w:t>
      </w:r>
      <w:r w:rsidRPr="00120A0C">
        <w:rPr>
          <w:rFonts w:cs="Arial"/>
          <w:szCs w:val="22"/>
        </w:rPr>
        <w:t>.</w:t>
      </w:r>
      <w:r>
        <w:rPr>
          <w:rFonts w:cs="Arial"/>
          <w:szCs w:val="22"/>
        </w:rPr>
        <w:t> </w:t>
      </w:r>
      <w:r w:rsidRPr="00120A0C">
        <w:rPr>
          <w:rStyle w:val="EndnoteReference"/>
          <w:rFonts w:cs="Arial"/>
          <w:szCs w:val="22"/>
          <w:vertAlign w:val="baseline"/>
        </w:rPr>
        <w:t>ML092440545</w:t>
      </w:r>
      <w:r>
        <w:rPr>
          <w:rFonts w:cs="Arial"/>
          <w:szCs w:val="22"/>
        </w:rPr>
        <w:t>.</w:t>
      </w:r>
    </w:p>
    <w:p w:rsidR="00F61EFC" w:rsidRDefault="00F61EFC">
      <w:pPr>
        <w:pStyle w:val="EndnoteText"/>
        <w:ind w:left="720" w:hanging="720"/>
        <w:rPr>
          <w:rStyle w:val="EndnoteReference"/>
          <w:rFonts w:cs="Arial"/>
          <w:szCs w:val="22"/>
          <w:vertAlign w:val="baseline"/>
        </w:rPr>
      </w:pPr>
    </w:p>
  </w:endnote>
  <w:endnote w:id="9">
    <w:p w:rsidR="00F61EFC" w:rsidRDefault="00F61EFC">
      <w:pPr>
        <w:pStyle w:val="EndnoteText"/>
        <w:ind w:left="720" w:hanging="720"/>
        <w:rPr>
          <w:rFonts w:cs="Arial"/>
          <w:szCs w:val="22"/>
        </w:rPr>
      </w:pPr>
      <w:r w:rsidRPr="00120A0C">
        <w:rPr>
          <w:rStyle w:val="EndnoteReference"/>
          <w:rFonts w:cs="Arial"/>
          <w:szCs w:val="22"/>
          <w:vertAlign w:val="baseline"/>
        </w:rPr>
        <w:endnoteRef/>
      </w:r>
      <w:r>
        <w:rPr>
          <w:rFonts w:cs="Arial"/>
          <w:szCs w:val="22"/>
        </w:rPr>
        <w:t>.</w:t>
      </w:r>
      <w:r>
        <w:rPr>
          <w:rFonts w:cs="Arial"/>
          <w:szCs w:val="22"/>
        </w:rPr>
        <w:tab/>
      </w:r>
      <w:r w:rsidRPr="00120A0C">
        <w:rPr>
          <w:rFonts w:cs="Arial"/>
          <w:szCs w:val="22"/>
        </w:rPr>
        <w:t xml:space="preserve">Letter from </w:t>
      </w:r>
      <w:r w:rsidRPr="00120A0C">
        <w:rPr>
          <w:rFonts w:cs="Arial"/>
          <w:color w:val="000000"/>
          <w:szCs w:val="22"/>
        </w:rPr>
        <w:t>Florida Power &amp; Light Energy Seabrook, LLC</w:t>
      </w:r>
      <w:r>
        <w:rPr>
          <w:rFonts w:cs="Arial"/>
          <w:color w:val="000000"/>
          <w:szCs w:val="22"/>
        </w:rPr>
        <w:t>,</w:t>
      </w:r>
      <w:r w:rsidRPr="00120A0C">
        <w:rPr>
          <w:rFonts w:cs="Arial"/>
          <w:color w:val="000000"/>
          <w:szCs w:val="22"/>
        </w:rPr>
        <w:t xml:space="preserve"> to NRC, “Boral Spent Fuel Pool Test Coupons Report Pursuant to 10</w:t>
      </w:r>
      <w:r>
        <w:rPr>
          <w:rFonts w:cs="Arial"/>
          <w:color w:val="000000"/>
          <w:szCs w:val="22"/>
        </w:rPr>
        <w:t> </w:t>
      </w:r>
      <w:r w:rsidRPr="00120A0C">
        <w:rPr>
          <w:rFonts w:cs="Arial"/>
          <w:color w:val="000000"/>
          <w:szCs w:val="22"/>
        </w:rPr>
        <w:t>CFR</w:t>
      </w:r>
      <w:r>
        <w:rPr>
          <w:rFonts w:cs="Arial"/>
          <w:color w:val="000000"/>
          <w:szCs w:val="22"/>
        </w:rPr>
        <w:t> </w:t>
      </w:r>
      <w:r w:rsidRPr="00120A0C">
        <w:rPr>
          <w:rFonts w:cs="Arial"/>
          <w:color w:val="000000"/>
          <w:szCs w:val="22"/>
        </w:rPr>
        <w:t>Part</w:t>
      </w:r>
      <w:r>
        <w:rPr>
          <w:rFonts w:cs="Arial"/>
          <w:color w:val="000000"/>
          <w:szCs w:val="22"/>
        </w:rPr>
        <w:t> </w:t>
      </w:r>
      <w:r w:rsidRPr="00120A0C">
        <w:rPr>
          <w:rFonts w:cs="Arial"/>
          <w:color w:val="000000"/>
          <w:szCs w:val="22"/>
        </w:rPr>
        <w:t xml:space="preserve">21.21,” </w:t>
      </w:r>
      <w:r>
        <w:rPr>
          <w:rFonts w:cs="Arial"/>
          <w:color w:val="000000"/>
          <w:szCs w:val="22"/>
        </w:rPr>
        <w:t xml:space="preserve">October 6, 2003, </w:t>
      </w:r>
      <w:r w:rsidRPr="00120A0C">
        <w:rPr>
          <w:rStyle w:val="EndnoteReference"/>
          <w:rFonts w:cs="Arial"/>
          <w:szCs w:val="22"/>
          <w:vertAlign w:val="baseline"/>
        </w:rPr>
        <w:t>ADAMS Accession No. ML032880525</w:t>
      </w:r>
      <w:r>
        <w:rPr>
          <w:rFonts w:cs="Arial"/>
          <w:szCs w:val="22"/>
        </w:rPr>
        <w:t>.</w:t>
      </w:r>
    </w:p>
    <w:p w:rsidR="00F61EFC" w:rsidRDefault="00F61EFC">
      <w:pPr>
        <w:pStyle w:val="EndnoteText"/>
        <w:ind w:left="720" w:hanging="720"/>
        <w:rPr>
          <w:rStyle w:val="EndnoteReference"/>
          <w:rFonts w:cs="Arial"/>
          <w:szCs w:val="22"/>
          <w:vertAlign w:val="baseline"/>
        </w:rPr>
      </w:pPr>
    </w:p>
  </w:endnote>
  <w:endnote w:id="10">
    <w:p w:rsidR="00F61EFC" w:rsidRDefault="00F61EFC">
      <w:pPr>
        <w:pStyle w:val="EndnoteText"/>
        <w:ind w:left="720" w:hanging="720"/>
        <w:rPr>
          <w:rFonts w:cs="Arial"/>
          <w:szCs w:val="22"/>
        </w:rPr>
      </w:pPr>
      <w:r w:rsidRPr="00120A0C">
        <w:rPr>
          <w:rStyle w:val="EndnoteReference"/>
          <w:rFonts w:cs="Arial"/>
          <w:szCs w:val="22"/>
          <w:vertAlign w:val="baseline"/>
        </w:rPr>
        <w:endnoteRef/>
      </w:r>
      <w:r>
        <w:rPr>
          <w:rFonts w:cs="Arial"/>
          <w:szCs w:val="22"/>
        </w:rPr>
        <w:t>.</w:t>
      </w:r>
      <w:r>
        <w:rPr>
          <w:rFonts w:cs="Arial"/>
          <w:szCs w:val="22"/>
        </w:rPr>
        <w:tab/>
      </w:r>
      <w:r w:rsidRPr="00120A0C">
        <w:rPr>
          <w:rFonts w:cs="Arial"/>
          <w:szCs w:val="22"/>
        </w:rPr>
        <w:t xml:space="preserve">Letter from </w:t>
      </w:r>
      <w:r w:rsidRPr="00120A0C">
        <w:rPr>
          <w:rFonts w:cs="Arial"/>
          <w:color w:val="000000"/>
          <w:szCs w:val="22"/>
        </w:rPr>
        <w:t xml:space="preserve">FirstEnergy Nuclear Operating Co, “Supplemental Information for the Review of </w:t>
      </w:r>
      <w:r w:rsidRPr="009F269E">
        <w:rPr>
          <w:rFonts w:cs="Arial"/>
          <w:color w:val="000000"/>
          <w:szCs w:val="22"/>
        </w:rPr>
        <w:t>Beaver Valley</w:t>
      </w:r>
      <w:r>
        <w:rPr>
          <w:rFonts w:cs="Arial"/>
          <w:color w:val="000000"/>
          <w:szCs w:val="22"/>
        </w:rPr>
        <w:t xml:space="preserve"> Power Station</w:t>
      </w:r>
      <w:r w:rsidRPr="009F269E">
        <w:rPr>
          <w:rFonts w:cs="Arial"/>
          <w:color w:val="000000"/>
          <w:szCs w:val="22"/>
        </w:rPr>
        <w:t>, Units</w:t>
      </w:r>
      <w:r>
        <w:rPr>
          <w:rFonts w:cs="Arial"/>
          <w:color w:val="000000"/>
          <w:szCs w:val="22"/>
        </w:rPr>
        <w:t> </w:t>
      </w:r>
      <w:r w:rsidRPr="009F269E">
        <w:rPr>
          <w:rFonts w:cs="Arial"/>
          <w:color w:val="000000"/>
          <w:szCs w:val="22"/>
        </w:rPr>
        <w:t xml:space="preserve">1 </w:t>
      </w:r>
      <w:r>
        <w:rPr>
          <w:rFonts w:cs="Arial"/>
          <w:color w:val="000000"/>
          <w:szCs w:val="22"/>
        </w:rPr>
        <w:t>and </w:t>
      </w:r>
      <w:r w:rsidRPr="009F269E">
        <w:rPr>
          <w:rFonts w:cs="Arial"/>
          <w:color w:val="000000"/>
          <w:szCs w:val="22"/>
        </w:rPr>
        <w:t xml:space="preserve">2, </w:t>
      </w:r>
      <w:r w:rsidRPr="00120A0C">
        <w:rPr>
          <w:rFonts w:cs="Arial"/>
          <w:color w:val="000000"/>
          <w:szCs w:val="22"/>
        </w:rPr>
        <w:t>License Renewal Application and License Renewal Application Amendment No.</w:t>
      </w:r>
      <w:r>
        <w:rPr>
          <w:rFonts w:cs="Arial"/>
          <w:color w:val="000000"/>
          <w:szCs w:val="22"/>
        </w:rPr>
        <w:t> </w:t>
      </w:r>
      <w:r w:rsidRPr="00120A0C">
        <w:rPr>
          <w:rFonts w:cs="Arial"/>
          <w:color w:val="000000"/>
          <w:szCs w:val="22"/>
        </w:rPr>
        <w:t xml:space="preserve">34,” </w:t>
      </w:r>
      <w:r>
        <w:rPr>
          <w:rFonts w:cs="Arial"/>
          <w:color w:val="000000"/>
          <w:szCs w:val="22"/>
        </w:rPr>
        <w:t xml:space="preserve">January 19, 2009, </w:t>
      </w:r>
      <w:r w:rsidRPr="00120A0C">
        <w:rPr>
          <w:rStyle w:val="EndnoteReference"/>
          <w:rFonts w:cs="Arial"/>
          <w:szCs w:val="22"/>
          <w:vertAlign w:val="baseline"/>
        </w:rPr>
        <w:t>ADAMS Accession No. ML090220216</w:t>
      </w:r>
      <w:r>
        <w:rPr>
          <w:rFonts w:cs="Arial"/>
          <w:szCs w:val="22"/>
        </w:rPr>
        <w:t>.</w:t>
      </w:r>
    </w:p>
    <w:p w:rsidR="00F61EFC" w:rsidRDefault="00F61EFC">
      <w:pPr>
        <w:pStyle w:val="EndnoteText"/>
        <w:ind w:left="720" w:hanging="720"/>
        <w:rPr>
          <w:rStyle w:val="EndnoteReference"/>
          <w:rFonts w:cs="Arial"/>
          <w:szCs w:val="22"/>
          <w:vertAlign w:val="baseline"/>
        </w:rPr>
      </w:pPr>
    </w:p>
  </w:endnote>
  <w:endnote w:id="11">
    <w:p w:rsidR="00F61EFC" w:rsidRDefault="00F61EFC">
      <w:pPr>
        <w:pStyle w:val="EndnoteText"/>
        <w:ind w:left="720" w:hanging="720"/>
        <w:rPr>
          <w:rFonts w:cs="Arial"/>
          <w:szCs w:val="22"/>
        </w:rPr>
      </w:pPr>
      <w:r w:rsidRPr="00120A0C">
        <w:rPr>
          <w:rStyle w:val="EndnoteReference"/>
          <w:rFonts w:cs="Arial"/>
          <w:szCs w:val="22"/>
          <w:vertAlign w:val="baseline"/>
        </w:rPr>
        <w:endnoteRef/>
      </w:r>
      <w:r>
        <w:rPr>
          <w:rFonts w:cs="Arial"/>
          <w:szCs w:val="22"/>
        </w:rPr>
        <w:t>.</w:t>
      </w:r>
      <w:r>
        <w:rPr>
          <w:rFonts w:cs="Arial"/>
          <w:szCs w:val="22"/>
        </w:rPr>
        <w:tab/>
      </w:r>
      <w:r w:rsidRPr="00120A0C">
        <w:rPr>
          <w:rFonts w:cs="Arial"/>
          <w:szCs w:val="22"/>
        </w:rPr>
        <w:t xml:space="preserve">Notice of Violation from NRC to </w:t>
      </w:r>
      <w:r w:rsidRPr="00120A0C">
        <w:rPr>
          <w:rFonts w:cs="Arial"/>
          <w:color w:val="000000"/>
          <w:szCs w:val="22"/>
        </w:rPr>
        <w:t xml:space="preserve">Florida Power &amp; Light Co, “Final Significance Determination of White Finding and Notice of Violation; </w:t>
      </w:r>
      <w:r>
        <w:rPr>
          <w:rFonts w:cs="Arial"/>
          <w:color w:val="000000"/>
          <w:szCs w:val="22"/>
        </w:rPr>
        <w:t xml:space="preserve">Notice of Violation </w:t>
      </w:r>
      <w:r w:rsidRPr="00120A0C">
        <w:rPr>
          <w:rFonts w:cs="Arial"/>
          <w:color w:val="000000"/>
          <w:szCs w:val="22"/>
        </w:rPr>
        <w:t xml:space="preserve">and Proposed Imposition of Civil Penalty </w:t>
      </w:r>
      <w:r>
        <w:rPr>
          <w:rFonts w:cs="Arial"/>
          <w:color w:val="000000"/>
          <w:szCs w:val="22"/>
        </w:rPr>
        <w:t>–</w:t>
      </w:r>
      <w:r w:rsidRPr="00120A0C">
        <w:rPr>
          <w:rFonts w:cs="Arial"/>
          <w:color w:val="000000"/>
          <w:szCs w:val="22"/>
        </w:rPr>
        <w:t xml:space="preserve"> $70,000 (NRC Inspection Report 2010009</w:t>
      </w:r>
      <w:r>
        <w:rPr>
          <w:rFonts w:cs="Arial"/>
          <w:color w:val="000000"/>
          <w:szCs w:val="22"/>
        </w:rPr>
        <w:t>–</w:t>
      </w:r>
      <w:r w:rsidRPr="00120A0C">
        <w:rPr>
          <w:rFonts w:cs="Arial"/>
          <w:color w:val="000000"/>
          <w:szCs w:val="22"/>
        </w:rPr>
        <w:t xml:space="preserve">Turkey Point),” </w:t>
      </w:r>
      <w:r>
        <w:rPr>
          <w:rFonts w:cs="Arial"/>
          <w:color w:val="000000"/>
          <w:szCs w:val="22"/>
        </w:rPr>
        <w:t xml:space="preserve">June 21, 2010, </w:t>
      </w:r>
      <w:r w:rsidRPr="00120A0C">
        <w:rPr>
          <w:rStyle w:val="EndnoteReference"/>
          <w:rFonts w:cs="Arial"/>
          <w:szCs w:val="22"/>
          <w:vertAlign w:val="baseline"/>
        </w:rPr>
        <w:t>ADAMS Accession No. ML101730313</w:t>
      </w:r>
      <w:r>
        <w:rPr>
          <w:rFonts w:cs="Arial"/>
          <w:szCs w:val="22"/>
        </w:rPr>
        <w:t>.</w:t>
      </w:r>
    </w:p>
    <w:p w:rsidR="00F61EFC" w:rsidRDefault="00F61EFC">
      <w:pPr>
        <w:pStyle w:val="EndnoteText"/>
        <w:ind w:left="720" w:hanging="720"/>
        <w:rPr>
          <w:rStyle w:val="EndnoteReference"/>
          <w:rFonts w:cs="Arial"/>
          <w:szCs w:val="22"/>
          <w:vertAlign w:val="baseline"/>
        </w:rPr>
      </w:pPr>
    </w:p>
  </w:endnote>
  <w:endnote w:id="12">
    <w:p w:rsidR="00F61EFC" w:rsidRDefault="00F61EFC">
      <w:pPr>
        <w:autoSpaceDE w:val="0"/>
        <w:autoSpaceDN w:val="0"/>
        <w:adjustRightInd w:val="0"/>
        <w:ind w:left="720" w:hanging="720"/>
        <w:rPr>
          <w:rFonts w:cs="Arial"/>
        </w:rPr>
      </w:pPr>
      <w:r w:rsidRPr="00120A0C">
        <w:rPr>
          <w:rStyle w:val="EndnoteReference"/>
          <w:rFonts w:cs="Arial"/>
          <w:vertAlign w:val="baseline"/>
        </w:rPr>
        <w:endnoteRef/>
      </w:r>
      <w:r>
        <w:rPr>
          <w:rFonts w:cs="Arial"/>
        </w:rPr>
        <w:t>.</w:t>
      </w:r>
      <w:r>
        <w:rPr>
          <w:rFonts w:cs="Arial"/>
        </w:rPr>
        <w:tab/>
      </w:r>
      <w:r w:rsidRPr="00667FA3">
        <w:rPr>
          <w:rStyle w:val="EndnoteReference"/>
          <w:rFonts w:cs="Arial"/>
          <w:vertAlign w:val="baseline"/>
        </w:rPr>
        <w:t xml:space="preserve">Confirmatory Action Letter </w:t>
      </w:r>
      <w:r>
        <w:rPr>
          <w:rFonts w:cs="Arial"/>
        </w:rPr>
        <w:t>[</w:t>
      </w:r>
      <w:r w:rsidRPr="00667FA3">
        <w:rPr>
          <w:rFonts w:cs="Arial"/>
        </w:rPr>
        <w:t>CAL</w:t>
      </w:r>
      <w:r>
        <w:rPr>
          <w:rFonts w:cs="Arial"/>
        </w:rPr>
        <w:noBreakHyphen/>
      </w:r>
      <w:r w:rsidRPr="00667FA3">
        <w:rPr>
          <w:rFonts w:cs="Arial"/>
        </w:rPr>
        <w:t>2</w:t>
      </w:r>
      <w:r>
        <w:rPr>
          <w:rFonts w:cs="Arial"/>
        </w:rPr>
        <w:noBreakHyphen/>
      </w:r>
      <w:r w:rsidRPr="00667FA3">
        <w:rPr>
          <w:rFonts w:cs="Arial"/>
        </w:rPr>
        <w:t>2010</w:t>
      </w:r>
      <w:r>
        <w:rPr>
          <w:rFonts w:cs="Arial"/>
        </w:rPr>
        <w:noBreakHyphen/>
      </w:r>
      <w:r w:rsidRPr="00667FA3">
        <w:rPr>
          <w:rFonts w:cs="Arial"/>
        </w:rPr>
        <w:t>002</w:t>
      </w:r>
      <w:r>
        <w:rPr>
          <w:rFonts w:cs="Arial"/>
        </w:rPr>
        <w:t>]</w:t>
      </w:r>
      <w:r w:rsidRPr="00667FA3">
        <w:rPr>
          <w:rStyle w:val="EndnoteReference"/>
          <w:rFonts w:cs="Arial"/>
          <w:vertAlign w:val="baseline"/>
        </w:rPr>
        <w:t xml:space="preserve">, </w:t>
      </w:r>
      <w:r w:rsidRPr="00667FA3">
        <w:rPr>
          <w:rFonts w:cs="Arial"/>
        </w:rPr>
        <w:t>“Turkey Point Unit</w:t>
      </w:r>
      <w:r>
        <w:rPr>
          <w:rFonts w:cs="Arial"/>
        </w:rPr>
        <w:t> </w:t>
      </w:r>
      <w:r w:rsidRPr="00667FA3">
        <w:rPr>
          <w:rFonts w:cs="Arial"/>
        </w:rPr>
        <w:t xml:space="preserve">3 Commitments </w:t>
      </w:r>
      <w:r>
        <w:rPr>
          <w:rFonts w:cs="Arial"/>
        </w:rPr>
        <w:t>t</w:t>
      </w:r>
      <w:r w:rsidRPr="00667FA3">
        <w:rPr>
          <w:rFonts w:cs="Arial"/>
        </w:rPr>
        <w:t>o Address Degraded Spent Fuel Pool Storage Rack Neutron Absorber,” February</w:t>
      </w:r>
      <w:r>
        <w:rPr>
          <w:rFonts w:cs="Arial"/>
        </w:rPr>
        <w:t> </w:t>
      </w:r>
      <w:r w:rsidRPr="00667FA3">
        <w:rPr>
          <w:rFonts w:cs="Arial"/>
        </w:rPr>
        <w:t>19,</w:t>
      </w:r>
      <w:r>
        <w:rPr>
          <w:rFonts w:cs="Arial"/>
        </w:rPr>
        <w:t xml:space="preserve"> </w:t>
      </w:r>
      <w:r w:rsidRPr="00667FA3">
        <w:rPr>
          <w:rFonts w:cs="Arial"/>
        </w:rPr>
        <w:t xml:space="preserve">2010, </w:t>
      </w:r>
      <w:r w:rsidRPr="00667FA3">
        <w:rPr>
          <w:rStyle w:val="EndnoteReference"/>
          <w:rFonts w:cs="Arial"/>
          <w:vertAlign w:val="baseline"/>
        </w:rPr>
        <w:t>ADAMS Accession No.</w:t>
      </w:r>
      <w:r>
        <w:rPr>
          <w:rFonts w:cs="Arial"/>
        </w:rPr>
        <w:t> </w:t>
      </w:r>
      <w:r w:rsidRPr="00667FA3">
        <w:rPr>
          <w:rFonts w:cs="Arial"/>
        </w:rPr>
        <w:t>ML</w:t>
      </w:r>
      <w:r>
        <w:rPr>
          <w:rFonts w:cs="Arial"/>
        </w:rPr>
        <w:t>1</w:t>
      </w:r>
      <w:r w:rsidRPr="00667FA3">
        <w:rPr>
          <w:rFonts w:cs="Arial"/>
        </w:rPr>
        <w:t>00</w:t>
      </w:r>
      <w:r>
        <w:rPr>
          <w:rFonts w:cs="Arial"/>
        </w:rPr>
        <w:t>539266.</w:t>
      </w:r>
    </w:p>
    <w:p w:rsidR="00F61EFC" w:rsidRDefault="00F61EFC">
      <w:pPr>
        <w:autoSpaceDE w:val="0"/>
        <w:autoSpaceDN w:val="0"/>
        <w:adjustRightInd w:val="0"/>
        <w:ind w:left="720" w:hanging="720"/>
        <w:rPr>
          <w:rStyle w:val="EndnoteReference"/>
          <w:rFonts w:cs="Arial"/>
          <w:vertAlign w:val="baseline"/>
        </w:rPr>
      </w:pPr>
    </w:p>
  </w:endnote>
  <w:endnote w:id="13">
    <w:p w:rsidR="00F61EFC" w:rsidRDefault="00F61EFC">
      <w:pPr>
        <w:pStyle w:val="EndnoteText"/>
        <w:ind w:left="720" w:hanging="720"/>
        <w:rPr>
          <w:rFonts w:cs="Arial"/>
          <w:szCs w:val="22"/>
        </w:rPr>
      </w:pPr>
      <w:r w:rsidRPr="00120A0C">
        <w:rPr>
          <w:rStyle w:val="EndnoteReference"/>
          <w:rFonts w:cs="Arial"/>
          <w:szCs w:val="22"/>
          <w:vertAlign w:val="baseline"/>
        </w:rPr>
        <w:endnoteRef/>
      </w:r>
      <w:r>
        <w:rPr>
          <w:rFonts w:cs="Arial"/>
          <w:szCs w:val="22"/>
        </w:rPr>
        <w:t>.</w:t>
      </w:r>
      <w:r>
        <w:rPr>
          <w:rFonts w:cs="Arial"/>
          <w:szCs w:val="22"/>
        </w:rPr>
        <w:tab/>
      </w:r>
      <w:r w:rsidRPr="00120A0C">
        <w:rPr>
          <w:rFonts w:cs="Arial"/>
          <w:szCs w:val="22"/>
        </w:rPr>
        <w:t xml:space="preserve">NRC Integrated Inspection Report from NRC to </w:t>
      </w:r>
      <w:r w:rsidRPr="00120A0C">
        <w:rPr>
          <w:rFonts w:cs="Arial"/>
          <w:color w:val="000000"/>
          <w:szCs w:val="22"/>
        </w:rPr>
        <w:t xml:space="preserve">Pacilio, M J, </w:t>
      </w:r>
      <w:r>
        <w:rPr>
          <w:rFonts w:cs="Arial"/>
          <w:color w:val="000000"/>
          <w:szCs w:val="22"/>
        </w:rPr>
        <w:t xml:space="preserve">“Peach Bottom Atomic Power Station – NRC Integrated Inspection Report </w:t>
      </w:r>
      <w:r>
        <w:rPr>
          <w:rFonts w:cs="Arial"/>
        </w:rPr>
        <w:t>05000277/2012002 and 05000278/2012002</w:t>
      </w:r>
      <w:r w:rsidRPr="000B4F7D">
        <w:t xml:space="preserve">,” </w:t>
      </w:r>
      <w:r w:rsidRPr="00120A0C">
        <w:rPr>
          <w:rFonts w:cs="Arial"/>
          <w:color w:val="000000"/>
          <w:szCs w:val="22"/>
        </w:rPr>
        <w:t>May</w:t>
      </w:r>
      <w:r>
        <w:rPr>
          <w:rFonts w:cs="Arial"/>
          <w:color w:val="000000"/>
          <w:szCs w:val="22"/>
        </w:rPr>
        <w:t> </w:t>
      </w:r>
      <w:r w:rsidRPr="00120A0C">
        <w:rPr>
          <w:rFonts w:cs="Arial"/>
          <w:color w:val="000000"/>
          <w:szCs w:val="22"/>
        </w:rPr>
        <w:t>7,</w:t>
      </w:r>
      <w:r>
        <w:rPr>
          <w:rFonts w:cs="Arial"/>
          <w:color w:val="000000"/>
          <w:szCs w:val="22"/>
        </w:rPr>
        <w:t> </w:t>
      </w:r>
      <w:r w:rsidRPr="00120A0C">
        <w:rPr>
          <w:rFonts w:cs="Arial"/>
          <w:color w:val="000000"/>
          <w:szCs w:val="22"/>
        </w:rPr>
        <w:t xml:space="preserve">2012, </w:t>
      </w:r>
      <w:r w:rsidRPr="00120A0C">
        <w:rPr>
          <w:rStyle w:val="EndnoteReference"/>
          <w:rFonts w:cs="Arial"/>
          <w:szCs w:val="22"/>
          <w:vertAlign w:val="baseline"/>
        </w:rPr>
        <w:t>ADAMS Accession No. ML12129A016</w:t>
      </w:r>
      <w:r>
        <w:rPr>
          <w:rFonts w:cs="Arial"/>
          <w:szCs w:val="22"/>
        </w:rPr>
        <w:t>.</w:t>
      </w:r>
    </w:p>
    <w:p w:rsidR="00F61EFC" w:rsidRDefault="00F61EFC">
      <w:pPr>
        <w:pStyle w:val="EndnoteText"/>
        <w:ind w:left="720" w:hanging="720"/>
        <w:rPr>
          <w:rStyle w:val="EndnoteReference"/>
          <w:rFonts w:cs="Arial"/>
          <w:szCs w:val="22"/>
          <w:vertAlign w:val="baseline"/>
        </w:rPr>
      </w:pPr>
    </w:p>
  </w:endnote>
  <w:endnote w:id="14">
    <w:p w:rsidR="00F61EFC" w:rsidRDefault="00F61EFC">
      <w:pPr>
        <w:pStyle w:val="EndnoteText"/>
        <w:ind w:left="720" w:hanging="720"/>
        <w:rPr>
          <w:rFonts w:cs="Arial"/>
          <w:szCs w:val="22"/>
        </w:rPr>
      </w:pPr>
      <w:r w:rsidRPr="00120A0C">
        <w:rPr>
          <w:rStyle w:val="EndnoteReference"/>
          <w:rFonts w:cs="Arial"/>
          <w:szCs w:val="22"/>
          <w:vertAlign w:val="baseline"/>
        </w:rPr>
        <w:endnoteRef/>
      </w:r>
      <w:r>
        <w:rPr>
          <w:rFonts w:cs="Arial"/>
          <w:szCs w:val="22"/>
        </w:rPr>
        <w:t>.</w:t>
      </w:r>
      <w:r>
        <w:rPr>
          <w:rFonts w:cs="Arial"/>
          <w:szCs w:val="22"/>
        </w:rPr>
        <w:tab/>
      </w:r>
      <w:r w:rsidRPr="00120A0C">
        <w:rPr>
          <w:rStyle w:val="EndnoteReference"/>
          <w:rFonts w:cs="Arial"/>
          <w:szCs w:val="22"/>
          <w:vertAlign w:val="baseline"/>
        </w:rPr>
        <w:t>LR</w:t>
      </w:r>
      <w:r w:rsidRPr="00120A0C">
        <w:rPr>
          <w:rStyle w:val="EndnoteReference"/>
          <w:rFonts w:cs="Arial"/>
          <w:szCs w:val="22"/>
          <w:vertAlign w:val="baseline"/>
        </w:rPr>
        <w:noBreakHyphen/>
        <w:t>ISG</w:t>
      </w:r>
      <w:r>
        <w:rPr>
          <w:rFonts w:cs="Arial"/>
          <w:szCs w:val="22"/>
        </w:rPr>
        <w:noBreakHyphen/>
      </w:r>
      <w:r w:rsidRPr="00120A0C">
        <w:rPr>
          <w:rStyle w:val="EndnoteReference"/>
          <w:rFonts w:cs="Arial"/>
          <w:szCs w:val="22"/>
          <w:vertAlign w:val="baseline"/>
        </w:rPr>
        <w:t>2009</w:t>
      </w:r>
      <w:r>
        <w:rPr>
          <w:rFonts w:cs="Arial"/>
          <w:szCs w:val="22"/>
        </w:rPr>
        <w:noBreakHyphen/>
      </w:r>
      <w:r w:rsidRPr="00120A0C">
        <w:rPr>
          <w:rStyle w:val="EndnoteReference"/>
          <w:rFonts w:cs="Arial"/>
          <w:szCs w:val="22"/>
          <w:vertAlign w:val="baseline"/>
        </w:rPr>
        <w:t>01,</w:t>
      </w:r>
      <w:r>
        <w:rPr>
          <w:rFonts w:cs="Arial"/>
          <w:szCs w:val="22"/>
        </w:rPr>
        <w:t xml:space="preserve"> Final License Renewal Interim Staff Guidance</w:t>
      </w:r>
      <w:r w:rsidRPr="000B4F7D">
        <w:t>,</w:t>
      </w:r>
      <w:r w:rsidRPr="00120A0C">
        <w:rPr>
          <w:rStyle w:val="EndnoteReference"/>
          <w:rFonts w:cs="Arial"/>
          <w:szCs w:val="22"/>
          <w:vertAlign w:val="baseline"/>
        </w:rPr>
        <w:t xml:space="preserve"> “Aging Management of Spent Fuel Pool Neutron-Absorbing Materials Other than Boraflex</w:t>
      </w:r>
      <w:r w:rsidRPr="00120A0C">
        <w:rPr>
          <w:rFonts w:cs="Arial"/>
          <w:szCs w:val="22"/>
        </w:rPr>
        <w:t>,</w:t>
      </w:r>
      <w:r w:rsidRPr="00120A0C">
        <w:rPr>
          <w:rStyle w:val="EndnoteReference"/>
          <w:rFonts w:cs="Arial"/>
          <w:szCs w:val="22"/>
          <w:vertAlign w:val="baseline"/>
        </w:rPr>
        <w:t xml:space="preserve">” </w:t>
      </w:r>
      <w:r>
        <w:rPr>
          <w:rFonts w:cs="Arial"/>
          <w:szCs w:val="22"/>
        </w:rPr>
        <w:t xml:space="preserve">April 27, 2010, </w:t>
      </w:r>
      <w:r w:rsidRPr="00120A0C">
        <w:rPr>
          <w:rStyle w:val="EndnoteReference"/>
          <w:rFonts w:cs="Arial"/>
          <w:szCs w:val="22"/>
          <w:vertAlign w:val="baseline"/>
        </w:rPr>
        <w:t>ADAMS Accession No. ML100621321</w:t>
      </w:r>
      <w:r>
        <w:rPr>
          <w:rFonts w:cs="Arial"/>
          <w:szCs w:val="22"/>
        </w:rPr>
        <w:t>.</w:t>
      </w:r>
    </w:p>
    <w:p w:rsidR="00F61EFC" w:rsidRDefault="00F61EFC">
      <w:pPr>
        <w:pStyle w:val="EndnoteText"/>
        <w:ind w:left="720" w:hanging="720"/>
        <w:rPr>
          <w:rStyle w:val="EndnoteReference"/>
          <w:rFonts w:cs="Arial"/>
          <w:szCs w:val="22"/>
          <w:vertAlign w:val="baseline"/>
        </w:rPr>
      </w:pPr>
    </w:p>
  </w:endnote>
  <w:endnote w:id="15">
    <w:p w:rsidR="00F61EFC" w:rsidRDefault="00F61EFC">
      <w:pPr>
        <w:pStyle w:val="EndnoteText"/>
        <w:ind w:left="720" w:hanging="720"/>
        <w:rPr>
          <w:rFonts w:cs="Arial"/>
          <w:bCs/>
        </w:rPr>
      </w:pPr>
      <w:r w:rsidRPr="00120A0C">
        <w:rPr>
          <w:rStyle w:val="EndnoteReference"/>
          <w:rFonts w:cs="Arial"/>
          <w:szCs w:val="22"/>
          <w:vertAlign w:val="baseline"/>
        </w:rPr>
        <w:endnoteRef/>
      </w:r>
      <w:r>
        <w:rPr>
          <w:rFonts w:cs="Arial"/>
          <w:szCs w:val="22"/>
        </w:rPr>
        <w:t>.</w:t>
      </w:r>
      <w:r>
        <w:rPr>
          <w:rFonts w:cs="Arial"/>
          <w:szCs w:val="22"/>
        </w:rPr>
        <w:tab/>
      </w:r>
      <w:r w:rsidRPr="00120A0C">
        <w:rPr>
          <w:rStyle w:val="EndnoteReference"/>
          <w:rFonts w:cs="Arial"/>
          <w:szCs w:val="22"/>
          <w:vertAlign w:val="baseline"/>
        </w:rPr>
        <w:t>NUREG</w:t>
      </w:r>
      <w:r w:rsidRPr="00120A0C">
        <w:rPr>
          <w:rStyle w:val="EndnoteReference"/>
          <w:rFonts w:cs="Arial"/>
          <w:szCs w:val="22"/>
          <w:vertAlign w:val="baseline"/>
        </w:rPr>
        <w:noBreakHyphen/>
        <w:t>1801, Revision 2, “Generic Aging Lessons Learned (GALL) Report</w:t>
      </w:r>
      <w:r>
        <w:rPr>
          <w:rFonts w:cs="Arial"/>
          <w:szCs w:val="22"/>
        </w:rPr>
        <w:t>,</w:t>
      </w:r>
      <w:r w:rsidRPr="00120A0C">
        <w:rPr>
          <w:rStyle w:val="EndnoteReference"/>
          <w:rFonts w:cs="Arial"/>
          <w:szCs w:val="22"/>
          <w:vertAlign w:val="baseline"/>
        </w:rPr>
        <w:t>”</w:t>
      </w:r>
      <w:r>
        <w:rPr>
          <w:rStyle w:val="EndnoteReference"/>
          <w:rFonts w:cs="Arial"/>
          <w:szCs w:val="22"/>
          <w:vertAlign w:val="baseline"/>
        </w:rPr>
        <w:t xml:space="preserve"> </w:t>
      </w:r>
      <w:r>
        <w:rPr>
          <w:rFonts w:cs="Arial"/>
        </w:rPr>
        <w:t xml:space="preserve">December 2010, </w:t>
      </w:r>
      <w:r w:rsidRPr="00120A0C">
        <w:rPr>
          <w:rStyle w:val="EndnoteReference"/>
          <w:rFonts w:cs="Arial"/>
          <w:szCs w:val="22"/>
          <w:vertAlign w:val="baseline"/>
        </w:rPr>
        <w:t>ADAMS Accession No. </w:t>
      </w:r>
      <w:r w:rsidRPr="00B977D0">
        <w:rPr>
          <w:rFonts w:cs="Arial"/>
          <w:bCs/>
        </w:rPr>
        <w:t>ML103490041</w:t>
      </w:r>
      <w:r>
        <w:rPr>
          <w:rFonts w:cs="Arial"/>
          <w:bCs/>
        </w:rPr>
        <w:t>.</w:t>
      </w:r>
    </w:p>
    <w:p w:rsidR="00F61EFC" w:rsidRDefault="00F61EFC">
      <w:pPr>
        <w:pStyle w:val="EndnoteText"/>
        <w:ind w:left="720" w:hanging="720"/>
        <w:rPr>
          <w:rStyle w:val="EndnoteReference"/>
          <w:rFonts w:cs="Arial"/>
          <w:szCs w:val="22"/>
          <w:vertAlign w:val="baseline"/>
        </w:rPr>
      </w:pPr>
    </w:p>
  </w:endnote>
  <w:endnote w:id="16">
    <w:p w:rsidR="00F61EFC" w:rsidRDefault="00F61EFC">
      <w:pPr>
        <w:pStyle w:val="EndnoteText"/>
        <w:ind w:left="720" w:hanging="720"/>
        <w:rPr>
          <w:rFonts w:cs="Arial"/>
          <w:szCs w:val="22"/>
        </w:rPr>
      </w:pPr>
      <w:r w:rsidRPr="00120A0C">
        <w:rPr>
          <w:rStyle w:val="EndnoteReference"/>
          <w:rFonts w:cs="Arial"/>
          <w:szCs w:val="22"/>
          <w:vertAlign w:val="baseline"/>
        </w:rPr>
        <w:endnoteRef/>
      </w:r>
      <w:r>
        <w:rPr>
          <w:rStyle w:val="EndnoteReference"/>
          <w:rFonts w:cs="Arial"/>
          <w:szCs w:val="22"/>
          <w:vertAlign w:val="baseline"/>
        </w:rPr>
        <w:t>.</w:t>
      </w:r>
      <w:r>
        <w:rPr>
          <w:rFonts w:cs="Arial"/>
          <w:szCs w:val="22"/>
        </w:rPr>
        <w:tab/>
      </w:r>
      <w:r w:rsidRPr="007B3B61">
        <w:rPr>
          <w:rFonts w:cs="Arial"/>
          <w:szCs w:val="22"/>
        </w:rPr>
        <w:t xml:space="preserve">Technical Letter Report, </w:t>
      </w:r>
      <w:r w:rsidRPr="007B3B61">
        <w:rPr>
          <w:rStyle w:val="EndnoteReference"/>
          <w:rFonts w:cs="Arial"/>
          <w:szCs w:val="22"/>
          <w:vertAlign w:val="baseline"/>
        </w:rPr>
        <w:t xml:space="preserve">“Boraflex, RACKLIFE and BADGER: </w:t>
      </w:r>
      <w:r w:rsidRPr="007B3B61">
        <w:rPr>
          <w:rFonts w:cs="Arial"/>
          <w:szCs w:val="22"/>
        </w:rPr>
        <w:t xml:space="preserve"> </w:t>
      </w:r>
      <w:r w:rsidRPr="007B3B61">
        <w:rPr>
          <w:rStyle w:val="EndnoteReference"/>
          <w:rFonts w:cs="Arial"/>
          <w:szCs w:val="22"/>
          <w:vertAlign w:val="baseline"/>
        </w:rPr>
        <w:t>Description and Uncertainties,” September 30, 2012, ADAMS Accession No. ML12216A307</w:t>
      </w:r>
      <w:r w:rsidRPr="007B3B61">
        <w:rPr>
          <w:rFonts w:cs="Arial"/>
          <w:szCs w:val="22"/>
        </w:rPr>
        <w:t>.</w:t>
      </w:r>
    </w:p>
    <w:p w:rsidR="00F61EFC" w:rsidRDefault="00F61EFC">
      <w:pPr>
        <w:pStyle w:val="EndnoteText"/>
        <w:ind w:left="720" w:hanging="720"/>
        <w:rPr>
          <w:rStyle w:val="EndnoteReference"/>
          <w:rFonts w:cs="Arial"/>
          <w:szCs w:val="22"/>
          <w:vertAlign w:val="baseline"/>
        </w:rPr>
      </w:pPr>
    </w:p>
  </w:endnote>
  <w:endnote w:id="17">
    <w:p w:rsidR="00F61EFC" w:rsidRDefault="00F61EFC" w:rsidP="005C0AD3">
      <w:pPr>
        <w:pStyle w:val="EndnoteText"/>
        <w:ind w:left="720" w:hanging="720"/>
        <w:rPr>
          <w:rFonts w:cs="Arial"/>
          <w:szCs w:val="22"/>
        </w:rPr>
      </w:pPr>
      <w:r w:rsidRPr="005C0AD3">
        <w:rPr>
          <w:rStyle w:val="EndnoteReference"/>
          <w:vertAlign w:val="baseline"/>
        </w:rPr>
        <w:endnoteRef/>
      </w:r>
      <w:r w:rsidRPr="005C0AD3">
        <w:t xml:space="preserve"> </w:t>
      </w:r>
      <w:r>
        <w:tab/>
      </w:r>
      <w:r w:rsidRPr="00120A0C">
        <w:rPr>
          <w:rFonts w:cs="Arial"/>
          <w:szCs w:val="22"/>
        </w:rPr>
        <w:t>Technical Letter Report,</w:t>
      </w:r>
      <w:r w:rsidRPr="00120A0C">
        <w:rPr>
          <w:rStyle w:val="EndnoteReference"/>
          <w:rFonts w:cs="Arial"/>
          <w:szCs w:val="22"/>
          <w:vertAlign w:val="baseline"/>
        </w:rPr>
        <w:t xml:space="preserve"> “Initial Assessment of Uncertainties Associated with BADGER Methodology,” September 30, 2012, </w:t>
      </w:r>
      <w:r>
        <w:rPr>
          <w:rFonts w:cs="Arial"/>
          <w:szCs w:val="22"/>
        </w:rPr>
        <w:t xml:space="preserve">ADAMS </w:t>
      </w:r>
      <w:r w:rsidRPr="00120A0C">
        <w:rPr>
          <w:rStyle w:val="EndnoteReference"/>
          <w:rFonts w:cs="Arial"/>
          <w:szCs w:val="22"/>
          <w:vertAlign w:val="baseline"/>
        </w:rPr>
        <w:t>Accession No</w:t>
      </w:r>
      <w:r>
        <w:rPr>
          <w:rFonts w:cs="Arial"/>
          <w:szCs w:val="22"/>
        </w:rPr>
        <w:t>. </w:t>
      </w:r>
      <w:r w:rsidRPr="00120A0C">
        <w:rPr>
          <w:rStyle w:val="EndnoteReference"/>
          <w:rFonts w:cs="Arial"/>
          <w:szCs w:val="22"/>
          <w:vertAlign w:val="baseline"/>
        </w:rPr>
        <w:t>ML12254A064</w:t>
      </w:r>
      <w:r>
        <w:rPr>
          <w:rFonts w:cs="Arial"/>
          <w:szCs w:val="22"/>
        </w:rPr>
        <w:t xml:space="preserve">.  </w:t>
      </w:r>
    </w:p>
    <w:p w:rsidR="00F61EFC" w:rsidRDefault="00F61EFC">
      <w:pPr>
        <w:pStyle w:val="EndnoteText"/>
      </w:pPr>
    </w:p>
  </w:endnote>
  <w:endnote w:id="18">
    <w:p w:rsidR="00F61EFC" w:rsidRDefault="00F61EFC">
      <w:pPr>
        <w:pStyle w:val="EndnoteText"/>
        <w:ind w:left="720" w:hanging="720"/>
      </w:pPr>
      <w:r w:rsidRPr="00120A0C">
        <w:rPr>
          <w:rStyle w:val="EndnoteReference"/>
          <w:rFonts w:cs="Arial"/>
          <w:szCs w:val="22"/>
          <w:vertAlign w:val="baseline"/>
        </w:rPr>
        <w:endnoteRef/>
      </w:r>
      <w:r>
        <w:rPr>
          <w:rFonts w:cs="Arial"/>
          <w:szCs w:val="22"/>
        </w:rPr>
        <w:t>.</w:t>
      </w:r>
      <w:r>
        <w:rPr>
          <w:rFonts w:cs="Arial"/>
          <w:szCs w:val="22"/>
        </w:rPr>
        <w:tab/>
      </w:r>
      <w:r w:rsidRPr="00120A0C">
        <w:rPr>
          <w:rFonts w:cs="Arial"/>
          <w:szCs w:val="22"/>
        </w:rPr>
        <w:t>Technical Letter Report,</w:t>
      </w:r>
      <w:r w:rsidRPr="00120A0C">
        <w:rPr>
          <w:rStyle w:val="EndnoteReference"/>
          <w:rFonts w:cs="Arial"/>
          <w:szCs w:val="22"/>
          <w:vertAlign w:val="baseline"/>
        </w:rPr>
        <w:t xml:space="preserve"> “Monitoring Degradation of Phenolic Resin-Based Neutron Absorbers in Spent Nuclear Fuel Pools,” </w:t>
      </w:r>
      <w:r w:rsidRPr="00120A0C">
        <w:rPr>
          <w:rFonts w:cs="Arial"/>
          <w:szCs w:val="22"/>
        </w:rPr>
        <w:t>June</w:t>
      </w:r>
      <w:r>
        <w:rPr>
          <w:rFonts w:cs="Arial"/>
          <w:szCs w:val="22"/>
        </w:rPr>
        <w:t> </w:t>
      </w:r>
      <w:r w:rsidRPr="00120A0C">
        <w:rPr>
          <w:rFonts w:cs="Arial"/>
          <w:szCs w:val="22"/>
        </w:rPr>
        <w:t>5,</w:t>
      </w:r>
      <w:r>
        <w:rPr>
          <w:rFonts w:cs="Arial"/>
          <w:szCs w:val="22"/>
        </w:rPr>
        <w:t> </w:t>
      </w:r>
      <w:r w:rsidRPr="00120A0C">
        <w:rPr>
          <w:rFonts w:cs="Arial"/>
          <w:szCs w:val="22"/>
        </w:rPr>
        <w:t>2013</w:t>
      </w:r>
      <w:r>
        <w:rPr>
          <w:rFonts w:cs="Arial"/>
          <w:szCs w:val="22"/>
        </w:rPr>
        <w:t>,</w:t>
      </w:r>
      <w:r w:rsidRPr="00120A0C">
        <w:rPr>
          <w:rFonts w:cs="Arial"/>
          <w:szCs w:val="22"/>
        </w:rPr>
        <w:t xml:space="preserve"> </w:t>
      </w:r>
      <w:r w:rsidRPr="00120A0C">
        <w:rPr>
          <w:rStyle w:val="EndnoteReference"/>
          <w:rFonts w:cs="Arial"/>
          <w:szCs w:val="22"/>
          <w:vertAlign w:val="baseline"/>
        </w:rPr>
        <w:t>ADAMS Accession No.</w:t>
      </w:r>
      <w:r>
        <w:rPr>
          <w:rFonts w:cs="Arial"/>
          <w:szCs w:val="22"/>
        </w:rPr>
        <w:t> </w:t>
      </w:r>
      <w:r w:rsidRPr="00120A0C">
        <w:rPr>
          <w:rStyle w:val="EndnoteReference"/>
          <w:rFonts w:cs="Arial"/>
          <w:szCs w:val="22"/>
          <w:vertAlign w:val="baseline"/>
        </w:rPr>
        <w:t>ML13141A182</w:t>
      </w:r>
      <w:r>
        <w:rPr>
          <w:rFonts w:cs="Arial"/>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EFC" w:rsidRPr="00121992" w:rsidRDefault="00F61EFC">
    <w:pPr>
      <w:pStyle w:val="Footer"/>
      <w:rPr>
        <w:b/>
      </w:rPr>
    </w:pPr>
    <w:r>
      <w:rPr>
        <w:b/>
      </w:rPr>
      <w:t>M</w:t>
    </w:r>
    <w:r w:rsidR="009117C2">
      <w:rPr>
        <w:b/>
      </w:rPr>
      <w:t>L16043A167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EFC" w:rsidRPr="00546E1E" w:rsidRDefault="00F61EFC" w:rsidP="00546E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EFC" w:rsidRDefault="00F61EFC" w:rsidP="0040119A">
    <w:pPr>
      <w:pStyle w:val="Footer"/>
      <w:jc w:val="right"/>
    </w:pPr>
  </w:p>
  <w:p w:rsidR="00F61EFC" w:rsidRPr="00546E1E" w:rsidRDefault="00F61EFC" w:rsidP="0040119A">
    <w:pPr>
      <w:pStyle w:val="Footer"/>
      <w:jc w:val="right"/>
    </w:pPr>
    <w:r>
      <w:t>Enclosure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928" w:rsidRDefault="00BA0928" w:rsidP="00AB0B1E">
      <w:r>
        <w:separator/>
      </w:r>
    </w:p>
  </w:footnote>
  <w:footnote w:type="continuationSeparator" w:id="0">
    <w:p w:rsidR="00BA0928" w:rsidRDefault="00BA0928" w:rsidP="00AB0B1E">
      <w:r>
        <w:continuationSeparator/>
      </w:r>
    </w:p>
  </w:footnote>
  <w:footnote w:type="continuationNotice" w:id="1">
    <w:p w:rsidR="00BA0928" w:rsidRDefault="00BA0928"/>
  </w:footnote>
  <w:footnote w:id="2">
    <w:p w:rsidR="00F61EFC" w:rsidRPr="005B4CE2" w:rsidRDefault="00F61EFC" w:rsidP="000B4F7D">
      <w:pPr>
        <w:pStyle w:val="FootnoteText"/>
        <w:spacing w:after="180"/>
        <w:rPr>
          <w:sz w:val="18"/>
          <w:szCs w:val="18"/>
        </w:rPr>
      </w:pPr>
      <w:r w:rsidRPr="005B4CE2">
        <w:rPr>
          <w:rStyle w:val="FootnoteReference"/>
          <w:sz w:val="18"/>
          <w:szCs w:val="18"/>
        </w:rPr>
        <w:footnoteRef/>
      </w:r>
      <w:r>
        <w:rPr>
          <w:sz w:val="18"/>
          <w:szCs w:val="18"/>
        </w:rPr>
        <w:t xml:space="preserve">  </w:t>
      </w:r>
      <w:r w:rsidRPr="005B4CE2">
        <w:rPr>
          <w:sz w:val="18"/>
          <w:szCs w:val="18"/>
        </w:rPr>
        <w:t>Th</w:t>
      </w:r>
      <w:r>
        <w:rPr>
          <w:sz w:val="18"/>
          <w:szCs w:val="18"/>
        </w:rPr>
        <w:t>is is the</w:t>
      </w:r>
      <w:r w:rsidRPr="005B4CE2">
        <w:rPr>
          <w:sz w:val="18"/>
          <w:szCs w:val="18"/>
        </w:rPr>
        <w:t xml:space="preserve"> condition in which a nuclear reaction </w:t>
      </w:r>
      <w:r w:rsidRPr="005B4CE2">
        <w:rPr>
          <w:rFonts w:cs="Arial"/>
          <w:sz w:val="18"/>
          <w:szCs w:val="18"/>
          <w:shd w:val="clear" w:color="auto" w:fill="FFFFFF"/>
        </w:rPr>
        <w:t>fails to initiate its own repetition (i.e.,</w:t>
      </w:r>
      <w:r>
        <w:rPr>
          <w:rFonts w:cs="Arial"/>
          <w:sz w:val="18"/>
          <w:szCs w:val="18"/>
          <w:shd w:val="clear" w:color="auto" w:fill="FFFFFF"/>
        </w:rPr>
        <w:t> </w:t>
      </w:r>
      <w:r w:rsidRPr="005B4CE2">
        <w:rPr>
          <w:rFonts w:cs="Arial"/>
          <w:sz w:val="18"/>
          <w:szCs w:val="18"/>
          <w:shd w:val="clear" w:color="auto" w:fill="FFFFFF"/>
        </w:rPr>
        <w:t>fails to achieve criticality)</w:t>
      </w:r>
      <w:r w:rsidRPr="005B4CE2">
        <w:rPr>
          <w:sz w:val="18"/>
          <w:szCs w:val="18"/>
        </w:rPr>
        <w:t>.</w:t>
      </w:r>
      <w:r>
        <w:rPr>
          <w:sz w:val="18"/>
          <w:szCs w:val="18"/>
        </w:rPr>
        <w:t xml:space="preserve">  Criticality, defined as the condition in which a nuclear fission chain reaction becomes self</w:t>
      </w:r>
      <w:r>
        <w:rPr>
          <w:sz w:val="18"/>
          <w:szCs w:val="18"/>
        </w:rPr>
        <w:noBreakHyphen/>
        <w:t>sustaining, is considered to be undesirable in the SFP.</w:t>
      </w:r>
    </w:p>
  </w:footnote>
  <w:footnote w:id="3">
    <w:p w:rsidR="00F61EFC" w:rsidRDefault="00F61EFC" w:rsidP="000B4F7D">
      <w:pPr>
        <w:pStyle w:val="FootnoteText"/>
      </w:pPr>
      <w:r w:rsidRPr="000C762C">
        <w:rPr>
          <w:rStyle w:val="FootnoteReference"/>
          <w:sz w:val="18"/>
        </w:rPr>
        <w:footnoteRef/>
      </w:r>
      <w:r w:rsidRPr="000C762C">
        <w:rPr>
          <w:sz w:val="18"/>
        </w:rPr>
        <w:t xml:space="preserve"> </w:t>
      </w:r>
      <w:r>
        <w:rPr>
          <w:sz w:val="18"/>
        </w:rPr>
        <w:t xml:space="preserve"> This is a</w:t>
      </w:r>
      <w:r w:rsidRPr="000C762C">
        <w:rPr>
          <w:sz w:val="18"/>
        </w:rPr>
        <w:t>n in</w:t>
      </w:r>
      <w:r w:rsidRPr="000C762C">
        <w:rPr>
          <w:sz w:val="18"/>
          <w:szCs w:val="18"/>
        </w:rPr>
        <w:noBreakHyphen/>
      </w:r>
      <w:r w:rsidRPr="000C762C">
        <w:rPr>
          <w:sz w:val="18"/>
        </w:rPr>
        <w:t>situ testing technique with a neutron source and detector that measures the presence of neutron</w:t>
      </w:r>
      <w:r>
        <w:rPr>
          <w:sz w:val="18"/>
          <w:szCs w:val="18"/>
        </w:rPr>
        <w:noBreakHyphen/>
      </w:r>
      <w:r w:rsidRPr="000C762C">
        <w:rPr>
          <w:sz w:val="18"/>
        </w:rPr>
        <w:t>absorbing material</w:t>
      </w:r>
      <w:r w:rsidRPr="000C762C">
        <w:rPr>
          <w:sz w:val="18"/>
          <w:szCs w:val="18"/>
        </w:rPr>
        <w:t>.</w:t>
      </w:r>
    </w:p>
  </w:footnote>
  <w:footnote w:id="4">
    <w:p w:rsidR="00F61EFC" w:rsidRDefault="00F61EFC" w:rsidP="000F5AA4">
      <w:pPr>
        <w:pStyle w:val="FootnoteText"/>
        <w:ind w:left="720" w:hanging="720"/>
        <w:rPr>
          <w:sz w:val="18"/>
          <w:szCs w:val="18"/>
        </w:rPr>
      </w:pPr>
      <w:r w:rsidRPr="000C762C">
        <w:rPr>
          <w:rStyle w:val="FootnoteReference"/>
          <w:sz w:val="18"/>
        </w:rPr>
        <w:footnoteRef/>
      </w:r>
      <w:r w:rsidRPr="000C762C">
        <w:rPr>
          <w:sz w:val="18"/>
        </w:rPr>
        <w:t xml:space="preserve"> </w:t>
      </w:r>
      <w:r>
        <w:rPr>
          <w:sz w:val="18"/>
        </w:rPr>
        <w:t xml:space="preserve"> </w:t>
      </w:r>
      <w:r w:rsidRPr="000C762C">
        <w:rPr>
          <w:sz w:val="18"/>
        </w:rPr>
        <w:t>Th</w:t>
      </w:r>
      <w:r>
        <w:rPr>
          <w:sz w:val="18"/>
        </w:rPr>
        <w:t>is is th</w:t>
      </w:r>
      <w:r w:rsidRPr="000C762C">
        <w:rPr>
          <w:sz w:val="18"/>
        </w:rPr>
        <w:t>e minimum volume of fuel required to sustain a nuclear chain reaction</w:t>
      </w:r>
      <w:r w:rsidRPr="000C762C">
        <w:rPr>
          <w:sz w:val="18"/>
          <w:szCs w:val="18"/>
        </w:rPr>
        <w:t>.</w:t>
      </w:r>
    </w:p>
  </w:footnote>
  <w:footnote w:id="5">
    <w:p w:rsidR="00F61EFC" w:rsidRPr="00957ECD" w:rsidRDefault="00F61EFC" w:rsidP="000B4F7D">
      <w:pPr>
        <w:pStyle w:val="FootnoteText"/>
        <w:rPr>
          <w:szCs w:val="22"/>
        </w:rPr>
      </w:pPr>
      <w:r>
        <w:rPr>
          <w:rStyle w:val="FootnoteReference"/>
        </w:rPr>
        <w:footnoteRef/>
      </w:r>
      <w:r>
        <w:t xml:space="preserve"> </w:t>
      </w:r>
      <w:r>
        <w:rPr>
          <w:sz w:val="18"/>
          <w:szCs w:val="18"/>
        </w:rPr>
        <w:t xml:space="preserve"> </w:t>
      </w:r>
      <w:r w:rsidRPr="00A42CAC">
        <w:rPr>
          <w:sz w:val="18"/>
          <w:szCs w:val="18"/>
        </w:rPr>
        <w:t>Is the neutron-absorbing material necessary to limit the maximum k</w:t>
      </w:r>
      <w:r w:rsidRPr="00A42CAC">
        <w:rPr>
          <w:sz w:val="18"/>
          <w:szCs w:val="18"/>
          <w:vertAlign w:val="subscript"/>
        </w:rPr>
        <w:t>eff</w:t>
      </w:r>
      <w:r w:rsidRPr="00CA2CB7">
        <w:t xml:space="preserve"> </w:t>
      </w:r>
      <w:r>
        <w:t>(</w:t>
      </w:r>
      <w:r w:rsidRPr="00A42CAC">
        <w:rPr>
          <w:sz w:val="18"/>
          <w:szCs w:val="18"/>
        </w:rPr>
        <w:t>effective multiplication factor</w:t>
      </w:r>
      <w:r>
        <w:rPr>
          <w:sz w:val="18"/>
          <w:szCs w:val="18"/>
        </w:rPr>
        <w:t>),</w:t>
      </w:r>
      <w:r w:rsidRPr="00A42CAC">
        <w:rPr>
          <w:sz w:val="18"/>
          <w:szCs w:val="18"/>
        </w:rPr>
        <w:t xml:space="preserve"> under optimum conditions of moderation and reflection, to less than that assumed in the licensing and design basis (e.g</w:t>
      </w:r>
      <w:r>
        <w:rPr>
          <w:sz w:val="18"/>
          <w:szCs w:val="18"/>
        </w:rPr>
        <w:t>., </w:t>
      </w:r>
      <w:r w:rsidRPr="00A42CAC">
        <w:rPr>
          <w:sz w:val="18"/>
          <w:szCs w:val="18"/>
        </w:rPr>
        <w:t>criticality safety analysis, accident analysis</w:t>
      </w:r>
      <w:r>
        <w:rPr>
          <w:sz w:val="18"/>
          <w:szCs w:val="18"/>
        </w:rPr>
        <w:t>,</w:t>
      </w:r>
      <w:r w:rsidRPr="00A42CAC">
        <w:rPr>
          <w:sz w:val="18"/>
          <w:szCs w:val="18"/>
        </w:rPr>
        <w:t xml:space="preserve"> and TS limit)?</w:t>
      </w:r>
    </w:p>
    <w:p w:rsidR="00F61EFC" w:rsidRDefault="00F61EFC" w:rsidP="00C0774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EFC" w:rsidRDefault="00F61EFC" w:rsidP="00696775">
    <w:pPr>
      <w:pStyle w:val="Header"/>
      <w:jc w:val="right"/>
    </w:pPr>
    <w:r>
      <w:t>GL 2016-XX</w:t>
    </w:r>
  </w:p>
  <w:p w:rsidR="00F61EFC" w:rsidRDefault="00F61EFC" w:rsidP="00696775">
    <w:pPr>
      <w:pStyle w:val="Header"/>
      <w:jc w:val="right"/>
    </w:pPr>
    <w:r>
      <w:t xml:space="preserve">Page </w:t>
    </w:r>
    <w:sdt>
      <w:sdtPr>
        <w:id w:val="-1616980556"/>
        <w:docPartObj>
          <w:docPartGallery w:val="Page Numbers (Top of Page)"/>
          <w:docPartUnique/>
        </w:docPartObj>
      </w:sdtPr>
      <w:sdtEndPr/>
      <w:sdtContent>
        <w:r>
          <w:fldChar w:fldCharType="begin"/>
        </w:r>
        <w:r>
          <w:instrText xml:space="preserve"> PAGE   \* MERGEFORMAT </w:instrText>
        </w:r>
        <w:r>
          <w:fldChar w:fldCharType="separate"/>
        </w:r>
        <w:r w:rsidR="00E51D90">
          <w:rPr>
            <w:noProof/>
          </w:rPr>
          <w:t>13</w:t>
        </w:r>
        <w:r>
          <w:rPr>
            <w:noProof/>
          </w:rPr>
          <w:fldChar w:fldCharType="end"/>
        </w:r>
        <w:r>
          <w:t xml:space="preserve"> of 14</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EFC" w:rsidRDefault="00F61EFC" w:rsidP="00696775">
    <w:pPr>
      <w:pStyle w:val="Header"/>
      <w:jc w:val="right"/>
    </w:pPr>
    <w:r>
      <w:t>GL 2016-XX</w:t>
    </w:r>
  </w:p>
  <w:p w:rsidR="00F61EFC" w:rsidRDefault="00F61EFC" w:rsidP="00696775">
    <w:pPr>
      <w:pStyle w:val="Header"/>
      <w:jc w:val="right"/>
    </w:pPr>
    <w:r>
      <w:t xml:space="preserve">Page </w:t>
    </w:r>
    <w:sdt>
      <w:sdtPr>
        <w:id w:val="244382682"/>
        <w:docPartObj>
          <w:docPartGallery w:val="Page Numbers (Top of Page)"/>
          <w:docPartUnique/>
        </w:docPartObj>
      </w:sdtPr>
      <w:sdtEndPr/>
      <w:sdtContent>
        <w:r>
          <w:fldChar w:fldCharType="begin"/>
        </w:r>
        <w:r>
          <w:instrText xml:space="preserve"> PAGE   \* MERGEFORMAT </w:instrText>
        </w:r>
        <w:r>
          <w:fldChar w:fldCharType="separate"/>
        </w:r>
        <w:r w:rsidR="00E51D90">
          <w:rPr>
            <w:noProof/>
          </w:rPr>
          <w:t>14</w:t>
        </w:r>
        <w:r>
          <w:rPr>
            <w:noProof/>
          </w:rPr>
          <w:fldChar w:fldCharType="end"/>
        </w:r>
        <w:r>
          <w:t xml:space="preserve"> of 14</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EFC" w:rsidRDefault="00F61EF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EFC" w:rsidRDefault="00F61EFC" w:rsidP="00696775">
    <w:pPr>
      <w:pStyle w:val="Header"/>
      <w:jc w:val="right"/>
    </w:pPr>
    <w:r>
      <w:t>GL 2015-XX</w:t>
    </w:r>
  </w:p>
  <w:p w:rsidR="00F61EFC" w:rsidRDefault="00F61EFC" w:rsidP="00696775">
    <w:pPr>
      <w:pStyle w:val="Header"/>
      <w:jc w:val="right"/>
    </w:pPr>
    <w:r>
      <w:t xml:space="preserve">Page </w:t>
    </w:r>
    <w:sdt>
      <w:sdtPr>
        <w:id w:val="407507925"/>
        <w:docPartObj>
          <w:docPartGallery w:val="Page Numbers (Top of Page)"/>
          <w:docPartUnique/>
        </w:docPartObj>
      </w:sdtPr>
      <w:sdtEndPr/>
      <w:sdtContent>
        <w:r>
          <w:t>13 of 13</w:t>
        </w:r>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EFC" w:rsidRDefault="00F61EFC" w:rsidP="007A616E">
    <w:pPr>
      <w:pStyle w:val="Header"/>
      <w:jc w:val="right"/>
    </w:pPr>
    <w:r>
      <w:t>GL 2016-XX</w:t>
    </w:r>
  </w:p>
  <w:p w:rsidR="00F61EFC" w:rsidRDefault="00F61EFC" w:rsidP="00467C3A">
    <w:pPr>
      <w:pStyle w:val="Header"/>
      <w:jc w:val="right"/>
    </w:pPr>
    <w:r>
      <w:t xml:space="preserve">Page </w:t>
    </w:r>
    <w:sdt>
      <w:sdtPr>
        <w:id w:val="258571878"/>
        <w:docPartObj>
          <w:docPartGallery w:val="Page Numbers (Top of Page)"/>
          <w:docPartUnique/>
        </w:docPartObj>
      </w:sdtPr>
      <w:sdtEndPr/>
      <w:sdtContent>
        <w:r>
          <w:t>14 of 14</w:t>
        </w:r>
      </w:sdtContent>
    </w:sdt>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648756"/>
      <w:docPartObj>
        <w:docPartGallery w:val="Page Numbers (Top of Page)"/>
        <w:docPartUnique/>
      </w:docPartObj>
    </w:sdtPr>
    <w:sdtEndPr/>
    <w:sdtContent>
      <w:p w:rsidR="00F61EFC" w:rsidRDefault="00F61EFC">
        <w:pPr>
          <w:pStyle w:val="Header"/>
          <w:jc w:val="right"/>
        </w:pPr>
        <w:r>
          <w:t>GL 2016-XX</w:t>
        </w:r>
      </w:p>
      <w:p w:rsidR="00F61EFC" w:rsidRDefault="00F61EFC">
        <w:pPr>
          <w:pStyle w:val="Header"/>
          <w:jc w:val="right"/>
        </w:pPr>
        <w:r>
          <w:t>Appendix A</w:t>
        </w:r>
      </w:p>
      <w:p w:rsidR="00F61EFC" w:rsidRDefault="00F61EFC">
        <w:pPr>
          <w:pStyle w:val="Header"/>
          <w:jc w:val="right"/>
        </w:pPr>
        <w:r w:rsidRPr="00CA576B">
          <w:t xml:space="preserve">Page </w:t>
        </w:r>
        <w:r w:rsidRPr="00CA576B">
          <w:rPr>
            <w:bCs/>
            <w:sz w:val="24"/>
            <w:szCs w:val="24"/>
          </w:rPr>
          <w:fldChar w:fldCharType="begin"/>
        </w:r>
        <w:r w:rsidRPr="00CA576B">
          <w:rPr>
            <w:bCs/>
          </w:rPr>
          <w:instrText xml:space="preserve"> PAGE </w:instrText>
        </w:r>
        <w:r w:rsidRPr="00CA576B">
          <w:rPr>
            <w:bCs/>
            <w:sz w:val="24"/>
            <w:szCs w:val="24"/>
          </w:rPr>
          <w:fldChar w:fldCharType="separate"/>
        </w:r>
        <w:r w:rsidR="00E51D90">
          <w:rPr>
            <w:bCs/>
            <w:noProof/>
          </w:rPr>
          <w:t>5</w:t>
        </w:r>
        <w:r w:rsidRPr="00CA576B">
          <w:rPr>
            <w:bCs/>
            <w:sz w:val="24"/>
            <w:szCs w:val="24"/>
          </w:rPr>
          <w:fldChar w:fldCharType="end"/>
        </w:r>
        <w:r w:rsidRPr="00CA576B">
          <w:t xml:space="preserve"> of </w:t>
        </w:r>
        <w:r>
          <w:t>5</w:t>
        </w:r>
      </w:p>
      <w:p w:rsidR="00F61EFC" w:rsidRPr="00CA576B" w:rsidRDefault="00E51D90">
        <w:pPr>
          <w:pStyle w:val="Header"/>
          <w:jc w:val="right"/>
        </w:pP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EFC" w:rsidRPr="0040119A" w:rsidRDefault="00F61EFC" w:rsidP="004011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F63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C9B1171"/>
    <w:multiLevelType w:val="hybridMultilevel"/>
    <w:tmpl w:val="3A96ECBE"/>
    <w:lvl w:ilvl="0" w:tplc="F50A2B0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3E5FD5"/>
    <w:multiLevelType w:val="hybridMultilevel"/>
    <w:tmpl w:val="66B6F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B30E85"/>
    <w:multiLevelType w:val="hybridMultilevel"/>
    <w:tmpl w:val="0D087194"/>
    <w:lvl w:ilvl="0" w:tplc="87F09920">
      <w:start w:val="1"/>
      <w:numFmt w:val="decimal"/>
      <w:lvlText w:val="(%1)"/>
      <w:lvlJc w:val="left"/>
      <w:pPr>
        <w:ind w:left="1140" w:hanging="360"/>
      </w:pPr>
      <w:rPr>
        <w:rFonts w:hint="default"/>
      </w:rPr>
    </w:lvl>
    <w:lvl w:ilvl="1" w:tplc="04090001">
      <w:start w:val="1"/>
      <w:numFmt w:val="bullet"/>
      <w:lvlText w:val=""/>
      <w:lvlJc w:val="left"/>
      <w:pPr>
        <w:ind w:left="1860" w:hanging="360"/>
      </w:pPr>
      <w:rPr>
        <w:rFonts w:ascii="Symbol" w:hAnsi="Symbol"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1">
      <w:start w:val="1"/>
      <w:numFmt w:val="bullet"/>
      <w:lvlText w:val=""/>
      <w:lvlJc w:val="left"/>
      <w:pPr>
        <w:ind w:left="4020" w:hanging="360"/>
      </w:pPr>
      <w:rPr>
        <w:rFonts w:ascii="Symbol" w:hAnsi="Symbol"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CD62C014">
      <w:start w:val="1"/>
      <w:numFmt w:val="lowerRoman"/>
      <w:lvlText w:val="(%8)"/>
      <w:lvlJc w:val="left"/>
      <w:pPr>
        <w:ind w:left="7980" w:hanging="2160"/>
      </w:pPr>
      <w:rPr>
        <w:rFonts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784E08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CCA3681"/>
    <w:multiLevelType w:val="hybridMultilevel"/>
    <w:tmpl w:val="146A8B7E"/>
    <w:lvl w:ilvl="0" w:tplc="87F09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2"/>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fr-FR" w:vendorID="64" w:dllVersion="131078" w:nlCheck="1" w:checkStyle="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48"/>
    <w:rsid w:val="0000011D"/>
    <w:rsid w:val="000002BA"/>
    <w:rsid w:val="00000B8A"/>
    <w:rsid w:val="0000153B"/>
    <w:rsid w:val="000022BB"/>
    <w:rsid w:val="00002775"/>
    <w:rsid w:val="000029B0"/>
    <w:rsid w:val="00002E76"/>
    <w:rsid w:val="00003D16"/>
    <w:rsid w:val="00004623"/>
    <w:rsid w:val="00004A55"/>
    <w:rsid w:val="000112F0"/>
    <w:rsid w:val="00011B81"/>
    <w:rsid w:val="000124DC"/>
    <w:rsid w:val="00012762"/>
    <w:rsid w:val="00012B22"/>
    <w:rsid w:val="000139BC"/>
    <w:rsid w:val="00013F45"/>
    <w:rsid w:val="0001420D"/>
    <w:rsid w:val="000142AD"/>
    <w:rsid w:val="000148BC"/>
    <w:rsid w:val="00014942"/>
    <w:rsid w:val="000156E6"/>
    <w:rsid w:val="00015C9D"/>
    <w:rsid w:val="00016654"/>
    <w:rsid w:val="000173AB"/>
    <w:rsid w:val="00017EED"/>
    <w:rsid w:val="000200F6"/>
    <w:rsid w:val="0002032B"/>
    <w:rsid w:val="0002098D"/>
    <w:rsid w:val="00020B6E"/>
    <w:rsid w:val="00020EB6"/>
    <w:rsid w:val="00022317"/>
    <w:rsid w:val="00024735"/>
    <w:rsid w:val="00024DCD"/>
    <w:rsid w:val="00027315"/>
    <w:rsid w:val="00027C72"/>
    <w:rsid w:val="000304B7"/>
    <w:rsid w:val="00035E1A"/>
    <w:rsid w:val="000366EF"/>
    <w:rsid w:val="00037A3A"/>
    <w:rsid w:val="00041773"/>
    <w:rsid w:val="000425CC"/>
    <w:rsid w:val="00042F8E"/>
    <w:rsid w:val="000430FF"/>
    <w:rsid w:val="00043FFB"/>
    <w:rsid w:val="00044A13"/>
    <w:rsid w:val="00045C4F"/>
    <w:rsid w:val="00046068"/>
    <w:rsid w:val="00047485"/>
    <w:rsid w:val="00050F32"/>
    <w:rsid w:val="00053CB6"/>
    <w:rsid w:val="00054AFE"/>
    <w:rsid w:val="00054D71"/>
    <w:rsid w:val="00055770"/>
    <w:rsid w:val="00061366"/>
    <w:rsid w:val="00061387"/>
    <w:rsid w:val="000626F2"/>
    <w:rsid w:val="00064008"/>
    <w:rsid w:val="00064092"/>
    <w:rsid w:val="000645CC"/>
    <w:rsid w:val="00064B4D"/>
    <w:rsid w:val="00064E81"/>
    <w:rsid w:val="00064F06"/>
    <w:rsid w:val="00065303"/>
    <w:rsid w:val="00066F53"/>
    <w:rsid w:val="00067DAD"/>
    <w:rsid w:val="000741C9"/>
    <w:rsid w:val="00075531"/>
    <w:rsid w:val="00075975"/>
    <w:rsid w:val="00076331"/>
    <w:rsid w:val="00077F49"/>
    <w:rsid w:val="00080C73"/>
    <w:rsid w:val="0008109A"/>
    <w:rsid w:val="00081D03"/>
    <w:rsid w:val="000828AD"/>
    <w:rsid w:val="00082E33"/>
    <w:rsid w:val="00085241"/>
    <w:rsid w:val="00085C0A"/>
    <w:rsid w:val="00085E68"/>
    <w:rsid w:val="00087309"/>
    <w:rsid w:val="000903BB"/>
    <w:rsid w:val="00090574"/>
    <w:rsid w:val="00090580"/>
    <w:rsid w:val="0009198C"/>
    <w:rsid w:val="00092264"/>
    <w:rsid w:val="00094088"/>
    <w:rsid w:val="00094F41"/>
    <w:rsid w:val="0009564F"/>
    <w:rsid w:val="00095C29"/>
    <w:rsid w:val="0009743F"/>
    <w:rsid w:val="000A00A4"/>
    <w:rsid w:val="000A0916"/>
    <w:rsid w:val="000A55D1"/>
    <w:rsid w:val="000A5B25"/>
    <w:rsid w:val="000A5DB0"/>
    <w:rsid w:val="000A775F"/>
    <w:rsid w:val="000A7B4C"/>
    <w:rsid w:val="000B0FD3"/>
    <w:rsid w:val="000B2273"/>
    <w:rsid w:val="000B27DC"/>
    <w:rsid w:val="000B4725"/>
    <w:rsid w:val="000B4EC2"/>
    <w:rsid w:val="000B4F7D"/>
    <w:rsid w:val="000B51AC"/>
    <w:rsid w:val="000B5247"/>
    <w:rsid w:val="000B6BBF"/>
    <w:rsid w:val="000B6F16"/>
    <w:rsid w:val="000B7B47"/>
    <w:rsid w:val="000C0BDD"/>
    <w:rsid w:val="000C0D19"/>
    <w:rsid w:val="000C15F1"/>
    <w:rsid w:val="000C175D"/>
    <w:rsid w:val="000C4682"/>
    <w:rsid w:val="000C59FB"/>
    <w:rsid w:val="000C5A1C"/>
    <w:rsid w:val="000C67F3"/>
    <w:rsid w:val="000C762C"/>
    <w:rsid w:val="000D0A09"/>
    <w:rsid w:val="000D1123"/>
    <w:rsid w:val="000D22AE"/>
    <w:rsid w:val="000D26EB"/>
    <w:rsid w:val="000D62E8"/>
    <w:rsid w:val="000D79E1"/>
    <w:rsid w:val="000E0458"/>
    <w:rsid w:val="000E1ED3"/>
    <w:rsid w:val="000E3134"/>
    <w:rsid w:val="000E41C5"/>
    <w:rsid w:val="000E547F"/>
    <w:rsid w:val="000E64E0"/>
    <w:rsid w:val="000E6A12"/>
    <w:rsid w:val="000E6CED"/>
    <w:rsid w:val="000E769F"/>
    <w:rsid w:val="000E7C62"/>
    <w:rsid w:val="000E7CD5"/>
    <w:rsid w:val="000F0A88"/>
    <w:rsid w:val="000F1917"/>
    <w:rsid w:val="000F1D33"/>
    <w:rsid w:val="000F27CB"/>
    <w:rsid w:val="000F2DEB"/>
    <w:rsid w:val="000F3720"/>
    <w:rsid w:val="000F4D3A"/>
    <w:rsid w:val="000F5AA4"/>
    <w:rsid w:val="000F61A5"/>
    <w:rsid w:val="000F7583"/>
    <w:rsid w:val="00100714"/>
    <w:rsid w:val="00101259"/>
    <w:rsid w:val="00102A5D"/>
    <w:rsid w:val="001033F9"/>
    <w:rsid w:val="00103A6A"/>
    <w:rsid w:val="001046C3"/>
    <w:rsid w:val="00104B91"/>
    <w:rsid w:val="00104C8C"/>
    <w:rsid w:val="001072BB"/>
    <w:rsid w:val="0010746D"/>
    <w:rsid w:val="001076F1"/>
    <w:rsid w:val="001079E4"/>
    <w:rsid w:val="0011045E"/>
    <w:rsid w:val="00110EB8"/>
    <w:rsid w:val="00110EC6"/>
    <w:rsid w:val="00110F3A"/>
    <w:rsid w:val="00110F54"/>
    <w:rsid w:val="0011171A"/>
    <w:rsid w:val="00112483"/>
    <w:rsid w:val="0011360B"/>
    <w:rsid w:val="00113658"/>
    <w:rsid w:val="001165D7"/>
    <w:rsid w:val="001166F5"/>
    <w:rsid w:val="0011674A"/>
    <w:rsid w:val="00116E9F"/>
    <w:rsid w:val="00120A0A"/>
    <w:rsid w:val="00120A0C"/>
    <w:rsid w:val="00120DAB"/>
    <w:rsid w:val="00121992"/>
    <w:rsid w:val="00122902"/>
    <w:rsid w:val="0012425D"/>
    <w:rsid w:val="0012428B"/>
    <w:rsid w:val="00125E13"/>
    <w:rsid w:val="0012642C"/>
    <w:rsid w:val="001269CA"/>
    <w:rsid w:val="00127E52"/>
    <w:rsid w:val="00127E86"/>
    <w:rsid w:val="001320E8"/>
    <w:rsid w:val="00134453"/>
    <w:rsid w:val="00136439"/>
    <w:rsid w:val="00136577"/>
    <w:rsid w:val="001368EB"/>
    <w:rsid w:val="001373BB"/>
    <w:rsid w:val="001373D3"/>
    <w:rsid w:val="00140F7F"/>
    <w:rsid w:val="00141119"/>
    <w:rsid w:val="00142BFE"/>
    <w:rsid w:val="00143F7A"/>
    <w:rsid w:val="00146042"/>
    <w:rsid w:val="001468E6"/>
    <w:rsid w:val="001478A7"/>
    <w:rsid w:val="00147D8B"/>
    <w:rsid w:val="00147F0D"/>
    <w:rsid w:val="00150CA2"/>
    <w:rsid w:val="001542C7"/>
    <w:rsid w:val="001543B4"/>
    <w:rsid w:val="00154791"/>
    <w:rsid w:val="001548EA"/>
    <w:rsid w:val="00155886"/>
    <w:rsid w:val="00155D82"/>
    <w:rsid w:val="00155ECF"/>
    <w:rsid w:val="001561D7"/>
    <w:rsid w:val="0015638A"/>
    <w:rsid w:val="00160740"/>
    <w:rsid w:val="00160C0C"/>
    <w:rsid w:val="00161345"/>
    <w:rsid w:val="00161E82"/>
    <w:rsid w:val="001620D3"/>
    <w:rsid w:val="001660E1"/>
    <w:rsid w:val="00167532"/>
    <w:rsid w:val="00167F5E"/>
    <w:rsid w:val="00170820"/>
    <w:rsid w:val="00170EC8"/>
    <w:rsid w:val="00173213"/>
    <w:rsid w:val="001733BE"/>
    <w:rsid w:val="0017431F"/>
    <w:rsid w:val="001746FD"/>
    <w:rsid w:val="001753F4"/>
    <w:rsid w:val="00175467"/>
    <w:rsid w:val="00175CE4"/>
    <w:rsid w:val="001761E4"/>
    <w:rsid w:val="00176CDD"/>
    <w:rsid w:val="00177956"/>
    <w:rsid w:val="00180C6E"/>
    <w:rsid w:val="00180CC1"/>
    <w:rsid w:val="001810C8"/>
    <w:rsid w:val="00181943"/>
    <w:rsid w:val="00181F21"/>
    <w:rsid w:val="00182821"/>
    <w:rsid w:val="00183900"/>
    <w:rsid w:val="001839E0"/>
    <w:rsid w:val="00184E29"/>
    <w:rsid w:val="00185D48"/>
    <w:rsid w:val="00187A13"/>
    <w:rsid w:val="00187ED5"/>
    <w:rsid w:val="001908D8"/>
    <w:rsid w:val="00191EB2"/>
    <w:rsid w:val="00192343"/>
    <w:rsid w:val="00192494"/>
    <w:rsid w:val="001928D4"/>
    <w:rsid w:val="00193315"/>
    <w:rsid w:val="001943B9"/>
    <w:rsid w:val="001949BC"/>
    <w:rsid w:val="00196513"/>
    <w:rsid w:val="00196D75"/>
    <w:rsid w:val="001A04CC"/>
    <w:rsid w:val="001A140D"/>
    <w:rsid w:val="001A3261"/>
    <w:rsid w:val="001A38BA"/>
    <w:rsid w:val="001A3B53"/>
    <w:rsid w:val="001A4E53"/>
    <w:rsid w:val="001A65C1"/>
    <w:rsid w:val="001A6674"/>
    <w:rsid w:val="001B0635"/>
    <w:rsid w:val="001B090D"/>
    <w:rsid w:val="001B1CE8"/>
    <w:rsid w:val="001B2463"/>
    <w:rsid w:val="001B3BC2"/>
    <w:rsid w:val="001B43F6"/>
    <w:rsid w:val="001B4429"/>
    <w:rsid w:val="001B4EE3"/>
    <w:rsid w:val="001B65ED"/>
    <w:rsid w:val="001B6FDA"/>
    <w:rsid w:val="001B6FE6"/>
    <w:rsid w:val="001B796A"/>
    <w:rsid w:val="001B7BD8"/>
    <w:rsid w:val="001C044F"/>
    <w:rsid w:val="001C0872"/>
    <w:rsid w:val="001C0BA8"/>
    <w:rsid w:val="001C1589"/>
    <w:rsid w:val="001C3171"/>
    <w:rsid w:val="001C43C8"/>
    <w:rsid w:val="001C48DF"/>
    <w:rsid w:val="001C4DDD"/>
    <w:rsid w:val="001C6006"/>
    <w:rsid w:val="001C6A46"/>
    <w:rsid w:val="001C7578"/>
    <w:rsid w:val="001C7690"/>
    <w:rsid w:val="001D18D8"/>
    <w:rsid w:val="001D1B58"/>
    <w:rsid w:val="001D2815"/>
    <w:rsid w:val="001D3597"/>
    <w:rsid w:val="001D3F37"/>
    <w:rsid w:val="001D4A45"/>
    <w:rsid w:val="001D5171"/>
    <w:rsid w:val="001D5876"/>
    <w:rsid w:val="001D7829"/>
    <w:rsid w:val="001D7864"/>
    <w:rsid w:val="001E154D"/>
    <w:rsid w:val="001E295A"/>
    <w:rsid w:val="001E4CA6"/>
    <w:rsid w:val="001E6BED"/>
    <w:rsid w:val="001E6C73"/>
    <w:rsid w:val="001E7013"/>
    <w:rsid w:val="001E7128"/>
    <w:rsid w:val="001F0FC5"/>
    <w:rsid w:val="001F1342"/>
    <w:rsid w:val="001F3F9D"/>
    <w:rsid w:val="001F49C2"/>
    <w:rsid w:val="001F4C02"/>
    <w:rsid w:val="001F547E"/>
    <w:rsid w:val="001F5502"/>
    <w:rsid w:val="001F55A9"/>
    <w:rsid w:val="001F645C"/>
    <w:rsid w:val="001F6562"/>
    <w:rsid w:val="001F7006"/>
    <w:rsid w:val="001F73AC"/>
    <w:rsid w:val="001F79B6"/>
    <w:rsid w:val="0020048D"/>
    <w:rsid w:val="00200683"/>
    <w:rsid w:val="002007A7"/>
    <w:rsid w:val="002012FB"/>
    <w:rsid w:val="00201EA3"/>
    <w:rsid w:val="00201F42"/>
    <w:rsid w:val="00202024"/>
    <w:rsid w:val="00204743"/>
    <w:rsid w:val="00204B17"/>
    <w:rsid w:val="00204EBA"/>
    <w:rsid w:val="0020551B"/>
    <w:rsid w:val="00206294"/>
    <w:rsid w:val="0020655E"/>
    <w:rsid w:val="0020676A"/>
    <w:rsid w:val="00206FED"/>
    <w:rsid w:val="00210BAE"/>
    <w:rsid w:val="00211547"/>
    <w:rsid w:val="00212D7D"/>
    <w:rsid w:val="0021344E"/>
    <w:rsid w:val="002134F8"/>
    <w:rsid w:val="00213B7C"/>
    <w:rsid w:val="00214127"/>
    <w:rsid w:val="002144AB"/>
    <w:rsid w:val="00214572"/>
    <w:rsid w:val="002145D1"/>
    <w:rsid w:val="002160C4"/>
    <w:rsid w:val="002163DA"/>
    <w:rsid w:val="0021669A"/>
    <w:rsid w:val="00220E74"/>
    <w:rsid w:val="00221EEB"/>
    <w:rsid w:val="00222254"/>
    <w:rsid w:val="00222AAA"/>
    <w:rsid w:val="00222D51"/>
    <w:rsid w:val="0022374C"/>
    <w:rsid w:val="002248A8"/>
    <w:rsid w:val="00225368"/>
    <w:rsid w:val="0022693E"/>
    <w:rsid w:val="00226A87"/>
    <w:rsid w:val="00226E4A"/>
    <w:rsid w:val="002274E6"/>
    <w:rsid w:val="00227F1A"/>
    <w:rsid w:val="00230DDD"/>
    <w:rsid w:val="00231316"/>
    <w:rsid w:val="00232003"/>
    <w:rsid w:val="00234414"/>
    <w:rsid w:val="00234A81"/>
    <w:rsid w:val="00235320"/>
    <w:rsid w:val="0023721A"/>
    <w:rsid w:val="00240122"/>
    <w:rsid w:val="00240EFA"/>
    <w:rsid w:val="002416CC"/>
    <w:rsid w:val="00242D67"/>
    <w:rsid w:val="00243C7D"/>
    <w:rsid w:val="00244224"/>
    <w:rsid w:val="002454D8"/>
    <w:rsid w:val="00246E3E"/>
    <w:rsid w:val="002472F2"/>
    <w:rsid w:val="0025001E"/>
    <w:rsid w:val="0025011F"/>
    <w:rsid w:val="00250640"/>
    <w:rsid w:val="0025105D"/>
    <w:rsid w:val="00251740"/>
    <w:rsid w:val="00251793"/>
    <w:rsid w:val="00253170"/>
    <w:rsid w:val="002535F7"/>
    <w:rsid w:val="00253978"/>
    <w:rsid w:val="00253C66"/>
    <w:rsid w:val="00253D8A"/>
    <w:rsid w:val="0025416D"/>
    <w:rsid w:val="00254B68"/>
    <w:rsid w:val="00255105"/>
    <w:rsid w:val="00255604"/>
    <w:rsid w:val="00255D86"/>
    <w:rsid w:val="00256032"/>
    <w:rsid w:val="00256997"/>
    <w:rsid w:val="00256A86"/>
    <w:rsid w:val="002601F5"/>
    <w:rsid w:val="00260693"/>
    <w:rsid w:val="002606FD"/>
    <w:rsid w:val="00262293"/>
    <w:rsid w:val="00262C8F"/>
    <w:rsid w:val="00262DD1"/>
    <w:rsid w:val="00263E43"/>
    <w:rsid w:val="0026417D"/>
    <w:rsid w:val="00264FF5"/>
    <w:rsid w:val="00265533"/>
    <w:rsid w:val="00266A64"/>
    <w:rsid w:val="00267325"/>
    <w:rsid w:val="00267F19"/>
    <w:rsid w:val="002702F5"/>
    <w:rsid w:val="00270907"/>
    <w:rsid w:val="002719EB"/>
    <w:rsid w:val="00271F45"/>
    <w:rsid w:val="002727BF"/>
    <w:rsid w:val="00273460"/>
    <w:rsid w:val="00273479"/>
    <w:rsid w:val="002740FE"/>
    <w:rsid w:val="00274579"/>
    <w:rsid w:val="00274DBF"/>
    <w:rsid w:val="00275052"/>
    <w:rsid w:val="00275CF6"/>
    <w:rsid w:val="00276192"/>
    <w:rsid w:val="00276D3D"/>
    <w:rsid w:val="00277A6A"/>
    <w:rsid w:val="00277D36"/>
    <w:rsid w:val="002811D3"/>
    <w:rsid w:val="00281AE2"/>
    <w:rsid w:val="00282575"/>
    <w:rsid w:val="00282B5F"/>
    <w:rsid w:val="00282C89"/>
    <w:rsid w:val="00283A05"/>
    <w:rsid w:val="00284571"/>
    <w:rsid w:val="0028486C"/>
    <w:rsid w:val="00290703"/>
    <w:rsid w:val="00291A7E"/>
    <w:rsid w:val="00291EAC"/>
    <w:rsid w:val="002920EC"/>
    <w:rsid w:val="00293B69"/>
    <w:rsid w:val="00293FFF"/>
    <w:rsid w:val="002A0D26"/>
    <w:rsid w:val="002A0E80"/>
    <w:rsid w:val="002A0EF7"/>
    <w:rsid w:val="002A1074"/>
    <w:rsid w:val="002A17E9"/>
    <w:rsid w:val="002A3F74"/>
    <w:rsid w:val="002A3F83"/>
    <w:rsid w:val="002A3FD1"/>
    <w:rsid w:val="002A4DCD"/>
    <w:rsid w:val="002A5547"/>
    <w:rsid w:val="002A6370"/>
    <w:rsid w:val="002A6880"/>
    <w:rsid w:val="002A6937"/>
    <w:rsid w:val="002A6D18"/>
    <w:rsid w:val="002A70C8"/>
    <w:rsid w:val="002B020D"/>
    <w:rsid w:val="002B0467"/>
    <w:rsid w:val="002B08EC"/>
    <w:rsid w:val="002B0F1E"/>
    <w:rsid w:val="002B1115"/>
    <w:rsid w:val="002B2BCD"/>
    <w:rsid w:val="002B395E"/>
    <w:rsid w:val="002B3E24"/>
    <w:rsid w:val="002B4A53"/>
    <w:rsid w:val="002B523C"/>
    <w:rsid w:val="002B54E4"/>
    <w:rsid w:val="002B5796"/>
    <w:rsid w:val="002B5C40"/>
    <w:rsid w:val="002B5CDF"/>
    <w:rsid w:val="002B6DD7"/>
    <w:rsid w:val="002B729C"/>
    <w:rsid w:val="002C0735"/>
    <w:rsid w:val="002C0CD3"/>
    <w:rsid w:val="002C16E0"/>
    <w:rsid w:val="002C1734"/>
    <w:rsid w:val="002C18A5"/>
    <w:rsid w:val="002C1A92"/>
    <w:rsid w:val="002C1FF4"/>
    <w:rsid w:val="002C3CA9"/>
    <w:rsid w:val="002C444E"/>
    <w:rsid w:val="002C5284"/>
    <w:rsid w:val="002C52E0"/>
    <w:rsid w:val="002C62EF"/>
    <w:rsid w:val="002D0274"/>
    <w:rsid w:val="002D10EB"/>
    <w:rsid w:val="002D21C1"/>
    <w:rsid w:val="002D2731"/>
    <w:rsid w:val="002D4177"/>
    <w:rsid w:val="002D435C"/>
    <w:rsid w:val="002D4720"/>
    <w:rsid w:val="002D56CD"/>
    <w:rsid w:val="002D6551"/>
    <w:rsid w:val="002D6718"/>
    <w:rsid w:val="002D68F7"/>
    <w:rsid w:val="002D7C80"/>
    <w:rsid w:val="002D7FFE"/>
    <w:rsid w:val="002E01D6"/>
    <w:rsid w:val="002E0653"/>
    <w:rsid w:val="002E21D9"/>
    <w:rsid w:val="002E3039"/>
    <w:rsid w:val="002E3474"/>
    <w:rsid w:val="002E3878"/>
    <w:rsid w:val="002E418E"/>
    <w:rsid w:val="002E4241"/>
    <w:rsid w:val="002E4796"/>
    <w:rsid w:val="002E5BC7"/>
    <w:rsid w:val="002E62D4"/>
    <w:rsid w:val="002E6AFD"/>
    <w:rsid w:val="002E74A7"/>
    <w:rsid w:val="002F1B71"/>
    <w:rsid w:val="002F249E"/>
    <w:rsid w:val="002F2EB3"/>
    <w:rsid w:val="002F35F0"/>
    <w:rsid w:val="002F4E9E"/>
    <w:rsid w:val="002F596D"/>
    <w:rsid w:val="002F60E5"/>
    <w:rsid w:val="002F6E40"/>
    <w:rsid w:val="002F6EB2"/>
    <w:rsid w:val="00300BD3"/>
    <w:rsid w:val="00300F02"/>
    <w:rsid w:val="003036AE"/>
    <w:rsid w:val="00304FAA"/>
    <w:rsid w:val="00305128"/>
    <w:rsid w:val="003055DE"/>
    <w:rsid w:val="00305AB3"/>
    <w:rsid w:val="0030796C"/>
    <w:rsid w:val="00307EE2"/>
    <w:rsid w:val="00307F90"/>
    <w:rsid w:val="00310158"/>
    <w:rsid w:val="00312848"/>
    <w:rsid w:val="003144BD"/>
    <w:rsid w:val="003148BF"/>
    <w:rsid w:val="003148F8"/>
    <w:rsid w:val="003156F5"/>
    <w:rsid w:val="00316364"/>
    <w:rsid w:val="003167B2"/>
    <w:rsid w:val="00317428"/>
    <w:rsid w:val="0032002D"/>
    <w:rsid w:val="00320311"/>
    <w:rsid w:val="003208EF"/>
    <w:rsid w:val="00320F54"/>
    <w:rsid w:val="00321F8E"/>
    <w:rsid w:val="003226F3"/>
    <w:rsid w:val="00323094"/>
    <w:rsid w:val="00324809"/>
    <w:rsid w:val="00325896"/>
    <w:rsid w:val="00325D1B"/>
    <w:rsid w:val="003278A7"/>
    <w:rsid w:val="0033007C"/>
    <w:rsid w:val="00330304"/>
    <w:rsid w:val="00330407"/>
    <w:rsid w:val="00331438"/>
    <w:rsid w:val="0033152E"/>
    <w:rsid w:val="00331F87"/>
    <w:rsid w:val="003329CD"/>
    <w:rsid w:val="00332A0B"/>
    <w:rsid w:val="00333525"/>
    <w:rsid w:val="00334B27"/>
    <w:rsid w:val="00336578"/>
    <w:rsid w:val="00337E83"/>
    <w:rsid w:val="00340978"/>
    <w:rsid w:val="00340A4F"/>
    <w:rsid w:val="00340AA8"/>
    <w:rsid w:val="00341FE9"/>
    <w:rsid w:val="0034274E"/>
    <w:rsid w:val="0034282B"/>
    <w:rsid w:val="0034353A"/>
    <w:rsid w:val="003449E5"/>
    <w:rsid w:val="0034561E"/>
    <w:rsid w:val="0034658B"/>
    <w:rsid w:val="0034676C"/>
    <w:rsid w:val="003468D1"/>
    <w:rsid w:val="00351A6E"/>
    <w:rsid w:val="00351C08"/>
    <w:rsid w:val="0035294A"/>
    <w:rsid w:val="00353521"/>
    <w:rsid w:val="003535B5"/>
    <w:rsid w:val="0035519D"/>
    <w:rsid w:val="00356D45"/>
    <w:rsid w:val="0035729E"/>
    <w:rsid w:val="00357532"/>
    <w:rsid w:val="00357B4E"/>
    <w:rsid w:val="003603A5"/>
    <w:rsid w:val="00360422"/>
    <w:rsid w:val="003615AD"/>
    <w:rsid w:val="00361E7F"/>
    <w:rsid w:val="00362E95"/>
    <w:rsid w:val="00363767"/>
    <w:rsid w:val="00363AC2"/>
    <w:rsid w:val="00363FCB"/>
    <w:rsid w:val="003642A9"/>
    <w:rsid w:val="003658AF"/>
    <w:rsid w:val="0036592A"/>
    <w:rsid w:val="00366AB5"/>
    <w:rsid w:val="00367B1A"/>
    <w:rsid w:val="00372407"/>
    <w:rsid w:val="00373092"/>
    <w:rsid w:val="0037431E"/>
    <w:rsid w:val="00374ED9"/>
    <w:rsid w:val="0037538C"/>
    <w:rsid w:val="00375F99"/>
    <w:rsid w:val="00376672"/>
    <w:rsid w:val="003776EE"/>
    <w:rsid w:val="003779FE"/>
    <w:rsid w:val="00381CA1"/>
    <w:rsid w:val="003824BF"/>
    <w:rsid w:val="00382CB9"/>
    <w:rsid w:val="00382F15"/>
    <w:rsid w:val="00383111"/>
    <w:rsid w:val="00383C20"/>
    <w:rsid w:val="003841F7"/>
    <w:rsid w:val="00384889"/>
    <w:rsid w:val="00384E16"/>
    <w:rsid w:val="00386160"/>
    <w:rsid w:val="0038674F"/>
    <w:rsid w:val="00386AAB"/>
    <w:rsid w:val="00387296"/>
    <w:rsid w:val="00390705"/>
    <w:rsid w:val="00391305"/>
    <w:rsid w:val="00391DB8"/>
    <w:rsid w:val="0039204F"/>
    <w:rsid w:val="0039360A"/>
    <w:rsid w:val="00393AC8"/>
    <w:rsid w:val="003940E3"/>
    <w:rsid w:val="003941DF"/>
    <w:rsid w:val="00394458"/>
    <w:rsid w:val="0039545A"/>
    <w:rsid w:val="003957FD"/>
    <w:rsid w:val="003958F2"/>
    <w:rsid w:val="00396906"/>
    <w:rsid w:val="00397047"/>
    <w:rsid w:val="003A07B3"/>
    <w:rsid w:val="003A09DC"/>
    <w:rsid w:val="003A2092"/>
    <w:rsid w:val="003A2F54"/>
    <w:rsid w:val="003A35F2"/>
    <w:rsid w:val="003A3AB3"/>
    <w:rsid w:val="003A3B7B"/>
    <w:rsid w:val="003A54DF"/>
    <w:rsid w:val="003A5C56"/>
    <w:rsid w:val="003A6BDE"/>
    <w:rsid w:val="003A6C28"/>
    <w:rsid w:val="003A7235"/>
    <w:rsid w:val="003A7635"/>
    <w:rsid w:val="003A763A"/>
    <w:rsid w:val="003A79AE"/>
    <w:rsid w:val="003B1BEC"/>
    <w:rsid w:val="003B2BA0"/>
    <w:rsid w:val="003B3101"/>
    <w:rsid w:val="003B3B83"/>
    <w:rsid w:val="003B4348"/>
    <w:rsid w:val="003B4398"/>
    <w:rsid w:val="003B4B9D"/>
    <w:rsid w:val="003B54C2"/>
    <w:rsid w:val="003B58FC"/>
    <w:rsid w:val="003B6D77"/>
    <w:rsid w:val="003B7126"/>
    <w:rsid w:val="003B7CBA"/>
    <w:rsid w:val="003C0355"/>
    <w:rsid w:val="003C0EBE"/>
    <w:rsid w:val="003C1BBC"/>
    <w:rsid w:val="003C2A28"/>
    <w:rsid w:val="003C2DBA"/>
    <w:rsid w:val="003C2FC2"/>
    <w:rsid w:val="003C32A5"/>
    <w:rsid w:val="003C3D5F"/>
    <w:rsid w:val="003C4668"/>
    <w:rsid w:val="003C65D6"/>
    <w:rsid w:val="003D0BAE"/>
    <w:rsid w:val="003D2BE9"/>
    <w:rsid w:val="003D2D62"/>
    <w:rsid w:val="003D2E2D"/>
    <w:rsid w:val="003D4034"/>
    <w:rsid w:val="003D732F"/>
    <w:rsid w:val="003D7912"/>
    <w:rsid w:val="003E0730"/>
    <w:rsid w:val="003E17FE"/>
    <w:rsid w:val="003E4BCB"/>
    <w:rsid w:val="003E5193"/>
    <w:rsid w:val="003E5406"/>
    <w:rsid w:val="003E547C"/>
    <w:rsid w:val="003E6800"/>
    <w:rsid w:val="003E6E6C"/>
    <w:rsid w:val="003E72F7"/>
    <w:rsid w:val="003E7CB5"/>
    <w:rsid w:val="003F021B"/>
    <w:rsid w:val="003F19DA"/>
    <w:rsid w:val="003F33B3"/>
    <w:rsid w:val="003F3462"/>
    <w:rsid w:val="003F42B4"/>
    <w:rsid w:val="003F4C79"/>
    <w:rsid w:val="003F580E"/>
    <w:rsid w:val="003F5A09"/>
    <w:rsid w:val="003F665B"/>
    <w:rsid w:val="003F6847"/>
    <w:rsid w:val="003F7284"/>
    <w:rsid w:val="00400382"/>
    <w:rsid w:val="0040067E"/>
    <w:rsid w:val="00400DDC"/>
    <w:rsid w:val="0040119A"/>
    <w:rsid w:val="0040201D"/>
    <w:rsid w:val="00402287"/>
    <w:rsid w:val="00402418"/>
    <w:rsid w:val="00402ADD"/>
    <w:rsid w:val="00402D55"/>
    <w:rsid w:val="0040323E"/>
    <w:rsid w:val="00405A71"/>
    <w:rsid w:val="004072A3"/>
    <w:rsid w:val="00407842"/>
    <w:rsid w:val="00407933"/>
    <w:rsid w:val="00407F7B"/>
    <w:rsid w:val="0041007D"/>
    <w:rsid w:val="00411A87"/>
    <w:rsid w:val="004137A8"/>
    <w:rsid w:val="004139A5"/>
    <w:rsid w:val="00414271"/>
    <w:rsid w:val="0041497A"/>
    <w:rsid w:val="00414B0F"/>
    <w:rsid w:val="00414BEE"/>
    <w:rsid w:val="0041652A"/>
    <w:rsid w:val="004171E8"/>
    <w:rsid w:val="00417D75"/>
    <w:rsid w:val="00423519"/>
    <w:rsid w:val="004235FB"/>
    <w:rsid w:val="004258C4"/>
    <w:rsid w:val="004273B0"/>
    <w:rsid w:val="004275B9"/>
    <w:rsid w:val="00427854"/>
    <w:rsid w:val="00427EA0"/>
    <w:rsid w:val="00430928"/>
    <w:rsid w:val="00430D89"/>
    <w:rsid w:val="00431F02"/>
    <w:rsid w:val="004326C3"/>
    <w:rsid w:val="004347B8"/>
    <w:rsid w:val="004360F2"/>
    <w:rsid w:val="00436610"/>
    <w:rsid w:val="004368DF"/>
    <w:rsid w:val="00437032"/>
    <w:rsid w:val="00440535"/>
    <w:rsid w:val="004408DF"/>
    <w:rsid w:val="004408EF"/>
    <w:rsid w:val="00441A3B"/>
    <w:rsid w:val="00442AFB"/>
    <w:rsid w:val="00443473"/>
    <w:rsid w:val="004443B3"/>
    <w:rsid w:val="00444AF7"/>
    <w:rsid w:val="004464B9"/>
    <w:rsid w:val="00447F0D"/>
    <w:rsid w:val="00450CCA"/>
    <w:rsid w:val="00450E33"/>
    <w:rsid w:val="00451085"/>
    <w:rsid w:val="00454301"/>
    <w:rsid w:val="0045485C"/>
    <w:rsid w:val="00455954"/>
    <w:rsid w:val="00455AA6"/>
    <w:rsid w:val="0045760C"/>
    <w:rsid w:val="00457F7B"/>
    <w:rsid w:val="00460190"/>
    <w:rsid w:val="004603B0"/>
    <w:rsid w:val="00460C27"/>
    <w:rsid w:val="004611DC"/>
    <w:rsid w:val="00462190"/>
    <w:rsid w:val="00465329"/>
    <w:rsid w:val="004656FB"/>
    <w:rsid w:val="00465A6C"/>
    <w:rsid w:val="0046654A"/>
    <w:rsid w:val="00466673"/>
    <w:rsid w:val="004667A6"/>
    <w:rsid w:val="00466915"/>
    <w:rsid w:val="00466B0E"/>
    <w:rsid w:val="0046741E"/>
    <w:rsid w:val="00467C3A"/>
    <w:rsid w:val="004720C3"/>
    <w:rsid w:val="004721A0"/>
    <w:rsid w:val="004727BB"/>
    <w:rsid w:val="0047363A"/>
    <w:rsid w:val="00473A63"/>
    <w:rsid w:val="00474BF9"/>
    <w:rsid w:val="00476CBB"/>
    <w:rsid w:val="004775BD"/>
    <w:rsid w:val="004806C1"/>
    <w:rsid w:val="00480C55"/>
    <w:rsid w:val="00480EC0"/>
    <w:rsid w:val="00481DD7"/>
    <w:rsid w:val="00483D4A"/>
    <w:rsid w:val="0048403D"/>
    <w:rsid w:val="00484D1D"/>
    <w:rsid w:val="00486381"/>
    <w:rsid w:val="00486F37"/>
    <w:rsid w:val="00487288"/>
    <w:rsid w:val="00490D7F"/>
    <w:rsid w:val="004914EB"/>
    <w:rsid w:val="00491C0D"/>
    <w:rsid w:val="00492AD2"/>
    <w:rsid w:val="00492C4E"/>
    <w:rsid w:val="004934C6"/>
    <w:rsid w:val="00493C27"/>
    <w:rsid w:val="00493D00"/>
    <w:rsid w:val="004953EA"/>
    <w:rsid w:val="004A0EB2"/>
    <w:rsid w:val="004A210A"/>
    <w:rsid w:val="004A214B"/>
    <w:rsid w:val="004A2430"/>
    <w:rsid w:val="004A2B7A"/>
    <w:rsid w:val="004A3F84"/>
    <w:rsid w:val="004A4677"/>
    <w:rsid w:val="004A4DCF"/>
    <w:rsid w:val="004B0B49"/>
    <w:rsid w:val="004B11D4"/>
    <w:rsid w:val="004B184E"/>
    <w:rsid w:val="004B1AE4"/>
    <w:rsid w:val="004B288B"/>
    <w:rsid w:val="004B3C9B"/>
    <w:rsid w:val="004B4095"/>
    <w:rsid w:val="004B447F"/>
    <w:rsid w:val="004B6FFC"/>
    <w:rsid w:val="004B75F7"/>
    <w:rsid w:val="004B7E40"/>
    <w:rsid w:val="004C0184"/>
    <w:rsid w:val="004C01E2"/>
    <w:rsid w:val="004C0F6B"/>
    <w:rsid w:val="004C23C1"/>
    <w:rsid w:val="004C2648"/>
    <w:rsid w:val="004C29A4"/>
    <w:rsid w:val="004C32B4"/>
    <w:rsid w:val="004C3889"/>
    <w:rsid w:val="004C452C"/>
    <w:rsid w:val="004C4F6C"/>
    <w:rsid w:val="004C55B6"/>
    <w:rsid w:val="004C6E89"/>
    <w:rsid w:val="004C7261"/>
    <w:rsid w:val="004D13DB"/>
    <w:rsid w:val="004D2DD9"/>
    <w:rsid w:val="004D3081"/>
    <w:rsid w:val="004D3089"/>
    <w:rsid w:val="004D4036"/>
    <w:rsid w:val="004D568B"/>
    <w:rsid w:val="004D682D"/>
    <w:rsid w:val="004D69A2"/>
    <w:rsid w:val="004D6E2D"/>
    <w:rsid w:val="004E0B88"/>
    <w:rsid w:val="004E1415"/>
    <w:rsid w:val="004E4839"/>
    <w:rsid w:val="004E5704"/>
    <w:rsid w:val="004E6C5F"/>
    <w:rsid w:val="004E7214"/>
    <w:rsid w:val="004E7240"/>
    <w:rsid w:val="004E7323"/>
    <w:rsid w:val="004F0223"/>
    <w:rsid w:val="004F028A"/>
    <w:rsid w:val="004F0D1F"/>
    <w:rsid w:val="004F1056"/>
    <w:rsid w:val="004F14FF"/>
    <w:rsid w:val="004F18D4"/>
    <w:rsid w:val="004F1EB5"/>
    <w:rsid w:val="004F2094"/>
    <w:rsid w:val="004F20F0"/>
    <w:rsid w:val="004F2A6E"/>
    <w:rsid w:val="004F38EB"/>
    <w:rsid w:val="004F3B27"/>
    <w:rsid w:val="004F4DDA"/>
    <w:rsid w:val="004F50E8"/>
    <w:rsid w:val="004F5AA8"/>
    <w:rsid w:val="004F65BC"/>
    <w:rsid w:val="004F768C"/>
    <w:rsid w:val="004F7814"/>
    <w:rsid w:val="004F79E8"/>
    <w:rsid w:val="005005EB"/>
    <w:rsid w:val="00501AB4"/>
    <w:rsid w:val="0050248D"/>
    <w:rsid w:val="005032E7"/>
    <w:rsid w:val="00504954"/>
    <w:rsid w:val="00506FCE"/>
    <w:rsid w:val="00507E59"/>
    <w:rsid w:val="005100E3"/>
    <w:rsid w:val="0051028B"/>
    <w:rsid w:val="00510C6E"/>
    <w:rsid w:val="00511D8A"/>
    <w:rsid w:val="00512E36"/>
    <w:rsid w:val="005137C0"/>
    <w:rsid w:val="00513977"/>
    <w:rsid w:val="00513A7D"/>
    <w:rsid w:val="00513F21"/>
    <w:rsid w:val="00514238"/>
    <w:rsid w:val="005149B3"/>
    <w:rsid w:val="00515569"/>
    <w:rsid w:val="0052187B"/>
    <w:rsid w:val="005219B3"/>
    <w:rsid w:val="00522B13"/>
    <w:rsid w:val="00522D08"/>
    <w:rsid w:val="005235E1"/>
    <w:rsid w:val="0052478A"/>
    <w:rsid w:val="00524FFC"/>
    <w:rsid w:val="00525297"/>
    <w:rsid w:val="00525417"/>
    <w:rsid w:val="005256C2"/>
    <w:rsid w:val="00526045"/>
    <w:rsid w:val="00526A7B"/>
    <w:rsid w:val="005273FD"/>
    <w:rsid w:val="0053104E"/>
    <w:rsid w:val="00531473"/>
    <w:rsid w:val="0053274A"/>
    <w:rsid w:val="005349CC"/>
    <w:rsid w:val="00534B23"/>
    <w:rsid w:val="00535AE8"/>
    <w:rsid w:val="00536C12"/>
    <w:rsid w:val="00536D0A"/>
    <w:rsid w:val="0053747D"/>
    <w:rsid w:val="00537D9F"/>
    <w:rsid w:val="00540AE9"/>
    <w:rsid w:val="0054133C"/>
    <w:rsid w:val="00542826"/>
    <w:rsid w:val="00542DAA"/>
    <w:rsid w:val="00543D2B"/>
    <w:rsid w:val="005441B2"/>
    <w:rsid w:val="00546C7C"/>
    <w:rsid w:val="00546E1E"/>
    <w:rsid w:val="00547114"/>
    <w:rsid w:val="005471F7"/>
    <w:rsid w:val="0054731F"/>
    <w:rsid w:val="00547901"/>
    <w:rsid w:val="0055063F"/>
    <w:rsid w:val="00550AEC"/>
    <w:rsid w:val="005523A8"/>
    <w:rsid w:val="00553012"/>
    <w:rsid w:val="0055444C"/>
    <w:rsid w:val="00555080"/>
    <w:rsid w:val="0055698D"/>
    <w:rsid w:val="005572E2"/>
    <w:rsid w:val="00560C0B"/>
    <w:rsid w:val="00560CC1"/>
    <w:rsid w:val="0056151A"/>
    <w:rsid w:val="00562433"/>
    <w:rsid w:val="00562869"/>
    <w:rsid w:val="00563217"/>
    <w:rsid w:val="005636EC"/>
    <w:rsid w:val="00563917"/>
    <w:rsid w:val="00564D8B"/>
    <w:rsid w:val="00566A9C"/>
    <w:rsid w:val="00567B77"/>
    <w:rsid w:val="00571107"/>
    <w:rsid w:val="005711B3"/>
    <w:rsid w:val="005722AD"/>
    <w:rsid w:val="005729FA"/>
    <w:rsid w:val="005736EB"/>
    <w:rsid w:val="00574687"/>
    <w:rsid w:val="005758DD"/>
    <w:rsid w:val="00577612"/>
    <w:rsid w:val="00577B5F"/>
    <w:rsid w:val="00580CEE"/>
    <w:rsid w:val="005814B2"/>
    <w:rsid w:val="005829DE"/>
    <w:rsid w:val="00582F46"/>
    <w:rsid w:val="00584547"/>
    <w:rsid w:val="00586A1D"/>
    <w:rsid w:val="00586D8D"/>
    <w:rsid w:val="00586DDC"/>
    <w:rsid w:val="00587E9A"/>
    <w:rsid w:val="00590766"/>
    <w:rsid w:val="00590A07"/>
    <w:rsid w:val="00592668"/>
    <w:rsid w:val="00592993"/>
    <w:rsid w:val="00593294"/>
    <w:rsid w:val="00593831"/>
    <w:rsid w:val="00593A48"/>
    <w:rsid w:val="00595349"/>
    <w:rsid w:val="00595808"/>
    <w:rsid w:val="00595D7B"/>
    <w:rsid w:val="00597026"/>
    <w:rsid w:val="0059766E"/>
    <w:rsid w:val="00597A1A"/>
    <w:rsid w:val="005A1384"/>
    <w:rsid w:val="005A360F"/>
    <w:rsid w:val="005A3BD3"/>
    <w:rsid w:val="005A4B22"/>
    <w:rsid w:val="005A654E"/>
    <w:rsid w:val="005A75C7"/>
    <w:rsid w:val="005A78B3"/>
    <w:rsid w:val="005B0E3A"/>
    <w:rsid w:val="005B16B2"/>
    <w:rsid w:val="005B1F5B"/>
    <w:rsid w:val="005B26FB"/>
    <w:rsid w:val="005B2CF8"/>
    <w:rsid w:val="005B3446"/>
    <w:rsid w:val="005B395F"/>
    <w:rsid w:val="005B3D6E"/>
    <w:rsid w:val="005B3F22"/>
    <w:rsid w:val="005B46AF"/>
    <w:rsid w:val="005B4B74"/>
    <w:rsid w:val="005B4CA8"/>
    <w:rsid w:val="005B4CE2"/>
    <w:rsid w:val="005B6B9A"/>
    <w:rsid w:val="005B7627"/>
    <w:rsid w:val="005B7A6C"/>
    <w:rsid w:val="005C04CC"/>
    <w:rsid w:val="005C078C"/>
    <w:rsid w:val="005C0AD3"/>
    <w:rsid w:val="005C0FAC"/>
    <w:rsid w:val="005C1118"/>
    <w:rsid w:val="005C1A68"/>
    <w:rsid w:val="005C1B90"/>
    <w:rsid w:val="005C3367"/>
    <w:rsid w:val="005C3C9A"/>
    <w:rsid w:val="005C3DCE"/>
    <w:rsid w:val="005C3F8C"/>
    <w:rsid w:val="005C44C2"/>
    <w:rsid w:val="005C4B3D"/>
    <w:rsid w:val="005C5CEB"/>
    <w:rsid w:val="005C6601"/>
    <w:rsid w:val="005C7D7A"/>
    <w:rsid w:val="005D0387"/>
    <w:rsid w:val="005D0D32"/>
    <w:rsid w:val="005D23D0"/>
    <w:rsid w:val="005D2607"/>
    <w:rsid w:val="005D3C1C"/>
    <w:rsid w:val="005D4289"/>
    <w:rsid w:val="005D54C3"/>
    <w:rsid w:val="005D5D7F"/>
    <w:rsid w:val="005D6822"/>
    <w:rsid w:val="005D75B3"/>
    <w:rsid w:val="005D7804"/>
    <w:rsid w:val="005E0066"/>
    <w:rsid w:val="005E2699"/>
    <w:rsid w:val="005E28A9"/>
    <w:rsid w:val="005E3047"/>
    <w:rsid w:val="005E37B9"/>
    <w:rsid w:val="005E4438"/>
    <w:rsid w:val="005E455C"/>
    <w:rsid w:val="005E5823"/>
    <w:rsid w:val="005E7271"/>
    <w:rsid w:val="005E72DC"/>
    <w:rsid w:val="005E76C3"/>
    <w:rsid w:val="005E76DA"/>
    <w:rsid w:val="005F2FED"/>
    <w:rsid w:val="005F3F27"/>
    <w:rsid w:val="005F492E"/>
    <w:rsid w:val="005F53F8"/>
    <w:rsid w:val="005F61E4"/>
    <w:rsid w:val="005F632B"/>
    <w:rsid w:val="005F6FC1"/>
    <w:rsid w:val="005F7C1D"/>
    <w:rsid w:val="00601306"/>
    <w:rsid w:val="006020D9"/>
    <w:rsid w:val="00603BE3"/>
    <w:rsid w:val="0060550F"/>
    <w:rsid w:val="00605CC9"/>
    <w:rsid w:val="00606429"/>
    <w:rsid w:val="00607A5C"/>
    <w:rsid w:val="00610B4C"/>
    <w:rsid w:val="00613D66"/>
    <w:rsid w:val="0061444F"/>
    <w:rsid w:val="00615E27"/>
    <w:rsid w:val="00616C1F"/>
    <w:rsid w:val="006209C9"/>
    <w:rsid w:val="00621ABA"/>
    <w:rsid w:val="00623A4D"/>
    <w:rsid w:val="00625529"/>
    <w:rsid w:val="00625C62"/>
    <w:rsid w:val="006273FC"/>
    <w:rsid w:val="0063090D"/>
    <w:rsid w:val="006309AD"/>
    <w:rsid w:val="00630EC8"/>
    <w:rsid w:val="00631A04"/>
    <w:rsid w:val="00631F18"/>
    <w:rsid w:val="00632B65"/>
    <w:rsid w:val="00633553"/>
    <w:rsid w:val="006360FD"/>
    <w:rsid w:val="0063693E"/>
    <w:rsid w:val="00637019"/>
    <w:rsid w:val="006409AA"/>
    <w:rsid w:val="006429D2"/>
    <w:rsid w:val="00642B15"/>
    <w:rsid w:val="00642CC9"/>
    <w:rsid w:val="00643A1C"/>
    <w:rsid w:val="00643EC3"/>
    <w:rsid w:val="0064508C"/>
    <w:rsid w:val="00645DE2"/>
    <w:rsid w:val="00645F2F"/>
    <w:rsid w:val="00646831"/>
    <w:rsid w:val="00646CBF"/>
    <w:rsid w:val="006475E7"/>
    <w:rsid w:val="00647912"/>
    <w:rsid w:val="00651D1B"/>
    <w:rsid w:val="00651EAB"/>
    <w:rsid w:val="006521E9"/>
    <w:rsid w:val="0065448E"/>
    <w:rsid w:val="006563CC"/>
    <w:rsid w:val="00657095"/>
    <w:rsid w:val="006574B5"/>
    <w:rsid w:val="006606EF"/>
    <w:rsid w:val="00660E2E"/>
    <w:rsid w:val="006616C6"/>
    <w:rsid w:val="00661B3A"/>
    <w:rsid w:val="006631E0"/>
    <w:rsid w:val="00663881"/>
    <w:rsid w:val="0066392F"/>
    <w:rsid w:val="006664EE"/>
    <w:rsid w:val="00666749"/>
    <w:rsid w:val="00667CB4"/>
    <w:rsid w:val="00667FA3"/>
    <w:rsid w:val="00667FAA"/>
    <w:rsid w:val="00671317"/>
    <w:rsid w:val="0067150B"/>
    <w:rsid w:val="00671C19"/>
    <w:rsid w:val="006747B5"/>
    <w:rsid w:val="00674F46"/>
    <w:rsid w:val="006752A6"/>
    <w:rsid w:val="00675443"/>
    <w:rsid w:val="00675CFA"/>
    <w:rsid w:val="00675D8E"/>
    <w:rsid w:val="006771C7"/>
    <w:rsid w:val="00680188"/>
    <w:rsid w:val="006810DD"/>
    <w:rsid w:val="0068139E"/>
    <w:rsid w:val="00681C28"/>
    <w:rsid w:val="00682065"/>
    <w:rsid w:val="006868C0"/>
    <w:rsid w:val="0068764B"/>
    <w:rsid w:val="00687ED6"/>
    <w:rsid w:val="00690398"/>
    <w:rsid w:val="00691EEE"/>
    <w:rsid w:val="00691FD0"/>
    <w:rsid w:val="006932FF"/>
    <w:rsid w:val="006940B0"/>
    <w:rsid w:val="006945FE"/>
    <w:rsid w:val="006949E3"/>
    <w:rsid w:val="006959D3"/>
    <w:rsid w:val="00696775"/>
    <w:rsid w:val="006A23D5"/>
    <w:rsid w:val="006A2D6A"/>
    <w:rsid w:val="006A3193"/>
    <w:rsid w:val="006A3498"/>
    <w:rsid w:val="006A478E"/>
    <w:rsid w:val="006A7EC9"/>
    <w:rsid w:val="006A7EE2"/>
    <w:rsid w:val="006B0506"/>
    <w:rsid w:val="006B080B"/>
    <w:rsid w:val="006B0C81"/>
    <w:rsid w:val="006B1AA3"/>
    <w:rsid w:val="006B3009"/>
    <w:rsid w:val="006B3020"/>
    <w:rsid w:val="006B3DFB"/>
    <w:rsid w:val="006B42B2"/>
    <w:rsid w:val="006B4969"/>
    <w:rsid w:val="006B67E7"/>
    <w:rsid w:val="006B6FE3"/>
    <w:rsid w:val="006B702F"/>
    <w:rsid w:val="006B7BD2"/>
    <w:rsid w:val="006C01CD"/>
    <w:rsid w:val="006C15C7"/>
    <w:rsid w:val="006C1CCD"/>
    <w:rsid w:val="006C2250"/>
    <w:rsid w:val="006C326A"/>
    <w:rsid w:val="006C3EC6"/>
    <w:rsid w:val="006C4F0A"/>
    <w:rsid w:val="006C5C46"/>
    <w:rsid w:val="006C5D3F"/>
    <w:rsid w:val="006C6272"/>
    <w:rsid w:val="006D1208"/>
    <w:rsid w:val="006D1227"/>
    <w:rsid w:val="006D25AF"/>
    <w:rsid w:val="006D2A67"/>
    <w:rsid w:val="006D3220"/>
    <w:rsid w:val="006D3246"/>
    <w:rsid w:val="006D36F7"/>
    <w:rsid w:val="006D39B3"/>
    <w:rsid w:val="006D64E7"/>
    <w:rsid w:val="006D6504"/>
    <w:rsid w:val="006D66C0"/>
    <w:rsid w:val="006D7B22"/>
    <w:rsid w:val="006D7CA2"/>
    <w:rsid w:val="006D7CE5"/>
    <w:rsid w:val="006E0423"/>
    <w:rsid w:val="006E3173"/>
    <w:rsid w:val="006E3CFB"/>
    <w:rsid w:val="006E402D"/>
    <w:rsid w:val="006E4B30"/>
    <w:rsid w:val="006E5405"/>
    <w:rsid w:val="006E6AD9"/>
    <w:rsid w:val="006E71B1"/>
    <w:rsid w:val="006E7ACD"/>
    <w:rsid w:val="006E7EFB"/>
    <w:rsid w:val="006F0755"/>
    <w:rsid w:val="006F1043"/>
    <w:rsid w:val="006F1DC0"/>
    <w:rsid w:val="006F2133"/>
    <w:rsid w:val="006F2774"/>
    <w:rsid w:val="006F2BCA"/>
    <w:rsid w:val="006F2D8F"/>
    <w:rsid w:val="006F2DAF"/>
    <w:rsid w:val="006F2EB2"/>
    <w:rsid w:val="006F300B"/>
    <w:rsid w:val="006F309B"/>
    <w:rsid w:val="006F365D"/>
    <w:rsid w:val="006F3C15"/>
    <w:rsid w:val="006F517C"/>
    <w:rsid w:val="006F5BEE"/>
    <w:rsid w:val="006F675E"/>
    <w:rsid w:val="006F6ECC"/>
    <w:rsid w:val="006F777C"/>
    <w:rsid w:val="006F7884"/>
    <w:rsid w:val="007000AC"/>
    <w:rsid w:val="00700B8F"/>
    <w:rsid w:val="0070259F"/>
    <w:rsid w:val="007029C2"/>
    <w:rsid w:val="00702B48"/>
    <w:rsid w:val="00704553"/>
    <w:rsid w:val="00704B9F"/>
    <w:rsid w:val="00705240"/>
    <w:rsid w:val="00705B06"/>
    <w:rsid w:val="007061D7"/>
    <w:rsid w:val="0070666A"/>
    <w:rsid w:val="00706ED0"/>
    <w:rsid w:val="00707EBB"/>
    <w:rsid w:val="00710047"/>
    <w:rsid w:val="0071125A"/>
    <w:rsid w:val="00711826"/>
    <w:rsid w:val="00711BE7"/>
    <w:rsid w:val="007143D3"/>
    <w:rsid w:val="007143D6"/>
    <w:rsid w:val="00716604"/>
    <w:rsid w:val="00717400"/>
    <w:rsid w:val="00717B61"/>
    <w:rsid w:val="00720916"/>
    <w:rsid w:val="00721F8A"/>
    <w:rsid w:val="00722631"/>
    <w:rsid w:val="00725B1B"/>
    <w:rsid w:val="00726D8E"/>
    <w:rsid w:val="007271EB"/>
    <w:rsid w:val="007307C1"/>
    <w:rsid w:val="00733642"/>
    <w:rsid w:val="00733F91"/>
    <w:rsid w:val="0073455E"/>
    <w:rsid w:val="00735498"/>
    <w:rsid w:val="00735ABF"/>
    <w:rsid w:val="007410A6"/>
    <w:rsid w:val="00742E77"/>
    <w:rsid w:val="0074367F"/>
    <w:rsid w:val="007436AF"/>
    <w:rsid w:val="00743CC7"/>
    <w:rsid w:val="007468AF"/>
    <w:rsid w:val="0074744E"/>
    <w:rsid w:val="007513E8"/>
    <w:rsid w:val="00751FCC"/>
    <w:rsid w:val="00752A91"/>
    <w:rsid w:val="0075333C"/>
    <w:rsid w:val="0075378C"/>
    <w:rsid w:val="00753B9C"/>
    <w:rsid w:val="0075459F"/>
    <w:rsid w:val="00754793"/>
    <w:rsid w:val="00755E92"/>
    <w:rsid w:val="007563AE"/>
    <w:rsid w:val="00756AA8"/>
    <w:rsid w:val="007629CD"/>
    <w:rsid w:val="007636A6"/>
    <w:rsid w:val="007637EA"/>
    <w:rsid w:val="007644E1"/>
    <w:rsid w:val="007646DC"/>
    <w:rsid w:val="0076485C"/>
    <w:rsid w:val="00764C3D"/>
    <w:rsid w:val="00764FD1"/>
    <w:rsid w:val="00765746"/>
    <w:rsid w:val="00766537"/>
    <w:rsid w:val="00766AD0"/>
    <w:rsid w:val="007671F6"/>
    <w:rsid w:val="0077010D"/>
    <w:rsid w:val="00770887"/>
    <w:rsid w:val="007715C1"/>
    <w:rsid w:val="007720F2"/>
    <w:rsid w:val="007727DB"/>
    <w:rsid w:val="007739CD"/>
    <w:rsid w:val="00773F32"/>
    <w:rsid w:val="00773F80"/>
    <w:rsid w:val="007748D4"/>
    <w:rsid w:val="00775418"/>
    <w:rsid w:val="00777366"/>
    <w:rsid w:val="0077790D"/>
    <w:rsid w:val="00780E69"/>
    <w:rsid w:val="00781EC3"/>
    <w:rsid w:val="007820E6"/>
    <w:rsid w:val="00782BD4"/>
    <w:rsid w:val="00783975"/>
    <w:rsid w:val="00784137"/>
    <w:rsid w:val="00785BA8"/>
    <w:rsid w:val="00785CAB"/>
    <w:rsid w:val="0078652D"/>
    <w:rsid w:val="00786756"/>
    <w:rsid w:val="00786B2C"/>
    <w:rsid w:val="00786F41"/>
    <w:rsid w:val="007871BE"/>
    <w:rsid w:val="00787A08"/>
    <w:rsid w:val="00787C21"/>
    <w:rsid w:val="00790544"/>
    <w:rsid w:val="00790980"/>
    <w:rsid w:val="007913DB"/>
    <w:rsid w:val="007915EC"/>
    <w:rsid w:val="007922E4"/>
    <w:rsid w:val="00792A7D"/>
    <w:rsid w:val="0079417D"/>
    <w:rsid w:val="00795229"/>
    <w:rsid w:val="00796425"/>
    <w:rsid w:val="00796C9D"/>
    <w:rsid w:val="00797444"/>
    <w:rsid w:val="00797DF2"/>
    <w:rsid w:val="007A18B0"/>
    <w:rsid w:val="007A1F6B"/>
    <w:rsid w:val="007A2C24"/>
    <w:rsid w:val="007A4470"/>
    <w:rsid w:val="007A5C67"/>
    <w:rsid w:val="007A616E"/>
    <w:rsid w:val="007A6BA0"/>
    <w:rsid w:val="007A7CE7"/>
    <w:rsid w:val="007B0072"/>
    <w:rsid w:val="007B0C59"/>
    <w:rsid w:val="007B0F54"/>
    <w:rsid w:val="007B1894"/>
    <w:rsid w:val="007B25D8"/>
    <w:rsid w:val="007B3B61"/>
    <w:rsid w:val="007B48CE"/>
    <w:rsid w:val="007B61A9"/>
    <w:rsid w:val="007B7A96"/>
    <w:rsid w:val="007B7E66"/>
    <w:rsid w:val="007C21E7"/>
    <w:rsid w:val="007C36B7"/>
    <w:rsid w:val="007C3871"/>
    <w:rsid w:val="007C4D62"/>
    <w:rsid w:val="007C4F35"/>
    <w:rsid w:val="007C5D44"/>
    <w:rsid w:val="007C5E12"/>
    <w:rsid w:val="007C63D3"/>
    <w:rsid w:val="007C63E1"/>
    <w:rsid w:val="007C670A"/>
    <w:rsid w:val="007C7E5D"/>
    <w:rsid w:val="007D1952"/>
    <w:rsid w:val="007D3B67"/>
    <w:rsid w:val="007D4163"/>
    <w:rsid w:val="007D5F2F"/>
    <w:rsid w:val="007D6780"/>
    <w:rsid w:val="007D7D92"/>
    <w:rsid w:val="007D7D93"/>
    <w:rsid w:val="007E0253"/>
    <w:rsid w:val="007E1210"/>
    <w:rsid w:val="007E1A15"/>
    <w:rsid w:val="007E3466"/>
    <w:rsid w:val="007E3752"/>
    <w:rsid w:val="007E3E7A"/>
    <w:rsid w:val="007E4F26"/>
    <w:rsid w:val="007E5559"/>
    <w:rsid w:val="007E5BD8"/>
    <w:rsid w:val="007E6AE5"/>
    <w:rsid w:val="007E6C2E"/>
    <w:rsid w:val="007E6E16"/>
    <w:rsid w:val="007E6FC9"/>
    <w:rsid w:val="007E75F2"/>
    <w:rsid w:val="007F0353"/>
    <w:rsid w:val="007F0F35"/>
    <w:rsid w:val="007F1268"/>
    <w:rsid w:val="007F1283"/>
    <w:rsid w:val="007F1D2C"/>
    <w:rsid w:val="007F2106"/>
    <w:rsid w:val="007F21A0"/>
    <w:rsid w:val="007F2A56"/>
    <w:rsid w:val="007F32A1"/>
    <w:rsid w:val="007F37AB"/>
    <w:rsid w:val="007F3A78"/>
    <w:rsid w:val="007F43A8"/>
    <w:rsid w:val="007F5595"/>
    <w:rsid w:val="007F55FC"/>
    <w:rsid w:val="007F59B7"/>
    <w:rsid w:val="007F6BDE"/>
    <w:rsid w:val="007F6F8A"/>
    <w:rsid w:val="00800A51"/>
    <w:rsid w:val="00802B2E"/>
    <w:rsid w:val="008030C5"/>
    <w:rsid w:val="008049EB"/>
    <w:rsid w:val="00804C4D"/>
    <w:rsid w:val="00805C13"/>
    <w:rsid w:val="008060CC"/>
    <w:rsid w:val="00806B70"/>
    <w:rsid w:val="0080701C"/>
    <w:rsid w:val="008109C4"/>
    <w:rsid w:val="008121E1"/>
    <w:rsid w:val="00812654"/>
    <w:rsid w:val="00812C63"/>
    <w:rsid w:val="008133D4"/>
    <w:rsid w:val="00813B63"/>
    <w:rsid w:val="00814E48"/>
    <w:rsid w:val="00814ED6"/>
    <w:rsid w:val="00820571"/>
    <w:rsid w:val="00820A3D"/>
    <w:rsid w:val="00820AB3"/>
    <w:rsid w:val="00820EFB"/>
    <w:rsid w:val="008222FB"/>
    <w:rsid w:val="00822B6B"/>
    <w:rsid w:val="00822F07"/>
    <w:rsid w:val="008234FC"/>
    <w:rsid w:val="00823675"/>
    <w:rsid w:val="00823981"/>
    <w:rsid w:val="00824979"/>
    <w:rsid w:val="00824F89"/>
    <w:rsid w:val="00825043"/>
    <w:rsid w:val="00825063"/>
    <w:rsid w:val="008260AE"/>
    <w:rsid w:val="0082644C"/>
    <w:rsid w:val="008306AE"/>
    <w:rsid w:val="0083148A"/>
    <w:rsid w:val="00831C61"/>
    <w:rsid w:val="00831F27"/>
    <w:rsid w:val="00832CF4"/>
    <w:rsid w:val="00833318"/>
    <w:rsid w:val="008341B4"/>
    <w:rsid w:val="00834C32"/>
    <w:rsid w:val="00836459"/>
    <w:rsid w:val="00837393"/>
    <w:rsid w:val="00841A35"/>
    <w:rsid w:val="00842F59"/>
    <w:rsid w:val="0084445C"/>
    <w:rsid w:val="00844E64"/>
    <w:rsid w:val="00846338"/>
    <w:rsid w:val="00846BAF"/>
    <w:rsid w:val="00847BE7"/>
    <w:rsid w:val="00847EAD"/>
    <w:rsid w:val="00847FBF"/>
    <w:rsid w:val="00850F6F"/>
    <w:rsid w:val="00851560"/>
    <w:rsid w:val="00851760"/>
    <w:rsid w:val="00851C31"/>
    <w:rsid w:val="00855B91"/>
    <w:rsid w:val="00855E86"/>
    <w:rsid w:val="008562CE"/>
    <w:rsid w:val="00856A95"/>
    <w:rsid w:val="0085782D"/>
    <w:rsid w:val="00857DBC"/>
    <w:rsid w:val="00862A39"/>
    <w:rsid w:val="00862CA3"/>
    <w:rsid w:val="008633BB"/>
    <w:rsid w:val="00865446"/>
    <w:rsid w:val="0086623B"/>
    <w:rsid w:val="00866BF3"/>
    <w:rsid w:val="008676ED"/>
    <w:rsid w:val="00870585"/>
    <w:rsid w:val="00871515"/>
    <w:rsid w:val="00871B2B"/>
    <w:rsid w:val="008723F8"/>
    <w:rsid w:val="0087290F"/>
    <w:rsid w:val="00872D84"/>
    <w:rsid w:val="008735E2"/>
    <w:rsid w:val="00875EDC"/>
    <w:rsid w:val="008800DB"/>
    <w:rsid w:val="00880747"/>
    <w:rsid w:val="00881B07"/>
    <w:rsid w:val="00883108"/>
    <w:rsid w:val="00883797"/>
    <w:rsid w:val="00883E7F"/>
    <w:rsid w:val="00884685"/>
    <w:rsid w:val="008864BF"/>
    <w:rsid w:val="00886668"/>
    <w:rsid w:val="00886905"/>
    <w:rsid w:val="00886A5C"/>
    <w:rsid w:val="008873AE"/>
    <w:rsid w:val="0089169E"/>
    <w:rsid w:val="00891C50"/>
    <w:rsid w:val="00893A63"/>
    <w:rsid w:val="00894B3F"/>
    <w:rsid w:val="00895089"/>
    <w:rsid w:val="00896AD1"/>
    <w:rsid w:val="008975D9"/>
    <w:rsid w:val="008A0BC5"/>
    <w:rsid w:val="008A11E8"/>
    <w:rsid w:val="008A26FD"/>
    <w:rsid w:val="008A3AD5"/>
    <w:rsid w:val="008A4BE2"/>
    <w:rsid w:val="008A549A"/>
    <w:rsid w:val="008A717B"/>
    <w:rsid w:val="008A7389"/>
    <w:rsid w:val="008A7E5B"/>
    <w:rsid w:val="008B0EBD"/>
    <w:rsid w:val="008B1E6A"/>
    <w:rsid w:val="008B21F1"/>
    <w:rsid w:val="008B30D0"/>
    <w:rsid w:val="008B3C03"/>
    <w:rsid w:val="008B481F"/>
    <w:rsid w:val="008B6649"/>
    <w:rsid w:val="008B7949"/>
    <w:rsid w:val="008B7B20"/>
    <w:rsid w:val="008C009C"/>
    <w:rsid w:val="008C00FF"/>
    <w:rsid w:val="008C0292"/>
    <w:rsid w:val="008C1B5E"/>
    <w:rsid w:val="008C1EA3"/>
    <w:rsid w:val="008C3429"/>
    <w:rsid w:val="008C3E53"/>
    <w:rsid w:val="008C4FB5"/>
    <w:rsid w:val="008C6762"/>
    <w:rsid w:val="008D0894"/>
    <w:rsid w:val="008D1A3A"/>
    <w:rsid w:val="008D3E64"/>
    <w:rsid w:val="008D418B"/>
    <w:rsid w:val="008D6817"/>
    <w:rsid w:val="008D7126"/>
    <w:rsid w:val="008D733F"/>
    <w:rsid w:val="008D7EF6"/>
    <w:rsid w:val="008E0082"/>
    <w:rsid w:val="008E0F26"/>
    <w:rsid w:val="008E134E"/>
    <w:rsid w:val="008E172A"/>
    <w:rsid w:val="008E3361"/>
    <w:rsid w:val="008E343C"/>
    <w:rsid w:val="008E6450"/>
    <w:rsid w:val="008E6691"/>
    <w:rsid w:val="008F03EB"/>
    <w:rsid w:val="008F1B88"/>
    <w:rsid w:val="008F1D14"/>
    <w:rsid w:val="008F245D"/>
    <w:rsid w:val="008F2927"/>
    <w:rsid w:val="008F33C7"/>
    <w:rsid w:val="008F3CDA"/>
    <w:rsid w:val="008F5497"/>
    <w:rsid w:val="008F6F71"/>
    <w:rsid w:val="008F79E4"/>
    <w:rsid w:val="008F7C25"/>
    <w:rsid w:val="00902149"/>
    <w:rsid w:val="0090268F"/>
    <w:rsid w:val="00902A65"/>
    <w:rsid w:val="009031E2"/>
    <w:rsid w:val="0090378B"/>
    <w:rsid w:val="00905820"/>
    <w:rsid w:val="00906D90"/>
    <w:rsid w:val="00907B68"/>
    <w:rsid w:val="00907CA6"/>
    <w:rsid w:val="00910BA1"/>
    <w:rsid w:val="00911699"/>
    <w:rsid w:val="0091178E"/>
    <w:rsid w:val="009117C2"/>
    <w:rsid w:val="0091264B"/>
    <w:rsid w:val="009128D5"/>
    <w:rsid w:val="00912D03"/>
    <w:rsid w:val="009131C8"/>
    <w:rsid w:val="00914331"/>
    <w:rsid w:val="00914F5E"/>
    <w:rsid w:val="009157D4"/>
    <w:rsid w:val="00916187"/>
    <w:rsid w:val="00920350"/>
    <w:rsid w:val="009233E6"/>
    <w:rsid w:val="00923766"/>
    <w:rsid w:val="00924068"/>
    <w:rsid w:val="00924358"/>
    <w:rsid w:val="009250B4"/>
    <w:rsid w:val="0092527D"/>
    <w:rsid w:val="009252B4"/>
    <w:rsid w:val="00925E5F"/>
    <w:rsid w:val="009275C7"/>
    <w:rsid w:val="00932A1A"/>
    <w:rsid w:val="009330C3"/>
    <w:rsid w:val="00933A33"/>
    <w:rsid w:val="00933CB3"/>
    <w:rsid w:val="00935A16"/>
    <w:rsid w:val="00937F6F"/>
    <w:rsid w:val="00940469"/>
    <w:rsid w:val="0094093E"/>
    <w:rsid w:val="0094107F"/>
    <w:rsid w:val="0094232E"/>
    <w:rsid w:val="009425AE"/>
    <w:rsid w:val="0094298B"/>
    <w:rsid w:val="00942DCE"/>
    <w:rsid w:val="0094360C"/>
    <w:rsid w:val="009456C1"/>
    <w:rsid w:val="00946DDD"/>
    <w:rsid w:val="00947183"/>
    <w:rsid w:val="009476CE"/>
    <w:rsid w:val="009507E9"/>
    <w:rsid w:val="009516EE"/>
    <w:rsid w:val="0095180D"/>
    <w:rsid w:val="00951AAB"/>
    <w:rsid w:val="009528CA"/>
    <w:rsid w:val="00953E20"/>
    <w:rsid w:val="0095417C"/>
    <w:rsid w:val="00954D85"/>
    <w:rsid w:val="00954E37"/>
    <w:rsid w:val="009551D1"/>
    <w:rsid w:val="009561FC"/>
    <w:rsid w:val="00956A6F"/>
    <w:rsid w:val="009573D9"/>
    <w:rsid w:val="009614F6"/>
    <w:rsid w:val="0096165D"/>
    <w:rsid w:val="00962415"/>
    <w:rsid w:val="009624B3"/>
    <w:rsid w:val="00962A30"/>
    <w:rsid w:val="00962AFD"/>
    <w:rsid w:val="00962CF8"/>
    <w:rsid w:val="0096345B"/>
    <w:rsid w:val="00963C48"/>
    <w:rsid w:val="0096482F"/>
    <w:rsid w:val="00967A86"/>
    <w:rsid w:val="00967C90"/>
    <w:rsid w:val="00967DAF"/>
    <w:rsid w:val="009703F4"/>
    <w:rsid w:val="0097058D"/>
    <w:rsid w:val="0097122A"/>
    <w:rsid w:val="009723E7"/>
    <w:rsid w:val="00972A03"/>
    <w:rsid w:val="00972AFA"/>
    <w:rsid w:val="00973128"/>
    <w:rsid w:val="00973557"/>
    <w:rsid w:val="00973FC4"/>
    <w:rsid w:val="009743D8"/>
    <w:rsid w:val="00975C10"/>
    <w:rsid w:val="00976662"/>
    <w:rsid w:val="009767C4"/>
    <w:rsid w:val="00976B95"/>
    <w:rsid w:val="009774C5"/>
    <w:rsid w:val="0098033F"/>
    <w:rsid w:val="009810DB"/>
    <w:rsid w:val="00982327"/>
    <w:rsid w:val="009840EA"/>
    <w:rsid w:val="009849F1"/>
    <w:rsid w:val="00984DB1"/>
    <w:rsid w:val="009853F4"/>
    <w:rsid w:val="009867D2"/>
    <w:rsid w:val="00986BF5"/>
    <w:rsid w:val="00986CD7"/>
    <w:rsid w:val="0099004E"/>
    <w:rsid w:val="00990707"/>
    <w:rsid w:val="00993998"/>
    <w:rsid w:val="00995E70"/>
    <w:rsid w:val="00996034"/>
    <w:rsid w:val="009A1106"/>
    <w:rsid w:val="009A19C2"/>
    <w:rsid w:val="009A21F9"/>
    <w:rsid w:val="009A23E9"/>
    <w:rsid w:val="009A394D"/>
    <w:rsid w:val="009A43C8"/>
    <w:rsid w:val="009A4B69"/>
    <w:rsid w:val="009A53F4"/>
    <w:rsid w:val="009A6FC8"/>
    <w:rsid w:val="009A7B3D"/>
    <w:rsid w:val="009A7D8F"/>
    <w:rsid w:val="009B07BB"/>
    <w:rsid w:val="009B0A58"/>
    <w:rsid w:val="009B19A1"/>
    <w:rsid w:val="009B1FC3"/>
    <w:rsid w:val="009B2A14"/>
    <w:rsid w:val="009B2ABD"/>
    <w:rsid w:val="009B2E41"/>
    <w:rsid w:val="009B3AC5"/>
    <w:rsid w:val="009B3E64"/>
    <w:rsid w:val="009B4BA2"/>
    <w:rsid w:val="009B5099"/>
    <w:rsid w:val="009B5F5E"/>
    <w:rsid w:val="009B6626"/>
    <w:rsid w:val="009B68CE"/>
    <w:rsid w:val="009B7037"/>
    <w:rsid w:val="009C03D9"/>
    <w:rsid w:val="009C0423"/>
    <w:rsid w:val="009C11BC"/>
    <w:rsid w:val="009C136C"/>
    <w:rsid w:val="009C20D2"/>
    <w:rsid w:val="009C2C96"/>
    <w:rsid w:val="009C3F57"/>
    <w:rsid w:val="009C46E0"/>
    <w:rsid w:val="009C4EAE"/>
    <w:rsid w:val="009C4FD4"/>
    <w:rsid w:val="009C5470"/>
    <w:rsid w:val="009C5B59"/>
    <w:rsid w:val="009C795E"/>
    <w:rsid w:val="009C7EC8"/>
    <w:rsid w:val="009C7EE0"/>
    <w:rsid w:val="009C7F1A"/>
    <w:rsid w:val="009D18E0"/>
    <w:rsid w:val="009D2D8C"/>
    <w:rsid w:val="009D34CF"/>
    <w:rsid w:val="009D398D"/>
    <w:rsid w:val="009D58FF"/>
    <w:rsid w:val="009D5949"/>
    <w:rsid w:val="009D5BAD"/>
    <w:rsid w:val="009D5C1B"/>
    <w:rsid w:val="009D601F"/>
    <w:rsid w:val="009D6681"/>
    <w:rsid w:val="009D7134"/>
    <w:rsid w:val="009D724C"/>
    <w:rsid w:val="009D726E"/>
    <w:rsid w:val="009D7467"/>
    <w:rsid w:val="009D7CB7"/>
    <w:rsid w:val="009E050B"/>
    <w:rsid w:val="009E1C56"/>
    <w:rsid w:val="009E28EB"/>
    <w:rsid w:val="009E2B16"/>
    <w:rsid w:val="009E3028"/>
    <w:rsid w:val="009E3651"/>
    <w:rsid w:val="009E36F6"/>
    <w:rsid w:val="009E3820"/>
    <w:rsid w:val="009E5464"/>
    <w:rsid w:val="009E5AC9"/>
    <w:rsid w:val="009E711B"/>
    <w:rsid w:val="009E7C5D"/>
    <w:rsid w:val="009E7C8F"/>
    <w:rsid w:val="009F048C"/>
    <w:rsid w:val="009F0ABE"/>
    <w:rsid w:val="009F25DD"/>
    <w:rsid w:val="009F269E"/>
    <w:rsid w:val="009F3D40"/>
    <w:rsid w:val="009F438E"/>
    <w:rsid w:val="009F4B28"/>
    <w:rsid w:val="009F64C2"/>
    <w:rsid w:val="009F7E0A"/>
    <w:rsid w:val="00A000E7"/>
    <w:rsid w:val="00A00C24"/>
    <w:rsid w:val="00A00CAF"/>
    <w:rsid w:val="00A0109A"/>
    <w:rsid w:val="00A01BED"/>
    <w:rsid w:val="00A030FD"/>
    <w:rsid w:val="00A033B1"/>
    <w:rsid w:val="00A035D2"/>
    <w:rsid w:val="00A03A64"/>
    <w:rsid w:val="00A06FB4"/>
    <w:rsid w:val="00A070D1"/>
    <w:rsid w:val="00A07310"/>
    <w:rsid w:val="00A109B0"/>
    <w:rsid w:val="00A128B0"/>
    <w:rsid w:val="00A12ED1"/>
    <w:rsid w:val="00A12F7C"/>
    <w:rsid w:val="00A13C8E"/>
    <w:rsid w:val="00A13DB1"/>
    <w:rsid w:val="00A14D9A"/>
    <w:rsid w:val="00A15A13"/>
    <w:rsid w:val="00A174D2"/>
    <w:rsid w:val="00A17DBB"/>
    <w:rsid w:val="00A20A6D"/>
    <w:rsid w:val="00A22134"/>
    <w:rsid w:val="00A24927"/>
    <w:rsid w:val="00A258EB"/>
    <w:rsid w:val="00A26FCD"/>
    <w:rsid w:val="00A27A5B"/>
    <w:rsid w:val="00A30ABC"/>
    <w:rsid w:val="00A31365"/>
    <w:rsid w:val="00A315BD"/>
    <w:rsid w:val="00A3207B"/>
    <w:rsid w:val="00A328D1"/>
    <w:rsid w:val="00A34029"/>
    <w:rsid w:val="00A3571E"/>
    <w:rsid w:val="00A35B29"/>
    <w:rsid w:val="00A363C5"/>
    <w:rsid w:val="00A41180"/>
    <w:rsid w:val="00A41258"/>
    <w:rsid w:val="00A41B37"/>
    <w:rsid w:val="00A41DBF"/>
    <w:rsid w:val="00A4284E"/>
    <w:rsid w:val="00A42CAC"/>
    <w:rsid w:val="00A42E5F"/>
    <w:rsid w:val="00A435C8"/>
    <w:rsid w:val="00A445A3"/>
    <w:rsid w:val="00A45085"/>
    <w:rsid w:val="00A4532F"/>
    <w:rsid w:val="00A45C08"/>
    <w:rsid w:val="00A46943"/>
    <w:rsid w:val="00A46A87"/>
    <w:rsid w:val="00A474BF"/>
    <w:rsid w:val="00A50963"/>
    <w:rsid w:val="00A520E7"/>
    <w:rsid w:val="00A53CAF"/>
    <w:rsid w:val="00A54C8F"/>
    <w:rsid w:val="00A556BC"/>
    <w:rsid w:val="00A5597D"/>
    <w:rsid w:val="00A56E25"/>
    <w:rsid w:val="00A577F2"/>
    <w:rsid w:val="00A57901"/>
    <w:rsid w:val="00A57D5E"/>
    <w:rsid w:val="00A57F4C"/>
    <w:rsid w:val="00A604E5"/>
    <w:rsid w:val="00A610EE"/>
    <w:rsid w:val="00A62597"/>
    <w:rsid w:val="00A626CA"/>
    <w:rsid w:val="00A62A34"/>
    <w:rsid w:val="00A62A35"/>
    <w:rsid w:val="00A62A40"/>
    <w:rsid w:val="00A64C30"/>
    <w:rsid w:val="00A66657"/>
    <w:rsid w:val="00A703E5"/>
    <w:rsid w:val="00A705BC"/>
    <w:rsid w:val="00A70EB5"/>
    <w:rsid w:val="00A72DFC"/>
    <w:rsid w:val="00A73968"/>
    <w:rsid w:val="00A7661D"/>
    <w:rsid w:val="00A77B6B"/>
    <w:rsid w:val="00A80D74"/>
    <w:rsid w:val="00A8219A"/>
    <w:rsid w:val="00A82868"/>
    <w:rsid w:val="00A83AF0"/>
    <w:rsid w:val="00A85811"/>
    <w:rsid w:val="00A8681D"/>
    <w:rsid w:val="00A87C3F"/>
    <w:rsid w:val="00A90F45"/>
    <w:rsid w:val="00A9129F"/>
    <w:rsid w:val="00A913DC"/>
    <w:rsid w:val="00A91484"/>
    <w:rsid w:val="00A914DD"/>
    <w:rsid w:val="00A9353F"/>
    <w:rsid w:val="00A9383F"/>
    <w:rsid w:val="00A94509"/>
    <w:rsid w:val="00A96FCD"/>
    <w:rsid w:val="00A9734A"/>
    <w:rsid w:val="00A978B4"/>
    <w:rsid w:val="00A9790B"/>
    <w:rsid w:val="00AA0F9D"/>
    <w:rsid w:val="00AA1AC9"/>
    <w:rsid w:val="00AA2E1F"/>
    <w:rsid w:val="00AA3E93"/>
    <w:rsid w:val="00AA446B"/>
    <w:rsid w:val="00AA4BA7"/>
    <w:rsid w:val="00AA5191"/>
    <w:rsid w:val="00AA51EB"/>
    <w:rsid w:val="00AA55FF"/>
    <w:rsid w:val="00AA58EF"/>
    <w:rsid w:val="00AA7DB7"/>
    <w:rsid w:val="00AB099A"/>
    <w:rsid w:val="00AB0B1E"/>
    <w:rsid w:val="00AB3D3E"/>
    <w:rsid w:val="00AB4B99"/>
    <w:rsid w:val="00AB52F2"/>
    <w:rsid w:val="00AB6FE7"/>
    <w:rsid w:val="00AC08DA"/>
    <w:rsid w:val="00AC0F54"/>
    <w:rsid w:val="00AC16F4"/>
    <w:rsid w:val="00AC29D0"/>
    <w:rsid w:val="00AC36B3"/>
    <w:rsid w:val="00AC3AC8"/>
    <w:rsid w:val="00AC3E9C"/>
    <w:rsid w:val="00AC43AE"/>
    <w:rsid w:val="00AC5C8E"/>
    <w:rsid w:val="00AC74D8"/>
    <w:rsid w:val="00AC7CE4"/>
    <w:rsid w:val="00AC7E72"/>
    <w:rsid w:val="00AD0BD4"/>
    <w:rsid w:val="00AD10C5"/>
    <w:rsid w:val="00AD18D4"/>
    <w:rsid w:val="00AD33B8"/>
    <w:rsid w:val="00AD3891"/>
    <w:rsid w:val="00AD3E95"/>
    <w:rsid w:val="00AD3FB8"/>
    <w:rsid w:val="00AD5F30"/>
    <w:rsid w:val="00AD7321"/>
    <w:rsid w:val="00AE01F6"/>
    <w:rsid w:val="00AE46B0"/>
    <w:rsid w:val="00AE4AC4"/>
    <w:rsid w:val="00AE57E8"/>
    <w:rsid w:val="00AE5997"/>
    <w:rsid w:val="00AE6440"/>
    <w:rsid w:val="00AE674C"/>
    <w:rsid w:val="00AE7477"/>
    <w:rsid w:val="00AE7620"/>
    <w:rsid w:val="00AF0D28"/>
    <w:rsid w:val="00AF1465"/>
    <w:rsid w:val="00AF150B"/>
    <w:rsid w:val="00AF2ECA"/>
    <w:rsid w:val="00AF503A"/>
    <w:rsid w:val="00AF51CC"/>
    <w:rsid w:val="00AF5323"/>
    <w:rsid w:val="00AF6997"/>
    <w:rsid w:val="00AF6C4C"/>
    <w:rsid w:val="00B00BB6"/>
    <w:rsid w:val="00B01D15"/>
    <w:rsid w:val="00B01D9C"/>
    <w:rsid w:val="00B02D18"/>
    <w:rsid w:val="00B03092"/>
    <w:rsid w:val="00B0487B"/>
    <w:rsid w:val="00B0510B"/>
    <w:rsid w:val="00B05F0A"/>
    <w:rsid w:val="00B06D6E"/>
    <w:rsid w:val="00B07018"/>
    <w:rsid w:val="00B117D7"/>
    <w:rsid w:val="00B1196B"/>
    <w:rsid w:val="00B11AB7"/>
    <w:rsid w:val="00B11BBA"/>
    <w:rsid w:val="00B12671"/>
    <w:rsid w:val="00B127D1"/>
    <w:rsid w:val="00B140B4"/>
    <w:rsid w:val="00B151EC"/>
    <w:rsid w:val="00B152C4"/>
    <w:rsid w:val="00B15BEB"/>
    <w:rsid w:val="00B176AC"/>
    <w:rsid w:val="00B203DF"/>
    <w:rsid w:val="00B20A82"/>
    <w:rsid w:val="00B22128"/>
    <w:rsid w:val="00B25C01"/>
    <w:rsid w:val="00B2643A"/>
    <w:rsid w:val="00B27304"/>
    <w:rsid w:val="00B27FEA"/>
    <w:rsid w:val="00B31F8C"/>
    <w:rsid w:val="00B327E2"/>
    <w:rsid w:val="00B329B6"/>
    <w:rsid w:val="00B3372C"/>
    <w:rsid w:val="00B34757"/>
    <w:rsid w:val="00B354C1"/>
    <w:rsid w:val="00B35C02"/>
    <w:rsid w:val="00B3615F"/>
    <w:rsid w:val="00B37960"/>
    <w:rsid w:val="00B40080"/>
    <w:rsid w:val="00B40BBB"/>
    <w:rsid w:val="00B40F9C"/>
    <w:rsid w:val="00B413F2"/>
    <w:rsid w:val="00B419BB"/>
    <w:rsid w:val="00B42326"/>
    <w:rsid w:val="00B424AA"/>
    <w:rsid w:val="00B426FD"/>
    <w:rsid w:val="00B454E8"/>
    <w:rsid w:val="00B46440"/>
    <w:rsid w:val="00B468D3"/>
    <w:rsid w:val="00B501A5"/>
    <w:rsid w:val="00B51EC9"/>
    <w:rsid w:val="00B53E3B"/>
    <w:rsid w:val="00B54260"/>
    <w:rsid w:val="00B54AC9"/>
    <w:rsid w:val="00B54FD5"/>
    <w:rsid w:val="00B54FD7"/>
    <w:rsid w:val="00B55A22"/>
    <w:rsid w:val="00B55A9F"/>
    <w:rsid w:val="00B55AB8"/>
    <w:rsid w:val="00B55DEC"/>
    <w:rsid w:val="00B55F27"/>
    <w:rsid w:val="00B56B95"/>
    <w:rsid w:val="00B60696"/>
    <w:rsid w:val="00B64771"/>
    <w:rsid w:val="00B6517C"/>
    <w:rsid w:val="00B660DE"/>
    <w:rsid w:val="00B6754A"/>
    <w:rsid w:val="00B710BE"/>
    <w:rsid w:val="00B73D8D"/>
    <w:rsid w:val="00B7405C"/>
    <w:rsid w:val="00B749A7"/>
    <w:rsid w:val="00B7518B"/>
    <w:rsid w:val="00B75454"/>
    <w:rsid w:val="00B754E7"/>
    <w:rsid w:val="00B75ED7"/>
    <w:rsid w:val="00B762F6"/>
    <w:rsid w:val="00B77305"/>
    <w:rsid w:val="00B77799"/>
    <w:rsid w:val="00B77CF5"/>
    <w:rsid w:val="00B80533"/>
    <w:rsid w:val="00B80759"/>
    <w:rsid w:val="00B812FE"/>
    <w:rsid w:val="00B821C4"/>
    <w:rsid w:val="00B83275"/>
    <w:rsid w:val="00B833C2"/>
    <w:rsid w:val="00B85B60"/>
    <w:rsid w:val="00B86164"/>
    <w:rsid w:val="00B8635C"/>
    <w:rsid w:val="00B865D3"/>
    <w:rsid w:val="00B8772A"/>
    <w:rsid w:val="00B90432"/>
    <w:rsid w:val="00B91024"/>
    <w:rsid w:val="00B917CC"/>
    <w:rsid w:val="00B939D6"/>
    <w:rsid w:val="00B955A3"/>
    <w:rsid w:val="00B95A0E"/>
    <w:rsid w:val="00B96862"/>
    <w:rsid w:val="00B96889"/>
    <w:rsid w:val="00B96DDE"/>
    <w:rsid w:val="00B977D0"/>
    <w:rsid w:val="00BA0928"/>
    <w:rsid w:val="00BA11FD"/>
    <w:rsid w:val="00BA4040"/>
    <w:rsid w:val="00BA4E4C"/>
    <w:rsid w:val="00BA5776"/>
    <w:rsid w:val="00BA5AE9"/>
    <w:rsid w:val="00BA7FA1"/>
    <w:rsid w:val="00BB08F1"/>
    <w:rsid w:val="00BB0CAB"/>
    <w:rsid w:val="00BB2B0D"/>
    <w:rsid w:val="00BB3087"/>
    <w:rsid w:val="00BB3480"/>
    <w:rsid w:val="00BB43BF"/>
    <w:rsid w:val="00BB533C"/>
    <w:rsid w:val="00BB656F"/>
    <w:rsid w:val="00BB6A5A"/>
    <w:rsid w:val="00BC058C"/>
    <w:rsid w:val="00BC0B61"/>
    <w:rsid w:val="00BC2CCD"/>
    <w:rsid w:val="00BC337A"/>
    <w:rsid w:val="00BC39C9"/>
    <w:rsid w:val="00BC422E"/>
    <w:rsid w:val="00BC4E64"/>
    <w:rsid w:val="00BC50E4"/>
    <w:rsid w:val="00BC56A0"/>
    <w:rsid w:val="00BC6A3B"/>
    <w:rsid w:val="00BC7619"/>
    <w:rsid w:val="00BC79EC"/>
    <w:rsid w:val="00BC7A09"/>
    <w:rsid w:val="00BD04DA"/>
    <w:rsid w:val="00BD2A7B"/>
    <w:rsid w:val="00BD3017"/>
    <w:rsid w:val="00BD34FF"/>
    <w:rsid w:val="00BD375A"/>
    <w:rsid w:val="00BD3871"/>
    <w:rsid w:val="00BD3BC4"/>
    <w:rsid w:val="00BD4A3E"/>
    <w:rsid w:val="00BD53AA"/>
    <w:rsid w:val="00BD758D"/>
    <w:rsid w:val="00BD7F3E"/>
    <w:rsid w:val="00BE0974"/>
    <w:rsid w:val="00BE120E"/>
    <w:rsid w:val="00BE3463"/>
    <w:rsid w:val="00BE4A31"/>
    <w:rsid w:val="00BE4B3D"/>
    <w:rsid w:val="00BE4FAC"/>
    <w:rsid w:val="00BE5701"/>
    <w:rsid w:val="00BE6EDC"/>
    <w:rsid w:val="00BF14C2"/>
    <w:rsid w:val="00BF386A"/>
    <w:rsid w:val="00BF4FD2"/>
    <w:rsid w:val="00BF5ED3"/>
    <w:rsid w:val="00BF752A"/>
    <w:rsid w:val="00BF7B85"/>
    <w:rsid w:val="00C000F5"/>
    <w:rsid w:val="00C00BB6"/>
    <w:rsid w:val="00C00DC4"/>
    <w:rsid w:val="00C00E44"/>
    <w:rsid w:val="00C01C9E"/>
    <w:rsid w:val="00C03867"/>
    <w:rsid w:val="00C05E1D"/>
    <w:rsid w:val="00C06279"/>
    <w:rsid w:val="00C064C9"/>
    <w:rsid w:val="00C06F4A"/>
    <w:rsid w:val="00C06FA8"/>
    <w:rsid w:val="00C07742"/>
    <w:rsid w:val="00C1099F"/>
    <w:rsid w:val="00C117D5"/>
    <w:rsid w:val="00C147B6"/>
    <w:rsid w:val="00C14CA5"/>
    <w:rsid w:val="00C152BE"/>
    <w:rsid w:val="00C1749E"/>
    <w:rsid w:val="00C17E1B"/>
    <w:rsid w:val="00C17E78"/>
    <w:rsid w:val="00C214D9"/>
    <w:rsid w:val="00C217D0"/>
    <w:rsid w:val="00C2183A"/>
    <w:rsid w:val="00C2202C"/>
    <w:rsid w:val="00C22594"/>
    <w:rsid w:val="00C24E65"/>
    <w:rsid w:val="00C2542D"/>
    <w:rsid w:val="00C27702"/>
    <w:rsid w:val="00C27A07"/>
    <w:rsid w:val="00C316B6"/>
    <w:rsid w:val="00C31975"/>
    <w:rsid w:val="00C31EF5"/>
    <w:rsid w:val="00C321B6"/>
    <w:rsid w:val="00C32C38"/>
    <w:rsid w:val="00C35BB4"/>
    <w:rsid w:val="00C3664D"/>
    <w:rsid w:val="00C369CF"/>
    <w:rsid w:val="00C3701E"/>
    <w:rsid w:val="00C37034"/>
    <w:rsid w:val="00C40289"/>
    <w:rsid w:val="00C4090D"/>
    <w:rsid w:val="00C413B1"/>
    <w:rsid w:val="00C41483"/>
    <w:rsid w:val="00C4176A"/>
    <w:rsid w:val="00C421D4"/>
    <w:rsid w:val="00C42609"/>
    <w:rsid w:val="00C426E0"/>
    <w:rsid w:val="00C4275B"/>
    <w:rsid w:val="00C42BEF"/>
    <w:rsid w:val="00C43274"/>
    <w:rsid w:val="00C436AF"/>
    <w:rsid w:val="00C4451D"/>
    <w:rsid w:val="00C4578D"/>
    <w:rsid w:val="00C50713"/>
    <w:rsid w:val="00C515B5"/>
    <w:rsid w:val="00C52079"/>
    <w:rsid w:val="00C5304F"/>
    <w:rsid w:val="00C53CA5"/>
    <w:rsid w:val="00C56970"/>
    <w:rsid w:val="00C57549"/>
    <w:rsid w:val="00C61644"/>
    <w:rsid w:val="00C61C2C"/>
    <w:rsid w:val="00C64C67"/>
    <w:rsid w:val="00C6506F"/>
    <w:rsid w:val="00C65469"/>
    <w:rsid w:val="00C660D2"/>
    <w:rsid w:val="00C702C7"/>
    <w:rsid w:val="00C70A91"/>
    <w:rsid w:val="00C70B27"/>
    <w:rsid w:val="00C70F64"/>
    <w:rsid w:val="00C73D8F"/>
    <w:rsid w:val="00C75117"/>
    <w:rsid w:val="00C76733"/>
    <w:rsid w:val="00C769C3"/>
    <w:rsid w:val="00C76A43"/>
    <w:rsid w:val="00C77DD6"/>
    <w:rsid w:val="00C80B01"/>
    <w:rsid w:val="00C81113"/>
    <w:rsid w:val="00C81A19"/>
    <w:rsid w:val="00C81CD7"/>
    <w:rsid w:val="00C8214D"/>
    <w:rsid w:val="00C82450"/>
    <w:rsid w:val="00C83070"/>
    <w:rsid w:val="00C83E43"/>
    <w:rsid w:val="00C84F9B"/>
    <w:rsid w:val="00C853E3"/>
    <w:rsid w:val="00C85699"/>
    <w:rsid w:val="00C85B6E"/>
    <w:rsid w:val="00C85CBC"/>
    <w:rsid w:val="00C86DEB"/>
    <w:rsid w:val="00C87D39"/>
    <w:rsid w:val="00C91078"/>
    <w:rsid w:val="00C91D5B"/>
    <w:rsid w:val="00C930A0"/>
    <w:rsid w:val="00C931C3"/>
    <w:rsid w:val="00C933C7"/>
    <w:rsid w:val="00C93968"/>
    <w:rsid w:val="00C93E96"/>
    <w:rsid w:val="00C93EDA"/>
    <w:rsid w:val="00C95CE9"/>
    <w:rsid w:val="00C96C11"/>
    <w:rsid w:val="00C97744"/>
    <w:rsid w:val="00CA1A71"/>
    <w:rsid w:val="00CA29F7"/>
    <w:rsid w:val="00CA2CB7"/>
    <w:rsid w:val="00CA2E6E"/>
    <w:rsid w:val="00CA334E"/>
    <w:rsid w:val="00CA3605"/>
    <w:rsid w:val="00CA3D61"/>
    <w:rsid w:val="00CA462A"/>
    <w:rsid w:val="00CA4813"/>
    <w:rsid w:val="00CA4B38"/>
    <w:rsid w:val="00CA50B2"/>
    <w:rsid w:val="00CA576B"/>
    <w:rsid w:val="00CA5F9A"/>
    <w:rsid w:val="00CA6478"/>
    <w:rsid w:val="00CA6B4E"/>
    <w:rsid w:val="00CA6EE4"/>
    <w:rsid w:val="00CA787A"/>
    <w:rsid w:val="00CA79AC"/>
    <w:rsid w:val="00CA79CC"/>
    <w:rsid w:val="00CA7CC9"/>
    <w:rsid w:val="00CB05BC"/>
    <w:rsid w:val="00CB089A"/>
    <w:rsid w:val="00CB0EE2"/>
    <w:rsid w:val="00CB16C2"/>
    <w:rsid w:val="00CB1EDB"/>
    <w:rsid w:val="00CB4480"/>
    <w:rsid w:val="00CB4487"/>
    <w:rsid w:val="00CB4EB4"/>
    <w:rsid w:val="00CB682B"/>
    <w:rsid w:val="00CB6F95"/>
    <w:rsid w:val="00CB7846"/>
    <w:rsid w:val="00CC0C84"/>
    <w:rsid w:val="00CC29CE"/>
    <w:rsid w:val="00CC2E43"/>
    <w:rsid w:val="00CC3B13"/>
    <w:rsid w:val="00CC3C7C"/>
    <w:rsid w:val="00CC3F75"/>
    <w:rsid w:val="00CC4B79"/>
    <w:rsid w:val="00CC4DF7"/>
    <w:rsid w:val="00CC5266"/>
    <w:rsid w:val="00CC5473"/>
    <w:rsid w:val="00CC5B6A"/>
    <w:rsid w:val="00CC6635"/>
    <w:rsid w:val="00CC72CE"/>
    <w:rsid w:val="00CD04C3"/>
    <w:rsid w:val="00CD10C9"/>
    <w:rsid w:val="00CD17A4"/>
    <w:rsid w:val="00CD2400"/>
    <w:rsid w:val="00CD2AC5"/>
    <w:rsid w:val="00CD2D27"/>
    <w:rsid w:val="00CD31BB"/>
    <w:rsid w:val="00CD3A38"/>
    <w:rsid w:val="00CD3EF3"/>
    <w:rsid w:val="00CD552E"/>
    <w:rsid w:val="00CD6D0C"/>
    <w:rsid w:val="00CE010D"/>
    <w:rsid w:val="00CE0E2C"/>
    <w:rsid w:val="00CE1C8B"/>
    <w:rsid w:val="00CE1CA7"/>
    <w:rsid w:val="00CE2B74"/>
    <w:rsid w:val="00CE3E54"/>
    <w:rsid w:val="00CE3FDB"/>
    <w:rsid w:val="00CE513F"/>
    <w:rsid w:val="00CE5643"/>
    <w:rsid w:val="00CE5D38"/>
    <w:rsid w:val="00CE5FD7"/>
    <w:rsid w:val="00CF006E"/>
    <w:rsid w:val="00CF073B"/>
    <w:rsid w:val="00CF0982"/>
    <w:rsid w:val="00CF237C"/>
    <w:rsid w:val="00CF279B"/>
    <w:rsid w:val="00CF32B2"/>
    <w:rsid w:val="00CF3331"/>
    <w:rsid w:val="00CF3E19"/>
    <w:rsid w:val="00CF4A83"/>
    <w:rsid w:val="00CF5D3D"/>
    <w:rsid w:val="00CF65A6"/>
    <w:rsid w:val="00CF7B7C"/>
    <w:rsid w:val="00D00797"/>
    <w:rsid w:val="00D028F4"/>
    <w:rsid w:val="00D02F40"/>
    <w:rsid w:val="00D03EE8"/>
    <w:rsid w:val="00D03EEA"/>
    <w:rsid w:val="00D04320"/>
    <w:rsid w:val="00D04FBA"/>
    <w:rsid w:val="00D05273"/>
    <w:rsid w:val="00D06E83"/>
    <w:rsid w:val="00D10363"/>
    <w:rsid w:val="00D11920"/>
    <w:rsid w:val="00D132E5"/>
    <w:rsid w:val="00D13556"/>
    <w:rsid w:val="00D140A0"/>
    <w:rsid w:val="00D14BC2"/>
    <w:rsid w:val="00D15D4D"/>
    <w:rsid w:val="00D16F43"/>
    <w:rsid w:val="00D1723A"/>
    <w:rsid w:val="00D1743B"/>
    <w:rsid w:val="00D2091D"/>
    <w:rsid w:val="00D21F7A"/>
    <w:rsid w:val="00D2283A"/>
    <w:rsid w:val="00D22BB4"/>
    <w:rsid w:val="00D23A68"/>
    <w:rsid w:val="00D241D9"/>
    <w:rsid w:val="00D24768"/>
    <w:rsid w:val="00D252D8"/>
    <w:rsid w:val="00D25B3D"/>
    <w:rsid w:val="00D261F4"/>
    <w:rsid w:val="00D26D8D"/>
    <w:rsid w:val="00D27EEF"/>
    <w:rsid w:val="00D3085D"/>
    <w:rsid w:val="00D31283"/>
    <w:rsid w:val="00D319AC"/>
    <w:rsid w:val="00D31CAB"/>
    <w:rsid w:val="00D32FB5"/>
    <w:rsid w:val="00D332C0"/>
    <w:rsid w:val="00D35403"/>
    <w:rsid w:val="00D36A32"/>
    <w:rsid w:val="00D40A88"/>
    <w:rsid w:val="00D40EFE"/>
    <w:rsid w:val="00D40F9B"/>
    <w:rsid w:val="00D41BB4"/>
    <w:rsid w:val="00D423C7"/>
    <w:rsid w:val="00D4279B"/>
    <w:rsid w:val="00D42A90"/>
    <w:rsid w:val="00D43D0B"/>
    <w:rsid w:val="00D446CE"/>
    <w:rsid w:val="00D448D4"/>
    <w:rsid w:val="00D4708E"/>
    <w:rsid w:val="00D47717"/>
    <w:rsid w:val="00D47F84"/>
    <w:rsid w:val="00D50B26"/>
    <w:rsid w:val="00D51258"/>
    <w:rsid w:val="00D51463"/>
    <w:rsid w:val="00D52C23"/>
    <w:rsid w:val="00D53C44"/>
    <w:rsid w:val="00D5479D"/>
    <w:rsid w:val="00D5555D"/>
    <w:rsid w:val="00D571B4"/>
    <w:rsid w:val="00D60483"/>
    <w:rsid w:val="00D60F4E"/>
    <w:rsid w:val="00D61A79"/>
    <w:rsid w:val="00D61AB1"/>
    <w:rsid w:val="00D62044"/>
    <w:rsid w:val="00D621F5"/>
    <w:rsid w:val="00D6242E"/>
    <w:rsid w:val="00D625BF"/>
    <w:rsid w:val="00D625F0"/>
    <w:rsid w:val="00D62932"/>
    <w:rsid w:val="00D62B6C"/>
    <w:rsid w:val="00D62BB3"/>
    <w:rsid w:val="00D646B4"/>
    <w:rsid w:val="00D653D2"/>
    <w:rsid w:val="00D6632B"/>
    <w:rsid w:val="00D66D03"/>
    <w:rsid w:val="00D67A00"/>
    <w:rsid w:val="00D67F89"/>
    <w:rsid w:val="00D721AC"/>
    <w:rsid w:val="00D7222D"/>
    <w:rsid w:val="00D7224C"/>
    <w:rsid w:val="00D72CDE"/>
    <w:rsid w:val="00D739CF"/>
    <w:rsid w:val="00D73ACD"/>
    <w:rsid w:val="00D73BA6"/>
    <w:rsid w:val="00D74829"/>
    <w:rsid w:val="00D74FBF"/>
    <w:rsid w:val="00D75169"/>
    <w:rsid w:val="00D759AA"/>
    <w:rsid w:val="00D77534"/>
    <w:rsid w:val="00D8029F"/>
    <w:rsid w:val="00D81A10"/>
    <w:rsid w:val="00D81A72"/>
    <w:rsid w:val="00D8436E"/>
    <w:rsid w:val="00D84DD5"/>
    <w:rsid w:val="00D85566"/>
    <w:rsid w:val="00D857D0"/>
    <w:rsid w:val="00D86232"/>
    <w:rsid w:val="00D87DBD"/>
    <w:rsid w:val="00D90B32"/>
    <w:rsid w:val="00D92156"/>
    <w:rsid w:val="00D926AD"/>
    <w:rsid w:val="00D92AAC"/>
    <w:rsid w:val="00D92EB1"/>
    <w:rsid w:val="00D93497"/>
    <w:rsid w:val="00D93828"/>
    <w:rsid w:val="00D94472"/>
    <w:rsid w:val="00D954AA"/>
    <w:rsid w:val="00D9564B"/>
    <w:rsid w:val="00D9740E"/>
    <w:rsid w:val="00D977FD"/>
    <w:rsid w:val="00DA1A0C"/>
    <w:rsid w:val="00DA27AF"/>
    <w:rsid w:val="00DA312A"/>
    <w:rsid w:val="00DA39F4"/>
    <w:rsid w:val="00DA3C52"/>
    <w:rsid w:val="00DA4B5C"/>
    <w:rsid w:val="00DA4C9D"/>
    <w:rsid w:val="00DA50B5"/>
    <w:rsid w:val="00DA6107"/>
    <w:rsid w:val="00DA6676"/>
    <w:rsid w:val="00DA6DF5"/>
    <w:rsid w:val="00DA7362"/>
    <w:rsid w:val="00DB1026"/>
    <w:rsid w:val="00DB14D5"/>
    <w:rsid w:val="00DB1E3F"/>
    <w:rsid w:val="00DB2199"/>
    <w:rsid w:val="00DB2997"/>
    <w:rsid w:val="00DB3129"/>
    <w:rsid w:val="00DB4D06"/>
    <w:rsid w:val="00DB5811"/>
    <w:rsid w:val="00DB6084"/>
    <w:rsid w:val="00DB6666"/>
    <w:rsid w:val="00DB7AE1"/>
    <w:rsid w:val="00DC18EA"/>
    <w:rsid w:val="00DC4C74"/>
    <w:rsid w:val="00DC4F9C"/>
    <w:rsid w:val="00DC5084"/>
    <w:rsid w:val="00DC508F"/>
    <w:rsid w:val="00DC6013"/>
    <w:rsid w:val="00DC7FBB"/>
    <w:rsid w:val="00DD0E60"/>
    <w:rsid w:val="00DD10E1"/>
    <w:rsid w:val="00DD16CC"/>
    <w:rsid w:val="00DD3236"/>
    <w:rsid w:val="00DD3D1B"/>
    <w:rsid w:val="00DD4502"/>
    <w:rsid w:val="00DD478B"/>
    <w:rsid w:val="00DD58FC"/>
    <w:rsid w:val="00DD591C"/>
    <w:rsid w:val="00DD7A01"/>
    <w:rsid w:val="00DE0181"/>
    <w:rsid w:val="00DE236C"/>
    <w:rsid w:val="00DE297E"/>
    <w:rsid w:val="00DE349B"/>
    <w:rsid w:val="00DE44D1"/>
    <w:rsid w:val="00DE53DE"/>
    <w:rsid w:val="00DE7AA4"/>
    <w:rsid w:val="00DF09DE"/>
    <w:rsid w:val="00DF25CB"/>
    <w:rsid w:val="00DF2BEC"/>
    <w:rsid w:val="00DF31D3"/>
    <w:rsid w:val="00DF3D01"/>
    <w:rsid w:val="00DF54AE"/>
    <w:rsid w:val="00DF55D2"/>
    <w:rsid w:val="00DF61A1"/>
    <w:rsid w:val="00DF6BB9"/>
    <w:rsid w:val="00E00333"/>
    <w:rsid w:val="00E01311"/>
    <w:rsid w:val="00E01FFD"/>
    <w:rsid w:val="00E02499"/>
    <w:rsid w:val="00E03B06"/>
    <w:rsid w:val="00E03EEB"/>
    <w:rsid w:val="00E04BE2"/>
    <w:rsid w:val="00E04F6E"/>
    <w:rsid w:val="00E050C3"/>
    <w:rsid w:val="00E0550A"/>
    <w:rsid w:val="00E06E72"/>
    <w:rsid w:val="00E07A86"/>
    <w:rsid w:val="00E101FE"/>
    <w:rsid w:val="00E1070B"/>
    <w:rsid w:val="00E11A0B"/>
    <w:rsid w:val="00E11A2B"/>
    <w:rsid w:val="00E11A6B"/>
    <w:rsid w:val="00E13DE3"/>
    <w:rsid w:val="00E143D8"/>
    <w:rsid w:val="00E158AA"/>
    <w:rsid w:val="00E15D1C"/>
    <w:rsid w:val="00E1694A"/>
    <w:rsid w:val="00E169F7"/>
    <w:rsid w:val="00E17811"/>
    <w:rsid w:val="00E20306"/>
    <w:rsid w:val="00E2098A"/>
    <w:rsid w:val="00E20FBE"/>
    <w:rsid w:val="00E21988"/>
    <w:rsid w:val="00E22376"/>
    <w:rsid w:val="00E22B7D"/>
    <w:rsid w:val="00E248E4"/>
    <w:rsid w:val="00E24E73"/>
    <w:rsid w:val="00E27ECA"/>
    <w:rsid w:val="00E30707"/>
    <w:rsid w:val="00E30CA3"/>
    <w:rsid w:val="00E3117D"/>
    <w:rsid w:val="00E3294E"/>
    <w:rsid w:val="00E330DC"/>
    <w:rsid w:val="00E334D5"/>
    <w:rsid w:val="00E34005"/>
    <w:rsid w:val="00E36326"/>
    <w:rsid w:val="00E36FEA"/>
    <w:rsid w:val="00E4222F"/>
    <w:rsid w:val="00E42727"/>
    <w:rsid w:val="00E43A71"/>
    <w:rsid w:val="00E44707"/>
    <w:rsid w:val="00E456EE"/>
    <w:rsid w:val="00E46A61"/>
    <w:rsid w:val="00E47130"/>
    <w:rsid w:val="00E47880"/>
    <w:rsid w:val="00E50785"/>
    <w:rsid w:val="00E50AA6"/>
    <w:rsid w:val="00E511A7"/>
    <w:rsid w:val="00E51269"/>
    <w:rsid w:val="00E51397"/>
    <w:rsid w:val="00E5143E"/>
    <w:rsid w:val="00E51595"/>
    <w:rsid w:val="00E51D90"/>
    <w:rsid w:val="00E52867"/>
    <w:rsid w:val="00E52C80"/>
    <w:rsid w:val="00E544DC"/>
    <w:rsid w:val="00E5465E"/>
    <w:rsid w:val="00E559B7"/>
    <w:rsid w:val="00E55A12"/>
    <w:rsid w:val="00E55FF3"/>
    <w:rsid w:val="00E56926"/>
    <w:rsid w:val="00E570B5"/>
    <w:rsid w:val="00E62F3C"/>
    <w:rsid w:val="00E632A6"/>
    <w:rsid w:val="00E63A57"/>
    <w:rsid w:val="00E63B97"/>
    <w:rsid w:val="00E63D93"/>
    <w:rsid w:val="00E65061"/>
    <w:rsid w:val="00E65704"/>
    <w:rsid w:val="00E65A4F"/>
    <w:rsid w:val="00E65D88"/>
    <w:rsid w:val="00E669A5"/>
    <w:rsid w:val="00E670A2"/>
    <w:rsid w:val="00E71BFF"/>
    <w:rsid w:val="00E725F5"/>
    <w:rsid w:val="00E72A23"/>
    <w:rsid w:val="00E7393C"/>
    <w:rsid w:val="00E75D4F"/>
    <w:rsid w:val="00E77EDD"/>
    <w:rsid w:val="00E77F4A"/>
    <w:rsid w:val="00E811E5"/>
    <w:rsid w:val="00E81B62"/>
    <w:rsid w:val="00E8208E"/>
    <w:rsid w:val="00E823E8"/>
    <w:rsid w:val="00E824EB"/>
    <w:rsid w:val="00E83801"/>
    <w:rsid w:val="00E85C5F"/>
    <w:rsid w:val="00E85F51"/>
    <w:rsid w:val="00E863CC"/>
    <w:rsid w:val="00E86DF7"/>
    <w:rsid w:val="00E91C7E"/>
    <w:rsid w:val="00E92948"/>
    <w:rsid w:val="00E9346D"/>
    <w:rsid w:val="00E957AA"/>
    <w:rsid w:val="00E95E7E"/>
    <w:rsid w:val="00E96144"/>
    <w:rsid w:val="00E96420"/>
    <w:rsid w:val="00EA010B"/>
    <w:rsid w:val="00EA0DB4"/>
    <w:rsid w:val="00EA10F1"/>
    <w:rsid w:val="00EA1210"/>
    <w:rsid w:val="00EA27D3"/>
    <w:rsid w:val="00EA3A4D"/>
    <w:rsid w:val="00EA4137"/>
    <w:rsid w:val="00EA42D6"/>
    <w:rsid w:val="00EA7EC6"/>
    <w:rsid w:val="00EB08D2"/>
    <w:rsid w:val="00EB26B0"/>
    <w:rsid w:val="00EB3260"/>
    <w:rsid w:val="00EB3DD4"/>
    <w:rsid w:val="00EB3EF7"/>
    <w:rsid w:val="00EB429F"/>
    <w:rsid w:val="00EB63DD"/>
    <w:rsid w:val="00EB7827"/>
    <w:rsid w:val="00EC0631"/>
    <w:rsid w:val="00EC09D7"/>
    <w:rsid w:val="00EC2D32"/>
    <w:rsid w:val="00EC341B"/>
    <w:rsid w:val="00EC7658"/>
    <w:rsid w:val="00EC7941"/>
    <w:rsid w:val="00EC7D88"/>
    <w:rsid w:val="00ED0860"/>
    <w:rsid w:val="00ED099D"/>
    <w:rsid w:val="00ED0EDA"/>
    <w:rsid w:val="00ED2C8C"/>
    <w:rsid w:val="00ED35B1"/>
    <w:rsid w:val="00ED3E4B"/>
    <w:rsid w:val="00ED4FEB"/>
    <w:rsid w:val="00ED5099"/>
    <w:rsid w:val="00ED73D8"/>
    <w:rsid w:val="00EE06AD"/>
    <w:rsid w:val="00EE1B6D"/>
    <w:rsid w:val="00EE2218"/>
    <w:rsid w:val="00EE60CE"/>
    <w:rsid w:val="00EE634B"/>
    <w:rsid w:val="00EE69E4"/>
    <w:rsid w:val="00EE750A"/>
    <w:rsid w:val="00EE7A18"/>
    <w:rsid w:val="00EF0ACC"/>
    <w:rsid w:val="00EF218E"/>
    <w:rsid w:val="00EF2AD1"/>
    <w:rsid w:val="00EF34E4"/>
    <w:rsid w:val="00EF5449"/>
    <w:rsid w:val="00EF569B"/>
    <w:rsid w:val="00EF57D6"/>
    <w:rsid w:val="00EF698B"/>
    <w:rsid w:val="00EF6AE0"/>
    <w:rsid w:val="00EF76B2"/>
    <w:rsid w:val="00F00127"/>
    <w:rsid w:val="00F01548"/>
    <w:rsid w:val="00F04698"/>
    <w:rsid w:val="00F04F49"/>
    <w:rsid w:val="00F04FB9"/>
    <w:rsid w:val="00F06441"/>
    <w:rsid w:val="00F06E39"/>
    <w:rsid w:val="00F06EB6"/>
    <w:rsid w:val="00F07C1B"/>
    <w:rsid w:val="00F07C51"/>
    <w:rsid w:val="00F10F5B"/>
    <w:rsid w:val="00F120FA"/>
    <w:rsid w:val="00F12AEF"/>
    <w:rsid w:val="00F14B61"/>
    <w:rsid w:val="00F14BAA"/>
    <w:rsid w:val="00F15CCD"/>
    <w:rsid w:val="00F16ECC"/>
    <w:rsid w:val="00F20541"/>
    <w:rsid w:val="00F21469"/>
    <w:rsid w:val="00F21FEF"/>
    <w:rsid w:val="00F2247A"/>
    <w:rsid w:val="00F2431F"/>
    <w:rsid w:val="00F24476"/>
    <w:rsid w:val="00F27988"/>
    <w:rsid w:val="00F301FE"/>
    <w:rsid w:val="00F30DCD"/>
    <w:rsid w:val="00F30EBF"/>
    <w:rsid w:val="00F314E5"/>
    <w:rsid w:val="00F32300"/>
    <w:rsid w:val="00F32C3C"/>
    <w:rsid w:val="00F32F44"/>
    <w:rsid w:val="00F3335D"/>
    <w:rsid w:val="00F333D6"/>
    <w:rsid w:val="00F3493B"/>
    <w:rsid w:val="00F34BDA"/>
    <w:rsid w:val="00F36333"/>
    <w:rsid w:val="00F364B8"/>
    <w:rsid w:val="00F36A73"/>
    <w:rsid w:val="00F36E4F"/>
    <w:rsid w:val="00F37BD1"/>
    <w:rsid w:val="00F37BEA"/>
    <w:rsid w:val="00F37FC1"/>
    <w:rsid w:val="00F41C73"/>
    <w:rsid w:val="00F43977"/>
    <w:rsid w:val="00F46BB4"/>
    <w:rsid w:val="00F470C6"/>
    <w:rsid w:val="00F5070C"/>
    <w:rsid w:val="00F51AB8"/>
    <w:rsid w:val="00F52100"/>
    <w:rsid w:val="00F52FA3"/>
    <w:rsid w:val="00F53032"/>
    <w:rsid w:val="00F53632"/>
    <w:rsid w:val="00F53A05"/>
    <w:rsid w:val="00F53F79"/>
    <w:rsid w:val="00F55D7D"/>
    <w:rsid w:val="00F567ED"/>
    <w:rsid w:val="00F56C23"/>
    <w:rsid w:val="00F570CD"/>
    <w:rsid w:val="00F57956"/>
    <w:rsid w:val="00F61EFC"/>
    <w:rsid w:val="00F62322"/>
    <w:rsid w:val="00F62E7A"/>
    <w:rsid w:val="00F63EAB"/>
    <w:rsid w:val="00F64449"/>
    <w:rsid w:val="00F653AF"/>
    <w:rsid w:val="00F675CC"/>
    <w:rsid w:val="00F70F97"/>
    <w:rsid w:val="00F7156F"/>
    <w:rsid w:val="00F71AC7"/>
    <w:rsid w:val="00F75311"/>
    <w:rsid w:val="00F768C1"/>
    <w:rsid w:val="00F77825"/>
    <w:rsid w:val="00F81375"/>
    <w:rsid w:val="00F8176E"/>
    <w:rsid w:val="00F82817"/>
    <w:rsid w:val="00F82B2C"/>
    <w:rsid w:val="00F8371A"/>
    <w:rsid w:val="00F85169"/>
    <w:rsid w:val="00F852A3"/>
    <w:rsid w:val="00F85433"/>
    <w:rsid w:val="00F85AE6"/>
    <w:rsid w:val="00F87597"/>
    <w:rsid w:val="00F9173B"/>
    <w:rsid w:val="00F930E9"/>
    <w:rsid w:val="00F94BA7"/>
    <w:rsid w:val="00F955A5"/>
    <w:rsid w:val="00F96E70"/>
    <w:rsid w:val="00F974AB"/>
    <w:rsid w:val="00FA0621"/>
    <w:rsid w:val="00FA0D36"/>
    <w:rsid w:val="00FA0F0A"/>
    <w:rsid w:val="00FA1CA8"/>
    <w:rsid w:val="00FA31BE"/>
    <w:rsid w:val="00FA3DA6"/>
    <w:rsid w:val="00FA4CA3"/>
    <w:rsid w:val="00FA5F20"/>
    <w:rsid w:val="00FA7D6D"/>
    <w:rsid w:val="00FA7DDF"/>
    <w:rsid w:val="00FB2732"/>
    <w:rsid w:val="00FB27B0"/>
    <w:rsid w:val="00FB2FEF"/>
    <w:rsid w:val="00FC22BC"/>
    <w:rsid w:val="00FC3749"/>
    <w:rsid w:val="00FC3938"/>
    <w:rsid w:val="00FC42BC"/>
    <w:rsid w:val="00FC52B1"/>
    <w:rsid w:val="00FC53FF"/>
    <w:rsid w:val="00FC57A9"/>
    <w:rsid w:val="00FC5F01"/>
    <w:rsid w:val="00FC69B6"/>
    <w:rsid w:val="00FC79DC"/>
    <w:rsid w:val="00FC7F06"/>
    <w:rsid w:val="00FD1CD3"/>
    <w:rsid w:val="00FD2372"/>
    <w:rsid w:val="00FD3500"/>
    <w:rsid w:val="00FD4062"/>
    <w:rsid w:val="00FD4660"/>
    <w:rsid w:val="00FD4BD5"/>
    <w:rsid w:val="00FD4D38"/>
    <w:rsid w:val="00FD586B"/>
    <w:rsid w:val="00FD5DBE"/>
    <w:rsid w:val="00FD6769"/>
    <w:rsid w:val="00FE0B71"/>
    <w:rsid w:val="00FE1C2E"/>
    <w:rsid w:val="00FE1EFB"/>
    <w:rsid w:val="00FE4CBC"/>
    <w:rsid w:val="00FE4D8E"/>
    <w:rsid w:val="00FE518D"/>
    <w:rsid w:val="00FE5A7C"/>
    <w:rsid w:val="00FE632E"/>
    <w:rsid w:val="00FE6C20"/>
    <w:rsid w:val="00FE6E51"/>
    <w:rsid w:val="00FE720C"/>
    <w:rsid w:val="00FE7E85"/>
    <w:rsid w:val="00FF0493"/>
    <w:rsid w:val="00FF3014"/>
    <w:rsid w:val="00FF3343"/>
    <w:rsid w:val="00FF4503"/>
    <w:rsid w:val="00FF7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81709D2-0911-43D7-82BE-EFCC853D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128"/>
    <w:rPr>
      <w:sz w:val="22"/>
      <w:szCs w:val="22"/>
    </w:rPr>
  </w:style>
  <w:style w:type="paragraph" w:styleId="Heading1">
    <w:name w:val="heading 1"/>
    <w:basedOn w:val="Normal"/>
    <w:next w:val="Normal"/>
    <w:link w:val="Heading1Char"/>
    <w:uiPriority w:val="9"/>
    <w:qFormat/>
    <w:rsid w:val="00DA39F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5128"/>
    <w:pPr>
      <w:tabs>
        <w:tab w:val="center" w:pos="4320"/>
        <w:tab w:val="right" w:pos="8640"/>
      </w:tabs>
    </w:pPr>
    <w:rPr>
      <w:rFonts w:eastAsia="Times New Roman"/>
    </w:rPr>
  </w:style>
  <w:style w:type="character" w:customStyle="1" w:styleId="HeaderChar">
    <w:name w:val="Header Char"/>
    <w:link w:val="Header"/>
    <w:uiPriority w:val="99"/>
    <w:rsid w:val="00305128"/>
    <w:rPr>
      <w:rFonts w:eastAsia="Times New Roman"/>
      <w:szCs w:val="22"/>
    </w:rPr>
  </w:style>
  <w:style w:type="paragraph" w:styleId="Footer">
    <w:name w:val="footer"/>
    <w:basedOn w:val="Normal"/>
    <w:link w:val="FooterChar"/>
    <w:uiPriority w:val="99"/>
    <w:rsid w:val="00305128"/>
    <w:pPr>
      <w:tabs>
        <w:tab w:val="center" w:pos="4320"/>
        <w:tab w:val="right" w:pos="8640"/>
      </w:tabs>
    </w:pPr>
    <w:rPr>
      <w:rFonts w:eastAsia="Times New Roman"/>
    </w:rPr>
  </w:style>
  <w:style w:type="character" w:customStyle="1" w:styleId="FooterChar">
    <w:name w:val="Footer Char"/>
    <w:link w:val="Footer"/>
    <w:uiPriority w:val="99"/>
    <w:rsid w:val="00305128"/>
    <w:rPr>
      <w:rFonts w:eastAsia="Times New Roman"/>
      <w:szCs w:val="22"/>
    </w:rPr>
  </w:style>
  <w:style w:type="character" w:styleId="Hyperlink">
    <w:name w:val="Hyperlink"/>
    <w:uiPriority w:val="99"/>
    <w:rsid w:val="00305128"/>
    <w:rPr>
      <w:color w:val="0000FF"/>
      <w:u w:val="single"/>
    </w:rPr>
  </w:style>
  <w:style w:type="paragraph" w:customStyle="1" w:styleId="Level1">
    <w:name w:val="Level 1"/>
    <w:basedOn w:val="Normal"/>
    <w:rsid w:val="00305128"/>
    <w:pPr>
      <w:widowControl w:val="0"/>
    </w:pPr>
    <w:rPr>
      <w:rFonts w:eastAsia="Times New Roman"/>
    </w:rPr>
  </w:style>
  <w:style w:type="paragraph" w:customStyle="1" w:styleId="Level2">
    <w:name w:val="Level 2"/>
    <w:basedOn w:val="Normal"/>
    <w:rsid w:val="00305128"/>
    <w:pPr>
      <w:widowControl w:val="0"/>
    </w:pPr>
    <w:rPr>
      <w:rFonts w:eastAsia="Times New Roman"/>
    </w:rPr>
  </w:style>
  <w:style w:type="paragraph" w:customStyle="1" w:styleId="Level3">
    <w:name w:val="Level 3"/>
    <w:basedOn w:val="Normal"/>
    <w:rsid w:val="00305128"/>
    <w:pPr>
      <w:widowControl w:val="0"/>
    </w:pPr>
    <w:rPr>
      <w:rFonts w:eastAsia="Times New Roman"/>
    </w:rPr>
  </w:style>
  <w:style w:type="paragraph" w:customStyle="1" w:styleId="Level4">
    <w:name w:val="Level 4"/>
    <w:basedOn w:val="Normal"/>
    <w:rsid w:val="00305128"/>
    <w:pPr>
      <w:widowControl w:val="0"/>
    </w:pPr>
    <w:rPr>
      <w:rFonts w:eastAsia="Times New Roman"/>
    </w:rPr>
  </w:style>
  <w:style w:type="paragraph" w:customStyle="1" w:styleId="Level5">
    <w:name w:val="Level 5"/>
    <w:basedOn w:val="Normal"/>
    <w:rsid w:val="00305128"/>
    <w:pPr>
      <w:widowControl w:val="0"/>
    </w:pPr>
    <w:rPr>
      <w:rFonts w:eastAsia="Times New Roman"/>
    </w:rPr>
  </w:style>
  <w:style w:type="paragraph" w:customStyle="1" w:styleId="Level6">
    <w:name w:val="Level 6"/>
    <w:basedOn w:val="Normal"/>
    <w:rsid w:val="00305128"/>
    <w:pPr>
      <w:widowControl w:val="0"/>
    </w:pPr>
    <w:rPr>
      <w:rFonts w:eastAsia="Times New Roman"/>
    </w:rPr>
  </w:style>
  <w:style w:type="paragraph" w:customStyle="1" w:styleId="Level7">
    <w:name w:val="Level 7"/>
    <w:basedOn w:val="Normal"/>
    <w:rsid w:val="00305128"/>
    <w:pPr>
      <w:widowControl w:val="0"/>
    </w:pPr>
    <w:rPr>
      <w:rFonts w:eastAsia="Times New Roman"/>
    </w:rPr>
  </w:style>
  <w:style w:type="paragraph" w:customStyle="1" w:styleId="Level8">
    <w:name w:val="Level 8"/>
    <w:basedOn w:val="Normal"/>
    <w:rsid w:val="00305128"/>
    <w:pPr>
      <w:widowControl w:val="0"/>
    </w:pPr>
    <w:rPr>
      <w:rFonts w:eastAsia="Times New Roman"/>
    </w:rPr>
  </w:style>
  <w:style w:type="paragraph" w:customStyle="1" w:styleId="Level9">
    <w:name w:val="Level 9"/>
    <w:basedOn w:val="Normal"/>
    <w:rsid w:val="00305128"/>
    <w:pPr>
      <w:widowControl w:val="0"/>
    </w:pPr>
    <w:rPr>
      <w:rFonts w:eastAsia="Times New Roman"/>
      <w:b/>
    </w:rPr>
  </w:style>
  <w:style w:type="paragraph" w:customStyle="1" w:styleId="26">
    <w:name w:val="_26"/>
    <w:basedOn w:val="Normal"/>
    <w:rsid w:val="00305128"/>
    <w:pPr>
      <w:widowControl w:val="0"/>
    </w:pPr>
    <w:rPr>
      <w:rFonts w:eastAsia="Times New Roman"/>
    </w:rPr>
  </w:style>
  <w:style w:type="paragraph" w:customStyle="1" w:styleId="25">
    <w:name w:val="_25"/>
    <w:basedOn w:val="Normal"/>
    <w:rsid w:val="0030512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eastAsia="Times New Roman"/>
    </w:rPr>
  </w:style>
  <w:style w:type="paragraph" w:customStyle="1" w:styleId="24">
    <w:name w:val="_24"/>
    <w:basedOn w:val="Normal"/>
    <w:rsid w:val="00305128"/>
    <w:pPr>
      <w:widowControl w:val="0"/>
      <w:tabs>
        <w:tab w:val="left" w:pos="2160"/>
        <w:tab w:val="left" w:pos="2880"/>
        <w:tab w:val="left" w:pos="3600"/>
        <w:tab w:val="left" w:pos="4320"/>
        <w:tab w:val="left" w:pos="5040"/>
        <w:tab w:val="left" w:pos="5760"/>
        <w:tab w:val="left" w:pos="6480"/>
        <w:tab w:val="left" w:pos="7200"/>
        <w:tab w:val="left" w:pos="7920"/>
      </w:tabs>
      <w:ind w:left="2160"/>
    </w:pPr>
    <w:rPr>
      <w:rFonts w:eastAsia="Times New Roman"/>
    </w:rPr>
  </w:style>
  <w:style w:type="paragraph" w:customStyle="1" w:styleId="23">
    <w:name w:val="_23"/>
    <w:basedOn w:val="Normal"/>
    <w:rsid w:val="00305128"/>
    <w:pPr>
      <w:widowControl w:val="0"/>
      <w:tabs>
        <w:tab w:val="left" w:pos="2880"/>
        <w:tab w:val="left" w:pos="3600"/>
        <w:tab w:val="left" w:pos="4320"/>
        <w:tab w:val="left" w:pos="5040"/>
        <w:tab w:val="left" w:pos="5760"/>
        <w:tab w:val="left" w:pos="6480"/>
        <w:tab w:val="left" w:pos="7200"/>
        <w:tab w:val="left" w:pos="7920"/>
      </w:tabs>
      <w:ind w:left="2880"/>
    </w:pPr>
    <w:rPr>
      <w:rFonts w:eastAsia="Times New Roman"/>
    </w:rPr>
  </w:style>
  <w:style w:type="paragraph" w:customStyle="1" w:styleId="22">
    <w:name w:val="_22"/>
    <w:basedOn w:val="Normal"/>
    <w:rsid w:val="00305128"/>
    <w:pPr>
      <w:widowControl w:val="0"/>
      <w:tabs>
        <w:tab w:val="left" w:pos="3600"/>
        <w:tab w:val="left" w:pos="4320"/>
        <w:tab w:val="left" w:pos="5040"/>
        <w:tab w:val="left" w:pos="5760"/>
        <w:tab w:val="left" w:pos="6480"/>
        <w:tab w:val="left" w:pos="7200"/>
        <w:tab w:val="left" w:pos="7920"/>
      </w:tabs>
      <w:ind w:left="3600"/>
    </w:pPr>
    <w:rPr>
      <w:rFonts w:eastAsia="Times New Roman"/>
    </w:rPr>
  </w:style>
  <w:style w:type="paragraph" w:customStyle="1" w:styleId="21">
    <w:name w:val="_21"/>
    <w:basedOn w:val="Normal"/>
    <w:rsid w:val="00305128"/>
    <w:pPr>
      <w:widowControl w:val="0"/>
      <w:tabs>
        <w:tab w:val="left" w:pos="4320"/>
        <w:tab w:val="left" w:pos="5040"/>
        <w:tab w:val="left" w:pos="5760"/>
        <w:tab w:val="left" w:pos="6480"/>
        <w:tab w:val="left" w:pos="7200"/>
        <w:tab w:val="left" w:pos="7920"/>
      </w:tabs>
      <w:ind w:left="4320"/>
    </w:pPr>
    <w:rPr>
      <w:rFonts w:eastAsia="Times New Roman"/>
    </w:rPr>
  </w:style>
  <w:style w:type="paragraph" w:customStyle="1" w:styleId="20">
    <w:name w:val="_20"/>
    <w:basedOn w:val="Normal"/>
    <w:rsid w:val="00305128"/>
    <w:pPr>
      <w:widowControl w:val="0"/>
      <w:tabs>
        <w:tab w:val="left" w:pos="5040"/>
        <w:tab w:val="left" w:pos="5760"/>
        <w:tab w:val="left" w:pos="6480"/>
        <w:tab w:val="left" w:pos="7200"/>
        <w:tab w:val="left" w:pos="7920"/>
      </w:tabs>
      <w:ind w:left="5040"/>
    </w:pPr>
    <w:rPr>
      <w:rFonts w:eastAsia="Times New Roman"/>
    </w:rPr>
  </w:style>
  <w:style w:type="paragraph" w:customStyle="1" w:styleId="19">
    <w:name w:val="_19"/>
    <w:basedOn w:val="Normal"/>
    <w:rsid w:val="00305128"/>
    <w:pPr>
      <w:widowControl w:val="0"/>
      <w:tabs>
        <w:tab w:val="left" w:pos="5760"/>
        <w:tab w:val="left" w:pos="6480"/>
        <w:tab w:val="left" w:pos="7200"/>
        <w:tab w:val="left" w:pos="7920"/>
      </w:tabs>
      <w:ind w:left="5760"/>
    </w:pPr>
    <w:rPr>
      <w:rFonts w:eastAsia="Times New Roman"/>
    </w:rPr>
  </w:style>
  <w:style w:type="paragraph" w:customStyle="1" w:styleId="18">
    <w:name w:val="_18"/>
    <w:basedOn w:val="Normal"/>
    <w:rsid w:val="00305128"/>
    <w:pPr>
      <w:widowControl w:val="0"/>
      <w:tabs>
        <w:tab w:val="left" w:pos="6480"/>
        <w:tab w:val="left" w:pos="7200"/>
        <w:tab w:val="left" w:pos="7920"/>
      </w:tabs>
      <w:ind w:left="6480"/>
    </w:pPr>
    <w:rPr>
      <w:rFonts w:eastAsia="Times New Roman"/>
    </w:rPr>
  </w:style>
  <w:style w:type="paragraph" w:customStyle="1" w:styleId="17">
    <w:name w:val="_17"/>
    <w:basedOn w:val="Normal"/>
    <w:rsid w:val="003051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eastAsia="Times New Roman"/>
    </w:rPr>
  </w:style>
  <w:style w:type="paragraph" w:customStyle="1" w:styleId="16">
    <w:name w:val="_16"/>
    <w:basedOn w:val="Normal"/>
    <w:rsid w:val="0030512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eastAsia="Times New Roman"/>
    </w:rPr>
  </w:style>
  <w:style w:type="paragraph" w:customStyle="1" w:styleId="15">
    <w:name w:val="_15"/>
    <w:basedOn w:val="Normal"/>
    <w:rsid w:val="00305128"/>
    <w:pPr>
      <w:widowControl w:val="0"/>
      <w:tabs>
        <w:tab w:val="left" w:pos="2160"/>
        <w:tab w:val="left" w:pos="2880"/>
        <w:tab w:val="left" w:pos="3600"/>
        <w:tab w:val="left" w:pos="4320"/>
        <w:tab w:val="left" w:pos="5040"/>
        <w:tab w:val="left" w:pos="5760"/>
        <w:tab w:val="left" w:pos="6480"/>
        <w:tab w:val="left" w:pos="7200"/>
        <w:tab w:val="left" w:pos="7920"/>
      </w:tabs>
      <w:ind w:left="2160"/>
    </w:pPr>
    <w:rPr>
      <w:rFonts w:eastAsia="Times New Roman"/>
    </w:rPr>
  </w:style>
  <w:style w:type="paragraph" w:customStyle="1" w:styleId="14">
    <w:name w:val="_14"/>
    <w:basedOn w:val="Normal"/>
    <w:rsid w:val="00305128"/>
    <w:pPr>
      <w:widowControl w:val="0"/>
      <w:tabs>
        <w:tab w:val="left" w:pos="2880"/>
        <w:tab w:val="left" w:pos="3600"/>
        <w:tab w:val="left" w:pos="4320"/>
        <w:tab w:val="left" w:pos="5040"/>
        <w:tab w:val="left" w:pos="5760"/>
        <w:tab w:val="left" w:pos="6480"/>
        <w:tab w:val="left" w:pos="7200"/>
        <w:tab w:val="left" w:pos="7920"/>
      </w:tabs>
      <w:ind w:left="2880"/>
    </w:pPr>
    <w:rPr>
      <w:rFonts w:eastAsia="Times New Roman"/>
    </w:rPr>
  </w:style>
  <w:style w:type="paragraph" w:customStyle="1" w:styleId="13">
    <w:name w:val="_13"/>
    <w:basedOn w:val="Normal"/>
    <w:rsid w:val="00305128"/>
    <w:pPr>
      <w:widowControl w:val="0"/>
      <w:tabs>
        <w:tab w:val="left" w:pos="3600"/>
        <w:tab w:val="left" w:pos="4320"/>
        <w:tab w:val="left" w:pos="5040"/>
        <w:tab w:val="left" w:pos="5760"/>
        <w:tab w:val="left" w:pos="6480"/>
        <w:tab w:val="left" w:pos="7200"/>
        <w:tab w:val="left" w:pos="7920"/>
      </w:tabs>
      <w:ind w:left="3600"/>
    </w:pPr>
    <w:rPr>
      <w:rFonts w:eastAsia="Times New Roman"/>
    </w:rPr>
  </w:style>
  <w:style w:type="paragraph" w:customStyle="1" w:styleId="12">
    <w:name w:val="_12"/>
    <w:basedOn w:val="Normal"/>
    <w:rsid w:val="00305128"/>
    <w:pPr>
      <w:widowControl w:val="0"/>
      <w:tabs>
        <w:tab w:val="left" w:pos="4320"/>
        <w:tab w:val="left" w:pos="5040"/>
        <w:tab w:val="left" w:pos="5760"/>
        <w:tab w:val="left" w:pos="6480"/>
        <w:tab w:val="left" w:pos="7200"/>
        <w:tab w:val="left" w:pos="7920"/>
      </w:tabs>
      <w:ind w:left="4320"/>
    </w:pPr>
    <w:rPr>
      <w:rFonts w:eastAsia="Times New Roman"/>
    </w:rPr>
  </w:style>
  <w:style w:type="paragraph" w:customStyle="1" w:styleId="11">
    <w:name w:val="_11"/>
    <w:basedOn w:val="Normal"/>
    <w:rsid w:val="00305128"/>
    <w:pPr>
      <w:widowControl w:val="0"/>
      <w:tabs>
        <w:tab w:val="left" w:pos="5040"/>
        <w:tab w:val="left" w:pos="5760"/>
        <w:tab w:val="left" w:pos="6480"/>
        <w:tab w:val="left" w:pos="7200"/>
        <w:tab w:val="left" w:pos="7920"/>
      </w:tabs>
      <w:ind w:left="5040"/>
    </w:pPr>
    <w:rPr>
      <w:rFonts w:eastAsia="Times New Roman"/>
    </w:rPr>
  </w:style>
  <w:style w:type="paragraph" w:customStyle="1" w:styleId="10">
    <w:name w:val="_10"/>
    <w:basedOn w:val="Normal"/>
    <w:rsid w:val="00305128"/>
    <w:pPr>
      <w:widowControl w:val="0"/>
      <w:tabs>
        <w:tab w:val="left" w:pos="5760"/>
        <w:tab w:val="left" w:pos="6480"/>
        <w:tab w:val="left" w:pos="7200"/>
        <w:tab w:val="left" w:pos="7920"/>
      </w:tabs>
      <w:ind w:left="5760"/>
    </w:pPr>
    <w:rPr>
      <w:rFonts w:eastAsia="Times New Roman"/>
    </w:rPr>
  </w:style>
  <w:style w:type="paragraph" w:customStyle="1" w:styleId="9">
    <w:name w:val="_9"/>
    <w:basedOn w:val="Normal"/>
    <w:rsid w:val="00305128"/>
    <w:pPr>
      <w:widowControl w:val="0"/>
      <w:tabs>
        <w:tab w:val="left" w:pos="6480"/>
        <w:tab w:val="left" w:pos="7200"/>
        <w:tab w:val="left" w:pos="7920"/>
      </w:tabs>
      <w:ind w:left="6480"/>
    </w:pPr>
    <w:rPr>
      <w:rFonts w:eastAsia="Times New Roman"/>
    </w:rPr>
  </w:style>
  <w:style w:type="paragraph" w:customStyle="1" w:styleId="8">
    <w:name w:val="_8"/>
    <w:basedOn w:val="Normal"/>
    <w:rsid w:val="003051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eastAsia="Times New Roman"/>
    </w:rPr>
  </w:style>
  <w:style w:type="paragraph" w:customStyle="1" w:styleId="7">
    <w:name w:val="_7"/>
    <w:basedOn w:val="Normal"/>
    <w:rsid w:val="0030512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eastAsia="Times New Roman"/>
    </w:rPr>
  </w:style>
  <w:style w:type="paragraph" w:customStyle="1" w:styleId="6">
    <w:name w:val="_6"/>
    <w:basedOn w:val="Normal"/>
    <w:rsid w:val="00305128"/>
    <w:pPr>
      <w:widowControl w:val="0"/>
      <w:tabs>
        <w:tab w:val="left" w:pos="2160"/>
        <w:tab w:val="left" w:pos="2880"/>
        <w:tab w:val="left" w:pos="3600"/>
        <w:tab w:val="left" w:pos="4320"/>
        <w:tab w:val="left" w:pos="5040"/>
        <w:tab w:val="left" w:pos="5760"/>
        <w:tab w:val="left" w:pos="6480"/>
        <w:tab w:val="left" w:pos="7200"/>
        <w:tab w:val="left" w:pos="7920"/>
      </w:tabs>
      <w:ind w:left="2160"/>
    </w:pPr>
    <w:rPr>
      <w:rFonts w:eastAsia="Times New Roman"/>
    </w:rPr>
  </w:style>
  <w:style w:type="paragraph" w:customStyle="1" w:styleId="5">
    <w:name w:val="_5"/>
    <w:basedOn w:val="Normal"/>
    <w:rsid w:val="00305128"/>
    <w:pPr>
      <w:widowControl w:val="0"/>
      <w:tabs>
        <w:tab w:val="left" w:pos="2880"/>
        <w:tab w:val="left" w:pos="3600"/>
        <w:tab w:val="left" w:pos="4320"/>
        <w:tab w:val="left" w:pos="5040"/>
        <w:tab w:val="left" w:pos="5760"/>
        <w:tab w:val="left" w:pos="6480"/>
        <w:tab w:val="left" w:pos="7200"/>
        <w:tab w:val="left" w:pos="7920"/>
      </w:tabs>
      <w:ind w:left="2880"/>
    </w:pPr>
    <w:rPr>
      <w:rFonts w:eastAsia="Times New Roman"/>
    </w:rPr>
  </w:style>
  <w:style w:type="paragraph" w:customStyle="1" w:styleId="4">
    <w:name w:val="_4"/>
    <w:basedOn w:val="Normal"/>
    <w:rsid w:val="00305128"/>
    <w:pPr>
      <w:widowControl w:val="0"/>
      <w:tabs>
        <w:tab w:val="left" w:pos="3600"/>
        <w:tab w:val="left" w:pos="4320"/>
        <w:tab w:val="left" w:pos="5040"/>
        <w:tab w:val="left" w:pos="5760"/>
        <w:tab w:val="left" w:pos="6480"/>
        <w:tab w:val="left" w:pos="7200"/>
        <w:tab w:val="left" w:pos="7920"/>
      </w:tabs>
      <w:ind w:left="3600"/>
    </w:pPr>
    <w:rPr>
      <w:rFonts w:eastAsia="Times New Roman"/>
    </w:rPr>
  </w:style>
  <w:style w:type="paragraph" w:customStyle="1" w:styleId="3">
    <w:name w:val="_3"/>
    <w:basedOn w:val="Normal"/>
    <w:rsid w:val="00305128"/>
    <w:pPr>
      <w:widowControl w:val="0"/>
      <w:tabs>
        <w:tab w:val="left" w:pos="4320"/>
        <w:tab w:val="left" w:pos="5040"/>
        <w:tab w:val="left" w:pos="5760"/>
        <w:tab w:val="left" w:pos="6480"/>
        <w:tab w:val="left" w:pos="7200"/>
        <w:tab w:val="left" w:pos="7920"/>
      </w:tabs>
      <w:ind w:left="4320"/>
    </w:pPr>
    <w:rPr>
      <w:rFonts w:eastAsia="Times New Roman"/>
    </w:rPr>
  </w:style>
  <w:style w:type="paragraph" w:customStyle="1" w:styleId="2">
    <w:name w:val="_2"/>
    <w:basedOn w:val="Normal"/>
    <w:rsid w:val="00305128"/>
    <w:pPr>
      <w:widowControl w:val="0"/>
      <w:tabs>
        <w:tab w:val="left" w:pos="5040"/>
        <w:tab w:val="left" w:pos="5760"/>
        <w:tab w:val="left" w:pos="6480"/>
        <w:tab w:val="left" w:pos="7200"/>
        <w:tab w:val="left" w:pos="7920"/>
      </w:tabs>
      <w:ind w:left="5040"/>
    </w:pPr>
    <w:rPr>
      <w:rFonts w:eastAsia="Times New Roman"/>
    </w:rPr>
  </w:style>
  <w:style w:type="paragraph" w:customStyle="1" w:styleId="1">
    <w:name w:val="_1"/>
    <w:basedOn w:val="Normal"/>
    <w:rsid w:val="00305128"/>
    <w:pPr>
      <w:widowControl w:val="0"/>
      <w:tabs>
        <w:tab w:val="left" w:pos="5760"/>
        <w:tab w:val="left" w:pos="6480"/>
        <w:tab w:val="left" w:pos="7200"/>
        <w:tab w:val="left" w:pos="7920"/>
      </w:tabs>
      <w:ind w:left="5760"/>
    </w:pPr>
    <w:rPr>
      <w:rFonts w:eastAsia="Times New Roman"/>
    </w:rPr>
  </w:style>
  <w:style w:type="paragraph" w:customStyle="1" w:styleId="a">
    <w:name w:val="_"/>
    <w:basedOn w:val="Normal"/>
    <w:rsid w:val="00305128"/>
    <w:pPr>
      <w:widowControl w:val="0"/>
      <w:tabs>
        <w:tab w:val="left" w:pos="6480"/>
        <w:tab w:val="left" w:pos="7200"/>
        <w:tab w:val="left" w:pos="7920"/>
      </w:tabs>
      <w:ind w:left="6480"/>
    </w:pPr>
    <w:rPr>
      <w:rFonts w:eastAsia="Times New Roman"/>
    </w:rPr>
  </w:style>
  <w:style w:type="character" w:customStyle="1" w:styleId="SYSHYPERTEXT">
    <w:name w:val="SYS_HYPERTEXT"/>
    <w:rsid w:val="00305128"/>
    <w:rPr>
      <w:color w:val="0000FF"/>
      <w:u w:val="single"/>
    </w:rPr>
  </w:style>
  <w:style w:type="character" w:styleId="PageNumber">
    <w:name w:val="page number"/>
    <w:basedOn w:val="DefaultParagraphFont"/>
    <w:rsid w:val="004C2648"/>
  </w:style>
  <w:style w:type="paragraph" w:styleId="BalloonText">
    <w:name w:val="Balloon Text"/>
    <w:basedOn w:val="Normal"/>
    <w:link w:val="BalloonTextChar"/>
    <w:rsid w:val="00011B81"/>
    <w:rPr>
      <w:rFonts w:ascii="Tahoma" w:hAnsi="Tahoma" w:cs="Tahoma"/>
      <w:sz w:val="16"/>
      <w:szCs w:val="16"/>
    </w:rPr>
  </w:style>
  <w:style w:type="character" w:customStyle="1" w:styleId="BalloonTextChar">
    <w:name w:val="Balloon Text Char"/>
    <w:link w:val="BalloonText"/>
    <w:rsid w:val="00011B81"/>
    <w:rPr>
      <w:rFonts w:ascii="Tahoma" w:hAnsi="Tahoma" w:cs="Tahoma"/>
      <w:sz w:val="16"/>
      <w:szCs w:val="16"/>
    </w:rPr>
  </w:style>
  <w:style w:type="character" w:styleId="CommentReference">
    <w:name w:val="annotation reference"/>
    <w:uiPriority w:val="99"/>
    <w:rsid w:val="00011B81"/>
    <w:rPr>
      <w:sz w:val="16"/>
      <w:szCs w:val="16"/>
    </w:rPr>
  </w:style>
  <w:style w:type="paragraph" w:styleId="CommentText">
    <w:name w:val="annotation text"/>
    <w:basedOn w:val="Normal"/>
    <w:link w:val="CommentTextChar"/>
    <w:uiPriority w:val="99"/>
    <w:rsid w:val="00011B81"/>
    <w:rPr>
      <w:sz w:val="20"/>
      <w:szCs w:val="20"/>
    </w:rPr>
  </w:style>
  <w:style w:type="character" w:customStyle="1" w:styleId="CommentTextChar">
    <w:name w:val="Comment Text Char"/>
    <w:link w:val="CommentText"/>
    <w:uiPriority w:val="99"/>
    <w:rsid w:val="00011B81"/>
    <w:rPr>
      <w:sz w:val="20"/>
      <w:szCs w:val="20"/>
    </w:rPr>
  </w:style>
  <w:style w:type="paragraph" w:styleId="CommentSubject">
    <w:name w:val="annotation subject"/>
    <w:basedOn w:val="CommentText"/>
    <w:next w:val="CommentText"/>
    <w:link w:val="CommentSubjectChar"/>
    <w:rsid w:val="00011B81"/>
    <w:rPr>
      <w:b/>
      <w:bCs/>
    </w:rPr>
  </w:style>
  <w:style w:type="character" w:customStyle="1" w:styleId="CommentSubjectChar">
    <w:name w:val="Comment Subject Char"/>
    <w:link w:val="CommentSubject"/>
    <w:rsid w:val="00011B81"/>
    <w:rPr>
      <w:b/>
      <w:bCs/>
      <w:sz w:val="20"/>
      <w:szCs w:val="20"/>
    </w:rPr>
  </w:style>
  <w:style w:type="character" w:styleId="Emphasis">
    <w:name w:val="Emphasis"/>
    <w:uiPriority w:val="20"/>
    <w:qFormat/>
    <w:rsid w:val="005149B3"/>
    <w:rPr>
      <w:i/>
      <w:iCs/>
    </w:rPr>
  </w:style>
  <w:style w:type="paragraph" w:styleId="ListParagraph">
    <w:name w:val="List Paragraph"/>
    <w:basedOn w:val="Normal"/>
    <w:uiPriority w:val="34"/>
    <w:qFormat/>
    <w:rsid w:val="003B2BA0"/>
    <w:pPr>
      <w:ind w:left="720"/>
      <w:contextualSpacing/>
    </w:pPr>
  </w:style>
  <w:style w:type="paragraph" w:styleId="NormalWeb">
    <w:name w:val="Normal (Web)"/>
    <w:basedOn w:val="Normal"/>
    <w:uiPriority w:val="99"/>
    <w:unhideWhenUsed/>
    <w:rsid w:val="005B26FB"/>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4658B"/>
    <w:rPr>
      <w:sz w:val="22"/>
      <w:szCs w:val="22"/>
    </w:rPr>
  </w:style>
  <w:style w:type="paragraph" w:styleId="PlainText">
    <w:name w:val="Plain Text"/>
    <w:basedOn w:val="Normal"/>
    <w:link w:val="PlainTextChar"/>
    <w:uiPriority w:val="99"/>
    <w:unhideWhenUsed/>
    <w:rsid w:val="00193315"/>
    <w:rPr>
      <w:rFonts w:eastAsia="Times New Roman"/>
      <w:szCs w:val="21"/>
    </w:rPr>
  </w:style>
  <w:style w:type="character" w:customStyle="1" w:styleId="PlainTextChar">
    <w:name w:val="Plain Text Char"/>
    <w:basedOn w:val="DefaultParagraphFont"/>
    <w:link w:val="PlainText"/>
    <w:uiPriority w:val="99"/>
    <w:rsid w:val="00193315"/>
    <w:rPr>
      <w:rFonts w:eastAsia="Times New Roman"/>
      <w:sz w:val="22"/>
      <w:szCs w:val="21"/>
    </w:rPr>
  </w:style>
  <w:style w:type="paragraph" w:styleId="FootnoteText">
    <w:name w:val="footnote text"/>
    <w:basedOn w:val="Normal"/>
    <w:link w:val="FootnoteTextChar"/>
    <w:uiPriority w:val="99"/>
    <w:rsid w:val="00C83E43"/>
    <w:rPr>
      <w:sz w:val="20"/>
      <w:szCs w:val="20"/>
    </w:rPr>
  </w:style>
  <w:style w:type="character" w:customStyle="1" w:styleId="FootnoteTextChar">
    <w:name w:val="Footnote Text Char"/>
    <w:basedOn w:val="DefaultParagraphFont"/>
    <w:link w:val="FootnoteText"/>
    <w:uiPriority w:val="99"/>
    <w:rsid w:val="00C83E43"/>
  </w:style>
  <w:style w:type="character" w:styleId="FootnoteReference">
    <w:name w:val="footnote reference"/>
    <w:basedOn w:val="DefaultParagraphFont"/>
    <w:uiPriority w:val="99"/>
    <w:rsid w:val="00C83E43"/>
    <w:rPr>
      <w:vertAlign w:val="superscript"/>
    </w:rPr>
  </w:style>
  <w:style w:type="paragraph" w:styleId="DocumentMap">
    <w:name w:val="Document Map"/>
    <w:basedOn w:val="Normal"/>
    <w:link w:val="DocumentMapChar"/>
    <w:rsid w:val="00920350"/>
    <w:rPr>
      <w:rFonts w:ascii="Tahoma" w:hAnsi="Tahoma" w:cs="Tahoma"/>
      <w:sz w:val="16"/>
      <w:szCs w:val="16"/>
    </w:rPr>
  </w:style>
  <w:style w:type="character" w:customStyle="1" w:styleId="DocumentMapChar">
    <w:name w:val="Document Map Char"/>
    <w:basedOn w:val="DefaultParagraphFont"/>
    <w:link w:val="DocumentMap"/>
    <w:rsid w:val="00920350"/>
    <w:rPr>
      <w:rFonts w:ascii="Tahoma" w:hAnsi="Tahoma" w:cs="Tahoma"/>
      <w:sz w:val="16"/>
      <w:szCs w:val="16"/>
    </w:rPr>
  </w:style>
  <w:style w:type="character" w:styleId="PlaceholderText">
    <w:name w:val="Placeholder Text"/>
    <w:basedOn w:val="DefaultParagraphFont"/>
    <w:uiPriority w:val="99"/>
    <w:semiHidden/>
    <w:rsid w:val="002535F7"/>
    <w:rPr>
      <w:color w:val="808080"/>
    </w:rPr>
  </w:style>
  <w:style w:type="character" w:customStyle="1" w:styleId="Heading1Char">
    <w:name w:val="Heading 1 Char"/>
    <w:basedOn w:val="DefaultParagraphFont"/>
    <w:link w:val="Heading1"/>
    <w:uiPriority w:val="9"/>
    <w:rsid w:val="00DA39F4"/>
    <w:rPr>
      <w:rFonts w:asciiTheme="majorHAnsi" w:eastAsiaTheme="majorEastAsia" w:hAnsiTheme="majorHAnsi" w:cstheme="majorBidi"/>
      <w:b/>
      <w:bCs/>
      <w:color w:val="365F91" w:themeColor="accent1" w:themeShade="BF"/>
      <w:sz w:val="28"/>
      <w:szCs w:val="28"/>
      <w:lang w:bidi="en-US"/>
    </w:rPr>
  </w:style>
  <w:style w:type="paragraph" w:styleId="EndnoteText">
    <w:name w:val="endnote text"/>
    <w:basedOn w:val="Normal"/>
    <w:link w:val="EndnoteTextChar"/>
    <w:uiPriority w:val="99"/>
    <w:rsid w:val="00465329"/>
    <w:rPr>
      <w:szCs w:val="20"/>
    </w:rPr>
  </w:style>
  <w:style w:type="character" w:customStyle="1" w:styleId="EndnoteTextChar">
    <w:name w:val="Endnote Text Char"/>
    <w:basedOn w:val="DefaultParagraphFont"/>
    <w:link w:val="EndnoteText"/>
    <w:uiPriority w:val="99"/>
    <w:rsid w:val="00465329"/>
    <w:rPr>
      <w:sz w:val="22"/>
    </w:rPr>
  </w:style>
  <w:style w:type="character" w:styleId="EndnoteReference">
    <w:name w:val="endnote reference"/>
    <w:basedOn w:val="DefaultParagraphFont"/>
    <w:rsid w:val="003C2DBA"/>
    <w:rPr>
      <w:rFonts w:ascii="Arial" w:hAnsi="Arial"/>
      <w:sz w:val="22"/>
      <w:vertAlign w:val="superscript"/>
    </w:rPr>
  </w:style>
  <w:style w:type="paragraph" w:customStyle="1" w:styleId="Default">
    <w:name w:val="Default"/>
    <w:rsid w:val="00EB08D2"/>
    <w:pPr>
      <w:autoSpaceDE w:val="0"/>
      <w:autoSpaceDN w:val="0"/>
      <w:adjustRightInd w:val="0"/>
    </w:pPr>
    <w:rPr>
      <w:rFonts w:cs="Arial"/>
      <w:color w:val="000000"/>
      <w:sz w:val="24"/>
      <w:szCs w:val="24"/>
    </w:rPr>
  </w:style>
  <w:style w:type="table" w:styleId="TableGrid">
    <w:name w:val="Table Grid"/>
    <w:basedOn w:val="TableNormal"/>
    <w:rsid w:val="003A3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tputtext">
    <w:name w:val="outputtext"/>
    <w:basedOn w:val="DefaultParagraphFont"/>
    <w:rsid w:val="00D57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28888">
      <w:bodyDiv w:val="1"/>
      <w:marLeft w:val="0"/>
      <w:marRight w:val="0"/>
      <w:marTop w:val="0"/>
      <w:marBottom w:val="0"/>
      <w:divBdr>
        <w:top w:val="none" w:sz="0" w:space="0" w:color="auto"/>
        <w:left w:val="none" w:sz="0" w:space="0" w:color="auto"/>
        <w:bottom w:val="none" w:sz="0" w:space="0" w:color="auto"/>
        <w:right w:val="none" w:sz="0" w:space="0" w:color="auto"/>
      </w:divBdr>
    </w:div>
    <w:div w:id="389815100">
      <w:bodyDiv w:val="1"/>
      <w:marLeft w:val="0"/>
      <w:marRight w:val="0"/>
      <w:marTop w:val="0"/>
      <w:marBottom w:val="0"/>
      <w:divBdr>
        <w:top w:val="none" w:sz="0" w:space="0" w:color="auto"/>
        <w:left w:val="none" w:sz="0" w:space="0" w:color="auto"/>
        <w:bottom w:val="none" w:sz="0" w:space="0" w:color="auto"/>
        <w:right w:val="none" w:sz="0" w:space="0" w:color="auto"/>
      </w:divBdr>
    </w:div>
    <w:div w:id="881013928">
      <w:bodyDiv w:val="1"/>
      <w:marLeft w:val="0"/>
      <w:marRight w:val="0"/>
      <w:marTop w:val="0"/>
      <w:marBottom w:val="0"/>
      <w:divBdr>
        <w:top w:val="none" w:sz="0" w:space="0" w:color="auto"/>
        <w:left w:val="none" w:sz="0" w:space="0" w:color="auto"/>
        <w:bottom w:val="none" w:sz="0" w:space="0" w:color="auto"/>
        <w:right w:val="none" w:sz="0" w:space="0" w:color="auto"/>
      </w:divBdr>
    </w:div>
    <w:div w:id="1392115849">
      <w:bodyDiv w:val="1"/>
      <w:marLeft w:val="0"/>
      <w:marRight w:val="0"/>
      <w:marTop w:val="0"/>
      <w:marBottom w:val="0"/>
      <w:divBdr>
        <w:top w:val="none" w:sz="0" w:space="0" w:color="auto"/>
        <w:left w:val="none" w:sz="0" w:space="0" w:color="auto"/>
        <w:bottom w:val="none" w:sz="0" w:space="0" w:color="auto"/>
        <w:right w:val="none" w:sz="0" w:space="0" w:color="auto"/>
      </w:divBdr>
    </w:div>
    <w:div w:id="1518537903">
      <w:bodyDiv w:val="1"/>
      <w:marLeft w:val="0"/>
      <w:marRight w:val="0"/>
      <w:marTop w:val="0"/>
      <w:marBottom w:val="0"/>
      <w:divBdr>
        <w:top w:val="none" w:sz="0" w:space="0" w:color="auto"/>
        <w:left w:val="none" w:sz="0" w:space="0" w:color="auto"/>
        <w:bottom w:val="none" w:sz="0" w:space="0" w:color="auto"/>
        <w:right w:val="none" w:sz="0" w:space="0" w:color="auto"/>
      </w:divBdr>
    </w:div>
    <w:div w:id="1676767050">
      <w:bodyDiv w:val="1"/>
      <w:marLeft w:val="0"/>
      <w:marRight w:val="0"/>
      <w:marTop w:val="0"/>
      <w:marBottom w:val="0"/>
      <w:divBdr>
        <w:top w:val="none" w:sz="0" w:space="0" w:color="auto"/>
        <w:left w:val="none" w:sz="0" w:space="0" w:color="auto"/>
        <w:bottom w:val="none" w:sz="0" w:space="0" w:color="auto"/>
        <w:right w:val="none" w:sz="0" w:space="0" w:color="auto"/>
      </w:divBdr>
    </w:div>
    <w:div w:id="1689722726">
      <w:bodyDiv w:val="1"/>
      <w:marLeft w:val="0"/>
      <w:marRight w:val="0"/>
      <w:marTop w:val="0"/>
      <w:marBottom w:val="0"/>
      <w:divBdr>
        <w:top w:val="none" w:sz="0" w:space="0" w:color="auto"/>
        <w:left w:val="none" w:sz="0" w:space="0" w:color="auto"/>
        <w:bottom w:val="none" w:sz="0" w:space="0" w:color="auto"/>
        <w:right w:val="none" w:sz="0" w:space="0" w:color="auto"/>
      </w:divBdr>
    </w:div>
    <w:div w:id="210633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endnotes" Target="endnotes.xml"/><Relationship Id="rId34"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yperlink" Target="http://www.nrc.gov" TargetMode="Externa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hyperlink" Target="http://www.nrc.gov" TargetMode="External"/><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webSettings" Target="webSettings.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yperlink" Target="mailto:Infocollects.Resource@nrc.gov" TargetMode="Externa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24D7810DDC8540816586C53E0EF676" ma:contentTypeVersion="0" ma:contentTypeDescription="Create a new document." ma:contentTypeScope="" ma:versionID="69b66052ed01479312772e79d5511c3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mso-contentType ?>
<FormTemplates xmlns="http://schemas.microsoft.com/sharepoint/v3/contenttype/forms">
  <Display>DocumentLibraryForm</Display>
  <Edit>DocumentLibraryForm</Edit>
  <New>DocumentLibraryForm</New>
</FormTemplates>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0BB596-7AEF-4B93-B5BE-6EBB42B4C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10.xml><?xml version="1.0" encoding="utf-8"?>
<ds:datastoreItem xmlns:ds="http://schemas.openxmlformats.org/officeDocument/2006/customXml" ds:itemID="{6729AA59-7354-48E0-8FFE-8B2FD783383B}">
  <ds:schemaRefs>
    <ds:schemaRef ds:uri="http://schemas.openxmlformats.org/officeDocument/2006/bibliography"/>
  </ds:schemaRefs>
</ds:datastoreItem>
</file>

<file path=customXml/itemProps11.xml><?xml version="1.0" encoding="utf-8"?>
<ds:datastoreItem xmlns:ds="http://schemas.openxmlformats.org/officeDocument/2006/customXml" ds:itemID="{1335E588-A35E-4888-A65F-8D97CD44A8AE}">
  <ds:schemaRefs>
    <ds:schemaRef ds:uri="http://schemas.openxmlformats.org/officeDocument/2006/bibliography"/>
  </ds:schemaRefs>
</ds:datastoreItem>
</file>

<file path=customXml/itemProps12.xml><?xml version="1.0" encoding="utf-8"?>
<ds:datastoreItem xmlns:ds="http://schemas.openxmlformats.org/officeDocument/2006/customXml" ds:itemID="{A84B8CB0-8293-4BC4-92F5-C0D7AF97EA90}">
  <ds:schemaRefs>
    <ds:schemaRef ds:uri="http://schemas.openxmlformats.org/officeDocument/2006/bibliography"/>
  </ds:schemaRefs>
</ds:datastoreItem>
</file>

<file path=customXml/itemProps13.xml><?xml version="1.0" encoding="utf-8"?>
<ds:datastoreItem xmlns:ds="http://schemas.openxmlformats.org/officeDocument/2006/customXml" ds:itemID="{C3B9BAFE-0700-4015-8ADA-534DCF8F3964}">
  <ds:schemaRefs>
    <ds:schemaRef ds:uri="http://schemas.microsoft.com/sharepoint/v3/contenttype/forms"/>
  </ds:schemaRefs>
</ds:datastoreItem>
</file>

<file path=customXml/itemProps14.xml><?xml version="1.0" encoding="utf-8"?>
<ds:datastoreItem xmlns:ds="http://schemas.openxmlformats.org/officeDocument/2006/customXml" ds:itemID="{04C254A0-12FD-4BF9-A07B-3B541A5EFB72}">
  <ds:schemaRefs>
    <ds:schemaRef ds:uri="http://schemas.openxmlformats.org/officeDocument/2006/bibliography"/>
  </ds:schemaRefs>
</ds:datastoreItem>
</file>

<file path=customXml/itemProps15.xml><?xml version="1.0" encoding="utf-8"?>
<ds:datastoreItem xmlns:ds="http://schemas.openxmlformats.org/officeDocument/2006/customXml" ds:itemID="{45A93178-FFCB-486D-B9D5-2FE2A0928BCB}">
  <ds:schemaRefs>
    <ds:schemaRef ds:uri="http://schemas.openxmlformats.org/officeDocument/2006/bibliography"/>
  </ds:schemaRefs>
</ds:datastoreItem>
</file>

<file path=customXml/itemProps2.xml><?xml version="1.0" encoding="utf-8"?>
<ds:datastoreItem xmlns:ds="http://schemas.openxmlformats.org/officeDocument/2006/customXml" ds:itemID="{7EB0CC40-59B5-4B7A-940E-24BCBCB7F7E3}">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www.w3.org/XML/1998/namespace"/>
    <ds:schemaRef ds:uri="http://purl.org/dc/elements/1.1/"/>
  </ds:schemaRefs>
</ds:datastoreItem>
</file>

<file path=customXml/itemProps3.xml><?xml version="1.0" encoding="utf-8"?>
<ds:datastoreItem xmlns:ds="http://schemas.openxmlformats.org/officeDocument/2006/customXml" ds:itemID="{0E754735-04B5-416B-BF23-01C20913927D}">
  <ds:schemaRefs>
    <ds:schemaRef ds:uri="http://schemas.openxmlformats.org/officeDocument/2006/bibliography"/>
  </ds:schemaRefs>
</ds:datastoreItem>
</file>

<file path=customXml/itemProps4.xml><?xml version="1.0" encoding="utf-8"?>
<ds:datastoreItem xmlns:ds="http://schemas.openxmlformats.org/officeDocument/2006/customXml" ds:itemID="{B0FBB154-0EF3-4E38-ACBD-EC4996366343}">
  <ds:schemaRefs>
    <ds:schemaRef ds:uri="http://schemas.openxmlformats.org/officeDocument/2006/bibliography"/>
  </ds:schemaRefs>
</ds:datastoreItem>
</file>

<file path=customXml/itemProps5.xml><?xml version="1.0" encoding="utf-8"?>
<ds:datastoreItem xmlns:ds="http://schemas.openxmlformats.org/officeDocument/2006/customXml" ds:itemID="{8AB00C26-48C9-4E59-AA16-F07BD20ADD49}">
  <ds:schemaRefs>
    <ds:schemaRef ds:uri="http://schemas.openxmlformats.org/officeDocument/2006/bibliography"/>
  </ds:schemaRefs>
</ds:datastoreItem>
</file>

<file path=customXml/itemProps6.xml><?xml version="1.0" encoding="utf-8"?>
<ds:datastoreItem xmlns:ds="http://schemas.openxmlformats.org/officeDocument/2006/customXml" ds:itemID="{6FF16A74-DCE7-4A6D-866A-862D8BA06B41}">
  <ds:schemaRefs>
    <ds:schemaRef ds:uri="http://schemas.openxmlformats.org/officeDocument/2006/bibliography"/>
  </ds:schemaRefs>
</ds:datastoreItem>
</file>

<file path=customXml/itemProps7.xml><?xml version="1.0" encoding="utf-8"?>
<ds:datastoreItem xmlns:ds="http://schemas.openxmlformats.org/officeDocument/2006/customXml" ds:itemID="{CE142DFD-CA19-44DA-880F-89F394ACCE56}">
  <ds:schemaRefs>
    <ds:schemaRef ds:uri="http://schemas.openxmlformats.org/officeDocument/2006/bibliography"/>
  </ds:schemaRefs>
</ds:datastoreItem>
</file>

<file path=customXml/itemProps8.xml><?xml version="1.0" encoding="utf-8"?>
<ds:datastoreItem xmlns:ds="http://schemas.openxmlformats.org/officeDocument/2006/customXml" ds:itemID="{3B05CAB2-6FC9-4431-96FF-2ED07C084C9E}">
  <ds:schemaRefs>
    <ds:schemaRef ds:uri="http://schemas.openxmlformats.org/officeDocument/2006/bibliography"/>
  </ds:schemaRefs>
</ds:datastoreItem>
</file>

<file path=customXml/itemProps9.xml><?xml version="1.0" encoding="utf-8"?>
<ds:datastoreItem xmlns:ds="http://schemas.openxmlformats.org/officeDocument/2006/customXml" ds:itemID="{91915381-FE1F-4FDA-AA6C-A84C6CDA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7519</Words>
  <Characters>42862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50281</CharactersWithSpaces>
  <SharedDoc>false</SharedDoc>
  <HLinks>
    <vt:vector size="6" baseType="variant">
      <vt:variant>
        <vt:i4>3604579</vt:i4>
      </vt:variant>
      <vt:variant>
        <vt:i4>0</vt:i4>
      </vt:variant>
      <vt:variant>
        <vt:i4>0</vt:i4>
      </vt:variant>
      <vt:variant>
        <vt:i4>5</vt:i4>
      </vt:variant>
      <vt:variant>
        <vt:lpwstr>http://www.nrc.gov/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Beaulieu</dc:creator>
  <cp:lastModifiedBy>Benney, Kristen</cp:lastModifiedBy>
  <cp:revision>2</cp:revision>
  <cp:lastPrinted>2016-02-17T19:02:00Z</cp:lastPrinted>
  <dcterms:created xsi:type="dcterms:W3CDTF">2016-03-08T21:27:00Z</dcterms:created>
  <dcterms:modified xsi:type="dcterms:W3CDTF">2016-03-08T21:27:00Z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1928492116</vt:i4>
  </property>
  <property fmtid="{D5CDD505-2E9C-101B-9397-08002B2CF9AE}" pid="3" name="ContentTypeId">
    <vt:lpwstr>0x010100FF24D7810DDC8540816586C53E0EF676</vt:lpwstr>
  </property>
  <property fmtid="{D5CDD505-2E9C-101B-9397-08002B2CF9AE}" pid="4" name="_NewReviewCycle">
    <vt:lpwstr/>
  </property>
</Properties>
</file>