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AB8F6" w14:textId="77777777"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bookmarkStart w:id="0" w:name="_GoBack"/>
      <w:bookmarkEnd w:id="0"/>
      <w:r>
        <w:rPr>
          <w:rFonts w:ascii="Times New Roman" w:hAnsi="Times New Roman" w:cs="Times New Roman"/>
        </w:rPr>
        <w:tab/>
      </w:r>
      <w:r w:rsidRPr="00FB543B">
        <w:rPr>
          <w:rFonts w:ascii="Arial" w:hAnsi="Arial" w:cs="Arial"/>
          <w:b/>
        </w:rPr>
        <w:t>SUPPORTING STATEMENT</w:t>
      </w:r>
    </w:p>
    <w:p w14:paraId="6DF6A1F0"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9AF55AC" w14:textId="42C185D5" w:rsidR="00FB543B"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2838EB">
        <w:rPr>
          <w:rFonts w:ascii="Arial" w:hAnsi="Arial" w:cs="Arial"/>
          <w:b/>
        </w:rPr>
        <w:t>Eye Tracking</w:t>
      </w:r>
    </w:p>
    <w:p w14:paraId="46766719" w14:textId="77777777" w:rsidR="00FB543B" w:rsidRPr="00FB543B"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14:paraId="475E0C17" w14:textId="77777777" w:rsidR="0098334F" w:rsidRPr="00FB543B" w:rsidRDefault="00212691">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OMB No</w:t>
      </w:r>
      <w:r w:rsidRPr="00A9787E">
        <w:rPr>
          <w:rFonts w:ascii="Arial" w:hAnsi="Arial" w:cs="Arial"/>
          <w:b/>
        </w:rPr>
        <w:t xml:space="preserve">. </w:t>
      </w:r>
      <w:r w:rsidR="00396E14" w:rsidRPr="00A9787E">
        <w:rPr>
          <w:rFonts w:ascii="Arial" w:hAnsi="Arial" w:cs="Arial"/>
          <w:b/>
        </w:rPr>
        <w:t>0535-0248</w:t>
      </w:r>
    </w:p>
    <w:p w14:paraId="7E02984E" w14:textId="77777777" w:rsidR="00DB6506"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41D5FA0" w14:textId="57BA4E8F" w:rsidR="002838EB"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This mini-supporting statement is being submitted to OMB to define the need for </w:t>
      </w:r>
      <w:r w:rsidR="002838EB">
        <w:rPr>
          <w:rFonts w:ascii="Arial" w:hAnsi="Arial" w:cs="Arial"/>
        </w:rPr>
        <w:t xml:space="preserve">eye tracking research on formatting of survey questions. This research will focus on how to effectively display instructions and definitions associated with specific survey questions. The goal is to determine the formats that respondents </w:t>
      </w:r>
      <w:r w:rsidR="00614769">
        <w:rPr>
          <w:rFonts w:ascii="Arial" w:hAnsi="Arial" w:cs="Arial"/>
        </w:rPr>
        <w:t xml:space="preserve">are most likely to </w:t>
      </w:r>
      <w:r w:rsidR="002838EB">
        <w:rPr>
          <w:rFonts w:ascii="Arial" w:hAnsi="Arial" w:cs="Arial"/>
        </w:rPr>
        <w:t>attend to when ans</w:t>
      </w:r>
      <w:r w:rsidR="00614769">
        <w:rPr>
          <w:rFonts w:ascii="Arial" w:hAnsi="Arial" w:cs="Arial"/>
        </w:rPr>
        <w:t>wering</w:t>
      </w:r>
      <w:r w:rsidR="002838EB">
        <w:rPr>
          <w:rFonts w:ascii="Arial" w:hAnsi="Arial" w:cs="Arial"/>
        </w:rPr>
        <w:t xml:space="preserve"> a survey question. No more than 40 respondents will participate in this re</w:t>
      </w:r>
      <w:r w:rsidR="00FA6506">
        <w:rPr>
          <w:rFonts w:ascii="Arial" w:hAnsi="Arial" w:cs="Arial"/>
        </w:rPr>
        <w:t xml:space="preserve">search. </w:t>
      </w:r>
    </w:p>
    <w:p w14:paraId="5895E4BB" w14:textId="77777777" w:rsidR="002838EB" w:rsidRDefault="002838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01BDC86" w14:textId="6C23DCEA" w:rsidR="00614769" w:rsidRDefault="002838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In establishment surveys, it is common to include detailed instructions and definitions with survey materials. </w:t>
      </w:r>
      <w:r w:rsidR="007E1087">
        <w:rPr>
          <w:rFonts w:ascii="Arial" w:hAnsi="Arial" w:cs="Arial"/>
        </w:rPr>
        <w:t>Questions in establishment surveys are sometimes not questions but keywords reflecting the construct being measured followed by definitions (e.g.,</w:t>
      </w:r>
      <w:r w:rsidR="00BD332F" w:rsidRPr="00BD332F">
        <w:rPr>
          <w:rFonts w:ascii="Arial" w:hAnsi="Arial" w:cs="Arial"/>
        </w:rPr>
        <w:t xml:space="preserve"> </w:t>
      </w:r>
      <w:r w:rsidR="00BD332F">
        <w:rPr>
          <w:rFonts w:ascii="Arial" w:hAnsi="Arial" w:cs="Arial"/>
        </w:rPr>
        <w:t>Intermediate Market (business or organization in the middle of the supply chain marketing locally – and/or regionally – branded products</w:t>
      </w:r>
      <w:r w:rsidR="007E1087">
        <w:rPr>
          <w:rFonts w:ascii="Arial" w:hAnsi="Arial" w:cs="Arial"/>
        </w:rPr>
        <w:t>) (Haraldsen</w:t>
      </w:r>
      <w:r w:rsidR="009902FD">
        <w:rPr>
          <w:rFonts w:ascii="Arial" w:hAnsi="Arial" w:cs="Arial"/>
        </w:rPr>
        <w:t>,</w:t>
      </w:r>
      <w:r w:rsidR="007E1087">
        <w:rPr>
          <w:rFonts w:ascii="Arial" w:hAnsi="Arial" w:cs="Arial"/>
        </w:rPr>
        <w:t xml:space="preserve"> 2013). Definitions are used</w:t>
      </w:r>
      <w:r w:rsidR="00614769">
        <w:rPr>
          <w:rFonts w:ascii="Arial" w:hAnsi="Arial" w:cs="Arial"/>
        </w:rPr>
        <w:t xml:space="preserve"> to ensure that all respondents are </w:t>
      </w:r>
      <w:r w:rsidR="007E1087">
        <w:rPr>
          <w:rFonts w:ascii="Arial" w:hAnsi="Arial" w:cs="Arial"/>
        </w:rPr>
        <w:t xml:space="preserve">interpreting these </w:t>
      </w:r>
      <w:r w:rsidR="00614769">
        <w:rPr>
          <w:rFonts w:ascii="Arial" w:hAnsi="Arial" w:cs="Arial"/>
        </w:rPr>
        <w:t>complex constructs</w:t>
      </w:r>
      <w:r w:rsidR="007E1087">
        <w:rPr>
          <w:rFonts w:ascii="Arial" w:hAnsi="Arial" w:cs="Arial"/>
        </w:rPr>
        <w:t xml:space="preserve"> in the same way</w:t>
      </w:r>
      <w:r w:rsidR="00614769">
        <w:rPr>
          <w:rFonts w:ascii="Arial" w:hAnsi="Arial" w:cs="Arial"/>
        </w:rPr>
        <w:t xml:space="preserve">. </w:t>
      </w:r>
      <w:r>
        <w:rPr>
          <w:rFonts w:ascii="Arial" w:hAnsi="Arial" w:cs="Arial"/>
        </w:rPr>
        <w:t xml:space="preserve">Over time, </w:t>
      </w:r>
      <w:r w:rsidR="00FA6506">
        <w:rPr>
          <w:rFonts w:ascii="Arial" w:hAnsi="Arial" w:cs="Arial"/>
        </w:rPr>
        <w:t>research</w:t>
      </w:r>
      <w:r w:rsidR="00614769">
        <w:rPr>
          <w:rFonts w:ascii="Arial" w:hAnsi="Arial" w:cs="Arial"/>
        </w:rPr>
        <w:t xml:space="preserve"> has shown that it is important to</w:t>
      </w:r>
      <w:r>
        <w:rPr>
          <w:rFonts w:ascii="Arial" w:hAnsi="Arial" w:cs="Arial"/>
        </w:rPr>
        <w:t xml:space="preserve"> have these </w:t>
      </w:r>
      <w:r w:rsidR="004067A1">
        <w:rPr>
          <w:rFonts w:ascii="Arial" w:hAnsi="Arial" w:cs="Arial"/>
        </w:rPr>
        <w:t>instructions</w:t>
      </w:r>
      <w:r>
        <w:rPr>
          <w:rFonts w:ascii="Arial" w:hAnsi="Arial" w:cs="Arial"/>
        </w:rPr>
        <w:t xml:space="preserve">/definitions as close to the survey question </w:t>
      </w:r>
      <w:r w:rsidR="004067A1">
        <w:rPr>
          <w:rFonts w:ascii="Arial" w:hAnsi="Arial" w:cs="Arial"/>
        </w:rPr>
        <w:t>as possible</w:t>
      </w:r>
      <w:r w:rsidR="007E1087">
        <w:rPr>
          <w:rFonts w:ascii="Arial" w:hAnsi="Arial" w:cs="Arial"/>
        </w:rPr>
        <w:t xml:space="preserve">. Gernsbacher </w:t>
      </w:r>
      <w:r w:rsidR="009902FD">
        <w:rPr>
          <w:rFonts w:ascii="Arial" w:hAnsi="Arial" w:cs="Arial"/>
        </w:rPr>
        <w:t>(</w:t>
      </w:r>
      <w:r w:rsidR="007E1087">
        <w:rPr>
          <w:rFonts w:ascii="Arial" w:hAnsi="Arial" w:cs="Arial"/>
        </w:rPr>
        <w:t>1990</w:t>
      </w:r>
      <w:r w:rsidR="009902FD">
        <w:rPr>
          <w:rFonts w:ascii="Arial" w:hAnsi="Arial" w:cs="Arial"/>
        </w:rPr>
        <w:t>)</w:t>
      </w:r>
      <w:r w:rsidR="007E1087">
        <w:rPr>
          <w:rFonts w:ascii="Arial" w:hAnsi="Arial" w:cs="Arial"/>
        </w:rPr>
        <w:t xml:space="preserve"> found that in the case of keywords followed by definitions, respondents tend to read the keywords and ignore the definition</w:t>
      </w:r>
      <w:r w:rsidR="00FA6506">
        <w:rPr>
          <w:rFonts w:ascii="Arial" w:hAnsi="Arial" w:cs="Arial"/>
        </w:rPr>
        <w:t>s that follow</w:t>
      </w:r>
      <w:r w:rsidR="007E1087">
        <w:rPr>
          <w:rFonts w:ascii="Arial" w:hAnsi="Arial" w:cs="Arial"/>
        </w:rPr>
        <w:t xml:space="preserve">. </w:t>
      </w:r>
      <w:r w:rsidR="00614769">
        <w:rPr>
          <w:rFonts w:ascii="Arial" w:hAnsi="Arial" w:cs="Arial"/>
        </w:rPr>
        <w:t>R</w:t>
      </w:r>
      <w:r w:rsidR="004067A1">
        <w:rPr>
          <w:rFonts w:ascii="Arial" w:hAnsi="Arial" w:cs="Arial"/>
        </w:rPr>
        <w:t xml:space="preserve">espondents are </w:t>
      </w:r>
      <w:r w:rsidR="007E1087">
        <w:rPr>
          <w:rFonts w:ascii="Arial" w:hAnsi="Arial" w:cs="Arial"/>
        </w:rPr>
        <w:t xml:space="preserve">even </w:t>
      </w:r>
      <w:r w:rsidR="004067A1">
        <w:rPr>
          <w:rFonts w:ascii="Arial" w:hAnsi="Arial" w:cs="Arial"/>
        </w:rPr>
        <w:t>less inclined to</w:t>
      </w:r>
      <w:r w:rsidR="007E1087">
        <w:rPr>
          <w:rFonts w:ascii="Arial" w:hAnsi="Arial" w:cs="Arial"/>
        </w:rPr>
        <w:t xml:space="preserve"> look for auxiliary information (in instruction booklets, help screens) </w:t>
      </w:r>
      <w:r w:rsidR="004067A1">
        <w:rPr>
          <w:rFonts w:ascii="Arial" w:hAnsi="Arial" w:cs="Arial"/>
        </w:rPr>
        <w:t>when answering the survey question even if this information is necessary for answering the survey question (</w:t>
      </w:r>
      <w:r w:rsidR="007E1087">
        <w:rPr>
          <w:rFonts w:ascii="Arial" w:hAnsi="Arial" w:cs="Arial"/>
        </w:rPr>
        <w:t>Conrad et al</w:t>
      </w:r>
      <w:r w:rsidR="009902FD">
        <w:rPr>
          <w:rFonts w:ascii="Arial" w:hAnsi="Arial" w:cs="Arial"/>
        </w:rPr>
        <w:t>.,</w:t>
      </w:r>
      <w:r w:rsidR="007E1087">
        <w:rPr>
          <w:rFonts w:ascii="Arial" w:hAnsi="Arial" w:cs="Arial"/>
        </w:rPr>
        <w:t xml:space="preserve"> 2006; Sloan</w:t>
      </w:r>
      <w:r w:rsidR="009902FD">
        <w:rPr>
          <w:rFonts w:ascii="Arial" w:hAnsi="Arial" w:cs="Arial"/>
        </w:rPr>
        <w:t xml:space="preserve"> and Ott,</w:t>
      </w:r>
      <w:r w:rsidR="007E1087">
        <w:rPr>
          <w:rFonts w:ascii="Arial" w:hAnsi="Arial" w:cs="Arial"/>
        </w:rPr>
        <w:t xml:space="preserve"> 201</w:t>
      </w:r>
      <w:r w:rsidR="009902FD">
        <w:rPr>
          <w:rFonts w:ascii="Arial" w:hAnsi="Arial" w:cs="Arial"/>
        </w:rPr>
        <w:t>6</w:t>
      </w:r>
      <w:r w:rsidR="007E1087">
        <w:rPr>
          <w:rFonts w:ascii="Arial" w:hAnsi="Arial" w:cs="Arial"/>
        </w:rPr>
        <w:t xml:space="preserve">). </w:t>
      </w:r>
    </w:p>
    <w:p w14:paraId="5AEC693C" w14:textId="77777777" w:rsidR="004067A1" w:rsidRDefault="004067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08F9272" w14:textId="3C1F292D" w:rsidR="00CA6FA1" w:rsidRDefault="007E1087" w:rsidP="004067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At NASS, we often struggle with where to put our instructions and definitions and are always concerned that are respondents are not reading them. </w:t>
      </w:r>
      <w:r w:rsidR="004067A1">
        <w:rPr>
          <w:rFonts w:ascii="Arial" w:hAnsi="Arial" w:cs="Arial"/>
        </w:rPr>
        <w:t>When conducting cognitive interviews, we are often asked to probe respondents to see if they read question instructions and definitions</w:t>
      </w:r>
      <w:r w:rsidR="00CA6FA1">
        <w:rPr>
          <w:rFonts w:ascii="Arial" w:hAnsi="Arial" w:cs="Arial"/>
        </w:rPr>
        <w:t>. However, cognitive interviewing is not an ideal method for determining this as respondents are not very good at telling you what they have read and have not read (Schall and Bergstrom 2013; Guan et al.</w:t>
      </w:r>
      <w:r w:rsidR="009902FD">
        <w:rPr>
          <w:rFonts w:ascii="Arial" w:hAnsi="Arial" w:cs="Arial"/>
        </w:rPr>
        <w:t>,</w:t>
      </w:r>
      <w:r w:rsidR="00CA6FA1">
        <w:rPr>
          <w:rFonts w:ascii="Arial" w:hAnsi="Arial" w:cs="Arial"/>
        </w:rPr>
        <w:t xml:space="preserve"> 2006; Albert and Tedesco</w:t>
      </w:r>
      <w:r w:rsidR="009902FD">
        <w:rPr>
          <w:rFonts w:ascii="Arial" w:hAnsi="Arial" w:cs="Arial"/>
        </w:rPr>
        <w:t>,</w:t>
      </w:r>
      <w:r w:rsidR="00CA6FA1">
        <w:rPr>
          <w:rFonts w:ascii="Arial" w:hAnsi="Arial" w:cs="Arial"/>
        </w:rPr>
        <w:t xml:space="preserve"> 2010). In fact, we often find in cognitive interviews that respondents will answer yes to these types of probes but upon further probing it becomes clear that they did not read these instructions/definitions or if they did, they did not adhere to them.</w:t>
      </w:r>
    </w:p>
    <w:p w14:paraId="3EA18196" w14:textId="77777777" w:rsidR="00CA6FA1" w:rsidRDefault="00CA6FA1" w:rsidP="004067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24B98CD" w14:textId="3E1388E9" w:rsidR="00361640" w:rsidRDefault="004067A1" w:rsidP="007C6956">
      <w:pPr>
        <w:rPr>
          <w:rFonts w:asciiTheme="majorHAnsi" w:hAnsiTheme="majorHAnsi" w:cstheme="majorHAnsi"/>
        </w:rPr>
      </w:pPr>
      <w:r>
        <w:rPr>
          <w:rFonts w:ascii="Arial" w:hAnsi="Arial" w:cs="Arial"/>
        </w:rPr>
        <w:t>Eye tracking provides an objective me</w:t>
      </w:r>
      <w:r w:rsidR="00363ED9">
        <w:rPr>
          <w:rFonts w:ascii="Arial" w:hAnsi="Arial" w:cs="Arial"/>
        </w:rPr>
        <w:t>asure of what respondents look</w:t>
      </w:r>
      <w:r>
        <w:rPr>
          <w:rFonts w:ascii="Arial" w:hAnsi="Arial" w:cs="Arial"/>
        </w:rPr>
        <w:t xml:space="preserve"> at when completing a survey questionnaire. Using eye tracking equipment, researchers can determine what information respondents fixated on, how long they fixated on it and the </w:t>
      </w:r>
      <w:r w:rsidRPr="00CA6FA1">
        <w:rPr>
          <w:rFonts w:asciiTheme="majorHAnsi" w:hAnsiTheme="majorHAnsi" w:cstheme="majorHAnsi"/>
        </w:rPr>
        <w:t>order in which they looked at the information presented.</w:t>
      </w:r>
      <w:r w:rsidR="007C6956" w:rsidRPr="00CA6FA1">
        <w:rPr>
          <w:rFonts w:asciiTheme="majorHAnsi" w:hAnsiTheme="majorHAnsi" w:cstheme="majorHAnsi"/>
        </w:rPr>
        <w:t xml:space="preserve"> </w:t>
      </w:r>
      <w:r w:rsidR="00363ED9">
        <w:rPr>
          <w:rFonts w:asciiTheme="majorHAnsi" w:hAnsiTheme="majorHAnsi" w:cstheme="majorHAnsi"/>
        </w:rPr>
        <w:t>Of course respondents may fixate on a text such as a definition but not read it; however,</w:t>
      </w:r>
      <w:r w:rsidR="00CA6FA1" w:rsidRPr="00CA6FA1">
        <w:rPr>
          <w:rFonts w:asciiTheme="majorHAnsi" w:hAnsiTheme="majorHAnsi" w:cstheme="majorHAnsi"/>
        </w:rPr>
        <w:t xml:space="preserve"> the more time respondents spend fixating on a definition, the more it impacts their responses </w:t>
      </w:r>
      <w:r w:rsidR="00363ED9" w:rsidRPr="00CA6FA1">
        <w:rPr>
          <w:rFonts w:asciiTheme="majorHAnsi" w:hAnsiTheme="majorHAnsi" w:cstheme="majorHAnsi"/>
        </w:rPr>
        <w:lastRenderedPageBreak/>
        <w:t>(Galesic, Tourangeau, Couper and Conrad</w:t>
      </w:r>
      <w:r w:rsidR="00363ED9">
        <w:rPr>
          <w:rFonts w:asciiTheme="majorHAnsi" w:hAnsiTheme="majorHAnsi" w:cstheme="majorHAnsi"/>
        </w:rPr>
        <w:t>, 2008</w:t>
      </w:r>
      <w:r w:rsidR="00363ED9" w:rsidRPr="00CA6FA1">
        <w:rPr>
          <w:rFonts w:asciiTheme="majorHAnsi" w:hAnsiTheme="majorHAnsi" w:cstheme="majorHAnsi"/>
        </w:rPr>
        <w:t>).</w:t>
      </w:r>
    </w:p>
    <w:p w14:paraId="0E782777" w14:textId="77777777" w:rsidR="00363ED9" w:rsidRDefault="00363ED9" w:rsidP="007C6956">
      <w:pPr>
        <w:rPr>
          <w:rFonts w:asciiTheme="majorHAnsi" w:hAnsiTheme="majorHAnsi" w:cstheme="majorHAnsi"/>
        </w:rPr>
      </w:pPr>
    </w:p>
    <w:p w14:paraId="05A17986" w14:textId="7BBE2635" w:rsidR="002838EB" w:rsidRDefault="00361640" w:rsidP="00361640">
      <w:pPr>
        <w:rPr>
          <w:rFonts w:asciiTheme="minorHAnsi" w:hAnsiTheme="minorHAnsi" w:cstheme="minorHAnsi"/>
        </w:rPr>
      </w:pPr>
      <w:r>
        <w:rPr>
          <w:rFonts w:asciiTheme="majorHAnsi" w:hAnsiTheme="majorHAnsi" w:cstheme="majorHAnsi"/>
        </w:rPr>
        <w:t>The purpose of the current study is to d</w:t>
      </w:r>
      <w:r w:rsidR="007C6956" w:rsidRPr="00CA6FA1">
        <w:rPr>
          <w:rFonts w:asciiTheme="majorHAnsi" w:hAnsiTheme="majorHAnsi" w:cstheme="majorHAnsi"/>
        </w:rPr>
        <w:t xml:space="preserve">etermine the optimal placement of </w:t>
      </w:r>
      <w:r w:rsidR="00363ED9">
        <w:rPr>
          <w:rFonts w:asciiTheme="majorHAnsi" w:hAnsiTheme="majorHAnsi" w:cstheme="majorHAnsi"/>
        </w:rPr>
        <w:t xml:space="preserve">question </w:t>
      </w:r>
      <w:r w:rsidR="007C6956" w:rsidRPr="00CA6FA1">
        <w:rPr>
          <w:rFonts w:asciiTheme="majorHAnsi" w:hAnsiTheme="majorHAnsi" w:cstheme="majorHAnsi"/>
        </w:rPr>
        <w:t>instructions and definitions to increase the</w:t>
      </w:r>
      <w:r w:rsidR="007C6956">
        <w:rPr>
          <w:rFonts w:ascii="Arial" w:hAnsi="Arial" w:cs="Arial"/>
        </w:rPr>
        <w:t xml:space="preserve"> likelihood that they are seen by most respondents. NASS would like to conduct eye tracking to evaluate 5 common formats used on </w:t>
      </w:r>
      <w:r w:rsidR="007C6956" w:rsidRPr="00361640">
        <w:rPr>
          <w:rFonts w:asciiTheme="minorHAnsi" w:hAnsiTheme="minorHAnsi" w:cstheme="minorHAnsi"/>
        </w:rPr>
        <w:t xml:space="preserve">our surveys: </w:t>
      </w:r>
    </w:p>
    <w:p w14:paraId="328ECB62" w14:textId="77777777" w:rsidR="00363ED9" w:rsidRPr="00361640" w:rsidRDefault="00363ED9" w:rsidP="00361640">
      <w:pPr>
        <w:rPr>
          <w:rFonts w:asciiTheme="minorHAnsi" w:hAnsiTheme="minorHAnsi" w:cstheme="minorHAnsi"/>
        </w:rPr>
      </w:pPr>
    </w:p>
    <w:p w14:paraId="7B79DBE9" w14:textId="77777777" w:rsidR="007C6956" w:rsidRPr="00361640" w:rsidRDefault="007C6956" w:rsidP="007C6956">
      <w:pPr>
        <w:pStyle w:val="ListParagraph"/>
        <w:widowControl/>
        <w:numPr>
          <w:ilvl w:val="0"/>
          <w:numId w:val="19"/>
        </w:numPr>
        <w:autoSpaceDE/>
        <w:autoSpaceDN/>
        <w:adjustRightInd/>
        <w:spacing w:after="160" w:line="259" w:lineRule="auto"/>
        <w:rPr>
          <w:rFonts w:asciiTheme="minorHAnsi" w:hAnsiTheme="minorHAnsi" w:cstheme="minorHAnsi"/>
        </w:rPr>
      </w:pPr>
      <w:r w:rsidRPr="00361640">
        <w:rPr>
          <w:rFonts w:asciiTheme="minorHAnsi" w:hAnsiTheme="minorHAnsi" w:cstheme="minorHAnsi"/>
        </w:rPr>
        <w:t>Definitions preceding survey questions</w:t>
      </w:r>
    </w:p>
    <w:p w14:paraId="0CF680BE" w14:textId="7B89DD1C" w:rsidR="007C6956" w:rsidRPr="00361640" w:rsidRDefault="007C6956" w:rsidP="007C6956">
      <w:pPr>
        <w:pStyle w:val="ListParagraph"/>
        <w:widowControl/>
        <w:numPr>
          <w:ilvl w:val="0"/>
          <w:numId w:val="19"/>
        </w:numPr>
        <w:autoSpaceDE/>
        <w:autoSpaceDN/>
        <w:adjustRightInd/>
        <w:spacing w:after="160" w:line="259" w:lineRule="auto"/>
        <w:rPr>
          <w:rFonts w:asciiTheme="minorHAnsi" w:hAnsiTheme="minorHAnsi" w:cstheme="minorHAnsi"/>
        </w:rPr>
      </w:pPr>
      <w:r w:rsidRPr="00361640">
        <w:rPr>
          <w:rFonts w:asciiTheme="minorHAnsi" w:hAnsiTheme="minorHAnsi" w:cstheme="minorHAnsi"/>
        </w:rPr>
        <w:t>Definitions following survey questions</w:t>
      </w:r>
    </w:p>
    <w:p w14:paraId="6620E706" w14:textId="77777777" w:rsidR="00434D3D" w:rsidRDefault="00434D3D" w:rsidP="00434D3D">
      <w:pPr>
        <w:pStyle w:val="ListParagraph"/>
        <w:widowControl/>
        <w:numPr>
          <w:ilvl w:val="0"/>
          <w:numId w:val="19"/>
        </w:numPr>
        <w:autoSpaceDE/>
        <w:autoSpaceDN/>
        <w:adjustRightInd/>
        <w:spacing w:after="160" w:line="259" w:lineRule="auto"/>
        <w:rPr>
          <w:rFonts w:asciiTheme="minorHAnsi" w:hAnsiTheme="minorHAnsi" w:cstheme="minorHAnsi"/>
        </w:rPr>
      </w:pPr>
      <w:r>
        <w:rPr>
          <w:rFonts w:asciiTheme="minorHAnsi" w:hAnsiTheme="minorHAnsi" w:cstheme="minorHAnsi"/>
        </w:rPr>
        <w:t>Definitions</w:t>
      </w:r>
      <w:r w:rsidR="007C6956" w:rsidRPr="00361640">
        <w:rPr>
          <w:rFonts w:asciiTheme="minorHAnsi" w:hAnsiTheme="minorHAnsi" w:cstheme="minorHAnsi"/>
        </w:rPr>
        <w:t xml:space="preserve"> embedded within a matrix</w:t>
      </w:r>
      <w:r w:rsidRPr="00434D3D">
        <w:rPr>
          <w:rFonts w:asciiTheme="minorHAnsi" w:hAnsiTheme="minorHAnsi" w:cstheme="minorHAnsi"/>
        </w:rPr>
        <w:t xml:space="preserve"> </w:t>
      </w:r>
    </w:p>
    <w:p w14:paraId="35270F39" w14:textId="77777777" w:rsidR="00434D3D" w:rsidRDefault="00434D3D" w:rsidP="00434D3D">
      <w:pPr>
        <w:pStyle w:val="ListParagraph"/>
        <w:widowControl/>
        <w:numPr>
          <w:ilvl w:val="0"/>
          <w:numId w:val="19"/>
        </w:numPr>
        <w:autoSpaceDE/>
        <w:autoSpaceDN/>
        <w:adjustRightInd/>
        <w:spacing w:after="160" w:line="259" w:lineRule="auto"/>
        <w:rPr>
          <w:rFonts w:asciiTheme="minorHAnsi" w:hAnsiTheme="minorHAnsi" w:cstheme="minorHAnsi"/>
        </w:rPr>
      </w:pPr>
      <w:r>
        <w:rPr>
          <w:rFonts w:asciiTheme="minorHAnsi" w:hAnsiTheme="minorHAnsi" w:cstheme="minorHAnsi"/>
        </w:rPr>
        <w:t>I</w:t>
      </w:r>
      <w:r w:rsidRPr="00361640">
        <w:rPr>
          <w:rFonts w:asciiTheme="minorHAnsi" w:hAnsiTheme="minorHAnsi" w:cstheme="minorHAnsi"/>
        </w:rPr>
        <w:t>nclude and exclude statements</w:t>
      </w:r>
      <w:r>
        <w:rPr>
          <w:rFonts w:asciiTheme="minorHAnsi" w:hAnsiTheme="minorHAnsi" w:cstheme="minorHAnsi"/>
        </w:rPr>
        <w:t xml:space="preserve"> within the survey questions</w:t>
      </w:r>
    </w:p>
    <w:p w14:paraId="5DBD6162" w14:textId="4ADA9061" w:rsidR="007C6956" w:rsidRPr="00434D3D" w:rsidRDefault="00434D3D" w:rsidP="00434D3D">
      <w:pPr>
        <w:pStyle w:val="ListParagraph"/>
        <w:widowControl/>
        <w:numPr>
          <w:ilvl w:val="0"/>
          <w:numId w:val="19"/>
        </w:numPr>
        <w:autoSpaceDE/>
        <w:autoSpaceDN/>
        <w:adjustRightInd/>
        <w:spacing w:after="160" w:line="259" w:lineRule="auto"/>
        <w:rPr>
          <w:rFonts w:asciiTheme="minorHAnsi" w:hAnsiTheme="minorHAnsi" w:cstheme="minorHAnsi"/>
        </w:rPr>
      </w:pPr>
      <w:r w:rsidRPr="00361640">
        <w:rPr>
          <w:rFonts w:asciiTheme="minorHAnsi" w:hAnsiTheme="minorHAnsi" w:cstheme="minorHAnsi"/>
        </w:rPr>
        <w:t>Double banked include and exclude statements</w:t>
      </w:r>
    </w:p>
    <w:p w14:paraId="04E0B9A0" w14:textId="3DE1A9F0" w:rsidR="00A02CE1" w:rsidRDefault="00E954EF"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Specifically, NASS survey methodologists would like to answer th</w:t>
      </w:r>
      <w:r w:rsidR="007C6956">
        <w:rPr>
          <w:rFonts w:ascii="Arial" w:hAnsi="Arial" w:cs="Arial"/>
        </w:rPr>
        <w:t>e following research question: Which instruction</w:t>
      </w:r>
      <w:r w:rsidR="00434D3D">
        <w:rPr>
          <w:rFonts w:ascii="Arial" w:hAnsi="Arial" w:cs="Arial"/>
        </w:rPr>
        <w:t>/definition</w:t>
      </w:r>
      <w:r w:rsidR="007C6956">
        <w:rPr>
          <w:rFonts w:ascii="Arial" w:hAnsi="Arial" w:cs="Arial"/>
        </w:rPr>
        <w:t xml:space="preserve"> format(s) are respondents more likely to attend to when completing a survey questionnaire. </w:t>
      </w:r>
    </w:p>
    <w:p w14:paraId="12FFC6B0" w14:textId="77777777" w:rsidR="00361640" w:rsidRPr="00BB4046" w:rsidRDefault="00361640"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2167C69E" w14:textId="26668977" w:rsidR="00BB4046" w:rsidRPr="00BB4046" w:rsidRDefault="00843C55" w:rsidP="00843C55">
      <w:pPr>
        <w:rPr>
          <w:rFonts w:asciiTheme="minorHAnsi" w:hAnsiTheme="minorHAnsi" w:cstheme="minorHAnsi"/>
        </w:rPr>
      </w:pPr>
      <w:r w:rsidRPr="00BB4046">
        <w:rPr>
          <w:rFonts w:asciiTheme="minorHAnsi" w:hAnsiTheme="minorHAnsi" w:cstheme="minorHAnsi"/>
        </w:rPr>
        <w:t xml:space="preserve">In this study, </w:t>
      </w:r>
      <w:r w:rsidR="00274CEA">
        <w:rPr>
          <w:rFonts w:asciiTheme="minorHAnsi" w:hAnsiTheme="minorHAnsi" w:cstheme="minorHAnsi"/>
        </w:rPr>
        <w:t>participants</w:t>
      </w:r>
      <w:r w:rsidR="002647B1" w:rsidRPr="00BB4046">
        <w:rPr>
          <w:rFonts w:asciiTheme="minorHAnsi" w:hAnsiTheme="minorHAnsi" w:cstheme="minorHAnsi"/>
        </w:rPr>
        <w:t xml:space="preserve"> will be recruited from the general population. </w:t>
      </w:r>
      <w:r w:rsidR="00BB4046" w:rsidRPr="00BB4046">
        <w:rPr>
          <w:rFonts w:asciiTheme="minorHAnsi" w:hAnsiTheme="minorHAnsi" w:cstheme="minorHAnsi"/>
          <w:color w:val="000000"/>
        </w:rPr>
        <w:t>We are aiming to get eye tracking data from 30 participants.  Because the eye tracking equipment does not work for everyone, we may need to run up to 40 participants. </w:t>
      </w:r>
    </w:p>
    <w:p w14:paraId="70C6481A" w14:textId="77777777" w:rsidR="00BB4046" w:rsidRDefault="00BB4046" w:rsidP="00843C55">
      <w:pPr>
        <w:rPr>
          <w:rFonts w:asciiTheme="majorHAnsi" w:hAnsiTheme="majorHAnsi" w:cstheme="majorHAnsi"/>
        </w:rPr>
      </w:pPr>
    </w:p>
    <w:p w14:paraId="089035C5" w14:textId="0E832584" w:rsidR="002647B1" w:rsidRDefault="002647B1" w:rsidP="00843C55">
      <w:pPr>
        <w:rPr>
          <w:rFonts w:asciiTheme="majorHAnsi" w:hAnsiTheme="majorHAnsi" w:cstheme="majorHAnsi"/>
        </w:rPr>
      </w:pPr>
      <w:r>
        <w:rPr>
          <w:rFonts w:asciiTheme="majorHAnsi" w:hAnsiTheme="majorHAnsi" w:cstheme="majorHAnsi"/>
        </w:rPr>
        <w:t>For the survey questions, w</w:t>
      </w:r>
      <w:r w:rsidRPr="00843C55">
        <w:rPr>
          <w:rFonts w:asciiTheme="majorHAnsi" w:hAnsiTheme="majorHAnsi" w:cstheme="majorHAnsi"/>
        </w:rPr>
        <w:t>e selected question topics that could be answered by any member of the public. These questions c</w:t>
      </w:r>
      <w:r>
        <w:rPr>
          <w:rFonts w:asciiTheme="majorHAnsi" w:hAnsiTheme="majorHAnsi" w:cstheme="majorHAnsi"/>
        </w:rPr>
        <w:t>o</w:t>
      </w:r>
      <w:r w:rsidRPr="00843C55">
        <w:rPr>
          <w:rFonts w:asciiTheme="majorHAnsi" w:hAnsiTheme="majorHAnsi" w:cstheme="majorHAnsi"/>
        </w:rPr>
        <w:t>me from different household surveys and some cases were modified for the study purposes. Topics include health behaviors and conditions</w:t>
      </w:r>
      <w:r>
        <w:rPr>
          <w:rFonts w:asciiTheme="majorHAnsi" w:hAnsiTheme="majorHAnsi" w:cstheme="majorHAnsi"/>
        </w:rPr>
        <w:t>, and transportation expenses. We are not interested in their interpretations of the survey questions or their responses per se, but rather which format encouraged them to read the associated instructions and definitions. Two versions of the survey have been created to randomize the order in which respondents see the question formats</w:t>
      </w:r>
      <w:r w:rsidR="009A187D">
        <w:rPr>
          <w:rFonts w:asciiTheme="majorHAnsi" w:hAnsiTheme="majorHAnsi" w:cstheme="majorHAnsi"/>
        </w:rPr>
        <w:t xml:space="preserve"> (see table below)</w:t>
      </w:r>
      <w:r>
        <w:rPr>
          <w:rFonts w:asciiTheme="majorHAnsi" w:hAnsiTheme="majorHAnsi" w:cstheme="majorHAnsi"/>
        </w:rPr>
        <w:t xml:space="preserve">. </w:t>
      </w:r>
      <w:r w:rsidR="00274CEA">
        <w:rPr>
          <w:rFonts w:asciiTheme="majorHAnsi" w:hAnsiTheme="majorHAnsi" w:cstheme="majorHAnsi"/>
        </w:rPr>
        <w:t>Participants</w:t>
      </w:r>
      <w:r>
        <w:rPr>
          <w:rFonts w:asciiTheme="majorHAnsi" w:hAnsiTheme="majorHAnsi" w:cstheme="majorHAnsi"/>
        </w:rPr>
        <w:t xml:space="preserve"> will be randomly assigned to one of the surveys. </w:t>
      </w:r>
    </w:p>
    <w:p w14:paraId="244ADE2C" w14:textId="77777777" w:rsidR="009A187D" w:rsidRDefault="009A187D" w:rsidP="00843C55">
      <w:pPr>
        <w:rPr>
          <w:rFonts w:asciiTheme="majorHAnsi" w:hAnsiTheme="majorHAnsi" w:cstheme="majorHAnsi"/>
        </w:rPr>
      </w:pPr>
    </w:p>
    <w:tbl>
      <w:tblPr>
        <w:tblStyle w:val="TableGrid"/>
        <w:tblW w:w="0" w:type="auto"/>
        <w:tblLook w:val="04A0" w:firstRow="1" w:lastRow="0" w:firstColumn="1" w:lastColumn="0" w:noHBand="0" w:noVBand="1"/>
      </w:tblPr>
      <w:tblGrid>
        <w:gridCol w:w="4544"/>
        <w:gridCol w:w="4492"/>
      </w:tblGrid>
      <w:tr w:rsidR="009A187D" w:rsidRPr="00196F3A" w14:paraId="2B317B10" w14:textId="77777777" w:rsidTr="004C4431">
        <w:tc>
          <w:tcPr>
            <w:tcW w:w="4675" w:type="dxa"/>
          </w:tcPr>
          <w:p w14:paraId="3C948978" w14:textId="77777777" w:rsidR="009A187D" w:rsidRPr="009A187D" w:rsidRDefault="009A187D" w:rsidP="004C4431">
            <w:pPr>
              <w:rPr>
                <w:rFonts w:ascii="Arial" w:hAnsi="Arial" w:cs="Arial"/>
                <w:b/>
              </w:rPr>
            </w:pPr>
            <w:r w:rsidRPr="009A187D">
              <w:rPr>
                <w:rFonts w:ascii="Arial" w:hAnsi="Arial" w:cs="Arial"/>
                <w:b/>
              </w:rPr>
              <w:t xml:space="preserve">Survey 1 </w:t>
            </w:r>
          </w:p>
          <w:p w14:paraId="296AA3E0" w14:textId="77777777" w:rsidR="009A187D" w:rsidRPr="009A187D" w:rsidRDefault="009A187D" w:rsidP="009A187D">
            <w:pPr>
              <w:pStyle w:val="ListParagraph"/>
              <w:widowControl/>
              <w:numPr>
                <w:ilvl w:val="0"/>
                <w:numId w:val="22"/>
              </w:numPr>
              <w:autoSpaceDE/>
              <w:autoSpaceDN/>
              <w:adjustRightInd/>
              <w:rPr>
                <w:rFonts w:ascii="Arial" w:hAnsi="Arial" w:cs="Arial"/>
              </w:rPr>
            </w:pPr>
            <w:r w:rsidRPr="009A187D">
              <w:rPr>
                <w:rFonts w:ascii="Arial" w:hAnsi="Arial" w:cs="Arial"/>
              </w:rPr>
              <w:t>Definition after question</w:t>
            </w:r>
          </w:p>
          <w:p w14:paraId="7B1D95B3" w14:textId="77777777" w:rsidR="009A187D" w:rsidRPr="009A187D" w:rsidRDefault="009A187D" w:rsidP="009A187D">
            <w:pPr>
              <w:pStyle w:val="ListParagraph"/>
              <w:widowControl/>
              <w:numPr>
                <w:ilvl w:val="0"/>
                <w:numId w:val="22"/>
              </w:numPr>
              <w:autoSpaceDE/>
              <w:autoSpaceDN/>
              <w:adjustRightInd/>
              <w:rPr>
                <w:rFonts w:ascii="Arial" w:hAnsi="Arial" w:cs="Arial"/>
              </w:rPr>
            </w:pPr>
            <w:r w:rsidRPr="009A187D">
              <w:rPr>
                <w:rFonts w:ascii="Arial" w:hAnsi="Arial" w:cs="Arial"/>
              </w:rPr>
              <w:t>Definition before question</w:t>
            </w:r>
          </w:p>
          <w:p w14:paraId="0A7DD2F1" w14:textId="084ABCBD" w:rsidR="009A187D" w:rsidRPr="009A187D" w:rsidRDefault="009A187D" w:rsidP="009A187D">
            <w:pPr>
              <w:pStyle w:val="ListParagraph"/>
              <w:widowControl/>
              <w:numPr>
                <w:ilvl w:val="0"/>
                <w:numId w:val="22"/>
              </w:numPr>
              <w:autoSpaceDE/>
              <w:autoSpaceDN/>
              <w:adjustRightInd/>
              <w:rPr>
                <w:rFonts w:ascii="Arial" w:hAnsi="Arial" w:cs="Arial"/>
              </w:rPr>
            </w:pPr>
            <w:r>
              <w:rPr>
                <w:rFonts w:ascii="Arial" w:hAnsi="Arial" w:cs="Arial"/>
              </w:rPr>
              <w:t>D</w:t>
            </w:r>
            <w:r w:rsidRPr="009A187D">
              <w:rPr>
                <w:rFonts w:ascii="Arial" w:hAnsi="Arial" w:cs="Arial"/>
              </w:rPr>
              <w:t>efinition inside matrix</w:t>
            </w:r>
          </w:p>
          <w:p w14:paraId="050BECB0" w14:textId="230B5DDE" w:rsidR="009A187D" w:rsidRPr="009A187D" w:rsidRDefault="009A187D" w:rsidP="009A187D">
            <w:pPr>
              <w:pStyle w:val="ListParagraph"/>
              <w:widowControl/>
              <w:numPr>
                <w:ilvl w:val="0"/>
                <w:numId w:val="22"/>
              </w:numPr>
              <w:autoSpaceDE/>
              <w:autoSpaceDN/>
              <w:adjustRightInd/>
              <w:rPr>
                <w:rFonts w:ascii="Arial" w:hAnsi="Arial" w:cs="Arial"/>
              </w:rPr>
            </w:pPr>
            <w:r w:rsidRPr="009A187D">
              <w:rPr>
                <w:rFonts w:ascii="Arial" w:hAnsi="Arial" w:cs="Arial"/>
              </w:rPr>
              <w:t>Include/exclude within question first followed by bulleted include/exclude</w:t>
            </w:r>
          </w:p>
        </w:tc>
        <w:tc>
          <w:tcPr>
            <w:tcW w:w="4675" w:type="dxa"/>
          </w:tcPr>
          <w:p w14:paraId="3583C9DF" w14:textId="77777777" w:rsidR="009A187D" w:rsidRPr="009A187D" w:rsidRDefault="009A187D" w:rsidP="004C4431">
            <w:pPr>
              <w:rPr>
                <w:rFonts w:ascii="Arial" w:hAnsi="Arial" w:cs="Arial"/>
                <w:b/>
              </w:rPr>
            </w:pPr>
            <w:r w:rsidRPr="009A187D">
              <w:rPr>
                <w:rFonts w:ascii="Arial" w:hAnsi="Arial" w:cs="Arial"/>
                <w:b/>
              </w:rPr>
              <w:t>Survey 2</w:t>
            </w:r>
          </w:p>
          <w:p w14:paraId="1BE430C1" w14:textId="77777777" w:rsidR="009A187D" w:rsidRPr="009A187D" w:rsidRDefault="009A187D" w:rsidP="009A187D">
            <w:pPr>
              <w:pStyle w:val="ListParagraph"/>
              <w:widowControl/>
              <w:numPr>
                <w:ilvl w:val="0"/>
                <w:numId w:val="22"/>
              </w:numPr>
              <w:autoSpaceDE/>
              <w:autoSpaceDN/>
              <w:adjustRightInd/>
              <w:rPr>
                <w:rFonts w:ascii="Arial" w:hAnsi="Arial" w:cs="Arial"/>
              </w:rPr>
            </w:pPr>
            <w:r w:rsidRPr="009A187D">
              <w:rPr>
                <w:rFonts w:ascii="Arial" w:hAnsi="Arial" w:cs="Arial"/>
              </w:rPr>
              <w:t>Definition before question</w:t>
            </w:r>
          </w:p>
          <w:p w14:paraId="1C2F0D32" w14:textId="77777777" w:rsidR="009A187D" w:rsidRPr="009A187D" w:rsidRDefault="009A187D" w:rsidP="009A187D">
            <w:pPr>
              <w:pStyle w:val="ListParagraph"/>
              <w:widowControl/>
              <w:numPr>
                <w:ilvl w:val="0"/>
                <w:numId w:val="22"/>
              </w:numPr>
              <w:autoSpaceDE/>
              <w:autoSpaceDN/>
              <w:adjustRightInd/>
              <w:rPr>
                <w:rFonts w:ascii="Arial" w:hAnsi="Arial" w:cs="Arial"/>
              </w:rPr>
            </w:pPr>
            <w:r w:rsidRPr="009A187D">
              <w:rPr>
                <w:rFonts w:ascii="Arial" w:hAnsi="Arial" w:cs="Arial"/>
              </w:rPr>
              <w:t>Definition after question</w:t>
            </w:r>
          </w:p>
          <w:p w14:paraId="56C11B96" w14:textId="77777777" w:rsidR="009A187D" w:rsidRDefault="009A187D" w:rsidP="009A187D">
            <w:pPr>
              <w:pStyle w:val="ListParagraph"/>
              <w:widowControl/>
              <w:numPr>
                <w:ilvl w:val="0"/>
                <w:numId w:val="22"/>
              </w:numPr>
              <w:autoSpaceDE/>
              <w:autoSpaceDN/>
              <w:adjustRightInd/>
              <w:rPr>
                <w:rFonts w:ascii="Arial" w:hAnsi="Arial" w:cs="Arial"/>
              </w:rPr>
            </w:pPr>
            <w:r>
              <w:rPr>
                <w:rFonts w:ascii="Arial" w:hAnsi="Arial" w:cs="Arial"/>
              </w:rPr>
              <w:t>D</w:t>
            </w:r>
            <w:r w:rsidRPr="009A187D">
              <w:rPr>
                <w:rFonts w:ascii="Arial" w:hAnsi="Arial" w:cs="Arial"/>
              </w:rPr>
              <w:t xml:space="preserve">efinition inside matrix </w:t>
            </w:r>
          </w:p>
          <w:p w14:paraId="012608EF" w14:textId="4DF29B6B" w:rsidR="009A187D" w:rsidRPr="009A187D" w:rsidRDefault="009A187D" w:rsidP="009A187D">
            <w:pPr>
              <w:pStyle w:val="ListParagraph"/>
              <w:widowControl/>
              <w:numPr>
                <w:ilvl w:val="0"/>
                <w:numId w:val="22"/>
              </w:numPr>
              <w:autoSpaceDE/>
              <w:autoSpaceDN/>
              <w:adjustRightInd/>
              <w:rPr>
                <w:rFonts w:ascii="Arial" w:hAnsi="Arial" w:cs="Arial"/>
              </w:rPr>
            </w:pPr>
            <w:r w:rsidRPr="009A187D">
              <w:rPr>
                <w:rFonts w:ascii="Arial" w:hAnsi="Arial" w:cs="Arial"/>
              </w:rPr>
              <w:t xml:space="preserve">Bulleted include/exclude first followed by include/exclude within question </w:t>
            </w:r>
          </w:p>
        </w:tc>
      </w:tr>
    </w:tbl>
    <w:p w14:paraId="6D504C85" w14:textId="77777777" w:rsidR="009A187D" w:rsidRDefault="009A187D" w:rsidP="00843C55">
      <w:pPr>
        <w:rPr>
          <w:rFonts w:asciiTheme="majorHAnsi" w:hAnsiTheme="majorHAnsi" w:cstheme="majorHAnsi"/>
        </w:rPr>
      </w:pPr>
    </w:p>
    <w:p w14:paraId="76EB640C" w14:textId="77777777" w:rsidR="002647B1" w:rsidRDefault="002647B1" w:rsidP="00843C55">
      <w:pPr>
        <w:rPr>
          <w:rFonts w:asciiTheme="majorHAnsi" w:hAnsiTheme="majorHAnsi" w:cstheme="majorHAnsi"/>
        </w:rPr>
      </w:pPr>
    </w:p>
    <w:p w14:paraId="76A201AC" w14:textId="19EB0FD8" w:rsidR="002647B1" w:rsidRDefault="00274CEA" w:rsidP="00843C55">
      <w:pPr>
        <w:rPr>
          <w:rFonts w:asciiTheme="minorHAnsi" w:hAnsiTheme="minorHAnsi" w:cstheme="minorHAnsi"/>
        </w:rPr>
      </w:pPr>
      <w:r>
        <w:rPr>
          <w:rFonts w:asciiTheme="majorHAnsi" w:hAnsiTheme="majorHAnsi" w:cstheme="majorHAnsi"/>
        </w:rPr>
        <w:t>Participants</w:t>
      </w:r>
      <w:r w:rsidR="00843C55" w:rsidRPr="00843C55">
        <w:rPr>
          <w:rFonts w:asciiTheme="majorHAnsi" w:hAnsiTheme="majorHAnsi" w:cstheme="majorHAnsi"/>
        </w:rPr>
        <w:t xml:space="preserve"> will complete a short online survey while the Tobii eye tracker monitors their eye movements. We will evaluate the results of the eye tracking to identify any patterns in their reading</w:t>
      </w:r>
      <w:r w:rsidR="00843C55">
        <w:rPr>
          <w:rFonts w:asciiTheme="majorHAnsi" w:hAnsiTheme="majorHAnsi" w:cstheme="majorHAnsi"/>
        </w:rPr>
        <w:t>.</w:t>
      </w:r>
      <w:r w:rsidR="00843C55" w:rsidRPr="00843C55">
        <w:t xml:space="preserve"> </w:t>
      </w:r>
    </w:p>
    <w:p w14:paraId="38548B7A" w14:textId="77777777" w:rsidR="002647B1" w:rsidRDefault="002647B1" w:rsidP="00843C55">
      <w:pPr>
        <w:rPr>
          <w:rFonts w:asciiTheme="minorHAnsi" w:hAnsiTheme="minorHAnsi" w:cstheme="minorHAnsi"/>
        </w:rPr>
      </w:pPr>
    </w:p>
    <w:p w14:paraId="07075C99" w14:textId="7639A3FE" w:rsidR="00843C55" w:rsidRDefault="002647B1" w:rsidP="00843C55">
      <w:pPr>
        <w:rPr>
          <w:rFonts w:asciiTheme="minorHAnsi" w:hAnsiTheme="minorHAnsi" w:cstheme="minorHAnsi"/>
        </w:rPr>
      </w:pPr>
      <w:r>
        <w:rPr>
          <w:rFonts w:asciiTheme="minorHAnsi" w:hAnsiTheme="minorHAnsi" w:cstheme="minorHAnsi"/>
        </w:rPr>
        <w:t>A</w:t>
      </w:r>
      <w:r w:rsidR="00843C55" w:rsidRPr="00843C55">
        <w:rPr>
          <w:rFonts w:asciiTheme="minorHAnsi" w:hAnsiTheme="minorHAnsi" w:cstheme="minorHAnsi"/>
        </w:rPr>
        <w:t xml:space="preserve">fter they complete the survey, we will conduct a post-test interview addressing their </w:t>
      </w:r>
      <w:r w:rsidR="00843C55" w:rsidRPr="00843C55">
        <w:rPr>
          <w:rFonts w:asciiTheme="minorHAnsi" w:hAnsiTheme="minorHAnsi" w:cstheme="minorHAnsi"/>
        </w:rPr>
        <w:lastRenderedPageBreak/>
        <w:t xml:space="preserve">thoughts about the different question formatting options. </w:t>
      </w:r>
      <w:r w:rsidR="00363ED9">
        <w:rPr>
          <w:rFonts w:asciiTheme="minorHAnsi" w:hAnsiTheme="minorHAnsi" w:cstheme="minorHAnsi"/>
        </w:rPr>
        <w:t>T</w:t>
      </w:r>
      <w:r w:rsidR="00843C55" w:rsidRPr="00843C55">
        <w:rPr>
          <w:rFonts w:asciiTheme="minorHAnsi" w:hAnsiTheme="minorHAnsi" w:cstheme="minorHAnsi"/>
        </w:rPr>
        <w:t>he interview will cover the following questions:</w:t>
      </w:r>
    </w:p>
    <w:p w14:paraId="48CCB112" w14:textId="77777777" w:rsidR="00363ED9" w:rsidRPr="00843C55" w:rsidRDefault="00363ED9" w:rsidP="00843C55">
      <w:pPr>
        <w:rPr>
          <w:rFonts w:asciiTheme="minorHAnsi" w:hAnsiTheme="minorHAnsi" w:cstheme="minorHAnsi"/>
        </w:rPr>
      </w:pPr>
    </w:p>
    <w:p w14:paraId="0207F619" w14:textId="65748F91" w:rsidR="002647B1" w:rsidRPr="002647B1" w:rsidRDefault="00843C55" w:rsidP="00843C55">
      <w:pPr>
        <w:pStyle w:val="ListParagraph"/>
        <w:numPr>
          <w:ilvl w:val="0"/>
          <w:numId w:val="21"/>
        </w:numPr>
        <w:rPr>
          <w:rFonts w:asciiTheme="minorHAnsi" w:hAnsiTheme="minorHAnsi" w:cstheme="minorHAnsi"/>
        </w:rPr>
      </w:pPr>
      <w:r w:rsidRPr="002647B1">
        <w:rPr>
          <w:rFonts w:asciiTheme="minorHAnsi" w:hAnsiTheme="minorHAnsi" w:cstheme="minorHAnsi"/>
        </w:rPr>
        <w:t xml:space="preserve">In this study, we are looking at how the format of the question can impact responses. Specifically, we are interested in the formatting on the instructions and definitions associated with the survey questions. Did you </w:t>
      </w:r>
      <w:r w:rsidR="002647B1" w:rsidRPr="002647B1">
        <w:rPr>
          <w:rFonts w:asciiTheme="minorHAnsi" w:hAnsiTheme="minorHAnsi" w:cstheme="minorHAnsi"/>
        </w:rPr>
        <w:t>notice</w:t>
      </w:r>
      <w:r w:rsidR="002647B1">
        <w:rPr>
          <w:rFonts w:asciiTheme="minorHAnsi" w:hAnsiTheme="minorHAnsi" w:cstheme="minorHAnsi"/>
        </w:rPr>
        <w:t>/read</w:t>
      </w:r>
      <w:r w:rsidR="002647B1" w:rsidRPr="002647B1">
        <w:rPr>
          <w:rFonts w:asciiTheme="minorHAnsi" w:hAnsiTheme="minorHAnsi" w:cstheme="minorHAnsi"/>
        </w:rPr>
        <w:t xml:space="preserve"> the definitions as you were reading the survey questions? </w:t>
      </w:r>
    </w:p>
    <w:p w14:paraId="573AFB52" w14:textId="3C6FB152" w:rsidR="00843C55" w:rsidRPr="002647B1" w:rsidRDefault="002647B1" w:rsidP="00843C55">
      <w:pPr>
        <w:pStyle w:val="ListParagraph"/>
        <w:numPr>
          <w:ilvl w:val="0"/>
          <w:numId w:val="21"/>
        </w:numPr>
        <w:rPr>
          <w:rFonts w:asciiTheme="minorHAnsi" w:hAnsiTheme="minorHAnsi" w:cstheme="minorHAnsi"/>
        </w:rPr>
      </w:pPr>
      <w:r w:rsidRPr="002647B1">
        <w:rPr>
          <w:rFonts w:asciiTheme="minorHAnsi" w:hAnsiTheme="minorHAnsi" w:cstheme="minorHAnsi"/>
        </w:rPr>
        <w:t xml:space="preserve">Do you </w:t>
      </w:r>
      <w:r w:rsidR="00843C55" w:rsidRPr="002647B1">
        <w:rPr>
          <w:rFonts w:asciiTheme="minorHAnsi" w:hAnsiTheme="minorHAnsi" w:cstheme="minorHAnsi"/>
        </w:rPr>
        <w:t xml:space="preserve">have any </w:t>
      </w:r>
      <w:r w:rsidRPr="002647B1">
        <w:rPr>
          <w:rFonts w:asciiTheme="minorHAnsi" w:hAnsiTheme="minorHAnsi" w:cstheme="minorHAnsi"/>
        </w:rPr>
        <w:t xml:space="preserve">thoughts about the location of </w:t>
      </w:r>
      <w:r w:rsidR="00843C55" w:rsidRPr="002647B1">
        <w:rPr>
          <w:rFonts w:asciiTheme="minorHAnsi" w:hAnsiTheme="minorHAnsi" w:cstheme="minorHAnsi"/>
        </w:rPr>
        <w:t xml:space="preserve">the definitions </w:t>
      </w:r>
      <w:r w:rsidRPr="002647B1">
        <w:rPr>
          <w:rFonts w:asciiTheme="minorHAnsi" w:hAnsiTheme="minorHAnsi" w:cstheme="minorHAnsi"/>
        </w:rPr>
        <w:t xml:space="preserve">across the different questions? </w:t>
      </w:r>
      <w:r w:rsidR="00843C55" w:rsidRPr="002647B1">
        <w:rPr>
          <w:rFonts w:asciiTheme="minorHAnsi" w:hAnsiTheme="minorHAnsi" w:cstheme="minorHAnsi"/>
        </w:rPr>
        <w:t xml:space="preserve"> </w:t>
      </w:r>
    </w:p>
    <w:p w14:paraId="43B49B12" w14:textId="77777777" w:rsidR="002647B1" w:rsidRDefault="002647B1" w:rsidP="00843C55">
      <w:pPr>
        <w:pStyle w:val="ListParagraph"/>
        <w:numPr>
          <w:ilvl w:val="0"/>
          <w:numId w:val="21"/>
        </w:numPr>
        <w:rPr>
          <w:rFonts w:asciiTheme="minorHAnsi" w:hAnsiTheme="minorHAnsi" w:cstheme="minorHAnsi"/>
        </w:rPr>
      </w:pPr>
      <w:r>
        <w:rPr>
          <w:rFonts w:asciiTheme="minorHAnsi" w:hAnsiTheme="minorHAnsi" w:cstheme="minorHAnsi"/>
        </w:rPr>
        <w:t>Did you read the include/exclude statements?</w:t>
      </w:r>
    </w:p>
    <w:p w14:paraId="09F88EC5" w14:textId="2A539CE8" w:rsidR="00843C55" w:rsidRPr="002647B1" w:rsidRDefault="002647B1" w:rsidP="00843C55">
      <w:pPr>
        <w:pStyle w:val="ListParagraph"/>
        <w:numPr>
          <w:ilvl w:val="0"/>
          <w:numId w:val="21"/>
        </w:numPr>
        <w:rPr>
          <w:rFonts w:asciiTheme="minorHAnsi" w:hAnsiTheme="minorHAnsi" w:cstheme="minorHAnsi"/>
        </w:rPr>
      </w:pPr>
      <w:r>
        <w:rPr>
          <w:rFonts w:asciiTheme="minorHAnsi" w:hAnsiTheme="minorHAnsi" w:cstheme="minorHAnsi"/>
        </w:rPr>
        <w:t xml:space="preserve">Do you have any thoughts about the formatting of the include/exclude statements? </w:t>
      </w:r>
      <w:r w:rsidR="00843C55" w:rsidRPr="002647B1">
        <w:rPr>
          <w:rFonts w:asciiTheme="minorHAnsi" w:hAnsiTheme="minorHAnsi" w:cstheme="minorHAnsi"/>
        </w:rPr>
        <w:t xml:space="preserve">  </w:t>
      </w:r>
    </w:p>
    <w:p w14:paraId="6F4A8D1D" w14:textId="77777777" w:rsidR="00843C55" w:rsidRDefault="00843C55"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FABC3EC" w14:textId="77777777" w:rsidR="009B109A" w:rsidRDefault="009B109A"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B3FD32F"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4A957EA7" w14:textId="77777777" w:rsidR="0098334F" w:rsidRPr="00FB543B" w:rsidRDefault="0098334F" w:rsidP="00FB543B">
      <w:pPr>
        <w:rPr>
          <w:rFonts w:asciiTheme="majorHAnsi" w:hAnsiTheme="majorHAnsi" w:cstheme="majorHAnsi"/>
        </w:rPr>
      </w:pPr>
    </w:p>
    <w:p w14:paraId="64289892"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0471F2F5" w14:textId="77777777" w:rsidR="00F945ED" w:rsidRDefault="00F945ED" w:rsidP="00F945ED">
      <w:pPr>
        <w:rPr>
          <w:rFonts w:asciiTheme="majorHAnsi" w:hAnsiTheme="majorHAnsi" w:cstheme="majorHAnsi"/>
        </w:rPr>
      </w:pPr>
    </w:p>
    <w:p w14:paraId="1149F916" w14:textId="28DDED80" w:rsidR="00361640" w:rsidRDefault="00361640" w:rsidP="00A81FED">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In establishment surveys, such as the type conducted at NASS, it is common to include detailed instructions and definitions with survey materials. Questions in establishment surveys are sometimes not questions but keywords reflecting the construct being measured followed by definitions (e.g.,</w:t>
      </w:r>
      <w:r w:rsidR="009902FD">
        <w:rPr>
          <w:rFonts w:ascii="Arial" w:hAnsi="Arial" w:cs="Arial"/>
        </w:rPr>
        <w:t xml:space="preserve"> Intermediate Market (business or organization in the middle of the supply chain marketing locally – and/or regionally – branded products</w:t>
      </w:r>
      <w:r>
        <w:rPr>
          <w:rFonts w:ascii="Arial" w:hAnsi="Arial" w:cs="Arial"/>
        </w:rPr>
        <w:t>) (Haraldsen</w:t>
      </w:r>
      <w:r w:rsidR="009902FD">
        <w:rPr>
          <w:rFonts w:ascii="Arial" w:hAnsi="Arial" w:cs="Arial"/>
        </w:rPr>
        <w:t>,</w:t>
      </w:r>
      <w:r>
        <w:rPr>
          <w:rFonts w:ascii="Arial" w:hAnsi="Arial" w:cs="Arial"/>
        </w:rPr>
        <w:t xml:space="preserve"> 2013). Definitions are used to ensure that all respondents are interpreting these complex constructs in the same way. Over time, research has shown that it is important to have these instructions/definitions as close to the survey question as possible. Gernsbacher </w:t>
      </w:r>
      <w:r w:rsidR="009902FD">
        <w:rPr>
          <w:rFonts w:ascii="Arial" w:hAnsi="Arial" w:cs="Arial"/>
        </w:rPr>
        <w:t>(</w:t>
      </w:r>
      <w:r>
        <w:rPr>
          <w:rFonts w:ascii="Arial" w:hAnsi="Arial" w:cs="Arial"/>
        </w:rPr>
        <w:t>1990</w:t>
      </w:r>
      <w:r w:rsidR="009902FD">
        <w:rPr>
          <w:rFonts w:ascii="Arial" w:hAnsi="Arial" w:cs="Arial"/>
        </w:rPr>
        <w:t>)</w:t>
      </w:r>
      <w:r>
        <w:rPr>
          <w:rFonts w:ascii="Arial" w:hAnsi="Arial" w:cs="Arial"/>
        </w:rPr>
        <w:t xml:space="preserve"> found that in the case of keywords followed by definitions, respondents tend to read the keywords and ignore the definition</w:t>
      </w:r>
      <w:r w:rsidR="00363ED9">
        <w:rPr>
          <w:rFonts w:ascii="Arial" w:hAnsi="Arial" w:cs="Arial"/>
        </w:rPr>
        <w:t>s that follow</w:t>
      </w:r>
      <w:r>
        <w:rPr>
          <w:rFonts w:ascii="Arial" w:hAnsi="Arial" w:cs="Arial"/>
        </w:rPr>
        <w:t>. Respondents are even less inclined to look for auxiliary information (in instruction booklets, help screens) when answering the survey question even if this information is necessary for answering the survey question (Conrad et al</w:t>
      </w:r>
      <w:r w:rsidR="009902FD">
        <w:rPr>
          <w:rFonts w:ascii="Arial" w:hAnsi="Arial" w:cs="Arial"/>
        </w:rPr>
        <w:t>.,</w:t>
      </w:r>
      <w:r>
        <w:rPr>
          <w:rFonts w:ascii="Arial" w:hAnsi="Arial" w:cs="Arial"/>
        </w:rPr>
        <w:t xml:space="preserve"> 2006; Sloan</w:t>
      </w:r>
      <w:r w:rsidR="009902FD">
        <w:rPr>
          <w:rFonts w:ascii="Arial" w:hAnsi="Arial" w:cs="Arial"/>
        </w:rPr>
        <w:t xml:space="preserve"> and Ott, 2016</w:t>
      </w:r>
      <w:r>
        <w:rPr>
          <w:rFonts w:ascii="Arial" w:hAnsi="Arial" w:cs="Arial"/>
        </w:rPr>
        <w:t xml:space="preserve">). </w:t>
      </w:r>
    </w:p>
    <w:p w14:paraId="7CC1C66C" w14:textId="77777777" w:rsidR="00A02CE1" w:rsidRPr="00A02CE1" w:rsidRDefault="00A02CE1" w:rsidP="00F945ED">
      <w:pPr>
        <w:rPr>
          <w:rFonts w:ascii="Arial" w:hAnsi="Arial" w:cs="Arial"/>
        </w:rPr>
      </w:pPr>
    </w:p>
    <w:p w14:paraId="30E61233" w14:textId="77777777"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14:paraId="0554F6D6" w14:textId="77777777" w:rsidR="00F945ED" w:rsidRPr="00AA3C76" w:rsidRDefault="00F945ED" w:rsidP="00F945ED">
      <w:pPr>
        <w:rPr>
          <w:rFonts w:asciiTheme="majorHAnsi" w:hAnsiTheme="majorHAnsi" w:cstheme="majorHAnsi"/>
          <w:b/>
          <w:color w:val="000000"/>
        </w:rPr>
      </w:pPr>
    </w:p>
    <w:p w14:paraId="278E2E16" w14:textId="5FFAF091" w:rsidR="00F945ED" w:rsidRDefault="002647B1" w:rsidP="0090600F">
      <w:pPr>
        <w:ind w:left="720"/>
        <w:rPr>
          <w:rFonts w:asciiTheme="majorHAnsi" w:hAnsiTheme="majorHAnsi" w:cstheme="majorHAnsi"/>
          <w:color w:val="000000"/>
        </w:rPr>
      </w:pPr>
      <w:r>
        <w:rPr>
          <w:rFonts w:asciiTheme="majorHAnsi" w:hAnsiTheme="majorHAnsi" w:cstheme="majorHAnsi"/>
          <w:color w:val="000000"/>
        </w:rPr>
        <w:t>The data will be collected in the B</w:t>
      </w:r>
      <w:r w:rsidR="00330778">
        <w:rPr>
          <w:rFonts w:asciiTheme="majorHAnsi" w:hAnsiTheme="majorHAnsi" w:cstheme="majorHAnsi"/>
          <w:color w:val="000000"/>
        </w:rPr>
        <w:t xml:space="preserve">ureau of </w:t>
      </w:r>
      <w:r>
        <w:rPr>
          <w:rFonts w:asciiTheme="majorHAnsi" w:hAnsiTheme="majorHAnsi" w:cstheme="majorHAnsi"/>
          <w:color w:val="000000"/>
        </w:rPr>
        <w:t>L</w:t>
      </w:r>
      <w:r w:rsidR="00330778">
        <w:rPr>
          <w:rFonts w:asciiTheme="majorHAnsi" w:hAnsiTheme="majorHAnsi" w:cstheme="majorHAnsi"/>
          <w:color w:val="000000"/>
        </w:rPr>
        <w:t xml:space="preserve">abor </w:t>
      </w:r>
      <w:r>
        <w:rPr>
          <w:rFonts w:asciiTheme="majorHAnsi" w:hAnsiTheme="majorHAnsi" w:cstheme="majorHAnsi"/>
          <w:color w:val="000000"/>
        </w:rPr>
        <w:t>S</w:t>
      </w:r>
      <w:r w:rsidR="00330778">
        <w:rPr>
          <w:rFonts w:asciiTheme="majorHAnsi" w:hAnsiTheme="majorHAnsi" w:cstheme="majorHAnsi"/>
          <w:color w:val="000000"/>
        </w:rPr>
        <w:t>tatistics (BLS)</w:t>
      </w:r>
      <w:r>
        <w:rPr>
          <w:rFonts w:asciiTheme="majorHAnsi" w:hAnsiTheme="majorHAnsi" w:cstheme="majorHAnsi"/>
          <w:color w:val="000000"/>
        </w:rPr>
        <w:t xml:space="preserve"> cognitive lab using</w:t>
      </w:r>
      <w:r w:rsidR="00363ED9">
        <w:rPr>
          <w:rFonts w:asciiTheme="majorHAnsi" w:hAnsiTheme="majorHAnsi" w:cstheme="majorHAnsi"/>
          <w:color w:val="000000"/>
        </w:rPr>
        <w:t xml:space="preserve"> Tobii eye tracking equipment</w:t>
      </w:r>
      <w:r>
        <w:rPr>
          <w:rFonts w:asciiTheme="majorHAnsi" w:hAnsiTheme="majorHAnsi" w:cstheme="majorHAnsi"/>
          <w:color w:val="000000"/>
        </w:rPr>
        <w:t xml:space="preserve">. </w:t>
      </w:r>
      <w:r w:rsidR="0090600F">
        <w:rPr>
          <w:rFonts w:asciiTheme="majorHAnsi" w:hAnsiTheme="majorHAnsi" w:cstheme="majorHAnsi"/>
          <w:color w:val="000000"/>
        </w:rPr>
        <w:t xml:space="preserve">The </w:t>
      </w:r>
      <w:r>
        <w:rPr>
          <w:rFonts w:asciiTheme="majorHAnsi" w:hAnsiTheme="majorHAnsi" w:cstheme="majorHAnsi"/>
          <w:color w:val="000000"/>
        </w:rPr>
        <w:t>data</w:t>
      </w:r>
      <w:r w:rsidR="00A02CE1">
        <w:rPr>
          <w:rFonts w:asciiTheme="majorHAnsi" w:hAnsiTheme="majorHAnsi" w:cstheme="majorHAnsi"/>
          <w:color w:val="000000"/>
        </w:rPr>
        <w:t xml:space="preserve"> w</w:t>
      </w:r>
      <w:r w:rsidR="00212691">
        <w:rPr>
          <w:rFonts w:asciiTheme="majorHAnsi" w:hAnsiTheme="majorHAnsi" w:cstheme="majorHAnsi"/>
          <w:color w:val="000000"/>
        </w:rPr>
        <w:t xml:space="preserve">ill be analyzed by </w:t>
      </w:r>
      <w:r w:rsidR="0030730D">
        <w:rPr>
          <w:rFonts w:asciiTheme="majorHAnsi" w:hAnsiTheme="majorHAnsi" w:cstheme="majorHAnsi"/>
          <w:color w:val="000000"/>
        </w:rPr>
        <w:t xml:space="preserve">NASS’s </w:t>
      </w:r>
      <w:r w:rsidR="00361640">
        <w:rPr>
          <w:rFonts w:asciiTheme="majorHAnsi" w:hAnsiTheme="majorHAnsi" w:cstheme="majorHAnsi"/>
          <w:color w:val="000000"/>
        </w:rPr>
        <w:t>Research and Development Division</w:t>
      </w:r>
      <w:r w:rsidR="00212691">
        <w:rPr>
          <w:rFonts w:asciiTheme="majorHAnsi" w:hAnsiTheme="majorHAnsi" w:cstheme="majorHAnsi"/>
          <w:color w:val="000000"/>
        </w:rPr>
        <w:t xml:space="preserve"> </w:t>
      </w:r>
      <w:r w:rsidR="0090600F">
        <w:rPr>
          <w:rFonts w:asciiTheme="majorHAnsi" w:hAnsiTheme="majorHAnsi" w:cstheme="majorHAnsi"/>
          <w:color w:val="000000"/>
        </w:rPr>
        <w:t xml:space="preserve">to </w:t>
      </w:r>
      <w:r w:rsidR="00212691">
        <w:rPr>
          <w:rFonts w:asciiTheme="majorHAnsi" w:hAnsiTheme="majorHAnsi" w:cstheme="majorHAnsi"/>
          <w:color w:val="000000"/>
        </w:rPr>
        <w:t>determine</w:t>
      </w:r>
      <w:r w:rsidR="0090600F">
        <w:rPr>
          <w:rFonts w:asciiTheme="majorHAnsi" w:hAnsiTheme="majorHAnsi" w:cstheme="majorHAnsi"/>
          <w:color w:val="000000"/>
        </w:rPr>
        <w:t xml:space="preserve"> </w:t>
      </w:r>
      <w:r w:rsidR="00361640">
        <w:rPr>
          <w:rFonts w:asciiTheme="majorHAnsi" w:hAnsiTheme="majorHAnsi" w:cstheme="majorHAnsi"/>
          <w:color w:val="000000"/>
        </w:rPr>
        <w:t xml:space="preserve">the optimal placement of question instructions and definitions on NASS surveys. </w:t>
      </w:r>
    </w:p>
    <w:p w14:paraId="1043900A" w14:textId="77777777" w:rsidR="00361640" w:rsidRDefault="00361640" w:rsidP="0090600F">
      <w:pPr>
        <w:ind w:left="720"/>
        <w:rPr>
          <w:rFonts w:asciiTheme="majorHAnsi" w:hAnsiTheme="majorHAnsi" w:cstheme="majorHAnsi"/>
          <w:color w:val="000000"/>
        </w:rPr>
      </w:pPr>
    </w:p>
    <w:p w14:paraId="1FA493EC"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07CB9549" w14:textId="77777777" w:rsidR="0090600F" w:rsidRDefault="0090600F" w:rsidP="0090600F">
      <w:pPr>
        <w:rPr>
          <w:rFonts w:asciiTheme="majorHAnsi" w:hAnsiTheme="majorHAnsi" w:cstheme="majorHAnsi"/>
          <w:color w:val="000000"/>
        </w:rPr>
      </w:pPr>
    </w:p>
    <w:p w14:paraId="282ACF1D" w14:textId="3EDD74C8" w:rsidR="00A02CE1" w:rsidRPr="00363ED9" w:rsidRDefault="00361640" w:rsidP="00A02C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rPr>
      </w:pPr>
      <w:r w:rsidRPr="00363ED9">
        <w:rPr>
          <w:rFonts w:asciiTheme="minorHAnsi" w:hAnsiTheme="minorHAnsi" w:cstheme="minorHAnsi"/>
        </w:rPr>
        <w:t xml:space="preserve">This research will be conducted using </w:t>
      </w:r>
      <w:r w:rsidR="00BB4046" w:rsidRPr="00363ED9">
        <w:rPr>
          <w:rFonts w:asciiTheme="minorHAnsi" w:hAnsiTheme="minorHAnsi" w:cstheme="minorHAnsi"/>
        </w:rPr>
        <w:t>a Tobii eye tracker.</w:t>
      </w:r>
    </w:p>
    <w:p w14:paraId="0D584ADA" w14:textId="77777777" w:rsidR="0090600F" w:rsidRPr="0090600F" w:rsidRDefault="0090600F" w:rsidP="0090600F">
      <w:pPr>
        <w:rPr>
          <w:rFonts w:asciiTheme="majorHAnsi" w:hAnsiTheme="majorHAnsi" w:cstheme="majorHAnsi"/>
          <w:color w:val="000000"/>
        </w:rPr>
      </w:pPr>
    </w:p>
    <w:p w14:paraId="0F3C5355" w14:textId="77777777"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14:paraId="185597F5" w14:textId="77777777" w:rsidR="0098334F" w:rsidRDefault="0098334F" w:rsidP="00FB543B">
      <w:pPr>
        <w:rPr>
          <w:rFonts w:asciiTheme="majorHAnsi" w:hAnsiTheme="majorHAnsi" w:cstheme="majorHAnsi"/>
          <w:color w:val="000000"/>
        </w:rPr>
      </w:pPr>
    </w:p>
    <w:p w14:paraId="26B34EB3" w14:textId="09A5FA84" w:rsidR="008B3AD4" w:rsidRDefault="00BB4046" w:rsidP="008B3AD4">
      <w:pPr>
        <w:ind w:left="720"/>
        <w:rPr>
          <w:rFonts w:asciiTheme="majorHAnsi" w:hAnsiTheme="majorHAnsi" w:cstheme="majorHAnsi"/>
          <w:color w:val="000000"/>
        </w:rPr>
      </w:pPr>
      <w:r>
        <w:rPr>
          <w:rFonts w:asciiTheme="majorHAnsi" w:hAnsiTheme="majorHAnsi" w:cstheme="majorHAnsi"/>
          <w:color w:val="000000"/>
        </w:rPr>
        <w:t>Respondents will be recruited from the general population.</w:t>
      </w:r>
    </w:p>
    <w:p w14:paraId="47DEE173" w14:textId="77777777" w:rsidR="001F7CB5" w:rsidRDefault="001F7CB5" w:rsidP="008B3AD4">
      <w:pPr>
        <w:ind w:left="720"/>
        <w:rPr>
          <w:rFonts w:asciiTheme="majorHAnsi" w:hAnsiTheme="majorHAnsi" w:cstheme="majorHAnsi"/>
          <w:color w:val="000000"/>
        </w:rPr>
      </w:pPr>
    </w:p>
    <w:p w14:paraId="4C7BCA00" w14:textId="77777777"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14:paraId="009FA69D" w14:textId="77777777" w:rsidR="00BB4046" w:rsidRDefault="00BB4046" w:rsidP="003E2C1F">
      <w:pPr>
        <w:ind w:left="720"/>
        <w:rPr>
          <w:rFonts w:asciiTheme="majorHAnsi" w:hAnsiTheme="majorHAnsi" w:cstheme="majorHAnsi"/>
          <w:color w:val="000000"/>
        </w:rPr>
      </w:pPr>
    </w:p>
    <w:p w14:paraId="7DCBFF80" w14:textId="6E1A4395" w:rsidR="003E2C1F" w:rsidRDefault="00BB4046" w:rsidP="003E2C1F">
      <w:pPr>
        <w:ind w:left="720"/>
        <w:rPr>
          <w:rFonts w:asciiTheme="majorHAnsi" w:hAnsiTheme="majorHAnsi" w:cstheme="majorHAnsi"/>
          <w:color w:val="000000"/>
        </w:rPr>
      </w:pPr>
      <w:r>
        <w:rPr>
          <w:rFonts w:asciiTheme="majorHAnsi" w:hAnsiTheme="majorHAnsi" w:cstheme="majorHAnsi"/>
          <w:color w:val="000000"/>
        </w:rPr>
        <w:t>Respondents will be recruited from the general population</w:t>
      </w:r>
    </w:p>
    <w:p w14:paraId="1615C15F" w14:textId="77777777" w:rsidR="00B91397" w:rsidRDefault="00B91397" w:rsidP="003E2C1F">
      <w:pPr>
        <w:ind w:left="720"/>
        <w:rPr>
          <w:rFonts w:asciiTheme="majorHAnsi" w:hAnsiTheme="majorHAnsi" w:cstheme="majorHAnsi"/>
          <w:color w:val="000000"/>
        </w:rPr>
      </w:pPr>
    </w:p>
    <w:p w14:paraId="5BA81454" w14:textId="77777777"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14:paraId="5A20CAE8" w14:textId="77777777" w:rsidR="003E2C1F" w:rsidRDefault="003E2C1F" w:rsidP="003E2C1F">
      <w:pPr>
        <w:rPr>
          <w:rFonts w:asciiTheme="majorHAnsi" w:hAnsiTheme="majorHAnsi" w:cstheme="majorHAnsi"/>
          <w:color w:val="000000"/>
        </w:rPr>
      </w:pPr>
    </w:p>
    <w:p w14:paraId="3D85B15A" w14:textId="70B0E66C" w:rsidR="00256702" w:rsidRPr="00B92EF7" w:rsidRDefault="0010561B" w:rsidP="003E2C1F">
      <w:pPr>
        <w:ind w:left="720"/>
        <w:rPr>
          <w:rFonts w:ascii="Arial" w:hAnsi="Arial" w:cs="Arial"/>
          <w:color w:val="000000"/>
        </w:rPr>
      </w:pPr>
      <w:r w:rsidRPr="00B92EF7">
        <w:rPr>
          <w:rFonts w:ascii="Arial" w:hAnsi="Arial" w:cs="Arial"/>
          <w:color w:val="000000"/>
        </w:rPr>
        <w:t xml:space="preserve">The </w:t>
      </w:r>
      <w:r w:rsidR="004B1E0E" w:rsidRPr="00B92EF7">
        <w:rPr>
          <w:rFonts w:ascii="Arial" w:hAnsi="Arial" w:cs="Arial"/>
          <w:color w:val="000000"/>
        </w:rPr>
        <w:t>qualitative research</w:t>
      </w:r>
      <w:r w:rsidR="00212691" w:rsidRPr="00B92EF7">
        <w:rPr>
          <w:rFonts w:ascii="Arial" w:hAnsi="Arial" w:cs="Arial"/>
          <w:color w:val="000000"/>
        </w:rPr>
        <w:t xml:space="preserve"> </w:t>
      </w:r>
      <w:r w:rsidR="00C909D3" w:rsidRPr="00B92EF7">
        <w:rPr>
          <w:rFonts w:ascii="Arial" w:hAnsi="Arial" w:cs="Arial"/>
          <w:color w:val="000000"/>
        </w:rPr>
        <w:t>is planned to</w:t>
      </w:r>
      <w:r w:rsidR="00212691" w:rsidRPr="00B92EF7">
        <w:rPr>
          <w:rFonts w:ascii="Arial" w:hAnsi="Arial" w:cs="Arial"/>
          <w:color w:val="000000"/>
        </w:rPr>
        <w:t xml:space="preserve"> </w:t>
      </w:r>
      <w:r w:rsidR="003E2C1F" w:rsidRPr="00B92EF7">
        <w:rPr>
          <w:rFonts w:ascii="Arial" w:hAnsi="Arial" w:cs="Arial"/>
          <w:color w:val="000000"/>
        </w:rPr>
        <w:t>be conducted</w:t>
      </w:r>
      <w:r w:rsidR="00363ED9">
        <w:rPr>
          <w:rFonts w:ascii="Arial" w:hAnsi="Arial" w:cs="Arial"/>
          <w:color w:val="000000"/>
        </w:rPr>
        <w:t xml:space="preserve"> between</w:t>
      </w:r>
      <w:r w:rsidR="00BE76EB" w:rsidRPr="00B92EF7">
        <w:rPr>
          <w:rFonts w:ascii="Arial" w:hAnsi="Arial" w:cs="Arial"/>
          <w:color w:val="000000"/>
        </w:rPr>
        <w:t xml:space="preserve"> </w:t>
      </w:r>
      <w:r w:rsidR="00BB4046">
        <w:rPr>
          <w:rFonts w:ascii="Arial" w:hAnsi="Arial" w:cs="Arial"/>
          <w:color w:val="000000"/>
        </w:rPr>
        <w:t>November</w:t>
      </w:r>
      <w:r w:rsidR="00C909D3" w:rsidRPr="00B92EF7">
        <w:rPr>
          <w:rFonts w:ascii="Arial" w:hAnsi="Arial" w:cs="Arial"/>
          <w:color w:val="000000"/>
        </w:rPr>
        <w:t xml:space="preserve"> 2017 and </w:t>
      </w:r>
      <w:r w:rsidR="00BB4046">
        <w:rPr>
          <w:rFonts w:ascii="Arial" w:hAnsi="Arial" w:cs="Arial"/>
          <w:color w:val="000000"/>
        </w:rPr>
        <w:t>November 2018</w:t>
      </w:r>
      <w:r w:rsidR="00C909D3" w:rsidRPr="00B92EF7">
        <w:rPr>
          <w:rFonts w:ascii="Arial" w:hAnsi="Arial" w:cs="Arial"/>
          <w:color w:val="000000"/>
        </w:rPr>
        <w:t xml:space="preserve">, as resources become available. </w:t>
      </w:r>
      <w:r w:rsidR="00B92EF7" w:rsidRPr="00B92EF7">
        <w:rPr>
          <w:rFonts w:ascii="Arial" w:hAnsi="Arial" w:cs="Arial"/>
          <w:color w:val="000000"/>
        </w:rPr>
        <w:t>This docket expires in June 2019, so interviews not completed by that time will be resubmitted with a mini-supporting statement after this docket (0535-0248) is renewed</w:t>
      </w:r>
    </w:p>
    <w:p w14:paraId="3E58D86A" w14:textId="77777777" w:rsidR="00FB543B" w:rsidRPr="00B92EF7" w:rsidRDefault="00FB543B" w:rsidP="00FB543B">
      <w:pPr>
        <w:rPr>
          <w:rFonts w:ascii="Arial" w:hAnsi="Arial" w:cs="Arial"/>
          <w:color w:val="000000"/>
        </w:rPr>
      </w:pPr>
    </w:p>
    <w:p w14:paraId="71732668"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14:paraId="6995640E" w14:textId="77777777" w:rsidR="003E2C1F" w:rsidRDefault="003E2C1F" w:rsidP="003E2C1F">
      <w:pPr>
        <w:rPr>
          <w:rFonts w:asciiTheme="majorHAnsi" w:hAnsiTheme="majorHAnsi" w:cstheme="majorHAnsi"/>
          <w:color w:val="000000"/>
        </w:rPr>
      </w:pPr>
    </w:p>
    <w:p w14:paraId="232C6C17" w14:textId="77777777" w:rsidR="003E2C1F" w:rsidRPr="003E2C1F" w:rsidRDefault="003E2C1F" w:rsidP="001F7A2A">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14:paraId="7A3B839F" w14:textId="77777777" w:rsidR="0098334F" w:rsidRPr="00FB543B" w:rsidRDefault="0098334F" w:rsidP="00FB543B">
      <w:pPr>
        <w:rPr>
          <w:rFonts w:asciiTheme="majorHAnsi" w:hAnsiTheme="majorHAnsi" w:cstheme="majorHAnsi"/>
          <w:color w:val="000000"/>
        </w:rPr>
      </w:pPr>
    </w:p>
    <w:p w14:paraId="58355FB9"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14:paraId="12A62AE1" w14:textId="77777777" w:rsidR="003E2C1F" w:rsidRDefault="003E2C1F" w:rsidP="003E2C1F">
      <w:pPr>
        <w:rPr>
          <w:rFonts w:asciiTheme="majorHAnsi" w:hAnsiTheme="majorHAnsi" w:cstheme="majorHAnsi"/>
          <w:color w:val="000000"/>
        </w:rPr>
      </w:pPr>
    </w:p>
    <w:p w14:paraId="0BC7B815" w14:textId="77777777"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14:paraId="07EDB5E7" w14:textId="77777777" w:rsidR="003E2C1F" w:rsidRPr="003E2C1F" w:rsidRDefault="003E2C1F" w:rsidP="003E2C1F">
      <w:pPr>
        <w:rPr>
          <w:rFonts w:asciiTheme="majorHAnsi" w:hAnsiTheme="majorHAnsi" w:cstheme="majorHAnsi"/>
          <w:color w:val="000000"/>
        </w:rPr>
      </w:pPr>
    </w:p>
    <w:p w14:paraId="45682234" w14:textId="77777777"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14:paraId="46F50313" w14:textId="77777777"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083D61B" w14:textId="77777777" w:rsidR="003E2C1F" w:rsidRPr="00986169" w:rsidRDefault="003E2C1F" w:rsidP="003E2C1F">
      <w:pPr>
        <w:ind w:left="720"/>
        <w:rPr>
          <w:rFonts w:ascii="Arial" w:hAnsi="Arial" w:cs="Arial"/>
        </w:rPr>
      </w:pPr>
      <w:r w:rsidRPr="00986169">
        <w:rPr>
          <w:rFonts w:ascii="Arial" w:hAnsi="Arial" w:cs="Arial"/>
        </w:rPr>
        <w:t>There are no payments or gifts to respondents.</w:t>
      </w:r>
    </w:p>
    <w:p w14:paraId="1CB99A5C" w14:textId="77777777"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7637904" w14:textId="77777777"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14:paraId="5E264DC4" w14:textId="77777777"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E8244B2" w14:textId="2C214050"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BB4046">
        <w:rPr>
          <w:rFonts w:ascii="Arial" w:hAnsi="Arial" w:cs="Arial"/>
          <w:color w:val="000000"/>
        </w:rPr>
        <w:t>Eye Tracking Study</w:t>
      </w:r>
      <w:r w:rsidR="00C0139C">
        <w:rPr>
          <w:rFonts w:ascii="Arial" w:hAnsi="Arial" w:cs="Arial"/>
          <w:color w:val="000000"/>
        </w:rPr>
        <w:t xml:space="preserve"> </w:t>
      </w:r>
      <w:r w:rsidR="00435816">
        <w:rPr>
          <w:rFonts w:ascii="Arial" w:hAnsi="Arial" w:cs="Arial"/>
          <w:color w:val="000000"/>
        </w:rPr>
        <w:t xml:space="preserve">will be applied to data collected during the </w:t>
      </w:r>
      <w:r w:rsidR="004B1E0E">
        <w:rPr>
          <w:rFonts w:ascii="Arial" w:hAnsi="Arial" w:cs="Arial"/>
          <w:color w:val="000000"/>
        </w:rPr>
        <w:t>qualitative research</w:t>
      </w:r>
      <w:r w:rsidR="00435816">
        <w:rPr>
          <w:rFonts w:ascii="Arial" w:hAnsi="Arial" w:cs="Arial"/>
          <w:color w:val="000000"/>
        </w:rPr>
        <w:t xml:space="preserve"> interviews.</w:t>
      </w:r>
    </w:p>
    <w:p w14:paraId="66926177"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8B1F55D" w14:textId="77777777"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14:paraId="7E1EB02C" w14:textId="77777777"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A597B72" w14:textId="1060C6A0" w:rsidR="00AC11E0" w:rsidRDefault="00BB4046" w:rsidP="00AC11E0">
      <w:pPr>
        <w:ind w:left="720"/>
        <w:rPr>
          <w:rFonts w:ascii="Arial" w:hAnsi="Arial" w:cs="Arial"/>
        </w:rPr>
      </w:pPr>
      <w:r>
        <w:rPr>
          <w:rFonts w:ascii="Arial" w:hAnsi="Arial" w:cs="Arial"/>
        </w:rPr>
        <w:t xml:space="preserve">Question topics will include health behaviors and conditions and transportation expenses. No questions of a sensitive nature will be asked. </w:t>
      </w:r>
    </w:p>
    <w:p w14:paraId="55E1C12B" w14:textId="77777777" w:rsidR="00C0139C" w:rsidRPr="00986169" w:rsidRDefault="00C0139C" w:rsidP="00AC11E0">
      <w:pPr>
        <w:ind w:left="720"/>
        <w:rPr>
          <w:rFonts w:ascii="Arial" w:hAnsi="Arial" w:cs="Arial"/>
        </w:rPr>
      </w:pPr>
    </w:p>
    <w:p w14:paraId="50BC7918" w14:textId="77777777"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14:paraId="697E6BD4" w14:textId="77777777"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1FB8340" w14:textId="6F9E9F6A" w:rsidR="001D5FA2" w:rsidRDefault="00B7161F" w:rsidP="001D5FA2">
      <w:pPr>
        <w:ind w:left="720"/>
        <w:rPr>
          <w:rFonts w:ascii="Arial" w:hAnsi="Arial" w:cs="Arial"/>
        </w:rPr>
      </w:pPr>
      <w:r>
        <w:rPr>
          <w:rFonts w:ascii="Arial" w:hAnsi="Arial" w:cs="Arial"/>
        </w:rPr>
        <w:t>All interviews</w:t>
      </w:r>
      <w:r w:rsidR="005B7F25">
        <w:rPr>
          <w:rFonts w:ascii="Arial" w:hAnsi="Arial" w:cs="Arial"/>
        </w:rPr>
        <w:t xml:space="preserve"> will be conducted by trained</w:t>
      </w:r>
      <w:r w:rsidR="008D04A6">
        <w:rPr>
          <w:rFonts w:ascii="Arial" w:hAnsi="Arial" w:cs="Arial"/>
        </w:rPr>
        <w:t xml:space="preserve"> </w:t>
      </w:r>
      <w:r w:rsidR="00494AB3">
        <w:rPr>
          <w:rFonts w:ascii="Arial" w:hAnsi="Arial" w:cs="Arial"/>
        </w:rPr>
        <w:t xml:space="preserve">survey methodologists at </w:t>
      </w:r>
      <w:r w:rsidR="00BB4046">
        <w:rPr>
          <w:rFonts w:ascii="Arial" w:hAnsi="Arial" w:cs="Arial"/>
        </w:rPr>
        <w:t>BLS</w:t>
      </w:r>
      <w:r w:rsidR="00494AB3">
        <w:rPr>
          <w:rFonts w:ascii="Arial" w:hAnsi="Arial" w:cs="Arial"/>
        </w:rPr>
        <w:t xml:space="preserve"> </w:t>
      </w:r>
      <w:r w:rsidR="005B7F25">
        <w:rPr>
          <w:rFonts w:ascii="Arial" w:hAnsi="Arial" w:cs="Arial"/>
        </w:rPr>
        <w:t xml:space="preserve">to </w:t>
      </w:r>
      <w:r w:rsidR="00494AB3">
        <w:rPr>
          <w:rFonts w:ascii="Arial" w:hAnsi="Arial" w:cs="Arial"/>
        </w:rPr>
        <w:t xml:space="preserve">explore </w:t>
      </w:r>
      <w:r w:rsidR="00BB4046">
        <w:rPr>
          <w:rFonts w:ascii="Arial" w:hAnsi="Arial" w:cs="Arial"/>
        </w:rPr>
        <w:t xml:space="preserve">which question formats respondents are most likely to attend to when responding to a survey questionnaire. </w:t>
      </w:r>
    </w:p>
    <w:tbl>
      <w:tblPr>
        <w:tblStyle w:val="TableGrid"/>
        <w:tblW w:w="0" w:type="auto"/>
        <w:jc w:val="center"/>
        <w:tblLook w:val="04A0" w:firstRow="1" w:lastRow="0" w:firstColumn="1" w:lastColumn="0" w:noHBand="0" w:noVBand="1"/>
      </w:tblPr>
      <w:tblGrid>
        <w:gridCol w:w="2400"/>
        <w:gridCol w:w="2017"/>
        <w:gridCol w:w="2199"/>
        <w:gridCol w:w="2194"/>
      </w:tblGrid>
      <w:tr w:rsidR="00C0139C" w14:paraId="2FA9549A" w14:textId="77777777" w:rsidTr="00863463">
        <w:trPr>
          <w:jc w:val="center"/>
        </w:trPr>
        <w:tc>
          <w:tcPr>
            <w:tcW w:w="2400" w:type="dxa"/>
          </w:tcPr>
          <w:p w14:paraId="2C65BE0F" w14:textId="60D5E2BE" w:rsidR="00C0139C" w:rsidRPr="00A84978" w:rsidRDefault="00C909D3" w:rsidP="001D5FA2">
            <w:pPr>
              <w:rPr>
                <w:rFonts w:ascii="Arial" w:hAnsi="Arial" w:cs="Arial"/>
                <w:b/>
              </w:rPr>
            </w:pPr>
            <w:r w:rsidRPr="00A84978">
              <w:rPr>
                <w:rFonts w:ascii="Arial" w:hAnsi="Arial" w:cs="Arial"/>
                <w:b/>
              </w:rPr>
              <w:t>Qualitative Interviews</w:t>
            </w:r>
          </w:p>
        </w:tc>
        <w:tc>
          <w:tcPr>
            <w:tcW w:w="2017" w:type="dxa"/>
          </w:tcPr>
          <w:p w14:paraId="56391E03" w14:textId="2E327597" w:rsidR="00C0139C" w:rsidRPr="00A84978" w:rsidRDefault="00C0139C" w:rsidP="00C0139C">
            <w:pPr>
              <w:jc w:val="center"/>
              <w:rPr>
                <w:rFonts w:ascii="Arial" w:hAnsi="Arial" w:cs="Arial"/>
                <w:b/>
              </w:rPr>
            </w:pPr>
            <w:r w:rsidRPr="00A84978">
              <w:rPr>
                <w:rFonts w:ascii="Arial" w:hAnsi="Arial" w:cs="Arial"/>
                <w:b/>
              </w:rPr>
              <w:t>Number of Respondents</w:t>
            </w:r>
          </w:p>
        </w:tc>
        <w:tc>
          <w:tcPr>
            <w:tcW w:w="2199" w:type="dxa"/>
          </w:tcPr>
          <w:p w14:paraId="68414DC0" w14:textId="297FFDA5" w:rsidR="00C0139C" w:rsidRPr="00A84978" w:rsidRDefault="00C0139C" w:rsidP="00C0139C">
            <w:pPr>
              <w:jc w:val="center"/>
              <w:rPr>
                <w:rFonts w:ascii="Arial" w:hAnsi="Arial" w:cs="Arial"/>
                <w:b/>
              </w:rPr>
            </w:pPr>
            <w:r w:rsidRPr="00A84978">
              <w:rPr>
                <w:rFonts w:ascii="Arial" w:hAnsi="Arial" w:cs="Arial"/>
                <w:b/>
              </w:rPr>
              <w:t>Hours per Interview</w:t>
            </w:r>
          </w:p>
        </w:tc>
        <w:tc>
          <w:tcPr>
            <w:tcW w:w="2194" w:type="dxa"/>
          </w:tcPr>
          <w:p w14:paraId="2C50B7D6" w14:textId="1D2A6871" w:rsidR="00C0139C" w:rsidRPr="00A84978" w:rsidRDefault="00C0139C" w:rsidP="00C0139C">
            <w:pPr>
              <w:jc w:val="center"/>
              <w:rPr>
                <w:rFonts w:ascii="Arial" w:hAnsi="Arial" w:cs="Arial"/>
                <w:b/>
              </w:rPr>
            </w:pPr>
            <w:r w:rsidRPr="00A84978">
              <w:rPr>
                <w:rFonts w:ascii="Arial" w:hAnsi="Arial" w:cs="Arial"/>
                <w:b/>
              </w:rPr>
              <w:t>Total Burden Hours</w:t>
            </w:r>
          </w:p>
        </w:tc>
      </w:tr>
      <w:tr w:rsidR="00C0139C" w14:paraId="12EC9F67" w14:textId="77777777" w:rsidTr="00863463">
        <w:trPr>
          <w:jc w:val="center"/>
        </w:trPr>
        <w:tc>
          <w:tcPr>
            <w:tcW w:w="2400" w:type="dxa"/>
            <w:vAlign w:val="center"/>
          </w:tcPr>
          <w:p w14:paraId="0E1F52D8" w14:textId="1E0909E7" w:rsidR="00C0139C" w:rsidRDefault="00BB4046" w:rsidP="00A84978">
            <w:pPr>
              <w:rPr>
                <w:rFonts w:ascii="Arial" w:hAnsi="Arial" w:cs="Arial"/>
              </w:rPr>
            </w:pPr>
            <w:r>
              <w:rPr>
                <w:rFonts w:ascii="Arial" w:hAnsi="Arial" w:cs="Arial"/>
              </w:rPr>
              <w:t>Eye Tracking Interviews</w:t>
            </w:r>
          </w:p>
        </w:tc>
        <w:tc>
          <w:tcPr>
            <w:tcW w:w="2017" w:type="dxa"/>
            <w:vAlign w:val="center"/>
          </w:tcPr>
          <w:p w14:paraId="62B9D31A" w14:textId="777A1920" w:rsidR="00C0139C" w:rsidRDefault="00BB4046" w:rsidP="00C0139C">
            <w:pPr>
              <w:jc w:val="center"/>
              <w:rPr>
                <w:rFonts w:ascii="Arial" w:hAnsi="Arial" w:cs="Arial"/>
              </w:rPr>
            </w:pPr>
            <w:r>
              <w:rPr>
                <w:rFonts w:ascii="Arial" w:hAnsi="Arial" w:cs="Arial"/>
              </w:rPr>
              <w:t>40</w:t>
            </w:r>
          </w:p>
        </w:tc>
        <w:tc>
          <w:tcPr>
            <w:tcW w:w="2199" w:type="dxa"/>
            <w:vAlign w:val="center"/>
          </w:tcPr>
          <w:p w14:paraId="0DE473DA" w14:textId="2FB32FC8" w:rsidR="00C0139C" w:rsidRDefault="00BB4046" w:rsidP="00C0139C">
            <w:pPr>
              <w:jc w:val="center"/>
              <w:rPr>
                <w:rFonts w:ascii="Arial" w:hAnsi="Arial" w:cs="Arial"/>
              </w:rPr>
            </w:pPr>
            <w:r>
              <w:rPr>
                <w:rFonts w:ascii="Arial" w:hAnsi="Arial" w:cs="Arial"/>
              </w:rPr>
              <w:t>10 minutes</w:t>
            </w:r>
          </w:p>
        </w:tc>
        <w:tc>
          <w:tcPr>
            <w:tcW w:w="2194" w:type="dxa"/>
            <w:vAlign w:val="center"/>
          </w:tcPr>
          <w:p w14:paraId="103D18C9" w14:textId="050CBD97" w:rsidR="00C0139C" w:rsidRDefault="003C1F9C" w:rsidP="00C0139C">
            <w:pPr>
              <w:jc w:val="center"/>
              <w:rPr>
                <w:rFonts w:ascii="Arial" w:hAnsi="Arial" w:cs="Arial"/>
              </w:rPr>
            </w:pPr>
            <w:r>
              <w:rPr>
                <w:rFonts w:ascii="Arial" w:hAnsi="Arial" w:cs="Arial"/>
              </w:rPr>
              <w:t>6.7</w:t>
            </w:r>
          </w:p>
        </w:tc>
      </w:tr>
    </w:tbl>
    <w:p w14:paraId="29D420ED" w14:textId="77777777" w:rsidR="003417D6" w:rsidRDefault="003417D6" w:rsidP="00DB01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14:paraId="2A253AE2" w14:textId="6C74B6AD" w:rsidR="00FA2496" w:rsidRPr="002D3923" w:rsidRDefault="00FA2496"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2D3923">
        <w:rPr>
          <w:rFonts w:ascii="Arial" w:hAnsi="Arial" w:cs="Arial"/>
        </w:rPr>
        <w:t xml:space="preserve">NASS uses the Bureau of Labor Statistics’ Occupational Employment Statistics (most recently published on March 31, 2017 for the previous May) to estimate an hourly wage for the burden cost. The May 2016 mean wage for bookkeepers was $19.34. The mean wage for farm managers was $36.44. The mean wage for farm supervisors was $23.47. The average of the three is $26.42. The annual estimated reporting time of </w:t>
      </w:r>
      <w:r w:rsidR="004C4431" w:rsidRPr="002D3923">
        <w:rPr>
          <w:rFonts w:ascii="Arial" w:hAnsi="Arial" w:cs="Arial"/>
        </w:rPr>
        <w:t>7</w:t>
      </w:r>
      <w:r w:rsidRPr="002D3923">
        <w:rPr>
          <w:rFonts w:ascii="Arial" w:hAnsi="Arial" w:cs="Arial"/>
        </w:rPr>
        <w:t xml:space="preserve"> hours is multiplied by $26 per hour for a total cost to the public of $</w:t>
      </w:r>
      <w:r w:rsidR="004C4431" w:rsidRPr="002D3923">
        <w:rPr>
          <w:rFonts w:ascii="Arial" w:hAnsi="Arial" w:cs="Arial"/>
        </w:rPr>
        <w:t>182</w:t>
      </w:r>
      <w:r w:rsidRPr="002D3923">
        <w:rPr>
          <w:rFonts w:ascii="Arial" w:hAnsi="Arial" w:cs="Arial"/>
        </w:rPr>
        <w:t>.</w:t>
      </w:r>
    </w:p>
    <w:p w14:paraId="10E22253" w14:textId="77777777" w:rsidR="00D20D51" w:rsidRPr="002D3923" w:rsidRDefault="00D20D51"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14:paraId="618FA879" w14:textId="77777777" w:rsidR="0098334F" w:rsidRPr="002D3923"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2D3923">
        <w:rPr>
          <w:rFonts w:ascii="Arial" w:hAnsi="Arial" w:cs="Arial"/>
          <w:b/>
          <w:color w:val="000000"/>
        </w:rPr>
        <w:t>Total annual cost burden to respondents</w:t>
      </w:r>
      <w:r w:rsidR="00E14936" w:rsidRPr="002D3923">
        <w:rPr>
          <w:rFonts w:ascii="Arial" w:hAnsi="Arial" w:cs="Arial"/>
          <w:b/>
          <w:color w:val="000000"/>
        </w:rPr>
        <w:t>.</w:t>
      </w:r>
    </w:p>
    <w:p w14:paraId="5F3F110F" w14:textId="77777777" w:rsidR="001D5FA2" w:rsidRPr="002D3923"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117E43E5" w14:textId="77777777"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2D3923">
        <w:rPr>
          <w:rFonts w:ascii="Arial" w:hAnsi="Arial" w:cs="Arial"/>
        </w:rPr>
        <w:t>There are no capital/start-up or ongoing operation/maintenance costs associated with this information collection.</w:t>
      </w:r>
    </w:p>
    <w:p w14:paraId="33FF5AB2" w14:textId="77777777"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6472279" w14:textId="77777777"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14:paraId="5202648E" w14:textId="77777777"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D88B4E" w14:textId="3EF88EF4" w:rsidR="00396E14" w:rsidRDefault="00072976"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F511DA">
        <w:rPr>
          <w:rFonts w:ascii="Arial" w:hAnsi="Arial" w:cs="Arial"/>
        </w:rPr>
        <w:t xml:space="preserve">Costs for conducting the </w:t>
      </w:r>
      <w:r w:rsidR="004B1E0E" w:rsidRPr="00F511DA">
        <w:rPr>
          <w:rFonts w:ascii="Arial" w:hAnsi="Arial" w:cs="Arial"/>
        </w:rPr>
        <w:t>qualitative research</w:t>
      </w:r>
      <w:r w:rsidRPr="00F511DA">
        <w:rPr>
          <w:rFonts w:ascii="Arial" w:hAnsi="Arial" w:cs="Arial"/>
        </w:rPr>
        <w:t xml:space="preserve"> interviews are estimated at $</w:t>
      </w:r>
      <w:r w:rsidR="006125B2" w:rsidRPr="00F511DA">
        <w:rPr>
          <w:rFonts w:ascii="Arial" w:hAnsi="Arial" w:cs="Arial"/>
        </w:rPr>
        <w:t>5</w:t>
      </w:r>
      <w:r w:rsidR="00F511DA">
        <w:rPr>
          <w:rFonts w:ascii="Arial" w:hAnsi="Arial" w:cs="Arial"/>
        </w:rPr>
        <w:t>0</w:t>
      </w:r>
      <w:r w:rsidR="006820FD" w:rsidRPr="00F511DA">
        <w:rPr>
          <w:rFonts w:ascii="Arial" w:hAnsi="Arial" w:cs="Arial"/>
        </w:rPr>
        <w:t xml:space="preserve">,000. </w:t>
      </w:r>
      <w:r w:rsidRPr="00F511DA">
        <w:rPr>
          <w:rFonts w:ascii="Arial" w:hAnsi="Arial" w:cs="Arial"/>
        </w:rPr>
        <w:t xml:space="preserve">This will cover </w:t>
      </w:r>
      <w:r w:rsidR="00412E47" w:rsidRPr="00F511DA">
        <w:rPr>
          <w:rFonts w:ascii="Arial" w:hAnsi="Arial" w:cs="Arial"/>
        </w:rPr>
        <w:t xml:space="preserve">expenses for staff </w:t>
      </w:r>
      <w:r w:rsidRPr="00F511DA">
        <w:rPr>
          <w:rFonts w:ascii="Arial" w:hAnsi="Arial" w:cs="Arial"/>
        </w:rPr>
        <w:t>payroll</w:t>
      </w:r>
      <w:r w:rsidR="003E3815" w:rsidRPr="00F511DA">
        <w:rPr>
          <w:rFonts w:ascii="Arial" w:hAnsi="Arial" w:cs="Arial"/>
        </w:rPr>
        <w:t>,</w:t>
      </w:r>
      <w:r w:rsidRPr="00F511DA">
        <w:rPr>
          <w:rFonts w:ascii="Arial" w:hAnsi="Arial" w:cs="Arial"/>
        </w:rPr>
        <w:t xml:space="preserve"> travel</w:t>
      </w:r>
      <w:r w:rsidR="003E3815" w:rsidRPr="00F511DA">
        <w:rPr>
          <w:rFonts w:ascii="Arial" w:hAnsi="Arial" w:cs="Arial"/>
        </w:rPr>
        <w:t xml:space="preserve">, survey analysis, and any other expenses that may be incurred </w:t>
      </w:r>
      <w:r w:rsidR="00115E40" w:rsidRPr="00F511DA">
        <w:rPr>
          <w:rFonts w:ascii="Arial" w:hAnsi="Arial" w:cs="Arial"/>
        </w:rPr>
        <w:t>while</w:t>
      </w:r>
      <w:r w:rsidR="003E3815" w:rsidRPr="00F511DA">
        <w:rPr>
          <w:rFonts w:ascii="Arial" w:hAnsi="Arial" w:cs="Arial"/>
        </w:rPr>
        <w:t xml:space="preserve"> updating survey materials</w:t>
      </w:r>
      <w:r w:rsidRPr="00F511DA">
        <w:rPr>
          <w:rFonts w:ascii="Arial" w:hAnsi="Arial" w:cs="Arial"/>
        </w:rPr>
        <w:t xml:space="preserve"> </w:t>
      </w:r>
      <w:r w:rsidR="003E3815" w:rsidRPr="00F511DA">
        <w:rPr>
          <w:rFonts w:ascii="Arial" w:hAnsi="Arial" w:cs="Arial"/>
        </w:rPr>
        <w:t xml:space="preserve">based on our findings. </w:t>
      </w:r>
    </w:p>
    <w:p w14:paraId="4E650281" w14:textId="77777777" w:rsidR="006B26A8" w:rsidRDefault="006B26A8"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41E0088" w14:textId="77777777"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00FB543B" w:rsidRPr="00BC7F74">
        <w:rPr>
          <w:rFonts w:ascii="Arial" w:hAnsi="Arial" w:cs="Arial"/>
          <w:b/>
          <w:color w:val="000000"/>
        </w:rPr>
        <w:t>easons for changes in burden</w:t>
      </w:r>
      <w:r w:rsidR="00E14936" w:rsidRPr="00BC7F74">
        <w:rPr>
          <w:rFonts w:ascii="Arial" w:hAnsi="Arial" w:cs="Arial"/>
          <w:b/>
          <w:color w:val="000000"/>
        </w:rPr>
        <w:t>.</w:t>
      </w:r>
    </w:p>
    <w:p w14:paraId="5E0729EF"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3E0AF6F" w14:textId="189144CD" w:rsidR="006B26A8" w:rsidRPr="008211A3" w:rsidRDefault="006B26A8" w:rsidP="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w:t>
      </w:r>
      <w:r w:rsidR="003C1F9C">
        <w:rPr>
          <w:rFonts w:ascii="Arial" w:hAnsi="Arial" w:cs="Arial"/>
        </w:rPr>
        <w:t>eye tracking research.</w:t>
      </w:r>
    </w:p>
    <w:p w14:paraId="6DB70798"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21AB3CFE" w14:textId="77777777"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14:paraId="414FAFF8"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91E92D0" w14:textId="77777777" w:rsidR="00BC7F74" w:rsidRPr="00BC7F74" w:rsidRDefault="00BC7F74" w:rsidP="006125B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 presented at outside conferences or seminars</w:t>
      </w:r>
      <w:r w:rsidRPr="00BC7F74">
        <w:rPr>
          <w:rFonts w:ascii="Arial" w:hAnsi="Arial" w:cs="Arial"/>
          <w:color w:val="000000"/>
        </w:rPr>
        <w:t>.</w:t>
      </w:r>
    </w:p>
    <w:p w14:paraId="14F3079D"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A77C18A" w14:textId="77777777"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14:paraId="6F48AB1D" w14:textId="77777777"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51D96B86" w14:textId="77777777"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14:paraId="1CFED46A" w14:textId="77777777"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7727AD16" w14:textId="77777777"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14:paraId="4828293E"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7C2F9ED" w14:textId="77777777" w:rsidR="00BC7F74" w:rsidRPr="00986169"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14:paraId="1DFAE11A" w14:textId="60910007" w:rsidR="00F511DA" w:rsidRDefault="00F511DA">
      <w:pPr>
        <w:widowControl/>
        <w:autoSpaceDE/>
        <w:autoSpaceDN/>
        <w:adjustRightInd/>
        <w:spacing w:after="200" w:line="276" w:lineRule="auto"/>
        <w:rPr>
          <w:rFonts w:ascii="Arial" w:hAnsi="Arial" w:cs="Arial"/>
          <w:color w:val="000000"/>
        </w:rPr>
      </w:pPr>
      <w:r>
        <w:rPr>
          <w:rFonts w:ascii="Arial" w:hAnsi="Arial" w:cs="Arial"/>
          <w:color w:val="000000"/>
        </w:rPr>
        <w:br w:type="page"/>
      </w:r>
    </w:p>
    <w:p w14:paraId="3C9A5A6B"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14:paraId="088B88A6"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C06109C" w14:textId="77777777"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14:paraId="3FB81560" w14:textId="77777777"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9B67EE1" w14:textId="59800023" w:rsidR="00494AB3" w:rsidRPr="00171DCE" w:rsidRDefault="00171DCE"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171DCE">
        <w:rPr>
          <w:rFonts w:ascii="Arial" w:hAnsi="Arial" w:cs="Arial"/>
          <w:color w:val="000000"/>
        </w:rPr>
        <w:t>Participants will be recruited from the general population, using the participant pool that is maintained at BLS.  We will recruit people who do not wear glasses to use the computer and who have not participated in a study at BLS in the last 9 months.</w:t>
      </w:r>
    </w:p>
    <w:p w14:paraId="1E922C0A" w14:textId="77777777" w:rsidR="00171DCE" w:rsidRPr="0070630C" w:rsidRDefault="00171DCE"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092E3590" w14:textId="77777777" w:rsidR="00393BBC" w:rsidRPr="0070630C"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14:paraId="4CC99527" w14:textId="77777777" w:rsidR="005F1F79" w:rsidRPr="0070630C"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6C6BC9B7" w14:textId="77777777"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002031FC" w:rsidRPr="0070630C">
        <w:rPr>
          <w:rFonts w:asciiTheme="minorHAnsi" w:hAnsiTheme="minorHAnsi" w:cstheme="minorHAnsi"/>
        </w:rPr>
        <w:t xml:space="preserve">e Generic Clearance </w:t>
      </w:r>
      <w:r w:rsidRPr="0070630C">
        <w:rPr>
          <w:rFonts w:asciiTheme="minorHAnsi" w:hAnsiTheme="minorHAnsi" w:cstheme="minorHAnsi"/>
        </w:rPr>
        <w:t>docket</w:t>
      </w:r>
      <w:r w:rsidR="002031FC" w:rsidRPr="0070630C">
        <w:rPr>
          <w:rFonts w:asciiTheme="minorHAnsi" w:hAnsiTheme="minorHAnsi" w:cstheme="minorHAnsi"/>
          <w:color w:val="000000"/>
        </w:rPr>
        <w:t xml:space="preserve"> </w:t>
      </w:r>
      <w:r w:rsidR="007810FF" w:rsidRPr="0070630C">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14:paraId="7E26556E" w14:textId="77777777"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14:paraId="1FA86927" w14:textId="77777777"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14:paraId="1AD6D151" w14:textId="77777777"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E28C33A" w14:textId="5B8CF10F" w:rsidR="00393BBC" w:rsidRDefault="00171DCE"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Participants</w:t>
      </w:r>
      <w:r w:rsidR="0087614A">
        <w:rPr>
          <w:rFonts w:ascii="Arial" w:hAnsi="Arial" w:cs="Arial"/>
        </w:rPr>
        <w:t xml:space="preserve">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14:paraId="3CD667C1" w14:textId="77777777"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8572F3C" w14:textId="77777777"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14:paraId="13BBB54A"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3269CF8"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14:paraId="1B609BB4" w14:textId="77777777" w:rsidR="006709CF" w:rsidRPr="005F1F79" w:rsidRDefault="006709CF"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442186A" w14:textId="77777777"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14:paraId="56AF740C" w14:textId="77777777"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403CC86" w14:textId="69514723" w:rsidR="008A693E" w:rsidRDefault="008A693E" w:rsidP="008A693E">
      <w:pPr>
        <w:ind w:left="630"/>
        <w:rPr>
          <w:rFonts w:ascii="Arial" w:hAnsi="Arial"/>
        </w:rPr>
      </w:pPr>
      <w:r w:rsidRPr="008A693E">
        <w:rPr>
          <w:rFonts w:ascii="Arial" w:hAnsi="Arial"/>
        </w:rPr>
        <w:t xml:space="preserve">Selection of methods of testing </w:t>
      </w:r>
      <w:r w:rsidR="006709CF">
        <w:rPr>
          <w:rFonts w:ascii="Arial" w:hAnsi="Arial"/>
        </w:rPr>
        <w:t xml:space="preserve">for this </w:t>
      </w:r>
      <w:r w:rsidR="004B1E0E">
        <w:rPr>
          <w:rFonts w:ascii="Arial" w:hAnsi="Arial"/>
        </w:rPr>
        <w:t>research</w:t>
      </w:r>
      <w:r w:rsidR="006709CF">
        <w:rPr>
          <w:rFonts w:ascii="Arial" w:hAnsi="Arial"/>
        </w:rPr>
        <w:t xml:space="preserve"> wa</w:t>
      </w:r>
      <w:r w:rsidRPr="008A693E">
        <w:rPr>
          <w:rFonts w:ascii="Arial" w:hAnsi="Arial"/>
        </w:rPr>
        <w:t xml:space="preserve">s done by the </w:t>
      </w:r>
      <w:r w:rsidR="003C1F9C">
        <w:rPr>
          <w:rFonts w:ascii="Arial" w:hAnsi="Arial"/>
        </w:rPr>
        <w:t>Re</w:t>
      </w:r>
      <w:r w:rsidR="00363ED9">
        <w:rPr>
          <w:rFonts w:ascii="Arial" w:hAnsi="Arial"/>
        </w:rPr>
        <w:t>search and Development Division</w:t>
      </w:r>
      <w:r w:rsidR="00252E7C" w:rsidRPr="008A693E">
        <w:rPr>
          <w:rFonts w:ascii="Arial" w:hAnsi="Arial"/>
        </w:rPr>
        <w:t>;</w:t>
      </w:r>
      <w:r w:rsidRPr="008A693E">
        <w:rPr>
          <w:rFonts w:ascii="Arial" w:hAnsi="Arial"/>
        </w:rPr>
        <w:t xml:space="preserve"> </w:t>
      </w:r>
      <w:r w:rsidR="003C1F9C">
        <w:rPr>
          <w:rFonts w:ascii="Arial" w:hAnsi="Arial"/>
        </w:rPr>
        <w:t>Heather Ridolfo (202) 692-0293</w:t>
      </w:r>
    </w:p>
    <w:p w14:paraId="40C9F431" w14:textId="77777777" w:rsidR="006709CF" w:rsidRPr="008A693E" w:rsidRDefault="006709CF" w:rsidP="008A693E">
      <w:pPr>
        <w:ind w:left="630"/>
        <w:rPr>
          <w:rFonts w:ascii="Arial" w:hAnsi="Arial"/>
        </w:rPr>
      </w:pPr>
    </w:p>
    <w:p w14:paraId="1EA9C888" w14:textId="2B9CCE18" w:rsidR="006F4581" w:rsidRDefault="00AB5579"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November</w:t>
      </w:r>
      <w:r w:rsidR="006709CF">
        <w:rPr>
          <w:rFonts w:ascii="Arial" w:hAnsi="Arial" w:cs="Arial"/>
          <w:color w:val="000000"/>
        </w:rPr>
        <w:t xml:space="preserve"> 2017</w:t>
      </w:r>
    </w:p>
    <w:sectPr w:rsidR="006F4581" w:rsidSect="00863463">
      <w:footerReference w:type="default" r:id="rId9"/>
      <w:pgSz w:w="12240" w:h="15840" w:code="1"/>
      <w:pgMar w:top="1714" w:right="1530" w:bottom="1620" w:left="189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81F39" w14:textId="77777777" w:rsidR="00A81FED" w:rsidRDefault="00A81FED" w:rsidP="0098334F">
      <w:r>
        <w:separator/>
      </w:r>
    </w:p>
  </w:endnote>
  <w:endnote w:type="continuationSeparator" w:id="0">
    <w:p w14:paraId="1B08B3A7" w14:textId="77777777" w:rsidR="00A81FED" w:rsidRDefault="00A81FED"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21682"/>
      <w:docPartObj>
        <w:docPartGallery w:val="Page Numbers (Bottom of Page)"/>
        <w:docPartUnique/>
      </w:docPartObj>
    </w:sdtPr>
    <w:sdtEndPr/>
    <w:sdtContent>
      <w:p w14:paraId="48C5476B" w14:textId="77777777" w:rsidR="00A81FED" w:rsidRDefault="00A81FED">
        <w:pPr>
          <w:pStyle w:val="Footer"/>
          <w:jc w:val="center"/>
        </w:pPr>
        <w:r>
          <w:fldChar w:fldCharType="begin"/>
        </w:r>
        <w:r>
          <w:instrText xml:space="preserve"> PAGE   \* MERGEFORMAT </w:instrText>
        </w:r>
        <w:r>
          <w:fldChar w:fldCharType="separate"/>
        </w:r>
        <w:r w:rsidR="008C0E33">
          <w:rPr>
            <w:noProof/>
          </w:rPr>
          <w:t>1</w:t>
        </w:r>
        <w:r>
          <w:rPr>
            <w:noProof/>
          </w:rPr>
          <w:fldChar w:fldCharType="end"/>
        </w:r>
      </w:p>
    </w:sdtContent>
  </w:sdt>
  <w:p w14:paraId="5351A910" w14:textId="77777777" w:rsidR="00A81FED" w:rsidRDefault="00A81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343E" w14:textId="77777777" w:rsidR="00A81FED" w:rsidRDefault="00A81FED" w:rsidP="0098334F">
      <w:r>
        <w:separator/>
      </w:r>
    </w:p>
  </w:footnote>
  <w:footnote w:type="continuationSeparator" w:id="0">
    <w:p w14:paraId="3FF57283" w14:textId="77777777" w:rsidR="00A81FED" w:rsidRDefault="00A81FED"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B28CE"/>
    <w:multiLevelType w:val="hybridMultilevel"/>
    <w:tmpl w:val="7D8A7C9A"/>
    <w:lvl w:ilvl="0" w:tplc="4C1432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F6167"/>
    <w:multiLevelType w:val="hybridMultilevel"/>
    <w:tmpl w:val="E2FC6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7E066E"/>
    <w:multiLevelType w:val="hybridMultilevel"/>
    <w:tmpl w:val="A2DA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EE44E84"/>
    <w:multiLevelType w:val="hybridMultilevel"/>
    <w:tmpl w:val="C61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2"/>
  </w:num>
  <w:num w:numId="4">
    <w:abstractNumId w:val="1"/>
  </w:num>
  <w:num w:numId="5">
    <w:abstractNumId w:val="6"/>
  </w:num>
  <w:num w:numId="6">
    <w:abstractNumId w:val="1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7"/>
  </w:num>
  <w:num w:numId="11">
    <w:abstractNumId w:val="14"/>
  </w:num>
  <w:num w:numId="12">
    <w:abstractNumId w:val="19"/>
  </w:num>
  <w:num w:numId="13">
    <w:abstractNumId w:val="17"/>
  </w:num>
  <w:num w:numId="14">
    <w:abstractNumId w:val="4"/>
  </w:num>
  <w:num w:numId="15">
    <w:abstractNumId w:val="13"/>
  </w:num>
  <w:num w:numId="16">
    <w:abstractNumId w:val="18"/>
  </w:num>
  <w:num w:numId="17">
    <w:abstractNumId w:val="10"/>
  </w:num>
  <w:num w:numId="18">
    <w:abstractNumId w:val="5"/>
  </w:num>
  <w:num w:numId="19">
    <w:abstractNumId w:val="8"/>
  </w:num>
  <w:num w:numId="20">
    <w:abstractNumId w:val="16"/>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7B3F"/>
    <w:rsid w:val="0003771F"/>
    <w:rsid w:val="000401CE"/>
    <w:rsid w:val="00072976"/>
    <w:rsid w:val="000802CF"/>
    <w:rsid w:val="000D1601"/>
    <w:rsid w:val="000F68A8"/>
    <w:rsid w:val="0010561B"/>
    <w:rsid w:val="00115E40"/>
    <w:rsid w:val="001349CD"/>
    <w:rsid w:val="00157245"/>
    <w:rsid w:val="00171DCE"/>
    <w:rsid w:val="001D0B65"/>
    <w:rsid w:val="001D1D37"/>
    <w:rsid w:val="001D5FA2"/>
    <w:rsid w:val="001F7A2A"/>
    <w:rsid w:val="001F7CB5"/>
    <w:rsid w:val="00200F17"/>
    <w:rsid w:val="002031FC"/>
    <w:rsid w:val="00203FA3"/>
    <w:rsid w:val="00212691"/>
    <w:rsid w:val="0021731E"/>
    <w:rsid w:val="00242274"/>
    <w:rsid w:val="00252E7C"/>
    <w:rsid w:val="00256702"/>
    <w:rsid w:val="00264122"/>
    <w:rsid w:val="002647B1"/>
    <w:rsid w:val="00274CEA"/>
    <w:rsid w:val="0028149F"/>
    <w:rsid w:val="002838EB"/>
    <w:rsid w:val="00295D11"/>
    <w:rsid w:val="002B694D"/>
    <w:rsid w:val="002C5DA8"/>
    <w:rsid w:val="002D3923"/>
    <w:rsid w:val="002F56EA"/>
    <w:rsid w:val="0030730D"/>
    <w:rsid w:val="00330778"/>
    <w:rsid w:val="003417D6"/>
    <w:rsid w:val="00361640"/>
    <w:rsid w:val="00363ED9"/>
    <w:rsid w:val="00393BBC"/>
    <w:rsid w:val="003969B6"/>
    <w:rsid w:val="00396E14"/>
    <w:rsid w:val="003C1F9C"/>
    <w:rsid w:val="003D09AF"/>
    <w:rsid w:val="003D6E44"/>
    <w:rsid w:val="003E2C1F"/>
    <w:rsid w:val="003E3815"/>
    <w:rsid w:val="004067A1"/>
    <w:rsid w:val="00412E47"/>
    <w:rsid w:val="00430ED5"/>
    <w:rsid w:val="00434D3D"/>
    <w:rsid w:val="00435816"/>
    <w:rsid w:val="00440D32"/>
    <w:rsid w:val="0045684A"/>
    <w:rsid w:val="004637D9"/>
    <w:rsid w:val="004821A8"/>
    <w:rsid w:val="00494AB3"/>
    <w:rsid w:val="00497685"/>
    <w:rsid w:val="004B1E0E"/>
    <w:rsid w:val="004B6625"/>
    <w:rsid w:val="004C4431"/>
    <w:rsid w:val="004D3B55"/>
    <w:rsid w:val="004F4979"/>
    <w:rsid w:val="00584216"/>
    <w:rsid w:val="00584DFD"/>
    <w:rsid w:val="00594BAC"/>
    <w:rsid w:val="005A18F9"/>
    <w:rsid w:val="005B7F25"/>
    <w:rsid w:val="005C61CE"/>
    <w:rsid w:val="005D38AD"/>
    <w:rsid w:val="005D64C3"/>
    <w:rsid w:val="005F1F79"/>
    <w:rsid w:val="006125B2"/>
    <w:rsid w:val="00614769"/>
    <w:rsid w:val="0065764A"/>
    <w:rsid w:val="00667DD5"/>
    <w:rsid w:val="006709CF"/>
    <w:rsid w:val="006820FD"/>
    <w:rsid w:val="0068722A"/>
    <w:rsid w:val="006B26A8"/>
    <w:rsid w:val="006C6C7B"/>
    <w:rsid w:val="006F4581"/>
    <w:rsid w:val="0070630C"/>
    <w:rsid w:val="00713EBB"/>
    <w:rsid w:val="00752FEB"/>
    <w:rsid w:val="007810FF"/>
    <w:rsid w:val="007C6956"/>
    <w:rsid w:val="007E1087"/>
    <w:rsid w:val="007E13D4"/>
    <w:rsid w:val="007E26AF"/>
    <w:rsid w:val="007F1888"/>
    <w:rsid w:val="00827FB6"/>
    <w:rsid w:val="00843C55"/>
    <w:rsid w:val="0085157E"/>
    <w:rsid w:val="00852B68"/>
    <w:rsid w:val="00863463"/>
    <w:rsid w:val="0087614A"/>
    <w:rsid w:val="00877A89"/>
    <w:rsid w:val="008830D7"/>
    <w:rsid w:val="008A2BE5"/>
    <w:rsid w:val="008A693E"/>
    <w:rsid w:val="008B3AD4"/>
    <w:rsid w:val="008C0E33"/>
    <w:rsid w:val="008C35E2"/>
    <w:rsid w:val="008D04A6"/>
    <w:rsid w:val="0090600F"/>
    <w:rsid w:val="00912A9B"/>
    <w:rsid w:val="00912CE9"/>
    <w:rsid w:val="009259B4"/>
    <w:rsid w:val="00931B36"/>
    <w:rsid w:val="00972CC0"/>
    <w:rsid w:val="0098334F"/>
    <w:rsid w:val="009902FD"/>
    <w:rsid w:val="00990EA9"/>
    <w:rsid w:val="009932C5"/>
    <w:rsid w:val="009A187D"/>
    <w:rsid w:val="009B109A"/>
    <w:rsid w:val="009F3B7D"/>
    <w:rsid w:val="00A02CE1"/>
    <w:rsid w:val="00A27AF8"/>
    <w:rsid w:val="00A43613"/>
    <w:rsid w:val="00A7505C"/>
    <w:rsid w:val="00A81FED"/>
    <w:rsid w:val="00A84978"/>
    <w:rsid w:val="00A9092C"/>
    <w:rsid w:val="00A96B71"/>
    <w:rsid w:val="00A9787E"/>
    <w:rsid w:val="00AA3C76"/>
    <w:rsid w:val="00AB15B5"/>
    <w:rsid w:val="00AB5579"/>
    <w:rsid w:val="00AC11E0"/>
    <w:rsid w:val="00AE16DB"/>
    <w:rsid w:val="00B3246F"/>
    <w:rsid w:val="00B35108"/>
    <w:rsid w:val="00B40AAD"/>
    <w:rsid w:val="00B50FFA"/>
    <w:rsid w:val="00B7161F"/>
    <w:rsid w:val="00B91397"/>
    <w:rsid w:val="00B92EF7"/>
    <w:rsid w:val="00BB4046"/>
    <w:rsid w:val="00BC7F74"/>
    <w:rsid w:val="00BD332F"/>
    <w:rsid w:val="00BE76EB"/>
    <w:rsid w:val="00C0139C"/>
    <w:rsid w:val="00C14027"/>
    <w:rsid w:val="00C7613F"/>
    <w:rsid w:val="00C909D3"/>
    <w:rsid w:val="00CA3144"/>
    <w:rsid w:val="00CA6FA1"/>
    <w:rsid w:val="00CD7800"/>
    <w:rsid w:val="00CE56CA"/>
    <w:rsid w:val="00D20D51"/>
    <w:rsid w:val="00D24CF5"/>
    <w:rsid w:val="00D2671F"/>
    <w:rsid w:val="00D37D8A"/>
    <w:rsid w:val="00D51413"/>
    <w:rsid w:val="00D75B6F"/>
    <w:rsid w:val="00DA5829"/>
    <w:rsid w:val="00DB0125"/>
    <w:rsid w:val="00DB6506"/>
    <w:rsid w:val="00DB73BE"/>
    <w:rsid w:val="00E0118F"/>
    <w:rsid w:val="00E05C6D"/>
    <w:rsid w:val="00E14936"/>
    <w:rsid w:val="00E45922"/>
    <w:rsid w:val="00E538A0"/>
    <w:rsid w:val="00E6094E"/>
    <w:rsid w:val="00E7797A"/>
    <w:rsid w:val="00E95003"/>
    <w:rsid w:val="00E954EF"/>
    <w:rsid w:val="00EC726D"/>
    <w:rsid w:val="00EF264B"/>
    <w:rsid w:val="00F024FB"/>
    <w:rsid w:val="00F3029E"/>
    <w:rsid w:val="00F34766"/>
    <w:rsid w:val="00F511DA"/>
    <w:rsid w:val="00F52CC5"/>
    <w:rsid w:val="00F64240"/>
    <w:rsid w:val="00F668FC"/>
    <w:rsid w:val="00F67096"/>
    <w:rsid w:val="00F945ED"/>
    <w:rsid w:val="00FA2496"/>
    <w:rsid w:val="00FA6506"/>
    <w:rsid w:val="00FB017B"/>
    <w:rsid w:val="00FB4EF6"/>
    <w:rsid w:val="00FB543B"/>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3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3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CEB9D-DFDA-4E3F-92CC-CE11A885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2017-04-05T16:16:00Z</cp:lastPrinted>
  <dcterms:created xsi:type="dcterms:W3CDTF">2017-11-03T18:12:00Z</dcterms:created>
  <dcterms:modified xsi:type="dcterms:W3CDTF">2017-11-03T18:12:00Z</dcterms:modified>
</cp:coreProperties>
</file>