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68" w:rsidRDefault="00643268" w:rsidP="00E57DF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Appendix </w:t>
      </w:r>
    </w:p>
    <w:p w:rsidR="00643268" w:rsidRDefault="00643268" w:rsidP="00E57DF0">
      <w:pPr>
        <w:rPr>
          <w:rFonts w:cs="Calibri"/>
          <w:b/>
          <w:sz w:val="24"/>
          <w:szCs w:val="24"/>
        </w:rPr>
      </w:pPr>
    </w:p>
    <w:p w:rsidR="00643268" w:rsidRDefault="00643268" w:rsidP="00E57DF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Example of the use of the Generic Field Clearance Package</w:t>
      </w:r>
    </w:p>
    <w:p w:rsidR="00643268" w:rsidRDefault="00643268" w:rsidP="00E57DF0">
      <w:pPr>
        <w:rPr>
          <w:rFonts w:cs="Calibri"/>
          <w:b/>
          <w:sz w:val="24"/>
          <w:szCs w:val="24"/>
        </w:rPr>
      </w:pPr>
    </w:p>
    <w:p w:rsidR="00643268" w:rsidRDefault="00643268" w:rsidP="00643268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57C7E">
        <w:rPr>
          <w:rFonts w:cs="Calibri"/>
        </w:rPr>
        <w:t xml:space="preserve">Objective:  </w:t>
      </w:r>
      <w:r w:rsidR="00557C7E" w:rsidRPr="00557C7E">
        <w:rPr>
          <w:rFonts w:cs="Calibri"/>
        </w:rPr>
        <w:t>To t</w:t>
      </w:r>
      <w:r w:rsidRPr="00557C7E">
        <w:rPr>
          <w:rFonts w:cs="Calibri"/>
        </w:rPr>
        <w:t xml:space="preserve">est changes to the Census Bureau’s mailing material messages </w:t>
      </w:r>
      <w:r w:rsidR="00557C7E" w:rsidRPr="00557C7E">
        <w:rPr>
          <w:rFonts w:cs="Calibri"/>
        </w:rPr>
        <w:t>we used the Generic Field Clearance Package to implement a small test with modifications to our mailing materials</w:t>
      </w:r>
      <w:r w:rsidR="00557C7E">
        <w:rPr>
          <w:rFonts w:cs="Calibri"/>
        </w:rPr>
        <w:t xml:space="preserve"> in October 2015</w:t>
      </w:r>
      <w:r w:rsidRPr="00557C7E">
        <w:rPr>
          <w:rFonts w:cs="Calibri"/>
        </w:rPr>
        <w:t xml:space="preserve">.  </w:t>
      </w:r>
      <w:r w:rsidRPr="00557C7E">
        <w:t xml:space="preserve">The October 2015 Small-Scale </w:t>
      </w:r>
      <w:proofErr w:type="spellStart"/>
      <w:r w:rsidRPr="00557C7E">
        <w:t>Mailout</w:t>
      </w:r>
      <w:proofErr w:type="spellEnd"/>
      <w:r w:rsidRPr="00557C7E">
        <w:t xml:space="preserve"> Test d</w:t>
      </w:r>
      <w:r w:rsidRPr="00557C7E">
        <w:t>etermine</w:t>
      </w:r>
      <w:r w:rsidR="00557C7E">
        <w:t>d</w:t>
      </w:r>
      <w:r w:rsidRPr="00557C7E">
        <w:t xml:space="preserve"> whether modifying the “community benefits” message </w:t>
      </w:r>
      <w:r w:rsidR="00F50644">
        <w:t>would</w:t>
      </w:r>
      <w:r w:rsidRPr="00557C7E">
        <w:t xml:space="preserve"> increase online response</w:t>
      </w:r>
      <w:r w:rsidR="00F50644">
        <w:t xml:space="preserve"> to a Census Bureau survey</w:t>
      </w:r>
      <w:r w:rsidRPr="00557C7E">
        <w:t xml:space="preserve">.  </w:t>
      </w:r>
      <w:r w:rsidR="00557C7E">
        <w:t xml:space="preserve">Research conducted by </w:t>
      </w:r>
      <w:proofErr w:type="spellStart"/>
      <w:r w:rsidR="00557C7E" w:rsidRPr="00557C7E">
        <w:rPr>
          <w:rFonts w:cs="Calibri"/>
        </w:rPr>
        <w:t>Reingold</w:t>
      </w:r>
      <w:proofErr w:type="spellEnd"/>
      <w:r w:rsidR="00557C7E" w:rsidRPr="00557C7E">
        <w:rPr>
          <w:rFonts w:cs="Calibri"/>
        </w:rPr>
        <w:t xml:space="preserve">, Inc. </w:t>
      </w:r>
      <w:r w:rsidR="00557C7E" w:rsidRPr="00557C7E">
        <w:t xml:space="preserve">(a communications and marketing firm under contract with the Census Bureau) </w:t>
      </w:r>
      <w:r w:rsidR="00A546BF">
        <w:t xml:space="preserve">suggested benefits to local communities (such as new schools) would motivate people to answer Census Bureau surveys.  </w:t>
      </w:r>
      <w:r w:rsidR="000A1C64">
        <w:t>I</w:t>
      </w:r>
      <w:r w:rsidR="00A546BF">
        <w:t xml:space="preserve">t would be impossible to print </w:t>
      </w:r>
      <w:r w:rsidR="000A1C64">
        <w:t xml:space="preserve">particular </w:t>
      </w:r>
      <w:r w:rsidR="00A546BF">
        <w:t xml:space="preserve">examples of </w:t>
      </w:r>
      <w:r w:rsidR="000A1C64">
        <w:t xml:space="preserve">census data </w:t>
      </w:r>
      <w:r w:rsidR="00A546BF">
        <w:t xml:space="preserve">uses </w:t>
      </w:r>
      <w:r w:rsidR="000A1C64">
        <w:t>for the mailings in</w:t>
      </w:r>
      <w:r w:rsidR="00A546BF">
        <w:t xml:space="preserve"> each community</w:t>
      </w:r>
      <w:r w:rsidR="000A1C64">
        <w:t>.  A feasible alternative was to specify the “community.”</w:t>
      </w:r>
      <w:r w:rsidR="000A1C64" w:rsidRPr="000A1C64">
        <w:t xml:space="preserve"> </w:t>
      </w:r>
      <w:r w:rsidR="000A1C64">
        <w:t xml:space="preserve"> </w:t>
      </w:r>
      <w:r w:rsidR="000A1C64" w:rsidRPr="00557C7E">
        <w:t>The modifications</w:t>
      </w:r>
      <w:r w:rsidR="000A1C64">
        <w:t xml:space="preserve"> to the messages in our mailing materials</w:t>
      </w:r>
      <w:r w:rsidR="000A1C64" w:rsidRPr="00557C7E">
        <w:t xml:space="preserve"> include</w:t>
      </w:r>
      <w:r w:rsidR="000A1C64">
        <w:t>d</w:t>
      </w:r>
      <w:r w:rsidR="000A1C64" w:rsidRPr="00557C7E">
        <w:t xml:space="preserve"> </w:t>
      </w:r>
      <w:r w:rsidR="000A1C64">
        <w:t>making the “community benefits” message more geographic specific</w:t>
      </w:r>
      <w:r w:rsidR="000A1C64" w:rsidRPr="00557C7E">
        <w:t>, referring to the city, state or t</w:t>
      </w:r>
      <w:r w:rsidR="000A1C64">
        <w:t xml:space="preserve">he state alone.  </w:t>
      </w:r>
      <w:r w:rsidR="000A1C64">
        <w:t>W</w:t>
      </w:r>
      <w:r w:rsidR="00557C7E">
        <w:t>e used a small-</w:t>
      </w:r>
      <w:r w:rsidR="00F50644">
        <w:t xml:space="preserve">nationally representative </w:t>
      </w:r>
      <w:r w:rsidR="00557C7E">
        <w:t>sample under the field clearance to test it.</w:t>
      </w:r>
    </w:p>
    <w:p w:rsidR="00557C7E" w:rsidRDefault="00557C7E" w:rsidP="00643268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557C7E" w:rsidRDefault="00557C7E" w:rsidP="00643268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Panel Design and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989"/>
        <w:gridCol w:w="1989"/>
        <w:gridCol w:w="1989"/>
      </w:tblGrid>
      <w:tr w:rsidR="000A1C64" w:rsidTr="00557C7E">
        <w:tc>
          <w:tcPr>
            <w:tcW w:w="1804" w:type="dxa"/>
          </w:tcPr>
          <w:p w:rsidR="000A1C64" w:rsidRDefault="000A1C64" w:rsidP="00643268">
            <w:r>
              <w:t>Panels</w:t>
            </w:r>
          </w:p>
        </w:tc>
        <w:tc>
          <w:tcPr>
            <w:tcW w:w="1989" w:type="dxa"/>
          </w:tcPr>
          <w:p w:rsidR="000A1C64" w:rsidRDefault="000A1C64" w:rsidP="00643268">
            <w:r>
              <w:t xml:space="preserve">October 9, 2015 </w:t>
            </w:r>
          </w:p>
          <w:p w:rsidR="000A1C64" w:rsidRDefault="000A1C64" w:rsidP="00643268">
            <w:proofErr w:type="spellStart"/>
            <w:r>
              <w:t>Mailout</w:t>
            </w:r>
            <w:proofErr w:type="spellEnd"/>
            <w:r>
              <w:t xml:space="preserve"> of Initial Letter</w:t>
            </w:r>
          </w:p>
        </w:tc>
        <w:tc>
          <w:tcPr>
            <w:tcW w:w="1989" w:type="dxa"/>
          </w:tcPr>
          <w:p w:rsidR="000A1C64" w:rsidRDefault="000A1C64" w:rsidP="00643268">
            <w:r>
              <w:t>October 16, 2015</w:t>
            </w:r>
          </w:p>
          <w:p w:rsidR="000A1C64" w:rsidRDefault="000A1C64" w:rsidP="00643268">
            <w:proofErr w:type="spellStart"/>
            <w:r>
              <w:t>Mailout</w:t>
            </w:r>
            <w:proofErr w:type="spellEnd"/>
            <w:r>
              <w:t xml:space="preserve"> of Reminder Postcard</w:t>
            </w:r>
          </w:p>
        </w:tc>
        <w:tc>
          <w:tcPr>
            <w:tcW w:w="1989" w:type="dxa"/>
          </w:tcPr>
          <w:p w:rsidR="000A1C64" w:rsidRDefault="000A1C64" w:rsidP="00643268">
            <w:bookmarkStart w:id="0" w:name="_GoBack"/>
            <w:bookmarkEnd w:id="0"/>
            <w:r>
              <w:t>October 23, 2015</w:t>
            </w:r>
          </w:p>
          <w:p w:rsidR="000A1C64" w:rsidRDefault="000A1C64" w:rsidP="00643268">
            <w:proofErr w:type="spellStart"/>
            <w:r>
              <w:t>Mailout</w:t>
            </w:r>
            <w:proofErr w:type="spellEnd"/>
            <w:r>
              <w:t xml:space="preserve"> of Final Letter</w:t>
            </w:r>
          </w:p>
        </w:tc>
      </w:tr>
      <w:tr w:rsidR="000A1C64" w:rsidTr="00557C7E">
        <w:tc>
          <w:tcPr>
            <w:tcW w:w="1804" w:type="dxa"/>
          </w:tcPr>
          <w:p w:rsidR="000A1C64" w:rsidRDefault="000A1C64" w:rsidP="00643268">
            <w:r>
              <w:t>2,000 Housing units with the traditional “community benefits message”</w:t>
            </w:r>
          </w:p>
        </w:tc>
        <w:tc>
          <w:tcPr>
            <w:tcW w:w="1989" w:type="dxa"/>
          </w:tcPr>
          <w:p w:rsidR="000A1C64" w:rsidRDefault="000A1C64" w:rsidP="00643268"/>
          <w:p w:rsidR="000A1C64" w:rsidRDefault="000A1C64" w:rsidP="00643268">
            <w:r>
              <w:t>Figure 1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4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5</w:t>
            </w:r>
          </w:p>
        </w:tc>
      </w:tr>
      <w:tr w:rsidR="000A1C64" w:rsidTr="00557C7E">
        <w:tc>
          <w:tcPr>
            <w:tcW w:w="1804" w:type="dxa"/>
          </w:tcPr>
          <w:p w:rsidR="000A1C64" w:rsidRDefault="000A1C64" w:rsidP="00F50644">
            <w:r>
              <w:t xml:space="preserve">2,000 Housing units </w:t>
            </w:r>
            <w:r>
              <w:t xml:space="preserve">with a fill of City and State in the </w:t>
            </w:r>
            <w:r>
              <w:t>“community benefits message”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F50644">
            <w:r>
              <w:t>Figure 2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4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6</w:t>
            </w:r>
          </w:p>
        </w:tc>
      </w:tr>
      <w:tr w:rsidR="000A1C64" w:rsidTr="00557C7E">
        <w:tc>
          <w:tcPr>
            <w:tcW w:w="1804" w:type="dxa"/>
          </w:tcPr>
          <w:p w:rsidR="000A1C64" w:rsidRDefault="000A1C64" w:rsidP="00F50644">
            <w:r>
              <w:t xml:space="preserve">2,000 Housing units with </w:t>
            </w:r>
            <w:r>
              <w:t xml:space="preserve">a State fill in the </w:t>
            </w:r>
            <w:r>
              <w:t xml:space="preserve"> “community benefits message”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F50644">
            <w:r>
              <w:t>Figure 3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4</w:t>
            </w:r>
          </w:p>
        </w:tc>
        <w:tc>
          <w:tcPr>
            <w:tcW w:w="1989" w:type="dxa"/>
          </w:tcPr>
          <w:p w:rsidR="000A1C64" w:rsidRDefault="000A1C64" w:rsidP="00F50644"/>
          <w:p w:rsidR="000A1C64" w:rsidRDefault="000A1C64" w:rsidP="00D0259A">
            <w:r>
              <w:t>Figure 7</w:t>
            </w:r>
          </w:p>
        </w:tc>
      </w:tr>
    </w:tbl>
    <w:p w:rsidR="00557C7E" w:rsidRPr="00557C7E" w:rsidRDefault="00557C7E" w:rsidP="00643268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D0259A" w:rsidRPr="008B3FAC" w:rsidRDefault="00F50644" w:rsidP="00D0259A">
      <w:pPr>
        <w:rPr>
          <w:rFonts w:ascii="Verdana" w:hAnsi="Verdana" w:cstheme="majorHAnsi"/>
          <w:b/>
        </w:rPr>
      </w:pPr>
      <w:r>
        <w:rPr>
          <w:rFonts w:cs="Calibri"/>
        </w:rPr>
        <w:t>Results</w:t>
      </w:r>
      <w:r w:rsidRPr="00557C7E">
        <w:rPr>
          <w:rFonts w:cs="Calibri"/>
        </w:rPr>
        <w:t xml:space="preserve">:  </w:t>
      </w:r>
      <w:r w:rsidR="00D0259A">
        <w:rPr>
          <w:rFonts w:cs="Calibri"/>
        </w:rPr>
        <w:t xml:space="preserve">  </w:t>
      </w:r>
      <w:r w:rsidR="000A1C64">
        <w:rPr>
          <w:rFonts w:cs="Calibri"/>
        </w:rPr>
        <w:t>With a three week response period (October 9-October 31, 2016), r</w:t>
      </w:r>
      <w:r w:rsidR="00D0259A">
        <w:rPr>
          <w:rFonts w:cs="Calibri"/>
        </w:rPr>
        <w:t xml:space="preserve">esults showed there was no significant difference in the response rate between treatments </w:t>
      </w:r>
      <w:r w:rsidR="00D0259A">
        <w:rPr>
          <w:rFonts w:cs="Calibri"/>
        </w:rPr>
        <w:t>(</w:t>
      </w:r>
      <w:r w:rsidR="00D0259A">
        <w:rPr>
          <w:rFonts w:cs="Calibri"/>
        </w:rPr>
        <w:t>C</w:t>
      </w:r>
      <w:r w:rsidR="00D0259A">
        <w:rPr>
          <w:rFonts w:cs="Calibri"/>
        </w:rPr>
        <w:t>hi-</w:t>
      </w:r>
      <w:proofErr w:type="spellStart"/>
      <w:r w:rsidR="00D0259A">
        <w:rPr>
          <w:rFonts w:cs="Calibri"/>
        </w:rPr>
        <w:t>sq</w:t>
      </w:r>
      <w:proofErr w:type="spellEnd"/>
      <w:r w:rsidR="00D0259A">
        <w:rPr>
          <w:rFonts w:cs="Calibri"/>
        </w:rPr>
        <w:t>=2.83, p=0.24)</w:t>
      </w:r>
      <w:r w:rsidR="00D0259A">
        <w:rPr>
          <w:rFonts w:cs="Calibri"/>
        </w:rPr>
        <w:t>.  Therefore, adding a specific geography to the benefits message did not improve response over the production “community” message.</w:t>
      </w:r>
    </w:p>
    <w:p w:rsidR="00D0259A" w:rsidRPr="008B3FAC" w:rsidRDefault="00D0259A" w:rsidP="00D0259A">
      <w:pPr>
        <w:rPr>
          <w:rFonts w:ascii="Verdana" w:hAnsi="Verdana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  <w:gridCol w:w="1197"/>
      </w:tblGrid>
      <w:tr w:rsidR="00D0259A" w:rsidTr="00BC6F2F">
        <w:tc>
          <w:tcPr>
            <w:tcW w:w="2088" w:type="dxa"/>
          </w:tcPr>
          <w:p w:rsidR="00D0259A" w:rsidRDefault="0086539E" w:rsidP="00BC6F2F">
            <w:pPr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Traditional</w:t>
            </w:r>
            <w:r w:rsidR="00D0259A">
              <w:rPr>
                <w:rFonts w:ascii="Verdana" w:hAnsi="Verdana" w:cstheme="majorHAnsi"/>
              </w:rPr>
              <w:t xml:space="preserve"> – No fill (Value=1)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34.2%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683/2000</w:t>
            </w:r>
          </w:p>
        </w:tc>
      </w:tr>
      <w:tr w:rsidR="00D0259A" w:rsidTr="00BC6F2F">
        <w:tc>
          <w:tcPr>
            <w:tcW w:w="2088" w:type="dxa"/>
          </w:tcPr>
          <w:p w:rsidR="00D0259A" w:rsidRDefault="00D0259A" w:rsidP="00BC6F2F">
            <w:pPr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City /State fill (Value=2)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31.7%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633/2000</w:t>
            </w:r>
          </w:p>
        </w:tc>
      </w:tr>
      <w:tr w:rsidR="00D0259A" w:rsidTr="00BC6F2F">
        <w:tc>
          <w:tcPr>
            <w:tcW w:w="2088" w:type="dxa"/>
          </w:tcPr>
          <w:p w:rsidR="00D0259A" w:rsidRDefault="00D0259A" w:rsidP="00BC6F2F">
            <w:pPr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State fill (Value=3)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33.0%</w:t>
            </w:r>
          </w:p>
        </w:tc>
        <w:tc>
          <w:tcPr>
            <w:tcW w:w="1080" w:type="dxa"/>
            <w:vAlign w:val="center"/>
          </w:tcPr>
          <w:p w:rsidR="00D0259A" w:rsidRDefault="00D0259A" w:rsidP="00BC6F2F">
            <w:pPr>
              <w:jc w:val="right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659/2000</w:t>
            </w:r>
          </w:p>
        </w:tc>
      </w:tr>
    </w:tbl>
    <w:p w:rsidR="00D0259A" w:rsidRDefault="00D0259A" w:rsidP="00D0259A">
      <w:pPr>
        <w:rPr>
          <w:rFonts w:ascii="Verdana" w:hAnsi="Verdana" w:cstheme="majorHAnsi"/>
        </w:rPr>
      </w:pPr>
    </w:p>
    <w:p w:rsidR="0086539E" w:rsidRDefault="0086539E" w:rsidP="0086539E">
      <w:pPr>
        <w:keepNext/>
      </w:pPr>
      <w:r>
        <w:rPr>
          <w:rFonts w:ascii="Verdana" w:hAnsi="Verdana" w:cstheme="majorHAnsi"/>
          <w:noProof/>
        </w:rPr>
        <w:lastRenderedPageBreak/>
        <w:drawing>
          <wp:inline distT="0" distB="0" distL="0" distR="0" wp14:anchorId="60159BA5" wp14:editId="3800EAB9">
            <wp:extent cx="2457907" cy="40579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9E" w:rsidRPr="008B3FAC" w:rsidRDefault="0086539E" w:rsidP="0086539E">
      <w:pPr>
        <w:pStyle w:val="Caption"/>
        <w:rPr>
          <w:rFonts w:ascii="Verdana" w:hAnsi="Verdana" w:cstheme="majorHAnsi"/>
        </w:rPr>
      </w:pPr>
      <w:r>
        <w:t xml:space="preserve">Figure </w:t>
      </w:r>
      <w:fldSimple w:instr=" SEQ Figure \* ARABIC ">
        <w:r w:rsidR="00827911">
          <w:rPr>
            <w:noProof/>
          </w:rPr>
          <w:t>1</w:t>
        </w:r>
      </w:fldSimple>
      <w:r>
        <w:t>:  Traditional use of "each community" in the initial letter</w:t>
      </w:r>
    </w:p>
    <w:p w:rsidR="00D0259A" w:rsidRPr="008B3FAC" w:rsidRDefault="00D0259A" w:rsidP="00D0259A">
      <w:pPr>
        <w:rPr>
          <w:rFonts w:ascii="Verdana" w:hAnsi="Verdana" w:cstheme="majorHAnsi"/>
        </w:rPr>
      </w:pPr>
    </w:p>
    <w:p w:rsidR="009035EC" w:rsidRDefault="000A1C64" w:rsidP="00643268">
      <w:pPr>
        <w:spacing w:after="200" w:line="276" w:lineRule="auto"/>
        <w:rPr>
          <w:rFonts w:cs="Calibri"/>
        </w:rPr>
      </w:pPr>
    </w:p>
    <w:p w:rsidR="005913E7" w:rsidRDefault="000A1C64" w:rsidP="005913E7">
      <w:pPr>
        <w:keepNext/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3075008" cy="47183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39" cy="47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E7" w:rsidRDefault="005913E7" w:rsidP="005913E7">
      <w:pPr>
        <w:pStyle w:val="Caption"/>
      </w:pPr>
      <w:r>
        <w:t xml:space="preserve">Figure </w:t>
      </w:r>
      <w:fldSimple w:instr=" SEQ Figure \* ARABIC ">
        <w:r w:rsidR="00827911">
          <w:rPr>
            <w:noProof/>
          </w:rPr>
          <w:t>2</w:t>
        </w:r>
      </w:fldSimple>
      <w:r>
        <w:t xml:space="preserve">:  </w:t>
      </w:r>
      <w:r w:rsidR="0086539E">
        <w:t>Replacing “each community” with a city and state (</w:t>
      </w:r>
      <w:r w:rsidR="000A1C64">
        <w:t>Midland, Texas</w:t>
      </w:r>
      <w:r w:rsidR="0086539E">
        <w:t xml:space="preserve"> is an example</w:t>
      </w:r>
      <w:r w:rsidR="000A1C64">
        <w:t>.</w:t>
      </w:r>
      <w:r w:rsidR="0086539E">
        <w:t>)</w:t>
      </w:r>
    </w:p>
    <w:p w:rsidR="005913E7" w:rsidRDefault="005913E7">
      <w:pPr>
        <w:spacing w:after="200" w:line="276" w:lineRule="auto"/>
      </w:pPr>
      <w:r>
        <w:br w:type="page"/>
      </w:r>
    </w:p>
    <w:p w:rsidR="005913E7" w:rsidRDefault="000A1C64" w:rsidP="005913E7">
      <w:pPr>
        <w:keepNext/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2677363" cy="4170150"/>
            <wp:effectExtent l="0" t="0" r="889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45" cy="41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20" w:rsidRDefault="005913E7" w:rsidP="005913E7">
      <w:pPr>
        <w:pStyle w:val="Caption"/>
      </w:pPr>
      <w:r>
        <w:t xml:space="preserve">Figure </w:t>
      </w:r>
      <w:fldSimple w:instr=" SEQ Figure \* ARABIC ">
        <w:r w:rsidR="00827911">
          <w:rPr>
            <w:noProof/>
          </w:rPr>
          <w:t>3</w:t>
        </w:r>
      </w:fldSimple>
      <w:r>
        <w:t xml:space="preserve">:  </w:t>
      </w:r>
      <w:r w:rsidR="0086539E">
        <w:t>Replacing “each community” with a state (</w:t>
      </w:r>
      <w:proofErr w:type="spellStart"/>
      <w:r w:rsidR="000A1C64">
        <w:t>Viginia</w:t>
      </w:r>
      <w:proofErr w:type="spellEnd"/>
      <w:r w:rsidR="0086539E">
        <w:t xml:space="preserve"> is an example)</w:t>
      </w:r>
    </w:p>
    <w:p w:rsidR="00827911" w:rsidRDefault="00827911" w:rsidP="00827911"/>
    <w:p w:rsidR="00827911" w:rsidRDefault="00827911" w:rsidP="00827911">
      <w:pPr>
        <w:keepNext/>
      </w:pPr>
      <w:r>
        <w:rPr>
          <w:noProof/>
        </w:rPr>
        <w:drawing>
          <wp:inline distT="0" distB="0" distL="0" distR="0" wp14:anchorId="10A7CFC8" wp14:editId="10DAD8FE">
            <wp:extent cx="2926080" cy="2239087"/>
            <wp:effectExtent l="19050" t="19050" r="26670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0" cy="22426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7911" w:rsidRPr="00827911" w:rsidRDefault="00827911" w:rsidP="0082791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>:  Reminder postcard</w:t>
      </w:r>
    </w:p>
    <w:p w:rsidR="00827911" w:rsidRDefault="00827911" w:rsidP="00827911">
      <w:pPr>
        <w:keepNext/>
      </w:pPr>
      <w:r>
        <w:rPr>
          <w:noProof/>
        </w:rPr>
        <w:lastRenderedPageBreak/>
        <w:drawing>
          <wp:inline distT="0" distB="0" distL="0" distR="0" wp14:anchorId="6C0C0674" wp14:editId="24607D17">
            <wp:extent cx="2834578" cy="4542739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45" cy="454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9A" w:rsidRDefault="00827911" w:rsidP="0082791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>:  Traditional reminder letter with "each community"</w:t>
      </w:r>
    </w:p>
    <w:p w:rsidR="00827911" w:rsidRDefault="00D0259A" w:rsidP="00827911">
      <w:pPr>
        <w:keepNext/>
      </w:pPr>
      <w:r>
        <w:rPr>
          <w:noProof/>
        </w:rPr>
        <w:lastRenderedPageBreak/>
        <w:drawing>
          <wp:inline distT="0" distB="0" distL="0" distR="0" wp14:anchorId="0BAD7343" wp14:editId="182B839F">
            <wp:extent cx="2639677" cy="411845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42" cy="41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9A" w:rsidRDefault="00827911" w:rsidP="0082791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>:  Reminder letter replacing "each community" with city and state (</w:t>
      </w:r>
      <w:r w:rsidR="000A1C64">
        <w:t>Midland, Texas</w:t>
      </w:r>
      <w:r>
        <w:t xml:space="preserve"> is an example)</w:t>
      </w:r>
    </w:p>
    <w:p w:rsidR="0086539E" w:rsidRDefault="0086539E" w:rsidP="00D0259A"/>
    <w:p w:rsidR="00827911" w:rsidRDefault="0086539E" w:rsidP="00827911">
      <w:pPr>
        <w:keepNext/>
      </w:pPr>
      <w:r>
        <w:rPr>
          <w:noProof/>
        </w:rPr>
        <w:lastRenderedPageBreak/>
        <w:drawing>
          <wp:inline distT="0" distB="0" distL="0" distR="0" wp14:anchorId="7403C2C7" wp14:editId="4F54471A">
            <wp:extent cx="2421331" cy="38173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36" cy="381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9E" w:rsidRPr="00D0259A" w:rsidRDefault="00827911" w:rsidP="0082791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>:</w:t>
      </w:r>
      <w:r w:rsidRPr="00827911">
        <w:t xml:space="preserve"> </w:t>
      </w:r>
      <w:r>
        <w:t>Reminder letter replacing "each community" with state (</w:t>
      </w:r>
      <w:r w:rsidR="000A1C64">
        <w:t>Virginia</w:t>
      </w:r>
      <w:r>
        <w:t xml:space="preserve"> is an example)</w:t>
      </w:r>
    </w:p>
    <w:sectPr w:rsidR="0086539E" w:rsidRPr="00D0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F0" w:rsidRDefault="00E57DF0" w:rsidP="00E57DF0">
      <w:r>
        <w:separator/>
      </w:r>
    </w:p>
  </w:endnote>
  <w:endnote w:type="continuationSeparator" w:id="0">
    <w:p w:rsidR="00E57DF0" w:rsidRDefault="00E57DF0" w:rsidP="00E5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F0" w:rsidRDefault="00E57DF0" w:rsidP="00E57DF0">
      <w:r>
        <w:separator/>
      </w:r>
    </w:p>
  </w:footnote>
  <w:footnote w:type="continuationSeparator" w:id="0">
    <w:p w:rsidR="00E57DF0" w:rsidRDefault="00E57DF0" w:rsidP="00E5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968"/>
    <w:multiLevelType w:val="hybridMultilevel"/>
    <w:tmpl w:val="A6B87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6036D"/>
    <w:multiLevelType w:val="hybridMultilevel"/>
    <w:tmpl w:val="A6B87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BC6522"/>
    <w:multiLevelType w:val="hybridMultilevel"/>
    <w:tmpl w:val="51DAA45A"/>
    <w:lvl w:ilvl="0" w:tplc="3C0644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76CE8"/>
    <w:multiLevelType w:val="hybridMultilevel"/>
    <w:tmpl w:val="5F2485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69AD"/>
    <w:multiLevelType w:val="hybridMultilevel"/>
    <w:tmpl w:val="A6B87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0046D6"/>
    <w:multiLevelType w:val="hybridMultilevel"/>
    <w:tmpl w:val="0F9E7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974873"/>
    <w:multiLevelType w:val="hybridMultilevel"/>
    <w:tmpl w:val="3D900900"/>
    <w:lvl w:ilvl="0" w:tplc="A4E8D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5B2E7B"/>
    <w:multiLevelType w:val="multilevel"/>
    <w:tmpl w:val="28665EA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">
    <w:nsid w:val="79E9276C"/>
    <w:multiLevelType w:val="hybridMultilevel"/>
    <w:tmpl w:val="37FE6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36E59"/>
    <w:rsid w:val="000A1C64"/>
    <w:rsid w:val="00195A71"/>
    <w:rsid w:val="001A1578"/>
    <w:rsid w:val="00435195"/>
    <w:rsid w:val="004508B1"/>
    <w:rsid w:val="00467278"/>
    <w:rsid w:val="00557C7E"/>
    <w:rsid w:val="005913E7"/>
    <w:rsid w:val="00643268"/>
    <w:rsid w:val="007C4302"/>
    <w:rsid w:val="00827911"/>
    <w:rsid w:val="0086539E"/>
    <w:rsid w:val="008C5F19"/>
    <w:rsid w:val="009F4EF3"/>
    <w:rsid w:val="00A546BF"/>
    <w:rsid w:val="00C54F89"/>
    <w:rsid w:val="00C648AB"/>
    <w:rsid w:val="00C74C43"/>
    <w:rsid w:val="00CC7720"/>
    <w:rsid w:val="00D0259A"/>
    <w:rsid w:val="00E57DF0"/>
    <w:rsid w:val="00F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F0"/>
    <w:pPr>
      <w:spacing w:after="0" w:line="240" w:lineRule="auto"/>
    </w:pPr>
    <w:rPr>
      <w:rFonts w:eastAsia="Times New Roman" w:cs="Cambria"/>
    </w:rPr>
  </w:style>
  <w:style w:type="paragraph" w:styleId="Heading2">
    <w:name w:val="heading 2"/>
    <w:next w:val="Body"/>
    <w:link w:val="Heading2Char"/>
    <w:rsid w:val="0064326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DF0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7D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7D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DF0"/>
    <w:rPr>
      <w:rFonts w:eastAsia="Times New Roman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57D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43268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643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6432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913E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F0"/>
    <w:pPr>
      <w:spacing w:after="0" w:line="240" w:lineRule="auto"/>
    </w:pPr>
    <w:rPr>
      <w:rFonts w:eastAsia="Times New Roman" w:cs="Cambria"/>
    </w:rPr>
  </w:style>
  <w:style w:type="paragraph" w:styleId="Heading2">
    <w:name w:val="heading 2"/>
    <w:next w:val="Body"/>
    <w:link w:val="Heading2Char"/>
    <w:rsid w:val="0064326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DF0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7D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7D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DF0"/>
    <w:rPr>
      <w:rFonts w:eastAsia="Times New Roman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57D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43268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643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6432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913E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 Davis</dc:creator>
  <cp:lastModifiedBy>Elizabeth May Nichols</cp:lastModifiedBy>
  <cp:revision>3</cp:revision>
  <dcterms:created xsi:type="dcterms:W3CDTF">2015-12-17T15:58:00Z</dcterms:created>
  <dcterms:modified xsi:type="dcterms:W3CDTF">2015-12-17T19:11:00Z</dcterms:modified>
</cp:coreProperties>
</file>