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8B" w:rsidRPr="005B22ED" w:rsidRDefault="00AE4A87" w:rsidP="00E66958">
      <w:pPr>
        <w:tabs>
          <w:tab w:val="left" w:pos="720"/>
          <w:tab w:val="left" w:pos="1440"/>
          <w:tab w:val="left" w:pos="2160"/>
          <w:tab w:val="left" w:pos="2880"/>
          <w:tab w:val="left" w:pos="3600"/>
          <w:tab w:val="left" w:pos="7200"/>
          <w:tab w:val="left" w:pos="7920"/>
          <w:tab w:val="right" w:pos="10800"/>
        </w:tabs>
        <w:rPr>
          <w:sz w:val="18"/>
          <w:szCs w:val="18"/>
        </w:rPr>
      </w:pPr>
      <w:r>
        <w:rPr>
          <w:sz w:val="16"/>
          <w:szCs w:val="16"/>
          <w:lang w:val="en-CA"/>
        </w:rPr>
        <w:t xml:space="preserve">  </w:t>
      </w:r>
      <w:r w:rsidR="00605545" w:rsidRPr="005B22ED">
        <w:rPr>
          <w:sz w:val="18"/>
          <w:szCs w:val="18"/>
          <w:lang w:val="en-CA"/>
        </w:rPr>
        <w:t>Revised</w:t>
      </w:r>
      <w:r w:rsidR="00D35526" w:rsidRPr="005B22ED">
        <w:rPr>
          <w:sz w:val="18"/>
          <w:szCs w:val="18"/>
          <w:lang w:val="en-CA"/>
        </w:rPr>
        <w:t xml:space="preserve">:  </w:t>
      </w:r>
      <w:r w:rsidR="002027E3">
        <w:rPr>
          <w:sz w:val="18"/>
          <w:szCs w:val="18"/>
          <w:lang w:val="en-CA"/>
        </w:rPr>
        <w:t>12</w:t>
      </w:r>
      <w:r w:rsidR="005B22ED">
        <w:rPr>
          <w:sz w:val="18"/>
          <w:szCs w:val="18"/>
          <w:lang w:val="en-CA"/>
        </w:rPr>
        <w:t>/</w:t>
      </w:r>
      <w:r w:rsidR="005B22ED" w:rsidRPr="005B22ED">
        <w:rPr>
          <w:sz w:val="18"/>
          <w:szCs w:val="18"/>
          <w:lang w:val="en-CA"/>
        </w:rPr>
        <w:t>2</w:t>
      </w:r>
      <w:r w:rsidR="002027E3">
        <w:rPr>
          <w:sz w:val="18"/>
          <w:szCs w:val="18"/>
          <w:lang w:val="en-CA"/>
        </w:rPr>
        <w:t>4</w:t>
      </w:r>
      <w:r w:rsidR="005B22ED">
        <w:rPr>
          <w:sz w:val="18"/>
          <w:szCs w:val="18"/>
          <w:lang w:val="en-CA"/>
        </w:rPr>
        <w:t>/</w:t>
      </w:r>
      <w:r w:rsidR="005B22ED" w:rsidRPr="005B22ED">
        <w:rPr>
          <w:sz w:val="18"/>
          <w:szCs w:val="18"/>
          <w:lang w:val="en-CA"/>
        </w:rPr>
        <w:t>2015</w:t>
      </w:r>
      <w:r w:rsidR="0051668B" w:rsidRPr="005B22ED">
        <w:rPr>
          <w:sz w:val="18"/>
          <w:szCs w:val="18"/>
          <w:lang w:val="en-CA"/>
        </w:rPr>
        <w:fldChar w:fldCharType="begin"/>
      </w:r>
      <w:r w:rsidR="0051668B" w:rsidRPr="005B22ED">
        <w:rPr>
          <w:sz w:val="18"/>
          <w:szCs w:val="18"/>
          <w:lang w:val="en-CA"/>
        </w:rPr>
        <w:instrText xml:space="preserve"> SEQ CHAPTER \h \r 1</w:instrText>
      </w:r>
      <w:r w:rsidR="0051668B" w:rsidRPr="005B22ED">
        <w:rPr>
          <w:sz w:val="18"/>
          <w:szCs w:val="18"/>
          <w:lang w:val="en-CA"/>
        </w:rPr>
        <w:fldChar w:fldCharType="end"/>
      </w:r>
      <w:r w:rsidR="0051668B" w:rsidRPr="005B22ED">
        <w:rPr>
          <w:sz w:val="18"/>
          <w:szCs w:val="18"/>
        </w:rPr>
        <w:tab/>
      </w:r>
      <w:r w:rsidR="00972A3E" w:rsidRPr="005B22ED">
        <w:rPr>
          <w:sz w:val="18"/>
          <w:szCs w:val="18"/>
        </w:rPr>
        <w:tab/>
        <w:t xml:space="preserve">                                                    </w:t>
      </w:r>
      <w:r w:rsidR="00E66958" w:rsidRPr="005B22ED">
        <w:rPr>
          <w:sz w:val="18"/>
          <w:szCs w:val="18"/>
        </w:rPr>
        <w:t xml:space="preserve">                          </w:t>
      </w:r>
      <w:r w:rsidR="0051668B" w:rsidRPr="005B22ED">
        <w:rPr>
          <w:sz w:val="18"/>
          <w:szCs w:val="18"/>
        </w:rPr>
        <w:t xml:space="preserve">OMB </w:t>
      </w:r>
      <w:r w:rsidR="00343363" w:rsidRPr="005B22ED">
        <w:rPr>
          <w:sz w:val="18"/>
          <w:szCs w:val="18"/>
        </w:rPr>
        <w:t xml:space="preserve">Control </w:t>
      </w:r>
      <w:r w:rsidR="0051668B" w:rsidRPr="005B22ED">
        <w:rPr>
          <w:sz w:val="18"/>
          <w:szCs w:val="18"/>
        </w:rPr>
        <w:t>No. 0648-</w:t>
      </w:r>
      <w:proofErr w:type="gramStart"/>
      <w:r w:rsidR="006F25EF" w:rsidRPr="005B22ED">
        <w:rPr>
          <w:sz w:val="18"/>
          <w:szCs w:val="18"/>
        </w:rPr>
        <w:t>0401</w:t>
      </w:r>
      <w:r w:rsidR="00E66958" w:rsidRPr="005B22ED">
        <w:rPr>
          <w:sz w:val="18"/>
          <w:szCs w:val="18"/>
        </w:rPr>
        <w:t xml:space="preserve">  </w:t>
      </w:r>
      <w:r w:rsidR="0051668B" w:rsidRPr="005B22ED">
        <w:rPr>
          <w:sz w:val="18"/>
          <w:szCs w:val="18"/>
        </w:rPr>
        <w:t>Expi</w:t>
      </w:r>
      <w:r w:rsidR="002B1C3C" w:rsidRPr="005B22ED">
        <w:rPr>
          <w:sz w:val="18"/>
          <w:szCs w:val="18"/>
        </w:rPr>
        <w:t>ration</w:t>
      </w:r>
      <w:proofErr w:type="gramEnd"/>
      <w:r w:rsidR="002B1C3C" w:rsidRPr="005B22ED">
        <w:rPr>
          <w:sz w:val="18"/>
          <w:szCs w:val="18"/>
        </w:rPr>
        <w:t xml:space="preserve"> Date:  </w:t>
      </w:r>
      <w:r w:rsidR="005B22ED" w:rsidRPr="005B22ED">
        <w:rPr>
          <w:sz w:val="18"/>
          <w:szCs w:val="18"/>
        </w:rPr>
        <w:t>01</w:t>
      </w:r>
      <w:r w:rsidR="00452FD3" w:rsidRPr="005B22ED">
        <w:rPr>
          <w:sz w:val="18"/>
          <w:szCs w:val="18"/>
        </w:rPr>
        <w:t>/</w:t>
      </w:r>
      <w:r w:rsidR="00E66958" w:rsidRPr="005B22ED">
        <w:rPr>
          <w:sz w:val="18"/>
          <w:szCs w:val="18"/>
        </w:rPr>
        <w:t>31</w:t>
      </w:r>
      <w:r w:rsidR="00452FD3" w:rsidRPr="005B22ED">
        <w:rPr>
          <w:sz w:val="18"/>
          <w:szCs w:val="18"/>
        </w:rPr>
        <w:t>/</w:t>
      </w:r>
      <w:r w:rsidR="00E66958" w:rsidRPr="005B22ED">
        <w:rPr>
          <w:sz w:val="18"/>
          <w:szCs w:val="18"/>
        </w:rPr>
        <w:t>201</w:t>
      </w:r>
      <w:r w:rsidR="005B22ED" w:rsidRPr="005B22ED">
        <w:rPr>
          <w:sz w:val="18"/>
          <w:szCs w:val="18"/>
        </w:rPr>
        <w:t>8</w:t>
      </w:r>
    </w:p>
    <w:tbl>
      <w:tblPr>
        <w:tblW w:w="10710" w:type="dxa"/>
        <w:tblInd w:w="152" w:type="dxa"/>
        <w:tblBorders>
          <w:top w:val="single" w:sz="4" w:space="0" w:color="auto"/>
          <w:left w:val="single" w:sz="4" w:space="0" w:color="auto"/>
          <w:bottom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260"/>
        <w:gridCol w:w="4320"/>
        <w:gridCol w:w="3870"/>
        <w:gridCol w:w="1260"/>
      </w:tblGrid>
      <w:tr w:rsidR="009A6FFF" w:rsidRPr="00F63248" w:rsidTr="009A6FFF">
        <w:trPr>
          <w:cantSplit/>
        </w:trPr>
        <w:tc>
          <w:tcPr>
            <w:tcW w:w="1260" w:type="dxa"/>
            <w:tcBorders>
              <w:top w:val="single" w:sz="4" w:space="0" w:color="auto"/>
              <w:bottom w:val="single" w:sz="4" w:space="0" w:color="auto"/>
            </w:tcBorders>
            <w:vAlign w:val="center"/>
          </w:tcPr>
          <w:p w:rsidR="009A6FFF" w:rsidRPr="00D94FA2" w:rsidRDefault="009A6FFF" w:rsidP="00BF43D4">
            <w:pPr>
              <w:jc w:val="center"/>
            </w:pPr>
            <w:r>
              <w:rPr>
                <w:noProof/>
              </w:rPr>
              <mc:AlternateContent>
                <mc:Choice Requires="wpg">
                  <w:drawing>
                    <wp:anchor distT="0" distB="0" distL="114300" distR="114300" simplePos="0" relativeHeight="251663360" behindDoc="0" locked="0" layoutInCell="1" allowOverlap="1" wp14:anchorId="1CCA87C2" wp14:editId="20C6E137">
                      <wp:simplePos x="0" y="0"/>
                      <wp:positionH relativeFrom="column">
                        <wp:posOffset>17780</wp:posOffset>
                      </wp:positionH>
                      <wp:positionV relativeFrom="paragraph">
                        <wp:posOffset>-99060</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1.4pt;margin-top:-7.8pt;width:56.3pt;height:53.6pt;z-index:251663360;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320" w:type="dxa"/>
            <w:tcBorders>
              <w:top w:val="single" w:sz="4" w:space="0" w:color="auto"/>
              <w:bottom w:val="single" w:sz="4" w:space="0" w:color="auto"/>
            </w:tcBorders>
            <w:vAlign w:val="center"/>
          </w:tcPr>
          <w:p w:rsidR="00C77AFD" w:rsidRDefault="00C77AFD" w:rsidP="002027E3">
            <w:pPr>
              <w:jc w:val="center"/>
              <w:rPr>
                <w:b/>
              </w:rPr>
            </w:pPr>
            <w:r>
              <w:rPr>
                <w:b/>
              </w:rPr>
              <w:t>Request for Approval</w:t>
            </w:r>
          </w:p>
          <w:p w:rsidR="009A6FFF" w:rsidRPr="00D94FA2" w:rsidRDefault="009A6FFF" w:rsidP="002027E3">
            <w:pPr>
              <w:jc w:val="center"/>
            </w:pPr>
            <w:r w:rsidRPr="00D94FA2">
              <w:rPr>
                <w:b/>
              </w:rPr>
              <w:t>PROPOSED INCENTIVE PLAN AGREEMENT (IPA)</w:t>
            </w:r>
            <w:r>
              <w:rPr>
                <w:b/>
              </w:rPr>
              <w:t xml:space="preserve"> </w:t>
            </w:r>
          </w:p>
        </w:tc>
        <w:tc>
          <w:tcPr>
            <w:tcW w:w="3870" w:type="dxa"/>
            <w:tcBorders>
              <w:top w:val="single" w:sz="4" w:space="0" w:color="auto"/>
              <w:bottom w:val="single" w:sz="4" w:space="0" w:color="auto"/>
              <w:right w:val="nil"/>
            </w:tcBorders>
            <w:vAlign w:val="center"/>
          </w:tcPr>
          <w:p w:rsidR="009A6FFF" w:rsidRPr="009E2DC9" w:rsidRDefault="005A30F5" w:rsidP="00D94FA2">
            <w:pPr>
              <w:rPr>
                <w:sz w:val="18"/>
                <w:szCs w:val="18"/>
              </w:rPr>
            </w:pPr>
            <w:r w:rsidRPr="0008238B">
              <w:rPr>
                <w:noProof/>
                <w:sz w:val="16"/>
                <w:szCs w:val="19"/>
              </w:rPr>
              <w:drawing>
                <wp:anchor distT="0" distB="0" distL="114300" distR="114300" simplePos="0" relativeHeight="251665408" behindDoc="0" locked="0" layoutInCell="1" allowOverlap="1" wp14:anchorId="2673D17B" wp14:editId="44381EAB">
                  <wp:simplePos x="0" y="0"/>
                  <wp:positionH relativeFrom="column">
                    <wp:posOffset>2409190</wp:posOffset>
                  </wp:positionH>
                  <wp:positionV relativeFrom="paragraph">
                    <wp:posOffset>126365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6FFF" w:rsidRPr="009E2DC9">
              <w:rPr>
                <w:sz w:val="18"/>
                <w:szCs w:val="18"/>
              </w:rPr>
              <w:t>U.S. Dept. of Commerce</w:t>
            </w:r>
          </w:p>
          <w:p w:rsidR="009A6FFF" w:rsidRPr="009E2DC9" w:rsidRDefault="009A6FFF" w:rsidP="00D94FA2">
            <w:pPr>
              <w:rPr>
                <w:sz w:val="18"/>
                <w:szCs w:val="18"/>
              </w:rPr>
            </w:pPr>
            <w:r w:rsidRPr="009E2DC9">
              <w:rPr>
                <w:sz w:val="18"/>
                <w:szCs w:val="18"/>
              </w:rPr>
              <w:t>NOAA/National Marine Fisheries Service (NMFS)</w:t>
            </w:r>
          </w:p>
          <w:p w:rsidR="009A6FFF" w:rsidRPr="009E2DC9" w:rsidRDefault="009A6FFF" w:rsidP="00D94FA2">
            <w:pPr>
              <w:rPr>
                <w:sz w:val="18"/>
                <w:szCs w:val="18"/>
              </w:rPr>
            </w:pPr>
            <w:r w:rsidRPr="009E2DC9">
              <w:rPr>
                <w:sz w:val="18"/>
                <w:szCs w:val="18"/>
              </w:rPr>
              <w:t>Sustainable Fisheries Division</w:t>
            </w:r>
          </w:p>
          <w:p w:rsidR="009A6FFF" w:rsidRDefault="009A6FFF" w:rsidP="00D94FA2">
            <w:pPr>
              <w:rPr>
                <w:sz w:val="18"/>
                <w:szCs w:val="18"/>
              </w:rPr>
            </w:pPr>
            <w:r w:rsidRPr="009E2DC9">
              <w:rPr>
                <w:sz w:val="18"/>
                <w:szCs w:val="18"/>
              </w:rPr>
              <w:t>P.O. Box 21668</w:t>
            </w:r>
          </w:p>
          <w:p w:rsidR="009A6FFF" w:rsidRPr="009E2DC9" w:rsidRDefault="009A6FFF" w:rsidP="0024527B">
            <w:pPr>
              <w:rPr>
                <w:sz w:val="18"/>
                <w:szCs w:val="18"/>
              </w:rPr>
            </w:pPr>
            <w:r w:rsidRPr="009E2DC9">
              <w:rPr>
                <w:sz w:val="18"/>
                <w:szCs w:val="18"/>
              </w:rPr>
              <w:t>Juneau, AK  99802-1668</w:t>
            </w:r>
          </w:p>
          <w:p w:rsidR="009A6FFF" w:rsidRPr="009E2DC9" w:rsidRDefault="009A6FFF" w:rsidP="0024527B">
            <w:pPr>
              <w:rPr>
                <w:sz w:val="18"/>
                <w:szCs w:val="18"/>
              </w:rPr>
            </w:pPr>
            <w:r w:rsidRPr="009E2DC9">
              <w:rPr>
                <w:sz w:val="18"/>
                <w:szCs w:val="18"/>
              </w:rPr>
              <w:t>Fax: 907-586-7131</w:t>
            </w:r>
          </w:p>
          <w:p w:rsidR="009A6FFF" w:rsidRPr="009E2DC9" w:rsidRDefault="009A6FFF" w:rsidP="0024527B">
            <w:pPr>
              <w:rPr>
                <w:sz w:val="18"/>
                <w:szCs w:val="18"/>
              </w:rPr>
            </w:pPr>
            <w:r w:rsidRPr="009E2DC9">
              <w:rPr>
                <w:sz w:val="18"/>
                <w:szCs w:val="18"/>
              </w:rPr>
              <w:t>Telephone:  907-596-7228</w:t>
            </w:r>
          </w:p>
        </w:tc>
        <w:tc>
          <w:tcPr>
            <w:tcW w:w="1260" w:type="dxa"/>
            <w:tcBorders>
              <w:top w:val="single" w:sz="4" w:space="0" w:color="auto"/>
              <w:left w:val="nil"/>
              <w:bottom w:val="single" w:sz="4" w:space="0" w:color="auto"/>
              <w:right w:val="single" w:sz="4" w:space="0" w:color="auto"/>
            </w:tcBorders>
            <w:vAlign w:val="center"/>
          </w:tcPr>
          <w:p w:rsidR="009A6FFF" w:rsidRPr="00F63248" w:rsidRDefault="009A6FFF" w:rsidP="009516F8">
            <w:pPr>
              <w:jc w:val="center"/>
              <w:rPr>
                <w:sz w:val="18"/>
                <w:szCs w:val="18"/>
              </w:rPr>
            </w:pPr>
          </w:p>
        </w:tc>
      </w:tr>
    </w:tbl>
    <w:p w:rsidR="00B92DDE" w:rsidRDefault="00B92DDE" w:rsidP="005F0910">
      <w:pPr>
        <w:spacing w:before="60"/>
        <w:jc w:val="center"/>
        <w:rPr>
          <w:b/>
          <w:sz w:val="20"/>
          <w:szCs w:val="20"/>
        </w:rPr>
      </w:pPr>
      <w:r w:rsidRPr="00B92DDE">
        <w:rPr>
          <w:b/>
          <w:sz w:val="20"/>
          <w:szCs w:val="20"/>
        </w:rPr>
        <w:t xml:space="preserve">A proposed IPA must be received by NMFS no later than 1700 hours, A.l.t., on October 1 </w:t>
      </w:r>
    </w:p>
    <w:p w:rsidR="00B92DDE" w:rsidRPr="00B92DDE" w:rsidRDefault="00B92DDE" w:rsidP="00B92DDE">
      <w:pPr>
        <w:spacing w:after="80"/>
        <w:jc w:val="center"/>
        <w:rPr>
          <w:b/>
          <w:sz w:val="20"/>
          <w:szCs w:val="20"/>
        </w:rPr>
      </w:pPr>
      <w:proofErr w:type="gramStart"/>
      <w:r w:rsidRPr="00B92DDE">
        <w:rPr>
          <w:b/>
          <w:sz w:val="20"/>
          <w:szCs w:val="20"/>
        </w:rPr>
        <w:t>of</w:t>
      </w:r>
      <w:proofErr w:type="gramEnd"/>
      <w:r w:rsidRPr="00B92DDE">
        <w:rPr>
          <w:b/>
          <w:sz w:val="20"/>
          <w:szCs w:val="20"/>
        </w:rPr>
        <w:t xml:space="preserve"> the year prior to the year</w:t>
      </w:r>
      <w:r>
        <w:rPr>
          <w:b/>
          <w:sz w:val="20"/>
          <w:szCs w:val="20"/>
        </w:rPr>
        <w:t xml:space="preserve"> </w:t>
      </w:r>
      <w:r w:rsidRPr="00B92DDE">
        <w:rPr>
          <w:b/>
          <w:sz w:val="20"/>
          <w:szCs w:val="20"/>
        </w:rPr>
        <w:t>for which the IPA is proposed to be effective.</w:t>
      </w:r>
    </w:p>
    <w:p w:rsidR="00496AFB" w:rsidRPr="005F0910" w:rsidRDefault="00571F28" w:rsidP="005F0910">
      <w:pPr>
        <w:spacing w:after="60"/>
        <w:jc w:val="center"/>
        <w:rPr>
          <w:sz w:val="22"/>
          <w:szCs w:val="22"/>
        </w:rPr>
      </w:pPr>
      <w:r w:rsidRPr="00E415C4">
        <w:rPr>
          <w:b/>
          <w:sz w:val="22"/>
          <w:szCs w:val="22"/>
        </w:rPr>
        <w:t xml:space="preserve">NOTE:  </w:t>
      </w:r>
      <w:r w:rsidRPr="005F0910">
        <w:rPr>
          <w:sz w:val="22"/>
          <w:szCs w:val="22"/>
        </w:rPr>
        <w:t>An IPA may take any format.  The content of the IPA must include the following information</w:t>
      </w:r>
      <w:r w:rsidR="005F0910">
        <w:rPr>
          <w:sz w:val="22"/>
          <w:szCs w:val="22"/>
        </w:rPr>
        <w:t>.</w:t>
      </w:r>
    </w:p>
    <w:tbl>
      <w:tblPr>
        <w:tblStyle w:val="TableGrid"/>
        <w:tblW w:w="0" w:type="auto"/>
        <w:jc w:val="center"/>
        <w:tblInd w:w="-126" w:type="dxa"/>
        <w:tblLook w:val="04A0" w:firstRow="1" w:lastRow="0" w:firstColumn="1" w:lastColumn="0" w:noHBand="0" w:noVBand="1"/>
      </w:tblPr>
      <w:tblGrid>
        <w:gridCol w:w="10762"/>
      </w:tblGrid>
      <w:tr w:rsidR="00496AFB" w:rsidTr="005F0910">
        <w:trPr>
          <w:jc w:val="center"/>
        </w:trPr>
        <w:tc>
          <w:tcPr>
            <w:tcW w:w="10762" w:type="dxa"/>
            <w:shd w:val="clear" w:color="auto" w:fill="DAEEF3" w:themeFill="accent5" w:themeFillTint="33"/>
          </w:tcPr>
          <w:p w:rsidR="00496AFB" w:rsidRPr="007A3C74" w:rsidRDefault="00496AFB" w:rsidP="008B4AF8">
            <w:pPr>
              <w:spacing w:before="60" w:after="60"/>
              <w:jc w:val="center"/>
              <w:rPr>
                <w:b/>
                <w:i/>
                <w:sz w:val="22"/>
                <w:szCs w:val="22"/>
              </w:rPr>
            </w:pPr>
            <w:r>
              <w:rPr>
                <w:b/>
                <w:i/>
                <w:sz w:val="22"/>
                <w:szCs w:val="22"/>
              </w:rPr>
              <w:t>AFFIDAVIT</w:t>
            </w:r>
          </w:p>
        </w:tc>
      </w:tr>
      <w:tr w:rsidR="00496AFB" w:rsidTr="005F0910">
        <w:trPr>
          <w:jc w:val="center"/>
        </w:trPr>
        <w:tc>
          <w:tcPr>
            <w:tcW w:w="10762" w:type="dxa"/>
          </w:tcPr>
          <w:p w:rsidR="00496AFB" w:rsidRPr="004D28AB" w:rsidRDefault="00496AFB" w:rsidP="00496AFB">
            <w:pPr>
              <w:spacing w:before="60" w:after="60"/>
              <w:rPr>
                <w:sz w:val="22"/>
                <w:szCs w:val="22"/>
              </w:rPr>
            </w:pPr>
            <w:r>
              <w:rPr>
                <w:sz w:val="22"/>
                <w:szCs w:val="22"/>
              </w:rPr>
              <w:t>E</w:t>
            </w:r>
            <w:r w:rsidRPr="004D28AB">
              <w:rPr>
                <w:sz w:val="22"/>
                <w:szCs w:val="22"/>
              </w:rPr>
              <w:t xml:space="preserve">ach eligible vessel owner or CDQ group, from whom </w:t>
            </w:r>
            <w:r>
              <w:rPr>
                <w:sz w:val="22"/>
                <w:szCs w:val="22"/>
              </w:rPr>
              <w:t xml:space="preserve">the IPA representative </w:t>
            </w:r>
            <w:r w:rsidRPr="004D28AB">
              <w:rPr>
                <w:sz w:val="22"/>
                <w:szCs w:val="22"/>
              </w:rPr>
              <w:t>received written notification</w:t>
            </w:r>
            <w:r>
              <w:rPr>
                <w:sz w:val="22"/>
                <w:szCs w:val="22"/>
              </w:rPr>
              <w:t xml:space="preserve">, </w:t>
            </w:r>
            <w:r w:rsidRPr="004D28AB">
              <w:rPr>
                <w:sz w:val="22"/>
                <w:szCs w:val="22"/>
              </w:rPr>
              <w:t>requesting to join th</w:t>
            </w:r>
            <w:r>
              <w:rPr>
                <w:sz w:val="22"/>
                <w:szCs w:val="22"/>
              </w:rPr>
              <w:t>e</w:t>
            </w:r>
            <w:r w:rsidRPr="004D28AB">
              <w:rPr>
                <w:sz w:val="22"/>
                <w:szCs w:val="22"/>
              </w:rPr>
              <w:t xml:space="preserve"> IPA</w:t>
            </w:r>
            <w:r>
              <w:rPr>
                <w:sz w:val="22"/>
                <w:szCs w:val="22"/>
              </w:rPr>
              <w:t>,</w:t>
            </w:r>
            <w:r w:rsidRPr="004D28AB">
              <w:rPr>
                <w:sz w:val="22"/>
                <w:szCs w:val="22"/>
              </w:rPr>
              <w:t xml:space="preserve"> has been allowed to join th</w:t>
            </w:r>
            <w:r>
              <w:rPr>
                <w:sz w:val="22"/>
                <w:szCs w:val="22"/>
              </w:rPr>
              <w:t>e</w:t>
            </w:r>
            <w:r w:rsidRPr="004D28AB">
              <w:rPr>
                <w:sz w:val="22"/>
                <w:szCs w:val="22"/>
              </w:rPr>
              <w:t xml:space="preserve"> IPA subject to the same terms and conditions that have been agreed on by, and are applicable to, all other parties to the IPA.</w:t>
            </w:r>
          </w:p>
        </w:tc>
      </w:tr>
    </w:tbl>
    <w:p w:rsidR="00C14B23" w:rsidRDefault="00C14B23" w:rsidP="00BE5C58"/>
    <w:tbl>
      <w:tblPr>
        <w:tblStyle w:val="TableGrid"/>
        <w:tblW w:w="0" w:type="auto"/>
        <w:tblInd w:w="108" w:type="dxa"/>
        <w:tblLook w:val="04A0" w:firstRow="1" w:lastRow="0" w:firstColumn="1" w:lastColumn="0" w:noHBand="0" w:noVBand="1"/>
      </w:tblPr>
      <w:tblGrid>
        <w:gridCol w:w="10800"/>
      </w:tblGrid>
      <w:tr w:rsidR="004A1601" w:rsidTr="00012121">
        <w:tc>
          <w:tcPr>
            <w:tcW w:w="10800" w:type="dxa"/>
            <w:shd w:val="clear" w:color="auto" w:fill="DAEEF3" w:themeFill="accent5" w:themeFillTint="33"/>
          </w:tcPr>
          <w:p w:rsidR="004A1601" w:rsidRPr="00926B4E" w:rsidRDefault="00926B4E" w:rsidP="004A1601">
            <w:pPr>
              <w:spacing w:before="60" w:after="60"/>
              <w:jc w:val="center"/>
              <w:rPr>
                <w:b/>
                <w:i/>
                <w:sz w:val="22"/>
                <w:szCs w:val="22"/>
              </w:rPr>
            </w:pPr>
            <w:r w:rsidRPr="00926B4E">
              <w:rPr>
                <w:b/>
                <w:i/>
                <w:sz w:val="22"/>
                <w:szCs w:val="22"/>
              </w:rPr>
              <w:t>MEMBERSHIP IN AN IPA</w:t>
            </w:r>
          </w:p>
        </w:tc>
      </w:tr>
      <w:tr w:rsidR="004A1601" w:rsidTr="00012121">
        <w:tc>
          <w:tcPr>
            <w:tcW w:w="10800" w:type="dxa"/>
          </w:tcPr>
          <w:p w:rsidR="004A1601" w:rsidRPr="00926B4E" w:rsidRDefault="00926B4E" w:rsidP="00926B4E">
            <w:pPr>
              <w:tabs>
                <w:tab w:val="left" w:pos="189"/>
                <w:tab w:val="left" w:pos="531"/>
                <w:tab w:val="left" w:pos="909"/>
              </w:tabs>
              <w:rPr>
                <w:sz w:val="22"/>
                <w:szCs w:val="22"/>
              </w:rPr>
            </w:pPr>
            <w:r>
              <w:rPr>
                <w:sz w:val="22"/>
                <w:szCs w:val="22"/>
              </w:rPr>
              <w:tab/>
              <w:t>♦</w:t>
            </w:r>
            <w:r>
              <w:rPr>
                <w:sz w:val="22"/>
                <w:szCs w:val="22"/>
              </w:rPr>
              <w:tab/>
            </w:r>
            <w:r w:rsidR="004A1601" w:rsidRPr="00926B4E">
              <w:rPr>
                <w:sz w:val="22"/>
                <w:szCs w:val="22"/>
              </w:rPr>
              <w:t xml:space="preserve">No vessel owner or </w:t>
            </w:r>
            <w:r w:rsidR="00012121" w:rsidRPr="00012121">
              <w:rPr>
                <w:sz w:val="22"/>
                <w:szCs w:val="22"/>
              </w:rPr>
              <w:t>Western Alaska Community Development Quota (CDQ)</w:t>
            </w:r>
            <w:r w:rsidR="00D02269">
              <w:rPr>
                <w:sz w:val="22"/>
                <w:szCs w:val="22"/>
              </w:rPr>
              <w:t xml:space="preserve"> </w:t>
            </w:r>
            <w:r w:rsidR="004A1601" w:rsidRPr="00926B4E">
              <w:rPr>
                <w:sz w:val="22"/>
                <w:szCs w:val="22"/>
              </w:rPr>
              <w:t>group is required to join an IPA.</w:t>
            </w:r>
          </w:p>
          <w:p w:rsidR="004A1601" w:rsidRPr="00926B4E" w:rsidRDefault="00926B4E" w:rsidP="00926B4E">
            <w:pPr>
              <w:tabs>
                <w:tab w:val="left" w:pos="189"/>
                <w:tab w:val="left" w:pos="531"/>
                <w:tab w:val="left" w:pos="909"/>
              </w:tabs>
              <w:ind w:left="540" w:hanging="540"/>
              <w:rPr>
                <w:sz w:val="22"/>
                <w:szCs w:val="22"/>
              </w:rPr>
            </w:pPr>
            <w:r>
              <w:rPr>
                <w:sz w:val="22"/>
                <w:szCs w:val="22"/>
              </w:rPr>
              <w:tab/>
              <w:t>♦</w:t>
            </w:r>
            <w:r>
              <w:rPr>
                <w:sz w:val="22"/>
                <w:szCs w:val="22"/>
              </w:rPr>
              <w:tab/>
            </w:r>
            <w:r w:rsidR="004A1601" w:rsidRPr="00926B4E">
              <w:rPr>
                <w:sz w:val="22"/>
                <w:szCs w:val="22"/>
              </w:rPr>
              <w:t>For a vessel owner in the catcher/processor sector or mothership sector to join an IPA, that vessel owner must be a member of the entity representing that sector.</w:t>
            </w:r>
          </w:p>
          <w:p w:rsidR="004A1601" w:rsidRPr="00926B4E" w:rsidRDefault="00926B4E" w:rsidP="00926B4E">
            <w:pPr>
              <w:tabs>
                <w:tab w:val="left" w:pos="189"/>
                <w:tab w:val="left" w:pos="531"/>
                <w:tab w:val="left" w:pos="909"/>
              </w:tabs>
              <w:ind w:left="540" w:hanging="540"/>
              <w:rPr>
                <w:sz w:val="22"/>
                <w:szCs w:val="22"/>
              </w:rPr>
            </w:pPr>
            <w:r>
              <w:rPr>
                <w:sz w:val="22"/>
                <w:szCs w:val="22"/>
              </w:rPr>
              <w:tab/>
              <w:t>♦</w:t>
            </w:r>
            <w:r>
              <w:rPr>
                <w:sz w:val="22"/>
                <w:szCs w:val="22"/>
              </w:rPr>
              <w:tab/>
            </w:r>
            <w:r w:rsidR="004A1601" w:rsidRPr="00926B4E">
              <w:rPr>
                <w:sz w:val="22"/>
                <w:szCs w:val="22"/>
              </w:rPr>
              <w:t>For a CDQ group to be a member of an IPA, the CDQ group must sign the IPA and list in that IPA each vessel harvesting B</w:t>
            </w:r>
            <w:r w:rsidR="00D02269">
              <w:rPr>
                <w:sz w:val="22"/>
                <w:szCs w:val="22"/>
              </w:rPr>
              <w:t xml:space="preserve">ering </w:t>
            </w:r>
            <w:r w:rsidR="004A1601" w:rsidRPr="00926B4E">
              <w:rPr>
                <w:sz w:val="22"/>
                <w:szCs w:val="22"/>
              </w:rPr>
              <w:t>S</w:t>
            </w:r>
            <w:r w:rsidR="00D02269">
              <w:rPr>
                <w:sz w:val="22"/>
                <w:szCs w:val="22"/>
              </w:rPr>
              <w:t>ea</w:t>
            </w:r>
            <w:r w:rsidR="004A1601" w:rsidRPr="00926B4E">
              <w:rPr>
                <w:sz w:val="22"/>
                <w:szCs w:val="22"/>
              </w:rPr>
              <w:t xml:space="preserve"> pollock CDQ, on behalf of that CDQ group, that will participate in that IPA.</w:t>
            </w:r>
          </w:p>
          <w:p w:rsidR="004A1601" w:rsidRPr="00926B4E" w:rsidRDefault="00926B4E" w:rsidP="00D02269">
            <w:pPr>
              <w:tabs>
                <w:tab w:val="left" w:pos="189"/>
                <w:tab w:val="left" w:pos="531"/>
                <w:tab w:val="left" w:pos="909"/>
              </w:tabs>
              <w:spacing w:after="60"/>
              <w:rPr>
                <w:sz w:val="22"/>
                <w:szCs w:val="22"/>
              </w:rPr>
            </w:pPr>
            <w:r>
              <w:rPr>
                <w:sz w:val="22"/>
                <w:szCs w:val="22"/>
              </w:rPr>
              <w:tab/>
              <w:t>♦</w:t>
            </w:r>
            <w:r>
              <w:rPr>
                <w:sz w:val="22"/>
                <w:szCs w:val="22"/>
              </w:rPr>
              <w:tab/>
            </w:r>
            <w:r w:rsidR="004A1601" w:rsidRPr="00926B4E">
              <w:rPr>
                <w:sz w:val="22"/>
                <w:szCs w:val="22"/>
              </w:rPr>
              <w:t>Once a member of an IPA, a vessel owner or CDQ group cannot withdraw from the IPA during a fishing year.</w:t>
            </w:r>
          </w:p>
        </w:tc>
      </w:tr>
    </w:tbl>
    <w:p w:rsidR="004A1601" w:rsidRDefault="004A1601" w:rsidP="00BE5C58"/>
    <w:tbl>
      <w:tblPr>
        <w:tblW w:w="10735"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5"/>
      </w:tblGrid>
      <w:tr w:rsidR="00C14B23" w:rsidTr="005F0910">
        <w:trPr>
          <w:jc w:val="center"/>
        </w:trPr>
        <w:tc>
          <w:tcPr>
            <w:tcW w:w="107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14B23" w:rsidRPr="006903E5" w:rsidRDefault="00C14B23" w:rsidP="006903E5">
            <w:pPr>
              <w:spacing w:before="60" w:after="60"/>
              <w:jc w:val="center"/>
              <w:rPr>
                <w:b/>
                <w:i/>
                <w:sz w:val="22"/>
                <w:szCs w:val="22"/>
              </w:rPr>
            </w:pPr>
            <w:r w:rsidRPr="006903E5">
              <w:rPr>
                <w:b/>
                <w:i/>
                <w:sz w:val="22"/>
                <w:szCs w:val="22"/>
                <w:shd w:val="clear" w:color="auto" w:fill="DAEEF3" w:themeFill="accent5" w:themeFillTint="33"/>
              </w:rPr>
              <w:t xml:space="preserve"> IPA INFORM</w:t>
            </w:r>
            <w:r w:rsidRPr="006903E5">
              <w:rPr>
                <w:b/>
                <w:i/>
                <w:sz w:val="22"/>
                <w:szCs w:val="22"/>
              </w:rPr>
              <w:t>ATION</w:t>
            </w:r>
          </w:p>
        </w:tc>
      </w:tr>
      <w:tr w:rsidR="009F641C"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242"/>
          <w:jc w:val="center"/>
        </w:trPr>
        <w:tc>
          <w:tcPr>
            <w:tcW w:w="10735" w:type="dxa"/>
            <w:tcBorders>
              <w:top w:val="single" w:sz="4" w:space="0" w:color="auto"/>
              <w:left w:val="single" w:sz="4" w:space="0" w:color="auto"/>
              <w:bottom w:val="single" w:sz="4" w:space="0" w:color="auto"/>
              <w:right w:val="single" w:sz="4" w:space="0" w:color="auto"/>
            </w:tcBorders>
          </w:tcPr>
          <w:p w:rsidR="009F641C" w:rsidRPr="008F75B0" w:rsidRDefault="009F641C" w:rsidP="00DC7AFF">
            <w:pPr>
              <w:tabs>
                <w:tab w:val="left" w:pos="360"/>
                <w:tab w:val="left" w:pos="720"/>
                <w:tab w:val="left" w:pos="1065"/>
              </w:tabs>
              <w:rPr>
                <w:sz w:val="22"/>
                <w:szCs w:val="22"/>
              </w:rPr>
            </w:pPr>
            <w:r w:rsidRPr="00204F73">
              <w:rPr>
                <w:b/>
                <w:sz w:val="22"/>
                <w:szCs w:val="22"/>
              </w:rPr>
              <w:t>Name of IPA</w:t>
            </w:r>
          </w:p>
        </w:tc>
      </w:tr>
      <w:tr w:rsidR="00DC7AFF"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242"/>
          <w:jc w:val="center"/>
        </w:trPr>
        <w:tc>
          <w:tcPr>
            <w:tcW w:w="10735" w:type="dxa"/>
            <w:tcBorders>
              <w:top w:val="single" w:sz="4" w:space="0" w:color="auto"/>
              <w:left w:val="single" w:sz="4" w:space="0" w:color="auto"/>
              <w:bottom w:val="single" w:sz="4" w:space="0" w:color="auto"/>
              <w:right w:val="single" w:sz="4" w:space="0" w:color="auto"/>
            </w:tcBorders>
          </w:tcPr>
          <w:p w:rsidR="00DC7AFF" w:rsidRDefault="00DC7AFF" w:rsidP="00DC7AFF">
            <w:pPr>
              <w:tabs>
                <w:tab w:val="left" w:pos="360"/>
                <w:tab w:val="left" w:pos="720"/>
                <w:tab w:val="left" w:pos="1065"/>
              </w:tabs>
              <w:rPr>
                <w:b/>
                <w:sz w:val="22"/>
                <w:szCs w:val="22"/>
              </w:rPr>
            </w:pPr>
            <w:r w:rsidRPr="00DC7AFF">
              <w:rPr>
                <w:b/>
                <w:sz w:val="22"/>
                <w:szCs w:val="22"/>
              </w:rPr>
              <w:t xml:space="preserve">IPA identification number. </w:t>
            </w:r>
          </w:p>
          <w:p w:rsidR="00DC7AFF" w:rsidRPr="00204F73" w:rsidRDefault="00DC7AFF" w:rsidP="00DC7AFF">
            <w:pPr>
              <w:tabs>
                <w:tab w:val="left" w:pos="360"/>
                <w:tab w:val="left" w:pos="720"/>
                <w:tab w:val="left" w:pos="1065"/>
              </w:tabs>
              <w:rPr>
                <w:b/>
                <w:sz w:val="22"/>
                <w:szCs w:val="22"/>
              </w:rPr>
            </w:pPr>
            <w:r w:rsidRPr="00DC7AFF">
              <w:rPr>
                <w:sz w:val="22"/>
                <w:szCs w:val="22"/>
              </w:rPr>
              <w:t>If approved, NMFS will assign an IPA identification number to the approved IPA. This number must be used by the IPA representative in amendments to the IPA.</w:t>
            </w:r>
          </w:p>
        </w:tc>
      </w:tr>
      <w:tr w:rsidR="00CF1441"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35"/>
          <w:jc w:val="center"/>
        </w:trPr>
        <w:tc>
          <w:tcPr>
            <w:tcW w:w="10735" w:type="dxa"/>
            <w:tcBorders>
              <w:top w:val="single" w:sz="4" w:space="0" w:color="auto"/>
              <w:left w:val="single" w:sz="4" w:space="0" w:color="auto"/>
              <w:bottom w:val="single" w:sz="4" w:space="0" w:color="auto"/>
              <w:right w:val="single" w:sz="4" w:space="0" w:color="auto"/>
            </w:tcBorders>
          </w:tcPr>
          <w:p w:rsidR="00CF1441" w:rsidRDefault="00CF1441" w:rsidP="00DC7AFF">
            <w:pPr>
              <w:tabs>
                <w:tab w:val="left" w:pos="360"/>
                <w:tab w:val="left" w:pos="720"/>
                <w:tab w:val="left" w:pos="1065"/>
              </w:tabs>
              <w:rPr>
                <w:sz w:val="22"/>
                <w:szCs w:val="22"/>
              </w:rPr>
            </w:pPr>
            <w:r w:rsidRPr="00CF1441">
              <w:rPr>
                <w:b/>
                <w:sz w:val="22"/>
                <w:szCs w:val="22"/>
              </w:rPr>
              <w:t>Name of IPA Representative</w:t>
            </w:r>
            <w:r w:rsidR="005F0910">
              <w:rPr>
                <w:sz w:val="22"/>
                <w:szCs w:val="22"/>
              </w:rPr>
              <w:t>.</w:t>
            </w:r>
          </w:p>
          <w:p w:rsidR="00CF1441" w:rsidRPr="008F75B0" w:rsidRDefault="00CF1441" w:rsidP="00DC7AFF">
            <w:pPr>
              <w:tabs>
                <w:tab w:val="left" w:pos="360"/>
                <w:tab w:val="left" w:pos="720"/>
                <w:tab w:val="left" w:pos="1065"/>
              </w:tabs>
              <w:rPr>
                <w:sz w:val="22"/>
                <w:szCs w:val="22"/>
              </w:rPr>
            </w:pPr>
            <w:r w:rsidRPr="00204F73">
              <w:rPr>
                <w:sz w:val="22"/>
                <w:szCs w:val="22"/>
              </w:rPr>
              <w:t>The IPA must include the name, telephone number, and e-mail address of the IPA representative who submits the proposed IPA on behalf of the parties and who is responsible for submitting proposed amendments to the IPA and the annual report</w:t>
            </w:r>
          </w:p>
        </w:tc>
      </w:tr>
      <w:tr w:rsidR="00CF1441"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35"/>
          <w:jc w:val="center"/>
        </w:trPr>
        <w:tc>
          <w:tcPr>
            <w:tcW w:w="10735" w:type="dxa"/>
            <w:tcBorders>
              <w:top w:val="single" w:sz="4" w:space="0" w:color="auto"/>
              <w:left w:val="single" w:sz="4" w:space="0" w:color="auto"/>
              <w:bottom w:val="single" w:sz="4" w:space="0" w:color="auto"/>
              <w:right w:val="single" w:sz="4" w:space="0" w:color="auto"/>
            </w:tcBorders>
          </w:tcPr>
          <w:p w:rsidR="00F04521" w:rsidRDefault="007C6086" w:rsidP="00204F73">
            <w:pPr>
              <w:tabs>
                <w:tab w:val="left" w:pos="360"/>
                <w:tab w:val="left" w:pos="720"/>
                <w:tab w:val="left" w:pos="1065"/>
              </w:tabs>
              <w:rPr>
                <w:b/>
                <w:sz w:val="22"/>
                <w:szCs w:val="22"/>
              </w:rPr>
            </w:pPr>
            <w:r w:rsidRPr="007C6086">
              <w:rPr>
                <w:b/>
                <w:sz w:val="22"/>
                <w:szCs w:val="22"/>
              </w:rPr>
              <w:t xml:space="preserve">Third party group.  </w:t>
            </w:r>
          </w:p>
          <w:p w:rsidR="00CF1441" w:rsidRPr="00CF1441" w:rsidRDefault="007C6086" w:rsidP="00204F73">
            <w:pPr>
              <w:tabs>
                <w:tab w:val="left" w:pos="360"/>
                <w:tab w:val="left" w:pos="720"/>
                <w:tab w:val="left" w:pos="1065"/>
              </w:tabs>
              <w:rPr>
                <w:b/>
                <w:sz w:val="22"/>
                <w:szCs w:val="22"/>
              </w:rPr>
            </w:pPr>
            <w:r w:rsidRPr="007C6086">
              <w:rPr>
                <w:sz w:val="22"/>
                <w:szCs w:val="22"/>
              </w:rPr>
              <w:t>The IPA must identify at least one third party group. Third party groups include any organizations representing western Alaskans who depend on salmon and have an interest in salmon bycatch reduction but do not directly fish in a groundfish fishery.</w:t>
            </w:r>
          </w:p>
        </w:tc>
      </w:tr>
      <w:tr w:rsidR="006F47B9"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35"/>
          <w:jc w:val="center"/>
        </w:trPr>
        <w:tc>
          <w:tcPr>
            <w:tcW w:w="10735" w:type="dxa"/>
            <w:tcBorders>
              <w:top w:val="single" w:sz="4" w:space="0" w:color="auto"/>
              <w:left w:val="single" w:sz="4" w:space="0" w:color="auto"/>
              <w:bottom w:val="single" w:sz="4" w:space="0" w:color="auto"/>
              <w:right w:val="single" w:sz="4" w:space="0" w:color="auto"/>
            </w:tcBorders>
          </w:tcPr>
          <w:p w:rsidR="00F04521" w:rsidRDefault="006F47B9" w:rsidP="00F04521">
            <w:pPr>
              <w:tabs>
                <w:tab w:val="left" w:pos="208"/>
                <w:tab w:val="left" w:pos="478"/>
                <w:tab w:val="left" w:pos="739"/>
                <w:tab w:val="left" w:pos="1065"/>
                <w:tab w:val="left" w:pos="1411"/>
              </w:tabs>
              <w:rPr>
                <w:b/>
                <w:sz w:val="22"/>
                <w:szCs w:val="22"/>
              </w:rPr>
            </w:pPr>
            <w:r w:rsidRPr="006F47B9">
              <w:rPr>
                <w:b/>
                <w:sz w:val="22"/>
                <w:szCs w:val="22"/>
              </w:rPr>
              <w:t xml:space="preserve">Description of the incentive plan. </w:t>
            </w:r>
          </w:p>
          <w:p w:rsidR="006F47B9" w:rsidRPr="006F47B9" w:rsidRDefault="006F47B9" w:rsidP="00F04521">
            <w:pPr>
              <w:tabs>
                <w:tab w:val="left" w:pos="208"/>
                <w:tab w:val="left" w:pos="478"/>
                <w:tab w:val="left" w:pos="739"/>
                <w:tab w:val="left" w:pos="1065"/>
                <w:tab w:val="left" w:pos="1411"/>
              </w:tabs>
              <w:rPr>
                <w:sz w:val="22"/>
                <w:szCs w:val="22"/>
              </w:rPr>
            </w:pPr>
            <w:r w:rsidRPr="006F47B9">
              <w:rPr>
                <w:sz w:val="22"/>
                <w:szCs w:val="22"/>
              </w:rPr>
              <w:t>The IPA must contain a description of the following</w:t>
            </w:r>
            <w:r w:rsidR="009E722B">
              <w:rPr>
                <w:sz w:val="22"/>
                <w:szCs w:val="22"/>
              </w:rPr>
              <w:t>:</w:t>
            </w:r>
          </w:p>
          <w:p w:rsidR="006F47B9" w:rsidRPr="006F47B9" w:rsidRDefault="003A4D54" w:rsidP="00F04521">
            <w:pPr>
              <w:tabs>
                <w:tab w:val="left" w:pos="208"/>
                <w:tab w:val="left" w:pos="478"/>
                <w:tab w:val="left" w:pos="1065"/>
                <w:tab w:val="left" w:pos="1411"/>
              </w:tabs>
              <w:ind w:left="478" w:hanging="450"/>
              <w:rPr>
                <w:sz w:val="22"/>
                <w:szCs w:val="22"/>
              </w:rPr>
            </w:pPr>
            <w:r>
              <w:rPr>
                <w:sz w:val="22"/>
                <w:szCs w:val="22"/>
              </w:rPr>
              <w:tab/>
              <w:t>♦</w:t>
            </w:r>
            <w:r>
              <w:rPr>
                <w:sz w:val="22"/>
                <w:szCs w:val="22"/>
              </w:rPr>
              <w:tab/>
            </w:r>
            <w:r w:rsidR="006F47B9" w:rsidRPr="006F47B9">
              <w:rPr>
                <w:sz w:val="22"/>
                <w:szCs w:val="22"/>
              </w:rPr>
              <w:t xml:space="preserve">The incentive(s) that will be implemented under the IPA for the operator of each vessel participating in the IPA to avoid Chinook salmon and chum salmon bycatch under any condition of pollock and Chinook salmon abundance in all years.  </w:t>
            </w:r>
          </w:p>
          <w:p w:rsidR="006F47B9" w:rsidRPr="006F47B9" w:rsidRDefault="003A4D54" w:rsidP="00F04521">
            <w:pPr>
              <w:tabs>
                <w:tab w:val="left" w:pos="208"/>
                <w:tab w:val="left" w:pos="478"/>
                <w:tab w:val="left" w:pos="739"/>
                <w:tab w:val="left" w:pos="1065"/>
                <w:tab w:val="left" w:pos="1411"/>
              </w:tabs>
              <w:rPr>
                <w:sz w:val="22"/>
                <w:szCs w:val="22"/>
              </w:rPr>
            </w:pPr>
            <w:r>
              <w:rPr>
                <w:sz w:val="22"/>
                <w:szCs w:val="22"/>
              </w:rPr>
              <w:tab/>
              <w:t>♦</w:t>
            </w:r>
            <w:r>
              <w:rPr>
                <w:sz w:val="22"/>
                <w:szCs w:val="22"/>
              </w:rPr>
              <w:tab/>
            </w:r>
            <w:r w:rsidR="006F47B9" w:rsidRPr="006F47B9">
              <w:rPr>
                <w:sz w:val="22"/>
                <w:szCs w:val="22"/>
              </w:rPr>
              <w:t>How the incentive(s) to avoid chum salmon do not increase Chinook salmon bycatch.</w:t>
            </w:r>
          </w:p>
          <w:p w:rsidR="00F04521" w:rsidRDefault="003A4D54" w:rsidP="00F04521">
            <w:pPr>
              <w:tabs>
                <w:tab w:val="left" w:pos="208"/>
                <w:tab w:val="left" w:pos="478"/>
                <w:tab w:val="left" w:pos="739"/>
                <w:tab w:val="left" w:pos="1065"/>
                <w:tab w:val="left" w:pos="1411"/>
              </w:tabs>
              <w:ind w:left="697" w:hanging="697"/>
              <w:rPr>
                <w:sz w:val="22"/>
                <w:szCs w:val="22"/>
              </w:rPr>
            </w:pPr>
            <w:r>
              <w:rPr>
                <w:sz w:val="22"/>
                <w:szCs w:val="22"/>
              </w:rPr>
              <w:tab/>
              <w:t>♦</w:t>
            </w:r>
            <w:r>
              <w:rPr>
                <w:sz w:val="22"/>
                <w:szCs w:val="22"/>
              </w:rPr>
              <w:tab/>
            </w:r>
            <w:r w:rsidR="00F04521">
              <w:rPr>
                <w:sz w:val="22"/>
                <w:szCs w:val="22"/>
              </w:rPr>
              <w:t>T</w:t>
            </w:r>
            <w:r w:rsidR="006F47B9" w:rsidRPr="006F47B9">
              <w:rPr>
                <w:sz w:val="22"/>
                <w:szCs w:val="22"/>
              </w:rPr>
              <w:t>he rewards for avoiding Chinook salmon, penalties for failure to avoid Chinook salmon at the vessel level,</w:t>
            </w:r>
          </w:p>
          <w:p w:rsidR="006F47B9" w:rsidRPr="006F47B9" w:rsidRDefault="00F04521" w:rsidP="00F04521">
            <w:pPr>
              <w:tabs>
                <w:tab w:val="left" w:pos="208"/>
                <w:tab w:val="left" w:pos="478"/>
                <w:tab w:val="left" w:pos="739"/>
                <w:tab w:val="left" w:pos="1065"/>
                <w:tab w:val="left" w:pos="1411"/>
              </w:tabs>
              <w:ind w:left="697" w:hanging="697"/>
              <w:rPr>
                <w:sz w:val="22"/>
                <w:szCs w:val="22"/>
              </w:rPr>
            </w:pPr>
            <w:r>
              <w:rPr>
                <w:sz w:val="22"/>
                <w:szCs w:val="22"/>
              </w:rPr>
              <w:tab/>
            </w:r>
            <w:r>
              <w:rPr>
                <w:sz w:val="22"/>
                <w:szCs w:val="22"/>
              </w:rPr>
              <w:tab/>
            </w:r>
            <w:proofErr w:type="gramStart"/>
            <w:r w:rsidR="006F47B9" w:rsidRPr="006F47B9">
              <w:rPr>
                <w:sz w:val="22"/>
                <w:szCs w:val="22"/>
              </w:rPr>
              <w:t>or</w:t>
            </w:r>
            <w:proofErr w:type="gramEnd"/>
            <w:r w:rsidR="006F47B9" w:rsidRPr="006F47B9">
              <w:rPr>
                <w:sz w:val="22"/>
                <w:szCs w:val="22"/>
              </w:rPr>
              <w:t xml:space="preserve"> both.</w:t>
            </w:r>
          </w:p>
          <w:p w:rsidR="006F47B9" w:rsidRPr="006F47B9" w:rsidRDefault="003A4D54" w:rsidP="004E17AB">
            <w:pPr>
              <w:tabs>
                <w:tab w:val="left" w:pos="208"/>
                <w:tab w:val="left" w:pos="478"/>
                <w:tab w:val="left" w:pos="1065"/>
                <w:tab w:val="left" w:pos="1411"/>
              </w:tabs>
              <w:ind w:left="478" w:hanging="478"/>
              <w:rPr>
                <w:sz w:val="22"/>
                <w:szCs w:val="22"/>
              </w:rPr>
            </w:pPr>
            <w:r>
              <w:rPr>
                <w:sz w:val="22"/>
                <w:szCs w:val="22"/>
              </w:rPr>
              <w:tab/>
              <w:t>♦</w:t>
            </w:r>
            <w:r>
              <w:rPr>
                <w:sz w:val="22"/>
                <w:szCs w:val="22"/>
              </w:rPr>
              <w:tab/>
              <w:t>H</w:t>
            </w:r>
            <w:r w:rsidR="006F47B9" w:rsidRPr="006F47B9">
              <w:rPr>
                <w:sz w:val="22"/>
                <w:szCs w:val="22"/>
              </w:rPr>
              <w:t>ow the incentive measures in the IPA are expected to promote reductions in a vessel's Chinook salmon and chum salmon bycatch rates relative to what would have occurred in absence of the incentive program.</w:t>
            </w:r>
          </w:p>
          <w:p w:rsidR="006F47B9" w:rsidRPr="006F47B9" w:rsidRDefault="003A4D54" w:rsidP="004E17AB">
            <w:pPr>
              <w:tabs>
                <w:tab w:val="left" w:pos="208"/>
                <w:tab w:val="left" w:pos="478"/>
                <w:tab w:val="left" w:pos="1065"/>
                <w:tab w:val="left" w:pos="1411"/>
              </w:tabs>
              <w:ind w:left="478" w:hanging="450"/>
              <w:rPr>
                <w:sz w:val="22"/>
                <w:szCs w:val="22"/>
              </w:rPr>
            </w:pPr>
            <w:r>
              <w:rPr>
                <w:sz w:val="22"/>
                <w:szCs w:val="22"/>
              </w:rPr>
              <w:tab/>
              <w:t>♦</w:t>
            </w:r>
            <w:r>
              <w:rPr>
                <w:sz w:val="22"/>
                <w:szCs w:val="22"/>
              </w:rPr>
              <w:tab/>
            </w:r>
            <w:r w:rsidR="006F47B9" w:rsidRPr="006F47B9">
              <w:rPr>
                <w:sz w:val="22"/>
                <w:szCs w:val="22"/>
              </w:rPr>
              <w:t xml:space="preserve">How the incentive measures in the IPA promote Chinook salmon and chum salmon savings in any condition of pollock abundance or Chinook salmon abundance in a manner that is expected to influence operational decisions by vessel operators to avoid Chinook salmon and chum salmon. </w:t>
            </w:r>
          </w:p>
          <w:p w:rsidR="006F47B9" w:rsidRPr="006F47B9" w:rsidRDefault="003A4D54" w:rsidP="004E17AB">
            <w:pPr>
              <w:tabs>
                <w:tab w:val="left" w:pos="208"/>
                <w:tab w:val="left" w:pos="478"/>
                <w:tab w:val="left" w:pos="1065"/>
                <w:tab w:val="left" w:pos="1411"/>
              </w:tabs>
              <w:ind w:left="478" w:hanging="478"/>
              <w:rPr>
                <w:sz w:val="22"/>
                <w:szCs w:val="22"/>
              </w:rPr>
            </w:pPr>
            <w:r>
              <w:rPr>
                <w:sz w:val="22"/>
                <w:szCs w:val="22"/>
              </w:rPr>
              <w:tab/>
              <w:t>♦</w:t>
            </w:r>
            <w:r>
              <w:rPr>
                <w:sz w:val="22"/>
                <w:szCs w:val="22"/>
              </w:rPr>
              <w:tab/>
            </w:r>
            <w:r w:rsidR="006F47B9" w:rsidRPr="006F47B9">
              <w:rPr>
                <w:sz w:val="22"/>
                <w:szCs w:val="22"/>
              </w:rPr>
              <w:t>How the IPA ensures that the operator of each vessel governed by the IPA will manage that vessel’s Chinook salmon bycatch to keep total bycatch below the performance standard for the sector in which the vessel participates.</w:t>
            </w:r>
          </w:p>
          <w:p w:rsidR="006F47B9" w:rsidRPr="006F47B9" w:rsidRDefault="003A4D54" w:rsidP="004E17AB">
            <w:pPr>
              <w:tabs>
                <w:tab w:val="left" w:pos="208"/>
                <w:tab w:val="left" w:pos="478"/>
                <w:tab w:val="left" w:pos="1065"/>
                <w:tab w:val="left" w:pos="1411"/>
              </w:tabs>
              <w:ind w:left="478" w:hanging="478"/>
              <w:rPr>
                <w:sz w:val="22"/>
                <w:szCs w:val="22"/>
              </w:rPr>
            </w:pPr>
            <w:r>
              <w:rPr>
                <w:sz w:val="22"/>
                <w:szCs w:val="22"/>
              </w:rPr>
              <w:tab/>
              <w:t>♦</w:t>
            </w:r>
            <w:r>
              <w:rPr>
                <w:sz w:val="22"/>
                <w:szCs w:val="22"/>
              </w:rPr>
              <w:tab/>
            </w:r>
            <w:r w:rsidR="006F47B9" w:rsidRPr="006F47B9">
              <w:rPr>
                <w:sz w:val="22"/>
                <w:szCs w:val="22"/>
              </w:rPr>
              <w:t xml:space="preserve">How the IPA ensures that the operator of each vessel governed by the IPA will manage that vessel’s chum salmon bycatch to avoid areas and times where the chum salmon are likely to return to western Alaska. </w:t>
            </w:r>
          </w:p>
          <w:p w:rsidR="006F47B9" w:rsidRPr="006F47B9" w:rsidRDefault="003A4D54" w:rsidP="004E17AB">
            <w:pPr>
              <w:tabs>
                <w:tab w:val="left" w:pos="208"/>
                <w:tab w:val="left" w:pos="478"/>
                <w:tab w:val="left" w:pos="1065"/>
                <w:tab w:val="left" w:pos="1411"/>
              </w:tabs>
              <w:ind w:left="478" w:hanging="478"/>
              <w:rPr>
                <w:sz w:val="22"/>
                <w:szCs w:val="22"/>
              </w:rPr>
            </w:pPr>
            <w:r>
              <w:rPr>
                <w:sz w:val="22"/>
                <w:szCs w:val="22"/>
              </w:rPr>
              <w:tab/>
              <w:t>♦</w:t>
            </w:r>
            <w:r>
              <w:rPr>
                <w:sz w:val="22"/>
                <w:szCs w:val="22"/>
              </w:rPr>
              <w:tab/>
            </w:r>
            <w:r w:rsidR="006F47B9" w:rsidRPr="006F47B9">
              <w:rPr>
                <w:sz w:val="22"/>
                <w:szCs w:val="22"/>
              </w:rPr>
              <w:t>The rolling hot spot program for salmon bycatch avoidance that operates throughout the entire A season and B season and the agreement to provide notifications of closure areas and any violations of the rolling hot spot program to the third party group.</w:t>
            </w:r>
          </w:p>
          <w:p w:rsidR="006F47B9" w:rsidRPr="006F47B9" w:rsidRDefault="003A4D54" w:rsidP="004E17AB">
            <w:pPr>
              <w:tabs>
                <w:tab w:val="left" w:pos="208"/>
                <w:tab w:val="left" w:pos="478"/>
                <w:tab w:val="left" w:pos="1065"/>
                <w:tab w:val="left" w:pos="1411"/>
              </w:tabs>
              <w:ind w:left="478" w:hanging="478"/>
              <w:rPr>
                <w:sz w:val="22"/>
                <w:szCs w:val="22"/>
              </w:rPr>
            </w:pPr>
            <w:r>
              <w:rPr>
                <w:sz w:val="22"/>
                <w:szCs w:val="22"/>
              </w:rPr>
              <w:tab/>
              <w:t>♦</w:t>
            </w:r>
            <w:r>
              <w:rPr>
                <w:sz w:val="22"/>
                <w:szCs w:val="22"/>
              </w:rPr>
              <w:tab/>
            </w:r>
            <w:r w:rsidR="006F47B9" w:rsidRPr="006F47B9">
              <w:rPr>
                <w:sz w:val="22"/>
                <w:szCs w:val="22"/>
              </w:rPr>
              <w:t xml:space="preserve">The restrictions or penalties targeted at vessels that consistently have significantly higher Chinook salmon </w:t>
            </w:r>
            <w:r w:rsidR="00AB25BB">
              <w:rPr>
                <w:sz w:val="22"/>
                <w:szCs w:val="22"/>
              </w:rPr>
              <w:t>prohibited species catch (</w:t>
            </w:r>
            <w:r w:rsidR="006F47B9" w:rsidRPr="006F47B9">
              <w:rPr>
                <w:sz w:val="22"/>
                <w:szCs w:val="22"/>
              </w:rPr>
              <w:t>PSC</w:t>
            </w:r>
            <w:r w:rsidR="00AB25BB">
              <w:rPr>
                <w:sz w:val="22"/>
                <w:szCs w:val="22"/>
              </w:rPr>
              <w:t>)</w:t>
            </w:r>
            <w:r w:rsidR="006F47B9" w:rsidRPr="006F47B9">
              <w:rPr>
                <w:sz w:val="22"/>
                <w:szCs w:val="22"/>
              </w:rPr>
              <w:t xml:space="preserve"> rates relative to other vessels fishing at the same time. </w:t>
            </w:r>
          </w:p>
          <w:p w:rsidR="006F47B9" w:rsidRPr="006F47B9" w:rsidRDefault="003A4D54" w:rsidP="00F04521">
            <w:pPr>
              <w:tabs>
                <w:tab w:val="left" w:pos="208"/>
                <w:tab w:val="left" w:pos="478"/>
                <w:tab w:val="left" w:pos="739"/>
                <w:tab w:val="left" w:pos="1065"/>
                <w:tab w:val="left" w:pos="1411"/>
              </w:tabs>
              <w:rPr>
                <w:sz w:val="22"/>
                <w:szCs w:val="22"/>
              </w:rPr>
            </w:pPr>
            <w:r>
              <w:rPr>
                <w:sz w:val="22"/>
                <w:szCs w:val="22"/>
              </w:rPr>
              <w:tab/>
              <w:t>♦</w:t>
            </w:r>
            <w:r>
              <w:rPr>
                <w:sz w:val="22"/>
                <w:szCs w:val="22"/>
              </w:rPr>
              <w:tab/>
            </w:r>
            <w:r w:rsidR="006F47B9" w:rsidRPr="006F47B9">
              <w:rPr>
                <w:sz w:val="22"/>
                <w:szCs w:val="22"/>
              </w:rPr>
              <w:t>The requirement for vessels to enter a fishery</w:t>
            </w:r>
            <w:r w:rsidR="006F47B9" w:rsidRPr="006F47B9">
              <w:rPr>
                <w:rFonts w:ascii="Cambria Math" w:hAnsi="Cambria Math" w:cs="Cambria Math"/>
                <w:sz w:val="22"/>
                <w:szCs w:val="22"/>
              </w:rPr>
              <w:t>‐</w:t>
            </w:r>
            <w:r w:rsidR="006F47B9" w:rsidRPr="006F47B9">
              <w:rPr>
                <w:sz w:val="22"/>
                <w:szCs w:val="22"/>
              </w:rPr>
              <w:t>wide in</w:t>
            </w:r>
            <w:r w:rsidR="006F47B9" w:rsidRPr="006F47B9">
              <w:rPr>
                <w:rFonts w:ascii="Cambria Math" w:hAnsi="Cambria Math" w:cs="Cambria Math"/>
                <w:sz w:val="22"/>
                <w:szCs w:val="22"/>
              </w:rPr>
              <w:t>‐</w:t>
            </w:r>
            <w:r w:rsidR="006F47B9" w:rsidRPr="006F47B9">
              <w:rPr>
                <w:sz w:val="22"/>
                <w:szCs w:val="22"/>
              </w:rPr>
              <w:t>season salmon PSC data sharing agreement.</w:t>
            </w:r>
          </w:p>
          <w:p w:rsidR="006F47B9" w:rsidRPr="006F47B9" w:rsidRDefault="003A4D54" w:rsidP="004E17AB">
            <w:pPr>
              <w:tabs>
                <w:tab w:val="left" w:pos="208"/>
                <w:tab w:val="left" w:pos="478"/>
                <w:tab w:val="left" w:pos="1065"/>
                <w:tab w:val="left" w:pos="1411"/>
              </w:tabs>
              <w:ind w:left="478" w:hanging="478"/>
              <w:rPr>
                <w:sz w:val="22"/>
                <w:szCs w:val="22"/>
              </w:rPr>
            </w:pPr>
            <w:r>
              <w:rPr>
                <w:sz w:val="22"/>
                <w:szCs w:val="22"/>
              </w:rPr>
              <w:tab/>
              <w:t>♦</w:t>
            </w:r>
            <w:r>
              <w:rPr>
                <w:sz w:val="22"/>
                <w:szCs w:val="22"/>
              </w:rPr>
              <w:tab/>
            </w:r>
            <w:r w:rsidR="006F47B9" w:rsidRPr="006F47B9">
              <w:rPr>
                <w:sz w:val="22"/>
                <w:szCs w:val="22"/>
              </w:rPr>
              <w:t>The requirement for the use of salmon excluder devices, with recognition of contingencies, from January 20 to March 31, and from September 1 until the end of the B season.</w:t>
            </w:r>
          </w:p>
          <w:p w:rsidR="006F47B9" w:rsidRPr="006F47B9" w:rsidRDefault="003A4D54" w:rsidP="00F04521">
            <w:pPr>
              <w:tabs>
                <w:tab w:val="left" w:pos="208"/>
                <w:tab w:val="left" w:pos="478"/>
                <w:tab w:val="left" w:pos="739"/>
                <w:tab w:val="left" w:pos="1065"/>
                <w:tab w:val="left" w:pos="1411"/>
              </w:tabs>
              <w:rPr>
                <w:sz w:val="22"/>
                <w:szCs w:val="22"/>
              </w:rPr>
            </w:pPr>
            <w:r>
              <w:rPr>
                <w:sz w:val="22"/>
                <w:szCs w:val="22"/>
              </w:rPr>
              <w:tab/>
              <w:t>♦</w:t>
            </w:r>
            <w:r>
              <w:rPr>
                <w:sz w:val="22"/>
                <w:szCs w:val="22"/>
              </w:rPr>
              <w:tab/>
            </w:r>
            <w:r w:rsidR="006F47B9" w:rsidRPr="006F47B9">
              <w:rPr>
                <w:sz w:val="22"/>
                <w:szCs w:val="22"/>
              </w:rPr>
              <w:t>The requirement that credits must last for a maximum of three years for IPAs with salmon savings credits.</w:t>
            </w:r>
          </w:p>
          <w:p w:rsidR="006F47B9" w:rsidRPr="007C6086" w:rsidRDefault="003A4D54" w:rsidP="004E17AB">
            <w:pPr>
              <w:tabs>
                <w:tab w:val="left" w:pos="208"/>
                <w:tab w:val="left" w:pos="478"/>
                <w:tab w:val="left" w:pos="1065"/>
                <w:tab w:val="left" w:pos="1411"/>
              </w:tabs>
              <w:ind w:left="478" w:hanging="450"/>
              <w:rPr>
                <w:b/>
                <w:sz w:val="22"/>
                <w:szCs w:val="22"/>
              </w:rPr>
            </w:pPr>
            <w:r>
              <w:rPr>
                <w:sz w:val="22"/>
                <w:szCs w:val="22"/>
              </w:rPr>
              <w:tab/>
              <w:t>♦</w:t>
            </w:r>
            <w:r>
              <w:rPr>
                <w:sz w:val="22"/>
                <w:szCs w:val="22"/>
              </w:rPr>
              <w:tab/>
            </w:r>
            <w:r w:rsidR="006F47B9" w:rsidRPr="006F47B9">
              <w:rPr>
                <w:sz w:val="22"/>
                <w:szCs w:val="22"/>
              </w:rPr>
              <w:t>The restrictions or performance criteria used to ensure that Chinook salmon PSC rates in October are not significantly higher than those achieved in the preceding months.</w:t>
            </w:r>
          </w:p>
        </w:tc>
      </w:tr>
      <w:tr w:rsidR="00B84F0E"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35"/>
          <w:jc w:val="center"/>
        </w:trPr>
        <w:tc>
          <w:tcPr>
            <w:tcW w:w="10735" w:type="dxa"/>
            <w:tcBorders>
              <w:top w:val="single" w:sz="4" w:space="0" w:color="auto"/>
              <w:left w:val="single" w:sz="4" w:space="0" w:color="auto"/>
              <w:bottom w:val="single" w:sz="4" w:space="0" w:color="auto"/>
              <w:right w:val="single" w:sz="4" w:space="0" w:color="auto"/>
            </w:tcBorders>
          </w:tcPr>
          <w:p w:rsidR="00B84F0E" w:rsidRDefault="00B84F0E" w:rsidP="00F04521">
            <w:pPr>
              <w:tabs>
                <w:tab w:val="left" w:pos="208"/>
                <w:tab w:val="left" w:pos="478"/>
                <w:tab w:val="left" w:pos="739"/>
                <w:tab w:val="left" w:pos="1065"/>
                <w:tab w:val="left" w:pos="1411"/>
              </w:tabs>
              <w:rPr>
                <w:b/>
                <w:sz w:val="22"/>
                <w:szCs w:val="22"/>
              </w:rPr>
            </w:pPr>
            <w:r w:rsidRPr="00B84F0E">
              <w:rPr>
                <w:b/>
                <w:sz w:val="22"/>
                <w:szCs w:val="22"/>
              </w:rPr>
              <w:t xml:space="preserve">Compliance agreement. </w:t>
            </w:r>
          </w:p>
          <w:p w:rsidR="00B84F0E" w:rsidRPr="00B84F0E" w:rsidRDefault="00B84F0E" w:rsidP="00F04521">
            <w:pPr>
              <w:tabs>
                <w:tab w:val="left" w:pos="208"/>
                <w:tab w:val="left" w:pos="478"/>
                <w:tab w:val="left" w:pos="739"/>
                <w:tab w:val="left" w:pos="1065"/>
                <w:tab w:val="left" w:pos="1411"/>
              </w:tabs>
              <w:rPr>
                <w:sz w:val="22"/>
                <w:szCs w:val="22"/>
              </w:rPr>
            </w:pPr>
            <w:r w:rsidRPr="00B84F0E">
              <w:rPr>
                <w:sz w:val="22"/>
                <w:szCs w:val="22"/>
              </w:rPr>
              <w:t>The IPA must include a written statement that all parties to the IPA agree to comply with all provisions of the IPA.</w:t>
            </w:r>
          </w:p>
        </w:tc>
      </w:tr>
      <w:tr w:rsidR="005F4C11"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35"/>
          <w:jc w:val="center"/>
        </w:trPr>
        <w:tc>
          <w:tcPr>
            <w:tcW w:w="10735" w:type="dxa"/>
            <w:tcBorders>
              <w:top w:val="single" w:sz="4" w:space="0" w:color="auto"/>
              <w:left w:val="single" w:sz="4" w:space="0" w:color="auto"/>
              <w:bottom w:val="single" w:sz="4" w:space="0" w:color="auto"/>
              <w:right w:val="single" w:sz="4" w:space="0" w:color="auto"/>
            </w:tcBorders>
          </w:tcPr>
          <w:p w:rsidR="005F4C11" w:rsidRDefault="005F4C11" w:rsidP="00F04521">
            <w:pPr>
              <w:tabs>
                <w:tab w:val="left" w:pos="208"/>
                <w:tab w:val="left" w:pos="478"/>
                <w:tab w:val="left" w:pos="739"/>
                <w:tab w:val="left" w:pos="1065"/>
                <w:tab w:val="left" w:pos="1411"/>
              </w:tabs>
              <w:rPr>
                <w:b/>
                <w:sz w:val="22"/>
                <w:szCs w:val="22"/>
              </w:rPr>
            </w:pPr>
            <w:r w:rsidRPr="005F4C11">
              <w:rPr>
                <w:b/>
                <w:sz w:val="22"/>
                <w:szCs w:val="22"/>
              </w:rPr>
              <w:t xml:space="preserve">Signatures. </w:t>
            </w:r>
          </w:p>
          <w:p w:rsidR="005F4C11" w:rsidRPr="00B84F0E" w:rsidRDefault="005F4C11" w:rsidP="00012121">
            <w:pPr>
              <w:tabs>
                <w:tab w:val="left" w:pos="208"/>
                <w:tab w:val="left" w:pos="478"/>
                <w:tab w:val="left" w:pos="739"/>
                <w:tab w:val="left" w:pos="1065"/>
                <w:tab w:val="left" w:pos="1411"/>
              </w:tabs>
              <w:rPr>
                <w:b/>
                <w:sz w:val="22"/>
                <w:szCs w:val="22"/>
              </w:rPr>
            </w:pPr>
            <w:r w:rsidRPr="005F4C11">
              <w:rPr>
                <w:sz w:val="22"/>
                <w:szCs w:val="22"/>
              </w:rPr>
              <w:t>The names and signatures of the owner or representative for each vessel and CDQ group that is a party to the IPA. The representative of an inshore cooperative, or the representative of the entity formed to represent the AFA catcher/processor sector or the AFA mothership sector may sign a proposed IPA on behalf of all vessels that are members of that inshore cooperative or sector level entity.</w:t>
            </w:r>
          </w:p>
        </w:tc>
      </w:tr>
      <w:tr w:rsidR="00727F9C"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35"/>
          <w:jc w:val="center"/>
        </w:trPr>
        <w:tc>
          <w:tcPr>
            <w:tcW w:w="10735" w:type="dxa"/>
            <w:tcBorders>
              <w:top w:val="single" w:sz="4" w:space="0" w:color="auto"/>
              <w:left w:val="single" w:sz="4" w:space="0" w:color="auto"/>
              <w:bottom w:val="single" w:sz="4" w:space="0" w:color="auto"/>
              <w:right w:val="single" w:sz="4" w:space="0" w:color="auto"/>
            </w:tcBorders>
          </w:tcPr>
          <w:p w:rsidR="00727F9C" w:rsidRDefault="00727F9C" w:rsidP="00F04521">
            <w:pPr>
              <w:tabs>
                <w:tab w:val="left" w:pos="208"/>
                <w:tab w:val="left" w:pos="478"/>
                <w:tab w:val="left" w:pos="739"/>
                <w:tab w:val="left" w:pos="1065"/>
                <w:tab w:val="left" w:pos="1411"/>
              </w:tabs>
              <w:rPr>
                <w:b/>
                <w:sz w:val="22"/>
                <w:szCs w:val="22"/>
              </w:rPr>
            </w:pPr>
            <w:r w:rsidRPr="00727F9C">
              <w:rPr>
                <w:b/>
                <w:sz w:val="22"/>
                <w:szCs w:val="22"/>
              </w:rPr>
              <w:t xml:space="preserve">Duration. </w:t>
            </w:r>
          </w:p>
          <w:p w:rsidR="00727F9C" w:rsidRPr="005F4C11" w:rsidRDefault="00727F9C" w:rsidP="00F04521">
            <w:pPr>
              <w:tabs>
                <w:tab w:val="left" w:pos="208"/>
                <w:tab w:val="left" w:pos="478"/>
                <w:tab w:val="left" w:pos="739"/>
                <w:tab w:val="left" w:pos="1065"/>
                <w:tab w:val="left" w:pos="1411"/>
              </w:tabs>
              <w:rPr>
                <w:b/>
                <w:sz w:val="22"/>
                <w:szCs w:val="22"/>
              </w:rPr>
            </w:pPr>
            <w:r w:rsidRPr="00727F9C">
              <w:rPr>
                <w:sz w:val="22"/>
                <w:szCs w:val="22"/>
              </w:rPr>
              <w:t>Once approved, an IPA is effective starting January 1 of the year following the year in which NMFS approves the IPA, unless the IPA is approved between January 1 and January 19, in which case the IPA is effective starting in the year in which it is approved. Once approved, an IPA is effective until December 31 of the first year in which it is effective or until December 31 of the year in which the IPA representative notifies NMFS in writing that the IPA is no longer in effect, whichever is later. An IPA may not expire mid-year. No party may join or leave an IPA once it is approved</w:t>
            </w:r>
            <w:r>
              <w:rPr>
                <w:sz w:val="22"/>
                <w:szCs w:val="22"/>
              </w:rPr>
              <w:t>.</w:t>
            </w:r>
          </w:p>
        </w:tc>
      </w:tr>
    </w:tbl>
    <w:p w:rsidR="00CF1441" w:rsidRDefault="00CF1441">
      <w:pPr>
        <w:rPr>
          <w:sz w:val="18"/>
          <w:szCs w:val="18"/>
        </w:rPr>
      </w:pPr>
    </w:p>
    <w:tbl>
      <w:tblPr>
        <w:tblStyle w:val="TableGrid"/>
        <w:tblW w:w="0" w:type="auto"/>
        <w:jc w:val="center"/>
        <w:tblInd w:w="198" w:type="dxa"/>
        <w:tblLook w:val="04A0" w:firstRow="1" w:lastRow="0" w:firstColumn="1" w:lastColumn="0" w:noHBand="0" w:noVBand="1"/>
      </w:tblPr>
      <w:tblGrid>
        <w:gridCol w:w="10719"/>
      </w:tblGrid>
      <w:tr w:rsidR="0055218C" w:rsidTr="004A1601">
        <w:trPr>
          <w:jc w:val="center"/>
        </w:trPr>
        <w:tc>
          <w:tcPr>
            <w:tcW w:w="10719" w:type="dxa"/>
            <w:shd w:val="clear" w:color="auto" w:fill="DAEEF3" w:themeFill="accent5" w:themeFillTint="33"/>
          </w:tcPr>
          <w:p w:rsidR="0055218C" w:rsidRPr="0055218C" w:rsidRDefault="0055218C" w:rsidP="0055218C">
            <w:pPr>
              <w:spacing w:before="60" w:after="60"/>
              <w:jc w:val="center"/>
              <w:rPr>
                <w:sz w:val="22"/>
                <w:szCs w:val="22"/>
              </w:rPr>
            </w:pPr>
            <w:r w:rsidRPr="0055218C">
              <w:rPr>
                <w:b/>
                <w:i/>
                <w:sz w:val="22"/>
                <w:szCs w:val="22"/>
              </w:rPr>
              <w:t>AMENDMENTS TO AN IPA</w:t>
            </w:r>
            <w:r w:rsidRPr="0055218C">
              <w:rPr>
                <w:sz w:val="22"/>
                <w:szCs w:val="22"/>
              </w:rPr>
              <w:t>.</w:t>
            </w:r>
          </w:p>
        </w:tc>
      </w:tr>
      <w:tr w:rsidR="0055218C" w:rsidTr="004A1601">
        <w:trPr>
          <w:jc w:val="center"/>
        </w:trPr>
        <w:tc>
          <w:tcPr>
            <w:tcW w:w="10719" w:type="dxa"/>
          </w:tcPr>
          <w:p w:rsidR="0055218C" w:rsidRPr="0055218C" w:rsidRDefault="0055218C" w:rsidP="00130944">
            <w:pPr>
              <w:rPr>
                <w:sz w:val="22"/>
                <w:szCs w:val="22"/>
              </w:rPr>
            </w:pPr>
            <w:r w:rsidRPr="0055218C">
              <w:rPr>
                <w:sz w:val="22"/>
                <w:szCs w:val="22"/>
              </w:rPr>
              <w:t>Amendments to an approved IPA may be submitted to NMFS at any time</w:t>
            </w:r>
            <w:r w:rsidR="00130944">
              <w:rPr>
                <w:sz w:val="22"/>
                <w:szCs w:val="22"/>
              </w:rPr>
              <w:t xml:space="preserve">.  </w:t>
            </w:r>
            <w:r w:rsidRPr="0055218C">
              <w:rPr>
                <w:sz w:val="22"/>
                <w:szCs w:val="22"/>
              </w:rPr>
              <w:t>An amendment to an approved IPA is effective upon written notification of approval by NMFS to the IPA representative.</w:t>
            </w:r>
          </w:p>
        </w:tc>
      </w:tr>
    </w:tbl>
    <w:p w:rsidR="0055218C" w:rsidRDefault="0055218C" w:rsidP="003206B6">
      <w:pPr>
        <w:rPr>
          <w:b/>
          <w:i/>
          <w:sz w:val="20"/>
          <w:szCs w:val="20"/>
        </w:rPr>
      </w:pPr>
    </w:p>
    <w:tbl>
      <w:tblPr>
        <w:tblStyle w:val="TableGrid"/>
        <w:tblW w:w="0" w:type="auto"/>
        <w:tblInd w:w="108" w:type="dxa"/>
        <w:tblLook w:val="04A0" w:firstRow="1" w:lastRow="0" w:firstColumn="1" w:lastColumn="0" w:noHBand="0" w:noVBand="1"/>
      </w:tblPr>
      <w:tblGrid>
        <w:gridCol w:w="10800"/>
      </w:tblGrid>
      <w:tr w:rsidR="00254217" w:rsidTr="00EE79CF">
        <w:tc>
          <w:tcPr>
            <w:tcW w:w="10800" w:type="dxa"/>
            <w:shd w:val="clear" w:color="auto" w:fill="DAEEF3" w:themeFill="accent5" w:themeFillTint="33"/>
          </w:tcPr>
          <w:p w:rsidR="00254217" w:rsidRPr="00254217" w:rsidRDefault="00254217" w:rsidP="00254217">
            <w:pPr>
              <w:spacing w:before="60" w:after="60"/>
              <w:jc w:val="center"/>
              <w:rPr>
                <w:b/>
                <w:i/>
                <w:sz w:val="20"/>
                <w:szCs w:val="20"/>
              </w:rPr>
            </w:pPr>
            <w:r w:rsidRPr="00254217">
              <w:rPr>
                <w:b/>
                <w:i/>
                <w:sz w:val="20"/>
                <w:szCs w:val="20"/>
              </w:rPr>
              <w:t>SUBMITTAL INFORMATION</w:t>
            </w:r>
          </w:p>
        </w:tc>
      </w:tr>
      <w:tr w:rsidR="00254217" w:rsidTr="00EE79CF">
        <w:tc>
          <w:tcPr>
            <w:tcW w:w="10800" w:type="dxa"/>
          </w:tcPr>
          <w:p w:rsidR="00254217" w:rsidRDefault="00254217" w:rsidP="00611647">
            <w:pPr>
              <w:tabs>
                <w:tab w:val="left" w:pos="351"/>
                <w:tab w:val="left" w:pos="711"/>
                <w:tab w:val="left" w:pos="1440"/>
              </w:tabs>
              <w:rPr>
                <w:sz w:val="20"/>
                <w:szCs w:val="20"/>
              </w:rPr>
            </w:pPr>
            <w:r w:rsidRPr="00254217">
              <w:rPr>
                <w:sz w:val="20"/>
                <w:szCs w:val="20"/>
              </w:rPr>
              <w:t>Submit the completed application:</w:t>
            </w:r>
          </w:p>
          <w:p w:rsidR="00D02269" w:rsidRPr="00254217" w:rsidRDefault="00D02269" w:rsidP="00611647">
            <w:pPr>
              <w:tabs>
                <w:tab w:val="left" w:pos="351"/>
                <w:tab w:val="left" w:pos="711"/>
                <w:tab w:val="left" w:pos="1440"/>
              </w:tabs>
              <w:rPr>
                <w:sz w:val="20"/>
                <w:szCs w:val="20"/>
              </w:rPr>
            </w:pPr>
          </w:p>
          <w:p w:rsidR="00254217" w:rsidRPr="00254217" w:rsidRDefault="00611647" w:rsidP="00611647">
            <w:pPr>
              <w:tabs>
                <w:tab w:val="left" w:pos="351"/>
                <w:tab w:val="left" w:pos="711"/>
                <w:tab w:val="left" w:pos="1440"/>
                <w:tab w:val="left" w:pos="2141"/>
              </w:tabs>
              <w:rPr>
                <w:sz w:val="20"/>
                <w:szCs w:val="20"/>
              </w:rPr>
            </w:pPr>
            <w:r>
              <w:rPr>
                <w:sz w:val="20"/>
                <w:szCs w:val="20"/>
              </w:rPr>
              <w:tab/>
              <w:t>♦</w:t>
            </w:r>
            <w:r>
              <w:rPr>
                <w:sz w:val="20"/>
                <w:szCs w:val="20"/>
              </w:rPr>
              <w:tab/>
              <w:t>b</w:t>
            </w:r>
            <w:r w:rsidR="00254217" w:rsidRPr="00254217">
              <w:rPr>
                <w:sz w:val="20"/>
                <w:szCs w:val="20"/>
              </w:rPr>
              <w:t>y mail to</w:t>
            </w:r>
            <w:r w:rsidR="00254217" w:rsidRPr="00254217">
              <w:rPr>
                <w:sz w:val="20"/>
                <w:szCs w:val="20"/>
              </w:rPr>
              <w:tab/>
            </w:r>
            <w:r w:rsidR="00254217" w:rsidRPr="00254217">
              <w:rPr>
                <w:sz w:val="20"/>
                <w:szCs w:val="20"/>
              </w:rPr>
              <w:tab/>
              <w:t>Regional Administrator, NMFS</w:t>
            </w:r>
          </w:p>
          <w:p w:rsidR="00254217" w:rsidRPr="00254217" w:rsidRDefault="00254217" w:rsidP="00611647">
            <w:pPr>
              <w:tabs>
                <w:tab w:val="left" w:pos="351"/>
                <w:tab w:val="left" w:pos="711"/>
                <w:tab w:val="left" w:pos="1440"/>
              </w:tabs>
              <w:rPr>
                <w:sz w:val="20"/>
                <w:szCs w:val="20"/>
              </w:rPr>
            </w:pPr>
            <w:r w:rsidRPr="00254217">
              <w:rPr>
                <w:sz w:val="20"/>
                <w:szCs w:val="20"/>
              </w:rPr>
              <w:tab/>
            </w:r>
            <w:r w:rsidRPr="00254217">
              <w:rPr>
                <w:sz w:val="20"/>
                <w:szCs w:val="20"/>
              </w:rPr>
              <w:tab/>
            </w:r>
            <w:r w:rsidRPr="00254217">
              <w:rPr>
                <w:sz w:val="20"/>
                <w:szCs w:val="20"/>
              </w:rPr>
              <w:tab/>
            </w:r>
            <w:r w:rsidRPr="00254217">
              <w:rPr>
                <w:sz w:val="20"/>
                <w:szCs w:val="20"/>
              </w:rPr>
              <w:tab/>
            </w:r>
            <w:r w:rsidR="00611647">
              <w:rPr>
                <w:sz w:val="20"/>
                <w:szCs w:val="20"/>
              </w:rPr>
              <w:t>P.O. Box 21668</w:t>
            </w:r>
          </w:p>
          <w:p w:rsidR="00254217" w:rsidRPr="00254217" w:rsidRDefault="00254217" w:rsidP="00611647">
            <w:pPr>
              <w:tabs>
                <w:tab w:val="left" w:pos="351"/>
                <w:tab w:val="left" w:pos="711"/>
                <w:tab w:val="left" w:pos="1440"/>
              </w:tabs>
              <w:rPr>
                <w:sz w:val="20"/>
                <w:szCs w:val="20"/>
              </w:rPr>
            </w:pPr>
            <w:r w:rsidRPr="00254217">
              <w:rPr>
                <w:sz w:val="20"/>
                <w:szCs w:val="20"/>
              </w:rPr>
              <w:tab/>
            </w:r>
            <w:r w:rsidRPr="00254217">
              <w:rPr>
                <w:sz w:val="20"/>
                <w:szCs w:val="20"/>
              </w:rPr>
              <w:tab/>
            </w:r>
            <w:r w:rsidRPr="00254217">
              <w:rPr>
                <w:sz w:val="20"/>
                <w:szCs w:val="20"/>
              </w:rPr>
              <w:tab/>
            </w:r>
            <w:r w:rsidRPr="00254217">
              <w:rPr>
                <w:sz w:val="20"/>
                <w:szCs w:val="20"/>
              </w:rPr>
              <w:tab/>
              <w:t>Juneau, AK 99802</w:t>
            </w:r>
          </w:p>
          <w:p w:rsidR="00254217" w:rsidRPr="00254217" w:rsidRDefault="00254217" w:rsidP="00611647">
            <w:pPr>
              <w:tabs>
                <w:tab w:val="left" w:pos="351"/>
                <w:tab w:val="left" w:pos="711"/>
                <w:tab w:val="left" w:pos="1440"/>
              </w:tabs>
              <w:rPr>
                <w:sz w:val="20"/>
                <w:szCs w:val="20"/>
              </w:rPr>
            </w:pPr>
            <w:r w:rsidRPr="00254217">
              <w:rPr>
                <w:sz w:val="20"/>
                <w:szCs w:val="20"/>
              </w:rPr>
              <w:tab/>
            </w:r>
            <w:r w:rsidRPr="00254217">
              <w:rPr>
                <w:sz w:val="20"/>
                <w:szCs w:val="20"/>
              </w:rPr>
              <w:tab/>
            </w:r>
          </w:p>
          <w:p w:rsidR="00254217" w:rsidRPr="00254217" w:rsidRDefault="00611647" w:rsidP="00611647">
            <w:pPr>
              <w:tabs>
                <w:tab w:val="left" w:pos="351"/>
                <w:tab w:val="left" w:pos="711"/>
                <w:tab w:val="left" w:pos="1440"/>
                <w:tab w:val="left" w:pos="2169"/>
              </w:tabs>
              <w:rPr>
                <w:sz w:val="20"/>
                <w:szCs w:val="20"/>
              </w:rPr>
            </w:pPr>
            <w:r>
              <w:rPr>
                <w:sz w:val="20"/>
                <w:szCs w:val="20"/>
              </w:rPr>
              <w:tab/>
              <w:t>♦</w:t>
            </w:r>
            <w:r>
              <w:rPr>
                <w:sz w:val="20"/>
                <w:szCs w:val="20"/>
              </w:rPr>
              <w:tab/>
            </w:r>
            <w:r w:rsidR="00254217" w:rsidRPr="00254217">
              <w:rPr>
                <w:sz w:val="20"/>
                <w:szCs w:val="20"/>
              </w:rPr>
              <w:t>by courier to</w:t>
            </w:r>
            <w:r>
              <w:rPr>
                <w:sz w:val="20"/>
                <w:szCs w:val="20"/>
              </w:rPr>
              <w:tab/>
            </w:r>
            <w:r w:rsidR="00254217" w:rsidRPr="00254217">
              <w:rPr>
                <w:sz w:val="20"/>
                <w:szCs w:val="20"/>
              </w:rPr>
              <w:t>Office of the Regional Administrator</w:t>
            </w:r>
          </w:p>
          <w:p w:rsidR="00254217" w:rsidRPr="00254217" w:rsidRDefault="00254217" w:rsidP="00611647">
            <w:pPr>
              <w:tabs>
                <w:tab w:val="left" w:pos="351"/>
                <w:tab w:val="left" w:pos="711"/>
                <w:tab w:val="left" w:pos="1440"/>
              </w:tabs>
              <w:rPr>
                <w:sz w:val="20"/>
                <w:szCs w:val="20"/>
              </w:rPr>
            </w:pPr>
            <w:r w:rsidRPr="00254217">
              <w:rPr>
                <w:sz w:val="20"/>
                <w:szCs w:val="20"/>
              </w:rPr>
              <w:tab/>
            </w:r>
            <w:r w:rsidRPr="00254217">
              <w:rPr>
                <w:sz w:val="20"/>
                <w:szCs w:val="20"/>
              </w:rPr>
              <w:tab/>
            </w:r>
            <w:r w:rsidRPr="00254217">
              <w:rPr>
                <w:sz w:val="20"/>
                <w:szCs w:val="20"/>
              </w:rPr>
              <w:tab/>
            </w:r>
            <w:r w:rsidRPr="00254217">
              <w:rPr>
                <w:sz w:val="20"/>
                <w:szCs w:val="20"/>
              </w:rPr>
              <w:tab/>
            </w:r>
            <w:r w:rsidR="00611647">
              <w:rPr>
                <w:sz w:val="20"/>
                <w:szCs w:val="20"/>
              </w:rPr>
              <w:t>709 West 9th Street</w:t>
            </w:r>
          </w:p>
          <w:p w:rsidR="00254217" w:rsidRPr="00254217" w:rsidRDefault="00254217" w:rsidP="00611647">
            <w:pPr>
              <w:tabs>
                <w:tab w:val="left" w:pos="351"/>
                <w:tab w:val="left" w:pos="711"/>
                <w:tab w:val="left" w:pos="1440"/>
              </w:tabs>
              <w:rPr>
                <w:sz w:val="20"/>
                <w:szCs w:val="20"/>
              </w:rPr>
            </w:pPr>
            <w:r w:rsidRPr="00254217">
              <w:rPr>
                <w:sz w:val="20"/>
                <w:szCs w:val="20"/>
              </w:rPr>
              <w:tab/>
            </w:r>
            <w:r w:rsidRPr="00254217">
              <w:rPr>
                <w:sz w:val="20"/>
                <w:szCs w:val="20"/>
              </w:rPr>
              <w:tab/>
            </w:r>
            <w:r w:rsidRPr="00254217">
              <w:rPr>
                <w:sz w:val="20"/>
                <w:szCs w:val="20"/>
              </w:rPr>
              <w:tab/>
            </w:r>
            <w:r w:rsidRPr="00254217">
              <w:rPr>
                <w:sz w:val="20"/>
                <w:szCs w:val="20"/>
              </w:rPr>
              <w:tab/>
              <w:t>Juneau, AK 99801</w:t>
            </w:r>
          </w:p>
          <w:p w:rsidR="00254217" w:rsidRPr="00254217" w:rsidRDefault="00254217" w:rsidP="00611647">
            <w:pPr>
              <w:tabs>
                <w:tab w:val="left" w:pos="351"/>
                <w:tab w:val="left" w:pos="711"/>
                <w:tab w:val="left" w:pos="1440"/>
              </w:tabs>
              <w:rPr>
                <w:sz w:val="20"/>
                <w:szCs w:val="20"/>
              </w:rPr>
            </w:pPr>
          </w:p>
          <w:p w:rsidR="00254217" w:rsidRPr="00254217" w:rsidRDefault="00254217" w:rsidP="00611647">
            <w:pPr>
              <w:tabs>
                <w:tab w:val="left" w:pos="351"/>
                <w:tab w:val="left" w:pos="711"/>
                <w:tab w:val="left" w:pos="1440"/>
              </w:tabs>
              <w:rPr>
                <w:sz w:val="20"/>
                <w:szCs w:val="20"/>
              </w:rPr>
            </w:pPr>
            <w:r w:rsidRPr="00254217">
              <w:rPr>
                <w:sz w:val="20"/>
                <w:szCs w:val="20"/>
              </w:rPr>
              <w:tab/>
            </w:r>
            <w:r w:rsidRPr="00254217">
              <w:rPr>
                <w:sz w:val="20"/>
                <w:szCs w:val="20"/>
              </w:rPr>
              <w:tab/>
              <w:t>The IPA may not be faxed to NMFS, because original signatures are required.</w:t>
            </w:r>
          </w:p>
          <w:p w:rsidR="00254217" w:rsidRPr="00254217" w:rsidRDefault="00254217" w:rsidP="00611647">
            <w:pPr>
              <w:tabs>
                <w:tab w:val="left" w:pos="351"/>
                <w:tab w:val="left" w:pos="711"/>
                <w:tab w:val="left" w:pos="1440"/>
              </w:tabs>
              <w:rPr>
                <w:sz w:val="20"/>
                <w:szCs w:val="20"/>
              </w:rPr>
            </w:pPr>
          </w:p>
          <w:p w:rsidR="00254217" w:rsidRDefault="00611647" w:rsidP="00611647">
            <w:pPr>
              <w:tabs>
                <w:tab w:val="left" w:pos="351"/>
                <w:tab w:val="left" w:pos="711"/>
                <w:tab w:val="left" w:pos="1440"/>
              </w:tabs>
              <w:spacing w:after="60"/>
              <w:rPr>
                <w:sz w:val="20"/>
                <w:szCs w:val="20"/>
              </w:rPr>
            </w:pPr>
            <w:r>
              <w:rPr>
                <w:sz w:val="20"/>
                <w:szCs w:val="20"/>
              </w:rPr>
              <w:t xml:space="preserve">For </w:t>
            </w:r>
            <w:r w:rsidR="00254217" w:rsidRPr="00254217">
              <w:rPr>
                <w:sz w:val="20"/>
                <w:szCs w:val="20"/>
              </w:rPr>
              <w:t>assistance, please call NMFS Sustainable Fisheries at 907-586-7228.</w:t>
            </w:r>
          </w:p>
        </w:tc>
      </w:tr>
    </w:tbl>
    <w:p w:rsidR="00254217" w:rsidRPr="00254217" w:rsidRDefault="00254217" w:rsidP="003206B6">
      <w:pPr>
        <w:rPr>
          <w:sz w:val="20"/>
          <w:szCs w:val="20"/>
        </w:rPr>
      </w:pPr>
    </w:p>
    <w:p w:rsidR="00EE79CF" w:rsidRDefault="00EE79CF">
      <w:pPr>
        <w:rPr>
          <w:b/>
          <w:i/>
          <w:sz w:val="20"/>
          <w:szCs w:val="20"/>
        </w:rPr>
      </w:pPr>
      <w:r>
        <w:rPr>
          <w:b/>
          <w:i/>
          <w:sz w:val="20"/>
          <w:szCs w:val="20"/>
        </w:rPr>
        <w:br w:type="page"/>
      </w:r>
    </w:p>
    <w:p w:rsidR="0055218C" w:rsidRDefault="0055218C" w:rsidP="003206B6">
      <w:pPr>
        <w:rPr>
          <w:b/>
          <w:i/>
          <w:sz w:val="20"/>
          <w:szCs w:val="20"/>
        </w:rPr>
      </w:pPr>
    </w:p>
    <w:p w:rsidR="00A0258B" w:rsidRPr="00465048" w:rsidRDefault="003206B6" w:rsidP="003206B6">
      <w:pPr>
        <w:rPr>
          <w:sz w:val="18"/>
          <w:szCs w:val="18"/>
        </w:rPr>
      </w:pPr>
      <w:r w:rsidRPr="003D52B1">
        <w:rPr>
          <w:b/>
          <w:i/>
          <w:sz w:val="20"/>
          <w:szCs w:val="20"/>
        </w:rPr>
        <w:t>___________________________________________________________________________________________________</w:t>
      </w:r>
      <w:r w:rsidR="003D52B1">
        <w:rPr>
          <w:b/>
          <w:i/>
          <w:sz w:val="20"/>
          <w:szCs w:val="20"/>
        </w:rPr>
        <w:t>________</w:t>
      </w:r>
    </w:p>
    <w:p w:rsidR="003D52B1" w:rsidRDefault="003D52B1" w:rsidP="00A0258B">
      <w:pPr>
        <w:jc w:val="center"/>
        <w:rPr>
          <w:b/>
          <w:i/>
          <w:sz w:val="20"/>
          <w:szCs w:val="20"/>
        </w:rPr>
      </w:pPr>
    </w:p>
    <w:p w:rsidR="00A0258B" w:rsidRPr="003D52B1" w:rsidRDefault="00A0258B" w:rsidP="00A0258B">
      <w:pPr>
        <w:jc w:val="center"/>
        <w:rPr>
          <w:b/>
          <w:i/>
          <w:sz w:val="20"/>
          <w:szCs w:val="20"/>
        </w:rPr>
      </w:pPr>
      <w:r w:rsidRPr="003D52B1">
        <w:rPr>
          <w:b/>
          <w:i/>
          <w:sz w:val="20"/>
          <w:szCs w:val="20"/>
        </w:rPr>
        <w:t>PUBLIC REPORTING BURDEN STATEMENT</w:t>
      </w:r>
    </w:p>
    <w:p w:rsidR="00A0258B" w:rsidRPr="003D52B1" w:rsidRDefault="00A0258B" w:rsidP="00012121">
      <w:pPr>
        <w:rPr>
          <w:sz w:val="20"/>
          <w:szCs w:val="20"/>
        </w:rPr>
      </w:pPr>
      <w:r w:rsidRPr="003D52B1">
        <w:rPr>
          <w:sz w:val="20"/>
          <w:szCs w:val="20"/>
        </w:rPr>
        <w:t xml:space="preserve">Public reporting burden for this collection-of-information is estimated to average </w:t>
      </w:r>
      <w:r w:rsidR="007C7B64" w:rsidRPr="003D52B1">
        <w:rPr>
          <w:sz w:val="20"/>
          <w:szCs w:val="20"/>
        </w:rPr>
        <w:t>40</w:t>
      </w:r>
      <w:r w:rsidRPr="003D52B1">
        <w:rPr>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3D52B1">
        <w:rPr>
          <w:sz w:val="20"/>
          <w:szCs w:val="20"/>
        </w:rPr>
        <w:t>P.O</w:t>
      </w:r>
      <w:proofErr w:type="gramEnd"/>
      <w:r w:rsidRPr="003D52B1">
        <w:rPr>
          <w:sz w:val="20"/>
          <w:szCs w:val="20"/>
        </w:rPr>
        <w:t>. Box 21668, Juneau, AK 99802-1668.</w:t>
      </w:r>
    </w:p>
    <w:p w:rsidR="00A0258B" w:rsidRPr="003D52B1" w:rsidRDefault="00A0258B" w:rsidP="00012121">
      <w:pPr>
        <w:rPr>
          <w:sz w:val="20"/>
          <w:szCs w:val="20"/>
        </w:rPr>
      </w:pPr>
    </w:p>
    <w:p w:rsidR="00A0258B" w:rsidRPr="003D52B1" w:rsidRDefault="00A0258B" w:rsidP="00A0258B">
      <w:pPr>
        <w:jc w:val="center"/>
        <w:rPr>
          <w:b/>
          <w:i/>
          <w:sz w:val="20"/>
          <w:szCs w:val="20"/>
        </w:rPr>
      </w:pPr>
      <w:r w:rsidRPr="003D52B1">
        <w:rPr>
          <w:b/>
          <w:i/>
          <w:sz w:val="20"/>
          <w:szCs w:val="20"/>
        </w:rPr>
        <w:t>ADDITIONAL INFORMATION</w:t>
      </w:r>
    </w:p>
    <w:p w:rsidR="00A0258B" w:rsidRPr="003D52B1" w:rsidRDefault="00A0258B" w:rsidP="00A0258B">
      <w:pPr>
        <w:rPr>
          <w:sz w:val="20"/>
          <w:szCs w:val="20"/>
        </w:rPr>
      </w:pPr>
      <w:r w:rsidRPr="003D52B1">
        <w:rPr>
          <w:sz w:val="20"/>
          <w:szCs w:val="20"/>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3D52B1">
        <w:rPr>
          <w:i/>
          <w:sz w:val="20"/>
          <w:szCs w:val="20"/>
        </w:rPr>
        <w:t>et seq</w:t>
      </w:r>
      <w:r w:rsidR="00465048">
        <w:rPr>
          <w:sz w:val="20"/>
          <w:szCs w:val="20"/>
        </w:rPr>
        <w:t>.)</w:t>
      </w:r>
      <w:r w:rsidRPr="003D52B1">
        <w:rPr>
          <w:sz w:val="20"/>
          <w:szCs w:val="20"/>
        </w:rPr>
        <w:t xml:space="preserve">; 3) Responses to this information request are confidential under section 402(b) of the Magnuson-Stevens Act as </w:t>
      </w:r>
      <w:r w:rsidR="00465048">
        <w:rPr>
          <w:sz w:val="20"/>
          <w:szCs w:val="20"/>
        </w:rPr>
        <w:t>amended</w:t>
      </w:r>
      <w:r w:rsidRPr="003D52B1">
        <w:rPr>
          <w:sz w:val="20"/>
          <w:szCs w:val="20"/>
        </w:rPr>
        <w:t xml:space="preserve"> in 2006. They are also confidential under NOAA Administrative Order 216-100, which sets forth procedures to protect confidentiality of fishery statistics.</w:t>
      </w:r>
    </w:p>
    <w:p w:rsidR="00A0258B" w:rsidRPr="003D52B1" w:rsidRDefault="00A0258B" w:rsidP="00A0258B">
      <w:pPr>
        <w:rPr>
          <w:sz w:val="20"/>
          <w:szCs w:val="20"/>
        </w:rPr>
      </w:pPr>
      <w:r w:rsidRPr="003D52B1">
        <w:rPr>
          <w:sz w:val="20"/>
          <w:szCs w:val="20"/>
        </w:rPr>
        <w:t>____________________________________________________________________________________________________________</w:t>
      </w:r>
    </w:p>
    <w:p w:rsidR="003A7EA8" w:rsidRPr="00254217" w:rsidRDefault="003A7EA8" w:rsidP="00254217">
      <w:pPr>
        <w:rPr>
          <w:sz w:val="18"/>
          <w:szCs w:val="18"/>
        </w:rPr>
      </w:pPr>
      <w:bookmarkStart w:id="0" w:name="_GoBack"/>
      <w:bookmarkEnd w:id="0"/>
    </w:p>
    <w:sectPr w:rsidR="003A7EA8" w:rsidRPr="00254217" w:rsidSect="0006202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5A1" w:rsidRDefault="001905A1">
      <w:r>
        <w:separator/>
      </w:r>
    </w:p>
  </w:endnote>
  <w:endnote w:type="continuationSeparator" w:id="0">
    <w:p w:rsidR="001905A1" w:rsidRDefault="0019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22B" w:rsidRDefault="009E722B" w:rsidP="00062020">
    <w:pPr>
      <w:pStyle w:val="Footer"/>
      <w:jc w:val="center"/>
      <w:rPr>
        <w:sz w:val="20"/>
        <w:szCs w:val="20"/>
      </w:rPr>
    </w:pPr>
    <w:r>
      <w:rPr>
        <w:sz w:val="20"/>
        <w:szCs w:val="20"/>
      </w:rPr>
      <w:t xml:space="preserve">Request </w:t>
    </w:r>
    <w:r w:rsidR="007C7B64">
      <w:rPr>
        <w:sz w:val="20"/>
        <w:szCs w:val="20"/>
      </w:rPr>
      <w:t>for</w:t>
    </w:r>
    <w:r>
      <w:rPr>
        <w:sz w:val="20"/>
        <w:szCs w:val="20"/>
      </w:rPr>
      <w:t xml:space="preserve"> Approval</w:t>
    </w:r>
  </w:p>
  <w:p w:rsidR="007C7B64" w:rsidRPr="00062020" w:rsidRDefault="009E722B" w:rsidP="00062020">
    <w:pPr>
      <w:pStyle w:val="Footer"/>
      <w:jc w:val="center"/>
      <w:rPr>
        <w:sz w:val="20"/>
        <w:szCs w:val="20"/>
      </w:rPr>
    </w:pPr>
    <w:r>
      <w:rPr>
        <w:sz w:val="20"/>
        <w:szCs w:val="20"/>
      </w:rPr>
      <w:t>Incentive Plan</w:t>
    </w:r>
    <w:r w:rsidR="003A4D54">
      <w:rPr>
        <w:sz w:val="20"/>
        <w:szCs w:val="20"/>
      </w:rPr>
      <w:t xml:space="preserve"> Agreement (IPA)</w:t>
    </w:r>
  </w:p>
  <w:p w:rsidR="007C7B64" w:rsidRDefault="007C7B64" w:rsidP="00062020">
    <w:pPr>
      <w:pStyle w:val="Footer"/>
      <w:jc w:val="center"/>
    </w:pPr>
    <w:r w:rsidRPr="00062020">
      <w:rPr>
        <w:sz w:val="20"/>
        <w:szCs w:val="20"/>
      </w:rPr>
      <w:t xml:space="preserve">Page </w:t>
    </w:r>
    <w:r w:rsidRPr="00062020">
      <w:rPr>
        <w:b/>
        <w:sz w:val="20"/>
        <w:szCs w:val="20"/>
      </w:rPr>
      <w:fldChar w:fldCharType="begin"/>
    </w:r>
    <w:r w:rsidRPr="00062020">
      <w:rPr>
        <w:b/>
        <w:sz w:val="20"/>
        <w:szCs w:val="20"/>
      </w:rPr>
      <w:instrText xml:space="preserve"> PAGE </w:instrText>
    </w:r>
    <w:r w:rsidRPr="00062020">
      <w:rPr>
        <w:b/>
        <w:sz w:val="20"/>
        <w:szCs w:val="20"/>
      </w:rPr>
      <w:fldChar w:fldCharType="separate"/>
    </w:r>
    <w:r w:rsidR="00D02269">
      <w:rPr>
        <w:b/>
        <w:noProof/>
        <w:sz w:val="20"/>
        <w:szCs w:val="20"/>
      </w:rPr>
      <w:t>3</w:t>
    </w:r>
    <w:r w:rsidRPr="00062020">
      <w:rPr>
        <w:b/>
        <w:sz w:val="20"/>
        <w:szCs w:val="20"/>
      </w:rPr>
      <w:fldChar w:fldCharType="end"/>
    </w:r>
    <w:r w:rsidRPr="00062020">
      <w:rPr>
        <w:sz w:val="20"/>
        <w:szCs w:val="20"/>
      </w:rPr>
      <w:t xml:space="preserve"> of </w:t>
    </w:r>
    <w:r w:rsidRPr="00062020">
      <w:rPr>
        <w:b/>
        <w:sz w:val="20"/>
        <w:szCs w:val="20"/>
      </w:rPr>
      <w:fldChar w:fldCharType="begin"/>
    </w:r>
    <w:r w:rsidRPr="00062020">
      <w:rPr>
        <w:b/>
        <w:sz w:val="20"/>
        <w:szCs w:val="20"/>
      </w:rPr>
      <w:instrText xml:space="preserve"> NUMPAGES  </w:instrText>
    </w:r>
    <w:r w:rsidRPr="00062020">
      <w:rPr>
        <w:b/>
        <w:sz w:val="20"/>
        <w:szCs w:val="20"/>
      </w:rPr>
      <w:fldChar w:fldCharType="separate"/>
    </w:r>
    <w:r w:rsidR="00D02269">
      <w:rPr>
        <w:b/>
        <w:noProof/>
        <w:sz w:val="20"/>
        <w:szCs w:val="20"/>
      </w:rPr>
      <w:t>3</w:t>
    </w:r>
    <w:r w:rsidRPr="00062020">
      <w:rPr>
        <w:b/>
        <w:sz w:val="20"/>
        <w:szCs w:val="20"/>
      </w:rPr>
      <w:fldChar w:fldCharType="end"/>
    </w:r>
  </w:p>
  <w:p w:rsidR="007C7B64" w:rsidRDefault="007C7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5A1" w:rsidRDefault="001905A1">
      <w:r>
        <w:separator/>
      </w:r>
    </w:p>
  </w:footnote>
  <w:footnote w:type="continuationSeparator" w:id="0">
    <w:p w:rsidR="001905A1" w:rsidRDefault="00190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52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1">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2">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3">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4">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5">
    <w:nsid w:val="66D65F1C"/>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6">
    <w:nsid w:val="6D366E15"/>
    <w:multiLevelType w:val="singleLevel"/>
    <w:tmpl w:val="967EE9FC"/>
    <w:lvl w:ilvl="0">
      <w:start w:val="1"/>
      <w:numFmt w:val="decimal"/>
      <w:lvlText w:val="%1."/>
      <w:legacy w:legacy="1" w:legacySpace="0" w:legacyIndent="1"/>
      <w:lvlJc w:val="left"/>
      <w:pPr>
        <w:ind w:left="1" w:hanging="1"/>
      </w:pPr>
      <w:rPr>
        <w:rFonts w:ascii="Times New Roman" w:hAnsi="Times New Roman" w:hint="default"/>
        <w:b w:val="0"/>
        <w:i w:val="0"/>
      </w:rPr>
    </w:lvl>
  </w:abstractNum>
  <w:abstractNum w:abstractNumId="7">
    <w:nsid w:val="7C9128D5"/>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C4"/>
    <w:rsid w:val="00012121"/>
    <w:rsid w:val="00017CD7"/>
    <w:rsid w:val="00022135"/>
    <w:rsid w:val="000530EC"/>
    <w:rsid w:val="00062020"/>
    <w:rsid w:val="00084C9F"/>
    <w:rsid w:val="00092CCB"/>
    <w:rsid w:val="000B5468"/>
    <w:rsid w:val="000C476F"/>
    <w:rsid w:val="000D00D1"/>
    <w:rsid w:val="000F5FC5"/>
    <w:rsid w:val="000F7EE1"/>
    <w:rsid w:val="00102D37"/>
    <w:rsid w:val="00130944"/>
    <w:rsid w:val="00131FAE"/>
    <w:rsid w:val="00133227"/>
    <w:rsid w:val="00136DE5"/>
    <w:rsid w:val="00136E6E"/>
    <w:rsid w:val="001524EA"/>
    <w:rsid w:val="001905A1"/>
    <w:rsid w:val="00196CC4"/>
    <w:rsid w:val="002027E3"/>
    <w:rsid w:val="00204F73"/>
    <w:rsid w:val="00205937"/>
    <w:rsid w:val="00205B6B"/>
    <w:rsid w:val="00206A79"/>
    <w:rsid w:val="0024527B"/>
    <w:rsid w:val="00254217"/>
    <w:rsid w:val="00275C25"/>
    <w:rsid w:val="00281599"/>
    <w:rsid w:val="00296E91"/>
    <w:rsid w:val="00297577"/>
    <w:rsid w:val="002A7ED6"/>
    <w:rsid w:val="002B1C3C"/>
    <w:rsid w:val="002C3706"/>
    <w:rsid w:val="003206B6"/>
    <w:rsid w:val="0032266D"/>
    <w:rsid w:val="00331DB9"/>
    <w:rsid w:val="00343363"/>
    <w:rsid w:val="00381371"/>
    <w:rsid w:val="0038752C"/>
    <w:rsid w:val="00390B04"/>
    <w:rsid w:val="003A4D54"/>
    <w:rsid w:val="003A7EA8"/>
    <w:rsid w:val="003B4F37"/>
    <w:rsid w:val="003D52B1"/>
    <w:rsid w:val="003D70BC"/>
    <w:rsid w:val="00452FD3"/>
    <w:rsid w:val="004537EE"/>
    <w:rsid w:val="00455E15"/>
    <w:rsid w:val="00457138"/>
    <w:rsid w:val="004625D0"/>
    <w:rsid w:val="00465048"/>
    <w:rsid w:val="004756A5"/>
    <w:rsid w:val="004853A6"/>
    <w:rsid w:val="0049606A"/>
    <w:rsid w:val="00496AFB"/>
    <w:rsid w:val="004A1601"/>
    <w:rsid w:val="004B2420"/>
    <w:rsid w:val="004C1247"/>
    <w:rsid w:val="004C4D9C"/>
    <w:rsid w:val="004D108D"/>
    <w:rsid w:val="004D28AB"/>
    <w:rsid w:val="004E17AB"/>
    <w:rsid w:val="004E6175"/>
    <w:rsid w:val="004E7AE6"/>
    <w:rsid w:val="004F1A3F"/>
    <w:rsid w:val="0051668B"/>
    <w:rsid w:val="0052767A"/>
    <w:rsid w:val="005449A6"/>
    <w:rsid w:val="0055038A"/>
    <w:rsid w:val="0055218C"/>
    <w:rsid w:val="00561168"/>
    <w:rsid w:val="0057005E"/>
    <w:rsid w:val="00571F28"/>
    <w:rsid w:val="00572D18"/>
    <w:rsid w:val="00576A23"/>
    <w:rsid w:val="00597505"/>
    <w:rsid w:val="005A30F5"/>
    <w:rsid w:val="005B22ED"/>
    <w:rsid w:val="005B7B57"/>
    <w:rsid w:val="005E31D0"/>
    <w:rsid w:val="005F0910"/>
    <w:rsid w:val="005F1CBE"/>
    <w:rsid w:val="005F4C11"/>
    <w:rsid w:val="00605545"/>
    <w:rsid w:val="00611647"/>
    <w:rsid w:val="0062085D"/>
    <w:rsid w:val="00622DE9"/>
    <w:rsid w:val="006349B0"/>
    <w:rsid w:val="00652316"/>
    <w:rsid w:val="00652EC8"/>
    <w:rsid w:val="00671780"/>
    <w:rsid w:val="00672313"/>
    <w:rsid w:val="006757E3"/>
    <w:rsid w:val="006903E5"/>
    <w:rsid w:val="006A6FB8"/>
    <w:rsid w:val="006E21EA"/>
    <w:rsid w:val="006E3794"/>
    <w:rsid w:val="006F25EF"/>
    <w:rsid w:val="006F47B9"/>
    <w:rsid w:val="006F77CD"/>
    <w:rsid w:val="007075E4"/>
    <w:rsid w:val="0071338D"/>
    <w:rsid w:val="00727F9C"/>
    <w:rsid w:val="00744544"/>
    <w:rsid w:val="00774CD3"/>
    <w:rsid w:val="00780129"/>
    <w:rsid w:val="007825DC"/>
    <w:rsid w:val="00782D67"/>
    <w:rsid w:val="007A3C74"/>
    <w:rsid w:val="007A5756"/>
    <w:rsid w:val="007C6086"/>
    <w:rsid w:val="007C7B64"/>
    <w:rsid w:val="007F3DC5"/>
    <w:rsid w:val="0080301B"/>
    <w:rsid w:val="00821521"/>
    <w:rsid w:val="008310B1"/>
    <w:rsid w:val="008428C5"/>
    <w:rsid w:val="008619F6"/>
    <w:rsid w:val="008738DD"/>
    <w:rsid w:val="0088036A"/>
    <w:rsid w:val="00896969"/>
    <w:rsid w:val="008A4564"/>
    <w:rsid w:val="008C258E"/>
    <w:rsid w:val="008C7B52"/>
    <w:rsid w:val="00903DC4"/>
    <w:rsid w:val="009173A6"/>
    <w:rsid w:val="00920E51"/>
    <w:rsid w:val="00926B4E"/>
    <w:rsid w:val="00934908"/>
    <w:rsid w:val="009516F8"/>
    <w:rsid w:val="00954244"/>
    <w:rsid w:val="00961387"/>
    <w:rsid w:val="00966770"/>
    <w:rsid w:val="00972A3E"/>
    <w:rsid w:val="009957DD"/>
    <w:rsid w:val="009A6FFF"/>
    <w:rsid w:val="009B2F7E"/>
    <w:rsid w:val="009D00D7"/>
    <w:rsid w:val="009E151B"/>
    <w:rsid w:val="009E2DC9"/>
    <w:rsid w:val="009E722B"/>
    <w:rsid w:val="009F641C"/>
    <w:rsid w:val="00A0258B"/>
    <w:rsid w:val="00A228BE"/>
    <w:rsid w:val="00A25CBE"/>
    <w:rsid w:val="00A32E60"/>
    <w:rsid w:val="00A5684F"/>
    <w:rsid w:val="00A60F90"/>
    <w:rsid w:val="00A66EFE"/>
    <w:rsid w:val="00A95EF0"/>
    <w:rsid w:val="00AA23ED"/>
    <w:rsid w:val="00AB25BB"/>
    <w:rsid w:val="00AB48DB"/>
    <w:rsid w:val="00AC0437"/>
    <w:rsid w:val="00AD45EC"/>
    <w:rsid w:val="00AD5FE8"/>
    <w:rsid w:val="00AD6549"/>
    <w:rsid w:val="00AE04F8"/>
    <w:rsid w:val="00AE4A87"/>
    <w:rsid w:val="00AF0B3F"/>
    <w:rsid w:val="00B01C1C"/>
    <w:rsid w:val="00B44FA1"/>
    <w:rsid w:val="00B4625E"/>
    <w:rsid w:val="00B52542"/>
    <w:rsid w:val="00B65CC2"/>
    <w:rsid w:val="00B83739"/>
    <w:rsid w:val="00B84F0E"/>
    <w:rsid w:val="00B92DDE"/>
    <w:rsid w:val="00BB5C8F"/>
    <w:rsid w:val="00BD1057"/>
    <w:rsid w:val="00BE5C58"/>
    <w:rsid w:val="00BE77CC"/>
    <w:rsid w:val="00BF43D4"/>
    <w:rsid w:val="00C1438F"/>
    <w:rsid w:val="00C14B23"/>
    <w:rsid w:val="00C22093"/>
    <w:rsid w:val="00C40B16"/>
    <w:rsid w:val="00C64AFA"/>
    <w:rsid w:val="00C7200F"/>
    <w:rsid w:val="00C77AFD"/>
    <w:rsid w:val="00C80CA4"/>
    <w:rsid w:val="00C851FA"/>
    <w:rsid w:val="00CF1441"/>
    <w:rsid w:val="00CF56A7"/>
    <w:rsid w:val="00D02269"/>
    <w:rsid w:val="00D35526"/>
    <w:rsid w:val="00D55AB9"/>
    <w:rsid w:val="00D631EA"/>
    <w:rsid w:val="00D72F7F"/>
    <w:rsid w:val="00D905AB"/>
    <w:rsid w:val="00D94FA2"/>
    <w:rsid w:val="00DC23A7"/>
    <w:rsid w:val="00DC7AFF"/>
    <w:rsid w:val="00DE35D1"/>
    <w:rsid w:val="00DE5139"/>
    <w:rsid w:val="00E07639"/>
    <w:rsid w:val="00E2004C"/>
    <w:rsid w:val="00E25ABF"/>
    <w:rsid w:val="00E415C4"/>
    <w:rsid w:val="00E520E0"/>
    <w:rsid w:val="00E66958"/>
    <w:rsid w:val="00E669BE"/>
    <w:rsid w:val="00E876AF"/>
    <w:rsid w:val="00ED3104"/>
    <w:rsid w:val="00EE79CF"/>
    <w:rsid w:val="00EF790A"/>
    <w:rsid w:val="00F02F6C"/>
    <w:rsid w:val="00F04521"/>
    <w:rsid w:val="00F62AB2"/>
    <w:rsid w:val="00F63248"/>
    <w:rsid w:val="00F85EC3"/>
    <w:rsid w:val="00F86F85"/>
    <w:rsid w:val="00FA4DD4"/>
    <w:rsid w:val="00FE0A96"/>
    <w:rsid w:val="00FE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link w:val="FooterChar"/>
    <w:uiPriority w:val="99"/>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table" w:styleId="TableGrid">
    <w:name w:val="Table Grid"/>
    <w:basedOn w:val="TableNormal"/>
    <w:rsid w:val="0052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72F7F"/>
    <w:rPr>
      <w:sz w:val="24"/>
      <w:szCs w:val="24"/>
    </w:rPr>
  </w:style>
  <w:style w:type="paragraph" w:styleId="BalloonText">
    <w:name w:val="Balloon Text"/>
    <w:basedOn w:val="Normal"/>
    <w:link w:val="BalloonTextChar"/>
    <w:rsid w:val="00D72F7F"/>
    <w:rPr>
      <w:rFonts w:ascii="Tahoma" w:hAnsi="Tahoma" w:cs="Tahoma"/>
      <w:sz w:val="16"/>
      <w:szCs w:val="16"/>
    </w:rPr>
  </w:style>
  <w:style w:type="character" w:customStyle="1" w:styleId="BalloonTextChar">
    <w:name w:val="Balloon Text Char"/>
    <w:basedOn w:val="DefaultParagraphFont"/>
    <w:link w:val="BalloonText"/>
    <w:rsid w:val="00D72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link w:val="FooterChar"/>
    <w:uiPriority w:val="99"/>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table" w:styleId="TableGrid">
    <w:name w:val="Table Grid"/>
    <w:basedOn w:val="TableNormal"/>
    <w:rsid w:val="0052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72F7F"/>
    <w:rPr>
      <w:sz w:val="24"/>
      <w:szCs w:val="24"/>
    </w:rPr>
  </w:style>
  <w:style w:type="paragraph" w:styleId="BalloonText">
    <w:name w:val="Balloon Text"/>
    <w:basedOn w:val="Normal"/>
    <w:link w:val="BalloonTextChar"/>
    <w:rsid w:val="00D72F7F"/>
    <w:rPr>
      <w:rFonts w:ascii="Tahoma" w:hAnsi="Tahoma" w:cs="Tahoma"/>
      <w:sz w:val="16"/>
      <w:szCs w:val="16"/>
    </w:rPr>
  </w:style>
  <w:style w:type="character" w:customStyle="1" w:styleId="BalloonTextChar">
    <w:name w:val="Balloon Text Char"/>
    <w:basedOn w:val="DefaultParagraphFont"/>
    <w:link w:val="BalloonText"/>
    <w:rsid w:val="00D72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1296</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16</cp:revision>
  <cp:lastPrinted>2009-12-17T22:58:00Z</cp:lastPrinted>
  <dcterms:created xsi:type="dcterms:W3CDTF">2015-12-24T18:44:00Z</dcterms:created>
  <dcterms:modified xsi:type="dcterms:W3CDTF">2015-12-24T20:05:00Z</dcterms:modified>
</cp:coreProperties>
</file>