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1FBDC" w14:textId="77777777" w:rsidR="00CA557D" w:rsidRDefault="00CA557D" w:rsidP="00CA557D">
      <w:pPr>
        <w:spacing w:before="100" w:beforeAutospacing="1" w:after="100" w:afterAutospacing="1"/>
      </w:pPr>
      <w:bookmarkStart w:id="0" w:name="_GoBack"/>
      <w:bookmarkEnd w:id="0"/>
      <w:r w:rsidRPr="000E36BA">
        <w:t>B.</w:t>
      </w:r>
      <w:r w:rsidRPr="000E36BA">
        <w:tab/>
        <w:t>Statistical Methods (used for collection of information employing statistical methods)</w:t>
      </w:r>
    </w:p>
    <w:p w14:paraId="5B47FDFD" w14:textId="77777777" w:rsidR="00B0212F" w:rsidRDefault="00CA557D" w:rsidP="00C816ED">
      <w:pPr>
        <w:widowControl w:val="0"/>
        <w:numPr>
          <w:ilvl w:val="0"/>
          <w:numId w:val="1"/>
        </w:numPr>
        <w:autoSpaceDE w:val="0"/>
        <w:autoSpaceDN w:val="0"/>
        <w:adjustRightInd w:val="0"/>
        <w:spacing w:before="100" w:beforeAutospacing="1" w:after="100" w:afterAutospacing="1"/>
      </w:pPr>
      <w:r w:rsidRPr="00307250">
        <w:rPr>
          <w:u w:val="single"/>
        </w:rPr>
        <w:t>Respondent Universe and Sampling Methods</w:t>
      </w:r>
    </w:p>
    <w:p w14:paraId="6F42D6A8" w14:textId="3B4BEC4D" w:rsidR="008F30B8" w:rsidRPr="00D631DF" w:rsidRDefault="008F30B8" w:rsidP="00D631D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300" w:lineRule="exact"/>
        <w:rPr>
          <w:rFonts w:asciiTheme="minorBidi" w:hAnsiTheme="minorBidi" w:cstheme="minorBidi"/>
        </w:rPr>
      </w:pPr>
      <w:r w:rsidRPr="00D631DF">
        <w:rPr>
          <w:rFonts w:asciiTheme="minorBidi" w:hAnsiTheme="minorBidi" w:cstheme="minorBidi"/>
        </w:rPr>
        <w:t xml:space="preserve">Participants will be recruited by professional recruitment facilities in Raleigh, NC (pre-test and main study) and the Washington, DC area (cognitive interviews). Each facility will contact individuals listed in their internal database that have agreed to participate in occasional studies on various topics.  These firms will identify promising individuals, screen them for eligibility by phone, and invite eligible individuals to participate in the study on pre-determined days. </w:t>
      </w:r>
    </w:p>
    <w:p w14:paraId="3252689A" w14:textId="0D98CC85" w:rsidR="008F30B8" w:rsidRPr="00D631DF" w:rsidRDefault="008F30B8" w:rsidP="00D631D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300" w:lineRule="exact"/>
        <w:rPr>
          <w:rFonts w:asciiTheme="minorBidi" w:hAnsiTheme="minorBidi" w:cstheme="minorBidi"/>
        </w:rPr>
      </w:pPr>
      <w:r w:rsidRPr="00D631DF">
        <w:rPr>
          <w:rFonts w:asciiTheme="minorBidi" w:hAnsiTheme="minorBidi" w:cstheme="minorBidi"/>
        </w:rPr>
        <w:t xml:space="preserve">Recruitment for the pre-test and main study in Raleigh, NC will be from the general population, with participants meeting </w:t>
      </w:r>
      <w:r w:rsidR="00B4529A" w:rsidRPr="00D631DF">
        <w:rPr>
          <w:rFonts w:asciiTheme="minorBidi" w:hAnsiTheme="minorBidi" w:cstheme="minorBidi"/>
        </w:rPr>
        <w:t>in the following age groups</w:t>
      </w:r>
      <w:r w:rsidRPr="00D631DF">
        <w:rPr>
          <w:rFonts w:asciiTheme="minorBidi" w:hAnsiTheme="minorBidi" w:cstheme="minorBidi"/>
        </w:rPr>
        <w:t>: 18-25 years, 40-50 years, 60-74 years, or over 75 years old</w:t>
      </w:r>
      <w:r w:rsidR="00B4529A" w:rsidRPr="00D631DF">
        <w:rPr>
          <w:rFonts w:asciiTheme="minorBidi" w:hAnsiTheme="minorBidi" w:cstheme="minorBidi"/>
        </w:rPr>
        <w:t xml:space="preserve">, with sample sizes for each determined by </w:t>
      </w:r>
      <w:r w:rsidRPr="00D631DF">
        <w:rPr>
          <w:rFonts w:asciiTheme="minorBidi" w:hAnsiTheme="minorBidi" w:cstheme="minorBidi"/>
        </w:rPr>
        <w:t>the</w:t>
      </w:r>
      <w:r w:rsidR="00B4529A" w:rsidRPr="00D631DF">
        <w:rPr>
          <w:rFonts w:asciiTheme="minorBidi" w:hAnsiTheme="minorBidi" w:cstheme="minorBidi"/>
        </w:rPr>
        <w:t xml:space="preserve"> breakout described in Table 1 below</w:t>
      </w:r>
      <w:r w:rsidR="009E6E41">
        <w:rPr>
          <w:rFonts w:asciiTheme="minorBidi" w:hAnsiTheme="minorBidi" w:cstheme="minorBidi"/>
        </w:rPr>
        <w:t>.</w:t>
      </w:r>
      <w:r w:rsidRPr="00D631DF">
        <w:rPr>
          <w:rFonts w:asciiTheme="minorBidi" w:hAnsiTheme="minorBidi" w:cstheme="minorBidi"/>
        </w:rPr>
        <w:t xml:space="preserve"> </w:t>
      </w:r>
    </w:p>
    <w:p w14:paraId="24D528C9" w14:textId="5BB6D99A" w:rsidR="00B4529A" w:rsidRPr="00D631DF" w:rsidRDefault="008F30B8" w:rsidP="00D631D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300" w:lineRule="exact"/>
        <w:rPr>
          <w:rFonts w:asciiTheme="minorBidi" w:hAnsiTheme="minorBidi" w:cstheme="minorBidi"/>
        </w:rPr>
      </w:pPr>
      <w:r w:rsidRPr="00D631DF">
        <w:rPr>
          <w:rFonts w:asciiTheme="minorBidi" w:hAnsiTheme="minorBidi" w:cstheme="minorBidi"/>
        </w:rPr>
        <w:t xml:space="preserve">Recruitment for the cognitive interviews in the Washington, DC area will be from the general population, with participants </w:t>
      </w:r>
      <w:r w:rsidR="00F46038" w:rsidRPr="00D631DF">
        <w:rPr>
          <w:rFonts w:asciiTheme="minorBidi" w:hAnsiTheme="minorBidi" w:cstheme="minorBidi"/>
        </w:rPr>
        <w:t>in the following age groups:</w:t>
      </w:r>
      <w:r w:rsidR="00B4529A" w:rsidRPr="00D631DF">
        <w:rPr>
          <w:rFonts w:asciiTheme="minorBidi" w:hAnsiTheme="minorBidi" w:cstheme="minorBidi"/>
        </w:rPr>
        <w:t xml:space="preserve"> 18-25 years or 60-74 years. </w:t>
      </w:r>
    </w:p>
    <w:p w14:paraId="4DF931C1" w14:textId="490AE255" w:rsidR="00B4529A" w:rsidRPr="00D631DF" w:rsidRDefault="00B4529A" w:rsidP="00D631D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300" w:lineRule="exact"/>
        <w:rPr>
          <w:rFonts w:asciiTheme="minorBidi" w:hAnsiTheme="minorBidi" w:cstheme="minorBidi"/>
        </w:rPr>
      </w:pPr>
      <w:r w:rsidRPr="00D631DF">
        <w:rPr>
          <w:rFonts w:asciiTheme="minorBidi" w:hAnsiTheme="minorBidi" w:cstheme="minorBidi"/>
        </w:rPr>
        <w:t>Participants in all phases (the pre-test and main study in Raleigh, NC and the cognitive interviews in the Washington, DC area) also will meet the following criteria:</w:t>
      </w:r>
    </w:p>
    <w:p w14:paraId="3BE3A04E" w14:textId="5E63CCE9" w:rsidR="00B4529A" w:rsidRPr="00D631DF" w:rsidRDefault="00B4529A" w:rsidP="00B4529A">
      <w:pPr>
        <w:pStyle w:val="ListParagraph"/>
        <w:widowControl w:val="0"/>
        <w:numPr>
          <w:ilvl w:val="0"/>
          <w:numId w:val="5"/>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300" w:lineRule="exact"/>
        <w:rPr>
          <w:rFonts w:asciiTheme="minorBidi" w:hAnsiTheme="minorBidi" w:cstheme="minorBidi"/>
        </w:rPr>
      </w:pPr>
      <w:r w:rsidRPr="00D631DF">
        <w:rPr>
          <w:rFonts w:asciiTheme="minorBidi" w:hAnsiTheme="minorBidi" w:cstheme="minorBidi"/>
        </w:rPr>
        <w:t xml:space="preserve">speak English; </w:t>
      </w:r>
    </w:p>
    <w:p w14:paraId="090AA0C4" w14:textId="35B8E07C" w:rsidR="00B4529A" w:rsidRPr="00D631DF" w:rsidRDefault="00B4529A" w:rsidP="00B4529A">
      <w:pPr>
        <w:pStyle w:val="ListParagraph"/>
        <w:widowControl w:val="0"/>
        <w:numPr>
          <w:ilvl w:val="0"/>
          <w:numId w:val="5"/>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300" w:lineRule="exact"/>
        <w:rPr>
          <w:rFonts w:asciiTheme="minorBidi" w:hAnsiTheme="minorBidi" w:cstheme="minorBidi"/>
        </w:rPr>
      </w:pPr>
      <w:r w:rsidRPr="00D631DF">
        <w:rPr>
          <w:rFonts w:asciiTheme="minorBidi" w:hAnsiTheme="minorBidi" w:cstheme="minorBidi"/>
        </w:rPr>
        <w:t>ha</w:t>
      </w:r>
      <w:r w:rsidR="00D631DF" w:rsidRPr="00D631DF">
        <w:rPr>
          <w:rFonts w:asciiTheme="minorBidi" w:hAnsiTheme="minorBidi" w:cstheme="minorBidi"/>
        </w:rPr>
        <w:t>ve</w:t>
      </w:r>
      <w:r w:rsidRPr="00D631DF">
        <w:rPr>
          <w:rFonts w:asciiTheme="minorBidi" w:hAnsiTheme="minorBidi" w:cstheme="minorBidi"/>
        </w:rPr>
        <w:t xml:space="preserve"> not participated in a focus group or interviews in the past 3 months; </w:t>
      </w:r>
    </w:p>
    <w:p w14:paraId="1AB07086" w14:textId="39EAB89F" w:rsidR="00B4529A" w:rsidRPr="00D631DF" w:rsidRDefault="009E6E41" w:rsidP="00B4529A">
      <w:pPr>
        <w:pStyle w:val="ListParagraph"/>
        <w:widowControl w:val="0"/>
        <w:numPr>
          <w:ilvl w:val="0"/>
          <w:numId w:val="5"/>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300" w:lineRule="exact"/>
        <w:rPr>
          <w:rFonts w:asciiTheme="minorBidi" w:hAnsiTheme="minorBidi" w:cstheme="minorBidi"/>
        </w:rPr>
      </w:pPr>
      <w:r>
        <w:rPr>
          <w:rFonts w:asciiTheme="minorBidi" w:hAnsiTheme="minorBidi" w:cstheme="minorBidi"/>
        </w:rPr>
        <w:t>are</w:t>
      </w:r>
      <w:r w:rsidRPr="00D631DF">
        <w:rPr>
          <w:rFonts w:asciiTheme="minorBidi" w:hAnsiTheme="minorBidi" w:cstheme="minorBidi"/>
        </w:rPr>
        <w:t xml:space="preserve"> </w:t>
      </w:r>
      <w:r w:rsidR="00B4529A" w:rsidRPr="00D631DF">
        <w:rPr>
          <w:rFonts w:asciiTheme="minorBidi" w:hAnsiTheme="minorBidi" w:cstheme="minorBidi"/>
        </w:rPr>
        <w:t>not employed as a healthcare provider or by a pharmaceutical company, the Department of Health and Human Services, or a marketing or advertising firm.</w:t>
      </w:r>
    </w:p>
    <w:p w14:paraId="7E8633D3" w14:textId="77777777" w:rsidR="00B4529A" w:rsidRPr="00D631DF" w:rsidRDefault="00B4529A" w:rsidP="00B4529A">
      <w:pPr>
        <w:pStyle w:val="ListParagraph"/>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300" w:lineRule="exact"/>
        <w:ind w:left="1440"/>
        <w:rPr>
          <w:rFonts w:asciiTheme="minorBidi" w:hAnsiTheme="minorBidi" w:cstheme="minorBidi"/>
        </w:rPr>
      </w:pPr>
    </w:p>
    <w:p w14:paraId="208A7F4A" w14:textId="6A3C5A3B" w:rsidR="00B4529A" w:rsidRPr="00D631DF" w:rsidRDefault="00B4529A" w:rsidP="00D631D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300" w:lineRule="exact"/>
        <w:rPr>
          <w:rFonts w:asciiTheme="minorBidi" w:hAnsiTheme="minorBidi" w:cstheme="minorBidi"/>
        </w:rPr>
      </w:pPr>
      <w:r w:rsidRPr="00D631DF">
        <w:rPr>
          <w:rFonts w:asciiTheme="minorBidi" w:hAnsiTheme="minorBidi" w:cstheme="minorBidi"/>
        </w:rPr>
        <w:t>Individuals who have participated in one phase of the study (cognitive interviews, pre-test) will not be eligible to participate in a later phase (pre-test, main study).</w:t>
      </w:r>
    </w:p>
    <w:p w14:paraId="1E83A7C6" w14:textId="77777777" w:rsidR="008F30B8" w:rsidRPr="009961A2" w:rsidRDefault="008F30B8" w:rsidP="008F30B8">
      <w:pPr>
        <w:rPr>
          <w:rFonts w:asciiTheme="minorBidi" w:hAnsiTheme="minorBidi" w:cstheme="minorBidi"/>
          <w:sz w:val="22"/>
        </w:rPr>
      </w:pPr>
    </w:p>
    <w:p w14:paraId="5AE1ADF5" w14:textId="77777777" w:rsidR="00CA557D" w:rsidRPr="00E00EA0" w:rsidRDefault="00CA557D" w:rsidP="00CA557D">
      <w:pPr>
        <w:numPr>
          <w:ilvl w:val="0"/>
          <w:numId w:val="1"/>
        </w:numPr>
        <w:spacing w:before="100" w:beforeAutospacing="1" w:after="100" w:afterAutospacing="1"/>
        <w:rPr>
          <w:u w:val="single"/>
        </w:rPr>
      </w:pPr>
      <w:r w:rsidRPr="00E00EA0">
        <w:rPr>
          <w:u w:val="single"/>
        </w:rPr>
        <w:t>Procedures for the Collection of Information</w:t>
      </w:r>
    </w:p>
    <w:p w14:paraId="1EDB7AB4" w14:textId="77777777" w:rsidR="00CA557D" w:rsidRPr="006D7E73" w:rsidRDefault="006D7E73" w:rsidP="006D7E73">
      <w:pPr>
        <w:spacing w:line="276" w:lineRule="auto"/>
      </w:pPr>
      <w:r>
        <w:t xml:space="preserve">Part A of the supporting statement described the rationale for conducting the study. </w:t>
      </w:r>
    </w:p>
    <w:p w14:paraId="64FF180A" w14:textId="77777777" w:rsidR="00CA557D" w:rsidRDefault="00CA557D" w:rsidP="006D7E73">
      <w:pPr>
        <w:spacing w:line="276" w:lineRule="auto"/>
        <w:jc w:val="center"/>
        <w:rPr>
          <w:b/>
        </w:rPr>
      </w:pPr>
    </w:p>
    <w:p w14:paraId="294A30DE" w14:textId="77777777" w:rsidR="006D7E73" w:rsidRPr="00E35CCA" w:rsidRDefault="006D7E73" w:rsidP="006D7E73">
      <w:pPr>
        <w:spacing w:line="276" w:lineRule="auto"/>
        <w:rPr>
          <w:b/>
        </w:rPr>
      </w:pPr>
      <w:r w:rsidRPr="00E35CCA">
        <w:rPr>
          <w:b/>
        </w:rPr>
        <w:t>General Research Question</w:t>
      </w:r>
      <w:r>
        <w:rPr>
          <w:b/>
        </w:rPr>
        <w:t>s</w:t>
      </w:r>
    </w:p>
    <w:p w14:paraId="1E418A72" w14:textId="77777777" w:rsidR="006D7E73" w:rsidRDefault="006D7E73" w:rsidP="006D7E73">
      <w:pPr>
        <w:spacing w:line="276" w:lineRule="auto"/>
      </w:pPr>
      <w:r>
        <w:t>1. How do hearing and cognitive declines in older adults affect comprehension of DTC television ads, and the major statement in particular?</w:t>
      </w:r>
      <w:r w:rsidDel="00566CF2">
        <w:t xml:space="preserve"> </w:t>
      </w:r>
    </w:p>
    <w:p w14:paraId="5368EA11" w14:textId="77777777" w:rsidR="006D7E73" w:rsidRDefault="006D7E73" w:rsidP="006D7E73">
      <w:pPr>
        <w:spacing w:line="276" w:lineRule="auto"/>
      </w:pPr>
      <w:r>
        <w:t>2. How do the frequency, speed, and complexity of the major statement influence the comprehension of the major statement and DTC ads as a whole?</w:t>
      </w:r>
    </w:p>
    <w:p w14:paraId="7AE85FEB" w14:textId="77777777" w:rsidR="006D7E73" w:rsidRDefault="006D7E73" w:rsidP="006D7E73">
      <w:pPr>
        <w:spacing w:line="276" w:lineRule="auto"/>
      </w:pPr>
      <w:r>
        <w:t>3. How do hearing and cognitive declines interact with the frequency, speed, and complexity of the major statement to affect the comprehension of DTC ads?</w:t>
      </w:r>
    </w:p>
    <w:p w14:paraId="3FB4C118" w14:textId="77777777" w:rsidR="006D7E73" w:rsidRDefault="006D7E73" w:rsidP="006D7E73">
      <w:pPr>
        <w:spacing w:line="276" w:lineRule="auto"/>
        <w:rPr>
          <w:b/>
        </w:rPr>
      </w:pPr>
    </w:p>
    <w:p w14:paraId="14607FFA" w14:textId="77777777" w:rsidR="006D7E73" w:rsidRDefault="006D7E73" w:rsidP="006D7E73">
      <w:pPr>
        <w:spacing w:line="276" w:lineRule="auto"/>
        <w:rPr>
          <w:b/>
        </w:rPr>
      </w:pPr>
      <w:r w:rsidRPr="002057EF">
        <w:rPr>
          <w:b/>
        </w:rPr>
        <w:t>Design</w:t>
      </w:r>
      <w:r>
        <w:rPr>
          <w:b/>
        </w:rPr>
        <w:t xml:space="preserve"> Overview</w:t>
      </w:r>
    </w:p>
    <w:p w14:paraId="551A4D85" w14:textId="77777777" w:rsidR="009D7512" w:rsidRPr="002057EF" w:rsidRDefault="009D7512" w:rsidP="006D7E73">
      <w:pPr>
        <w:spacing w:line="276" w:lineRule="auto"/>
        <w:rPr>
          <w:b/>
        </w:rPr>
      </w:pPr>
    </w:p>
    <w:p w14:paraId="6D1CCDE4" w14:textId="77777777" w:rsidR="006D7E73" w:rsidRDefault="006D7E73" w:rsidP="009D7512">
      <w:pPr>
        <w:spacing w:line="276" w:lineRule="auto"/>
        <w:contextualSpacing/>
      </w:pPr>
      <w:r>
        <w:lastRenderedPageBreak/>
        <w:t xml:space="preserve">To test these research questions, we will examine four groups of adults and manipulate three variables as shown in Table 1.  </w:t>
      </w:r>
    </w:p>
    <w:p w14:paraId="05139739" w14:textId="77777777" w:rsidR="009D7512" w:rsidRDefault="009D7512" w:rsidP="006D7E73">
      <w:pPr>
        <w:spacing w:line="276" w:lineRule="auto"/>
        <w:contextualSpacing/>
      </w:pPr>
    </w:p>
    <w:p w14:paraId="5B9D0EB1" w14:textId="77777777" w:rsidR="006D7E73" w:rsidRDefault="006D7E73" w:rsidP="006D7E73">
      <w:pPr>
        <w:spacing w:line="276" w:lineRule="auto"/>
        <w:contextualSpacing/>
      </w:pPr>
      <w:r>
        <w:t xml:space="preserve">Table 1. </w:t>
      </w:r>
    </w:p>
    <w:tbl>
      <w:tblPr>
        <w:tblStyle w:val="Graytablecomplex"/>
        <w:tblW w:w="4738" w:type="pct"/>
        <w:tblLook w:val="05E0" w:firstRow="1" w:lastRow="1" w:firstColumn="1" w:lastColumn="1" w:noHBand="0" w:noVBand="1"/>
      </w:tblPr>
      <w:tblGrid>
        <w:gridCol w:w="1658"/>
        <w:gridCol w:w="1548"/>
        <w:gridCol w:w="1087"/>
        <w:gridCol w:w="1289"/>
        <w:gridCol w:w="1289"/>
        <w:gridCol w:w="1290"/>
        <w:gridCol w:w="913"/>
      </w:tblGrid>
      <w:tr w:rsidR="006D7E73" w:rsidRPr="00A143AF" w14:paraId="0150329E" w14:textId="77777777" w:rsidTr="006D374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13" w:type="pct"/>
            <w:vMerge w:val="restart"/>
            <w:tcBorders>
              <w:top w:val="single" w:sz="12" w:space="0" w:color="auto"/>
              <w:bottom w:val="single" w:sz="6" w:space="0" w:color="FFFFFF" w:themeColor="background1"/>
              <w:right w:val="single" w:sz="6" w:space="0" w:color="FFFFFF" w:themeColor="background1"/>
            </w:tcBorders>
            <w:vAlign w:val="bottom"/>
            <w:hideMark/>
          </w:tcPr>
          <w:p w14:paraId="334983DA" w14:textId="77777777" w:rsidR="006D7E73" w:rsidRPr="00A143AF" w:rsidRDefault="006D7E73" w:rsidP="006D7E73">
            <w:pPr>
              <w:keepNext/>
              <w:keepLines/>
              <w:spacing w:before="40" w:after="40" w:line="276" w:lineRule="auto"/>
              <w:jc w:val="center"/>
              <w:rPr>
                <w:rFonts w:asciiTheme="minorHAnsi" w:eastAsia="Calibri" w:hAnsiTheme="minorHAnsi" w:cs="Arial"/>
                <w:b/>
                <w:sz w:val="22"/>
                <w:szCs w:val="22"/>
              </w:rPr>
            </w:pPr>
            <w:r w:rsidRPr="00A143AF">
              <w:rPr>
                <w:rFonts w:asciiTheme="minorHAnsi" w:eastAsiaTheme="minorHAnsi" w:hAnsiTheme="minorHAnsi" w:cs="Arial"/>
                <w:b/>
                <w:sz w:val="22"/>
                <w:szCs w:val="22"/>
              </w:rPr>
              <w:t>Age</w:t>
            </w:r>
          </w:p>
        </w:tc>
        <w:tc>
          <w:tcPr>
            <w:tcW w:w="853" w:type="pct"/>
            <w:vMerge w:val="restart"/>
            <w:tcBorders>
              <w:top w:val="single" w:sz="12" w:space="0" w:color="auto"/>
              <w:left w:val="single" w:sz="6" w:space="0" w:color="FFFFFF" w:themeColor="background1"/>
              <w:bottom w:val="single" w:sz="6" w:space="0" w:color="FFFFFF" w:themeColor="background1"/>
              <w:right w:val="single" w:sz="6" w:space="0" w:color="FFFFFF" w:themeColor="background1"/>
            </w:tcBorders>
            <w:vAlign w:val="bottom"/>
            <w:hideMark/>
          </w:tcPr>
          <w:p w14:paraId="26541D16" w14:textId="77777777" w:rsidR="006D7E73" w:rsidRPr="00A143AF" w:rsidRDefault="006D7E73" w:rsidP="006D7E73">
            <w:pPr>
              <w:keepNext/>
              <w:keepLines/>
              <w:spacing w:before="40" w:after="4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b/>
                <w:sz w:val="22"/>
                <w:szCs w:val="22"/>
              </w:rPr>
            </w:pPr>
            <w:r w:rsidRPr="00A143AF">
              <w:rPr>
                <w:rFonts w:asciiTheme="minorHAnsi" w:eastAsiaTheme="minorHAnsi" w:hAnsiTheme="minorHAnsi" w:cs="Arial"/>
                <w:b/>
                <w:sz w:val="22"/>
                <w:szCs w:val="22"/>
              </w:rPr>
              <w:t>Speed</w:t>
            </w:r>
          </w:p>
        </w:tc>
        <w:tc>
          <w:tcPr>
            <w:tcW w:w="2730" w:type="pct"/>
            <w:gridSpan w:val="4"/>
            <w:tcBorders>
              <w:top w:val="single" w:sz="12" w:space="0" w:color="auto"/>
              <w:left w:val="single" w:sz="6" w:space="0" w:color="FFFFFF" w:themeColor="background1"/>
              <w:bottom w:val="single" w:sz="6" w:space="0" w:color="FFFFFF" w:themeColor="background1"/>
              <w:right w:val="single" w:sz="6" w:space="0" w:color="FFFFFF" w:themeColor="background1"/>
            </w:tcBorders>
            <w:vAlign w:val="bottom"/>
            <w:hideMark/>
          </w:tcPr>
          <w:p w14:paraId="03EC9523" w14:textId="77777777" w:rsidR="006D7E73" w:rsidRPr="00A143AF" w:rsidRDefault="006D7E73" w:rsidP="006D7E73">
            <w:pPr>
              <w:keepNext/>
              <w:keepLines/>
              <w:spacing w:before="40" w:after="4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b/>
                <w:sz w:val="22"/>
                <w:szCs w:val="22"/>
              </w:rPr>
            </w:pPr>
            <w:r w:rsidRPr="00A143AF">
              <w:rPr>
                <w:rFonts w:asciiTheme="minorHAnsi" w:eastAsiaTheme="minorHAnsi" w:hAnsiTheme="minorHAnsi" w:cs="Arial"/>
                <w:b/>
                <w:sz w:val="22"/>
                <w:szCs w:val="22"/>
              </w:rPr>
              <w:t>Voiceover Frequency</w:t>
            </w:r>
          </w:p>
        </w:tc>
        <w:tc>
          <w:tcPr>
            <w:tcW w:w="503" w:type="pct"/>
            <w:vMerge w:val="restart"/>
            <w:tcBorders>
              <w:top w:val="single" w:sz="12" w:space="0" w:color="auto"/>
              <w:left w:val="single" w:sz="6" w:space="0" w:color="FFFFFF" w:themeColor="background1"/>
            </w:tcBorders>
            <w:vAlign w:val="bottom"/>
            <w:hideMark/>
          </w:tcPr>
          <w:p w14:paraId="2621FF69" w14:textId="77777777" w:rsidR="006D7E73" w:rsidRPr="00A143AF" w:rsidRDefault="006D7E73" w:rsidP="006D7E73">
            <w:pPr>
              <w:keepNext/>
              <w:keepLines/>
              <w:spacing w:before="40" w:after="4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Arial"/>
                <w:b/>
                <w:sz w:val="22"/>
                <w:szCs w:val="22"/>
              </w:rPr>
            </w:pPr>
            <w:r w:rsidRPr="00A143AF">
              <w:rPr>
                <w:rFonts w:asciiTheme="minorHAnsi" w:eastAsiaTheme="minorHAnsi" w:hAnsiTheme="minorHAnsi" w:cs="Arial"/>
                <w:b/>
                <w:sz w:val="22"/>
                <w:szCs w:val="22"/>
              </w:rPr>
              <w:t>Total</w:t>
            </w:r>
          </w:p>
        </w:tc>
      </w:tr>
      <w:tr w:rsidR="006D7E73" w:rsidRPr="00A143AF" w14:paraId="03E5CAF5" w14:textId="77777777" w:rsidTr="006D374C">
        <w:trPr>
          <w:trHeight w:val="20"/>
        </w:trPr>
        <w:tc>
          <w:tcPr>
            <w:cnfStyle w:val="001000000000" w:firstRow="0" w:lastRow="0" w:firstColumn="1" w:lastColumn="0" w:oddVBand="0" w:evenVBand="0" w:oddHBand="0" w:evenHBand="0" w:firstRowFirstColumn="0" w:firstRowLastColumn="0" w:lastRowFirstColumn="0" w:lastRowLastColumn="0"/>
            <w:tcW w:w="913" w:type="pct"/>
            <w:vMerge/>
            <w:tcBorders>
              <w:top w:val="single" w:sz="6" w:space="0" w:color="FFFFFF" w:themeColor="background1"/>
              <w:bottom w:val="single" w:sz="6" w:space="0" w:color="FFFFFF" w:themeColor="background1"/>
              <w:right w:val="single" w:sz="6" w:space="0" w:color="FFFFFF" w:themeColor="background1"/>
            </w:tcBorders>
            <w:shd w:val="clear" w:color="auto" w:fill="0A357E"/>
            <w:vAlign w:val="bottom"/>
            <w:hideMark/>
          </w:tcPr>
          <w:p w14:paraId="7CB29835" w14:textId="77777777" w:rsidR="006D7E73" w:rsidRPr="00A143AF" w:rsidRDefault="006D7E73" w:rsidP="006D7E73">
            <w:pPr>
              <w:keepNext/>
              <w:keepLines/>
              <w:spacing w:before="40" w:after="40" w:line="276" w:lineRule="auto"/>
              <w:jc w:val="center"/>
              <w:rPr>
                <w:rFonts w:asciiTheme="minorHAnsi" w:eastAsia="Calibri" w:hAnsiTheme="minorHAnsi" w:cs="Arial"/>
                <w:b/>
                <w:sz w:val="22"/>
                <w:szCs w:val="22"/>
              </w:rPr>
            </w:pPr>
          </w:p>
        </w:tc>
        <w:tc>
          <w:tcPr>
            <w:tcW w:w="853" w:type="pct"/>
            <w:vMerge/>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A357E"/>
            <w:vAlign w:val="bottom"/>
            <w:hideMark/>
          </w:tcPr>
          <w:p w14:paraId="6A862E07" w14:textId="77777777" w:rsidR="006D7E73" w:rsidRPr="00A143AF" w:rsidRDefault="006D7E73" w:rsidP="006D7E73">
            <w:pPr>
              <w:keepNext/>
              <w:keepLines/>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
                <w:sz w:val="22"/>
                <w:szCs w:val="22"/>
              </w:rPr>
            </w:pPr>
          </w:p>
        </w:tc>
        <w:tc>
          <w:tcPr>
            <w:tcW w:w="1309"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A357E"/>
            <w:vAlign w:val="bottom"/>
            <w:hideMark/>
          </w:tcPr>
          <w:p w14:paraId="38A0A2D4" w14:textId="77777777" w:rsidR="006D7E73" w:rsidRPr="00A143AF" w:rsidRDefault="006D7E73" w:rsidP="006D7E73">
            <w:pPr>
              <w:keepNext/>
              <w:keepLines/>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
                <w:sz w:val="22"/>
                <w:szCs w:val="22"/>
              </w:rPr>
            </w:pPr>
            <w:r w:rsidRPr="00A143AF">
              <w:rPr>
                <w:rFonts w:asciiTheme="minorHAnsi" w:eastAsiaTheme="minorHAnsi" w:hAnsiTheme="minorHAnsi" w:cs="Arial"/>
                <w:b/>
                <w:sz w:val="22"/>
                <w:szCs w:val="22"/>
              </w:rPr>
              <w:t>Male (Low Frequency)</w:t>
            </w:r>
          </w:p>
        </w:tc>
        <w:tc>
          <w:tcPr>
            <w:tcW w:w="1421"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A357E"/>
            <w:vAlign w:val="bottom"/>
            <w:hideMark/>
          </w:tcPr>
          <w:p w14:paraId="05936228" w14:textId="77777777" w:rsidR="006D7E73" w:rsidRPr="00A143AF" w:rsidRDefault="006D7E73" w:rsidP="006D7E73">
            <w:pPr>
              <w:keepNext/>
              <w:keepLines/>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
                <w:sz w:val="22"/>
                <w:szCs w:val="22"/>
              </w:rPr>
            </w:pPr>
            <w:r w:rsidRPr="00A143AF">
              <w:rPr>
                <w:rFonts w:asciiTheme="minorHAnsi" w:eastAsiaTheme="minorHAnsi" w:hAnsiTheme="minorHAnsi" w:cs="Arial"/>
                <w:b/>
                <w:sz w:val="22"/>
                <w:szCs w:val="22"/>
              </w:rPr>
              <w:t>Female (High Frequency)</w:t>
            </w:r>
          </w:p>
        </w:tc>
        <w:tc>
          <w:tcPr>
            <w:tcW w:w="503" w:type="pct"/>
            <w:vMerge/>
            <w:tcBorders>
              <w:left w:val="single" w:sz="6" w:space="0" w:color="FFFFFF" w:themeColor="background1"/>
            </w:tcBorders>
            <w:shd w:val="clear" w:color="auto" w:fill="0A357E"/>
            <w:vAlign w:val="bottom"/>
          </w:tcPr>
          <w:p w14:paraId="0229426C" w14:textId="77777777" w:rsidR="006D7E73" w:rsidRPr="00A143AF" w:rsidRDefault="006D7E73" w:rsidP="006D7E73">
            <w:pPr>
              <w:keepNext/>
              <w:keepLines/>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
                <w:sz w:val="22"/>
                <w:szCs w:val="22"/>
              </w:rPr>
            </w:pPr>
          </w:p>
        </w:tc>
      </w:tr>
      <w:tr w:rsidR="006D7E73" w:rsidRPr="00A143AF" w14:paraId="6A74127F" w14:textId="77777777" w:rsidTr="006D374C">
        <w:trPr>
          <w:trHeight w:val="20"/>
        </w:trPr>
        <w:tc>
          <w:tcPr>
            <w:cnfStyle w:val="001000000000" w:firstRow="0" w:lastRow="0" w:firstColumn="1" w:lastColumn="0" w:oddVBand="0" w:evenVBand="0" w:oddHBand="0" w:evenHBand="0" w:firstRowFirstColumn="0" w:firstRowLastColumn="0" w:lastRowFirstColumn="0" w:lastRowLastColumn="0"/>
            <w:tcW w:w="913" w:type="pct"/>
            <w:vMerge/>
            <w:tcBorders>
              <w:top w:val="single" w:sz="6" w:space="0" w:color="FFFFFF" w:themeColor="background1"/>
              <w:bottom w:val="single" w:sz="6" w:space="0" w:color="FFFFFF" w:themeColor="background1"/>
              <w:right w:val="single" w:sz="6" w:space="0" w:color="FFFFFF" w:themeColor="background1"/>
            </w:tcBorders>
            <w:shd w:val="clear" w:color="auto" w:fill="0A357E"/>
            <w:vAlign w:val="bottom"/>
            <w:hideMark/>
          </w:tcPr>
          <w:p w14:paraId="21A7C272" w14:textId="77777777" w:rsidR="006D7E73" w:rsidRPr="00A143AF" w:rsidRDefault="006D7E73" w:rsidP="006D7E73">
            <w:pPr>
              <w:keepNext/>
              <w:keepLines/>
              <w:spacing w:before="40" w:after="40" w:line="276" w:lineRule="auto"/>
              <w:jc w:val="center"/>
              <w:rPr>
                <w:rFonts w:asciiTheme="minorHAnsi" w:eastAsia="Calibri" w:hAnsiTheme="minorHAnsi" w:cs="Arial"/>
                <w:b/>
                <w:sz w:val="22"/>
                <w:szCs w:val="22"/>
              </w:rPr>
            </w:pPr>
          </w:p>
        </w:tc>
        <w:tc>
          <w:tcPr>
            <w:tcW w:w="853" w:type="pct"/>
            <w:vMerge/>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A357E"/>
            <w:vAlign w:val="bottom"/>
            <w:hideMark/>
          </w:tcPr>
          <w:p w14:paraId="3BDB44AE" w14:textId="77777777" w:rsidR="006D7E73" w:rsidRPr="00A143AF" w:rsidRDefault="006D7E73" w:rsidP="006D7E73">
            <w:pPr>
              <w:keepNext/>
              <w:keepLines/>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
                <w:sz w:val="22"/>
                <w:szCs w:val="22"/>
              </w:rPr>
            </w:pPr>
          </w:p>
        </w:tc>
        <w:tc>
          <w:tcPr>
            <w:tcW w:w="1309"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A357E"/>
            <w:vAlign w:val="bottom"/>
            <w:hideMark/>
          </w:tcPr>
          <w:p w14:paraId="65E6976B" w14:textId="77777777" w:rsidR="006D7E73" w:rsidRPr="00A143AF" w:rsidRDefault="006D7E73" w:rsidP="006D7E73">
            <w:pPr>
              <w:keepNext/>
              <w:keepLines/>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
                <w:sz w:val="22"/>
                <w:szCs w:val="22"/>
              </w:rPr>
            </w:pPr>
            <w:r w:rsidRPr="00A143AF">
              <w:rPr>
                <w:rFonts w:asciiTheme="minorHAnsi" w:eastAsiaTheme="minorHAnsi" w:hAnsiTheme="minorHAnsi" w:cs="Arial"/>
                <w:b/>
                <w:sz w:val="22"/>
                <w:szCs w:val="22"/>
              </w:rPr>
              <w:t>Organization of Major Statement</w:t>
            </w:r>
          </w:p>
        </w:tc>
        <w:tc>
          <w:tcPr>
            <w:tcW w:w="1421" w:type="pct"/>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A357E"/>
            <w:vAlign w:val="bottom"/>
            <w:hideMark/>
          </w:tcPr>
          <w:p w14:paraId="5A4BE20D" w14:textId="77777777" w:rsidR="006D7E73" w:rsidRPr="00A143AF" w:rsidRDefault="006D7E73" w:rsidP="006D7E73">
            <w:pPr>
              <w:keepNext/>
              <w:keepLines/>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Arial"/>
                <w:b/>
                <w:sz w:val="22"/>
                <w:szCs w:val="22"/>
              </w:rPr>
            </w:pPr>
            <w:r w:rsidRPr="00A143AF">
              <w:rPr>
                <w:rFonts w:asciiTheme="minorHAnsi" w:eastAsiaTheme="minorHAnsi" w:hAnsiTheme="minorHAnsi" w:cs="Arial"/>
                <w:b/>
                <w:sz w:val="22"/>
                <w:szCs w:val="22"/>
              </w:rPr>
              <w:t xml:space="preserve">Organization of </w:t>
            </w:r>
          </w:p>
          <w:p w14:paraId="2C2BE211" w14:textId="77777777" w:rsidR="006D7E73" w:rsidRPr="00A143AF" w:rsidRDefault="006D7E73" w:rsidP="006D7E73">
            <w:pPr>
              <w:keepNext/>
              <w:keepLines/>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
                <w:sz w:val="22"/>
                <w:szCs w:val="22"/>
              </w:rPr>
            </w:pPr>
            <w:r w:rsidRPr="00A143AF">
              <w:rPr>
                <w:rFonts w:asciiTheme="minorHAnsi" w:eastAsiaTheme="minorHAnsi" w:hAnsiTheme="minorHAnsi" w:cs="Arial"/>
                <w:b/>
                <w:sz w:val="22"/>
                <w:szCs w:val="22"/>
              </w:rPr>
              <w:t>Major Statement</w:t>
            </w:r>
          </w:p>
        </w:tc>
        <w:tc>
          <w:tcPr>
            <w:tcW w:w="503" w:type="pct"/>
            <w:vMerge/>
            <w:tcBorders>
              <w:left w:val="single" w:sz="6" w:space="0" w:color="FFFFFF" w:themeColor="background1"/>
            </w:tcBorders>
            <w:shd w:val="clear" w:color="auto" w:fill="0A357E"/>
            <w:vAlign w:val="bottom"/>
          </w:tcPr>
          <w:p w14:paraId="2A8C7BBF" w14:textId="77777777" w:rsidR="006D7E73" w:rsidRPr="00A143AF" w:rsidRDefault="006D7E73" w:rsidP="006D7E73">
            <w:pPr>
              <w:keepNext/>
              <w:keepLines/>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
                <w:sz w:val="22"/>
                <w:szCs w:val="22"/>
              </w:rPr>
            </w:pPr>
          </w:p>
        </w:tc>
      </w:tr>
      <w:tr w:rsidR="006D7E73" w:rsidRPr="00A143AF" w14:paraId="3ED8F5D0" w14:textId="77777777" w:rsidTr="006D374C">
        <w:trPr>
          <w:trHeight w:val="20"/>
        </w:trPr>
        <w:tc>
          <w:tcPr>
            <w:cnfStyle w:val="001000000000" w:firstRow="0" w:lastRow="0" w:firstColumn="1" w:lastColumn="0" w:oddVBand="0" w:evenVBand="0" w:oddHBand="0" w:evenHBand="0" w:firstRowFirstColumn="0" w:firstRowLastColumn="0" w:lastRowFirstColumn="0" w:lastRowLastColumn="0"/>
            <w:tcW w:w="913" w:type="pct"/>
            <w:vMerge/>
            <w:tcBorders>
              <w:top w:val="single" w:sz="6" w:space="0" w:color="FFFFFF" w:themeColor="background1"/>
              <w:bottom w:val="single" w:sz="6" w:space="0" w:color="auto"/>
              <w:right w:val="single" w:sz="6" w:space="0" w:color="FFFFFF" w:themeColor="background1"/>
            </w:tcBorders>
            <w:shd w:val="clear" w:color="auto" w:fill="0A357E"/>
            <w:vAlign w:val="bottom"/>
            <w:hideMark/>
          </w:tcPr>
          <w:p w14:paraId="01F67040" w14:textId="77777777" w:rsidR="006D7E73" w:rsidRPr="00A143AF" w:rsidRDefault="006D7E73" w:rsidP="006D7E73">
            <w:pPr>
              <w:keepNext/>
              <w:keepLines/>
              <w:spacing w:before="40" w:after="40" w:line="276" w:lineRule="auto"/>
              <w:jc w:val="center"/>
              <w:rPr>
                <w:rFonts w:asciiTheme="minorHAnsi" w:eastAsia="Calibri" w:hAnsiTheme="minorHAnsi" w:cs="Arial"/>
                <w:b/>
                <w:sz w:val="22"/>
                <w:szCs w:val="22"/>
              </w:rPr>
            </w:pPr>
          </w:p>
        </w:tc>
        <w:tc>
          <w:tcPr>
            <w:tcW w:w="853" w:type="pct"/>
            <w:vMerge/>
            <w:tcBorders>
              <w:top w:val="single" w:sz="6" w:space="0" w:color="FFFFFF" w:themeColor="background1"/>
              <w:left w:val="single" w:sz="6" w:space="0" w:color="FFFFFF" w:themeColor="background1"/>
              <w:bottom w:val="single" w:sz="6" w:space="0" w:color="auto"/>
              <w:right w:val="single" w:sz="6" w:space="0" w:color="FFFFFF" w:themeColor="background1"/>
            </w:tcBorders>
            <w:shd w:val="clear" w:color="auto" w:fill="0A357E"/>
            <w:vAlign w:val="bottom"/>
            <w:hideMark/>
          </w:tcPr>
          <w:p w14:paraId="663D001E" w14:textId="77777777" w:rsidR="006D7E73" w:rsidRPr="00A143AF" w:rsidRDefault="006D7E73" w:rsidP="006D7E73">
            <w:pPr>
              <w:keepNext/>
              <w:keepLines/>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
                <w:sz w:val="22"/>
                <w:szCs w:val="22"/>
              </w:rPr>
            </w:pPr>
          </w:p>
        </w:tc>
        <w:tc>
          <w:tcPr>
            <w:tcW w:w="599" w:type="pct"/>
            <w:tcBorders>
              <w:top w:val="single" w:sz="6" w:space="0" w:color="FFFFFF" w:themeColor="background1"/>
              <w:left w:val="single" w:sz="6" w:space="0" w:color="FFFFFF" w:themeColor="background1"/>
              <w:bottom w:val="single" w:sz="6" w:space="0" w:color="auto"/>
              <w:right w:val="single" w:sz="6" w:space="0" w:color="FFFFFF" w:themeColor="background1"/>
            </w:tcBorders>
            <w:shd w:val="clear" w:color="auto" w:fill="0A357E"/>
            <w:vAlign w:val="bottom"/>
            <w:hideMark/>
          </w:tcPr>
          <w:p w14:paraId="4D3A79EF" w14:textId="77777777" w:rsidR="006D7E73" w:rsidRPr="00A143AF" w:rsidRDefault="006D7E73" w:rsidP="006D7E73">
            <w:pPr>
              <w:keepNext/>
              <w:keepLines/>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
                <w:sz w:val="22"/>
                <w:szCs w:val="22"/>
              </w:rPr>
            </w:pPr>
            <w:r w:rsidRPr="00A143AF">
              <w:rPr>
                <w:rFonts w:asciiTheme="minorHAnsi" w:eastAsiaTheme="minorHAnsi" w:hAnsiTheme="minorHAnsi" w:cs="Arial"/>
                <w:b/>
                <w:sz w:val="22"/>
                <w:szCs w:val="22"/>
              </w:rPr>
              <w:t>Simple</w:t>
            </w:r>
          </w:p>
        </w:tc>
        <w:tc>
          <w:tcPr>
            <w:tcW w:w="710" w:type="pct"/>
            <w:tcBorders>
              <w:top w:val="single" w:sz="6" w:space="0" w:color="FFFFFF" w:themeColor="background1"/>
              <w:left w:val="single" w:sz="6" w:space="0" w:color="FFFFFF" w:themeColor="background1"/>
              <w:bottom w:val="single" w:sz="6" w:space="0" w:color="auto"/>
              <w:right w:val="single" w:sz="6" w:space="0" w:color="FFFFFF" w:themeColor="background1"/>
            </w:tcBorders>
            <w:shd w:val="clear" w:color="auto" w:fill="0A357E"/>
            <w:vAlign w:val="bottom"/>
            <w:hideMark/>
          </w:tcPr>
          <w:p w14:paraId="57649A0B" w14:textId="77777777" w:rsidR="006D7E73" w:rsidRPr="00A143AF" w:rsidRDefault="006D7E73" w:rsidP="006D7E73">
            <w:pPr>
              <w:keepNext/>
              <w:keepLines/>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
                <w:sz w:val="22"/>
                <w:szCs w:val="22"/>
              </w:rPr>
            </w:pPr>
            <w:r w:rsidRPr="00A143AF">
              <w:rPr>
                <w:rFonts w:asciiTheme="minorHAnsi" w:eastAsiaTheme="minorHAnsi" w:hAnsiTheme="minorHAnsi" w:cs="Arial"/>
                <w:b/>
                <w:sz w:val="22"/>
                <w:szCs w:val="22"/>
              </w:rPr>
              <w:t>Complex</w:t>
            </w:r>
          </w:p>
        </w:tc>
        <w:tc>
          <w:tcPr>
            <w:tcW w:w="710" w:type="pct"/>
            <w:tcBorders>
              <w:top w:val="single" w:sz="6" w:space="0" w:color="FFFFFF" w:themeColor="background1"/>
              <w:left w:val="single" w:sz="6" w:space="0" w:color="FFFFFF" w:themeColor="background1"/>
              <w:bottom w:val="single" w:sz="6" w:space="0" w:color="auto"/>
              <w:right w:val="single" w:sz="6" w:space="0" w:color="FFFFFF" w:themeColor="background1"/>
            </w:tcBorders>
            <w:shd w:val="clear" w:color="auto" w:fill="0A357E"/>
            <w:vAlign w:val="bottom"/>
            <w:hideMark/>
          </w:tcPr>
          <w:p w14:paraId="49767821" w14:textId="77777777" w:rsidR="006D7E73" w:rsidRPr="00A143AF" w:rsidRDefault="006D7E73" w:rsidP="006D7E73">
            <w:pPr>
              <w:keepNext/>
              <w:keepLines/>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
                <w:sz w:val="22"/>
                <w:szCs w:val="22"/>
              </w:rPr>
            </w:pPr>
            <w:r w:rsidRPr="00A143AF">
              <w:rPr>
                <w:rFonts w:asciiTheme="minorHAnsi" w:eastAsiaTheme="minorHAnsi" w:hAnsiTheme="minorHAnsi" w:cs="Arial"/>
                <w:b/>
                <w:sz w:val="22"/>
                <w:szCs w:val="22"/>
              </w:rPr>
              <w:t>Simple</w:t>
            </w:r>
          </w:p>
        </w:tc>
        <w:tc>
          <w:tcPr>
            <w:tcW w:w="710" w:type="pct"/>
            <w:tcBorders>
              <w:top w:val="single" w:sz="6" w:space="0" w:color="FFFFFF" w:themeColor="background1"/>
              <w:left w:val="single" w:sz="6" w:space="0" w:color="FFFFFF" w:themeColor="background1"/>
              <w:bottom w:val="single" w:sz="6" w:space="0" w:color="auto"/>
              <w:right w:val="single" w:sz="6" w:space="0" w:color="FFFFFF" w:themeColor="background1"/>
            </w:tcBorders>
            <w:shd w:val="clear" w:color="auto" w:fill="0A357E"/>
            <w:vAlign w:val="bottom"/>
            <w:hideMark/>
          </w:tcPr>
          <w:p w14:paraId="60EB658D" w14:textId="77777777" w:rsidR="006D7E73" w:rsidRPr="00A143AF" w:rsidRDefault="006D7E73" w:rsidP="006D7E73">
            <w:pPr>
              <w:keepNext/>
              <w:keepLines/>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
                <w:sz w:val="22"/>
                <w:szCs w:val="22"/>
              </w:rPr>
            </w:pPr>
            <w:r w:rsidRPr="00A143AF">
              <w:rPr>
                <w:rFonts w:asciiTheme="minorHAnsi" w:eastAsiaTheme="minorHAnsi" w:hAnsiTheme="minorHAnsi" w:cs="Arial"/>
                <w:b/>
                <w:sz w:val="22"/>
                <w:szCs w:val="22"/>
              </w:rPr>
              <w:t>Complex</w:t>
            </w:r>
          </w:p>
        </w:tc>
        <w:tc>
          <w:tcPr>
            <w:tcW w:w="503" w:type="pct"/>
            <w:vMerge/>
            <w:tcBorders>
              <w:left w:val="single" w:sz="6" w:space="0" w:color="FFFFFF" w:themeColor="background1"/>
              <w:bottom w:val="single" w:sz="6" w:space="0" w:color="auto"/>
            </w:tcBorders>
            <w:shd w:val="clear" w:color="auto" w:fill="0A357E"/>
            <w:vAlign w:val="bottom"/>
          </w:tcPr>
          <w:p w14:paraId="41A3AAB7" w14:textId="77777777" w:rsidR="006D7E73" w:rsidRPr="00A143AF" w:rsidRDefault="006D7E73" w:rsidP="006D7E73">
            <w:pPr>
              <w:keepNext/>
              <w:keepLines/>
              <w:spacing w:before="40" w:after="4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b/>
                <w:sz w:val="22"/>
                <w:szCs w:val="22"/>
              </w:rPr>
            </w:pPr>
          </w:p>
        </w:tc>
      </w:tr>
      <w:tr w:rsidR="006D7E73" w:rsidRPr="00A143AF" w14:paraId="7CFBCB49" w14:textId="77777777" w:rsidTr="006D374C">
        <w:trPr>
          <w:trHeight w:val="20"/>
        </w:trPr>
        <w:tc>
          <w:tcPr>
            <w:cnfStyle w:val="001000000000" w:firstRow="0" w:lastRow="0" w:firstColumn="1" w:lastColumn="0" w:oddVBand="0" w:evenVBand="0" w:oddHBand="0" w:evenHBand="0" w:firstRowFirstColumn="0" w:firstRowLastColumn="0" w:lastRowFirstColumn="0" w:lastRowLastColumn="0"/>
            <w:tcW w:w="913" w:type="pct"/>
            <w:vMerge w:val="restart"/>
            <w:tcBorders>
              <w:top w:val="single" w:sz="6" w:space="0" w:color="auto"/>
            </w:tcBorders>
            <w:vAlign w:val="center"/>
            <w:hideMark/>
          </w:tcPr>
          <w:p w14:paraId="245B0368" w14:textId="77777777" w:rsidR="006D7E73" w:rsidRPr="00A143AF" w:rsidRDefault="006D7E73" w:rsidP="006D7E73">
            <w:pPr>
              <w:spacing w:line="276" w:lineRule="auto"/>
              <w:rPr>
                <w:rFonts w:asciiTheme="minorHAnsi" w:hAnsiTheme="minorHAnsi" w:cs="Arial"/>
                <w:sz w:val="22"/>
                <w:szCs w:val="22"/>
              </w:rPr>
            </w:pPr>
            <w:r w:rsidRPr="00A143AF">
              <w:rPr>
                <w:rFonts w:asciiTheme="minorHAnsi" w:hAnsiTheme="minorHAnsi" w:cs="Arial"/>
                <w:sz w:val="22"/>
                <w:szCs w:val="22"/>
              </w:rPr>
              <w:t xml:space="preserve">Young adults </w:t>
            </w:r>
          </w:p>
          <w:p w14:paraId="529E7443" w14:textId="77777777" w:rsidR="006D7E73" w:rsidRPr="00A143AF" w:rsidRDefault="006D7E73" w:rsidP="006D7E73">
            <w:pPr>
              <w:spacing w:line="276" w:lineRule="auto"/>
              <w:rPr>
                <w:rFonts w:asciiTheme="minorHAnsi" w:eastAsia="Calibri" w:hAnsiTheme="minorHAnsi" w:cs="Arial"/>
                <w:sz w:val="22"/>
                <w:szCs w:val="22"/>
              </w:rPr>
            </w:pPr>
            <w:r w:rsidRPr="00A143AF">
              <w:rPr>
                <w:rFonts w:asciiTheme="minorHAnsi" w:hAnsiTheme="minorHAnsi" w:cs="Arial"/>
                <w:sz w:val="22"/>
                <w:szCs w:val="22"/>
              </w:rPr>
              <w:t>(YA; 18-25)</w:t>
            </w:r>
          </w:p>
        </w:tc>
        <w:tc>
          <w:tcPr>
            <w:tcW w:w="853" w:type="pct"/>
            <w:tcBorders>
              <w:top w:val="single" w:sz="6" w:space="0" w:color="auto"/>
            </w:tcBorders>
            <w:hideMark/>
          </w:tcPr>
          <w:p w14:paraId="23DF131F" w14:textId="77777777" w:rsidR="006D7E73" w:rsidRPr="00A143AF" w:rsidRDefault="006D7E73" w:rsidP="006D7E7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Low Speed</w:t>
            </w:r>
          </w:p>
        </w:tc>
        <w:tc>
          <w:tcPr>
            <w:tcW w:w="599" w:type="pct"/>
            <w:tcBorders>
              <w:top w:val="single" w:sz="6" w:space="0" w:color="auto"/>
            </w:tcBorders>
            <w:hideMark/>
          </w:tcPr>
          <w:p w14:paraId="3FED4B80" w14:textId="77777777" w:rsidR="006D7E73" w:rsidRPr="00A143AF" w:rsidRDefault="006D7E73" w:rsidP="006D7E7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33</w:t>
            </w:r>
          </w:p>
        </w:tc>
        <w:tc>
          <w:tcPr>
            <w:tcW w:w="710" w:type="pct"/>
            <w:tcBorders>
              <w:top w:val="single" w:sz="6" w:space="0" w:color="auto"/>
            </w:tcBorders>
            <w:hideMark/>
          </w:tcPr>
          <w:p w14:paraId="0D765308" w14:textId="77777777" w:rsidR="006D7E73" w:rsidRPr="00A143AF" w:rsidRDefault="006D7E73" w:rsidP="006D7E7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33</w:t>
            </w:r>
          </w:p>
        </w:tc>
        <w:tc>
          <w:tcPr>
            <w:tcW w:w="710" w:type="pct"/>
            <w:tcBorders>
              <w:top w:val="single" w:sz="6" w:space="0" w:color="auto"/>
            </w:tcBorders>
            <w:hideMark/>
          </w:tcPr>
          <w:p w14:paraId="0F5C121B" w14:textId="77777777" w:rsidR="006D7E73" w:rsidRPr="00A143AF" w:rsidRDefault="006D7E73" w:rsidP="006D7E7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33</w:t>
            </w:r>
          </w:p>
        </w:tc>
        <w:tc>
          <w:tcPr>
            <w:tcW w:w="710" w:type="pct"/>
            <w:tcBorders>
              <w:top w:val="single" w:sz="6" w:space="0" w:color="auto"/>
            </w:tcBorders>
            <w:hideMark/>
          </w:tcPr>
          <w:p w14:paraId="5A2F5220" w14:textId="77777777" w:rsidR="006D7E73" w:rsidRPr="00A143AF" w:rsidRDefault="006D7E73" w:rsidP="006D7E7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33</w:t>
            </w:r>
          </w:p>
        </w:tc>
        <w:tc>
          <w:tcPr>
            <w:tcW w:w="503" w:type="pct"/>
            <w:tcBorders>
              <w:top w:val="single" w:sz="6" w:space="0" w:color="auto"/>
            </w:tcBorders>
            <w:hideMark/>
          </w:tcPr>
          <w:p w14:paraId="646E77EE" w14:textId="77777777" w:rsidR="006D7E73" w:rsidRPr="00A143AF" w:rsidRDefault="006D7E73" w:rsidP="006D7E7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132</w:t>
            </w:r>
          </w:p>
        </w:tc>
      </w:tr>
      <w:tr w:rsidR="006D7E73" w:rsidRPr="00A143AF" w14:paraId="0406DA8E" w14:textId="77777777" w:rsidTr="006D374C">
        <w:trPr>
          <w:trHeight w:val="20"/>
        </w:trPr>
        <w:tc>
          <w:tcPr>
            <w:cnfStyle w:val="001000000000" w:firstRow="0" w:lastRow="0" w:firstColumn="1" w:lastColumn="0" w:oddVBand="0" w:evenVBand="0" w:oddHBand="0" w:evenHBand="0" w:firstRowFirstColumn="0" w:firstRowLastColumn="0" w:lastRowFirstColumn="0" w:lastRowLastColumn="0"/>
            <w:tcW w:w="913" w:type="pct"/>
            <w:vMerge/>
            <w:vAlign w:val="center"/>
            <w:hideMark/>
          </w:tcPr>
          <w:p w14:paraId="62B2A9F3" w14:textId="77777777" w:rsidR="006D7E73" w:rsidRPr="00A143AF" w:rsidRDefault="006D7E73" w:rsidP="006D7E73">
            <w:pPr>
              <w:spacing w:line="276" w:lineRule="auto"/>
              <w:rPr>
                <w:rFonts w:asciiTheme="minorHAnsi" w:eastAsia="Calibri" w:hAnsiTheme="minorHAnsi" w:cs="Arial"/>
                <w:sz w:val="22"/>
                <w:szCs w:val="22"/>
              </w:rPr>
            </w:pPr>
          </w:p>
        </w:tc>
        <w:tc>
          <w:tcPr>
            <w:tcW w:w="853" w:type="pct"/>
            <w:hideMark/>
          </w:tcPr>
          <w:p w14:paraId="7B2EC7FC" w14:textId="77777777" w:rsidR="006D7E73" w:rsidRPr="00A143AF" w:rsidRDefault="006D7E73" w:rsidP="006D7E7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High Speed</w:t>
            </w:r>
          </w:p>
        </w:tc>
        <w:tc>
          <w:tcPr>
            <w:tcW w:w="599" w:type="pct"/>
            <w:hideMark/>
          </w:tcPr>
          <w:p w14:paraId="4CBB004A" w14:textId="77777777" w:rsidR="006D7E73" w:rsidRPr="00A143AF" w:rsidRDefault="006D7E73" w:rsidP="006D7E7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33</w:t>
            </w:r>
          </w:p>
        </w:tc>
        <w:tc>
          <w:tcPr>
            <w:tcW w:w="710" w:type="pct"/>
            <w:hideMark/>
          </w:tcPr>
          <w:p w14:paraId="3D06E688" w14:textId="77777777" w:rsidR="006D7E73" w:rsidRPr="00A143AF" w:rsidRDefault="006D7E73" w:rsidP="006D7E7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33</w:t>
            </w:r>
          </w:p>
        </w:tc>
        <w:tc>
          <w:tcPr>
            <w:tcW w:w="710" w:type="pct"/>
            <w:hideMark/>
          </w:tcPr>
          <w:p w14:paraId="4CC6CC77" w14:textId="77777777" w:rsidR="006D7E73" w:rsidRPr="00A143AF" w:rsidRDefault="006D7E73" w:rsidP="006D7E7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33</w:t>
            </w:r>
          </w:p>
        </w:tc>
        <w:tc>
          <w:tcPr>
            <w:tcW w:w="710" w:type="pct"/>
            <w:hideMark/>
          </w:tcPr>
          <w:p w14:paraId="019EE200" w14:textId="77777777" w:rsidR="006D7E73" w:rsidRPr="00A143AF" w:rsidRDefault="006D7E73" w:rsidP="006D7E7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33</w:t>
            </w:r>
          </w:p>
        </w:tc>
        <w:tc>
          <w:tcPr>
            <w:tcW w:w="503" w:type="pct"/>
            <w:hideMark/>
          </w:tcPr>
          <w:p w14:paraId="4750DBA3" w14:textId="77777777" w:rsidR="006D7E73" w:rsidRPr="00A143AF" w:rsidRDefault="006D7E73" w:rsidP="006D7E7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132</w:t>
            </w:r>
          </w:p>
        </w:tc>
      </w:tr>
      <w:tr w:rsidR="006D7E73" w:rsidRPr="00A143AF" w14:paraId="06B06D1C" w14:textId="77777777" w:rsidTr="006D374C">
        <w:trPr>
          <w:trHeight w:val="20"/>
        </w:trPr>
        <w:tc>
          <w:tcPr>
            <w:cnfStyle w:val="001000000000" w:firstRow="0" w:lastRow="0" w:firstColumn="1" w:lastColumn="0" w:oddVBand="0" w:evenVBand="0" w:oddHBand="0" w:evenHBand="0" w:firstRowFirstColumn="0" w:firstRowLastColumn="0" w:lastRowFirstColumn="0" w:lastRowLastColumn="0"/>
            <w:tcW w:w="913" w:type="pct"/>
            <w:vMerge w:val="restart"/>
            <w:vAlign w:val="center"/>
            <w:hideMark/>
          </w:tcPr>
          <w:p w14:paraId="15FB2C77" w14:textId="77777777" w:rsidR="006D7E73" w:rsidRPr="00A143AF" w:rsidRDefault="006D7E73" w:rsidP="006D7E73">
            <w:pPr>
              <w:spacing w:line="276" w:lineRule="auto"/>
              <w:rPr>
                <w:rFonts w:asciiTheme="minorHAnsi" w:hAnsiTheme="minorHAnsi" w:cs="Arial"/>
                <w:sz w:val="22"/>
                <w:szCs w:val="22"/>
              </w:rPr>
            </w:pPr>
            <w:r w:rsidRPr="00A143AF">
              <w:rPr>
                <w:rFonts w:asciiTheme="minorHAnsi" w:hAnsiTheme="minorHAnsi" w:cs="Arial"/>
                <w:sz w:val="22"/>
                <w:szCs w:val="22"/>
              </w:rPr>
              <w:t xml:space="preserve">Middle-aged </w:t>
            </w:r>
          </w:p>
          <w:p w14:paraId="5FE59184" w14:textId="77777777" w:rsidR="006D7E73" w:rsidRPr="00A143AF" w:rsidRDefault="006D7E73" w:rsidP="006D7E73">
            <w:pPr>
              <w:spacing w:line="276" w:lineRule="auto"/>
              <w:rPr>
                <w:rFonts w:asciiTheme="minorHAnsi" w:eastAsia="Calibri" w:hAnsiTheme="minorHAnsi" w:cs="Arial"/>
                <w:sz w:val="22"/>
                <w:szCs w:val="22"/>
              </w:rPr>
            </w:pPr>
            <w:r w:rsidRPr="00A143AF">
              <w:rPr>
                <w:rFonts w:asciiTheme="minorHAnsi" w:hAnsiTheme="minorHAnsi" w:cs="Arial"/>
                <w:sz w:val="22"/>
                <w:szCs w:val="22"/>
              </w:rPr>
              <w:t>(MA; 40-50)</w:t>
            </w:r>
          </w:p>
        </w:tc>
        <w:tc>
          <w:tcPr>
            <w:tcW w:w="853" w:type="pct"/>
            <w:hideMark/>
          </w:tcPr>
          <w:p w14:paraId="050C6F51" w14:textId="77777777" w:rsidR="006D7E73" w:rsidRPr="00A143AF" w:rsidRDefault="006D7E73" w:rsidP="006D7E7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Low Speed</w:t>
            </w:r>
          </w:p>
        </w:tc>
        <w:tc>
          <w:tcPr>
            <w:tcW w:w="599" w:type="pct"/>
            <w:hideMark/>
          </w:tcPr>
          <w:p w14:paraId="49171B4A" w14:textId="77777777" w:rsidR="006D7E73" w:rsidRPr="00A143AF" w:rsidRDefault="006D7E73" w:rsidP="006D7E7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33</w:t>
            </w:r>
          </w:p>
        </w:tc>
        <w:tc>
          <w:tcPr>
            <w:tcW w:w="710" w:type="pct"/>
            <w:hideMark/>
          </w:tcPr>
          <w:p w14:paraId="167ECDD0" w14:textId="77777777" w:rsidR="006D7E73" w:rsidRPr="00A143AF" w:rsidRDefault="006D7E73" w:rsidP="006D7E7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33</w:t>
            </w:r>
          </w:p>
        </w:tc>
        <w:tc>
          <w:tcPr>
            <w:tcW w:w="710" w:type="pct"/>
            <w:hideMark/>
          </w:tcPr>
          <w:p w14:paraId="19AA5591" w14:textId="77777777" w:rsidR="006D7E73" w:rsidRPr="00A143AF" w:rsidRDefault="006D7E73" w:rsidP="006D7E7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33</w:t>
            </w:r>
          </w:p>
        </w:tc>
        <w:tc>
          <w:tcPr>
            <w:tcW w:w="710" w:type="pct"/>
            <w:hideMark/>
          </w:tcPr>
          <w:p w14:paraId="36A16D93" w14:textId="77777777" w:rsidR="006D7E73" w:rsidRPr="00A143AF" w:rsidRDefault="006D7E73" w:rsidP="006D7E7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33</w:t>
            </w:r>
          </w:p>
        </w:tc>
        <w:tc>
          <w:tcPr>
            <w:tcW w:w="503" w:type="pct"/>
            <w:hideMark/>
          </w:tcPr>
          <w:p w14:paraId="69F56855" w14:textId="77777777" w:rsidR="006D7E73" w:rsidRPr="00A143AF" w:rsidRDefault="006D7E73" w:rsidP="006D7E7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132</w:t>
            </w:r>
          </w:p>
        </w:tc>
      </w:tr>
      <w:tr w:rsidR="006D7E73" w:rsidRPr="00A143AF" w14:paraId="601B894A" w14:textId="77777777" w:rsidTr="006D374C">
        <w:trPr>
          <w:trHeight w:val="20"/>
        </w:trPr>
        <w:tc>
          <w:tcPr>
            <w:cnfStyle w:val="001000000000" w:firstRow="0" w:lastRow="0" w:firstColumn="1" w:lastColumn="0" w:oddVBand="0" w:evenVBand="0" w:oddHBand="0" w:evenHBand="0" w:firstRowFirstColumn="0" w:firstRowLastColumn="0" w:lastRowFirstColumn="0" w:lastRowLastColumn="0"/>
            <w:tcW w:w="913" w:type="pct"/>
            <w:vMerge/>
            <w:vAlign w:val="center"/>
            <w:hideMark/>
          </w:tcPr>
          <w:p w14:paraId="395671B0" w14:textId="77777777" w:rsidR="006D7E73" w:rsidRPr="00A143AF" w:rsidRDefault="006D7E73" w:rsidP="006D7E73">
            <w:pPr>
              <w:spacing w:line="276" w:lineRule="auto"/>
              <w:rPr>
                <w:rFonts w:asciiTheme="minorHAnsi" w:eastAsia="Calibri" w:hAnsiTheme="minorHAnsi" w:cs="Arial"/>
                <w:sz w:val="22"/>
                <w:szCs w:val="22"/>
              </w:rPr>
            </w:pPr>
          </w:p>
        </w:tc>
        <w:tc>
          <w:tcPr>
            <w:tcW w:w="853" w:type="pct"/>
            <w:hideMark/>
          </w:tcPr>
          <w:p w14:paraId="44542E5A" w14:textId="77777777" w:rsidR="006D7E73" w:rsidRPr="00A143AF" w:rsidRDefault="006D7E73" w:rsidP="006D7E7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High Speed</w:t>
            </w:r>
          </w:p>
        </w:tc>
        <w:tc>
          <w:tcPr>
            <w:tcW w:w="599" w:type="pct"/>
            <w:hideMark/>
          </w:tcPr>
          <w:p w14:paraId="6C82FC1F" w14:textId="77777777" w:rsidR="006D7E73" w:rsidRPr="00A143AF" w:rsidRDefault="006D7E73" w:rsidP="006D7E7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33</w:t>
            </w:r>
          </w:p>
        </w:tc>
        <w:tc>
          <w:tcPr>
            <w:tcW w:w="710" w:type="pct"/>
            <w:hideMark/>
          </w:tcPr>
          <w:p w14:paraId="780F31C3" w14:textId="77777777" w:rsidR="006D7E73" w:rsidRPr="00A143AF" w:rsidRDefault="006D7E73" w:rsidP="006D7E7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33</w:t>
            </w:r>
          </w:p>
        </w:tc>
        <w:tc>
          <w:tcPr>
            <w:tcW w:w="710" w:type="pct"/>
            <w:hideMark/>
          </w:tcPr>
          <w:p w14:paraId="79F4F375" w14:textId="77777777" w:rsidR="006D7E73" w:rsidRPr="00A143AF" w:rsidRDefault="006D7E73" w:rsidP="006D7E7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33</w:t>
            </w:r>
          </w:p>
        </w:tc>
        <w:tc>
          <w:tcPr>
            <w:tcW w:w="710" w:type="pct"/>
            <w:hideMark/>
          </w:tcPr>
          <w:p w14:paraId="452CC5D1" w14:textId="77777777" w:rsidR="006D7E73" w:rsidRPr="00A143AF" w:rsidRDefault="006D7E73" w:rsidP="006D7E7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33</w:t>
            </w:r>
          </w:p>
        </w:tc>
        <w:tc>
          <w:tcPr>
            <w:tcW w:w="503" w:type="pct"/>
            <w:hideMark/>
          </w:tcPr>
          <w:p w14:paraId="61ADB592" w14:textId="77777777" w:rsidR="006D7E73" w:rsidRPr="00A143AF" w:rsidRDefault="006D7E73" w:rsidP="006D7E7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132</w:t>
            </w:r>
          </w:p>
        </w:tc>
      </w:tr>
      <w:tr w:rsidR="006D7E73" w:rsidRPr="00A143AF" w14:paraId="355B12F6" w14:textId="77777777" w:rsidTr="006D374C">
        <w:trPr>
          <w:trHeight w:val="20"/>
        </w:trPr>
        <w:tc>
          <w:tcPr>
            <w:cnfStyle w:val="001000000000" w:firstRow="0" w:lastRow="0" w:firstColumn="1" w:lastColumn="0" w:oddVBand="0" w:evenVBand="0" w:oddHBand="0" w:evenHBand="0" w:firstRowFirstColumn="0" w:firstRowLastColumn="0" w:lastRowFirstColumn="0" w:lastRowLastColumn="0"/>
            <w:tcW w:w="913" w:type="pct"/>
            <w:vMerge w:val="restart"/>
            <w:vAlign w:val="center"/>
            <w:hideMark/>
          </w:tcPr>
          <w:p w14:paraId="1B6EC143" w14:textId="77777777" w:rsidR="006D7E73" w:rsidRPr="00A143AF" w:rsidRDefault="006D7E73" w:rsidP="006D7E73">
            <w:pPr>
              <w:spacing w:line="276" w:lineRule="auto"/>
              <w:rPr>
                <w:rFonts w:asciiTheme="minorHAnsi" w:hAnsiTheme="minorHAnsi" w:cs="Arial"/>
                <w:sz w:val="22"/>
                <w:szCs w:val="22"/>
              </w:rPr>
            </w:pPr>
            <w:r w:rsidRPr="00A143AF">
              <w:rPr>
                <w:rFonts w:asciiTheme="minorHAnsi" w:hAnsiTheme="minorHAnsi" w:cs="Arial"/>
                <w:sz w:val="22"/>
                <w:szCs w:val="22"/>
              </w:rPr>
              <w:t xml:space="preserve">Young-older </w:t>
            </w:r>
          </w:p>
          <w:p w14:paraId="02F8F7F7" w14:textId="77777777" w:rsidR="006D7E73" w:rsidRPr="00A143AF" w:rsidRDefault="00732BFC" w:rsidP="006D7E73">
            <w:pPr>
              <w:spacing w:line="276" w:lineRule="auto"/>
              <w:rPr>
                <w:rFonts w:asciiTheme="minorHAnsi" w:eastAsia="Calibri" w:hAnsiTheme="minorHAnsi" w:cs="Arial"/>
                <w:sz w:val="22"/>
                <w:szCs w:val="22"/>
              </w:rPr>
            </w:pPr>
            <w:r>
              <w:rPr>
                <w:rFonts w:asciiTheme="minorHAnsi" w:hAnsiTheme="minorHAnsi" w:cs="Arial"/>
                <w:sz w:val="22"/>
                <w:szCs w:val="22"/>
              </w:rPr>
              <w:t>(YO; 60-74</w:t>
            </w:r>
            <w:r w:rsidR="006D7E73" w:rsidRPr="00A143AF">
              <w:rPr>
                <w:rFonts w:asciiTheme="minorHAnsi" w:hAnsiTheme="minorHAnsi" w:cs="Arial"/>
                <w:sz w:val="22"/>
                <w:szCs w:val="22"/>
              </w:rPr>
              <w:t>)</w:t>
            </w:r>
          </w:p>
        </w:tc>
        <w:tc>
          <w:tcPr>
            <w:tcW w:w="853" w:type="pct"/>
            <w:hideMark/>
          </w:tcPr>
          <w:p w14:paraId="244D834B" w14:textId="77777777" w:rsidR="006D7E73" w:rsidRPr="00A143AF" w:rsidRDefault="006D7E73" w:rsidP="006D7E7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Low Speed</w:t>
            </w:r>
          </w:p>
        </w:tc>
        <w:tc>
          <w:tcPr>
            <w:tcW w:w="599" w:type="pct"/>
            <w:hideMark/>
          </w:tcPr>
          <w:p w14:paraId="4CB28F71" w14:textId="77777777" w:rsidR="006D7E73" w:rsidRPr="00A143AF" w:rsidRDefault="006D7E73" w:rsidP="006D7E7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33</w:t>
            </w:r>
          </w:p>
        </w:tc>
        <w:tc>
          <w:tcPr>
            <w:tcW w:w="710" w:type="pct"/>
            <w:hideMark/>
          </w:tcPr>
          <w:p w14:paraId="7935BF8F" w14:textId="77777777" w:rsidR="006D7E73" w:rsidRPr="00A143AF" w:rsidRDefault="006D7E73" w:rsidP="006D7E7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33</w:t>
            </w:r>
          </w:p>
        </w:tc>
        <w:tc>
          <w:tcPr>
            <w:tcW w:w="710" w:type="pct"/>
            <w:hideMark/>
          </w:tcPr>
          <w:p w14:paraId="1E02C52A" w14:textId="77777777" w:rsidR="006D7E73" w:rsidRPr="00A143AF" w:rsidRDefault="006D7E73" w:rsidP="006D7E7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33</w:t>
            </w:r>
          </w:p>
        </w:tc>
        <w:tc>
          <w:tcPr>
            <w:tcW w:w="710" w:type="pct"/>
            <w:hideMark/>
          </w:tcPr>
          <w:p w14:paraId="6B52AB9B" w14:textId="77777777" w:rsidR="006D7E73" w:rsidRPr="00A143AF" w:rsidRDefault="006D7E73" w:rsidP="006D7E7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33</w:t>
            </w:r>
          </w:p>
        </w:tc>
        <w:tc>
          <w:tcPr>
            <w:tcW w:w="503" w:type="pct"/>
            <w:hideMark/>
          </w:tcPr>
          <w:p w14:paraId="5D8E40DC" w14:textId="77777777" w:rsidR="006D7E73" w:rsidRPr="00A143AF" w:rsidRDefault="006D7E73" w:rsidP="006D7E7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132</w:t>
            </w:r>
          </w:p>
        </w:tc>
      </w:tr>
      <w:tr w:rsidR="006D7E73" w:rsidRPr="00A143AF" w14:paraId="543A17B1" w14:textId="77777777" w:rsidTr="006D374C">
        <w:trPr>
          <w:trHeight w:val="20"/>
        </w:trPr>
        <w:tc>
          <w:tcPr>
            <w:cnfStyle w:val="001000000000" w:firstRow="0" w:lastRow="0" w:firstColumn="1" w:lastColumn="0" w:oddVBand="0" w:evenVBand="0" w:oddHBand="0" w:evenHBand="0" w:firstRowFirstColumn="0" w:firstRowLastColumn="0" w:lastRowFirstColumn="0" w:lastRowLastColumn="0"/>
            <w:tcW w:w="913" w:type="pct"/>
            <w:vMerge/>
            <w:vAlign w:val="center"/>
            <w:hideMark/>
          </w:tcPr>
          <w:p w14:paraId="01F33572" w14:textId="77777777" w:rsidR="006D7E73" w:rsidRPr="00A143AF" w:rsidRDefault="006D7E73" w:rsidP="006D7E73">
            <w:pPr>
              <w:spacing w:line="276" w:lineRule="auto"/>
              <w:rPr>
                <w:rFonts w:asciiTheme="minorHAnsi" w:eastAsia="Calibri" w:hAnsiTheme="minorHAnsi" w:cs="Arial"/>
                <w:sz w:val="22"/>
                <w:szCs w:val="22"/>
              </w:rPr>
            </w:pPr>
          </w:p>
        </w:tc>
        <w:tc>
          <w:tcPr>
            <w:tcW w:w="853" w:type="pct"/>
            <w:hideMark/>
          </w:tcPr>
          <w:p w14:paraId="6A56143A" w14:textId="77777777" w:rsidR="006D7E73" w:rsidRPr="00A143AF" w:rsidRDefault="006D7E73" w:rsidP="006D7E7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High Speed</w:t>
            </w:r>
          </w:p>
        </w:tc>
        <w:tc>
          <w:tcPr>
            <w:tcW w:w="599" w:type="pct"/>
            <w:hideMark/>
          </w:tcPr>
          <w:p w14:paraId="0352EFA9" w14:textId="77777777" w:rsidR="006D7E73" w:rsidRPr="00A143AF" w:rsidRDefault="006D7E73" w:rsidP="006D7E7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33</w:t>
            </w:r>
          </w:p>
        </w:tc>
        <w:tc>
          <w:tcPr>
            <w:tcW w:w="710" w:type="pct"/>
            <w:hideMark/>
          </w:tcPr>
          <w:p w14:paraId="1FC0D0CE" w14:textId="77777777" w:rsidR="006D7E73" w:rsidRPr="00A143AF" w:rsidRDefault="006D7E73" w:rsidP="006D7E7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33</w:t>
            </w:r>
          </w:p>
        </w:tc>
        <w:tc>
          <w:tcPr>
            <w:tcW w:w="710" w:type="pct"/>
            <w:hideMark/>
          </w:tcPr>
          <w:p w14:paraId="43174156" w14:textId="77777777" w:rsidR="006D7E73" w:rsidRPr="00A143AF" w:rsidRDefault="006D7E73" w:rsidP="006D7E7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33</w:t>
            </w:r>
          </w:p>
        </w:tc>
        <w:tc>
          <w:tcPr>
            <w:tcW w:w="710" w:type="pct"/>
            <w:hideMark/>
          </w:tcPr>
          <w:p w14:paraId="6E324A32" w14:textId="77777777" w:rsidR="006D7E73" w:rsidRPr="00A143AF" w:rsidRDefault="006D7E73" w:rsidP="006D7E7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33</w:t>
            </w:r>
          </w:p>
        </w:tc>
        <w:tc>
          <w:tcPr>
            <w:tcW w:w="503" w:type="pct"/>
            <w:hideMark/>
          </w:tcPr>
          <w:p w14:paraId="1A5544B8" w14:textId="77777777" w:rsidR="006D7E73" w:rsidRPr="00A143AF" w:rsidRDefault="006D7E73" w:rsidP="006D7E7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132</w:t>
            </w:r>
          </w:p>
        </w:tc>
      </w:tr>
      <w:tr w:rsidR="006D7E73" w:rsidRPr="00A143AF" w14:paraId="535B79B7" w14:textId="77777777" w:rsidTr="006D374C">
        <w:trPr>
          <w:trHeight w:val="20"/>
        </w:trPr>
        <w:tc>
          <w:tcPr>
            <w:cnfStyle w:val="001000000000" w:firstRow="0" w:lastRow="0" w:firstColumn="1" w:lastColumn="0" w:oddVBand="0" w:evenVBand="0" w:oddHBand="0" w:evenHBand="0" w:firstRowFirstColumn="0" w:firstRowLastColumn="0" w:lastRowFirstColumn="0" w:lastRowLastColumn="0"/>
            <w:tcW w:w="913" w:type="pct"/>
            <w:vMerge w:val="restart"/>
            <w:vAlign w:val="center"/>
            <w:hideMark/>
          </w:tcPr>
          <w:p w14:paraId="53ABBAC4" w14:textId="77777777" w:rsidR="006D7E73" w:rsidRPr="00A143AF" w:rsidRDefault="006D7E73" w:rsidP="006D7E73">
            <w:pPr>
              <w:spacing w:line="276" w:lineRule="auto"/>
              <w:rPr>
                <w:rFonts w:asciiTheme="minorHAnsi" w:hAnsiTheme="minorHAnsi" w:cs="Arial"/>
                <w:sz w:val="22"/>
                <w:szCs w:val="22"/>
              </w:rPr>
            </w:pPr>
            <w:r w:rsidRPr="00A143AF">
              <w:rPr>
                <w:rFonts w:asciiTheme="minorHAnsi" w:hAnsiTheme="minorHAnsi" w:cs="Arial"/>
                <w:sz w:val="22"/>
                <w:szCs w:val="22"/>
              </w:rPr>
              <w:t xml:space="preserve">Old-older </w:t>
            </w:r>
          </w:p>
          <w:p w14:paraId="7E28C665" w14:textId="77777777" w:rsidR="006D7E73" w:rsidRPr="00A143AF" w:rsidRDefault="006D7E73" w:rsidP="006D7E73">
            <w:pPr>
              <w:spacing w:line="276" w:lineRule="auto"/>
              <w:rPr>
                <w:rFonts w:asciiTheme="minorHAnsi" w:eastAsia="Calibri" w:hAnsiTheme="minorHAnsi" w:cs="Arial"/>
                <w:sz w:val="22"/>
                <w:szCs w:val="22"/>
              </w:rPr>
            </w:pPr>
            <w:r w:rsidRPr="00A143AF">
              <w:rPr>
                <w:rFonts w:asciiTheme="minorHAnsi" w:hAnsiTheme="minorHAnsi" w:cs="Arial"/>
                <w:sz w:val="22"/>
                <w:szCs w:val="22"/>
              </w:rPr>
              <w:t>(OO; 75+)</w:t>
            </w:r>
          </w:p>
        </w:tc>
        <w:tc>
          <w:tcPr>
            <w:tcW w:w="853" w:type="pct"/>
            <w:hideMark/>
          </w:tcPr>
          <w:p w14:paraId="7D4FFEAF" w14:textId="77777777" w:rsidR="006D7E73" w:rsidRPr="00A143AF" w:rsidRDefault="006D7E73" w:rsidP="006D7E7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Low Speed</w:t>
            </w:r>
          </w:p>
        </w:tc>
        <w:tc>
          <w:tcPr>
            <w:tcW w:w="599" w:type="pct"/>
            <w:hideMark/>
          </w:tcPr>
          <w:p w14:paraId="00EA724B" w14:textId="77777777" w:rsidR="006D7E73" w:rsidRPr="00A143AF" w:rsidRDefault="006D7E73" w:rsidP="006D7E7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33</w:t>
            </w:r>
          </w:p>
        </w:tc>
        <w:tc>
          <w:tcPr>
            <w:tcW w:w="710" w:type="pct"/>
            <w:hideMark/>
          </w:tcPr>
          <w:p w14:paraId="3D2F5E52" w14:textId="77777777" w:rsidR="006D7E73" w:rsidRPr="00A143AF" w:rsidRDefault="006D7E73" w:rsidP="006D7E7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33</w:t>
            </w:r>
          </w:p>
        </w:tc>
        <w:tc>
          <w:tcPr>
            <w:tcW w:w="710" w:type="pct"/>
            <w:hideMark/>
          </w:tcPr>
          <w:p w14:paraId="5D4236AC" w14:textId="77777777" w:rsidR="006D7E73" w:rsidRPr="00A143AF" w:rsidRDefault="006D7E73" w:rsidP="006D7E7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33</w:t>
            </w:r>
          </w:p>
        </w:tc>
        <w:tc>
          <w:tcPr>
            <w:tcW w:w="710" w:type="pct"/>
            <w:hideMark/>
          </w:tcPr>
          <w:p w14:paraId="50384358" w14:textId="77777777" w:rsidR="006D7E73" w:rsidRPr="00A143AF" w:rsidRDefault="006D7E73" w:rsidP="006D7E7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33</w:t>
            </w:r>
          </w:p>
        </w:tc>
        <w:tc>
          <w:tcPr>
            <w:tcW w:w="503" w:type="pct"/>
            <w:hideMark/>
          </w:tcPr>
          <w:p w14:paraId="197C5F29" w14:textId="77777777" w:rsidR="006D7E73" w:rsidRPr="00A143AF" w:rsidRDefault="006D7E73" w:rsidP="006D7E7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132</w:t>
            </w:r>
          </w:p>
        </w:tc>
      </w:tr>
      <w:tr w:rsidR="006D7E73" w:rsidRPr="00A143AF" w14:paraId="3EA8DEFF" w14:textId="77777777" w:rsidTr="006D374C">
        <w:trPr>
          <w:trHeight w:val="20"/>
        </w:trPr>
        <w:tc>
          <w:tcPr>
            <w:cnfStyle w:val="001000000000" w:firstRow="0" w:lastRow="0" w:firstColumn="1" w:lastColumn="0" w:oddVBand="0" w:evenVBand="0" w:oddHBand="0" w:evenHBand="0" w:firstRowFirstColumn="0" w:firstRowLastColumn="0" w:lastRowFirstColumn="0" w:lastRowLastColumn="0"/>
            <w:tcW w:w="913" w:type="pct"/>
            <w:vMerge/>
          </w:tcPr>
          <w:p w14:paraId="775948CE" w14:textId="77777777" w:rsidR="006D7E73" w:rsidRPr="00A143AF" w:rsidRDefault="006D7E73" w:rsidP="006D7E73">
            <w:pPr>
              <w:spacing w:line="276" w:lineRule="auto"/>
              <w:rPr>
                <w:rFonts w:asciiTheme="minorHAnsi" w:eastAsia="Calibri" w:hAnsiTheme="minorHAnsi" w:cs="Arial"/>
                <w:sz w:val="22"/>
                <w:szCs w:val="22"/>
              </w:rPr>
            </w:pPr>
          </w:p>
        </w:tc>
        <w:tc>
          <w:tcPr>
            <w:tcW w:w="853" w:type="pct"/>
            <w:hideMark/>
          </w:tcPr>
          <w:p w14:paraId="374AF32F" w14:textId="77777777" w:rsidR="006D7E73" w:rsidRPr="00A143AF" w:rsidRDefault="006D7E73" w:rsidP="006D7E73">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High Speed</w:t>
            </w:r>
          </w:p>
        </w:tc>
        <w:tc>
          <w:tcPr>
            <w:tcW w:w="599" w:type="pct"/>
            <w:hideMark/>
          </w:tcPr>
          <w:p w14:paraId="51601EBA" w14:textId="77777777" w:rsidR="006D7E73" w:rsidRPr="00A143AF" w:rsidRDefault="006D7E73" w:rsidP="006D7E7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33</w:t>
            </w:r>
          </w:p>
        </w:tc>
        <w:tc>
          <w:tcPr>
            <w:tcW w:w="710" w:type="pct"/>
            <w:hideMark/>
          </w:tcPr>
          <w:p w14:paraId="6F879870" w14:textId="77777777" w:rsidR="006D7E73" w:rsidRPr="00A143AF" w:rsidRDefault="006D7E73" w:rsidP="006D7E7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33</w:t>
            </w:r>
          </w:p>
        </w:tc>
        <w:tc>
          <w:tcPr>
            <w:tcW w:w="710" w:type="pct"/>
            <w:hideMark/>
          </w:tcPr>
          <w:p w14:paraId="3FEFFCD8" w14:textId="77777777" w:rsidR="006D7E73" w:rsidRPr="00A143AF" w:rsidRDefault="006D7E73" w:rsidP="006D7E7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33</w:t>
            </w:r>
          </w:p>
        </w:tc>
        <w:tc>
          <w:tcPr>
            <w:tcW w:w="710" w:type="pct"/>
            <w:hideMark/>
          </w:tcPr>
          <w:p w14:paraId="74C3C38E" w14:textId="77777777" w:rsidR="006D7E73" w:rsidRPr="00A143AF" w:rsidRDefault="006D7E73" w:rsidP="006D7E7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33</w:t>
            </w:r>
          </w:p>
        </w:tc>
        <w:tc>
          <w:tcPr>
            <w:tcW w:w="503" w:type="pct"/>
            <w:hideMark/>
          </w:tcPr>
          <w:p w14:paraId="15321DAB" w14:textId="77777777" w:rsidR="006D7E73" w:rsidRPr="00A143AF" w:rsidRDefault="006D7E73" w:rsidP="006D7E73">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sz w:val="22"/>
                <w:szCs w:val="22"/>
              </w:rPr>
            </w:pPr>
            <w:r w:rsidRPr="00A143AF">
              <w:rPr>
                <w:rFonts w:asciiTheme="minorHAnsi" w:hAnsiTheme="minorHAnsi" w:cs="Arial"/>
                <w:sz w:val="22"/>
                <w:szCs w:val="22"/>
              </w:rPr>
              <w:t>132</w:t>
            </w:r>
          </w:p>
        </w:tc>
      </w:tr>
      <w:tr w:rsidR="006D7E73" w:rsidRPr="00A143AF" w14:paraId="5C929528" w14:textId="77777777" w:rsidTr="006D374C">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13" w:type="pct"/>
            <w:hideMark/>
          </w:tcPr>
          <w:p w14:paraId="6F7FA71D" w14:textId="77777777" w:rsidR="006D7E73" w:rsidRPr="00A143AF" w:rsidRDefault="006D7E73" w:rsidP="006D7E73">
            <w:pPr>
              <w:spacing w:line="276" w:lineRule="auto"/>
              <w:rPr>
                <w:rFonts w:asciiTheme="minorHAnsi" w:eastAsia="Calibri" w:hAnsiTheme="minorHAnsi" w:cs="Arial"/>
                <w:b/>
                <w:sz w:val="22"/>
                <w:szCs w:val="22"/>
              </w:rPr>
            </w:pPr>
            <w:r w:rsidRPr="00A143AF">
              <w:rPr>
                <w:rFonts w:asciiTheme="minorHAnsi" w:hAnsiTheme="minorHAnsi" w:cs="Arial"/>
                <w:b/>
                <w:sz w:val="22"/>
                <w:szCs w:val="22"/>
              </w:rPr>
              <w:t>Total</w:t>
            </w:r>
          </w:p>
        </w:tc>
        <w:tc>
          <w:tcPr>
            <w:tcW w:w="853" w:type="pct"/>
          </w:tcPr>
          <w:p w14:paraId="0F3AF282" w14:textId="77777777" w:rsidR="006D7E73" w:rsidRPr="00A143AF" w:rsidRDefault="006D7E73" w:rsidP="006D7E73">
            <w:pPr>
              <w:spacing w:line="276" w:lineRule="auto"/>
              <w:cnfStyle w:val="010000000000" w:firstRow="0" w:lastRow="1" w:firstColumn="0" w:lastColumn="0" w:oddVBand="0" w:evenVBand="0" w:oddHBand="0" w:evenHBand="0" w:firstRowFirstColumn="0" w:firstRowLastColumn="0" w:lastRowFirstColumn="0" w:lastRowLastColumn="0"/>
              <w:rPr>
                <w:rFonts w:asciiTheme="minorHAnsi" w:eastAsia="Calibri" w:hAnsiTheme="minorHAnsi" w:cs="Arial"/>
                <w:b/>
                <w:sz w:val="22"/>
                <w:szCs w:val="22"/>
              </w:rPr>
            </w:pPr>
          </w:p>
        </w:tc>
        <w:tc>
          <w:tcPr>
            <w:tcW w:w="599" w:type="pct"/>
            <w:hideMark/>
          </w:tcPr>
          <w:p w14:paraId="63761926" w14:textId="77777777" w:rsidR="006D7E73" w:rsidRPr="00A143AF" w:rsidRDefault="006D7E73" w:rsidP="006D7E73">
            <w:pPr>
              <w:spacing w:line="276" w:lineRule="auto"/>
              <w:jc w:val="center"/>
              <w:cnfStyle w:val="010000000000" w:firstRow="0" w:lastRow="1" w:firstColumn="0" w:lastColumn="0" w:oddVBand="0" w:evenVBand="0" w:oddHBand="0" w:evenHBand="0" w:firstRowFirstColumn="0" w:firstRowLastColumn="0" w:lastRowFirstColumn="0" w:lastRowLastColumn="0"/>
              <w:rPr>
                <w:rFonts w:asciiTheme="minorHAnsi" w:eastAsia="Calibri" w:hAnsiTheme="minorHAnsi" w:cs="Arial"/>
                <w:b/>
                <w:sz w:val="22"/>
                <w:szCs w:val="22"/>
              </w:rPr>
            </w:pPr>
            <w:r w:rsidRPr="00A143AF">
              <w:rPr>
                <w:rFonts w:asciiTheme="minorHAnsi" w:hAnsiTheme="minorHAnsi" w:cs="Arial"/>
                <w:b/>
                <w:sz w:val="22"/>
                <w:szCs w:val="22"/>
              </w:rPr>
              <w:t>264</w:t>
            </w:r>
          </w:p>
        </w:tc>
        <w:tc>
          <w:tcPr>
            <w:tcW w:w="710" w:type="pct"/>
            <w:hideMark/>
          </w:tcPr>
          <w:p w14:paraId="44AFC249" w14:textId="77777777" w:rsidR="006D7E73" w:rsidRPr="00A143AF" w:rsidRDefault="006D7E73" w:rsidP="006D7E73">
            <w:pPr>
              <w:spacing w:line="276" w:lineRule="auto"/>
              <w:jc w:val="center"/>
              <w:cnfStyle w:val="010000000000" w:firstRow="0" w:lastRow="1" w:firstColumn="0" w:lastColumn="0" w:oddVBand="0" w:evenVBand="0" w:oddHBand="0" w:evenHBand="0" w:firstRowFirstColumn="0" w:firstRowLastColumn="0" w:lastRowFirstColumn="0" w:lastRowLastColumn="0"/>
              <w:rPr>
                <w:rFonts w:asciiTheme="minorHAnsi" w:eastAsia="Calibri" w:hAnsiTheme="minorHAnsi" w:cs="Arial"/>
                <w:b/>
                <w:sz w:val="22"/>
                <w:szCs w:val="22"/>
              </w:rPr>
            </w:pPr>
            <w:r w:rsidRPr="00A143AF">
              <w:rPr>
                <w:rFonts w:asciiTheme="minorHAnsi" w:hAnsiTheme="minorHAnsi" w:cs="Arial"/>
                <w:b/>
                <w:sz w:val="22"/>
                <w:szCs w:val="22"/>
              </w:rPr>
              <w:t>264</w:t>
            </w:r>
          </w:p>
        </w:tc>
        <w:tc>
          <w:tcPr>
            <w:tcW w:w="710" w:type="pct"/>
            <w:hideMark/>
          </w:tcPr>
          <w:p w14:paraId="25BD518C" w14:textId="77777777" w:rsidR="006D7E73" w:rsidRPr="00A143AF" w:rsidRDefault="006D7E73" w:rsidP="006D7E73">
            <w:pPr>
              <w:spacing w:line="276" w:lineRule="auto"/>
              <w:jc w:val="center"/>
              <w:cnfStyle w:val="010000000000" w:firstRow="0" w:lastRow="1" w:firstColumn="0" w:lastColumn="0" w:oddVBand="0" w:evenVBand="0" w:oddHBand="0" w:evenHBand="0" w:firstRowFirstColumn="0" w:firstRowLastColumn="0" w:lastRowFirstColumn="0" w:lastRowLastColumn="0"/>
              <w:rPr>
                <w:rFonts w:asciiTheme="minorHAnsi" w:eastAsia="Calibri" w:hAnsiTheme="minorHAnsi" w:cs="Arial"/>
                <w:b/>
                <w:sz w:val="22"/>
                <w:szCs w:val="22"/>
              </w:rPr>
            </w:pPr>
            <w:r w:rsidRPr="00A143AF">
              <w:rPr>
                <w:rFonts w:asciiTheme="minorHAnsi" w:hAnsiTheme="minorHAnsi" w:cs="Arial"/>
                <w:b/>
                <w:sz w:val="22"/>
                <w:szCs w:val="22"/>
              </w:rPr>
              <w:t>264</w:t>
            </w:r>
          </w:p>
        </w:tc>
        <w:tc>
          <w:tcPr>
            <w:tcW w:w="710" w:type="pct"/>
            <w:hideMark/>
          </w:tcPr>
          <w:p w14:paraId="6AEE3854" w14:textId="77777777" w:rsidR="006D7E73" w:rsidRPr="00A143AF" w:rsidRDefault="006D7E73" w:rsidP="006D7E73">
            <w:pPr>
              <w:spacing w:line="276" w:lineRule="auto"/>
              <w:jc w:val="center"/>
              <w:cnfStyle w:val="010000000000" w:firstRow="0" w:lastRow="1" w:firstColumn="0" w:lastColumn="0" w:oddVBand="0" w:evenVBand="0" w:oddHBand="0" w:evenHBand="0" w:firstRowFirstColumn="0" w:firstRowLastColumn="0" w:lastRowFirstColumn="0" w:lastRowLastColumn="0"/>
              <w:rPr>
                <w:rFonts w:asciiTheme="minorHAnsi" w:eastAsia="Calibri" w:hAnsiTheme="minorHAnsi" w:cs="Arial"/>
                <w:b/>
                <w:sz w:val="22"/>
                <w:szCs w:val="22"/>
              </w:rPr>
            </w:pPr>
            <w:r w:rsidRPr="00A143AF">
              <w:rPr>
                <w:rFonts w:asciiTheme="minorHAnsi" w:hAnsiTheme="minorHAnsi" w:cs="Arial"/>
                <w:b/>
                <w:sz w:val="22"/>
                <w:szCs w:val="22"/>
              </w:rPr>
              <w:t>264</w:t>
            </w:r>
          </w:p>
        </w:tc>
        <w:tc>
          <w:tcPr>
            <w:tcW w:w="503" w:type="pct"/>
            <w:hideMark/>
          </w:tcPr>
          <w:p w14:paraId="4FF3F1DD" w14:textId="77777777" w:rsidR="006D7E73" w:rsidRPr="00A143AF" w:rsidRDefault="006D7E73" w:rsidP="006D7E73">
            <w:pPr>
              <w:spacing w:line="276" w:lineRule="auto"/>
              <w:jc w:val="center"/>
              <w:cnfStyle w:val="010000000000" w:firstRow="0" w:lastRow="1" w:firstColumn="0" w:lastColumn="0" w:oddVBand="0" w:evenVBand="0" w:oddHBand="0" w:evenHBand="0" w:firstRowFirstColumn="0" w:firstRowLastColumn="0" w:lastRowFirstColumn="0" w:lastRowLastColumn="0"/>
              <w:rPr>
                <w:rFonts w:asciiTheme="minorHAnsi" w:eastAsia="Calibri" w:hAnsiTheme="minorHAnsi" w:cs="Arial"/>
                <w:b/>
                <w:sz w:val="22"/>
                <w:szCs w:val="22"/>
              </w:rPr>
            </w:pPr>
            <w:r w:rsidRPr="00A143AF">
              <w:rPr>
                <w:rFonts w:asciiTheme="minorHAnsi" w:hAnsiTheme="minorHAnsi" w:cs="Arial"/>
                <w:b/>
                <w:sz w:val="22"/>
                <w:szCs w:val="22"/>
              </w:rPr>
              <w:t>1,056</w:t>
            </w:r>
          </w:p>
        </w:tc>
      </w:tr>
    </w:tbl>
    <w:p w14:paraId="7E71129E" w14:textId="77777777" w:rsidR="009D7512" w:rsidRDefault="009D7512" w:rsidP="009D7512">
      <w:pPr>
        <w:spacing w:line="276" w:lineRule="auto"/>
        <w:contextualSpacing/>
      </w:pPr>
    </w:p>
    <w:p w14:paraId="52E4379A" w14:textId="77777777" w:rsidR="006D7E73" w:rsidRPr="00EA72F8" w:rsidRDefault="00444633" w:rsidP="009D7512">
      <w:pPr>
        <w:spacing w:line="276" w:lineRule="auto"/>
        <w:contextualSpacing/>
      </w:pPr>
      <w:r>
        <w:t>Cognitive interviewing and p</w:t>
      </w:r>
      <w:r w:rsidR="006D7E73">
        <w:t>retesting will take place before the main study to evaluate the procedures</w:t>
      </w:r>
      <w:r w:rsidR="009D7512">
        <w:t>, described below,</w:t>
      </w:r>
      <w:r w:rsidR="006D7E73">
        <w:t xml:space="preserve"> and measures used in the main study. We will recruit adults who fall into one of four age brackets shown in Table 1</w:t>
      </w:r>
      <w:r w:rsidR="006D7E73" w:rsidRPr="00EA72F8">
        <w:t xml:space="preserve">. </w:t>
      </w:r>
      <w:r w:rsidR="006D7E73">
        <w:t>W</w:t>
      </w:r>
      <w:r w:rsidR="006D7E73" w:rsidRPr="00EA72F8">
        <w:t>e will exclude individuals who work in healthcare or marketing settings because their knowledge and experiences may not reflect those of the average consumer.</w:t>
      </w:r>
      <w:r w:rsidR="006D7E73">
        <w:t xml:space="preserve"> A priori power analyses revealed that we need 640 participants for the pretest to obtain 80% power to detect a small effect size, and 1,056 participants for the main study to obtain 90% power to detect a small effect size. Data collection </w:t>
      </w:r>
      <w:r w:rsidR="006D7E73" w:rsidRPr="00EA72F8">
        <w:t xml:space="preserve">will take place </w:t>
      </w:r>
      <w:r w:rsidR="006D7E73">
        <w:t>in person</w:t>
      </w:r>
      <w:r w:rsidR="006D7E73" w:rsidRPr="00EA72F8">
        <w:t xml:space="preserve">.  </w:t>
      </w:r>
    </w:p>
    <w:p w14:paraId="1835E0B2" w14:textId="77777777" w:rsidR="009D7512" w:rsidRDefault="009D7512" w:rsidP="009D7512">
      <w:pPr>
        <w:spacing w:line="276" w:lineRule="auto"/>
        <w:contextualSpacing/>
      </w:pPr>
    </w:p>
    <w:p w14:paraId="65F9C6A8" w14:textId="77777777" w:rsidR="009D7512" w:rsidRPr="009D7512" w:rsidRDefault="009D7512" w:rsidP="009D7512">
      <w:pPr>
        <w:spacing w:line="276" w:lineRule="auto"/>
        <w:contextualSpacing/>
        <w:rPr>
          <w:b/>
        </w:rPr>
      </w:pPr>
      <w:r w:rsidRPr="009D7512">
        <w:rPr>
          <w:b/>
        </w:rPr>
        <w:t>Proc</w:t>
      </w:r>
      <w:r w:rsidR="00444633">
        <w:rPr>
          <w:b/>
        </w:rPr>
        <w:t>e</w:t>
      </w:r>
      <w:r w:rsidRPr="009D7512">
        <w:rPr>
          <w:b/>
        </w:rPr>
        <w:t>dure</w:t>
      </w:r>
    </w:p>
    <w:p w14:paraId="3A470B80" w14:textId="77777777" w:rsidR="009D7512" w:rsidRDefault="009D7512" w:rsidP="009D7512">
      <w:pPr>
        <w:spacing w:line="276" w:lineRule="auto"/>
        <w:contextualSpacing/>
      </w:pPr>
    </w:p>
    <w:p w14:paraId="221F700E" w14:textId="58BFB324" w:rsidR="00856C02" w:rsidRDefault="00856C02" w:rsidP="00A37368">
      <w:pPr>
        <w:spacing w:line="276" w:lineRule="auto"/>
        <w:contextualSpacing/>
      </w:pPr>
      <w:r>
        <w:t xml:space="preserve">Prior to data collection, participants will read and sign the informed consent form (Appendix A). </w:t>
      </w:r>
    </w:p>
    <w:p w14:paraId="2B1A9CA2" w14:textId="77777777" w:rsidR="00856C02" w:rsidRDefault="00856C02" w:rsidP="00A37368">
      <w:pPr>
        <w:spacing w:line="276" w:lineRule="auto"/>
        <w:contextualSpacing/>
      </w:pPr>
    </w:p>
    <w:p w14:paraId="14B1D932" w14:textId="3A9B61BA" w:rsidR="009D7512" w:rsidRDefault="00DC3BE2" w:rsidP="00A37368">
      <w:pPr>
        <w:spacing w:line="276" w:lineRule="auto"/>
      </w:pPr>
      <w:r>
        <w:t>For the pretest and main study, w</w:t>
      </w:r>
      <w:r w:rsidR="006D7E73">
        <w:t>ithin each age group, p</w:t>
      </w:r>
      <w:r w:rsidR="006D7E73" w:rsidRPr="00792203">
        <w:t xml:space="preserve">articipants will be randomly assigned to one of </w:t>
      </w:r>
      <w:r w:rsidR="006D7E73">
        <w:t>eight</w:t>
      </w:r>
      <w:r w:rsidR="006D7E73" w:rsidRPr="00792203">
        <w:t xml:space="preserve"> </w:t>
      </w:r>
      <w:r w:rsidR="006D7E73">
        <w:t>experimental conditions in a 2 (speed) x</w:t>
      </w:r>
      <w:r w:rsidR="006D7E73" w:rsidRPr="00792203">
        <w:t xml:space="preserve"> 2</w:t>
      </w:r>
      <w:r w:rsidR="006D7E73">
        <w:t xml:space="preserve"> (frequency) x 2</w:t>
      </w:r>
      <w:r w:rsidR="006D7E73" w:rsidRPr="00792203">
        <w:t xml:space="preserve"> </w:t>
      </w:r>
      <w:r w:rsidR="006D7E73">
        <w:t xml:space="preserve">(complexity) </w:t>
      </w:r>
      <w:r w:rsidR="006D7E73" w:rsidRPr="00792203">
        <w:t>design, as depicted in Table 1</w:t>
      </w:r>
      <w:r w:rsidR="006D7E73" w:rsidRPr="00DC3BE2">
        <w:t xml:space="preserve">. </w:t>
      </w:r>
      <w:r w:rsidRPr="00DC3BE2">
        <w:t xml:space="preserve">Study participants will first participate in a complete hearing evaluation, including audiometric measurement of individual hearing ability to help determine if hearing declines account for any age group differences in reported comprehension or retention of ad information. </w:t>
      </w:r>
      <w:r w:rsidR="009D7512" w:rsidRPr="009D7512">
        <w:t xml:space="preserve">In order to achieve high quality hearing evaluations, </w:t>
      </w:r>
      <w:r w:rsidR="009D7512">
        <w:t xml:space="preserve">these assessments </w:t>
      </w:r>
      <w:r w:rsidR="009D7512" w:rsidRPr="009D7512">
        <w:t>will be conducted by audiologists from the UNC He</w:t>
      </w:r>
      <w:r w:rsidR="009D7512">
        <w:t xml:space="preserve">aring and Communication Center. The audiometric testing will include three parts:  </w:t>
      </w:r>
    </w:p>
    <w:p w14:paraId="094EDFE8" w14:textId="77777777" w:rsidR="00A37368" w:rsidRPr="00A37368" w:rsidRDefault="00A37368" w:rsidP="00A37368">
      <w:pPr>
        <w:spacing w:line="276" w:lineRule="auto"/>
        <w:contextualSpacing/>
        <w:rPr>
          <w:rFonts w:ascii="Calibri" w:hAnsi="Calibri"/>
        </w:rPr>
      </w:pPr>
    </w:p>
    <w:p w14:paraId="05E60332" w14:textId="0E54747C" w:rsidR="009D7512" w:rsidRDefault="009D7512" w:rsidP="009D7512">
      <w:pPr>
        <w:pStyle w:val="ListParagraph"/>
        <w:numPr>
          <w:ilvl w:val="0"/>
          <w:numId w:val="4"/>
        </w:numPr>
        <w:autoSpaceDE w:val="0"/>
        <w:autoSpaceDN w:val="0"/>
        <w:spacing w:after="200" w:line="276" w:lineRule="auto"/>
      </w:pPr>
      <w:r>
        <w:rPr>
          <w:i/>
        </w:rPr>
        <w:t>Self-report questionnaire</w:t>
      </w:r>
      <w:r>
        <w:rPr>
          <w:b/>
        </w:rPr>
        <w:t xml:space="preserve">. </w:t>
      </w:r>
      <w:r>
        <w:t>The questionnaire will use a single question format (Do you feel you have a hearing loss?) that has been reported to have good sensitivity and specificity in a most populations (Sindhusake et al., 2001)</w:t>
      </w:r>
      <w:r w:rsidR="00FA2BB2">
        <w:t>, plus some contextual questions</w:t>
      </w:r>
      <w:r>
        <w:t xml:space="preserve">. </w:t>
      </w:r>
    </w:p>
    <w:p w14:paraId="64155932" w14:textId="77777777" w:rsidR="009D7512" w:rsidRDefault="009D7512" w:rsidP="009D7512">
      <w:pPr>
        <w:pStyle w:val="ListParagraph"/>
        <w:numPr>
          <w:ilvl w:val="0"/>
          <w:numId w:val="4"/>
        </w:numPr>
        <w:autoSpaceDE w:val="0"/>
        <w:autoSpaceDN w:val="0"/>
        <w:spacing w:after="200" w:line="276" w:lineRule="auto"/>
      </w:pPr>
      <w:r>
        <w:rPr>
          <w:i/>
        </w:rPr>
        <w:t>Otoscopy and visual inspection</w:t>
      </w:r>
      <w:r>
        <w:t>. Otoscopy will be performed prior to pure tone testing. If conditions likely to affect testing (e.g., excessive cerumen) or indicative of active disease process (e.g., drainage) are observed, the individual will be advised of the condition and disqualified from participation. </w:t>
      </w:r>
    </w:p>
    <w:p w14:paraId="220BD0AC" w14:textId="77777777" w:rsidR="009D7512" w:rsidRDefault="009D7512" w:rsidP="009D7512">
      <w:pPr>
        <w:pStyle w:val="ListParagraph"/>
        <w:numPr>
          <w:ilvl w:val="0"/>
          <w:numId w:val="4"/>
        </w:numPr>
        <w:autoSpaceDE w:val="0"/>
        <w:autoSpaceDN w:val="0"/>
        <w:spacing w:after="200" w:line="276" w:lineRule="auto"/>
      </w:pPr>
      <w:r>
        <w:rPr>
          <w:i/>
        </w:rPr>
        <w:t>Pure tone testing</w:t>
      </w:r>
      <w:r>
        <w:t xml:space="preserve">. Pure-tone air conduction audiometric thresholds in decibels hearing level (dB HL) will be obtained for each ear at 500, 1000, 2000, 3000, 4000, 6000, and 8000 Hz using calibrated audiometers (MA 40, MA 42, MA 25, Maico; GSI 18, Grason-Stadler) with insert earphones (E•A•Rtone 3A; Etymotic Research) or supra-aural headphones (TDH-39; Telephonics). </w:t>
      </w:r>
    </w:p>
    <w:p w14:paraId="65488522" w14:textId="77777777" w:rsidR="009D7512" w:rsidRDefault="009D7512" w:rsidP="009D7512">
      <w:pPr>
        <w:pStyle w:val="BodyText1"/>
        <w:ind w:firstLine="0"/>
        <w:rPr>
          <w:sz w:val="24"/>
          <w:szCs w:val="24"/>
        </w:rPr>
      </w:pPr>
      <w:r>
        <w:rPr>
          <w:sz w:val="24"/>
          <w:szCs w:val="24"/>
        </w:rPr>
        <w:t>The testing s</w:t>
      </w:r>
      <w:r w:rsidRPr="009D7512">
        <w:rPr>
          <w:sz w:val="24"/>
          <w:szCs w:val="24"/>
        </w:rPr>
        <w:t xml:space="preserve">pecifications </w:t>
      </w:r>
      <w:r>
        <w:rPr>
          <w:sz w:val="24"/>
          <w:szCs w:val="24"/>
        </w:rPr>
        <w:t xml:space="preserve">were </w:t>
      </w:r>
      <w:r w:rsidRPr="009D7512">
        <w:rPr>
          <w:sz w:val="24"/>
          <w:szCs w:val="24"/>
        </w:rPr>
        <w:t xml:space="preserve">informed by discussion with </w:t>
      </w:r>
      <w:r w:rsidR="00282179">
        <w:rPr>
          <w:sz w:val="24"/>
          <w:szCs w:val="24"/>
        </w:rPr>
        <w:t xml:space="preserve">audiology experts </w:t>
      </w:r>
      <w:r w:rsidRPr="009D7512">
        <w:rPr>
          <w:sz w:val="24"/>
          <w:szCs w:val="24"/>
        </w:rPr>
        <w:t>Dr. Blake Wilson and Dr. Sharon Williams, as</w:t>
      </w:r>
      <w:r w:rsidR="00282179">
        <w:rPr>
          <w:sz w:val="24"/>
          <w:szCs w:val="24"/>
        </w:rPr>
        <w:t xml:space="preserve"> well as </w:t>
      </w:r>
      <w:r w:rsidR="00282179" w:rsidRPr="009D7512">
        <w:rPr>
          <w:sz w:val="24"/>
          <w:szCs w:val="24"/>
        </w:rPr>
        <w:t>Dr. Nancy McKenna and Dr. Stephanie J. Sjoblad</w:t>
      </w:r>
      <w:r w:rsidR="00282179">
        <w:rPr>
          <w:sz w:val="24"/>
          <w:szCs w:val="24"/>
        </w:rPr>
        <w:t xml:space="preserve"> at</w:t>
      </w:r>
      <w:r w:rsidRPr="009D7512">
        <w:rPr>
          <w:sz w:val="24"/>
          <w:szCs w:val="24"/>
        </w:rPr>
        <w:t xml:space="preserve"> the UNC H</w:t>
      </w:r>
      <w:r w:rsidR="00282179">
        <w:rPr>
          <w:sz w:val="24"/>
          <w:szCs w:val="24"/>
        </w:rPr>
        <w:t>earing and Communication Center.</w:t>
      </w:r>
    </w:p>
    <w:p w14:paraId="31F07AD5" w14:textId="71AEEE33" w:rsidR="00A37368" w:rsidRPr="00A37368" w:rsidRDefault="00A37368" w:rsidP="009D7512">
      <w:pPr>
        <w:pStyle w:val="BodyText1"/>
        <w:ind w:firstLine="0"/>
        <w:rPr>
          <w:sz w:val="24"/>
          <w:szCs w:val="24"/>
        </w:rPr>
      </w:pPr>
      <w:r w:rsidRPr="00A37368">
        <w:rPr>
          <w:sz w:val="24"/>
          <w:szCs w:val="24"/>
        </w:rPr>
        <w:t xml:space="preserve">After completing </w:t>
      </w:r>
      <w:r>
        <w:rPr>
          <w:sz w:val="24"/>
          <w:szCs w:val="24"/>
        </w:rPr>
        <w:t>the audiometric measurement</w:t>
      </w:r>
      <w:r w:rsidRPr="00A37368">
        <w:rPr>
          <w:sz w:val="24"/>
          <w:szCs w:val="24"/>
        </w:rPr>
        <w:t>, participants will move to a different room</w:t>
      </w:r>
      <w:r>
        <w:rPr>
          <w:sz w:val="24"/>
          <w:szCs w:val="24"/>
        </w:rPr>
        <w:t xml:space="preserve"> where they will </w:t>
      </w:r>
      <w:r w:rsidRPr="00A37368">
        <w:rPr>
          <w:sz w:val="24"/>
          <w:szCs w:val="24"/>
        </w:rPr>
        <w:t>watch one of the eight manipulations of a fictitious DTC television ad twice, and answer questions in a survey.</w:t>
      </w:r>
    </w:p>
    <w:p w14:paraId="2A286728" w14:textId="652E2EC8" w:rsidR="006D7E73" w:rsidRPr="00792203" w:rsidRDefault="006D7E73" w:rsidP="009D7512">
      <w:pPr>
        <w:spacing w:line="276" w:lineRule="auto"/>
        <w:contextualSpacing/>
      </w:pPr>
      <w:r>
        <w:t>Participation</w:t>
      </w:r>
      <w:r w:rsidR="00A945CC">
        <w:t xml:space="preserve"> overall</w:t>
      </w:r>
      <w:r w:rsidR="00DC3BE2">
        <w:t xml:space="preserve"> in the pretest and main test </w:t>
      </w:r>
      <w:r w:rsidRPr="00EA72F8">
        <w:t xml:space="preserve">is estimated to take approximately </w:t>
      </w:r>
      <w:r w:rsidR="00DC3BE2">
        <w:t>45</w:t>
      </w:r>
      <w:r w:rsidRPr="00EA72F8">
        <w:t xml:space="preserve"> minutes.</w:t>
      </w:r>
    </w:p>
    <w:p w14:paraId="6B0A4265" w14:textId="77777777" w:rsidR="009D7512" w:rsidRDefault="009D7512" w:rsidP="009D7512">
      <w:pPr>
        <w:spacing w:line="276" w:lineRule="auto"/>
        <w:contextualSpacing/>
      </w:pPr>
    </w:p>
    <w:p w14:paraId="03A206DE" w14:textId="1AE6C4FA" w:rsidR="006D7E73" w:rsidRDefault="006D7E73" w:rsidP="009D7512">
      <w:pPr>
        <w:spacing w:line="276" w:lineRule="auto"/>
        <w:contextualSpacing/>
      </w:pPr>
      <w:r>
        <w:t>Questionnaire</w:t>
      </w:r>
      <w:r w:rsidRPr="00944841">
        <w:t xml:space="preserve"> measures are designed to assess</w:t>
      </w:r>
      <w:r>
        <w:t>,</w:t>
      </w:r>
      <w:r w:rsidRPr="00944841">
        <w:t xml:space="preserve"> </w:t>
      </w:r>
      <w:r>
        <w:t xml:space="preserve">for both risk and benefit information, verbatim memory, comprehension, gist memory, and confidence in memory and comprehension judgments. </w:t>
      </w:r>
      <w:r w:rsidRPr="00944841">
        <w:t xml:space="preserve">The </w:t>
      </w:r>
      <w:r>
        <w:t xml:space="preserve">draft </w:t>
      </w:r>
      <w:r w:rsidRPr="00944841">
        <w:t xml:space="preserve">questionnaire is </w:t>
      </w:r>
      <w:r w:rsidR="00282179">
        <w:t xml:space="preserve">included in </w:t>
      </w:r>
      <w:r w:rsidR="00856C02" w:rsidRPr="00856C02">
        <w:t xml:space="preserve">Appendix </w:t>
      </w:r>
      <w:r w:rsidR="00856C02">
        <w:t>B</w:t>
      </w:r>
      <w:r w:rsidRPr="00944841">
        <w:t>.</w:t>
      </w:r>
    </w:p>
    <w:p w14:paraId="79EE34F5" w14:textId="77777777" w:rsidR="009D7512" w:rsidRDefault="009D7512" w:rsidP="009D7512">
      <w:pPr>
        <w:spacing w:line="276" w:lineRule="auto"/>
        <w:contextualSpacing/>
      </w:pPr>
    </w:p>
    <w:p w14:paraId="427291B1" w14:textId="77777777" w:rsidR="006D7E73" w:rsidRPr="00792203" w:rsidRDefault="006D7E73" w:rsidP="00282179">
      <w:pPr>
        <w:spacing w:line="276" w:lineRule="auto"/>
        <w:contextualSpacing/>
        <w:rPr>
          <w:szCs w:val="20"/>
          <w:highlight w:val="yellow"/>
        </w:rPr>
      </w:pPr>
      <w:r w:rsidRPr="008E22AF">
        <w:t xml:space="preserve">To examine differences between experimental conditions, we will conduct inferential statistical tests such as analysis of variance (ANOVA).  </w:t>
      </w:r>
    </w:p>
    <w:p w14:paraId="404C025A" w14:textId="77777777" w:rsidR="00282179" w:rsidRDefault="00282179" w:rsidP="00282179">
      <w:pPr>
        <w:spacing w:line="276" w:lineRule="auto"/>
        <w:rPr>
          <w:b/>
        </w:rPr>
      </w:pPr>
    </w:p>
    <w:p w14:paraId="3F030260" w14:textId="77777777" w:rsidR="00CA557D" w:rsidRDefault="00CA557D" w:rsidP="00282179">
      <w:pPr>
        <w:spacing w:line="276" w:lineRule="auto"/>
        <w:rPr>
          <w:b/>
        </w:rPr>
      </w:pPr>
      <w:r w:rsidRPr="008B019A">
        <w:rPr>
          <w:b/>
        </w:rPr>
        <w:t>Analysis Plan</w:t>
      </w:r>
    </w:p>
    <w:p w14:paraId="717EE1E2" w14:textId="77777777" w:rsidR="00282179" w:rsidRPr="002A6AB0" w:rsidRDefault="00282179" w:rsidP="00282179">
      <w:pPr>
        <w:spacing w:line="276" w:lineRule="auto"/>
        <w:rPr>
          <w:b/>
        </w:rPr>
      </w:pPr>
    </w:p>
    <w:p w14:paraId="2BAC801B" w14:textId="77777777" w:rsidR="00282179" w:rsidRDefault="00282179" w:rsidP="00FA2BB2">
      <w:pPr>
        <w:spacing w:line="276" w:lineRule="auto"/>
      </w:pPr>
      <w:r>
        <w:t xml:space="preserve">Testing most of the hypotheses and research questions listed above will require multiple comparison procedures. For example, in addition to examining the overall 4×2 interaction of age and voiceover speed, we could test interaction contrasts of differences in the effects of voiceover speed between pairs of age groups, and simple main effects of voiceover speed within age groups. Our proposed approach for handling multiple comparisons in the current factorial design reflects statistical principals from Jaccard (1998). To control for experimentwise error rates across multiple tests, we will need to use adjusted significance thresholds. We plan to use the Holm-modified Bonferroni adjustment, which is less conservative than the traditional Bonferroni </w:t>
      </w:r>
      <w:r>
        <w:lastRenderedPageBreak/>
        <w:t>method and offers sufficient statistical power for maintaining experimentwise error rates at an appropriate alpha level (usually .05). In the Holm-Bonferroni approach, significance thresholds depend on the number of contrasts (or tests) being performed. For example, if we observe a significant interaction of age and voiceover speed, and we want to examine the simple main effects of voiceover speed at each age level, we would calculate 4 contrasts, 1 for each simple main effect within the 4 age groups. Each of those contrasts would have a corresponding p-value. Applying the Holm-Bonferroni method, we would rank order those p-values from smallest to largest and compare them to the following thresholds, respectively, which are also rank ordered from smallest to largest: p &lt; .013 (.05/4), p &lt; .017 (.05/3), p &lt; .025 (.05/2), and p &lt; .05 (.05/1). The first p-value threshold equals the traditional alpha level of .05 divided by the total number of contrasts (4). Subsequent p-value thresholds use the same numerator of .05, but change the denominators to reflect the remaining number of contrasts in descending order (i.e., 3 contrasts, 2 contrasts, 1 contrast).</w:t>
      </w:r>
    </w:p>
    <w:p w14:paraId="13BB5FF5" w14:textId="77777777" w:rsidR="00282179" w:rsidRDefault="00282179" w:rsidP="00FA2BB2">
      <w:pPr>
        <w:spacing w:line="276" w:lineRule="auto"/>
      </w:pPr>
    </w:p>
    <w:p w14:paraId="165CECCF" w14:textId="77777777" w:rsidR="00282179" w:rsidRDefault="00282179" w:rsidP="00FA2BB2">
      <w:pPr>
        <w:spacing w:line="276" w:lineRule="auto"/>
      </w:pPr>
      <w:r>
        <w:t>We propose applying the Holm-Bonferroni correction to distinct families of contrasts, rather than across all possible contrasts in the full analysis. For example, we will apply the adjustment to each outcome, rather than across outcomes. We will also treat parameter estimates for each independent variable in a model as a separate family (e.g., age, voiceover speed, and the interaction of age and voiceover speed will constitute separate families). For significant main effects of independent variables, we will treat planned pairwise comparisons as a family. If we observe significant interaction effects, we will treat planned interaction contrasts as a family, and planned simple main effects as a family.</w:t>
      </w:r>
    </w:p>
    <w:p w14:paraId="05F57A86" w14:textId="77777777" w:rsidR="00282179" w:rsidRDefault="00282179" w:rsidP="00FA2BB2">
      <w:pPr>
        <w:spacing w:line="276" w:lineRule="auto"/>
      </w:pPr>
    </w:p>
    <w:p w14:paraId="356A186F" w14:textId="77777777" w:rsidR="00282179" w:rsidRDefault="00282179" w:rsidP="00FA2BB2">
      <w:pPr>
        <w:spacing w:line="276" w:lineRule="auto"/>
      </w:pPr>
      <w:r>
        <w:t xml:space="preserve">When using multiple comparisons procedures, Jaccard (1998) recommends that investigators specify contrasts that are of theoretical interest. Identifying a subset of the most important contrasts will also allow for larger significance thresholds using the Holm-Bonferroni correction (or other corrections for Type I error rates). Given that the OO (75+) age group is a central focus of the current research, it would be appropriate and theoretically interesting to prioritize contrasts that compare each of the YA, MA and YO age groups to the OO group. </w:t>
      </w:r>
    </w:p>
    <w:p w14:paraId="4238252E" w14:textId="77777777" w:rsidR="00CA557D" w:rsidRDefault="00CA557D" w:rsidP="00CA557D">
      <w:pPr>
        <w:rPr>
          <w:highlight w:val="green"/>
        </w:rPr>
      </w:pPr>
    </w:p>
    <w:p w14:paraId="7EF71ACB" w14:textId="77777777" w:rsidR="00CA557D" w:rsidRPr="00821AA1" w:rsidRDefault="00CA557D" w:rsidP="00CA557D">
      <w:pPr>
        <w:jc w:val="center"/>
        <w:rPr>
          <w:b/>
        </w:rPr>
      </w:pPr>
      <w:r w:rsidRPr="00821AA1">
        <w:rPr>
          <w:b/>
        </w:rPr>
        <w:t>Power</w:t>
      </w:r>
    </w:p>
    <w:p w14:paraId="2A4858ED" w14:textId="71EC5C30" w:rsidR="00F46038" w:rsidRDefault="00F46038" w:rsidP="00FA2BB2">
      <w:pPr>
        <w:ind w:left="720"/>
      </w:pPr>
    </w:p>
    <w:p w14:paraId="5D8FCF56" w14:textId="69889A8C" w:rsidR="00457ED6" w:rsidRDefault="00F46038" w:rsidP="00D27AB9">
      <w:pPr>
        <w:spacing w:line="276" w:lineRule="auto"/>
      </w:pPr>
      <w:r w:rsidRPr="00704775">
        <w:t>Using the PASS software program (Hintze, 2011)</w:t>
      </w:r>
      <w:r w:rsidR="00457ED6" w:rsidRPr="00D27AB9">
        <w:rPr>
          <w:rStyle w:val="FootnoteReference"/>
        </w:rPr>
        <w:footnoteReference w:id="1"/>
      </w:r>
      <w:r w:rsidRPr="00704775">
        <w:t xml:space="preserve">, we estimated the sample sizes needed to have sufficient statistical power to detect differences in means for the outcome variables (i.e., recall of major statement) based </w:t>
      </w:r>
      <w:r w:rsidR="00457ED6">
        <w:t>on the</w:t>
      </w:r>
      <w:r w:rsidR="005E7E7C">
        <w:t xml:space="preserve"> study design: 2 (speed) x 2 (frequency) x 2 (complexity)</w:t>
      </w:r>
      <w:r w:rsidR="00457ED6">
        <w:t>.</w:t>
      </w:r>
    </w:p>
    <w:p w14:paraId="067BEFF7" w14:textId="77777777" w:rsidR="00D27AB9" w:rsidRDefault="00D27AB9" w:rsidP="00D27AB9">
      <w:pPr>
        <w:spacing w:line="276" w:lineRule="auto"/>
      </w:pPr>
    </w:p>
    <w:p w14:paraId="2C3A0E45" w14:textId="25B9DBD1" w:rsidR="00FA2BB2" w:rsidRDefault="00D27AB9" w:rsidP="00D27AB9">
      <w:pPr>
        <w:spacing w:line="276" w:lineRule="auto"/>
      </w:pPr>
      <w:r w:rsidRPr="003E58D6">
        <w:t xml:space="preserve">As shown in </w:t>
      </w:r>
      <w:r>
        <w:t>Table 1 above</w:t>
      </w:r>
      <w:r w:rsidRPr="003E58D6">
        <w:t xml:space="preserve">, the main study will include </w:t>
      </w:r>
      <w:r>
        <w:t>1,056</w:t>
      </w:r>
      <w:r w:rsidRPr="003E58D6">
        <w:t xml:space="preserve"> participants (</w:t>
      </w:r>
      <w:r>
        <w:t xml:space="preserve">33 </w:t>
      </w:r>
      <w:r w:rsidRPr="003E58D6">
        <w:t>per cell).</w:t>
      </w:r>
      <w:r>
        <w:t xml:space="preserve"> For this phase, the design will result in 90% power with an alpha of 0.05 to detect a small effect size (f=0.20), where f is the standard deviation of the standardized population means. When applying </w:t>
      </w:r>
      <w:r>
        <w:lastRenderedPageBreak/>
        <w:t>the Holm-modified Bonferroni correction as described above, the p value thresholds change to p</w:t>
      </w:r>
      <w:r w:rsidR="008331F1">
        <w:t xml:space="preserve"> </w:t>
      </w:r>
      <w:r>
        <w:t>&lt; .013, p</w:t>
      </w:r>
      <w:r w:rsidR="008331F1">
        <w:t xml:space="preserve"> </w:t>
      </w:r>
      <w:r>
        <w:t>&lt; .017, p</w:t>
      </w:r>
      <w:r w:rsidR="008331F1">
        <w:t xml:space="preserve"> </w:t>
      </w:r>
      <w:r>
        <w:t>&lt; .025, and p</w:t>
      </w:r>
      <w:r w:rsidR="008331F1">
        <w:t xml:space="preserve"> </w:t>
      </w:r>
      <w:r>
        <w:t>&lt; .05. Given the sample size of 1,056 participants and assuming 90% power, these corrected values will result in medium (Cohen, 1988) effect sizes of f= 0.24 (p</w:t>
      </w:r>
      <w:r w:rsidR="008331F1">
        <w:t xml:space="preserve"> </w:t>
      </w:r>
      <w:r>
        <w:t>&lt; .013), f= 0.23 (p</w:t>
      </w:r>
      <w:r w:rsidR="008331F1">
        <w:t xml:space="preserve"> </w:t>
      </w:r>
      <w:r>
        <w:t>&lt; .017) and f= 0.22 (p</w:t>
      </w:r>
      <w:r w:rsidR="008331F1">
        <w:t xml:space="preserve"> </w:t>
      </w:r>
      <w:r>
        <w:t>&lt; .025).</w:t>
      </w:r>
    </w:p>
    <w:p w14:paraId="0AE36239" w14:textId="77777777" w:rsidR="00D27AB9" w:rsidRDefault="00D27AB9" w:rsidP="00D27AB9">
      <w:pPr>
        <w:spacing w:line="276" w:lineRule="auto"/>
      </w:pPr>
    </w:p>
    <w:p w14:paraId="00825C57" w14:textId="77777777" w:rsidR="00D27AB9" w:rsidRDefault="00D27AB9" w:rsidP="00D27AB9">
      <w:pPr>
        <w:spacing w:line="276" w:lineRule="auto"/>
      </w:pPr>
      <w:r w:rsidRPr="00D27AB9">
        <w:t>The pretest will include 640 participants equally split across the four age groups (with 160 in each age group).</w:t>
      </w:r>
      <w:r>
        <w:t xml:space="preserve"> For the pretest, </w:t>
      </w:r>
      <w:r w:rsidRPr="006A2376">
        <w:t>the design will result</w:t>
      </w:r>
      <w:r>
        <w:t xml:space="preserve"> in 80% power with an alpha of 0.10 to detect a small effect size, where f is defined as noted above.</w:t>
      </w:r>
    </w:p>
    <w:p w14:paraId="6D0667F1" w14:textId="656C18CA" w:rsidR="00CA557D" w:rsidRPr="00754497" w:rsidRDefault="00CA557D" w:rsidP="00D05FD9">
      <w:pPr>
        <w:spacing w:line="276" w:lineRule="auto"/>
      </w:pPr>
      <w:r>
        <w:tab/>
      </w:r>
    </w:p>
    <w:p w14:paraId="29CE690F" w14:textId="77777777" w:rsidR="00CA557D" w:rsidRPr="00E00EA0" w:rsidRDefault="00CA557D" w:rsidP="00D05FD9">
      <w:pPr>
        <w:numPr>
          <w:ilvl w:val="0"/>
          <w:numId w:val="1"/>
        </w:numPr>
        <w:spacing w:before="100" w:beforeAutospacing="1" w:after="100" w:afterAutospacing="1" w:line="276" w:lineRule="auto"/>
        <w:rPr>
          <w:u w:val="single"/>
        </w:rPr>
      </w:pPr>
      <w:r w:rsidRPr="00E00EA0">
        <w:rPr>
          <w:u w:val="single"/>
        </w:rPr>
        <w:t>Methods to Maximize Response Rates and Deal with Non</w:t>
      </w:r>
      <w:r>
        <w:rPr>
          <w:u w:val="single"/>
        </w:rPr>
        <w:t>-</w:t>
      </w:r>
      <w:r w:rsidRPr="00E00EA0">
        <w:rPr>
          <w:u w:val="single"/>
        </w:rPr>
        <w:t>response</w:t>
      </w:r>
    </w:p>
    <w:p w14:paraId="22578DA0" w14:textId="7CE0787A" w:rsidR="00BB56FF" w:rsidRPr="003439D6" w:rsidRDefault="00BB56FF" w:rsidP="003439D6">
      <w:pPr>
        <w:pStyle w:val="BodyText1"/>
        <w:spacing w:line="276" w:lineRule="auto"/>
        <w:ind w:firstLine="0"/>
        <w:rPr>
          <w:sz w:val="24"/>
          <w:szCs w:val="24"/>
        </w:rPr>
      </w:pPr>
      <w:r w:rsidRPr="003439D6">
        <w:rPr>
          <w:sz w:val="24"/>
          <w:szCs w:val="24"/>
        </w:rPr>
        <w:t xml:space="preserve">This experimental study will </w:t>
      </w:r>
      <w:r w:rsidR="005E7E7C" w:rsidRPr="003439D6">
        <w:rPr>
          <w:sz w:val="24"/>
          <w:szCs w:val="24"/>
        </w:rPr>
        <w:t xml:space="preserve">rely </w:t>
      </w:r>
      <w:r w:rsidR="00135951">
        <w:rPr>
          <w:sz w:val="24"/>
          <w:szCs w:val="24"/>
        </w:rPr>
        <w:t xml:space="preserve">on </w:t>
      </w:r>
      <w:r w:rsidR="005E7E7C" w:rsidRPr="003439D6">
        <w:rPr>
          <w:sz w:val="24"/>
          <w:szCs w:val="24"/>
        </w:rPr>
        <w:t>the services of professional facilities in Raleigh, NC (pre-test and main study) and the Washington, DC area (cognitive interviews)</w:t>
      </w:r>
      <w:r w:rsidR="00D402C8" w:rsidRPr="003439D6">
        <w:rPr>
          <w:sz w:val="24"/>
          <w:szCs w:val="24"/>
        </w:rPr>
        <w:t xml:space="preserve"> to recruit participants. These facilities</w:t>
      </w:r>
      <w:r w:rsidR="005E7E7C" w:rsidRPr="003439D6">
        <w:rPr>
          <w:sz w:val="24"/>
          <w:szCs w:val="24"/>
        </w:rPr>
        <w:t xml:space="preserve"> will contact individuals in their internal databases who have agreed to participate in occasional studies on various topics</w:t>
      </w:r>
      <w:r w:rsidR="00D402C8" w:rsidRPr="003439D6">
        <w:rPr>
          <w:sz w:val="24"/>
          <w:szCs w:val="24"/>
        </w:rPr>
        <w:t>, and screen them for eligibility in the proposed study</w:t>
      </w:r>
      <w:r w:rsidR="005E7E7C" w:rsidRPr="003439D6">
        <w:rPr>
          <w:sz w:val="24"/>
          <w:szCs w:val="24"/>
        </w:rPr>
        <w:t xml:space="preserve">. </w:t>
      </w:r>
      <w:r w:rsidR="00FA6774" w:rsidRPr="003439D6">
        <w:rPr>
          <w:sz w:val="24"/>
          <w:szCs w:val="24"/>
        </w:rPr>
        <w:t xml:space="preserve">Though the use of </w:t>
      </w:r>
      <w:r w:rsidR="00D402C8" w:rsidRPr="003439D6">
        <w:rPr>
          <w:sz w:val="24"/>
          <w:szCs w:val="24"/>
        </w:rPr>
        <w:t xml:space="preserve">a </w:t>
      </w:r>
      <w:r w:rsidR="005E7E7C" w:rsidRPr="003439D6">
        <w:rPr>
          <w:sz w:val="24"/>
          <w:szCs w:val="24"/>
        </w:rPr>
        <w:t xml:space="preserve">panel of </w:t>
      </w:r>
      <w:r w:rsidR="00FA6774" w:rsidRPr="003439D6">
        <w:rPr>
          <w:sz w:val="24"/>
          <w:szCs w:val="24"/>
        </w:rPr>
        <w:t xml:space="preserve">individuals </w:t>
      </w:r>
      <w:r w:rsidR="005E7E7C" w:rsidRPr="003439D6">
        <w:rPr>
          <w:sz w:val="24"/>
          <w:szCs w:val="24"/>
        </w:rPr>
        <w:t xml:space="preserve">who have </w:t>
      </w:r>
      <w:r w:rsidR="00FA6774" w:rsidRPr="003439D6">
        <w:rPr>
          <w:sz w:val="24"/>
          <w:szCs w:val="24"/>
        </w:rPr>
        <w:t xml:space="preserve">actively chosen to be included may decrease the potential for non-response by its opt-in nature, we </w:t>
      </w:r>
      <w:r w:rsidR="00D402C8" w:rsidRPr="003439D6">
        <w:rPr>
          <w:sz w:val="24"/>
          <w:szCs w:val="24"/>
        </w:rPr>
        <w:t>recognize that additional measures to encourage full participation are helpful in increasing participation rates</w:t>
      </w:r>
      <w:r w:rsidR="00FA6774" w:rsidRPr="003439D6">
        <w:rPr>
          <w:sz w:val="24"/>
          <w:szCs w:val="24"/>
        </w:rPr>
        <w:t xml:space="preserve">. </w:t>
      </w:r>
      <w:r w:rsidR="005E7E7C" w:rsidRPr="003439D6">
        <w:rPr>
          <w:sz w:val="24"/>
          <w:szCs w:val="24"/>
        </w:rPr>
        <w:t>As with other similar studies, t</w:t>
      </w:r>
      <w:r w:rsidRPr="003439D6">
        <w:rPr>
          <w:sz w:val="24"/>
          <w:szCs w:val="24"/>
        </w:rPr>
        <w:t>o help ensure that the participation rate is as high as possible, FDA will:</w:t>
      </w:r>
    </w:p>
    <w:p w14:paraId="13E0F30B" w14:textId="77777777" w:rsidR="00BB56FF" w:rsidRPr="005160EC" w:rsidRDefault="00BB56FF" w:rsidP="00BB56FF">
      <w:pPr>
        <w:pStyle w:val="NormalWeb"/>
        <w:spacing w:before="0" w:beforeAutospacing="0" w:after="0" w:afterAutospacing="0" w:line="276" w:lineRule="auto"/>
        <w:ind w:left="360"/>
        <w:rPr>
          <w:highlight w:val="yellow"/>
        </w:rPr>
      </w:pPr>
    </w:p>
    <w:p w14:paraId="37D89E26" w14:textId="77777777" w:rsidR="00BB56FF" w:rsidRPr="00FA6774" w:rsidRDefault="00BB56FF" w:rsidP="00BB56FF">
      <w:pPr>
        <w:numPr>
          <w:ilvl w:val="0"/>
          <w:numId w:val="2"/>
        </w:numPr>
        <w:spacing w:line="276" w:lineRule="auto"/>
        <w:ind w:left="1440" w:hanging="720"/>
      </w:pPr>
      <w:r w:rsidRPr="00FA6774">
        <w:t xml:space="preserve">Design an experimental protocol that minimizes burden (clearly written and with appealing graphics); </w:t>
      </w:r>
    </w:p>
    <w:p w14:paraId="7CFC072C" w14:textId="6C59063D" w:rsidR="00FA6774" w:rsidRPr="00FA6774" w:rsidRDefault="00FA6774" w:rsidP="00BB56FF">
      <w:pPr>
        <w:numPr>
          <w:ilvl w:val="0"/>
          <w:numId w:val="2"/>
        </w:numPr>
        <w:spacing w:line="276" w:lineRule="auto"/>
        <w:ind w:left="1440" w:hanging="720"/>
      </w:pPr>
      <w:r w:rsidRPr="00FA6774">
        <w:t>Work with facilities that have a record of success recruiting for similar studies</w:t>
      </w:r>
      <w:r>
        <w:t>;</w:t>
      </w:r>
    </w:p>
    <w:p w14:paraId="62C4C246" w14:textId="001993D0" w:rsidR="00FA6774" w:rsidRPr="00FA6774" w:rsidRDefault="00FA6774" w:rsidP="00BB56FF">
      <w:pPr>
        <w:numPr>
          <w:ilvl w:val="0"/>
          <w:numId w:val="2"/>
        </w:numPr>
        <w:spacing w:line="276" w:lineRule="auto"/>
        <w:ind w:left="1440" w:hanging="720"/>
      </w:pPr>
      <w:r w:rsidRPr="00FA6774">
        <w:t>Offer a range of days and times for participation to give eligible participants options that are convenient for them;</w:t>
      </w:r>
    </w:p>
    <w:p w14:paraId="34442FAE" w14:textId="5AD2F0A9" w:rsidR="00BB56FF" w:rsidRPr="00FA6774" w:rsidRDefault="00FA6774" w:rsidP="00BB56FF">
      <w:pPr>
        <w:numPr>
          <w:ilvl w:val="0"/>
          <w:numId w:val="2"/>
        </w:numPr>
        <w:spacing w:line="276" w:lineRule="auto"/>
        <w:ind w:left="1440" w:hanging="720"/>
      </w:pPr>
      <w:r w:rsidRPr="00FA6774">
        <w:t xml:space="preserve">Make telephone reminder calls to identified participants with detailed information </w:t>
      </w:r>
      <w:r>
        <w:t xml:space="preserve">and answers to FAQ </w:t>
      </w:r>
      <w:r w:rsidRPr="00FA6774">
        <w:t>(e.g., time and date, study procedures, directions)</w:t>
      </w:r>
      <w:r w:rsidR="00BB56FF" w:rsidRPr="00FA6774">
        <w:t>;</w:t>
      </w:r>
    </w:p>
    <w:p w14:paraId="36E5EC0C" w14:textId="704847C2" w:rsidR="00BB56FF" w:rsidRPr="00FA6774" w:rsidRDefault="00BB56FF" w:rsidP="00BB56FF">
      <w:pPr>
        <w:numPr>
          <w:ilvl w:val="0"/>
          <w:numId w:val="2"/>
        </w:numPr>
        <w:spacing w:line="276" w:lineRule="auto"/>
        <w:ind w:left="1440" w:hanging="720"/>
      </w:pPr>
      <w:r w:rsidRPr="00FA6774">
        <w:t xml:space="preserve">Provide </w:t>
      </w:r>
      <w:r w:rsidR="00FA6774" w:rsidRPr="00FA6774">
        <w:t xml:space="preserve">on-site study staff </w:t>
      </w:r>
      <w:r w:rsidR="00FA6774">
        <w:t xml:space="preserve">at the facility </w:t>
      </w:r>
      <w:r w:rsidR="00FA6774" w:rsidRPr="00FA6774">
        <w:t xml:space="preserve">to answer questions or assist participants </w:t>
      </w:r>
      <w:r w:rsidRPr="00FA6774">
        <w:t>who may have questions or technical difficulty as they complete the survey.</w:t>
      </w:r>
    </w:p>
    <w:p w14:paraId="55BE008A" w14:textId="77777777" w:rsidR="005E7E7C" w:rsidRPr="005160EC" w:rsidRDefault="005E7E7C" w:rsidP="00FA6774">
      <w:pPr>
        <w:spacing w:line="276" w:lineRule="auto"/>
        <w:ind w:left="1440"/>
        <w:rPr>
          <w:highlight w:val="yellow"/>
        </w:rPr>
      </w:pPr>
    </w:p>
    <w:p w14:paraId="1D723C97" w14:textId="019C4ED7" w:rsidR="00BB56FF" w:rsidRDefault="00FA6774" w:rsidP="005E7E7C">
      <w:pPr>
        <w:spacing w:line="276" w:lineRule="auto"/>
        <w:contextualSpacing/>
      </w:pPr>
      <w:r>
        <w:t>Despite these procedures, we realize that not all identified participants will complete the study, and w</w:t>
      </w:r>
      <w:r w:rsidR="00BB56FF">
        <w:t>e recognize that l</w:t>
      </w:r>
      <w:r w:rsidR="00BB56FF" w:rsidRPr="00704775">
        <w:t xml:space="preserve">ess than full participation could bias study results if the nonrespondents would have answered </w:t>
      </w:r>
      <w:r w:rsidR="005E7E7C">
        <w:t>differently had they completed participation in the study</w:t>
      </w:r>
      <w:r w:rsidR="00BB56FF" w:rsidRPr="00704775">
        <w:t xml:space="preserve">. Hence, to reduce the potential for such bias, we will adjust the sample design weights within cells indexed by gender, age and race/ethnicity. These adjustments will be applied to each respondent within the cells, and the sum of the product of the adjustment times the design-based weights will be equal to the population characteristics of any group they were recruited from. The process forces each respondent to represent a portion of the nonrespondents within the cell. These weight adjustments will be calculated using our Generalized Exponential Model (GEM) software </w:t>
      </w:r>
      <w:r w:rsidR="00BB56FF" w:rsidRPr="00704775">
        <w:lastRenderedPageBreak/>
        <w:t>(Folsom &amp; Singh, 2000)</w:t>
      </w:r>
      <w:r w:rsidR="00BB56FF" w:rsidRPr="005E7E7C">
        <w:rPr>
          <w:rStyle w:val="FootnoteReference"/>
        </w:rPr>
        <w:footnoteReference w:id="2"/>
      </w:r>
      <w:r w:rsidR="00BB56FF" w:rsidRPr="00704775">
        <w:t>. GEM is a raking procedure that is a generalization of the logic-type model, which has been proven to produce less-variable weights than do the traditional weighting class methods (Levy &amp; Lemeshow, 2008)</w:t>
      </w:r>
      <w:r w:rsidR="00BB56FF" w:rsidRPr="005E7E7C">
        <w:rPr>
          <w:rStyle w:val="FootnoteReference"/>
        </w:rPr>
        <w:footnoteReference w:id="3"/>
      </w:r>
      <w:r w:rsidR="00BB56FF" w:rsidRPr="00704775">
        <w:t>.</w:t>
      </w:r>
    </w:p>
    <w:p w14:paraId="1FD87523" w14:textId="77777777" w:rsidR="005E7E7C" w:rsidRDefault="005E7E7C" w:rsidP="005E7E7C">
      <w:pPr>
        <w:spacing w:line="276" w:lineRule="auto"/>
        <w:contextualSpacing/>
      </w:pPr>
    </w:p>
    <w:p w14:paraId="6E476FD7" w14:textId="325A826C" w:rsidR="00BB56FF" w:rsidRPr="00704775" w:rsidRDefault="00BB56FF" w:rsidP="005E7E7C">
      <w:pPr>
        <w:spacing w:line="276" w:lineRule="auto"/>
        <w:contextualSpacing/>
      </w:pPr>
      <w:r w:rsidRPr="005E7E7C">
        <w:t>There are several approaches to address the potential for nonresponse bias analysis in this study, such as comparing response rates by subgroups, comparing respondents and nonrespondents on frame variables, and conducting a nonresponse follow-up study.</w:t>
      </w:r>
      <w:r w:rsidRPr="005E7E7C">
        <w:rPr>
          <w:rStyle w:val="FootnoteReference"/>
          <w:color w:val="000000"/>
        </w:rPr>
        <w:t xml:space="preserve"> </w:t>
      </w:r>
      <w:r w:rsidRPr="005E7E7C">
        <w:rPr>
          <w:rStyle w:val="FootnoteReference"/>
          <w:color w:val="000000"/>
        </w:rPr>
        <w:footnoteReference w:id="4"/>
      </w:r>
      <w:r w:rsidRPr="005E7E7C">
        <w:t xml:space="preserve"> </w:t>
      </w:r>
      <w:r w:rsidRPr="00704775">
        <w:t>To measure the impact of nonresponse</w:t>
      </w:r>
      <w:r>
        <w:t xml:space="preserve"> for this study</w:t>
      </w:r>
      <w:r w:rsidRPr="00704775">
        <w:t xml:space="preserve">, we </w:t>
      </w:r>
      <w:r>
        <w:t xml:space="preserve">propose to </w:t>
      </w:r>
      <w:r w:rsidRPr="00704775">
        <w:t>measure nonresponse bias by comparing the distribution patterns of responders with known population distributions. These comparisons will be limited to those variables for which we have population information (e.g., sex, age, race/ethnicity).</w:t>
      </w:r>
    </w:p>
    <w:p w14:paraId="48A37655" w14:textId="77777777" w:rsidR="00BB56FF" w:rsidRDefault="00BB56FF" w:rsidP="00D05FD9">
      <w:pPr>
        <w:autoSpaceDE w:val="0"/>
        <w:autoSpaceDN w:val="0"/>
        <w:adjustRightInd w:val="0"/>
        <w:spacing w:line="276" w:lineRule="auto"/>
        <w:rPr>
          <w:color w:val="000000"/>
        </w:rPr>
      </w:pPr>
    </w:p>
    <w:p w14:paraId="11F504D2" w14:textId="77777777" w:rsidR="00CA557D" w:rsidRPr="00E00EA0" w:rsidRDefault="00CA557D" w:rsidP="00D05FD9">
      <w:pPr>
        <w:numPr>
          <w:ilvl w:val="0"/>
          <w:numId w:val="1"/>
        </w:numPr>
        <w:spacing w:before="100" w:beforeAutospacing="1" w:after="100" w:afterAutospacing="1" w:line="276" w:lineRule="auto"/>
        <w:rPr>
          <w:u w:val="single"/>
        </w:rPr>
      </w:pPr>
      <w:r w:rsidRPr="00E00EA0">
        <w:rPr>
          <w:u w:val="single"/>
        </w:rPr>
        <w:t>Test of Procedures or Methods to be Undertaken</w:t>
      </w:r>
    </w:p>
    <w:p w14:paraId="7FC6A2E9" w14:textId="7D32E245" w:rsidR="00CA557D" w:rsidRPr="00FC728D" w:rsidRDefault="00444633" w:rsidP="00D05FD9">
      <w:pPr>
        <w:spacing w:line="276" w:lineRule="auto"/>
      </w:pPr>
      <w:r>
        <w:t xml:space="preserve">Nine cognitive interviews have been conducted with individuals in the </w:t>
      </w:r>
      <w:r w:rsidR="00FF72A6">
        <w:t>young</w:t>
      </w:r>
      <w:r w:rsidRPr="00FF72A6">
        <w:t xml:space="preserve"> </w:t>
      </w:r>
      <w:r w:rsidR="00FF72A6">
        <w:t xml:space="preserve">(18-25 years) </w:t>
      </w:r>
      <w:r w:rsidRPr="00FF72A6">
        <w:t xml:space="preserve">and </w:t>
      </w:r>
      <w:r w:rsidR="00FF72A6">
        <w:t>young-old</w:t>
      </w:r>
      <w:r>
        <w:t xml:space="preserve"> </w:t>
      </w:r>
      <w:r w:rsidR="00FF72A6">
        <w:t xml:space="preserve">(60-74 years) </w:t>
      </w:r>
      <w:r>
        <w:t>age groups</w:t>
      </w:r>
      <w:r w:rsidR="00FF72A6">
        <w:t xml:space="preserve"> to assess questionnaire flow</w:t>
      </w:r>
      <w:r>
        <w:t xml:space="preserve">.  We propose to interview another </w:t>
      </w:r>
      <w:r w:rsidR="00FF72A6">
        <w:t>nine</w:t>
      </w:r>
      <w:r>
        <w:t xml:space="preserve"> individuals, this time </w:t>
      </w:r>
      <w:r w:rsidR="00FF72A6">
        <w:t>with</w:t>
      </w:r>
      <w:r>
        <w:t xml:space="preserve"> </w:t>
      </w:r>
      <w:r w:rsidR="00FF72A6">
        <w:t xml:space="preserve">participants in </w:t>
      </w:r>
      <w:r>
        <w:t xml:space="preserve">the </w:t>
      </w:r>
      <w:r w:rsidR="00FF72A6">
        <w:t>middle-aged (40-50 years)</w:t>
      </w:r>
      <w:r w:rsidRPr="00FF72A6">
        <w:t xml:space="preserve"> and </w:t>
      </w:r>
      <w:r w:rsidR="00FF72A6">
        <w:t>old-old (75+)</w:t>
      </w:r>
      <w:r>
        <w:t xml:space="preserve"> age groups, which will allow us to test the audiometric procedures as well as the survey flow</w:t>
      </w:r>
      <w:r w:rsidR="005160EC">
        <w:t xml:space="preserve"> (materials included in </w:t>
      </w:r>
      <w:r w:rsidR="00856C02" w:rsidRPr="00856C02">
        <w:t xml:space="preserve">Appendix </w:t>
      </w:r>
      <w:r w:rsidR="00856C02">
        <w:t>C</w:t>
      </w:r>
      <w:r w:rsidR="005160EC">
        <w:t>)</w:t>
      </w:r>
      <w:r>
        <w:t>.  Moreover, after this round of cognitive testing, we plan to conduct pretests on a larger scale to ensure the main study will run smoothly.  We propose to test 640 individuals in the pretest, or 20 per cell</w:t>
      </w:r>
      <w:r w:rsidR="000F73D3">
        <w:t xml:space="preserve"> and age group</w:t>
      </w:r>
      <w:r>
        <w:t xml:space="preserve">, to enable us to obtain 80% power to detect a small effect size with an alpha of .10 and a small effect size.  </w:t>
      </w:r>
    </w:p>
    <w:p w14:paraId="0264AE73" w14:textId="77777777" w:rsidR="00CA557D" w:rsidRPr="00901043" w:rsidRDefault="00CA557D" w:rsidP="00D05FD9">
      <w:pPr>
        <w:numPr>
          <w:ilvl w:val="0"/>
          <w:numId w:val="1"/>
        </w:numPr>
        <w:spacing w:before="100" w:beforeAutospacing="1" w:after="100" w:afterAutospacing="1" w:line="276" w:lineRule="auto"/>
      </w:pPr>
      <w:r w:rsidRPr="00E00EA0">
        <w:rPr>
          <w:u w:val="single"/>
        </w:rPr>
        <w:t>Individuals Consulted on Statistical Aspects and Individuals Collecting and/or Analyzing Data</w:t>
      </w:r>
    </w:p>
    <w:p w14:paraId="6B85112C" w14:textId="77777777" w:rsidR="00CA557D" w:rsidRPr="004C6979" w:rsidRDefault="00CA557D" w:rsidP="00D05FD9">
      <w:pPr>
        <w:spacing w:before="100" w:beforeAutospacing="1" w:after="100" w:afterAutospacing="1" w:line="276" w:lineRule="auto"/>
        <w:rPr>
          <w:b/>
        </w:rPr>
      </w:pPr>
      <w:r w:rsidRPr="000F1691">
        <w:t>The contractor, RTI,</w:t>
      </w:r>
      <w:r>
        <w:t xml:space="preserve"> will collect and analyze</w:t>
      </w:r>
      <w:r w:rsidRPr="000F1691">
        <w:t xml:space="preserve"> </w:t>
      </w:r>
      <w:r>
        <w:t xml:space="preserve">the data </w:t>
      </w:r>
      <w:r w:rsidRPr="000F1691">
        <w:t>on behalf of FDA as a task order under Contract HHSF223</w:t>
      </w:r>
      <w:r w:rsidR="000F73D3">
        <w:t>201</w:t>
      </w:r>
      <w:r w:rsidR="00D05FD9">
        <w:t>400478</w:t>
      </w:r>
      <w:r w:rsidR="00C816ED">
        <w:t>G</w:t>
      </w:r>
      <w:r w:rsidRPr="000F1691">
        <w:t xml:space="preserve">. </w:t>
      </w:r>
      <w:r w:rsidR="00D05FD9">
        <w:t>Brian Southwell</w:t>
      </w:r>
      <w:r>
        <w:t>, Ph.D</w:t>
      </w:r>
      <w:r w:rsidRPr="00423C0D">
        <w:t>.</w:t>
      </w:r>
      <w:r w:rsidR="00C816ED">
        <w:t>,</w:t>
      </w:r>
      <w:r w:rsidRPr="00423C0D">
        <w:t xml:space="preserve"> </w:t>
      </w:r>
      <w:r w:rsidR="00D05FD9">
        <w:t>919-541-8037</w:t>
      </w:r>
      <w:r w:rsidRPr="00423C0D">
        <w:rPr>
          <w:noProof/>
        </w:rPr>
        <w:t xml:space="preserve">, </w:t>
      </w:r>
      <w:r w:rsidRPr="00423C0D">
        <w:t>is the Project Director for this project</w:t>
      </w:r>
      <w:r w:rsidRPr="00423C0D">
        <w:rPr>
          <w:noProof/>
        </w:rPr>
        <w:t xml:space="preserve">. </w:t>
      </w:r>
      <w:r w:rsidRPr="000F1691">
        <w:rPr>
          <w:noProof/>
        </w:rPr>
        <w:t>Data</w:t>
      </w:r>
      <w:r w:rsidRPr="000F1691">
        <w:rPr>
          <w:noProof/>
          <w:color w:val="000080"/>
        </w:rPr>
        <w:t xml:space="preserve"> </w:t>
      </w:r>
      <w:r w:rsidRPr="000F1691">
        <w:t>analysis will be overseen by</w:t>
      </w:r>
      <w:r>
        <w:t xml:space="preserve"> the Research Team, Office of Prescription Drug Promotion (OPDP), Office of Medical Policy, CDER, FDA, and coordinated by </w:t>
      </w:r>
      <w:r w:rsidR="00D05FD9">
        <w:t>Amie C. O’Donoghue</w:t>
      </w:r>
      <w:r w:rsidR="00C816ED">
        <w:t>, Ph.D., 301-79</w:t>
      </w:r>
      <w:r w:rsidR="00D05FD9">
        <w:t>6-0574</w:t>
      </w:r>
      <w:r w:rsidR="00FC728D">
        <w:t>,</w:t>
      </w:r>
      <w:r w:rsidR="00C816ED">
        <w:t xml:space="preserve"> and </w:t>
      </w:r>
      <w:r>
        <w:t>Helen W. Sullivan, Ph.D., M.P.H., 301-796-4188.</w:t>
      </w:r>
    </w:p>
    <w:p w14:paraId="6AF0A2F2" w14:textId="77777777" w:rsidR="003E7CB2" w:rsidRDefault="003E7CB2" w:rsidP="00D05FD9">
      <w:pPr>
        <w:spacing w:line="276" w:lineRule="auto"/>
      </w:pPr>
    </w:p>
    <w:sectPr w:rsidR="003E7CB2" w:rsidSect="00852CDF">
      <w:footerReference w:type="even" r:id="rId9"/>
      <w:footerReference w:type="default" r:id="rId10"/>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86E85C" w15:done="0"/>
  <w15:commentEx w15:paraId="2CA8064A" w15:done="0"/>
  <w15:commentEx w15:paraId="45061FC5" w15:done="0"/>
  <w15:commentEx w15:paraId="6F3EF903" w15:paraIdParent="45061FC5" w15:done="0"/>
  <w15:commentEx w15:paraId="16FDAF12" w15:done="0"/>
  <w15:commentEx w15:paraId="5A884CB7" w15:paraIdParent="16FDAF12" w15:done="0"/>
  <w15:commentEx w15:paraId="1D320B99" w15:done="0"/>
  <w15:commentEx w15:paraId="69676CF8" w15:paraIdParent="1D320B9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3679F2" w14:textId="77777777" w:rsidR="00DC422C" w:rsidRDefault="00DC422C" w:rsidP="00CA557D">
      <w:r>
        <w:separator/>
      </w:r>
    </w:p>
  </w:endnote>
  <w:endnote w:type="continuationSeparator" w:id="0">
    <w:p w14:paraId="0960D3B0" w14:textId="77777777" w:rsidR="00DC422C" w:rsidRDefault="00DC422C" w:rsidP="00CA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Ligh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3DBFB" w14:textId="77777777" w:rsidR="00852CDF" w:rsidRDefault="00852CDF" w:rsidP="00852C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CB10BD" w14:textId="77777777" w:rsidR="00852CDF" w:rsidRDefault="00852C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39BB1" w14:textId="77777777" w:rsidR="00852CDF" w:rsidRDefault="00852CDF" w:rsidP="00852C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506C">
      <w:rPr>
        <w:rStyle w:val="PageNumber"/>
        <w:noProof/>
      </w:rPr>
      <w:t>1</w:t>
    </w:r>
    <w:r>
      <w:rPr>
        <w:rStyle w:val="PageNumber"/>
      </w:rPr>
      <w:fldChar w:fldCharType="end"/>
    </w:r>
  </w:p>
  <w:p w14:paraId="70F8AA7E" w14:textId="77777777" w:rsidR="00852CDF" w:rsidRDefault="00852C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01C2D8" w14:textId="77777777" w:rsidR="00DC422C" w:rsidRDefault="00DC422C" w:rsidP="00CA557D">
      <w:r>
        <w:separator/>
      </w:r>
    </w:p>
  </w:footnote>
  <w:footnote w:type="continuationSeparator" w:id="0">
    <w:p w14:paraId="0C29759C" w14:textId="77777777" w:rsidR="00DC422C" w:rsidRDefault="00DC422C" w:rsidP="00CA557D">
      <w:r>
        <w:continuationSeparator/>
      </w:r>
    </w:p>
  </w:footnote>
  <w:footnote w:id="1">
    <w:p w14:paraId="77BE6C90" w14:textId="53C9B9B2" w:rsidR="00457ED6" w:rsidRPr="00457ED6" w:rsidRDefault="00457ED6">
      <w:pPr>
        <w:pStyle w:val="FootnoteText"/>
      </w:pPr>
      <w:r>
        <w:rPr>
          <w:rStyle w:val="FootnoteReference"/>
        </w:rPr>
        <w:footnoteRef/>
      </w:r>
      <w:r w:rsidRPr="00457ED6">
        <w:rPr>
          <w:lang w:val="de-DE"/>
        </w:rPr>
        <w:t xml:space="preserve"> Hintze, J. (2011). PASS 11 NCSS, LLC. Kaysville, Utah, USA. </w:t>
      </w:r>
      <w:hyperlink r:id="rId1" w:history="1">
        <w:r w:rsidRPr="00457ED6">
          <w:t>www.ncss</w:t>
        </w:r>
        <w:r w:rsidRPr="009A34AF">
          <w:t>.com</w:t>
        </w:r>
      </w:hyperlink>
    </w:p>
  </w:footnote>
  <w:footnote w:id="2">
    <w:p w14:paraId="58EC5722" w14:textId="369B7A05" w:rsidR="00BB56FF" w:rsidRDefault="00BB56FF">
      <w:pPr>
        <w:pStyle w:val="FootnoteText"/>
      </w:pPr>
      <w:r>
        <w:rPr>
          <w:rStyle w:val="FootnoteReference"/>
        </w:rPr>
        <w:footnoteRef/>
      </w:r>
      <w:r>
        <w:t xml:space="preserve"> </w:t>
      </w:r>
      <w:r w:rsidRPr="00704775">
        <w:t>Folsom, R. E., &amp; Singh, A. C. (2000). The generalized exponential model for sampling weight calibration for extreme values, nonresponse, and poststratification. ASA Proceedings, Survey Research Methods Section. 598–602</w:t>
      </w:r>
      <w:r>
        <w:t>.</w:t>
      </w:r>
    </w:p>
  </w:footnote>
  <w:footnote w:id="3">
    <w:p w14:paraId="6F69073E" w14:textId="720CC7FF" w:rsidR="00BB56FF" w:rsidRDefault="00BB56FF">
      <w:pPr>
        <w:pStyle w:val="FootnoteText"/>
      </w:pPr>
      <w:r>
        <w:rPr>
          <w:rStyle w:val="FootnoteReference"/>
        </w:rPr>
        <w:footnoteRef/>
      </w:r>
      <w:r>
        <w:t xml:space="preserve"> </w:t>
      </w:r>
      <w:r w:rsidRPr="00704775">
        <w:t xml:space="preserve">Levy, P., &amp; Lemeshow, S. (2008). </w:t>
      </w:r>
      <w:r w:rsidRPr="00704775">
        <w:rPr>
          <w:i/>
        </w:rPr>
        <w:t>Sampling of populations</w:t>
      </w:r>
      <w:r w:rsidRPr="00704775">
        <w:t>. 4th ed. New York: Wiley.</w:t>
      </w:r>
    </w:p>
  </w:footnote>
  <w:footnote w:id="4">
    <w:p w14:paraId="658C0EB5" w14:textId="77777777" w:rsidR="00BB56FF" w:rsidRPr="00385D1F" w:rsidRDefault="00BB56FF" w:rsidP="00BB56FF">
      <w:pPr>
        <w:pStyle w:val="FootnoteText"/>
      </w:pPr>
      <w:r>
        <w:rPr>
          <w:rStyle w:val="FootnoteReference"/>
        </w:rPr>
        <w:footnoteRef/>
      </w:r>
      <w:r>
        <w:t xml:space="preserve"> Office of Management and Budget, </w:t>
      </w:r>
      <w:r w:rsidRPr="00385D1F">
        <w:rPr>
          <w:i/>
        </w:rPr>
        <w:t>Standards and Guidelines for Statistical Surveys</w:t>
      </w:r>
      <w:r>
        <w:t xml:space="preserve">, September, 2006.  </w:t>
      </w:r>
      <w:hyperlink r:id="rId2" w:history="1">
        <w:r w:rsidRPr="000764CC">
          <w:rPr>
            <w:rStyle w:val="Hyperlink"/>
          </w:rPr>
          <w:t>www.whitehouse.gov/sites/default/files/omb/inforeg/statpc</w:t>
        </w:r>
      </w:hyperlink>
      <w:r>
        <w:t>.  Last accessed April 18,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34062"/>
    <w:multiLevelType w:val="hybridMultilevel"/>
    <w:tmpl w:val="4FE0C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002856"/>
    <w:multiLevelType w:val="hybridMultilevel"/>
    <w:tmpl w:val="2B1EA6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F0948A1"/>
    <w:multiLevelType w:val="hybridMultilevel"/>
    <w:tmpl w:val="F66A055E"/>
    <w:lvl w:ilvl="0" w:tplc="51C44CB6">
      <w:numFmt w:val="bullet"/>
      <w:lvlText w:val="•"/>
      <w:lvlJc w:val="left"/>
      <w:pPr>
        <w:ind w:left="1440" w:hanging="720"/>
      </w:pPr>
      <w:rPr>
        <w:rFonts w:ascii="HelveticaNeueLT-Light" w:eastAsia="Times New Roman" w:hAnsi="HelveticaNeueLT-Light"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EC2616C"/>
    <w:multiLevelType w:val="hybridMultilevel"/>
    <w:tmpl w:val="522A8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y, Sarah">
    <w15:presenceInfo w15:providerId="AD" w15:userId="S-1-5-21-2101533902-423532799-1776743176-3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57D"/>
    <w:rsid w:val="0000253E"/>
    <w:rsid w:val="00087C35"/>
    <w:rsid w:val="000E33F2"/>
    <w:rsid w:val="000F73D3"/>
    <w:rsid w:val="000F7AA6"/>
    <w:rsid w:val="00134422"/>
    <w:rsid w:val="00135951"/>
    <w:rsid w:val="00173EA6"/>
    <w:rsid w:val="00187029"/>
    <w:rsid w:val="001C6B82"/>
    <w:rsid w:val="00265EB4"/>
    <w:rsid w:val="00282179"/>
    <w:rsid w:val="002B576B"/>
    <w:rsid w:val="002D046B"/>
    <w:rsid w:val="002E0B97"/>
    <w:rsid w:val="0030047C"/>
    <w:rsid w:val="00302C84"/>
    <w:rsid w:val="00307250"/>
    <w:rsid w:val="00307531"/>
    <w:rsid w:val="0034036A"/>
    <w:rsid w:val="003439D6"/>
    <w:rsid w:val="00357349"/>
    <w:rsid w:val="00382B87"/>
    <w:rsid w:val="003C2B5D"/>
    <w:rsid w:val="003E58D6"/>
    <w:rsid w:val="003E7CB2"/>
    <w:rsid w:val="003F1AB6"/>
    <w:rsid w:val="003F6667"/>
    <w:rsid w:val="00403E48"/>
    <w:rsid w:val="00411439"/>
    <w:rsid w:val="00444633"/>
    <w:rsid w:val="00446A2C"/>
    <w:rsid w:val="004550B9"/>
    <w:rsid w:val="00457ED6"/>
    <w:rsid w:val="00473190"/>
    <w:rsid w:val="00484958"/>
    <w:rsid w:val="004E3F66"/>
    <w:rsid w:val="005026ED"/>
    <w:rsid w:val="005160EC"/>
    <w:rsid w:val="0052413A"/>
    <w:rsid w:val="00552D02"/>
    <w:rsid w:val="005872B9"/>
    <w:rsid w:val="005E7E7C"/>
    <w:rsid w:val="005F75B5"/>
    <w:rsid w:val="00604567"/>
    <w:rsid w:val="00620AEC"/>
    <w:rsid w:val="00640380"/>
    <w:rsid w:val="00672A09"/>
    <w:rsid w:val="00696B2E"/>
    <w:rsid w:val="006B7681"/>
    <w:rsid w:val="006D3FDB"/>
    <w:rsid w:val="006D7E73"/>
    <w:rsid w:val="00723D1C"/>
    <w:rsid w:val="00732BFC"/>
    <w:rsid w:val="00795FCC"/>
    <w:rsid w:val="008331F1"/>
    <w:rsid w:val="00835A14"/>
    <w:rsid w:val="00841C8C"/>
    <w:rsid w:val="008433D4"/>
    <w:rsid w:val="00852CDF"/>
    <w:rsid w:val="00856C02"/>
    <w:rsid w:val="00867E7D"/>
    <w:rsid w:val="008A2674"/>
    <w:rsid w:val="008C7DBD"/>
    <w:rsid w:val="008D428B"/>
    <w:rsid w:val="008D614C"/>
    <w:rsid w:val="008E7392"/>
    <w:rsid w:val="008F30B8"/>
    <w:rsid w:val="009028C9"/>
    <w:rsid w:val="009032BE"/>
    <w:rsid w:val="009443DB"/>
    <w:rsid w:val="009779AE"/>
    <w:rsid w:val="009D7512"/>
    <w:rsid w:val="009E28FF"/>
    <w:rsid w:val="009E6E41"/>
    <w:rsid w:val="009F7857"/>
    <w:rsid w:val="00A03DB5"/>
    <w:rsid w:val="00A37368"/>
    <w:rsid w:val="00A8790A"/>
    <w:rsid w:val="00A945CC"/>
    <w:rsid w:val="00AB64CE"/>
    <w:rsid w:val="00AD6959"/>
    <w:rsid w:val="00B0212F"/>
    <w:rsid w:val="00B078EC"/>
    <w:rsid w:val="00B16F03"/>
    <w:rsid w:val="00B239CB"/>
    <w:rsid w:val="00B27E63"/>
    <w:rsid w:val="00B4529A"/>
    <w:rsid w:val="00B843F4"/>
    <w:rsid w:val="00BB56FF"/>
    <w:rsid w:val="00BD3067"/>
    <w:rsid w:val="00BE0592"/>
    <w:rsid w:val="00BF4B94"/>
    <w:rsid w:val="00C06B96"/>
    <w:rsid w:val="00C816ED"/>
    <w:rsid w:val="00C95513"/>
    <w:rsid w:val="00CA465E"/>
    <w:rsid w:val="00CA557D"/>
    <w:rsid w:val="00CB4414"/>
    <w:rsid w:val="00CB5084"/>
    <w:rsid w:val="00CC623A"/>
    <w:rsid w:val="00CD0271"/>
    <w:rsid w:val="00CF3B12"/>
    <w:rsid w:val="00D05FD9"/>
    <w:rsid w:val="00D150EB"/>
    <w:rsid w:val="00D15EFA"/>
    <w:rsid w:val="00D27AB9"/>
    <w:rsid w:val="00D402C8"/>
    <w:rsid w:val="00D550F2"/>
    <w:rsid w:val="00D56E09"/>
    <w:rsid w:val="00D631DF"/>
    <w:rsid w:val="00DC3BE2"/>
    <w:rsid w:val="00DC422C"/>
    <w:rsid w:val="00E04A08"/>
    <w:rsid w:val="00E13C7B"/>
    <w:rsid w:val="00E85613"/>
    <w:rsid w:val="00E9716A"/>
    <w:rsid w:val="00ED7D9B"/>
    <w:rsid w:val="00EF24E2"/>
    <w:rsid w:val="00F35222"/>
    <w:rsid w:val="00F44E4B"/>
    <w:rsid w:val="00F46038"/>
    <w:rsid w:val="00F87C75"/>
    <w:rsid w:val="00F934C9"/>
    <w:rsid w:val="00FA2BB2"/>
    <w:rsid w:val="00FA6774"/>
    <w:rsid w:val="00FB3BE0"/>
    <w:rsid w:val="00FC728D"/>
    <w:rsid w:val="00FE506C"/>
    <w:rsid w:val="00FF7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B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57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A557D"/>
    <w:pPr>
      <w:spacing w:before="100" w:beforeAutospacing="1" w:after="100" w:afterAutospacing="1"/>
    </w:pPr>
  </w:style>
  <w:style w:type="paragraph" w:styleId="Footer">
    <w:name w:val="footer"/>
    <w:basedOn w:val="Normal"/>
    <w:link w:val="FooterChar"/>
    <w:rsid w:val="00CA557D"/>
    <w:pPr>
      <w:tabs>
        <w:tab w:val="center" w:pos="4320"/>
        <w:tab w:val="right" w:pos="8640"/>
      </w:tabs>
    </w:pPr>
  </w:style>
  <w:style w:type="character" w:customStyle="1" w:styleId="FooterChar">
    <w:name w:val="Footer Char"/>
    <w:link w:val="Footer"/>
    <w:rsid w:val="00CA557D"/>
    <w:rPr>
      <w:sz w:val="24"/>
      <w:szCs w:val="24"/>
    </w:rPr>
  </w:style>
  <w:style w:type="character" w:styleId="PageNumber">
    <w:name w:val="page number"/>
    <w:rsid w:val="00CA557D"/>
  </w:style>
  <w:style w:type="character" w:styleId="CommentReference">
    <w:name w:val="annotation reference"/>
    <w:uiPriority w:val="99"/>
    <w:rsid w:val="00CA557D"/>
    <w:rPr>
      <w:sz w:val="16"/>
      <w:szCs w:val="16"/>
    </w:rPr>
  </w:style>
  <w:style w:type="paragraph" w:styleId="CommentText">
    <w:name w:val="annotation text"/>
    <w:basedOn w:val="Normal"/>
    <w:link w:val="CommentTextChar"/>
    <w:rsid w:val="00CA557D"/>
    <w:rPr>
      <w:sz w:val="20"/>
      <w:szCs w:val="20"/>
    </w:rPr>
  </w:style>
  <w:style w:type="character" w:customStyle="1" w:styleId="CommentTextChar">
    <w:name w:val="Comment Text Char"/>
    <w:basedOn w:val="DefaultParagraphFont"/>
    <w:link w:val="CommentText"/>
    <w:rsid w:val="00CA557D"/>
  </w:style>
  <w:style w:type="paragraph" w:styleId="FootnoteText">
    <w:name w:val="footnote text"/>
    <w:basedOn w:val="Normal"/>
    <w:link w:val="FootnoteTextChar"/>
    <w:uiPriority w:val="99"/>
    <w:rsid w:val="00CA557D"/>
    <w:pPr>
      <w:widowControl w:val="0"/>
    </w:pPr>
    <w:rPr>
      <w:snapToGrid w:val="0"/>
      <w:sz w:val="20"/>
      <w:szCs w:val="20"/>
    </w:rPr>
  </w:style>
  <w:style w:type="character" w:customStyle="1" w:styleId="FootnoteTextChar">
    <w:name w:val="Footnote Text Char"/>
    <w:link w:val="FootnoteText"/>
    <w:uiPriority w:val="99"/>
    <w:rsid w:val="00CA557D"/>
    <w:rPr>
      <w:snapToGrid w:val="0"/>
    </w:rPr>
  </w:style>
  <w:style w:type="character" w:styleId="FootnoteReference">
    <w:name w:val="footnote reference"/>
    <w:uiPriority w:val="99"/>
    <w:rsid w:val="00CA557D"/>
    <w:rPr>
      <w:vertAlign w:val="superscript"/>
    </w:rPr>
  </w:style>
  <w:style w:type="paragraph" w:styleId="BalloonText">
    <w:name w:val="Balloon Text"/>
    <w:basedOn w:val="Normal"/>
    <w:link w:val="BalloonTextChar"/>
    <w:uiPriority w:val="99"/>
    <w:semiHidden/>
    <w:unhideWhenUsed/>
    <w:rsid w:val="00CA557D"/>
    <w:rPr>
      <w:rFonts w:ascii="Tahoma" w:hAnsi="Tahoma" w:cs="Tahoma"/>
      <w:sz w:val="16"/>
      <w:szCs w:val="16"/>
    </w:rPr>
  </w:style>
  <w:style w:type="character" w:customStyle="1" w:styleId="BalloonTextChar">
    <w:name w:val="Balloon Text Char"/>
    <w:link w:val="BalloonText"/>
    <w:uiPriority w:val="99"/>
    <w:semiHidden/>
    <w:rsid w:val="00CA557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816ED"/>
    <w:rPr>
      <w:b/>
      <w:bCs/>
    </w:rPr>
  </w:style>
  <w:style w:type="character" w:customStyle="1" w:styleId="CommentSubjectChar">
    <w:name w:val="Comment Subject Char"/>
    <w:link w:val="CommentSubject"/>
    <w:uiPriority w:val="99"/>
    <w:semiHidden/>
    <w:rsid w:val="00C816ED"/>
    <w:rPr>
      <w:b/>
      <w:bCs/>
    </w:rPr>
  </w:style>
  <w:style w:type="paragraph" w:styleId="ListParagraph">
    <w:name w:val="List Paragraph"/>
    <w:basedOn w:val="Normal"/>
    <w:uiPriority w:val="34"/>
    <w:qFormat/>
    <w:rsid w:val="0052413A"/>
    <w:pPr>
      <w:ind w:left="720"/>
      <w:contextualSpacing/>
    </w:pPr>
  </w:style>
  <w:style w:type="character" w:styleId="Hyperlink">
    <w:name w:val="Hyperlink"/>
    <w:uiPriority w:val="99"/>
    <w:rsid w:val="0052413A"/>
    <w:rPr>
      <w:rFonts w:cs="Times New Roman"/>
      <w:color w:val="0000FF"/>
      <w:u w:val="single"/>
    </w:rPr>
  </w:style>
  <w:style w:type="paragraph" w:customStyle="1" w:styleId="Default">
    <w:name w:val="Default"/>
    <w:rsid w:val="008D428B"/>
    <w:pPr>
      <w:autoSpaceDE w:val="0"/>
      <w:autoSpaceDN w:val="0"/>
      <w:adjustRightInd w:val="0"/>
    </w:pPr>
    <w:rPr>
      <w:color w:val="000000"/>
      <w:sz w:val="24"/>
      <w:szCs w:val="24"/>
    </w:rPr>
  </w:style>
  <w:style w:type="table" w:customStyle="1" w:styleId="Graytablecomplex">
    <w:name w:val="Gray_table_complex"/>
    <w:basedOn w:val="TableNormal"/>
    <w:rsid w:val="006D7E73"/>
    <w:rPr>
      <w:rFonts w:ascii="Arial" w:hAnsi="Arial"/>
    </w:rPr>
    <w:tblPr>
      <w:tblBorders>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pPr>
      <w:tblPr/>
      <w:tcPr>
        <w:tcBorders>
          <w:top w:val="single" w:sz="4" w:space="0" w:color="FFFFFF" w:themeColor="background1"/>
          <w:insideV w:val="single" w:sz="4" w:space="0" w:color="FFFFFF" w:themeColor="background1"/>
        </w:tcBorders>
        <w:shd w:val="clear" w:color="auto" w:fill="0A357E"/>
      </w:tcPr>
    </w:tblStylePr>
    <w:tblStylePr w:type="lastRow">
      <w:tblPr/>
      <w:tcPr>
        <w:tcBorders>
          <w:bottom w:val="single" w:sz="12" w:space="0" w:color="auto"/>
        </w:tcBorders>
      </w:tcPr>
    </w:tblStylePr>
    <w:tblStylePr w:type="firstCol">
      <w:tblPr/>
      <w:tcPr>
        <w:shd w:val="clear" w:color="auto" w:fill="D9D9D9"/>
      </w:tcPr>
    </w:tblStylePr>
  </w:style>
  <w:style w:type="paragraph" w:customStyle="1" w:styleId="BodyText1">
    <w:name w:val="Body Text1"/>
    <w:basedOn w:val="Normal"/>
    <w:rsid w:val="009D7512"/>
    <w:pPr>
      <w:spacing w:after="240" w:line="320" w:lineRule="exact"/>
      <w:ind w:firstLine="720"/>
    </w:pPr>
    <w:rPr>
      <w:sz w:val="22"/>
      <w:szCs w:val="20"/>
    </w:rPr>
  </w:style>
  <w:style w:type="character" w:customStyle="1" w:styleId="apple-converted-space">
    <w:name w:val="apple-converted-space"/>
    <w:basedOn w:val="DefaultParagraphFont"/>
    <w:rsid w:val="00F46038"/>
  </w:style>
  <w:style w:type="character" w:customStyle="1" w:styleId="highlight">
    <w:name w:val="highlight"/>
    <w:basedOn w:val="DefaultParagraphFont"/>
    <w:rsid w:val="00F460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57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A557D"/>
    <w:pPr>
      <w:spacing w:before="100" w:beforeAutospacing="1" w:after="100" w:afterAutospacing="1"/>
    </w:pPr>
  </w:style>
  <w:style w:type="paragraph" w:styleId="Footer">
    <w:name w:val="footer"/>
    <w:basedOn w:val="Normal"/>
    <w:link w:val="FooterChar"/>
    <w:rsid w:val="00CA557D"/>
    <w:pPr>
      <w:tabs>
        <w:tab w:val="center" w:pos="4320"/>
        <w:tab w:val="right" w:pos="8640"/>
      </w:tabs>
    </w:pPr>
  </w:style>
  <w:style w:type="character" w:customStyle="1" w:styleId="FooterChar">
    <w:name w:val="Footer Char"/>
    <w:link w:val="Footer"/>
    <w:rsid w:val="00CA557D"/>
    <w:rPr>
      <w:sz w:val="24"/>
      <w:szCs w:val="24"/>
    </w:rPr>
  </w:style>
  <w:style w:type="character" w:styleId="PageNumber">
    <w:name w:val="page number"/>
    <w:rsid w:val="00CA557D"/>
  </w:style>
  <w:style w:type="character" w:styleId="CommentReference">
    <w:name w:val="annotation reference"/>
    <w:uiPriority w:val="99"/>
    <w:rsid w:val="00CA557D"/>
    <w:rPr>
      <w:sz w:val="16"/>
      <w:szCs w:val="16"/>
    </w:rPr>
  </w:style>
  <w:style w:type="paragraph" w:styleId="CommentText">
    <w:name w:val="annotation text"/>
    <w:basedOn w:val="Normal"/>
    <w:link w:val="CommentTextChar"/>
    <w:rsid w:val="00CA557D"/>
    <w:rPr>
      <w:sz w:val="20"/>
      <w:szCs w:val="20"/>
    </w:rPr>
  </w:style>
  <w:style w:type="character" w:customStyle="1" w:styleId="CommentTextChar">
    <w:name w:val="Comment Text Char"/>
    <w:basedOn w:val="DefaultParagraphFont"/>
    <w:link w:val="CommentText"/>
    <w:rsid w:val="00CA557D"/>
  </w:style>
  <w:style w:type="paragraph" w:styleId="FootnoteText">
    <w:name w:val="footnote text"/>
    <w:basedOn w:val="Normal"/>
    <w:link w:val="FootnoteTextChar"/>
    <w:uiPriority w:val="99"/>
    <w:rsid w:val="00CA557D"/>
    <w:pPr>
      <w:widowControl w:val="0"/>
    </w:pPr>
    <w:rPr>
      <w:snapToGrid w:val="0"/>
      <w:sz w:val="20"/>
      <w:szCs w:val="20"/>
    </w:rPr>
  </w:style>
  <w:style w:type="character" w:customStyle="1" w:styleId="FootnoteTextChar">
    <w:name w:val="Footnote Text Char"/>
    <w:link w:val="FootnoteText"/>
    <w:uiPriority w:val="99"/>
    <w:rsid w:val="00CA557D"/>
    <w:rPr>
      <w:snapToGrid w:val="0"/>
    </w:rPr>
  </w:style>
  <w:style w:type="character" w:styleId="FootnoteReference">
    <w:name w:val="footnote reference"/>
    <w:uiPriority w:val="99"/>
    <w:rsid w:val="00CA557D"/>
    <w:rPr>
      <w:vertAlign w:val="superscript"/>
    </w:rPr>
  </w:style>
  <w:style w:type="paragraph" w:styleId="BalloonText">
    <w:name w:val="Balloon Text"/>
    <w:basedOn w:val="Normal"/>
    <w:link w:val="BalloonTextChar"/>
    <w:uiPriority w:val="99"/>
    <w:semiHidden/>
    <w:unhideWhenUsed/>
    <w:rsid w:val="00CA557D"/>
    <w:rPr>
      <w:rFonts w:ascii="Tahoma" w:hAnsi="Tahoma" w:cs="Tahoma"/>
      <w:sz w:val="16"/>
      <w:szCs w:val="16"/>
    </w:rPr>
  </w:style>
  <w:style w:type="character" w:customStyle="1" w:styleId="BalloonTextChar">
    <w:name w:val="Balloon Text Char"/>
    <w:link w:val="BalloonText"/>
    <w:uiPriority w:val="99"/>
    <w:semiHidden/>
    <w:rsid w:val="00CA557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816ED"/>
    <w:rPr>
      <w:b/>
      <w:bCs/>
    </w:rPr>
  </w:style>
  <w:style w:type="character" w:customStyle="1" w:styleId="CommentSubjectChar">
    <w:name w:val="Comment Subject Char"/>
    <w:link w:val="CommentSubject"/>
    <w:uiPriority w:val="99"/>
    <w:semiHidden/>
    <w:rsid w:val="00C816ED"/>
    <w:rPr>
      <w:b/>
      <w:bCs/>
    </w:rPr>
  </w:style>
  <w:style w:type="paragraph" w:styleId="ListParagraph">
    <w:name w:val="List Paragraph"/>
    <w:basedOn w:val="Normal"/>
    <w:uiPriority w:val="34"/>
    <w:qFormat/>
    <w:rsid w:val="0052413A"/>
    <w:pPr>
      <w:ind w:left="720"/>
      <w:contextualSpacing/>
    </w:pPr>
  </w:style>
  <w:style w:type="character" w:styleId="Hyperlink">
    <w:name w:val="Hyperlink"/>
    <w:uiPriority w:val="99"/>
    <w:rsid w:val="0052413A"/>
    <w:rPr>
      <w:rFonts w:cs="Times New Roman"/>
      <w:color w:val="0000FF"/>
      <w:u w:val="single"/>
    </w:rPr>
  </w:style>
  <w:style w:type="paragraph" w:customStyle="1" w:styleId="Default">
    <w:name w:val="Default"/>
    <w:rsid w:val="008D428B"/>
    <w:pPr>
      <w:autoSpaceDE w:val="0"/>
      <w:autoSpaceDN w:val="0"/>
      <w:adjustRightInd w:val="0"/>
    </w:pPr>
    <w:rPr>
      <w:color w:val="000000"/>
      <w:sz w:val="24"/>
      <w:szCs w:val="24"/>
    </w:rPr>
  </w:style>
  <w:style w:type="table" w:customStyle="1" w:styleId="Graytablecomplex">
    <w:name w:val="Gray_table_complex"/>
    <w:basedOn w:val="TableNormal"/>
    <w:rsid w:val="006D7E73"/>
    <w:rPr>
      <w:rFonts w:ascii="Arial" w:hAnsi="Arial"/>
    </w:rPr>
    <w:tblPr>
      <w:tblBorders>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pPr>
      <w:tblPr/>
      <w:tcPr>
        <w:tcBorders>
          <w:top w:val="single" w:sz="4" w:space="0" w:color="FFFFFF" w:themeColor="background1"/>
          <w:insideV w:val="single" w:sz="4" w:space="0" w:color="FFFFFF" w:themeColor="background1"/>
        </w:tcBorders>
        <w:shd w:val="clear" w:color="auto" w:fill="0A357E"/>
      </w:tcPr>
    </w:tblStylePr>
    <w:tblStylePr w:type="lastRow">
      <w:tblPr/>
      <w:tcPr>
        <w:tcBorders>
          <w:bottom w:val="single" w:sz="12" w:space="0" w:color="auto"/>
        </w:tcBorders>
      </w:tcPr>
    </w:tblStylePr>
    <w:tblStylePr w:type="firstCol">
      <w:tblPr/>
      <w:tcPr>
        <w:shd w:val="clear" w:color="auto" w:fill="D9D9D9"/>
      </w:tcPr>
    </w:tblStylePr>
  </w:style>
  <w:style w:type="paragraph" w:customStyle="1" w:styleId="BodyText1">
    <w:name w:val="Body Text1"/>
    <w:basedOn w:val="Normal"/>
    <w:rsid w:val="009D7512"/>
    <w:pPr>
      <w:spacing w:after="240" w:line="320" w:lineRule="exact"/>
      <w:ind w:firstLine="720"/>
    </w:pPr>
    <w:rPr>
      <w:sz w:val="22"/>
      <w:szCs w:val="20"/>
    </w:rPr>
  </w:style>
  <w:style w:type="character" w:customStyle="1" w:styleId="apple-converted-space">
    <w:name w:val="apple-converted-space"/>
    <w:basedOn w:val="DefaultParagraphFont"/>
    <w:rsid w:val="00F46038"/>
  </w:style>
  <w:style w:type="character" w:customStyle="1" w:styleId="highlight">
    <w:name w:val="highlight"/>
    <w:basedOn w:val="DefaultParagraphFont"/>
    <w:rsid w:val="00F46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57325">
      <w:bodyDiv w:val="1"/>
      <w:marLeft w:val="0"/>
      <w:marRight w:val="0"/>
      <w:marTop w:val="0"/>
      <w:marBottom w:val="0"/>
      <w:divBdr>
        <w:top w:val="none" w:sz="0" w:space="0" w:color="auto"/>
        <w:left w:val="none" w:sz="0" w:space="0" w:color="auto"/>
        <w:bottom w:val="none" w:sz="0" w:space="0" w:color="auto"/>
        <w:right w:val="none" w:sz="0" w:space="0" w:color="auto"/>
      </w:divBdr>
    </w:div>
    <w:div w:id="1090662442">
      <w:bodyDiv w:val="1"/>
      <w:marLeft w:val="0"/>
      <w:marRight w:val="0"/>
      <w:marTop w:val="0"/>
      <w:marBottom w:val="0"/>
      <w:divBdr>
        <w:top w:val="none" w:sz="0" w:space="0" w:color="auto"/>
        <w:left w:val="none" w:sz="0" w:space="0" w:color="auto"/>
        <w:bottom w:val="none" w:sz="0" w:space="0" w:color="auto"/>
        <w:right w:val="none" w:sz="0" w:space="0" w:color="auto"/>
      </w:divBdr>
    </w:div>
    <w:div w:id="1226719673">
      <w:bodyDiv w:val="1"/>
      <w:marLeft w:val="0"/>
      <w:marRight w:val="0"/>
      <w:marTop w:val="0"/>
      <w:marBottom w:val="0"/>
      <w:divBdr>
        <w:top w:val="none" w:sz="0" w:space="0" w:color="auto"/>
        <w:left w:val="none" w:sz="0" w:space="0" w:color="auto"/>
        <w:bottom w:val="none" w:sz="0" w:space="0" w:color="auto"/>
        <w:right w:val="none" w:sz="0" w:space="0" w:color="auto"/>
      </w:divBdr>
    </w:div>
    <w:div w:id="1282305498">
      <w:bodyDiv w:val="1"/>
      <w:marLeft w:val="0"/>
      <w:marRight w:val="0"/>
      <w:marTop w:val="0"/>
      <w:marBottom w:val="0"/>
      <w:divBdr>
        <w:top w:val="none" w:sz="0" w:space="0" w:color="auto"/>
        <w:left w:val="none" w:sz="0" w:space="0" w:color="auto"/>
        <w:bottom w:val="none" w:sz="0" w:space="0" w:color="auto"/>
        <w:right w:val="none" w:sz="0" w:space="0" w:color="auto"/>
      </w:divBdr>
    </w:div>
    <w:div w:id="1523350929">
      <w:bodyDiv w:val="1"/>
      <w:marLeft w:val="0"/>
      <w:marRight w:val="0"/>
      <w:marTop w:val="0"/>
      <w:marBottom w:val="0"/>
      <w:divBdr>
        <w:top w:val="none" w:sz="0" w:space="0" w:color="auto"/>
        <w:left w:val="none" w:sz="0" w:space="0" w:color="auto"/>
        <w:bottom w:val="none" w:sz="0" w:space="0" w:color="auto"/>
        <w:right w:val="none" w:sz="0" w:space="0" w:color="auto"/>
      </w:divBdr>
    </w:div>
    <w:div w:id="1899435913">
      <w:bodyDiv w:val="1"/>
      <w:marLeft w:val="0"/>
      <w:marRight w:val="0"/>
      <w:marTop w:val="0"/>
      <w:marBottom w:val="0"/>
      <w:divBdr>
        <w:top w:val="none" w:sz="0" w:space="0" w:color="auto"/>
        <w:left w:val="none" w:sz="0" w:space="0" w:color="auto"/>
        <w:bottom w:val="none" w:sz="0" w:space="0" w:color="auto"/>
        <w:right w:val="none" w:sz="0" w:space="0" w:color="auto"/>
      </w:divBdr>
    </w:div>
    <w:div w:id="206493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www.whitehouse.gov/sites/default/files/omb/inforeg/statpc" TargetMode="External"/><Relationship Id="rId1" Type="http://schemas.openxmlformats.org/officeDocument/2006/relationships/hyperlink" Target="http://www.nc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EB6A7-F0A2-49BE-81E9-051E9BF12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2258</Words>
  <Characters>12873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15101</CharactersWithSpaces>
  <SharedDoc>false</SharedDoc>
  <HLinks>
    <vt:vector size="12" baseType="variant">
      <vt:variant>
        <vt:i4>983134</vt:i4>
      </vt:variant>
      <vt:variant>
        <vt:i4>3</vt:i4>
      </vt:variant>
      <vt:variant>
        <vt:i4>0</vt:i4>
      </vt:variant>
      <vt:variant>
        <vt:i4>5</vt:i4>
      </vt:variant>
      <vt:variant>
        <vt:lpwstr>http://www.whitehouse.gov/sites/default/files/omb/inforeg/statpc</vt:lpwstr>
      </vt:variant>
      <vt:variant>
        <vt:lpwstr/>
      </vt:variant>
      <vt:variant>
        <vt:i4>5767246</vt:i4>
      </vt:variant>
      <vt:variant>
        <vt:i4>0</vt:i4>
      </vt:variant>
      <vt:variant>
        <vt:i4>0</vt:i4>
      </vt:variant>
      <vt:variant>
        <vt:i4>5</vt:i4>
      </vt:variant>
      <vt:variant>
        <vt:lpwstr>http://www.ncss.com/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Aikin, Kathryn J</dc:creator>
  <cp:lastModifiedBy>Mizrachi, Ila</cp:lastModifiedBy>
  <cp:revision>2</cp:revision>
  <dcterms:created xsi:type="dcterms:W3CDTF">2016-01-08T15:51:00Z</dcterms:created>
  <dcterms:modified xsi:type="dcterms:W3CDTF">2016-01-08T15:51:00Z</dcterms:modified>
</cp:coreProperties>
</file>