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3C" w:rsidRDefault="0008383C" w:rsidP="0008383C">
      <w:pPr>
        <w:spacing w:before="100" w:beforeAutospacing="1" w:after="100" w:afterAutospacing="1"/>
        <w:jc w:val="center"/>
        <w:outlineLvl w:val="1"/>
        <w:rPr>
          <w:rFonts w:ascii="Times New Roman" w:hAnsi="Times New Roman"/>
          <w:b/>
          <w:bCs/>
        </w:rPr>
      </w:pPr>
      <w:r>
        <w:rPr>
          <w:rFonts w:ascii="Times New Roman" w:hAnsi="Times New Roman"/>
          <w:b/>
          <w:bCs/>
        </w:rPr>
        <w:t>Quarterly Progress Reporting and Indirect Services Outcome Data Collection for the Minority AIDS Initiative (MAI) Substance Abuse and HIV Prevention Programs</w:t>
      </w:r>
    </w:p>
    <w:p w:rsidR="0008383C" w:rsidRDefault="0008383C" w:rsidP="0008383C">
      <w:pPr>
        <w:jc w:val="center"/>
        <w:outlineLvl w:val="0"/>
        <w:rPr>
          <w:rFonts w:ascii="Times New Roman" w:hAnsi="Times New Roman"/>
          <w:b/>
        </w:rPr>
      </w:pPr>
      <w:r>
        <w:rPr>
          <w:rFonts w:ascii="Times New Roman" w:hAnsi="Times New Roman"/>
          <w:b/>
        </w:rPr>
        <w:t>OMB Supporting Statement</w:t>
      </w:r>
    </w:p>
    <w:p w:rsidR="0051158C" w:rsidRPr="005B5281" w:rsidRDefault="00E70618" w:rsidP="0051158C">
      <w:pPr>
        <w:pStyle w:val="Heading2"/>
        <w:rPr>
          <w:rFonts w:ascii="Times New Roman" w:hAnsi="Times New Roman"/>
          <w:sz w:val="24"/>
          <w:szCs w:val="24"/>
        </w:rPr>
      </w:pPr>
      <w:proofErr w:type="gramStart"/>
      <w:r>
        <w:rPr>
          <w:rFonts w:ascii="Times New Roman" w:hAnsi="Times New Roman"/>
          <w:sz w:val="24"/>
          <w:szCs w:val="24"/>
        </w:rPr>
        <w:t>PART B</w:t>
      </w:r>
      <w:r w:rsidR="00EC2567">
        <w:rPr>
          <w:rFonts w:ascii="Times New Roman" w:hAnsi="Times New Roman"/>
          <w:sz w:val="24"/>
          <w:szCs w:val="24"/>
        </w:rPr>
        <w:t>.</w:t>
      </w:r>
      <w:proofErr w:type="gramEnd"/>
      <w:r w:rsidR="0051158C" w:rsidRPr="005B5281">
        <w:rPr>
          <w:rFonts w:ascii="Times New Roman" w:hAnsi="Times New Roman"/>
          <w:sz w:val="24"/>
          <w:szCs w:val="24"/>
        </w:rPr>
        <w:t xml:space="preserve">  COLLECTIONS OF INFORMATION EMPLOYING STATISTICAL METHODS</w:t>
      </w:r>
    </w:p>
    <w:p w:rsidR="0051158C" w:rsidRPr="005B5281" w:rsidRDefault="0051158C" w:rsidP="0051158C">
      <w:pPr>
        <w:pStyle w:val="Heading2"/>
        <w:spacing w:before="120" w:line="360" w:lineRule="auto"/>
        <w:rPr>
          <w:rFonts w:ascii="Times New Roman" w:hAnsi="Times New Roman"/>
          <w:sz w:val="24"/>
          <w:szCs w:val="24"/>
        </w:rPr>
      </w:pPr>
      <w:r w:rsidRPr="005B5281">
        <w:rPr>
          <w:rFonts w:ascii="Times New Roman" w:hAnsi="Times New Roman"/>
          <w:sz w:val="24"/>
          <w:szCs w:val="24"/>
        </w:rPr>
        <w:t>B1.  Respondent Universe and Sampling Methods</w:t>
      </w:r>
    </w:p>
    <w:p w:rsidR="0051158C" w:rsidRPr="00987BB0" w:rsidRDefault="0051158C" w:rsidP="0051158C">
      <w:pPr>
        <w:rPr>
          <w:rFonts w:ascii="Times New Roman" w:hAnsi="Times New Roman"/>
        </w:rPr>
      </w:pPr>
      <w:r>
        <w:rPr>
          <w:rFonts w:ascii="Times New Roman" w:hAnsi="Times New Roman"/>
        </w:rPr>
        <w:t xml:space="preserve">Given that the primary function of the </w:t>
      </w:r>
      <w:r w:rsidR="002119F0">
        <w:rPr>
          <w:rFonts w:ascii="Times New Roman" w:hAnsi="Times New Roman"/>
        </w:rPr>
        <w:t>Quarterly Progress Report</w:t>
      </w:r>
      <w:r>
        <w:rPr>
          <w:rFonts w:ascii="Times New Roman" w:hAnsi="Times New Roman"/>
        </w:rPr>
        <w:t xml:space="preserve"> and ISO as a grant management and monitoring tool, all grantees are required to provide quarterly progress reports and annual updates to their community-level outcome measures through the ISO. </w:t>
      </w:r>
      <w:r w:rsidRPr="001D3209">
        <w:rPr>
          <w:rFonts w:ascii="Times New Roman" w:hAnsi="Times New Roman"/>
        </w:rPr>
        <w:t>SAMHSA’s response universe for this cross-site evaluation includes all active grantees and those initially funded at the end of FY 2015, throughout the duration of their grant periods. In order to ensure accountability for the spending of federal funds, SAMHSA has employed the use of these data as a performance management tool to ensure that grantees are meeting the goals and objectives of the initiative. Data are used to monitor performance throughout the grant period. The Public Health Service Act Sec. 501 [290aa] (d) (13) with respect to grant programs authorized under this title, assure that “</w:t>
      </w:r>
      <w:r w:rsidRPr="001D3209">
        <w:rPr>
          <w:rFonts w:ascii="Times New Roman" w:hAnsi="Times New Roman"/>
          <w:i/>
        </w:rPr>
        <w:t>all grants that are awarded for the provision of services are subject to performance and outcome data collections</w:t>
      </w:r>
      <w:r w:rsidRPr="001D3209">
        <w:rPr>
          <w:rFonts w:ascii="Times New Roman" w:hAnsi="Times New Roman"/>
        </w:rPr>
        <w:t>.” SAMHSA interprets these requirements to indicate the need for data to be collected on all grantees receiving federal funds in order to provide services.</w:t>
      </w:r>
      <w:r w:rsidRPr="00A97AE2">
        <w:rPr>
          <w:rFonts w:ascii="Times New Roman" w:hAnsi="Times New Roman"/>
        </w:rPr>
        <w:t xml:space="preserve"> </w:t>
      </w:r>
    </w:p>
    <w:p w:rsidR="0051158C" w:rsidRPr="005B5281" w:rsidRDefault="0051158C" w:rsidP="0051158C">
      <w:pPr>
        <w:suppressLineNumbers/>
        <w:ind w:right="144"/>
        <w:rPr>
          <w:rFonts w:ascii="Times New Roman" w:hAnsi="Times New Roman"/>
        </w:rPr>
      </w:pPr>
    </w:p>
    <w:p w:rsidR="0051158C" w:rsidRPr="005B5281" w:rsidRDefault="0051158C" w:rsidP="0051158C">
      <w:pPr>
        <w:pStyle w:val="Heading2"/>
        <w:spacing w:before="120" w:line="360" w:lineRule="auto"/>
        <w:rPr>
          <w:rFonts w:ascii="Times New Roman" w:hAnsi="Times New Roman"/>
          <w:sz w:val="24"/>
          <w:szCs w:val="24"/>
        </w:rPr>
      </w:pPr>
      <w:r w:rsidRPr="005B5281">
        <w:rPr>
          <w:rFonts w:ascii="Times New Roman" w:hAnsi="Times New Roman"/>
          <w:sz w:val="24"/>
          <w:szCs w:val="24"/>
        </w:rPr>
        <w:t>B2.  Information Collection Procedures</w:t>
      </w:r>
    </w:p>
    <w:p w:rsidR="0051158C" w:rsidRDefault="0051158C" w:rsidP="0051158C">
      <w:pPr>
        <w:suppressLineNumbers/>
        <w:outlineLvl w:val="0"/>
        <w:rPr>
          <w:rStyle w:val="WP9BodyText"/>
          <w:rFonts w:ascii="Times New Roman" w:hAnsi="Times New Roman"/>
        </w:rPr>
      </w:pPr>
      <w:r>
        <w:rPr>
          <w:rStyle w:val="WP9BodyText"/>
          <w:rFonts w:ascii="Times New Roman" w:hAnsi="Times New Roman"/>
        </w:rPr>
        <w:t>The Quarterly Progress Report and the Indirect Services Outcomes instruments will be initially launched as paper instruments disseminated to grantees. At the end of each quarter, grantees will complete the relevant module(s) of the instrument and submit their reports to their POs for review and feedback. At the end of the fourth quarter of each year, grantees will also submit a completed ISO instrument for each of the community-level outcome measure they wish to submit to SAMHSA (minimum requirement is a single measure updated every year). The submitted reports will also be coded and digitized by the PEP-C MAI Cross-Site Evaluation Team for incorporation into the main analysis database.</w:t>
      </w:r>
    </w:p>
    <w:p w:rsidR="0051158C" w:rsidRDefault="0051158C" w:rsidP="0051158C">
      <w:pPr>
        <w:suppressLineNumbers/>
        <w:outlineLvl w:val="0"/>
        <w:rPr>
          <w:rStyle w:val="WP9BodyText"/>
          <w:rFonts w:ascii="Times New Roman" w:hAnsi="Times New Roman"/>
        </w:rPr>
      </w:pPr>
    </w:p>
    <w:p w:rsidR="0051158C" w:rsidRPr="005B5281" w:rsidRDefault="0051158C" w:rsidP="0051158C">
      <w:pPr>
        <w:suppressLineNumbers/>
        <w:outlineLvl w:val="0"/>
        <w:rPr>
          <w:rStyle w:val="WP9BodyText"/>
          <w:rFonts w:ascii="Times New Roman" w:hAnsi="Times New Roman"/>
        </w:rPr>
      </w:pPr>
      <w:r>
        <w:rPr>
          <w:rStyle w:val="WP9BodyText"/>
          <w:rFonts w:ascii="Times New Roman" w:hAnsi="Times New Roman"/>
        </w:rPr>
        <w:t xml:space="preserve">SAMHSA plans to develop an online system to facilitate data entry, retrieval, and linkage to the participant-level instruments. Once the system is in place, grantees and SAMHSA staff will be trained in its use and ongoing technical support will be available to all users. </w:t>
      </w:r>
    </w:p>
    <w:p w:rsidR="0051158C" w:rsidRDefault="0051158C" w:rsidP="0051158C">
      <w:pPr>
        <w:suppressLineNumbers/>
        <w:spacing w:before="252"/>
        <w:outlineLvl w:val="0"/>
        <w:rPr>
          <w:rFonts w:ascii="Times New Roman" w:hAnsi="Times New Roman"/>
          <w:b/>
        </w:rPr>
      </w:pPr>
      <w:r>
        <w:rPr>
          <w:rFonts w:ascii="Times New Roman" w:hAnsi="Times New Roman"/>
          <w:b/>
        </w:rPr>
        <w:t>The Quarterly Progress Report</w:t>
      </w:r>
    </w:p>
    <w:p w:rsidR="0051158C" w:rsidRPr="00A41625" w:rsidRDefault="0051158C" w:rsidP="0051158C">
      <w:pPr>
        <w:suppressLineNumbers/>
        <w:spacing w:before="252"/>
        <w:outlineLvl w:val="0"/>
        <w:rPr>
          <w:rFonts w:ascii="Times New Roman" w:hAnsi="Times New Roman"/>
        </w:rPr>
      </w:pPr>
      <w:r>
        <w:rPr>
          <w:rFonts w:ascii="Times New Roman" w:hAnsi="Times New Roman"/>
        </w:rPr>
        <w:t xml:space="preserve">The </w:t>
      </w:r>
      <w:r w:rsidR="002119F0">
        <w:rPr>
          <w:rFonts w:ascii="Times New Roman" w:hAnsi="Times New Roman"/>
        </w:rPr>
        <w:t xml:space="preserve">Quarterly Progress Report </w:t>
      </w:r>
      <w:r>
        <w:rPr>
          <w:rFonts w:ascii="Times New Roman" w:hAnsi="Times New Roman"/>
        </w:rPr>
        <w:t>(Attachment 1) is a modular instrument structured around the Strategic Prevention Framework (SPF). Each section or module corresponds to a SPF step with an additional section dedicated to cultural competence and efforts to address behavioral health disparities, which is an overarching principle of the framework guiding every step. A section-by-section description of the instrument is provided in Exhibit 4 below.</w:t>
      </w:r>
    </w:p>
    <w:p w:rsidR="0051158C" w:rsidRDefault="0051158C" w:rsidP="0051158C">
      <w:pPr>
        <w:keepNext/>
        <w:suppressLineNumbers/>
        <w:spacing w:before="252"/>
        <w:outlineLvl w:val="0"/>
        <w:rPr>
          <w:rFonts w:ascii="Times New Roman" w:hAnsi="Times New Roman"/>
          <w:b/>
        </w:rPr>
      </w:pPr>
      <w:proofErr w:type="gramStart"/>
      <w:r>
        <w:rPr>
          <w:rFonts w:ascii="Times New Roman" w:hAnsi="Times New Roman"/>
          <w:b/>
        </w:rPr>
        <w:lastRenderedPageBreak/>
        <w:t>Exhibit 4.</w:t>
      </w:r>
      <w:proofErr w:type="gramEnd"/>
      <w:r>
        <w:rPr>
          <w:rFonts w:ascii="Times New Roman" w:hAnsi="Times New Roman"/>
          <w:b/>
        </w:rPr>
        <w:t xml:space="preserve"> Structure and Frequency of Quarterly Progress Reports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4680"/>
        <w:gridCol w:w="2880"/>
      </w:tblGrid>
      <w:tr w:rsidR="0051158C" w:rsidRPr="00A723E8" w:rsidTr="0040250E">
        <w:trPr>
          <w:cantSplit/>
          <w:trHeight w:val="330"/>
          <w:tblHeader/>
        </w:trPr>
        <w:tc>
          <w:tcPr>
            <w:tcW w:w="2425" w:type="dxa"/>
            <w:shd w:val="clear" w:color="auto" w:fill="BFBFBF"/>
            <w:vAlign w:val="center"/>
          </w:tcPr>
          <w:p w:rsidR="0051158C" w:rsidRPr="00A723E8" w:rsidRDefault="0051158C" w:rsidP="0040250E">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mallCaps/>
                <w:sz w:val="22"/>
                <w:szCs w:val="22"/>
              </w:rPr>
            </w:pPr>
            <w:r>
              <w:rPr>
                <w:rFonts w:ascii="Arial" w:hAnsi="Arial" w:cs="Arial"/>
                <w:b/>
                <w:smallCaps/>
                <w:sz w:val="22"/>
                <w:szCs w:val="22"/>
              </w:rPr>
              <w:t>Section</w:t>
            </w:r>
          </w:p>
        </w:tc>
        <w:tc>
          <w:tcPr>
            <w:tcW w:w="4680" w:type="dxa"/>
            <w:shd w:val="clear" w:color="auto" w:fill="BFBFBF"/>
            <w:vAlign w:val="center"/>
          </w:tcPr>
          <w:p w:rsidR="0051158C" w:rsidRPr="00A723E8" w:rsidRDefault="0051158C" w:rsidP="0040250E">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mallCaps/>
                <w:sz w:val="22"/>
                <w:szCs w:val="22"/>
              </w:rPr>
            </w:pPr>
            <w:r>
              <w:rPr>
                <w:rFonts w:ascii="Arial" w:hAnsi="Arial" w:cs="Arial"/>
                <w:b/>
                <w:smallCaps/>
                <w:sz w:val="22"/>
                <w:szCs w:val="22"/>
              </w:rPr>
              <w:t>Contents</w:t>
            </w:r>
          </w:p>
        </w:tc>
        <w:tc>
          <w:tcPr>
            <w:tcW w:w="2880" w:type="dxa"/>
            <w:shd w:val="clear" w:color="auto" w:fill="BFBFBF"/>
            <w:vAlign w:val="center"/>
          </w:tcPr>
          <w:p w:rsidR="0051158C" w:rsidRPr="00A723E8" w:rsidRDefault="0051158C" w:rsidP="0040250E">
            <w:pPr>
              <w:keepNext/>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mallCaps/>
                <w:sz w:val="22"/>
                <w:szCs w:val="22"/>
              </w:rPr>
            </w:pPr>
            <w:r>
              <w:rPr>
                <w:rFonts w:ascii="Arial" w:hAnsi="Arial" w:cs="Arial"/>
                <w:b/>
                <w:smallCaps/>
                <w:sz w:val="22"/>
                <w:szCs w:val="22"/>
              </w:rPr>
              <w:t>Frequency</w:t>
            </w:r>
          </w:p>
        </w:tc>
      </w:tr>
      <w:tr w:rsidR="0051158C" w:rsidRPr="002C2B6E" w:rsidTr="0040250E">
        <w:trPr>
          <w:cantSplit/>
        </w:trPr>
        <w:tc>
          <w:tcPr>
            <w:tcW w:w="2425" w:type="dxa"/>
            <w:vAlign w:val="center"/>
          </w:tcPr>
          <w:p w:rsidR="0051158C" w:rsidRPr="00F81709" w:rsidRDefault="0051158C" w:rsidP="0051158C">
            <w:pPr>
              <w:pStyle w:val="ListParagraph"/>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337"/>
              <w:rPr>
                <w:rFonts w:asciiTheme="minorHAnsi" w:hAnsiTheme="minorHAnsi" w:cs="Arial"/>
                <w:sz w:val="22"/>
                <w:szCs w:val="22"/>
              </w:rPr>
            </w:pPr>
            <w:r w:rsidRPr="00F81709">
              <w:rPr>
                <w:rFonts w:asciiTheme="minorHAnsi" w:hAnsiTheme="minorHAnsi" w:cs="Arial"/>
                <w:sz w:val="22"/>
                <w:szCs w:val="22"/>
              </w:rPr>
              <w:t>Health Disparities</w:t>
            </w:r>
          </w:p>
        </w:tc>
        <w:tc>
          <w:tcPr>
            <w:tcW w:w="4680" w:type="dxa"/>
            <w:vAlign w:val="center"/>
          </w:tcPr>
          <w:p w:rsidR="0051158C" w:rsidRPr="00AC3C3F" w:rsidRDefault="0051158C" w:rsidP="0051158C">
            <w:pPr>
              <w:pStyle w:val="ListBullet"/>
              <w:numPr>
                <w:ilvl w:val="0"/>
                <w:numId w:val="3"/>
              </w:numPr>
              <w:rPr>
                <w:sz w:val="22"/>
                <w:szCs w:val="22"/>
              </w:rPr>
            </w:pPr>
            <w:r w:rsidRPr="00AC3C3F">
              <w:rPr>
                <w:sz w:val="22"/>
                <w:szCs w:val="22"/>
              </w:rPr>
              <w:t xml:space="preserve">Activities implemented during the reporting period to address behavioral health disparities in the community </w:t>
            </w:r>
          </w:p>
          <w:p w:rsidR="0051158C" w:rsidRPr="00AC3C3F" w:rsidRDefault="0051158C" w:rsidP="0051158C">
            <w:pPr>
              <w:pStyle w:val="ListBullet"/>
              <w:numPr>
                <w:ilvl w:val="0"/>
                <w:numId w:val="3"/>
              </w:numPr>
              <w:rPr>
                <w:sz w:val="22"/>
                <w:szCs w:val="22"/>
              </w:rPr>
            </w:pPr>
            <w:r w:rsidRPr="00AC3C3F">
              <w:rPr>
                <w:sz w:val="22"/>
                <w:szCs w:val="22"/>
              </w:rPr>
              <w:t>Specific accomplishments and barriers related to health disparities</w:t>
            </w:r>
          </w:p>
        </w:tc>
        <w:tc>
          <w:tcPr>
            <w:tcW w:w="2880" w:type="dxa"/>
            <w:vAlign w:val="center"/>
          </w:tcPr>
          <w:p w:rsidR="0051158C" w:rsidRPr="00AC3C3F" w:rsidRDefault="0051158C" w:rsidP="0040250E">
            <w:pPr>
              <w:pStyle w:val="ListBullet"/>
              <w:rPr>
                <w:sz w:val="22"/>
                <w:szCs w:val="22"/>
              </w:rPr>
            </w:pPr>
            <w:r w:rsidRPr="00AC3C3F">
              <w:rPr>
                <w:sz w:val="22"/>
                <w:szCs w:val="22"/>
              </w:rPr>
              <w:t>Twice a year, as part of the second and fourth quarterly progress reports</w:t>
            </w:r>
          </w:p>
        </w:tc>
      </w:tr>
      <w:tr w:rsidR="0051158C" w:rsidRPr="002C2B6E" w:rsidTr="0040250E">
        <w:trPr>
          <w:cantSplit/>
        </w:trPr>
        <w:tc>
          <w:tcPr>
            <w:tcW w:w="2425" w:type="dxa"/>
            <w:vAlign w:val="center"/>
          </w:tcPr>
          <w:p w:rsidR="0051158C" w:rsidRPr="00F81709" w:rsidRDefault="0051158C" w:rsidP="0051158C">
            <w:pPr>
              <w:pStyle w:val="ListParagraph"/>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337"/>
              <w:rPr>
                <w:rFonts w:asciiTheme="minorHAnsi" w:hAnsiTheme="minorHAnsi" w:cs="Arial"/>
                <w:sz w:val="22"/>
                <w:szCs w:val="22"/>
              </w:rPr>
            </w:pPr>
            <w:r w:rsidRPr="00F81709">
              <w:rPr>
                <w:rFonts w:asciiTheme="minorHAnsi" w:hAnsiTheme="minorHAnsi" w:cs="Arial"/>
                <w:sz w:val="22"/>
                <w:szCs w:val="22"/>
              </w:rPr>
              <w:t>Assessment</w:t>
            </w:r>
          </w:p>
        </w:tc>
        <w:tc>
          <w:tcPr>
            <w:tcW w:w="4680" w:type="dxa"/>
            <w:vAlign w:val="center"/>
          </w:tcPr>
          <w:p w:rsidR="0051158C" w:rsidRPr="00AC3C3F" w:rsidRDefault="0051158C" w:rsidP="0040250E">
            <w:pPr>
              <w:pStyle w:val="ListBullet"/>
              <w:rPr>
                <w:sz w:val="22"/>
                <w:szCs w:val="22"/>
              </w:rPr>
            </w:pPr>
            <w:r w:rsidRPr="00AC3C3F">
              <w:rPr>
                <w:sz w:val="22"/>
                <w:szCs w:val="22"/>
              </w:rPr>
              <w:t>Synopsis of the needs assessment conducted by the grantee and key findings:</w:t>
            </w:r>
          </w:p>
          <w:p w:rsidR="0051158C" w:rsidRPr="00AC3C3F" w:rsidRDefault="0051158C" w:rsidP="0051158C">
            <w:pPr>
              <w:pStyle w:val="ListBullet"/>
              <w:numPr>
                <w:ilvl w:val="0"/>
                <w:numId w:val="3"/>
              </w:numPr>
              <w:rPr>
                <w:sz w:val="22"/>
                <w:szCs w:val="22"/>
              </w:rPr>
            </w:pPr>
            <w:r w:rsidRPr="00AC3C3F">
              <w:rPr>
                <w:sz w:val="22"/>
                <w:szCs w:val="22"/>
              </w:rPr>
              <w:t>High-risk groups identified</w:t>
            </w:r>
          </w:p>
          <w:p w:rsidR="0051158C" w:rsidRPr="00AC3C3F" w:rsidRDefault="0051158C" w:rsidP="0051158C">
            <w:pPr>
              <w:pStyle w:val="ListBullet"/>
              <w:numPr>
                <w:ilvl w:val="0"/>
                <w:numId w:val="3"/>
              </w:numPr>
              <w:rPr>
                <w:sz w:val="22"/>
                <w:szCs w:val="22"/>
              </w:rPr>
            </w:pPr>
            <w:r w:rsidRPr="00AC3C3F">
              <w:rPr>
                <w:sz w:val="22"/>
                <w:szCs w:val="22"/>
              </w:rPr>
              <w:t>Infrastructure and capacity enhancement targets</w:t>
            </w:r>
          </w:p>
          <w:p w:rsidR="0051158C" w:rsidRPr="00AC3C3F" w:rsidRDefault="0051158C" w:rsidP="0051158C">
            <w:pPr>
              <w:pStyle w:val="ListBullet"/>
              <w:numPr>
                <w:ilvl w:val="0"/>
                <w:numId w:val="3"/>
              </w:numPr>
              <w:rPr>
                <w:sz w:val="22"/>
                <w:szCs w:val="22"/>
              </w:rPr>
            </w:pPr>
            <w:r w:rsidRPr="00AC3C3F">
              <w:rPr>
                <w:sz w:val="22"/>
                <w:szCs w:val="22"/>
              </w:rPr>
              <w:t>Quarterly accomplishments and barriers associated with needs assessment</w:t>
            </w:r>
          </w:p>
          <w:p w:rsidR="0051158C" w:rsidRDefault="0051158C" w:rsidP="0051158C">
            <w:pPr>
              <w:pStyle w:val="ListBullet"/>
              <w:numPr>
                <w:ilvl w:val="0"/>
                <w:numId w:val="3"/>
              </w:numPr>
              <w:rPr>
                <w:sz w:val="22"/>
                <w:szCs w:val="22"/>
              </w:rPr>
            </w:pPr>
            <w:r w:rsidRPr="00AC3C3F">
              <w:rPr>
                <w:sz w:val="22"/>
                <w:szCs w:val="22"/>
              </w:rPr>
              <w:t>Quarterly updates as needed</w:t>
            </w:r>
          </w:p>
          <w:p w:rsidR="0051158C" w:rsidRPr="00AC3C3F" w:rsidRDefault="0051158C" w:rsidP="0051158C">
            <w:pPr>
              <w:pStyle w:val="ListBullet"/>
              <w:numPr>
                <w:ilvl w:val="0"/>
                <w:numId w:val="3"/>
              </w:numPr>
              <w:rPr>
                <w:sz w:val="22"/>
                <w:szCs w:val="22"/>
              </w:rPr>
            </w:pPr>
            <w:r>
              <w:rPr>
                <w:sz w:val="22"/>
                <w:szCs w:val="22"/>
              </w:rPr>
              <w:t>Accomplishments and barriers related to planning</w:t>
            </w:r>
          </w:p>
        </w:tc>
        <w:tc>
          <w:tcPr>
            <w:tcW w:w="2880" w:type="dxa"/>
            <w:vAlign w:val="center"/>
          </w:tcPr>
          <w:p w:rsidR="0051158C" w:rsidRPr="00AC3C3F" w:rsidRDefault="0051158C" w:rsidP="0040250E">
            <w:pPr>
              <w:pStyle w:val="ListBullet"/>
              <w:rPr>
                <w:sz w:val="22"/>
                <w:szCs w:val="22"/>
              </w:rPr>
            </w:pPr>
            <w:r w:rsidRPr="00AC3C3F">
              <w:rPr>
                <w:sz w:val="22"/>
                <w:szCs w:val="22"/>
              </w:rPr>
              <w:t xml:space="preserve">At least once during the needs assessment </w:t>
            </w:r>
            <w:r w:rsidRPr="00F81709">
              <w:rPr>
                <w:rFonts w:asciiTheme="minorHAnsi" w:hAnsiTheme="minorHAnsi" w:cs="Arial"/>
                <w:sz w:val="22"/>
                <w:szCs w:val="22"/>
              </w:rPr>
              <w:t>phase</w:t>
            </w:r>
            <w:r w:rsidRPr="00AC3C3F">
              <w:rPr>
                <w:sz w:val="22"/>
                <w:szCs w:val="22"/>
              </w:rPr>
              <w:t xml:space="preserve"> of the SPF, updated as needed in subsequent quarters</w:t>
            </w:r>
          </w:p>
        </w:tc>
      </w:tr>
      <w:tr w:rsidR="0051158C" w:rsidRPr="002C2B6E" w:rsidTr="0040250E">
        <w:trPr>
          <w:cantSplit/>
        </w:trPr>
        <w:tc>
          <w:tcPr>
            <w:tcW w:w="2425" w:type="dxa"/>
            <w:vAlign w:val="center"/>
          </w:tcPr>
          <w:p w:rsidR="0051158C" w:rsidRPr="00F81709" w:rsidRDefault="0051158C" w:rsidP="0051158C">
            <w:pPr>
              <w:pStyle w:val="ListParagraph"/>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337"/>
              <w:rPr>
                <w:rFonts w:asciiTheme="minorHAnsi" w:hAnsiTheme="minorHAnsi" w:cs="Arial"/>
                <w:sz w:val="22"/>
                <w:szCs w:val="22"/>
              </w:rPr>
            </w:pPr>
            <w:r w:rsidRPr="00F81709">
              <w:rPr>
                <w:rFonts w:asciiTheme="minorHAnsi" w:hAnsiTheme="minorHAnsi" w:cs="Arial"/>
                <w:sz w:val="22"/>
                <w:szCs w:val="22"/>
              </w:rPr>
              <w:t>Capacity</w:t>
            </w:r>
          </w:p>
        </w:tc>
        <w:tc>
          <w:tcPr>
            <w:tcW w:w="4680" w:type="dxa"/>
            <w:vAlign w:val="center"/>
          </w:tcPr>
          <w:p w:rsidR="0051158C" w:rsidRPr="00AC3C3F" w:rsidRDefault="0051158C" w:rsidP="0051158C">
            <w:pPr>
              <w:pStyle w:val="ListBullet"/>
              <w:numPr>
                <w:ilvl w:val="0"/>
                <w:numId w:val="3"/>
              </w:numPr>
              <w:rPr>
                <w:sz w:val="22"/>
                <w:szCs w:val="22"/>
              </w:rPr>
            </w:pPr>
            <w:r w:rsidRPr="00AC3C3F">
              <w:rPr>
                <w:sz w:val="22"/>
                <w:szCs w:val="22"/>
              </w:rPr>
              <w:t xml:space="preserve">Staff, advisory  group, governing board, and collaborator rosters </w:t>
            </w:r>
          </w:p>
          <w:p w:rsidR="0051158C" w:rsidRPr="00AC3C3F" w:rsidRDefault="0051158C" w:rsidP="0051158C">
            <w:pPr>
              <w:pStyle w:val="ListBullet"/>
              <w:numPr>
                <w:ilvl w:val="0"/>
                <w:numId w:val="3"/>
              </w:numPr>
              <w:rPr>
                <w:sz w:val="22"/>
                <w:szCs w:val="22"/>
              </w:rPr>
            </w:pPr>
            <w:r w:rsidRPr="00AC3C3F">
              <w:rPr>
                <w:sz w:val="22"/>
                <w:szCs w:val="22"/>
              </w:rPr>
              <w:t>Advisory council meetings</w:t>
            </w:r>
          </w:p>
          <w:p w:rsidR="0051158C" w:rsidRPr="00AC3C3F" w:rsidRDefault="0051158C" w:rsidP="0051158C">
            <w:pPr>
              <w:pStyle w:val="ListBullet"/>
              <w:numPr>
                <w:ilvl w:val="0"/>
                <w:numId w:val="3"/>
              </w:numPr>
              <w:rPr>
                <w:sz w:val="22"/>
                <w:szCs w:val="22"/>
              </w:rPr>
            </w:pPr>
            <w:r w:rsidRPr="00AC3C3F">
              <w:rPr>
                <w:sz w:val="22"/>
                <w:szCs w:val="22"/>
              </w:rPr>
              <w:t xml:space="preserve">Training and technical assistance events </w:t>
            </w:r>
          </w:p>
          <w:p w:rsidR="0051158C" w:rsidRPr="00AC3C3F" w:rsidRDefault="0051158C" w:rsidP="0051158C">
            <w:pPr>
              <w:pStyle w:val="ListBullet"/>
              <w:numPr>
                <w:ilvl w:val="0"/>
                <w:numId w:val="3"/>
              </w:numPr>
              <w:rPr>
                <w:sz w:val="22"/>
                <w:szCs w:val="22"/>
              </w:rPr>
            </w:pPr>
            <w:r w:rsidRPr="00AC3C3F">
              <w:rPr>
                <w:sz w:val="22"/>
                <w:szCs w:val="22"/>
              </w:rPr>
              <w:t>Accomplishments and barriers related to capacity building</w:t>
            </w:r>
          </w:p>
        </w:tc>
        <w:tc>
          <w:tcPr>
            <w:tcW w:w="2880" w:type="dxa"/>
            <w:vAlign w:val="center"/>
          </w:tcPr>
          <w:p w:rsidR="0051158C" w:rsidRPr="00AC3C3F" w:rsidRDefault="0051158C" w:rsidP="0040250E">
            <w:pPr>
              <w:pStyle w:val="ListBullet"/>
              <w:rPr>
                <w:sz w:val="22"/>
                <w:szCs w:val="22"/>
              </w:rPr>
            </w:pPr>
            <w:r w:rsidRPr="00AC3C3F">
              <w:rPr>
                <w:sz w:val="22"/>
                <w:szCs w:val="22"/>
              </w:rPr>
              <w:t xml:space="preserve">At least once during the capacity building </w:t>
            </w:r>
            <w:r w:rsidRPr="00F81709">
              <w:rPr>
                <w:rFonts w:asciiTheme="minorHAnsi" w:hAnsiTheme="minorHAnsi" w:cs="Arial"/>
                <w:sz w:val="22"/>
                <w:szCs w:val="22"/>
              </w:rPr>
              <w:t>phase</w:t>
            </w:r>
            <w:r w:rsidRPr="00AC3C3F">
              <w:rPr>
                <w:sz w:val="22"/>
                <w:szCs w:val="22"/>
              </w:rPr>
              <w:t xml:space="preserve"> of the SPF, updated as needed in subsequent quarters</w:t>
            </w:r>
          </w:p>
        </w:tc>
      </w:tr>
      <w:tr w:rsidR="0051158C" w:rsidRPr="002C2B6E" w:rsidTr="0040250E">
        <w:trPr>
          <w:cantSplit/>
        </w:trPr>
        <w:tc>
          <w:tcPr>
            <w:tcW w:w="2425" w:type="dxa"/>
            <w:vAlign w:val="center"/>
          </w:tcPr>
          <w:p w:rsidR="0051158C" w:rsidRPr="00F81709" w:rsidDel="000F7086" w:rsidRDefault="0051158C" w:rsidP="0051158C">
            <w:pPr>
              <w:pStyle w:val="ListParagraph"/>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337"/>
              <w:rPr>
                <w:rFonts w:asciiTheme="minorHAnsi" w:hAnsiTheme="minorHAnsi" w:cs="Arial"/>
                <w:sz w:val="22"/>
                <w:szCs w:val="22"/>
              </w:rPr>
            </w:pPr>
            <w:r w:rsidRPr="00F81709">
              <w:rPr>
                <w:rFonts w:asciiTheme="minorHAnsi" w:hAnsiTheme="minorHAnsi" w:cs="Arial"/>
                <w:sz w:val="22"/>
                <w:szCs w:val="22"/>
              </w:rPr>
              <w:t>Planning</w:t>
            </w:r>
          </w:p>
        </w:tc>
        <w:tc>
          <w:tcPr>
            <w:tcW w:w="4680" w:type="dxa"/>
            <w:vAlign w:val="center"/>
          </w:tcPr>
          <w:p w:rsidR="0051158C" w:rsidRPr="00AC3C3F" w:rsidRDefault="0051158C" w:rsidP="0051158C">
            <w:pPr>
              <w:pStyle w:val="ListBullet"/>
              <w:numPr>
                <w:ilvl w:val="0"/>
                <w:numId w:val="3"/>
              </w:numPr>
              <w:rPr>
                <w:sz w:val="22"/>
                <w:szCs w:val="22"/>
              </w:rPr>
            </w:pPr>
            <w:r w:rsidRPr="00AC3C3F">
              <w:rPr>
                <w:sz w:val="22"/>
                <w:szCs w:val="22"/>
              </w:rPr>
              <w:t>Planned target population(s)</w:t>
            </w:r>
          </w:p>
          <w:p w:rsidR="0051158C" w:rsidRPr="00AC3C3F" w:rsidRDefault="0051158C" w:rsidP="0051158C">
            <w:pPr>
              <w:pStyle w:val="ListBullet"/>
              <w:numPr>
                <w:ilvl w:val="0"/>
                <w:numId w:val="3"/>
              </w:numPr>
              <w:rPr>
                <w:sz w:val="22"/>
                <w:szCs w:val="22"/>
              </w:rPr>
            </w:pPr>
            <w:r w:rsidRPr="00AC3C3F">
              <w:rPr>
                <w:sz w:val="22"/>
                <w:szCs w:val="22"/>
              </w:rPr>
              <w:t>Project goals and objectives</w:t>
            </w:r>
          </w:p>
          <w:p w:rsidR="0051158C" w:rsidRPr="00AC3C3F" w:rsidRDefault="0051158C" w:rsidP="0051158C">
            <w:pPr>
              <w:pStyle w:val="ListBullet"/>
              <w:numPr>
                <w:ilvl w:val="0"/>
                <w:numId w:val="3"/>
              </w:numPr>
              <w:rPr>
                <w:sz w:val="22"/>
                <w:szCs w:val="22"/>
              </w:rPr>
            </w:pPr>
            <w:r w:rsidRPr="00AC3C3F">
              <w:rPr>
                <w:sz w:val="22"/>
                <w:szCs w:val="22"/>
              </w:rPr>
              <w:t>Targeted outcome measures</w:t>
            </w:r>
          </w:p>
          <w:p w:rsidR="0051158C" w:rsidRPr="00AC3C3F" w:rsidRDefault="0051158C" w:rsidP="0051158C">
            <w:pPr>
              <w:pStyle w:val="ListBullet"/>
              <w:numPr>
                <w:ilvl w:val="0"/>
                <w:numId w:val="3"/>
              </w:numPr>
              <w:rPr>
                <w:sz w:val="22"/>
                <w:szCs w:val="22"/>
              </w:rPr>
            </w:pPr>
            <w:r w:rsidRPr="00AC3C3F">
              <w:rPr>
                <w:sz w:val="22"/>
                <w:szCs w:val="22"/>
              </w:rPr>
              <w:t>Planned direct-service interventions</w:t>
            </w:r>
          </w:p>
          <w:p w:rsidR="0051158C" w:rsidRPr="00AC3C3F" w:rsidRDefault="0051158C" w:rsidP="0051158C">
            <w:pPr>
              <w:pStyle w:val="ListBullet"/>
              <w:numPr>
                <w:ilvl w:val="0"/>
                <w:numId w:val="3"/>
              </w:numPr>
              <w:rPr>
                <w:sz w:val="22"/>
                <w:szCs w:val="22"/>
              </w:rPr>
            </w:pPr>
            <w:r w:rsidRPr="00AC3C3F">
              <w:rPr>
                <w:sz w:val="22"/>
                <w:szCs w:val="22"/>
              </w:rPr>
              <w:t>Planned indirect services (i.e. environmental strategies and information dissemination)</w:t>
            </w:r>
          </w:p>
          <w:p w:rsidR="0051158C" w:rsidRPr="00AC3C3F" w:rsidRDefault="0051158C" w:rsidP="0051158C">
            <w:pPr>
              <w:pStyle w:val="ListBullet"/>
              <w:numPr>
                <w:ilvl w:val="0"/>
                <w:numId w:val="3"/>
              </w:numPr>
              <w:rPr>
                <w:sz w:val="22"/>
                <w:szCs w:val="22"/>
              </w:rPr>
            </w:pPr>
            <w:r w:rsidRPr="00AC3C3F">
              <w:rPr>
                <w:sz w:val="22"/>
                <w:szCs w:val="22"/>
              </w:rPr>
              <w:t>Planned HIV/HCV testing and hepatitis vaccination activities</w:t>
            </w:r>
          </w:p>
          <w:p w:rsidR="0051158C" w:rsidRPr="00AC3C3F" w:rsidRDefault="0051158C" w:rsidP="0051158C">
            <w:pPr>
              <w:pStyle w:val="ListBullet"/>
              <w:numPr>
                <w:ilvl w:val="0"/>
                <w:numId w:val="3"/>
              </w:numPr>
              <w:rPr>
                <w:sz w:val="22"/>
                <w:szCs w:val="22"/>
              </w:rPr>
            </w:pPr>
            <w:r w:rsidRPr="00AC3C3F">
              <w:rPr>
                <w:sz w:val="22"/>
                <w:szCs w:val="22"/>
              </w:rPr>
              <w:t>Accomplishments and barriers associated with strategic planning</w:t>
            </w:r>
          </w:p>
        </w:tc>
        <w:tc>
          <w:tcPr>
            <w:tcW w:w="2880" w:type="dxa"/>
            <w:vAlign w:val="center"/>
          </w:tcPr>
          <w:p w:rsidR="0051158C" w:rsidRPr="0038340D" w:rsidRDefault="0051158C" w:rsidP="0040250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heme="minorHAnsi" w:hAnsiTheme="minorHAnsi" w:cs="Arial"/>
                <w:sz w:val="22"/>
                <w:szCs w:val="22"/>
              </w:rPr>
            </w:pPr>
            <w:r w:rsidRPr="00F81709">
              <w:rPr>
                <w:rFonts w:asciiTheme="minorHAnsi" w:hAnsiTheme="minorHAnsi" w:cs="Arial"/>
                <w:sz w:val="22"/>
                <w:szCs w:val="22"/>
              </w:rPr>
              <w:t>At least once during the strategic planning phase, updated as needed in subsequent quarters</w:t>
            </w:r>
          </w:p>
        </w:tc>
      </w:tr>
      <w:tr w:rsidR="0051158C" w:rsidRPr="002C2B6E" w:rsidTr="0040250E">
        <w:trPr>
          <w:cantSplit/>
        </w:trPr>
        <w:tc>
          <w:tcPr>
            <w:tcW w:w="2425" w:type="dxa"/>
            <w:vAlign w:val="center"/>
          </w:tcPr>
          <w:p w:rsidR="0051158C" w:rsidRPr="00F81709" w:rsidDel="000F7086" w:rsidRDefault="0051158C" w:rsidP="0051158C">
            <w:pPr>
              <w:pStyle w:val="ListParagraph"/>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337"/>
              <w:rPr>
                <w:rFonts w:asciiTheme="minorHAnsi" w:hAnsiTheme="minorHAnsi" w:cs="Arial"/>
                <w:sz w:val="22"/>
                <w:szCs w:val="22"/>
              </w:rPr>
            </w:pPr>
            <w:r w:rsidRPr="00F81709">
              <w:rPr>
                <w:rFonts w:asciiTheme="minorHAnsi" w:hAnsiTheme="minorHAnsi" w:cs="Arial"/>
                <w:sz w:val="22"/>
                <w:szCs w:val="22"/>
              </w:rPr>
              <w:lastRenderedPageBreak/>
              <w:t>Implementation</w:t>
            </w:r>
          </w:p>
        </w:tc>
        <w:tc>
          <w:tcPr>
            <w:tcW w:w="4680" w:type="dxa"/>
            <w:vAlign w:val="center"/>
          </w:tcPr>
          <w:p w:rsidR="0051158C" w:rsidRPr="00AC3C3F" w:rsidRDefault="0051158C" w:rsidP="0051158C">
            <w:pPr>
              <w:pStyle w:val="ListBullet"/>
              <w:numPr>
                <w:ilvl w:val="0"/>
                <w:numId w:val="3"/>
              </w:numPr>
              <w:rPr>
                <w:sz w:val="22"/>
                <w:szCs w:val="22"/>
              </w:rPr>
            </w:pPr>
            <w:r w:rsidRPr="00AC3C3F">
              <w:rPr>
                <w:sz w:val="22"/>
                <w:szCs w:val="22"/>
              </w:rPr>
              <w:t>Numbers served through direct services and numbers reached through indirect services, by demographic group</w:t>
            </w:r>
          </w:p>
          <w:p w:rsidR="0051158C" w:rsidRPr="00AC3C3F" w:rsidRDefault="0051158C" w:rsidP="0051158C">
            <w:pPr>
              <w:pStyle w:val="ListBullet"/>
              <w:numPr>
                <w:ilvl w:val="0"/>
                <w:numId w:val="3"/>
              </w:numPr>
              <w:rPr>
                <w:sz w:val="22"/>
                <w:szCs w:val="22"/>
              </w:rPr>
            </w:pPr>
            <w:r w:rsidRPr="00AC3C3F">
              <w:rPr>
                <w:sz w:val="22"/>
                <w:szCs w:val="22"/>
              </w:rPr>
              <w:t>Grant expenditures</w:t>
            </w:r>
          </w:p>
          <w:p w:rsidR="0051158C" w:rsidRPr="00AC3C3F" w:rsidRDefault="0051158C" w:rsidP="0051158C">
            <w:pPr>
              <w:pStyle w:val="ListBullet"/>
              <w:numPr>
                <w:ilvl w:val="0"/>
                <w:numId w:val="3"/>
              </w:numPr>
              <w:rPr>
                <w:sz w:val="22"/>
                <w:szCs w:val="22"/>
              </w:rPr>
            </w:pPr>
            <w:r w:rsidRPr="00AC3C3F">
              <w:rPr>
                <w:sz w:val="22"/>
                <w:szCs w:val="22"/>
              </w:rPr>
              <w:t>Direct-service intervention implementation (timing, frequency, dosage, location, adaptations)</w:t>
            </w:r>
          </w:p>
          <w:p w:rsidR="0051158C" w:rsidRPr="00AC3C3F" w:rsidRDefault="0051158C" w:rsidP="0051158C">
            <w:pPr>
              <w:pStyle w:val="ListBullet"/>
              <w:numPr>
                <w:ilvl w:val="0"/>
                <w:numId w:val="3"/>
              </w:numPr>
              <w:rPr>
                <w:sz w:val="22"/>
                <w:szCs w:val="22"/>
              </w:rPr>
            </w:pPr>
            <w:r w:rsidRPr="00AC3C3F">
              <w:rPr>
                <w:sz w:val="22"/>
                <w:szCs w:val="22"/>
              </w:rPr>
              <w:t>Detailed list of direct services delivered</w:t>
            </w:r>
          </w:p>
          <w:p w:rsidR="0051158C" w:rsidRPr="00AC3C3F" w:rsidRDefault="0051158C" w:rsidP="0051158C">
            <w:pPr>
              <w:pStyle w:val="ListBullet"/>
              <w:numPr>
                <w:ilvl w:val="0"/>
                <w:numId w:val="3"/>
              </w:numPr>
              <w:rPr>
                <w:sz w:val="22"/>
                <w:szCs w:val="22"/>
              </w:rPr>
            </w:pPr>
            <w:r w:rsidRPr="00AC3C3F">
              <w:rPr>
                <w:sz w:val="22"/>
                <w:szCs w:val="22"/>
              </w:rPr>
              <w:t>Numbers tested for HIV and viral hepatitis</w:t>
            </w:r>
            <w:r>
              <w:rPr>
                <w:sz w:val="22"/>
                <w:szCs w:val="22"/>
              </w:rPr>
              <w:t>, by demographics</w:t>
            </w:r>
          </w:p>
          <w:p w:rsidR="0051158C" w:rsidRPr="00AC3C3F" w:rsidRDefault="0051158C" w:rsidP="0051158C">
            <w:pPr>
              <w:pStyle w:val="ListBullet"/>
              <w:numPr>
                <w:ilvl w:val="0"/>
                <w:numId w:val="3"/>
              </w:numPr>
              <w:rPr>
                <w:sz w:val="22"/>
                <w:szCs w:val="22"/>
              </w:rPr>
            </w:pPr>
            <w:r w:rsidRPr="00AC3C3F">
              <w:rPr>
                <w:sz w:val="22"/>
                <w:szCs w:val="22"/>
              </w:rPr>
              <w:t>Numbers vaccinated for viral hepatitis</w:t>
            </w:r>
          </w:p>
          <w:p w:rsidR="0051158C" w:rsidRPr="00AC3C3F" w:rsidRDefault="0051158C" w:rsidP="0051158C">
            <w:pPr>
              <w:pStyle w:val="ListBullet"/>
              <w:numPr>
                <w:ilvl w:val="0"/>
                <w:numId w:val="3"/>
              </w:numPr>
              <w:rPr>
                <w:sz w:val="22"/>
                <w:szCs w:val="22"/>
              </w:rPr>
            </w:pPr>
            <w:r w:rsidRPr="00AC3C3F">
              <w:rPr>
                <w:sz w:val="22"/>
                <w:szCs w:val="22"/>
              </w:rPr>
              <w:t>Environmental strategies and information dissemination activities implemented</w:t>
            </w:r>
          </w:p>
          <w:p w:rsidR="0051158C" w:rsidRPr="00AC3C3F" w:rsidRDefault="0051158C" w:rsidP="0051158C">
            <w:pPr>
              <w:pStyle w:val="ListBullet"/>
              <w:numPr>
                <w:ilvl w:val="0"/>
                <w:numId w:val="3"/>
              </w:numPr>
              <w:rPr>
                <w:sz w:val="22"/>
                <w:szCs w:val="22"/>
              </w:rPr>
            </w:pPr>
            <w:r w:rsidRPr="00AC3C3F">
              <w:rPr>
                <w:sz w:val="22"/>
                <w:szCs w:val="22"/>
              </w:rPr>
              <w:t>Numbers referred outside the grantee organization for further services, by service type</w:t>
            </w:r>
          </w:p>
          <w:p w:rsidR="0051158C" w:rsidRPr="00AC3C3F" w:rsidRDefault="0051158C" w:rsidP="0051158C">
            <w:pPr>
              <w:pStyle w:val="ListBullet"/>
              <w:numPr>
                <w:ilvl w:val="0"/>
                <w:numId w:val="3"/>
              </w:numPr>
              <w:rPr>
                <w:sz w:val="22"/>
                <w:szCs w:val="22"/>
              </w:rPr>
            </w:pPr>
            <w:r w:rsidRPr="00AC3C3F">
              <w:rPr>
                <w:sz w:val="22"/>
                <w:szCs w:val="22"/>
              </w:rPr>
              <w:t>Outreach/recruitment activities</w:t>
            </w:r>
          </w:p>
          <w:p w:rsidR="0051158C" w:rsidRPr="00AC3C3F" w:rsidRDefault="0051158C" w:rsidP="0051158C">
            <w:pPr>
              <w:pStyle w:val="ListBullet"/>
              <w:numPr>
                <w:ilvl w:val="0"/>
                <w:numId w:val="3"/>
              </w:numPr>
              <w:rPr>
                <w:sz w:val="22"/>
                <w:szCs w:val="22"/>
              </w:rPr>
            </w:pPr>
            <w:r w:rsidRPr="00AC3C3F">
              <w:rPr>
                <w:sz w:val="22"/>
                <w:szCs w:val="22"/>
              </w:rPr>
              <w:t>Accomplishments and barriers associated with intervention implementation and service delivery</w:t>
            </w:r>
          </w:p>
        </w:tc>
        <w:tc>
          <w:tcPr>
            <w:tcW w:w="2880" w:type="dxa"/>
            <w:vAlign w:val="center"/>
          </w:tcPr>
          <w:p w:rsidR="0051158C" w:rsidRPr="0038340D" w:rsidRDefault="0051158C" w:rsidP="0040250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heme="minorHAnsi" w:hAnsiTheme="minorHAnsi" w:cs="Arial"/>
                <w:sz w:val="22"/>
                <w:szCs w:val="22"/>
              </w:rPr>
            </w:pPr>
            <w:r w:rsidRPr="00F81709">
              <w:rPr>
                <w:rFonts w:asciiTheme="minorHAnsi" w:hAnsiTheme="minorHAnsi" w:cs="Arial"/>
                <w:sz w:val="22"/>
                <w:szCs w:val="22"/>
              </w:rPr>
              <w:t>Quarterly during the implementation phase</w:t>
            </w:r>
          </w:p>
        </w:tc>
      </w:tr>
      <w:tr w:rsidR="0051158C" w:rsidRPr="002C2B6E" w:rsidTr="0040250E">
        <w:trPr>
          <w:cantSplit/>
          <w:trHeight w:val="1034"/>
        </w:trPr>
        <w:tc>
          <w:tcPr>
            <w:tcW w:w="2425" w:type="dxa"/>
            <w:vAlign w:val="center"/>
          </w:tcPr>
          <w:p w:rsidR="0051158C" w:rsidRPr="00F81709" w:rsidRDefault="0051158C" w:rsidP="0051158C">
            <w:pPr>
              <w:pStyle w:val="ListParagraph"/>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337"/>
              <w:rPr>
                <w:rFonts w:asciiTheme="minorHAnsi" w:hAnsiTheme="minorHAnsi" w:cs="Arial"/>
                <w:sz w:val="22"/>
                <w:szCs w:val="22"/>
              </w:rPr>
            </w:pPr>
            <w:r w:rsidRPr="00F81709">
              <w:rPr>
                <w:rFonts w:asciiTheme="minorHAnsi" w:hAnsiTheme="minorHAnsi" w:cs="Arial"/>
                <w:sz w:val="22"/>
                <w:szCs w:val="22"/>
              </w:rPr>
              <w:t>Evaluation</w:t>
            </w:r>
          </w:p>
        </w:tc>
        <w:tc>
          <w:tcPr>
            <w:tcW w:w="4680" w:type="dxa"/>
            <w:vAlign w:val="center"/>
          </w:tcPr>
          <w:p w:rsidR="0051158C" w:rsidRPr="00AC3C3F" w:rsidRDefault="0051158C" w:rsidP="0051158C">
            <w:pPr>
              <w:pStyle w:val="ListBullet"/>
              <w:numPr>
                <w:ilvl w:val="0"/>
                <w:numId w:val="3"/>
              </w:numPr>
              <w:rPr>
                <w:sz w:val="22"/>
                <w:szCs w:val="22"/>
              </w:rPr>
            </w:pPr>
            <w:r w:rsidRPr="00AC3C3F">
              <w:rPr>
                <w:sz w:val="22"/>
                <w:szCs w:val="22"/>
              </w:rPr>
              <w:t>Link to upload evaluation plan (online only)</w:t>
            </w:r>
          </w:p>
          <w:p w:rsidR="0051158C" w:rsidRPr="00AC3C3F" w:rsidRDefault="0051158C" w:rsidP="0051158C">
            <w:pPr>
              <w:pStyle w:val="ListBullet"/>
              <w:numPr>
                <w:ilvl w:val="0"/>
                <w:numId w:val="3"/>
              </w:numPr>
              <w:rPr>
                <w:sz w:val="22"/>
                <w:szCs w:val="22"/>
              </w:rPr>
            </w:pPr>
            <w:r w:rsidRPr="00AC3C3F">
              <w:rPr>
                <w:sz w:val="22"/>
                <w:szCs w:val="22"/>
              </w:rPr>
              <w:t>Link to the Indirect Services Outcome Instrument (online only)</w:t>
            </w:r>
          </w:p>
          <w:p w:rsidR="0051158C" w:rsidRPr="00F81709" w:rsidRDefault="0051158C" w:rsidP="0051158C">
            <w:pPr>
              <w:pStyle w:val="ListBullet"/>
              <w:numPr>
                <w:ilvl w:val="0"/>
                <w:numId w:val="3"/>
              </w:numPr>
              <w:rPr>
                <w:rFonts w:asciiTheme="minorHAnsi" w:hAnsiTheme="minorHAnsi" w:cs="Arial"/>
                <w:sz w:val="22"/>
                <w:szCs w:val="22"/>
              </w:rPr>
            </w:pPr>
            <w:r w:rsidRPr="00AC3C3F">
              <w:rPr>
                <w:sz w:val="22"/>
                <w:szCs w:val="22"/>
              </w:rPr>
              <w:t>Accomplishments and barriers associated with evaluation</w:t>
            </w:r>
          </w:p>
        </w:tc>
        <w:tc>
          <w:tcPr>
            <w:tcW w:w="2880" w:type="dxa"/>
            <w:vAlign w:val="center"/>
          </w:tcPr>
          <w:p w:rsidR="0051158C" w:rsidRPr="0038340D" w:rsidRDefault="0051158C" w:rsidP="0040250E">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after="120"/>
              <w:ind w:left="0"/>
              <w:contextualSpacing w:val="0"/>
              <w:rPr>
                <w:rFonts w:asciiTheme="minorHAnsi" w:hAnsiTheme="minorHAnsi" w:cs="Arial"/>
                <w:sz w:val="22"/>
                <w:szCs w:val="22"/>
              </w:rPr>
            </w:pPr>
            <w:r w:rsidRPr="0038340D">
              <w:rPr>
                <w:rFonts w:asciiTheme="minorHAnsi" w:hAnsiTheme="minorHAnsi" w:cs="Arial"/>
                <w:sz w:val="22"/>
                <w:szCs w:val="22"/>
              </w:rPr>
              <w:t>At least once during the evaluation phase</w:t>
            </w:r>
          </w:p>
        </w:tc>
      </w:tr>
    </w:tbl>
    <w:p w:rsidR="0051158C" w:rsidRDefault="0051158C" w:rsidP="0051158C">
      <w:pPr>
        <w:suppressLineNumbers/>
        <w:spacing w:before="252"/>
        <w:outlineLvl w:val="0"/>
        <w:rPr>
          <w:rFonts w:ascii="Times New Roman" w:hAnsi="Times New Roman"/>
          <w:b/>
        </w:rPr>
      </w:pPr>
    </w:p>
    <w:p w:rsidR="0051158C" w:rsidRPr="00CE29CC" w:rsidRDefault="0051158C" w:rsidP="0051158C">
      <w:pPr>
        <w:suppressLineNumbers/>
        <w:spacing w:before="252"/>
        <w:outlineLvl w:val="0"/>
        <w:rPr>
          <w:rFonts w:ascii="Times New Roman" w:hAnsi="Times New Roman"/>
        </w:rPr>
      </w:pPr>
      <w:r>
        <w:rPr>
          <w:rFonts w:ascii="Times New Roman" w:hAnsi="Times New Roman"/>
        </w:rPr>
        <w:t xml:space="preserve">Before implementing any intervention, the grantees are required to enter planning information about that intervention in the Planning module. The Planning and Implementation modules are similarly structured to allow the evaluators to assess the degree to which the implementation followed the plan (i.e. fidelity to the plan). The grantees are provided with a list of the most common evidence-based direct-service interventions (Attachment 2) in order to standardize the way in which intervention names are reported across time and across grantees. Once the online system is in place, the list will be available as a dropdown menu in the Planning section. The Implementation section will provide each grantee with a dropdown menu consisting of the interventions they entered in the Planning section. This dynamically updated grantee-specific dropdown menu will also be linked to the online participant-level instruments in order to link each participant’s pre-post and follow-up data to the direct-service intervention(s) they received.  </w:t>
      </w:r>
    </w:p>
    <w:p w:rsidR="0051158C" w:rsidRPr="005B5281" w:rsidRDefault="0051158C" w:rsidP="0051158C">
      <w:pPr>
        <w:keepNext/>
        <w:suppressLineNumbers/>
        <w:spacing w:before="252"/>
        <w:outlineLvl w:val="0"/>
        <w:rPr>
          <w:rFonts w:ascii="Times New Roman" w:hAnsi="Times New Roman"/>
          <w:b/>
        </w:rPr>
      </w:pPr>
      <w:r>
        <w:rPr>
          <w:rFonts w:ascii="Times New Roman" w:hAnsi="Times New Roman"/>
          <w:b/>
        </w:rPr>
        <w:t>Indirect Services Outcomes Instrument (ISO)</w:t>
      </w:r>
    </w:p>
    <w:p w:rsidR="0051158C" w:rsidRPr="005B5281" w:rsidRDefault="0051158C" w:rsidP="0051158C">
      <w:pPr>
        <w:keepNext/>
        <w:suppressLineNumbers/>
        <w:outlineLvl w:val="0"/>
        <w:rPr>
          <w:rStyle w:val="WP9BodyText"/>
          <w:rFonts w:ascii="Times New Roman" w:hAnsi="Times New Roman"/>
        </w:rPr>
      </w:pPr>
    </w:p>
    <w:p w:rsidR="0051158C" w:rsidRDefault="0051158C" w:rsidP="0051158C">
      <w:pPr>
        <w:suppressLineNumbers/>
        <w:outlineLvl w:val="0"/>
        <w:rPr>
          <w:rStyle w:val="WP9BodyText"/>
          <w:rFonts w:ascii="Times New Roman" w:hAnsi="Times New Roman"/>
        </w:rPr>
      </w:pPr>
      <w:r>
        <w:rPr>
          <w:rStyle w:val="WP9BodyText"/>
          <w:rFonts w:ascii="Times New Roman" w:hAnsi="Times New Roman"/>
        </w:rPr>
        <w:t xml:space="preserve">The Indirect Services Outcomes Instrument (Attachment 3) is a brief instrument to collect community-level outcome data for use in assessing the effectiveness of funded environmental </w:t>
      </w:r>
      <w:r>
        <w:rPr>
          <w:rStyle w:val="WP9BodyText"/>
          <w:rFonts w:ascii="Times New Roman" w:hAnsi="Times New Roman"/>
        </w:rPr>
        <w:lastRenderedPageBreak/>
        <w:t>strategies and information dissemination activities in changing community norms, policies, behaviors, and/or systems of care. The grantees are encouraged to work with local agencies that collect administrative and epidemiological data and with their state’s Epidemiological Outcomes Workgroups to obtain relevant data describing their targeted community’s relevant characteristics. These data are typically either community survey results measuring risk and protective factors and behaviors associated with substance abuse and HIV/HCV transmission, or event/surveillance data maintained by law enforcement, health, or educational agencies and institutions, such as alcohol/drug related arrests or traffic crashes/fatalities, HIV or viral hepatitis diagnoses, substance abuse related emergency room visits, or relevant campus records (in cases where the grantee is a minority-serving educational institution).</w:t>
      </w:r>
    </w:p>
    <w:p w:rsidR="0051158C" w:rsidRDefault="0051158C" w:rsidP="0051158C">
      <w:pPr>
        <w:suppressLineNumbers/>
        <w:outlineLvl w:val="0"/>
        <w:rPr>
          <w:rStyle w:val="WP9BodyText"/>
          <w:rFonts w:ascii="Times New Roman" w:hAnsi="Times New Roman"/>
        </w:rPr>
      </w:pPr>
    </w:p>
    <w:p w:rsidR="0051158C" w:rsidRDefault="0051158C" w:rsidP="0051158C">
      <w:pPr>
        <w:suppressLineNumbers/>
        <w:outlineLvl w:val="0"/>
        <w:rPr>
          <w:rStyle w:val="WP9BodyText"/>
          <w:rFonts w:ascii="Times New Roman" w:hAnsi="Times New Roman"/>
        </w:rPr>
      </w:pPr>
      <w:r>
        <w:rPr>
          <w:rStyle w:val="WP9BodyText"/>
          <w:rFonts w:ascii="Times New Roman" w:hAnsi="Times New Roman"/>
        </w:rPr>
        <w:t>The ISO provides the grantee with data fields that describe the data source and enter the calculated value annually. The description of the data source (including population age range and size, sampling ratio, etc.) are used by the cross-site evaluation team to calculate effect sizes and if necessary, introduce weights into the community outcomes analysis data file.</w:t>
      </w:r>
    </w:p>
    <w:p w:rsidR="0051158C" w:rsidRDefault="0051158C" w:rsidP="0051158C">
      <w:pPr>
        <w:suppressLineNumbers/>
        <w:outlineLvl w:val="0"/>
        <w:rPr>
          <w:rStyle w:val="WP9BodyText"/>
          <w:rFonts w:ascii="Times New Roman" w:hAnsi="Times New Roman"/>
        </w:rPr>
      </w:pPr>
    </w:p>
    <w:p w:rsidR="0051158C" w:rsidRPr="005B5281" w:rsidRDefault="0051158C" w:rsidP="0051158C">
      <w:pPr>
        <w:suppressLineNumbers/>
        <w:rPr>
          <w:rStyle w:val="WP9BodyText"/>
          <w:rFonts w:ascii="Times New Roman" w:hAnsi="Times New Roman"/>
        </w:rPr>
      </w:pPr>
    </w:p>
    <w:p w:rsidR="0051158C" w:rsidRPr="005B5281" w:rsidRDefault="0051158C" w:rsidP="0051158C">
      <w:pPr>
        <w:suppressLineNumbers/>
        <w:outlineLvl w:val="0"/>
        <w:rPr>
          <w:rStyle w:val="WP9BodyText"/>
          <w:rFonts w:ascii="Times New Roman" w:hAnsi="Times New Roman"/>
          <w:b/>
        </w:rPr>
      </w:pPr>
      <w:r w:rsidRPr="005B5281">
        <w:rPr>
          <w:rStyle w:val="WP9BodyText"/>
          <w:rFonts w:ascii="Times New Roman" w:hAnsi="Times New Roman"/>
          <w:b/>
        </w:rPr>
        <w:t>Data Collection</w:t>
      </w:r>
    </w:p>
    <w:p w:rsidR="0051158C" w:rsidRPr="005B5281" w:rsidRDefault="0051158C" w:rsidP="0051158C">
      <w:pPr>
        <w:suppressLineNumbers/>
        <w:outlineLvl w:val="0"/>
        <w:rPr>
          <w:rStyle w:val="WP9BodyText"/>
          <w:rFonts w:ascii="Times New Roman" w:hAnsi="Times New Roman"/>
        </w:rPr>
      </w:pPr>
    </w:p>
    <w:p w:rsidR="0051158C" w:rsidRDefault="0051158C" w:rsidP="0051158C">
      <w:pPr>
        <w:suppressLineNumbers/>
        <w:rPr>
          <w:rStyle w:val="WP9BodyText"/>
          <w:rFonts w:ascii="Times New Roman" w:hAnsi="Times New Roman"/>
        </w:rPr>
      </w:pPr>
      <w:r>
        <w:rPr>
          <w:rStyle w:val="WP9BodyText"/>
          <w:rFonts w:ascii="Times New Roman" w:hAnsi="Times New Roman"/>
        </w:rPr>
        <w:t xml:space="preserve">As noted earlier, the </w:t>
      </w:r>
      <w:r w:rsidR="002119F0">
        <w:rPr>
          <w:rStyle w:val="WP9BodyText"/>
          <w:rFonts w:ascii="Times New Roman" w:hAnsi="Times New Roman"/>
        </w:rPr>
        <w:t xml:space="preserve">Quarterly Progress Report </w:t>
      </w:r>
      <w:r>
        <w:rPr>
          <w:rStyle w:val="WP9BodyText"/>
          <w:rFonts w:ascii="Times New Roman" w:hAnsi="Times New Roman"/>
        </w:rPr>
        <w:t xml:space="preserve">and ISO will initially be launched as paper instruments to be completed and submitted by grantees. They will be incorporated into an online data entry system in the future, contingent on resource availability. The last column of Exhibit 4 indicates the frequency with which each section (or module) of the </w:t>
      </w:r>
      <w:r w:rsidR="002119F0">
        <w:rPr>
          <w:rStyle w:val="WP9BodyText"/>
          <w:rFonts w:ascii="Times New Roman" w:hAnsi="Times New Roman"/>
        </w:rPr>
        <w:t xml:space="preserve">Quarterly Progress Report </w:t>
      </w:r>
      <w:r>
        <w:rPr>
          <w:rStyle w:val="WP9BodyText"/>
          <w:rFonts w:ascii="Times New Roman" w:hAnsi="Times New Roman"/>
        </w:rPr>
        <w:t>will be completed. The ISO will be completed for at least one community-level outcome measure. Data collection will start with a baseline data submission preceding the onset of funded activities and will be updated every year during the grant period. In cases where data updates are only available every other year (e.g. id the source of the data is the Youth Risk Behavior Surveillance System), the grantee will be able to file a request to waive the annual requirement. SAMHSA will review these waiver requests and make decisions on a case-by-case basis. The PEP-C MAI Cross-Site Team will provide training and technical assistance to grantees in selecting, obtaining, and submitting data on community-level outcome measures in line with their strategic plans.</w:t>
      </w:r>
    </w:p>
    <w:p w:rsidR="0051158C" w:rsidRDefault="0051158C" w:rsidP="0051158C">
      <w:pPr>
        <w:suppressLineNumbers/>
        <w:rPr>
          <w:rStyle w:val="WP9BodyText"/>
          <w:rFonts w:ascii="Times New Roman" w:hAnsi="Times New Roman"/>
        </w:rPr>
      </w:pPr>
    </w:p>
    <w:p w:rsidR="0051158C" w:rsidRPr="005B5281" w:rsidRDefault="0051158C" w:rsidP="0051158C">
      <w:pPr>
        <w:suppressLineNumbers/>
        <w:outlineLvl w:val="0"/>
        <w:rPr>
          <w:rStyle w:val="WP9BodyText"/>
          <w:rFonts w:ascii="Times New Roman" w:hAnsi="Times New Roman"/>
          <w:b/>
        </w:rPr>
      </w:pPr>
    </w:p>
    <w:p w:rsidR="0051158C" w:rsidRPr="005B5281" w:rsidRDefault="0051158C" w:rsidP="0051158C">
      <w:pPr>
        <w:suppressLineNumbers/>
        <w:outlineLvl w:val="0"/>
        <w:rPr>
          <w:rStyle w:val="WP9BodyText"/>
          <w:rFonts w:ascii="Times New Roman" w:hAnsi="Times New Roman"/>
          <w:b/>
        </w:rPr>
      </w:pPr>
      <w:r w:rsidRPr="005B5281">
        <w:rPr>
          <w:rStyle w:val="WP9BodyText"/>
          <w:rFonts w:ascii="Times New Roman" w:hAnsi="Times New Roman"/>
          <w:b/>
        </w:rPr>
        <w:t>Data Management</w:t>
      </w:r>
    </w:p>
    <w:p w:rsidR="0051158C" w:rsidRPr="005B5281" w:rsidRDefault="0051158C" w:rsidP="0051158C">
      <w:pPr>
        <w:suppressLineNumbers/>
        <w:outlineLvl w:val="0"/>
        <w:rPr>
          <w:rStyle w:val="WP9BodyText"/>
          <w:rFonts w:ascii="Times New Roman" w:hAnsi="Times New Roman"/>
        </w:rPr>
      </w:pPr>
    </w:p>
    <w:p w:rsidR="0051158C" w:rsidRPr="005B5281" w:rsidRDefault="0051158C" w:rsidP="0051158C">
      <w:pPr>
        <w:suppressLineNumbers/>
        <w:ind w:right="72"/>
        <w:rPr>
          <w:rStyle w:val="WP9BodyText"/>
          <w:rFonts w:ascii="Times New Roman" w:hAnsi="Times New Roman"/>
        </w:rPr>
      </w:pPr>
      <w:r w:rsidRPr="005B5281">
        <w:rPr>
          <w:rStyle w:val="WP9BodyText"/>
          <w:rFonts w:ascii="Times New Roman" w:hAnsi="Times New Roman"/>
        </w:rPr>
        <w:t xml:space="preserve">Storage System: Over the life of this initiative, </w:t>
      </w:r>
      <w:r w:rsidR="002119F0">
        <w:rPr>
          <w:rStyle w:val="WP9BodyText"/>
          <w:rFonts w:ascii="Times New Roman" w:hAnsi="Times New Roman"/>
        </w:rPr>
        <w:t>Quarterly Progress Report</w:t>
      </w:r>
      <w:r>
        <w:rPr>
          <w:rStyle w:val="WP9BodyText"/>
          <w:rFonts w:ascii="Times New Roman" w:hAnsi="Times New Roman"/>
        </w:rPr>
        <w:t xml:space="preserve"> and ISO data submitted by the grantees either in paper form or as extracts from an online data submission system will be filed in a secure location at SAMHSA together with other grant management and monitoring records. Digitized versions of the data used in the cross-site evaluation will be integrated with participant-level cross-site data and stored in secured databases </w:t>
      </w:r>
      <w:r w:rsidRPr="005B5281">
        <w:rPr>
          <w:rFonts w:ascii="Times New Roman" w:hAnsi="Times New Roman"/>
        </w:rPr>
        <w:t xml:space="preserve">in accordance with the security guidelines defined by the Federal Information Security Management Act (FISMA) and NIST Special Publication 800-53 for Moderate information system security.  </w:t>
      </w:r>
    </w:p>
    <w:p w:rsidR="0051158C" w:rsidRDefault="0051158C" w:rsidP="0051158C">
      <w:pPr>
        <w:suppressLineNumbers/>
        <w:ind w:right="288"/>
        <w:rPr>
          <w:rStyle w:val="WP9BodyText"/>
          <w:rFonts w:ascii="Times New Roman" w:hAnsi="Times New Roman"/>
        </w:rPr>
      </w:pPr>
    </w:p>
    <w:p w:rsidR="0051158C" w:rsidRPr="005B5281" w:rsidRDefault="0051158C" w:rsidP="0051158C">
      <w:pPr>
        <w:suppressLineNumbers/>
        <w:ind w:right="144"/>
        <w:rPr>
          <w:rFonts w:ascii="Times New Roman" w:hAnsi="Times New Roman"/>
          <w:b/>
          <w:u w:val="single"/>
        </w:rPr>
      </w:pPr>
    </w:p>
    <w:p w:rsidR="00D454E9" w:rsidRPr="00765002" w:rsidRDefault="00D454E9" w:rsidP="00D454E9">
      <w:pPr>
        <w:pStyle w:val="Heading2"/>
        <w:spacing w:before="120" w:line="360" w:lineRule="auto"/>
        <w:rPr>
          <w:rFonts w:ascii="Times New Roman" w:hAnsi="Times New Roman"/>
          <w:sz w:val="24"/>
          <w:szCs w:val="24"/>
        </w:rPr>
      </w:pPr>
      <w:r w:rsidRPr="00765002">
        <w:rPr>
          <w:rFonts w:ascii="Times New Roman" w:hAnsi="Times New Roman"/>
          <w:sz w:val="24"/>
          <w:szCs w:val="24"/>
        </w:rPr>
        <w:lastRenderedPageBreak/>
        <w:t>B5.  Statistical Consultants</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Sara Azimi-Bolourian, Ph.D.</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Public Health Analyst </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Performance and Technical Assistance Branch</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SAMHSA/CSAP </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1 Choke Cherry Road, Room 4-1031</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Rockville, MD 20857</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Linda D. Youngman, Ph.D.</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Branch Chief</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Division of Community Programs </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SAMHSA/CSAP</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1 Choke Cherry Road, Room 4-1115</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Rockville, MD  20857</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Patricia A. Sabry</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Public Health Advisor</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Division of Community Programs</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SAMHSA/CSAP</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1 Choke Cherry Road, Room 4-1111</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Rockville, MD  20857</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Phillip W. Graham, Dr.PH</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Director, Drugs, Violence, and Delinquency Prevention Research Program,</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 xml:space="preserve">Center for Justice, Safety, and Resilience, </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RTI International</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PO Box 12194</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Research Triangle Park, NC 27709</w:t>
      </w:r>
    </w:p>
    <w:p w:rsidR="00D454E9" w:rsidRPr="00765002" w:rsidRDefault="00D454E9" w:rsidP="00D454E9">
      <w:pPr>
        <w:suppressLineNumbers/>
        <w:rPr>
          <w:rFonts w:ascii="Times New Roman" w:hAnsi="Times New Roman"/>
        </w:rPr>
      </w:pPr>
    </w:p>
    <w:p w:rsidR="00D454E9" w:rsidRPr="00765002" w:rsidRDefault="00D454E9" w:rsidP="00D454E9">
      <w:pPr>
        <w:suppressLineNumbers/>
        <w:rPr>
          <w:rFonts w:ascii="Times New Roman" w:hAnsi="Times New Roman"/>
        </w:rPr>
      </w:pPr>
      <w:r w:rsidRPr="00765002">
        <w:rPr>
          <w:rFonts w:ascii="Times New Roman" w:hAnsi="Times New Roman"/>
        </w:rPr>
        <w:t>Elvira Elek, Ph.D</w:t>
      </w:r>
    </w:p>
    <w:p w:rsidR="00D454E9" w:rsidRPr="00765002" w:rsidRDefault="00D454E9" w:rsidP="00D454E9">
      <w:pPr>
        <w:suppressLineNumbers/>
        <w:rPr>
          <w:rFonts w:ascii="Times New Roman" w:hAnsi="Times New Roman"/>
        </w:rPr>
      </w:pPr>
      <w:r w:rsidRPr="00765002">
        <w:rPr>
          <w:rFonts w:ascii="Times New Roman" w:hAnsi="Times New Roman"/>
        </w:rPr>
        <w:t xml:space="preserve">Research Public Health Analyst </w:t>
      </w:r>
    </w:p>
    <w:p w:rsidR="00D454E9" w:rsidRPr="00765002" w:rsidRDefault="00D454E9" w:rsidP="00D454E9">
      <w:pPr>
        <w:suppressLineNumbers/>
        <w:rPr>
          <w:rFonts w:ascii="Times New Roman" w:hAnsi="Times New Roman"/>
        </w:rPr>
      </w:pPr>
      <w:r w:rsidRPr="00765002">
        <w:rPr>
          <w:rFonts w:ascii="Times New Roman" w:hAnsi="Times New Roman"/>
        </w:rPr>
        <w:t>RTI International</w:t>
      </w:r>
    </w:p>
    <w:p w:rsidR="00D454E9" w:rsidRPr="00765002" w:rsidRDefault="00D454E9" w:rsidP="00D454E9">
      <w:pPr>
        <w:suppressLineNumbers/>
        <w:rPr>
          <w:rFonts w:ascii="Times New Roman" w:hAnsi="Times New Roman"/>
        </w:rPr>
      </w:pPr>
      <w:r w:rsidRPr="00765002">
        <w:rPr>
          <w:rFonts w:ascii="Times New Roman" w:hAnsi="Times New Roman"/>
        </w:rPr>
        <w:t>701 13th St NW #750</w:t>
      </w:r>
    </w:p>
    <w:p w:rsidR="00D454E9" w:rsidRPr="00765002" w:rsidRDefault="00D454E9" w:rsidP="00D454E9">
      <w:pPr>
        <w:suppressLineNumbers/>
        <w:rPr>
          <w:rFonts w:ascii="Times New Roman" w:hAnsi="Times New Roman"/>
        </w:rPr>
      </w:pPr>
      <w:r w:rsidRPr="00765002">
        <w:rPr>
          <w:rFonts w:ascii="Times New Roman" w:hAnsi="Times New Roman"/>
        </w:rPr>
        <w:t>Washington, DC 20005</w:t>
      </w:r>
    </w:p>
    <w:p w:rsidR="00D454E9" w:rsidRPr="00765002" w:rsidRDefault="00D454E9" w:rsidP="00D454E9">
      <w:pPr>
        <w:suppressLineNumbers/>
        <w:rPr>
          <w:rFonts w:ascii="Times New Roman" w:hAnsi="Times New Roman"/>
        </w:rPr>
      </w:pPr>
    </w:p>
    <w:p w:rsidR="00D454E9" w:rsidRPr="00765002" w:rsidRDefault="00D454E9" w:rsidP="00D454E9">
      <w:pPr>
        <w:suppressLineNumbers/>
        <w:rPr>
          <w:rFonts w:ascii="Times New Roman" w:hAnsi="Times New Roman"/>
        </w:rPr>
      </w:pPr>
      <w:r w:rsidRPr="00765002">
        <w:rPr>
          <w:rFonts w:ascii="Times New Roman" w:hAnsi="Times New Roman"/>
        </w:rPr>
        <w:t>Nilufer Isvan, Ph.D.</w:t>
      </w:r>
    </w:p>
    <w:p w:rsidR="00D454E9" w:rsidRPr="00765002" w:rsidRDefault="00D454E9" w:rsidP="00D454E9">
      <w:pPr>
        <w:suppressLineNumbers/>
        <w:rPr>
          <w:rFonts w:ascii="Times New Roman" w:hAnsi="Times New Roman"/>
        </w:rPr>
      </w:pPr>
      <w:r w:rsidRPr="00765002">
        <w:rPr>
          <w:rFonts w:ascii="Times New Roman" w:hAnsi="Times New Roman"/>
        </w:rPr>
        <w:t>Senior Research Fellow</w:t>
      </w:r>
    </w:p>
    <w:p w:rsidR="00D454E9" w:rsidRPr="00765002" w:rsidRDefault="00D454E9" w:rsidP="00D454E9">
      <w:pPr>
        <w:suppressLineNumbers/>
        <w:rPr>
          <w:rFonts w:ascii="Times New Roman" w:hAnsi="Times New Roman"/>
        </w:rPr>
      </w:pPr>
      <w:r w:rsidRPr="00765002">
        <w:rPr>
          <w:rFonts w:ascii="Times New Roman" w:hAnsi="Times New Roman"/>
        </w:rPr>
        <w:t>Human Services Research Institute</w:t>
      </w:r>
    </w:p>
    <w:p w:rsidR="00D454E9" w:rsidRPr="00765002" w:rsidRDefault="00D454E9" w:rsidP="00D454E9">
      <w:pPr>
        <w:suppressLineNumbers/>
        <w:rPr>
          <w:rFonts w:ascii="Times New Roman" w:hAnsi="Times New Roman"/>
        </w:rPr>
      </w:pPr>
      <w:r w:rsidRPr="00765002">
        <w:rPr>
          <w:rFonts w:ascii="Times New Roman" w:hAnsi="Times New Roman"/>
        </w:rPr>
        <w:t>2336 Massachusetts Avenue</w:t>
      </w:r>
    </w:p>
    <w:p w:rsidR="00D454E9" w:rsidRPr="00765002" w:rsidRDefault="00D454E9" w:rsidP="00D454E9">
      <w:pPr>
        <w:suppressLineNumbers/>
        <w:rPr>
          <w:rFonts w:ascii="Times New Roman" w:hAnsi="Times New Roman"/>
        </w:rPr>
      </w:pPr>
      <w:r w:rsidRPr="00765002">
        <w:rPr>
          <w:rFonts w:ascii="Times New Roman" w:hAnsi="Times New Roman"/>
        </w:rPr>
        <w:t>Cambridge, MA 02140</w:t>
      </w:r>
    </w:p>
    <w:p w:rsidR="00D454E9" w:rsidRPr="00765002" w:rsidRDefault="00D454E9" w:rsidP="00D454E9">
      <w:pPr>
        <w:suppressLineNumbers/>
        <w:rPr>
          <w:rFonts w:ascii="Times New Roman" w:hAnsi="Times New Roman"/>
        </w:rPr>
      </w:pPr>
    </w:p>
    <w:p w:rsidR="00D454E9" w:rsidRPr="00765002" w:rsidRDefault="00D454E9" w:rsidP="00D454E9">
      <w:pPr>
        <w:rPr>
          <w:rFonts w:ascii="Times New Roman" w:hAnsi="Times New Roman"/>
        </w:rPr>
      </w:pPr>
      <w:proofErr w:type="gramStart"/>
      <w:r w:rsidRPr="00765002">
        <w:rPr>
          <w:rFonts w:ascii="Times New Roman" w:hAnsi="Times New Roman"/>
        </w:rPr>
        <w:t>Mindy Herman Stahl, Ph.D.</w:t>
      </w:r>
      <w:proofErr w:type="gramEnd"/>
    </w:p>
    <w:p w:rsidR="00D454E9" w:rsidRPr="00765002" w:rsidRDefault="00D454E9" w:rsidP="00D454E9">
      <w:pPr>
        <w:rPr>
          <w:rFonts w:ascii="Times New Roman" w:hAnsi="Times New Roman"/>
        </w:rPr>
      </w:pPr>
      <w:r w:rsidRPr="00765002">
        <w:rPr>
          <w:rFonts w:ascii="Times New Roman" w:hAnsi="Times New Roman"/>
        </w:rPr>
        <w:t xml:space="preserve">Research Psychologist, </w:t>
      </w:r>
    </w:p>
    <w:p w:rsidR="00D454E9" w:rsidRPr="00765002" w:rsidRDefault="00D454E9" w:rsidP="00D454E9">
      <w:pPr>
        <w:rPr>
          <w:rFonts w:ascii="Times New Roman" w:hAnsi="Times New Roman"/>
        </w:rPr>
      </w:pPr>
      <w:r w:rsidRPr="00765002">
        <w:rPr>
          <w:rFonts w:ascii="Times New Roman" w:hAnsi="Times New Roman"/>
        </w:rPr>
        <w:t>RTI International</w:t>
      </w:r>
    </w:p>
    <w:p w:rsidR="00D454E9" w:rsidRPr="00765002" w:rsidRDefault="00D454E9" w:rsidP="00D454E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WP9BodyText"/>
          <w:rFonts w:ascii="Times New Roman" w:hAnsi="Times New Roman"/>
        </w:rPr>
      </w:pPr>
      <w:r w:rsidRPr="00765002">
        <w:rPr>
          <w:rStyle w:val="WP9BodyText"/>
          <w:rFonts w:ascii="Times New Roman" w:hAnsi="Times New Roman"/>
        </w:rPr>
        <w:t>PO Box 12194</w:t>
      </w:r>
    </w:p>
    <w:p w:rsidR="00D454E9" w:rsidRPr="00765002" w:rsidRDefault="00D454E9" w:rsidP="00D454E9">
      <w:pPr>
        <w:rPr>
          <w:rFonts w:ascii="Times New Roman" w:hAnsi="Times New Roman"/>
        </w:rPr>
      </w:pPr>
      <w:r w:rsidRPr="00765002">
        <w:rPr>
          <w:rStyle w:val="WP9BodyText"/>
          <w:rFonts w:ascii="Times New Roman" w:hAnsi="Times New Roman"/>
        </w:rPr>
        <w:t>Research Triangle Park, NC 27709</w:t>
      </w:r>
    </w:p>
    <w:p w:rsidR="00D454E9" w:rsidRPr="00765002" w:rsidRDefault="00D454E9" w:rsidP="00D454E9">
      <w:pPr>
        <w:rPr>
          <w:rFonts w:ascii="Times New Roman" w:hAnsi="Times New Roman"/>
        </w:rPr>
      </w:pPr>
    </w:p>
    <w:p w:rsidR="00D454E9" w:rsidRPr="00765002" w:rsidRDefault="00D454E9" w:rsidP="00D454E9">
      <w:pPr>
        <w:rPr>
          <w:rFonts w:ascii="Times New Roman" w:hAnsi="Times New Roman"/>
        </w:rPr>
      </w:pPr>
      <w:proofErr w:type="spellStart"/>
      <w:r w:rsidRPr="00765002">
        <w:rPr>
          <w:rFonts w:ascii="Times New Roman" w:hAnsi="Times New Roman"/>
        </w:rPr>
        <w:t>Darigg</w:t>
      </w:r>
      <w:proofErr w:type="spellEnd"/>
      <w:r w:rsidRPr="00765002">
        <w:rPr>
          <w:rFonts w:ascii="Times New Roman" w:hAnsi="Times New Roman"/>
        </w:rPr>
        <w:t xml:space="preserve"> Brown, Ph.D.</w:t>
      </w:r>
    </w:p>
    <w:p w:rsidR="00D454E9" w:rsidRPr="00765002" w:rsidRDefault="00D454E9" w:rsidP="00D454E9">
      <w:pPr>
        <w:rPr>
          <w:rFonts w:ascii="Times New Roman" w:hAnsi="Times New Roman"/>
        </w:rPr>
      </w:pPr>
      <w:r w:rsidRPr="00765002">
        <w:rPr>
          <w:rFonts w:ascii="Times New Roman" w:hAnsi="Times New Roman"/>
        </w:rPr>
        <w:t xml:space="preserve">Research Public Health Analyst, </w:t>
      </w:r>
    </w:p>
    <w:p w:rsidR="00D454E9" w:rsidRPr="00765002" w:rsidRDefault="00D454E9" w:rsidP="00D454E9">
      <w:pPr>
        <w:rPr>
          <w:rFonts w:ascii="Times New Roman" w:hAnsi="Times New Roman"/>
        </w:rPr>
      </w:pPr>
      <w:r w:rsidRPr="00765002">
        <w:rPr>
          <w:rFonts w:ascii="Times New Roman" w:hAnsi="Times New Roman"/>
        </w:rPr>
        <w:t>RTI International</w:t>
      </w:r>
    </w:p>
    <w:p w:rsidR="00D454E9" w:rsidRPr="00765002" w:rsidRDefault="00D454E9" w:rsidP="00D454E9">
      <w:pPr>
        <w:rPr>
          <w:rFonts w:ascii="Times New Roman" w:hAnsi="Times New Roman"/>
        </w:rPr>
      </w:pPr>
      <w:r w:rsidRPr="00765002">
        <w:rPr>
          <w:rFonts w:ascii="Times New Roman" w:hAnsi="Times New Roman"/>
        </w:rPr>
        <w:t>2951 Flowers Rd South, Suite 119</w:t>
      </w:r>
    </w:p>
    <w:p w:rsidR="00D454E9" w:rsidRPr="00765002" w:rsidRDefault="00D454E9" w:rsidP="00D454E9">
      <w:pPr>
        <w:rPr>
          <w:rFonts w:ascii="Times New Roman" w:hAnsi="Times New Roman"/>
        </w:rPr>
      </w:pPr>
      <w:r w:rsidRPr="00765002">
        <w:rPr>
          <w:rFonts w:ascii="Times New Roman" w:hAnsi="Times New Roman"/>
        </w:rPr>
        <w:t>Atlanta, GA 30341</w:t>
      </w:r>
    </w:p>
    <w:p w:rsidR="00D454E9" w:rsidRPr="00765002" w:rsidRDefault="00D454E9" w:rsidP="00D454E9">
      <w:pPr>
        <w:rPr>
          <w:rFonts w:ascii="Times New Roman" w:hAnsi="Times New Roman"/>
        </w:rPr>
      </w:pPr>
    </w:p>
    <w:p w:rsidR="00D454E9" w:rsidRPr="00765002" w:rsidRDefault="00D454E9" w:rsidP="00D454E9">
      <w:pPr>
        <w:rPr>
          <w:rFonts w:ascii="Times New Roman" w:hAnsi="Times New Roman"/>
        </w:rPr>
      </w:pPr>
      <w:r w:rsidRPr="00765002">
        <w:rPr>
          <w:rFonts w:ascii="Times New Roman" w:hAnsi="Times New Roman"/>
        </w:rPr>
        <w:t>Jeffrey Guidry, Ph.D.</w:t>
      </w:r>
    </w:p>
    <w:p w:rsidR="00D454E9" w:rsidRPr="00765002" w:rsidRDefault="00D454E9" w:rsidP="00D454E9">
      <w:pPr>
        <w:rPr>
          <w:rFonts w:ascii="Times New Roman" w:hAnsi="Times New Roman"/>
          <w:noProof/>
        </w:rPr>
      </w:pPr>
      <w:r w:rsidRPr="00765002">
        <w:rPr>
          <w:rFonts w:ascii="Times New Roman" w:hAnsi="Times New Roman"/>
          <w:noProof/>
        </w:rPr>
        <w:t>Associate Professor</w:t>
      </w:r>
    </w:p>
    <w:p w:rsidR="00D454E9" w:rsidRPr="00765002" w:rsidRDefault="00D454E9" w:rsidP="00D454E9">
      <w:pPr>
        <w:rPr>
          <w:rFonts w:ascii="Times New Roman" w:hAnsi="Times New Roman"/>
        </w:rPr>
      </w:pPr>
      <w:r w:rsidRPr="00765002">
        <w:rPr>
          <w:rFonts w:ascii="Times New Roman" w:hAnsi="Times New Roman"/>
          <w:noProof/>
        </w:rPr>
        <w:t>Department of Health &amp; Kinesiology</w:t>
      </w:r>
    </w:p>
    <w:p w:rsidR="00D454E9" w:rsidRPr="00765002" w:rsidRDefault="00D454E9" w:rsidP="00D454E9">
      <w:pPr>
        <w:rPr>
          <w:rFonts w:ascii="Times New Roman" w:hAnsi="Times New Roman"/>
          <w:noProof/>
        </w:rPr>
      </w:pPr>
      <w:r w:rsidRPr="00765002">
        <w:rPr>
          <w:rFonts w:ascii="Times New Roman" w:hAnsi="Times New Roman"/>
          <w:noProof/>
        </w:rPr>
        <w:t>Texas A&amp;M University, Read 159 Bldg.</w:t>
      </w:r>
    </w:p>
    <w:p w:rsidR="00D454E9" w:rsidRPr="00765002" w:rsidRDefault="00D454E9" w:rsidP="00D454E9">
      <w:pPr>
        <w:rPr>
          <w:rFonts w:ascii="Times New Roman" w:hAnsi="Times New Roman"/>
        </w:rPr>
      </w:pPr>
      <w:r w:rsidRPr="00765002">
        <w:rPr>
          <w:rFonts w:ascii="Times New Roman" w:hAnsi="Times New Roman"/>
          <w:noProof/>
        </w:rPr>
        <w:t>College Station</w:t>
      </w:r>
      <w:r w:rsidRPr="00765002">
        <w:rPr>
          <w:rFonts w:ascii="Times New Roman" w:hAnsi="Times New Roman"/>
        </w:rPr>
        <w:t xml:space="preserve">, </w:t>
      </w:r>
      <w:r w:rsidRPr="00765002">
        <w:rPr>
          <w:rFonts w:ascii="Times New Roman" w:hAnsi="Times New Roman"/>
          <w:noProof/>
        </w:rPr>
        <w:t>TX</w:t>
      </w:r>
      <w:r w:rsidRPr="00765002">
        <w:rPr>
          <w:rFonts w:ascii="Times New Roman" w:hAnsi="Times New Roman"/>
        </w:rPr>
        <w:t xml:space="preserve"> </w:t>
      </w:r>
      <w:r w:rsidRPr="00765002">
        <w:rPr>
          <w:rFonts w:ascii="Times New Roman" w:hAnsi="Times New Roman"/>
          <w:noProof/>
        </w:rPr>
        <w:t>77843</w:t>
      </w:r>
    </w:p>
    <w:p w:rsidR="00D454E9" w:rsidRPr="00765002" w:rsidRDefault="00D454E9" w:rsidP="00D454E9">
      <w:pPr>
        <w:rPr>
          <w:rFonts w:ascii="Times New Roman" w:hAnsi="Times New Roman"/>
        </w:rPr>
      </w:pPr>
    </w:p>
    <w:p w:rsidR="00D454E9" w:rsidRPr="00765002" w:rsidRDefault="00D454E9" w:rsidP="00D454E9">
      <w:pPr>
        <w:suppressLineNumbers/>
        <w:rPr>
          <w:rFonts w:ascii="Times New Roman" w:hAnsi="Times New Roman"/>
        </w:rPr>
      </w:pPr>
      <w:r w:rsidRPr="00765002">
        <w:rPr>
          <w:rFonts w:ascii="Times New Roman" w:hAnsi="Times New Roman"/>
        </w:rPr>
        <w:t xml:space="preserve">William </w:t>
      </w:r>
      <w:proofErr w:type="spellStart"/>
      <w:r w:rsidRPr="00765002">
        <w:rPr>
          <w:rFonts w:ascii="Times New Roman" w:hAnsi="Times New Roman"/>
        </w:rPr>
        <w:t>DeJong</w:t>
      </w:r>
      <w:proofErr w:type="spellEnd"/>
      <w:r w:rsidRPr="00765002">
        <w:rPr>
          <w:rFonts w:ascii="Times New Roman" w:hAnsi="Times New Roman"/>
        </w:rPr>
        <w:t>, Ph.D.</w:t>
      </w:r>
    </w:p>
    <w:p w:rsidR="00D454E9" w:rsidRPr="00765002" w:rsidRDefault="00D454E9" w:rsidP="00D454E9">
      <w:pPr>
        <w:suppressLineNumbers/>
        <w:rPr>
          <w:rFonts w:ascii="Times New Roman" w:hAnsi="Times New Roman"/>
        </w:rPr>
      </w:pPr>
      <w:r w:rsidRPr="00765002">
        <w:rPr>
          <w:rFonts w:ascii="Times New Roman" w:hAnsi="Times New Roman"/>
        </w:rPr>
        <w:t>Professor, Community Health Sciences,</w:t>
      </w:r>
    </w:p>
    <w:p w:rsidR="00D454E9" w:rsidRPr="00765002" w:rsidRDefault="00D454E9" w:rsidP="00D454E9">
      <w:pPr>
        <w:suppressLineNumbers/>
        <w:rPr>
          <w:rFonts w:ascii="Times New Roman" w:hAnsi="Times New Roman"/>
        </w:rPr>
      </w:pPr>
      <w:r w:rsidRPr="00765002">
        <w:rPr>
          <w:rFonts w:ascii="Times New Roman" w:hAnsi="Times New Roman"/>
        </w:rPr>
        <w:t>Boston University School of Public Health</w:t>
      </w:r>
    </w:p>
    <w:p w:rsidR="00D454E9" w:rsidRPr="00765002" w:rsidRDefault="00D454E9" w:rsidP="00D454E9">
      <w:pPr>
        <w:suppressLineNumbers/>
        <w:rPr>
          <w:rFonts w:ascii="Times New Roman" w:hAnsi="Times New Roman"/>
        </w:rPr>
      </w:pPr>
      <w:r w:rsidRPr="00765002">
        <w:rPr>
          <w:rFonts w:ascii="Times New Roman" w:hAnsi="Times New Roman"/>
        </w:rPr>
        <w:t xml:space="preserve">801 Massachusetts Avenue </w:t>
      </w:r>
    </w:p>
    <w:p w:rsidR="005361CE" w:rsidRDefault="00D454E9" w:rsidP="00D454E9">
      <w:pPr>
        <w:suppressLineNumbers/>
        <w:rPr>
          <w:rFonts w:ascii="Times New Roman" w:hAnsi="Times New Roman"/>
        </w:rPr>
      </w:pPr>
      <w:r w:rsidRPr="00765002">
        <w:rPr>
          <w:rFonts w:ascii="Times New Roman" w:hAnsi="Times New Roman"/>
        </w:rPr>
        <w:t>Boston, MA 02118</w:t>
      </w:r>
    </w:p>
    <w:p w:rsidR="00D454E9" w:rsidRDefault="00D454E9"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Default="003A5055" w:rsidP="003A5055">
      <w:pPr>
        <w:spacing w:after="200" w:line="276" w:lineRule="auto"/>
        <w:rPr>
          <w:rFonts w:ascii="Times New Roman" w:hAnsi="Times New Roman"/>
        </w:rPr>
      </w:pPr>
    </w:p>
    <w:p w:rsidR="003A5055" w:rsidRPr="00765002" w:rsidRDefault="003A5055" w:rsidP="003A5055">
      <w:pPr>
        <w:spacing w:after="200" w:line="276" w:lineRule="auto"/>
        <w:rPr>
          <w:rFonts w:ascii="Times New Roman" w:hAnsi="Times New Roman"/>
        </w:rPr>
      </w:pPr>
    </w:p>
    <w:p w:rsidR="005361CE" w:rsidRDefault="005361CE">
      <w:pPr>
        <w:spacing w:after="200" w:line="276" w:lineRule="auto"/>
        <w:rPr>
          <w:rFonts w:ascii="Times New Roman" w:hAnsi="Times New Roman"/>
        </w:rPr>
      </w:pPr>
    </w:p>
    <w:p w:rsidR="0051158C" w:rsidRPr="005B5281" w:rsidRDefault="0051158C" w:rsidP="005361CE">
      <w:pPr>
        <w:suppressLineNumbers/>
        <w:spacing w:after="360"/>
        <w:ind w:left="720" w:right="144" w:hanging="720"/>
        <w:jc w:val="center"/>
        <w:outlineLvl w:val="0"/>
        <w:rPr>
          <w:rFonts w:ascii="Times New Roman" w:hAnsi="Times New Roman"/>
          <w:b/>
          <w:u w:val="single"/>
        </w:rPr>
      </w:pPr>
      <w:r w:rsidRPr="005B5281">
        <w:rPr>
          <w:rFonts w:ascii="Times New Roman" w:hAnsi="Times New Roman"/>
          <w:b/>
          <w:u w:val="single"/>
        </w:rPr>
        <w:lastRenderedPageBreak/>
        <w:t>ATTACHMENTS</w:t>
      </w:r>
    </w:p>
    <w:p w:rsidR="0051158C" w:rsidRPr="005B5281" w:rsidRDefault="0051158C" w:rsidP="0051158C">
      <w:pPr>
        <w:numPr>
          <w:ilvl w:val="0"/>
          <w:numId w:val="1"/>
        </w:numPr>
        <w:suppressLineNumbers/>
        <w:spacing w:after="360"/>
        <w:ind w:right="144"/>
        <w:rPr>
          <w:rFonts w:ascii="Times New Roman" w:hAnsi="Times New Roman"/>
          <w:b/>
          <w:u w:val="single"/>
        </w:rPr>
      </w:pPr>
      <w:r>
        <w:rPr>
          <w:rFonts w:ascii="Times New Roman" w:hAnsi="Times New Roman"/>
          <w:b/>
          <w:u w:val="single"/>
        </w:rPr>
        <w:t xml:space="preserve">MAI </w:t>
      </w:r>
      <w:bookmarkStart w:id="0" w:name="_GoBack"/>
      <w:bookmarkEnd w:id="0"/>
      <w:r>
        <w:rPr>
          <w:rFonts w:ascii="Times New Roman" w:hAnsi="Times New Roman"/>
          <w:b/>
          <w:u w:val="single"/>
        </w:rPr>
        <w:t>Quarterly Progress Reporting Tool</w:t>
      </w:r>
    </w:p>
    <w:p w:rsidR="0051158C" w:rsidRPr="005B5281" w:rsidRDefault="0051158C" w:rsidP="0051158C">
      <w:pPr>
        <w:numPr>
          <w:ilvl w:val="0"/>
          <w:numId w:val="1"/>
        </w:numPr>
        <w:suppressLineNumbers/>
        <w:spacing w:after="360"/>
        <w:ind w:right="144"/>
        <w:rPr>
          <w:rFonts w:ascii="Times New Roman" w:hAnsi="Times New Roman"/>
          <w:b/>
          <w:u w:val="single"/>
        </w:rPr>
      </w:pPr>
      <w:r>
        <w:rPr>
          <w:rFonts w:ascii="Times New Roman" w:hAnsi="Times New Roman"/>
          <w:b/>
          <w:u w:val="single"/>
        </w:rPr>
        <w:t xml:space="preserve">MAI </w:t>
      </w:r>
      <w:r w:rsidR="0038775A">
        <w:rPr>
          <w:rFonts w:ascii="Times New Roman" w:hAnsi="Times New Roman"/>
          <w:b/>
          <w:u w:val="single"/>
        </w:rPr>
        <w:t>Ind</w:t>
      </w:r>
      <w:r w:rsidRPr="007E1AE7">
        <w:rPr>
          <w:rFonts w:ascii="Times New Roman" w:hAnsi="Times New Roman"/>
          <w:b/>
          <w:u w:val="single"/>
        </w:rPr>
        <w:t>irect-Service Intervention Name List</w:t>
      </w:r>
    </w:p>
    <w:p w:rsidR="0051158C" w:rsidRPr="0038775A" w:rsidRDefault="0051158C" w:rsidP="0051158C">
      <w:pPr>
        <w:numPr>
          <w:ilvl w:val="0"/>
          <w:numId w:val="1"/>
        </w:numPr>
        <w:suppressLineNumbers/>
        <w:spacing w:after="360"/>
        <w:ind w:right="144"/>
        <w:rPr>
          <w:rFonts w:ascii="Times New Roman" w:hAnsi="Times New Roman"/>
          <w:b/>
          <w:u w:val="single"/>
        </w:rPr>
      </w:pPr>
      <w:r w:rsidRPr="0038775A">
        <w:rPr>
          <w:rFonts w:ascii="Times New Roman" w:hAnsi="Times New Roman"/>
          <w:b/>
          <w:u w:val="single"/>
        </w:rPr>
        <w:t>MAI</w:t>
      </w:r>
      <w:r w:rsidR="0038775A">
        <w:rPr>
          <w:rFonts w:ascii="Times New Roman" w:hAnsi="Times New Roman"/>
          <w:b/>
          <w:u w:val="single"/>
        </w:rPr>
        <w:t xml:space="preserve"> Retrospective Reporting Tool</w:t>
      </w:r>
    </w:p>
    <w:p w:rsidR="00A00D96" w:rsidRDefault="00A00D96"/>
    <w:sectPr w:rsidR="00A00D96" w:rsidSect="006C69EB">
      <w:footerReference w:type="default" r:id="rId8"/>
      <w:endnotePr>
        <w:numFmt w:val="lowerLetter"/>
      </w:endnotePr>
      <w:pgSz w:w="12240" w:h="15840" w:code="1"/>
      <w:pgMar w:top="1440" w:right="1440" w:bottom="1440" w:left="1440" w:header="864"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40A" w:rsidRDefault="003A540A">
      <w:r>
        <w:separator/>
      </w:r>
    </w:p>
  </w:endnote>
  <w:endnote w:type="continuationSeparator" w:id="0">
    <w:p w:rsidR="003A540A" w:rsidRDefault="003A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734313"/>
      <w:docPartObj>
        <w:docPartGallery w:val="Page Numbers (Bottom of Page)"/>
        <w:docPartUnique/>
      </w:docPartObj>
    </w:sdtPr>
    <w:sdtEndPr>
      <w:rPr>
        <w:noProof/>
      </w:rPr>
    </w:sdtEndPr>
    <w:sdtContent>
      <w:p w:rsidR="006D1B98" w:rsidRDefault="0051158C">
        <w:pPr>
          <w:pStyle w:val="Footer"/>
          <w:jc w:val="center"/>
        </w:pPr>
        <w:r>
          <w:fldChar w:fldCharType="begin"/>
        </w:r>
        <w:r>
          <w:instrText xml:space="preserve"> PAGE   \* MERGEFORMAT </w:instrText>
        </w:r>
        <w:r>
          <w:fldChar w:fldCharType="separate"/>
        </w:r>
        <w:r w:rsidR="0038775A">
          <w:rPr>
            <w:noProof/>
          </w:rPr>
          <w:t>7</w:t>
        </w:r>
        <w:r>
          <w:rPr>
            <w:noProof/>
          </w:rPr>
          <w:fldChar w:fldCharType="end"/>
        </w:r>
      </w:p>
    </w:sdtContent>
  </w:sdt>
  <w:p w:rsidR="006D1B98" w:rsidRDefault="003A54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40A" w:rsidRDefault="003A540A">
      <w:r>
        <w:separator/>
      </w:r>
    </w:p>
  </w:footnote>
  <w:footnote w:type="continuationSeparator" w:id="0">
    <w:p w:rsidR="003A540A" w:rsidRDefault="003A5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12E4"/>
    <w:multiLevelType w:val="hybridMultilevel"/>
    <w:tmpl w:val="BCB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E00C23"/>
    <w:multiLevelType w:val="hybridMultilevel"/>
    <w:tmpl w:val="8458C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836A51"/>
    <w:multiLevelType w:val="hybridMultilevel"/>
    <w:tmpl w:val="CDAC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8C"/>
    <w:rsid w:val="0008383C"/>
    <w:rsid w:val="001F4B45"/>
    <w:rsid w:val="002119F0"/>
    <w:rsid w:val="002D1CE6"/>
    <w:rsid w:val="0038775A"/>
    <w:rsid w:val="003A5055"/>
    <w:rsid w:val="003A540A"/>
    <w:rsid w:val="0051158C"/>
    <w:rsid w:val="005361CE"/>
    <w:rsid w:val="007F21EF"/>
    <w:rsid w:val="00A00D96"/>
    <w:rsid w:val="00B53020"/>
    <w:rsid w:val="00D454E9"/>
    <w:rsid w:val="00E70618"/>
    <w:rsid w:val="00EC2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8C"/>
    <w:pPr>
      <w:spacing w:after="0" w:line="240" w:lineRule="auto"/>
    </w:pPr>
    <w:rPr>
      <w:rFonts w:ascii="Calibri" w:eastAsia="Times New Roman" w:hAnsi="Calibri" w:cs="Times New Roman"/>
      <w:sz w:val="24"/>
      <w:szCs w:val="24"/>
      <w:lang w:bidi="en-US"/>
    </w:rPr>
  </w:style>
  <w:style w:type="paragraph" w:styleId="Heading2">
    <w:name w:val="heading 2"/>
    <w:basedOn w:val="Normal"/>
    <w:next w:val="Normal"/>
    <w:link w:val="Heading2Char"/>
    <w:uiPriority w:val="9"/>
    <w:unhideWhenUsed/>
    <w:qFormat/>
    <w:rsid w:val="0051158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58C"/>
    <w:rPr>
      <w:rFonts w:ascii="Cambria" w:eastAsia="Times New Roman" w:hAnsi="Cambria" w:cs="Times New Roman"/>
      <w:b/>
      <w:bCs/>
      <w:i/>
      <w:iCs/>
      <w:sz w:val="28"/>
      <w:szCs w:val="28"/>
      <w:lang w:bidi="en-US"/>
    </w:rPr>
  </w:style>
  <w:style w:type="paragraph" w:styleId="ListBullet">
    <w:name w:val="List Bullet"/>
    <w:basedOn w:val="Normal"/>
    <w:link w:val="ListBulletChar"/>
    <w:autoRedefine/>
    <w:rsid w:val="0051158C"/>
    <w:pPr>
      <w:tabs>
        <w:tab w:val="left" w:pos="720"/>
      </w:tabs>
    </w:pPr>
  </w:style>
  <w:style w:type="character" w:customStyle="1" w:styleId="ListBulletChar">
    <w:name w:val="List Bullet Char"/>
    <w:basedOn w:val="DefaultParagraphFont"/>
    <w:link w:val="ListBullet"/>
    <w:rsid w:val="0051158C"/>
    <w:rPr>
      <w:rFonts w:ascii="Calibri" w:eastAsia="Times New Roman" w:hAnsi="Calibri" w:cs="Times New Roman"/>
      <w:sz w:val="24"/>
      <w:szCs w:val="24"/>
      <w:lang w:bidi="en-US"/>
    </w:rPr>
  </w:style>
  <w:style w:type="paragraph" w:styleId="Footer">
    <w:name w:val="footer"/>
    <w:basedOn w:val="Normal"/>
    <w:link w:val="FooterChar"/>
    <w:uiPriority w:val="99"/>
    <w:rsid w:val="0051158C"/>
    <w:pPr>
      <w:tabs>
        <w:tab w:val="center" w:pos="4320"/>
        <w:tab w:val="right" w:pos="8640"/>
      </w:tabs>
      <w:jc w:val="both"/>
    </w:pPr>
  </w:style>
  <w:style w:type="character" w:customStyle="1" w:styleId="FooterChar">
    <w:name w:val="Footer Char"/>
    <w:basedOn w:val="DefaultParagraphFont"/>
    <w:link w:val="Footer"/>
    <w:uiPriority w:val="99"/>
    <w:rsid w:val="0051158C"/>
    <w:rPr>
      <w:rFonts w:ascii="Calibri" w:eastAsia="Times New Roman" w:hAnsi="Calibri" w:cs="Times New Roman"/>
      <w:sz w:val="24"/>
      <w:szCs w:val="24"/>
      <w:lang w:bidi="en-US"/>
    </w:rPr>
  </w:style>
  <w:style w:type="character" w:customStyle="1" w:styleId="WP9BodyText">
    <w:name w:val="WP9_Body Text"/>
    <w:basedOn w:val="DefaultParagraphFont"/>
    <w:rsid w:val="0051158C"/>
  </w:style>
  <w:style w:type="paragraph" w:styleId="ListParagraph">
    <w:name w:val="List Paragraph"/>
    <w:basedOn w:val="Normal"/>
    <w:uiPriority w:val="34"/>
    <w:qFormat/>
    <w:rsid w:val="0051158C"/>
    <w:pPr>
      <w:ind w:left="720"/>
      <w:contextualSpacing/>
    </w:pPr>
  </w:style>
  <w:style w:type="paragraph" w:styleId="BalloonText">
    <w:name w:val="Balloon Text"/>
    <w:basedOn w:val="Normal"/>
    <w:link w:val="BalloonTextChar"/>
    <w:uiPriority w:val="99"/>
    <w:semiHidden/>
    <w:unhideWhenUsed/>
    <w:rsid w:val="00E70618"/>
    <w:rPr>
      <w:rFonts w:ascii="Tahoma" w:hAnsi="Tahoma" w:cs="Tahoma"/>
      <w:sz w:val="16"/>
      <w:szCs w:val="16"/>
    </w:rPr>
  </w:style>
  <w:style w:type="character" w:customStyle="1" w:styleId="BalloonTextChar">
    <w:name w:val="Balloon Text Char"/>
    <w:basedOn w:val="DefaultParagraphFont"/>
    <w:link w:val="BalloonText"/>
    <w:uiPriority w:val="99"/>
    <w:semiHidden/>
    <w:rsid w:val="00E70618"/>
    <w:rPr>
      <w:rFonts w:ascii="Tahoma" w:eastAsia="Times New Roman" w:hAnsi="Tahoma" w:cs="Tahoma"/>
      <w:sz w:val="16"/>
      <w:szCs w:val="16"/>
      <w:lang w:bidi="en-US"/>
    </w:rPr>
  </w:style>
  <w:style w:type="character" w:styleId="Hyperlink">
    <w:name w:val="Hyperlink"/>
    <w:basedOn w:val="DefaultParagraphFont"/>
    <w:semiHidden/>
    <w:unhideWhenUsed/>
    <w:rsid w:val="005361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58C"/>
    <w:pPr>
      <w:spacing w:after="0" w:line="240" w:lineRule="auto"/>
    </w:pPr>
    <w:rPr>
      <w:rFonts w:ascii="Calibri" w:eastAsia="Times New Roman" w:hAnsi="Calibri" w:cs="Times New Roman"/>
      <w:sz w:val="24"/>
      <w:szCs w:val="24"/>
      <w:lang w:bidi="en-US"/>
    </w:rPr>
  </w:style>
  <w:style w:type="paragraph" w:styleId="Heading2">
    <w:name w:val="heading 2"/>
    <w:basedOn w:val="Normal"/>
    <w:next w:val="Normal"/>
    <w:link w:val="Heading2Char"/>
    <w:uiPriority w:val="9"/>
    <w:unhideWhenUsed/>
    <w:qFormat/>
    <w:rsid w:val="0051158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58C"/>
    <w:rPr>
      <w:rFonts w:ascii="Cambria" w:eastAsia="Times New Roman" w:hAnsi="Cambria" w:cs="Times New Roman"/>
      <w:b/>
      <w:bCs/>
      <w:i/>
      <w:iCs/>
      <w:sz w:val="28"/>
      <w:szCs w:val="28"/>
      <w:lang w:bidi="en-US"/>
    </w:rPr>
  </w:style>
  <w:style w:type="paragraph" w:styleId="ListBullet">
    <w:name w:val="List Bullet"/>
    <w:basedOn w:val="Normal"/>
    <w:link w:val="ListBulletChar"/>
    <w:autoRedefine/>
    <w:rsid w:val="0051158C"/>
    <w:pPr>
      <w:tabs>
        <w:tab w:val="left" w:pos="720"/>
      </w:tabs>
    </w:pPr>
  </w:style>
  <w:style w:type="character" w:customStyle="1" w:styleId="ListBulletChar">
    <w:name w:val="List Bullet Char"/>
    <w:basedOn w:val="DefaultParagraphFont"/>
    <w:link w:val="ListBullet"/>
    <w:rsid w:val="0051158C"/>
    <w:rPr>
      <w:rFonts w:ascii="Calibri" w:eastAsia="Times New Roman" w:hAnsi="Calibri" w:cs="Times New Roman"/>
      <w:sz w:val="24"/>
      <w:szCs w:val="24"/>
      <w:lang w:bidi="en-US"/>
    </w:rPr>
  </w:style>
  <w:style w:type="paragraph" w:styleId="Footer">
    <w:name w:val="footer"/>
    <w:basedOn w:val="Normal"/>
    <w:link w:val="FooterChar"/>
    <w:uiPriority w:val="99"/>
    <w:rsid w:val="0051158C"/>
    <w:pPr>
      <w:tabs>
        <w:tab w:val="center" w:pos="4320"/>
        <w:tab w:val="right" w:pos="8640"/>
      </w:tabs>
      <w:jc w:val="both"/>
    </w:pPr>
  </w:style>
  <w:style w:type="character" w:customStyle="1" w:styleId="FooterChar">
    <w:name w:val="Footer Char"/>
    <w:basedOn w:val="DefaultParagraphFont"/>
    <w:link w:val="Footer"/>
    <w:uiPriority w:val="99"/>
    <w:rsid w:val="0051158C"/>
    <w:rPr>
      <w:rFonts w:ascii="Calibri" w:eastAsia="Times New Roman" w:hAnsi="Calibri" w:cs="Times New Roman"/>
      <w:sz w:val="24"/>
      <w:szCs w:val="24"/>
      <w:lang w:bidi="en-US"/>
    </w:rPr>
  </w:style>
  <w:style w:type="character" w:customStyle="1" w:styleId="WP9BodyText">
    <w:name w:val="WP9_Body Text"/>
    <w:basedOn w:val="DefaultParagraphFont"/>
    <w:rsid w:val="0051158C"/>
  </w:style>
  <w:style w:type="paragraph" w:styleId="ListParagraph">
    <w:name w:val="List Paragraph"/>
    <w:basedOn w:val="Normal"/>
    <w:uiPriority w:val="34"/>
    <w:qFormat/>
    <w:rsid w:val="0051158C"/>
    <w:pPr>
      <w:ind w:left="720"/>
      <w:contextualSpacing/>
    </w:pPr>
  </w:style>
  <w:style w:type="paragraph" w:styleId="BalloonText">
    <w:name w:val="Balloon Text"/>
    <w:basedOn w:val="Normal"/>
    <w:link w:val="BalloonTextChar"/>
    <w:uiPriority w:val="99"/>
    <w:semiHidden/>
    <w:unhideWhenUsed/>
    <w:rsid w:val="00E70618"/>
    <w:rPr>
      <w:rFonts w:ascii="Tahoma" w:hAnsi="Tahoma" w:cs="Tahoma"/>
      <w:sz w:val="16"/>
      <w:szCs w:val="16"/>
    </w:rPr>
  </w:style>
  <w:style w:type="character" w:customStyle="1" w:styleId="BalloonTextChar">
    <w:name w:val="Balloon Text Char"/>
    <w:basedOn w:val="DefaultParagraphFont"/>
    <w:link w:val="BalloonText"/>
    <w:uiPriority w:val="99"/>
    <w:semiHidden/>
    <w:rsid w:val="00E70618"/>
    <w:rPr>
      <w:rFonts w:ascii="Tahoma" w:eastAsia="Times New Roman" w:hAnsi="Tahoma" w:cs="Tahoma"/>
      <w:sz w:val="16"/>
      <w:szCs w:val="16"/>
      <w:lang w:bidi="en-US"/>
    </w:rPr>
  </w:style>
  <w:style w:type="character" w:styleId="Hyperlink">
    <w:name w:val="Hyperlink"/>
    <w:basedOn w:val="DefaultParagraphFont"/>
    <w:semiHidden/>
    <w:unhideWhenUsed/>
    <w:rsid w:val="00536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6185">
      <w:bodyDiv w:val="1"/>
      <w:marLeft w:val="0"/>
      <w:marRight w:val="0"/>
      <w:marTop w:val="0"/>
      <w:marBottom w:val="0"/>
      <w:divBdr>
        <w:top w:val="none" w:sz="0" w:space="0" w:color="auto"/>
        <w:left w:val="none" w:sz="0" w:space="0" w:color="auto"/>
        <w:bottom w:val="none" w:sz="0" w:space="0" w:color="auto"/>
        <w:right w:val="none" w:sz="0" w:space="0" w:color="auto"/>
      </w:divBdr>
    </w:div>
    <w:div w:id="18914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CLarke</dc:creator>
  <cp:lastModifiedBy>Tom CLarke</cp:lastModifiedBy>
  <cp:revision>5</cp:revision>
  <cp:lastPrinted>2015-10-12T17:54:00Z</cp:lastPrinted>
  <dcterms:created xsi:type="dcterms:W3CDTF">2015-10-27T20:30:00Z</dcterms:created>
  <dcterms:modified xsi:type="dcterms:W3CDTF">2015-10-29T13:38:00Z</dcterms:modified>
</cp:coreProperties>
</file>